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06043C6">
      <w:pPr>
        <w:jc w:val="center"/>
        <w:rPr>
          <w:rFonts w:hint="eastAsia" w:ascii="仿宋" w:hAnsi="仿宋" w:eastAsia="仿宋" w:cs="仿宋"/>
          <w:b/>
          <w:bCs w:val="0"/>
          <w:color w:val="auto"/>
          <w:kern w:val="0"/>
          <w:sz w:val="44"/>
          <w:szCs w:val="44"/>
          <w:highlight w:val="none"/>
          <w:lang w:eastAsia="zh-CN"/>
        </w:rPr>
      </w:pPr>
      <w:r>
        <w:rPr>
          <w:rFonts w:hint="eastAsia" w:ascii="仿宋" w:hAnsi="仿宋" w:eastAsia="仿宋" w:cs="仿宋"/>
          <w:b/>
          <w:bCs w:val="0"/>
          <w:color w:val="auto"/>
          <w:kern w:val="0"/>
          <w:sz w:val="44"/>
          <w:szCs w:val="44"/>
          <w:highlight w:val="none"/>
          <w:lang w:eastAsia="zh-CN"/>
        </w:rPr>
        <w:t>大理白族自治州财贸学校职业教育贯通培养试点</w:t>
      </w:r>
    </w:p>
    <w:p w14:paraId="35205D6D">
      <w:pPr>
        <w:jc w:val="center"/>
        <w:rPr>
          <w:rFonts w:hint="eastAsia" w:ascii="仿宋" w:hAnsi="仿宋" w:eastAsia="仿宋" w:cs="仿宋"/>
          <w:color w:val="auto"/>
          <w:highlight w:val="none"/>
        </w:rPr>
      </w:pPr>
      <w:r>
        <w:rPr>
          <w:rFonts w:hint="eastAsia" w:ascii="仿宋" w:hAnsi="仿宋" w:eastAsia="仿宋" w:cs="仿宋"/>
          <w:b/>
          <w:bCs w:val="0"/>
          <w:color w:val="auto"/>
          <w:kern w:val="0"/>
          <w:sz w:val="44"/>
          <w:szCs w:val="44"/>
          <w:highlight w:val="none"/>
          <w:lang w:eastAsia="zh-CN"/>
        </w:rPr>
        <w:t>项目非集采部分（货物）</w:t>
      </w:r>
    </w:p>
    <w:p w14:paraId="00283CF2">
      <w:pPr>
        <w:bidi w:val="0"/>
        <w:rPr>
          <w:rFonts w:hint="eastAsia"/>
        </w:rPr>
      </w:pPr>
    </w:p>
    <w:p w14:paraId="47011FAC">
      <w:pPr>
        <w:bidi w:val="0"/>
        <w:rPr>
          <w:rFonts w:hint="eastAsia"/>
        </w:rPr>
      </w:pPr>
    </w:p>
    <w:p w14:paraId="3F31E31C">
      <w:pPr>
        <w:bidi w:val="0"/>
        <w:rPr>
          <w:rFonts w:hint="eastAsia"/>
        </w:rPr>
      </w:pPr>
    </w:p>
    <w:p w14:paraId="1B5472ED">
      <w:pPr>
        <w:bidi w:val="0"/>
        <w:rPr>
          <w:rFonts w:hint="eastAsia"/>
        </w:rPr>
      </w:pPr>
    </w:p>
    <w:p w14:paraId="7493E10A">
      <w:pPr>
        <w:bidi w:val="0"/>
        <w:rPr>
          <w:rFonts w:hint="eastAsia"/>
        </w:rPr>
      </w:pPr>
    </w:p>
    <w:p w14:paraId="74E8CE99">
      <w:pPr>
        <w:bidi w:val="0"/>
        <w:rPr>
          <w:rFonts w:hint="eastAsia"/>
        </w:rPr>
      </w:pPr>
    </w:p>
    <w:p w14:paraId="754E2197">
      <w:pPr>
        <w:bidi w:val="0"/>
        <w:rPr>
          <w:rFonts w:hint="eastAsia"/>
        </w:rPr>
      </w:pPr>
    </w:p>
    <w:p w14:paraId="7627BF25">
      <w:pPr>
        <w:bidi w:val="0"/>
        <w:rPr>
          <w:rFonts w:hint="eastAsia"/>
        </w:rPr>
      </w:pPr>
    </w:p>
    <w:p w14:paraId="657516B4">
      <w:pPr>
        <w:bidi w:val="0"/>
        <w:rPr>
          <w:rFonts w:hint="eastAsia"/>
        </w:rPr>
      </w:pPr>
    </w:p>
    <w:p w14:paraId="6357FD99">
      <w:pPr>
        <w:bidi w:val="0"/>
        <w:rPr>
          <w:rFonts w:hint="eastAsia"/>
        </w:rPr>
      </w:pPr>
    </w:p>
    <w:p w14:paraId="1AC7D131">
      <w:pPr>
        <w:bidi w:val="0"/>
        <w:rPr>
          <w:rFonts w:hint="eastAsia"/>
        </w:rPr>
      </w:pPr>
    </w:p>
    <w:p w14:paraId="5AE0A4B0">
      <w:pPr>
        <w:bidi w:val="0"/>
        <w:rPr>
          <w:rFonts w:hint="eastAsia"/>
        </w:rPr>
      </w:pPr>
    </w:p>
    <w:p w14:paraId="39C79982">
      <w:pPr>
        <w:pStyle w:val="22"/>
        <w:autoSpaceDE w:val="0"/>
        <w:autoSpaceDN w:val="0"/>
        <w:adjustRightInd w:val="0"/>
        <w:spacing w:line="300" w:lineRule="auto"/>
        <w:jc w:val="center"/>
        <w:rPr>
          <w:rFonts w:hint="eastAsia" w:ascii="华文楷体" w:hAnsi="华文楷体" w:eastAsia="华文楷体" w:cs="华文楷体"/>
          <w:b/>
          <w:bCs/>
          <w:color w:val="auto"/>
          <w:kern w:val="0"/>
          <w:sz w:val="96"/>
          <w:szCs w:val="96"/>
          <w:highlight w:val="none"/>
        </w:rPr>
      </w:pPr>
      <w:r>
        <w:rPr>
          <w:rFonts w:hint="eastAsia" w:ascii="华文楷体" w:hAnsi="华文楷体" w:eastAsia="华文楷体" w:cs="华文楷体"/>
          <w:b/>
          <w:bCs/>
          <w:color w:val="auto"/>
          <w:kern w:val="0"/>
          <w:sz w:val="96"/>
          <w:szCs w:val="96"/>
          <w:highlight w:val="none"/>
        </w:rPr>
        <w:t>招</w:t>
      </w:r>
      <w:r>
        <w:rPr>
          <w:rFonts w:hint="eastAsia" w:ascii="华文楷体" w:hAnsi="华文楷体" w:eastAsia="华文楷体" w:cs="华文楷体"/>
          <w:b/>
          <w:bCs/>
          <w:color w:val="auto"/>
          <w:kern w:val="0"/>
          <w:sz w:val="96"/>
          <w:szCs w:val="96"/>
          <w:highlight w:val="none"/>
          <w:lang w:val="en-US" w:eastAsia="zh-CN"/>
        </w:rPr>
        <w:t xml:space="preserve"> </w:t>
      </w:r>
      <w:r>
        <w:rPr>
          <w:rFonts w:hint="eastAsia" w:ascii="华文楷体" w:hAnsi="华文楷体" w:eastAsia="华文楷体" w:cs="华文楷体"/>
          <w:b/>
          <w:bCs/>
          <w:color w:val="auto"/>
          <w:kern w:val="0"/>
          <w:sz w:val="96"/>
          <w:szCs w:val="96"/>
          <w:highlight w:val="none"/>
        </w:rPr>
        <w:t>标</w:t>
      </w:r>
      <w:r>
        <w:rPr>
          <w:rFonts w:hint="eastAsia" w:ascii="华文楷体" w:hAnsi="华文楷体" w:eastAsia="华文楷体" w:cs="华文楷体"/>
          <w:b/>
          <w:bCs/>
          <w:color w:val="auto"/>
          <w:kern w:val="0"/>
          <w:sz w:val="96"/>
          <w:szCs w:val="96"/>
          <w:highlight w:val="none"/>
          <w:lang w:val="en-US" w:eastAsia="zh-CN"/>
        </w:rPr>
        <w:t xml:space="preserve"> </w:t>
      </w:r>
      <w:r>
        <w:rPr>
          <w:rFonts w:hint="eastAsia" w:ascii="华文楷体" w:hAnsi="华文楷体" w:eastAsia="华文楷体" w:cs="华文楷体"/>
          <w:b/>
          <w:bCs/>
          <w:color w:val="auto"/>
          <w:kern w:val="0"/>
          <w:sz w:val="96"/>
          <w:szCs w:val="96"/>
          <w:highlight w:val="none"/>
        </w:rPr>
        <w:t>文</w:t>
      </w:r>
      <w:r>
        <w:rPr>
          <w:rFonts w:hint="eastAsia" w:ascii="华文楷体" w:hAnsi="华文楷体" w:eastAsia="华文楷体" w:cs="华文楷体"/>
          <w:b/>
          <w:bCs/>
          <w:color w:val="auto"/>
          <w:kern w:val="0"/>
          <w:sz w:val="96"/>
          <w:szCs w:val="96"/>
          <w:highlight w:val="none"/>
          <w:lang w:val="en-US" w:eastAsia="zh-CN"/>
        </w:rPr>
        <w:t xml:space="preserve"> </w:t>
      </w:r>
      <w:r>
        <w:rPr>
          <w:rFonts w:hint="eastAsia" w:ascii="华文楷体" w:hAnsi="华文楷体" w:eastAsia="华文楷体" w:cs="华文楷体"/>
          <w:b/>
          <w:bCs/>
          <w:color w:val="auto"/>
          <w:kern w:val="0"/>
          <w:sz w:val="96"/>
          <w:szCs w:val="96"/>
          <w:highlight w:val="none"/>
        </w:rPr>
        <w:t>件</w:t>
      </w:r>
    </w:p>
    <w:p w14:paraId="443AEA77">
      <w:pPr>
        <w:pStyle w:val="22"/>
        <w:autoSpaceDE w:val="0"/>
        <w:autoSpaceDN w:val="0"/>
        <w:adjustRightInd w:val="0"/>
        <w:jc w:val="center"/>
        <w:rPr>
          <w:rFonts w:hint="default" w:ascii="仿宋" w:hAnsi="仿宋" w:eastAsia="仿宋" w:cs="仿宋"/>
          <w:b/>
          <w:bCs/>
          <w:color w:val="auto"/>
          <w:sz w:val="32"/>
          <w:szCs w:val="32"/>
          <w:highlight w:val="none"/>
          <w:lang w:val="en-US" w:eastAsia="zh-CN"/>
        </w:rPr>
      </w:pPr>
      <w:r>
        <w:rPr>
          <w:rFonts w:hint="eastAsia" w:ascii="仿宋" w:hAnsi="仿宋" w:eastAsia="仿宋" w:cs="仿宋"/>
          <w:b/>
          <w:bCs/>
          <w:color w:val="auto"/>
          <w:sz w:val="24"/>
          <w:szCs w:val="24"/>
          <w:highlight w:val="none"/>
          <w:lang w:eastAsia="zh-CN"/>
        </w:rPr>
        <w:t>项目编号</w:t>
      </w:r>
      <w:r>
        <w:rPr>
          <w:rFonts w:hint="eastAsia" w:ascii="仿宋" w:hAnsi="仿宋" w:eastAsia="仿宋" w:cs="仿宋"/>
          <w:b/>
          <w:bCs/>
          <w:color w:val="auto"/>
          <w:sz w:val="24"/>
          <w:szCs w:val="24"/>
          <w:highlight w:val="none"/>
        </w:rPr>
        <w:t>： DLZC2026-G1-00454-ZCZB-0009</w:t>
      </w:r>
      <w:r>
        <w:rPr>
          <w:rFonts w:hint="eastAsia" w:ascii="仿宋" w:hAnsi="仿宋" w:eastAsia="仿宋" w:cs="仿宋"/>
          <w:b/>
          <w:bCs/>
          <w:color w:val="auto"/>
          <w:sz w:val="24"/>
          <w:szCs w:val="24"/>
          <w:highlight w:val="none"/>
          <w:lang w:val="en-US" w:eastAsia="zh-CN"/>
        </w:rPr>
        <w:t>/ZCZB-DL2026021A</w:t>
      </w:r>
    </w:p>
    <w:p w14:paraId="2A3E24F3">
      <w:pPr>
        <w:jc w:val="center"/>
        <w:rPr>
          <w:rFonts w:hint="eastAsia" w:ascii="仿宋" w:hAnsi="仿宋" w:eastAsia="仿宋" w:cs="仿宋"/>
          <w:b/>
          <w:bCs/>
          <w:color w:val="auto"/>
          <w:kern w:val="0"/>
          <w:sz w:val="40"/>
          <w:szCs w:val="40"/>
          <w:highlight w:val="none"/>
        </w:rPr>
      </w:pPr>
    </w:p>
    <w:p w14:paraId="536144C0">
      <w:pPr>
        <w:pStyle w:val="18"/>
        <w:rPr>
          <w:rFonts w:hint="eastAsia" w:ascii="仿宋" w:hAnsi="仿宋" w:eastAsia="仿宋" w:cs="仿宋"/>
          <w:color w:val="auto"/>
          <w:highlight w:val="none"/>
        </w:rPr>
      </w:pPr>
    </w:p>
    <w:p w14:paraId="139E7284">
      <w:pPr>
        <w:pStyle w:val="22"/>
        <w:spacing w:line="360" w:lineRule="auto"/>
        <w:rPr>
          <w:rFonts w:hint="eastAsia" w:ascii="仿宋" w:hAnsi="仿宋" w:eastAsia="仿宋" w:cs="仿宋"/>
          <w:b/>
          <w:bCs/>
          <w:color w:val="auto"/>
          <w:sz w:val="28"/>
          <w:szCs w:val="28"/>
          <w:highlight w:val="none"/>
        </w:rPr>
      </w:pPr>
    </w:p>
    <w:p w14:paraId="1B6172A9">
      <w:pPr>
        <w:rPr>
          <w:rFonts w:hint="eastAsia" w:ascii="仿宋" w:hAnsi="仿宋" w:eastAsia="仿宋" w:cs="仿宋"/>
          <w:b/>
          <w:bCs/>
          <w:color w:val="auto"/>
          <w:sz w:val="28"/>
          <w:szCs w:val="28"/>
          <w:highlight w:val="none"/>
        </w:rPr>
      </w:pPr>
    </w:p>
    <w:p w14:paraId="607E8F9A">
      <w:pPr>
        <w:rPr>
          <w:rFonts w:hint="eastAsia" w:ascii="仿宋" w:hAnsi="仿宋" w:eastAsia="仿宋" w:cs="仿宋"/>
          <w:b/>
          <w:bCs/>
          <w:color w:val="auto"/>
          <w:sz w:val="28"/>
          <w:szCs w:val="28"/>
          <w:highlight w:val="none"/>
        </w:rPr>
      </w:pPr>
    </w:p>
    <w:p w14:paraId="10973798">
      <w:pPr>
        <w:rPr>
          <w:rFonts w:hint="eastAsia" w:ascii="仿宋" w:hAnsi="仿宋" w:eastAsia="仿宋" w:cs="仿宋"/>
          <w:b/>
          <w:bCs/>
          <w:color w:val="auto"/>
          <w:sz w:val="28"/>
          <w:szCs w:val="28"/>
          <w:highlight w:val="none"/>
        </w:rPr>
      </w:pPr>
    </w:p>
    <w:p w14:paraId="2B6C2E15">
      <w:pPr>
        <w:rPr>
          <w:rFonts w:hint="eastAsia" w:ascii="仿宋" w:hAnsi="仿宋" w:eastAsia="仿宋" w:cs="仿宋"/>
          <w:b/>
          <w:bCs/>
          <w:color w:val="auto"/>
          <w:sz w:val="28"/>
          <w:szCs w:val="28"/>
          <w:highlight w:val="none"/>
        </w:rPr>
      </w:pPr>
    </w:p>
    <w:p w14:paraId="5E626D04">
      <w:pPr>
        <w:rPr>
          <w:rFonts w:hint="eastAsia" w:ascii="仿宋" w:hAnsi="仿宋" w:eastAsia="仿宋" w:cs="仿宋"/>
          <w:b/>
          <w:bCs/>
          <w:color w:val="auto"/>
          <w:sz w:val="28"/>
          <w:szCs w:val="28"/>
          <w:highlight w:val="none"/>
        </w:rPr>
      </w:pPr>
    </w:p>
    <w:p w14:paraId="1459A90D">
      <w:pPr>
        <w:rPr>
          <w:rFonts w:hint="eastAsia" w:ascii="仿宋" w:hAnsi="仿宋" w:eastAsia="仿宋" w:cs="仿宋"/>
          <w:b/>
          <w:bCs/>
          <w:color w:val="auto"/>
          <w:sz w:val="28"/>
          <w:szCs w:val="28"/>
          <w:highlight w:val="none"/>
        </w:rPr>
      </w:pPr>
    </w:p>
    <w:p w14:paraId="524733C6">
      <w:pPr>
        <w:pStyle w:val="24"/>
        <w:rPr>
          <w:rFonts w:hint="eastAsia" w:ascii="仿宋" w:hAnsi="仿宋" w:eastAsia="仿宋" w:cs="仿宋"/>
          <w:b/>
          <w:bCs/>
          <w:color w:val="auto"/>
          <w:sz w:val="28"/>
          <w:szCs w:val="28"/>
          <w:highlight w:val="none"/>
        </w:rPr>
      </w:pPr>
    </w:p>
    <w:p w14:paraId="7718D724">
      <w:pPr>
        <w:pStyle w:val="13"/>
        <w:ind w:left="0" w:leftChars="0" w:firstLine="0" w:firstLineChars="0"/>
        <w:rPr>
          <w:rFonts w:hint="eastAsia" w:ascii="仿宋" w:hAnsi="仿宋" w:eastAsia="仿宋" w:cs="仿宋"/>
          <w:color w:val="auto"/>
          <w:highlight w:val="none"/>
        </w:rPr>
      </w:pPr>
    </w:p>
    <w:p w14:paraId="0D11D789">
      <w:pPr>
        <w:bidi w:val="0"/>
        <w:rPr>
          <w:rFonts w:hint="eastAsia"/>
        </w:rPr>
      </w:pPr>
    </w:p>
    <w:p w14:paraId="14A7E94E">
      <w:pPr>
        <w:bidi w:val="0"/>
        <w:spacing w:line="360" w:lineRule="auto"/>
        <w:jc w:val="center"/>
        <w:rPr>
          <w:rFonts w:hint="eastAsia" w:ascii="仿宋" w:hAnsi="仿宋" w:eastAsia="仿宋" w:cs="仿宋"/>
          <w:b/>
          <w:color w:val="auto"/>
          <w:kern w:val="0"/>
          <w:sz w:val="32"/>
          <w:szCs w:val="32"/>
          <w:highlight w:val="none"/>
          <w:lang w:val="en-US" w:eastAsia="zh-CN" w:bidi="ar-SA"/>
        </w:rPr>
      </w:pPr>
      <w:bookmarkStart w:id="0" w:name="_Toc18008"/>
      <w:r>
        <w:rPr>
          <w:rFonts w:hint="eastAsia" w:ascii="仿宋" w:hAnsi="仿宋" w:eastAsia="仿宋" w:cs="仿宋"/>
          <w:b/>
          <w:color w:val="auto"/>
          <w:kern w:val="0"/>
          <w:sz w:val="32"/>
          <w:szCs w:val="32"/>
          <w:highlight w:val="none"/>
          <w:lang w:val="en-US" w:eastAsia="zh-CN" w:bidi="ar-SA"/>
        </w:rPr>
        <w:t>采 购 人：</w:t>
      </w:r>
      <w:bookmarkEnd w:id="0"/>
      <w:r>
        <w:rPr>
          <w:rFonts w:hint="eastAsia" w:ascii="仿宋" w:hAnsi="仿宋" w:eastAsia="仿宋" w:cs="仿宋"/>
          <w:b/>
          <w:color w:val="auto"/>
          <w:kern w:val="0"/>
          <w:sz w:val="32"/>
          <w:szCs w:val="32"/>
          <w:highlight w:val="none"/>
          <w:lang w:val="en-US" w:eastAsia="zh-CN" w:bidi="ar-SA"/>
        </w:rPr>
        <w:t>大理白族自治州财贸学校</w:t>
      </w:r>
    </w:p>
    <w:p w14:paraId="6E7893D1">
      <w:pPr>
        <w:pStyle w:val="22"/>
        <w:spacing w:line="360" w:lineRule="auto"/>
        <w:jc w:val="center"/>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rPr>
        <w:t>采购代理机构：</w:t>
      </w:r>
      <w:r>
        <w:rPr>
          <w:rFonts w:hint="eastAsia" w:ascii="仿宋" w:hAnsi="仿宋" w:eastAsia="仿宋" w:cs="仿宋"/>
          <w:b/>
          <w:color w:val="auto"/>
          <w:kern w:val="0"/>
          <w:sz w:val="32"/>
          <w:szCs w:val="32"/>
          <w:highlight w:val="none"/>
          <w:lang w:eastAsia="zh-CN"/>
        </w:rPr>
        <w:t>云南咫尺招标咨询有限公司</w:t>
      </w:r>
    </w:p>
    <w:p w14:paraId="4D346D6F">
      <w:pPr>
        <w:bidi w:val="0"/>
        <w:spacing w:line="360" w:lineRule="auto"/>
        <w:jc w:val="center"/>
        <w:rPr>
          <w:rFonts w:hint="eastAsia" w:ascii="仿宋" w:hAnsi="仿宋" w:eastAsia="仿宋" w:cs="仿宋"/>
          <w:b/>
          <w:color w:val="auto"/>
          <w:kern w:val="0"/>
          <w:sz w:val="32"/>
          <w:szCs w:val="32"/>
          <w:highlight w:val="none"/>
          <w:lang w:val="en-US" w:eastAsia="zh-CN" w:bidi="ar-SA"/>
        </w:rPr>
      </w:pPr>
      <w:bookmarkStart w:id="1" w:name="_Toc6920"/>
      <w:r>
        <w:rPr>
          <w:rFonts w:hint="eastAsia" w:ascii="仿宋" w:hAnsi="仿宋" w:eastAsia="仿宋" w:cs="仿宋"/>
          <w:b/>
          <w:color w:val="auto"/>
          <w:kern w:val="0"/>
          <w:sz w:val="32"/>
          <w:szCs w:val="32"/>
          <w:highlight w:val="none"/>
          <w:lang w:val="en-US" w:eastAsia="zh-CN" w:bidi="ar-SA"/>
        </w:rPr>
        <w:t>日    期：二〇二六年五月</w:t>
      </w:r>
      <w:bookmarkEnd w:id="1"/>
      <w:bookmarkStart w:id="2" w:name="_Toc504083926"/>
    </w:p>
    <w:p w14:paraId="7E2D88A6">
      <w:pPr>
        <w:bidi w:val="0"/>
        <w:spacing w:line="360" w:lineRule="auto"/>
        <w:jc w:val="center"/>
        <w:rPr>
          <w:rFonts w:hint="eastAsia" w:ascii="仿宋" w:hAnsi="仿宋" w:eastAsia="仿宋" w:cs="仿宋"/>
          <w:b/>
          <w:color w:val="auto"/>
          <w:kern w:val="0"/>
          <w:sz w:val="32"/>
          <w:szCs w:val="32"/>
          <w:highlight w:val="none"/>
          <w:lang w:val="en-US" w:eastAsia="zh-CN" w:bidi="ar-SA"/>
        </w:rPr>
        <w:sectPr>
          <w:headerReference r:id="rId4" w:type="first"/>
          <w:footerReference r:id="rId7" w:type="first"/>
          <w:headerReference r:id="rId3" w:type="default"/>
          <w:footerReference r:id="rId5" w:type="default"/>
          <w:footerReference r:id="rId6" w:type="even"/>
          <w:type w:val="nextColumn"/>
          <w:pgSz w:w="11906" w:h="16838"/>
          <w:pgMar w:top="1440" w:right="1080" w:bottom="1440" w:left="1080" w:header="964" w:footer="850" w:gutter="0"/>
          <w:pgNumType w:start="0"/>
          <w:cols w:space="720" w:num="1"/>
          <w:titlePg/>
          <w:docGrid w:linePitch="331" w:charSpace="0"/>
        </w:sectPr>
      </w:pPr>
    </w:p>
    <w:bookmarkEnd w:id="2"/>
    <w:p w14:paraId="29A47885"/>
    <w:sdt>
      <w:sdtPr>
        <w:rPr>
          <w:rFonts w:ascii="宋体" w:hAnsi="宋体" w:eastAsia="宋体" w:cs="Times New Roman"/>
          <w:b/>
          <w:bCs/>
          <w:color w:val="auto"/>
          <w:kern w:val="2"/>
          <w:sz w:val="24"/>
          <w:szCs w:val="32"/>
          <w:highlight w:val="none"/>
          <w:lang w:val="en-US" w:eastAsia="zh-CN" w:bidi="ar-SA"/>
        </w:rPr>
        <w:id w:val="147465168"/>
        <w15:color w:val="DBDBDB"/>
        <w:docPartObj>
          <w:docPartGallery w:val="Table of Contents"/>
          <w:docPartUnique/>
        </w:docPartObj>
      </w:sdtPr>
      <w:sdtEndPr>
        <w:rPr>
          <w:rFonts w:hint="eastAsia" w:ascii="宋体" w:hAnsi="宋体" w:eastAsia="宋体" w:cs="宋体"/>
          <w:b/>
          <w:bCs/>
          <w:color w:val="auto"/>
          <w:kern w:val="2"/>
          <w:sz w:val="21"/>
          <w:szCs w:val="21"/>
          <w:highlight w:val="none"/>
          <w:lang w:val="en-US" w:eastAsia="zh-CN" w:bidi="ar-SA"/>
        </w:rPr>
      </w:sdtEndPr>
      <w:sdtContent>
        <w:p w14:paraId="1BF8C30D">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目录</w:t>
          </w:r>
          <w:bookmarkStart w:id="3" w:name="_Toc24410"/>
        </w:p>
        <w:p w14:paraId="0E1893AD">
          <w:pPr>
            <w:pStyle w:val="30"/>
            <w:keepNext w:val="0"/>
            <w:keepLines w:val="0"/>
            <w:pageBreakBefore w:val="0"/>
            <w:widowControl w:val="0"/>
            <w:tabs>
              <w:tab w:val="right" w:leader="dot" w:pos="9746"/>
              <w:tab w:val="clear" w:pos="9628"/>
            </w:tabs>
            <w:kinsoku/>
            <w:wordWrap/>
            <w:overflowPunct/>
            <w:topLinePunct w:val="0"/>
            <w:autoSpaceDE/>
            <w:autoSpaceDN/>
            <w:bidi w:val="0"/>
            <w:adjustRightInd/>
            <w:snapToGrid/>
            <w:spacing w:line="360" w:lineRule="auto"/>
            <w:textAlignment w:val="auto"/>
          </w:pPr>
          <w:r>
            <w:fldChar w:fldCharType="begin"/>
          </w:r>
          <w:r>
            <w:instrText xml:space="preserve">TOC \o "1-3" \h \u </w:instrText>
          </w:r>
          <w:r>
            <w:fldChar w:fldCharType="separate"/>
          </w:r>
          <w:r>
            <w:fldChar w:fldCharType="begin"/>
          </w:r>
          <w:r>
            <w:instrText xml:space="preserve"> HYPERLINK \l _Toc26373 </w:instrText>
          </w:r>
          <w:r>
            <w:fldChar w:fldCharType="separate"/>
          </w:r>
          <w:r>
            <w:rPr>
              <w:rFonts w:hint="eastAsia" w:ascii="宋体" w:hAnsi="宋体" w:eastAsia="宋体" w:cs="楷体"/>
              <w:kern w:val="0"/>
              <w:highlight w:val="none"/>
            </w:rPr>
            <w:t>第一章 招标公告</w:t>
          </w:r>
          <w:r>
            <w:tab/>
          </w:r>
          <w:r>
            <w:fldChar w:fldCharType="begin"/>
          </w:r>
          <w:r>
            <w:instrText xml:space="preserve"> PAGEREF _Toc26373 \h </w:instrText>
          </w:r>
          <w:r>
            <w:fldChar w:fldCharType="separate"/>
          </w:r>
          <w:r>
            <w:t>1</w:t>
          </w:r>
          <w:r>
            <w:fldChar w:fldCharType="end"/>
          </w:r>
          <w:r>
            <w:fldChar w:fldCharType="end"/>
          </w:r>
        </w:p>
        <w:p w14:paraId="2459203E">
          <w:pPr>
            <w:pStyle w:val="34"/>
            <w:keepNext w:val="0"/>
            <w:keepLines w:val="0"/>
            <w:pageBreakBefore w:val="0"/>
            <w:widowControl w:val="0"/>
            <w:tabs>
              <w:tab w:val="right" w:leader="dot" w:pos="9746"/>
              <w:tab w:val="clear" w:pos="9628"/>
            </w:tabs>
            <w:kinsoku/>
            <w:wordWrap/>
            <w:overflowPunct/>
            <w:topLinePunct w:val="0"/>
            <w:autoSpaceDE/>
            <w:autoSpaceDN/>
            <w:bidi w:val="0"/>
            <w:adjustRightInd/>
            <w:snapToGrid/>
            <w:spacing w:line="360" w:lineRule="auto"/>
            <w:textAlignment w:val="auto"/>
          </w:pPr>
          <w:r>
            <w:fldChar w:fldCharType="begin"/>
          </w:r>
          <w:r>
            <w:instrText xml:space="preserve"> HYPERLINK \l _Toc10606 </w:instrText>
          </w:r>
          <w:r>
            <w:fldChar w:fldCharType="separate"/>
          </w:r>
          <w:r>
            <w:rPr>
              <w:rFonts w:hint="eastAsia" w:ascii="仿宋" w:hAnsi="仿宋" w:eastAsia="仿宋" w:cs="仿宋"/>
              <w:szCs w:val="24"/>
              <w:highlight w:val="none"/>
            </w:rPr>
            <w:t>一、项目基本情况</w:t>
          </w:r>
          <w:r>
            <w:rPr>
              <w:rFonts w:hint="eastAsia" w:ascii="仿宋" w:hAnsi="仿宋" w:eastAsia="仿宋" w:cs="仿宋"/>
              <w:szCs w:val="24"/>
              <w:highlight w:val="none"/>
              <w:lang w:eastAsia="zh-CN"/>
            </w:rPr>
            <w:t>：</w:t>
          </w:r>
          <w:r>
            <w:tab/>
          </w:r>
          <w:r>
            <w:fldChar w:fldCharType="begin"/>
          </w:r>
          <w:r>
            <w:instrText xml:space="preserve"> PAGEREF _Toc10606 \h </w:instrText>
          </w:r>
          <w:r>
            <w:fldChar w:fldCharType="separate"/>
          </w:r>
          <w:r>
            <w:t>1</w:t>
          </w:r>
          <w:r>
            <w:fldChar w:fldCharType="end"/>
          </w:r>
          <w:r>
            <w:fldChar w:fldCharType="end"/>
          </w:r>
        </w:p>
        <w:p w14:paraId="36E0EA6A">
          <w:pPr>
            <w:pStyle w:val="34"/>
            <w:keepNext w:val="0"/>
            <w:keepLines w:val="0"/>
            <w:pageBreakBefore w:val="0"/>
            <w:widowControl w:val="0"/>
            <w:tabs>
              <w:tab w:val="right" w:leader="dot" w:pos="9746"/>
              <w:tab w:val="clear" w:pos="9628"/>
            </w:tabs>
            <w:kinsoku/>
            <w:wordWrap/>
            <w:overflowPunct/>
            <w:topLinePunct w:val="0"/>
            <w:autoSpaceDE/>
            <w:autoSpaceDN/>
            <w:bidi w:val="0"/>
            <w:adjustRightInd/>
            <w:snapToGrid/>
            <w:spacing w:line="360" w:lineRule="auto"/>
            <w:textAlignment w:val="auto"/>
          </w:pPr>
          <w:r>
            <w:fldChar w:fldCharType="begin"/>
          </w:r>
          <w:r>
            <w:instrText xml:space="preserve"> HYPERLINK \l _Toc3717 </w:instrText>
          </w:r>
          <w:r>
            <w:fldChar w:fldCharType="separate"/>
          </w:r>
          <w:r>
            <w:rPr>
              <w:rFonts w:hint="eastAsia" w:ascii="仿宋" w:hAnsi="仿宋" w:eastAsia="仿宋" w:cs="仿宋"/>
              <w:szCs w:val="24"/>
              <w:highlight w:val="none"/>
            </w:rPr>
            <w:t>二、</w:t>
          </w:r>
          <w:r>
            <w:rPr>
              <w:rFonts w:hint="eastAsia" w:ascii="仿宋" w:hAnsi="仿宋" w:eastAsia="仿宋" w:cs="仿宋"/>
              <w:szCs w:val="24"/>
              <w:highlight w:val="none"/>
              <w:lang w:eastAsia="zh-CN"/>
            </w:rPr>
            <w:t>投标人</w:t>
          </w:r>
          <w:r>
            <w:rPr>
              <w:rFonts w:hint="eastAsia" w:ascii="仿宋" w:hAnsi="仿宋" w:eastAsia="仿宋" w:cs="仿宋"/>
              <w:szCs w:val="24"/>
              <w:highlight w:val="none"/>
            </w:rPr>
            <w:t>的资格要求：</w:t>
          </w:r>
          <w:r>
            <w:tab/>
          </w:r>
          <w:r>
            <w:fldChar w:fldCharType="begin"/>
          </w:r>
          <w:r>
            <w:instrText xml:space="preserve"> PAGEREF _Toc3717 \h </w:instrText>
          </w:r>
          <w:r>
            <w:fldChar w:fldCharType="separate"/>
          </w:r>
          <w:r>
            <w:t>3</w:t>
          </w:r>
          <w:r>
            <w:fldChar w:fldCharType="end"/>
          </w:r>
          <w:r>
            <w:fldChar w:fldCharType="end"/>
          </w:r>
        </w:p>
        <w:p w14:paraId="360BDA35">
          <w:pPr>
            <w:pStyle w:val="34"/>
            <w:keepNext w:val="0"/>
            <w:keepLines w:val="0"/>
            <w:pageBreakBefore w:val="0"/>
            <w:widowControl w:val="0"/>
            <w:tabs>
              <w:tab w:val="right" w:leader="dot" w:pos="9746"/>
              <w:tab w:val="clear" w:pos="9628"/>
            </w:tabs>
            <w:kinsoku/>
            <w:wordWrap/>
            <w:overflowPunct/>
            <w:topLinePunct w:val="0"/>
            <w:autoSpaceDE/>
            <w:autoSpaceDN/>
            <w:bidi w:val="0"/>
            <w:adjustRightInd/>
            <w:snapToGrid/>
            <w:spacing w:line="360" w:lineRule="auto"/>
            <w:textAlignment w:val="auto"/>
          </w:pPr>
          <w:r>
            <w:fldChar w:fldCharType="begin"/>
          </w:r>
          <w:r>
            <w:instrText xml:space="preserve"> HYPERLINK \l _Toc10108 </w:instrText>
          </w:r>
          <w:r>
            <w:fldChar w:fldCharType="separate"/>
          </w:r>
          <w:r>
            <w:rPr>
              <w:rFonts w:hint="eastAsia" w:ascii="仿宋" w:hAnsi="仿宋" w:eastAsia="仿宋" w:cs="仿宋"/>
              <w:szCs w:val="24"/>
              <w:highlight w:val="none"/>
            </w:rPr>
            <w:t>三、获取招标文件</w:t>
          </w:r>
          <w:r>
            <w:rPr>
              <w:rFonts w:hint="eastAsia" w:ascii="仿宋" w:hAnsi="仿宋" w:eastAsia="仿宋" w:cs="仿宋"/>
              <w:szCs w:val="24"/>
              <w:highlight w:val="none"/>
              <w:lang w:eastAsia="zh-CN"/>
            </w:rPr>
            <w:t>：</w:t>
          </w:r>
          <w:r>
            <w:tab/>
          </w:r>
          <w:r>
            <w:fldChar w:fldCharType="begin"/>
          </w:r>
          <w:r>
            <w:instrText xml:space="preserve"> PAGEREF _Toc10108 \h </w:instrText>
          </w:r>
          <w:r>
            <w:fldChar w:fldCharType="separate"/>
          </w:r>
          <w:r>
            <w:t>4</w:t>
          </w:r>
          <w:r>
            <w:fldChar w:fldCharType="end"/>
          </w:r>
          <w:r>
            <w:fldChar w:fldCharType="end"/>
          </w:r>
        </w:p>
        <w:p w14:paraId="394541E6">
          <w:pPr>
            <w:pStyle w:val="34"/>
            <w:keepNext w:val="0"/>
            <w:keepLines w:val="0"/>
            <w:pageBreakBefore w:val="0"/>
            <w:widowControl w:val="0"/>
            <w:tabs>
              <w:tab w:val="right" w:leader="dot" w:pos="9746"/>
              <w:tab w:val="clear" w:pos="9628"/>
            </w:tabs>
            <w:kinsoku/>
            <w:wordWrap/>
            <w:overflowPunct/>
            <w:topLinePunct w:val="0"/>
            <w:autoSpaceDE/>
            <w:autoSpaceDN/>
            <w:bidi w:val="0"/>
            <w:adjustRightInd/>
            <w:snapToGrid/>
            <w:spacing w:line="360" w:lineRule="auto"/>
            <w:textAlignment w:val="auto"/>
          </w:pPr>
          <w:r>
            <w:fldChar w:fldCharType="begin"/>
          </w:r>
          <w:r>
            <w:instrText xml:space="preserve"> HYPERLINK \l _Toc23636 </w:instrText>
          </w:r>
          <w:r>
            <w:fldChar w:fldCharType="separate"/>
          </w:r>
          <w:r>
            <w:rPr>
              <w:rFonts w:hint="eastAsia" w:ascii="仿宋" w:hAnsi="仿宋" w:eastAsia="仿宋" w:cs="仿宋"/>
              <w:szCs w:val="24"/>
              <w:highlight w:val="none"/>
            </w:rPr>
            <w:t>四、提交投标文件截止时间、开标时间和地点</w:t>
          </w:r>
          <w:r>
            <w:rPr>
              <w:rFonts w:hint="eastAsia" w:ascii="仿宋" w:hAnsi="仿宋" w:eastAsia="仿宋" w:cs="仿宋"/>
              <w:szCs w:val="24"/>
              <w:highlight w:val="none"/>
              <w:lang w:eastAsia="zh-CN"/>
            </w:rPr>
            <w:t>：</w:t>
          </w:r>
          <w:r>
            <w:tab/>
          </w:r>
          <w:r>
            <w:fldChar w:fldCharType="begin"/>
          </w:r>
          <w:r>
            <w:instrText xml:space="preserve"> PAGEREF _Toc23636 \h </w:instrText>
          </w:r>
          <w:r>
            <w:fldChar w:fldCharType="separate"/>
          </w:r>
          <w:r>
            <w:t>5</w:t>
          </w:r>
          <w:r>
            <w:fldChar w:fldCharType="end"/>
          </w:r>
          <w:r>
            <w:fldChar w:fldCharType="end"/>
          </w:r>
        </w:p>
        <w:p w14:paraId="72515331">
          <w:pPr>
            <w:pStyle w:val="34"/>
            <w:keepNext w:val="0"/>
            <w:keepLines w:val="0"/>
            <w:pageBreakBefore w:val="0"/>
            <w:widowControl w:val="0"/>
            <w:tabs>
              <w:tab w:val="right" w:leader="dot" w:pos="9746"/>
              <w:tab w:val="clear" w:pos="9628"/>
            </w:tabs>
            <w:kinsoku/>
            <w:wordWrap/>
            <w:overflowPunct/>
            <w:topLinePunct w:val="0"/>
            <w:autoSpaceDE/>
            <w:autoSpaceDN/>
            <w:bidi w:val="0"/>
            <w:adjustRightInd/>
            <w:snapToGrid/>
            <w:spacing w:line="360" w:lineRule="auto"/>
            <w:textAlignment w:val="auto"/>
          </w:pPr>
          <w:r>
            <w:fldChar w:fldCharType="begin"/>
          </w:r>
          <w:r>
            <w:instrText xml:space="preserve"> HYPERLINK \l _Toc30017 </w:instrText>
          </w:r>
          <w:r>
            <w:fldChar w:fldCharType="separate"/>
          </w:r>
          <w:r>
            <w:rPr>
              <w:rFonts w:hint="eastAsia" w:ascii="仿宋" w:hAnsi="仿宋" w:eastAsia="仿宋" w:cs="仿宋"/>
              <w:bCs/>
              <w:kern w:val="0"/>
              <w:szCs w:val="24"/>
              <w:highlight w:val="none"/>
              <w:lang w:val="en-US" w:eastAsia="zh-CN" w:bidi="ar-SA"/>
            </w:rPr>
            <w:t>五、开启：</w:t>
          </w:r>
          <w:r>
            <w:tab/>
          </w:r>
          <w:r>
            <w:fldChar w:fldCharType="begin"/>
          </w:r>
          <w:r>
            <w:instrText xml:space="preserve"> PAGEREF _Toc30017 \h </w:instrText>
          </w:r>
          <w:r>
            <w:fldChar w:fldCharType="separate"/>
          </w:r>
          <w:r>
            <w:t>5</w:t>
          </w:r>
          <w:r>
            <w:fldChar w:fldCharType="end"/>
          </w:r>
          <w:r>
            <w:fldChar w:fldCharType="end"/>
          </w:r>
        </w:p>
        <w:p w14:paraId="72054262">
          <w:pPr>
            <w:pStyle w:val="34"/>
            <w:keepNext w:val="0"/>
            <w:keepLines w:val="0"/>
            <w:pageBreakBefore w:val="0"/>
            <w:widowControl w:val="0"/>
            <w:tabs>
              <w:tab w:val="right" w:leader="dot" w:pos="9746"/>
              <w:tab w:val="clear" w:pos="9628"/>
            </w:tabs>
            <w:kinsoku/>
            <w:wordWrap/>
            <w:overflowPunct/>
            <w:topLinePunct w:val="0"/>
            <w:autoSpaceDE/>
            <w:autoSpaceDN/>
            <w:bidi w:val="0"/>
            <w:adjustRightInd/>
            <w:snapToGrid/>
            <w:spacing w:line="360" w:lineRule="auto"/>
            <w:textAlignment w:val="auto"/>
          </w:pPr>
          <w:r>
            <w:fldChar w:fldCharType="begin"/>
          </w:r>
          <w:r>
            <w:instrText xml:space="preserve"> HYPERLINK \l _Toc8201 </w:instrText>
          </w:r>
          <w:r>
            <w:fldChar w:fldCharType="separate"/>
          </w:r>
          <w:r>
            <w:rPr>
              <w:rFonts w:hint="eastAsia" w:ascii="仿宋" w:hAnsi="仿宋" w:eastAsia="仿宋" w:cs="仿宋"/>
              <w:bCs/>
              <w:kern w:val="0"/>
              <w:szCs w:val="24"/>
              <w:highlight w:val="none"/>
              <w:lang w:val="en-US" w:eastAsia="zh-CN" w:bidi="ar-SA"/>
            </w:rPr>
            <w:t>六、公告期限：</w:t>
          </w:r>
          <w:r>
            <w:tab/>
          </w:r>
          <w:r>
            <w:fldChar w:fldCharType="begin"/>
          </w:r>
          <w:r>
            <w:instrText xml:space="preserve"> PAGEREF _Toc8201 \h </w:instrText>
          </w:r>
          <w:r>
            <w:fldChar w:fldCharType="separate"/>
          </w:r>
          <w:r>
            <w:t>5</w:t>
          </w:r>
          <w:r>
            <w:fldChar w:fldCharType="end"/>
          </w:r>
          <w:r>
            <w:fldChar w:fldCharType="end"/>
          </w:r>
        </w:p>
        <w:p w14:paraId="736BBC22">
          <w:pPr>
            <w:pStyle w:val="34"/>
            <w:keepNext w:val="0"/>
            <w:keepLines w:val="0"/>
            <w:pageBreakBefore w:val="0"/>
            <w:widowControl w:val="0"/>
            <w:tabs>
              <w:tab w:val="right" w:leader="dot" w:pos="9746"/>
              <w:tab w:val="clear" w:pos="9628"/>
            </w:tabs>
            <w:kinsoku/>
            <w:wordWrap/>
            <w:overflowPunct/>
            <w:topLinePunct w:val="0"/>
            <w:autoSpaceDE/>
            <w:autoSpaceDN/>
            <w:bidi w:val="0"/>
            <w:adjustRightInd/>
            <w:snapToGrid/>
            <w:spacing w:line="360" w:lineRule="auto"/>
            <w:textAlignment w:val="auto"/>
          </w:pPr>
          <w:r>
            <w:fldChar w:fldCharType="begin"/>
          </w:r>
          <w:r>
            <w:instrText xml:space="preserve"> HYPERLINK \l _Toc11066 </w:instrText>
          </w:r>
          <w:r>
            <w:fldChar w:fldCharType="separate"/>
          </w:r>
          <w:r>
            <w:rPr>
              <w:rFonts w:hint="eastAsia" w:ascii="仿宋" w:hAnsi="仿宋" w:eastAsia="仿宋" w:cs="仿宋"/>
              <w:szCs w:val="24"/>
              <w:highlight w:val="none"/>
              <w:lang w:val="en-US" w:eastAsia="zh-CN"/>
            </w:rPr>
            <w:t>七</w:t>
          </w:r>
          <w:r>
            <w:rPr>
              <w:rFonts w:hint="eastAsia" w:ascii="仿宋" w:hAnsi="仿宋" w:eastAsia="仿宋" w:cs="仿宋"/>
              <w:szCs w:val="24"/>
              <w:highlight w:val="none"/>
            </w:rPr>
            <w:t>、其他补充事宜</w:t>
          </w:r>
          <w:r>
            <w:rPr>
              <w:rFonts w:hint="eastAsia" w:ascii="仿宋" w:hAnsi="仿宋" w:eastAsia="仿宋" w:cs="仿宋"/>
              <w:szCs w:val="24"/>
              <w:highlight w:val="none"/>
              <w:lang w:eastAsia="zh-CN"/>
            </w:rPr>
            <w:t>：</w:t>
          </w:r>
          <w:r>
            <w:tab/>
          </w:r>
          <w:r>
            <w:fldChar w:fldCharType="begin"/>
          </w:r>
          <w:r>
            <w:instrText xml:space="preserve"> PAGEREF _Toc11066 \h </w:instrText>
          </w:r>
          <w:r>
            <w:fldChar w:fldCharType="separate"/>
          </w:r>
          <w:r>
            <w:t>5</w:t>
          </w:r>
          <w:r>
            <w:fldChar w:fldCharType="end"/>
          </w:r>
          <w:r>
            <w:fldChar w:fldCharType="end"/>
          </w:r>
        </w:p>
        <w:p w14:paraId="58DCF58C">
          <w:pPr>
            <w:pStyle w:val="34"/>
            <w:keepNext w:val="0"/>
            <w:keepLines w:val="0"/>
            <w:pageBreakBefore w:val="0"/>
            <w:widowControl w:val="0"/>
            <w:tabs>
              <w:tab w:val="right" w:leader="dot" w:pos="9746"/>
              <w:tab w:val="clear" w:pos="9628"/>
            </w:tabs>
            <w:kinsoku/>
            <w:wordWrap/>
            <w:overflowPunct/>
            <w:topLinePunct w:val="0"/>
            <w:autoSpaceDE/>
            <w:autoSpaceDN/>
            <w:bidi w:val="0"/>
            <w:adjustRightInd/>
            <w:snapToGrid/>
            <w:spacing w:line="360" w:lineRule="auto"/>
            <w:textAlignment w:val="auto"/>
          </w:pPr>
          <w:r>
            <w:fldChar w:fldCharType="begin"/>
          </w:r>
          <w:r>
            <w:instrText xml:space="preserve"> HYPERLINK \l _Toc25214 </w:instrText>
          </w:r>
          <w:r>
            <w:fldChar w:fldCharType="separate"/>
          </w:r>
          <w:r>
            <w:rPr>
              <w:rFonts w:hint="eastAsia" w:ascii="仿宋" w:hAnsi="仿宋" w:eastAsia="仿宋" w:cs="仿宋"/>
              <w:szCs w:val="24"/>
              <w:highlight w:val="none"/>
              <w:lang w:val="en-US" w:eastAsia="zh-CN"/>
            </w:rPr>
            <w:t>八</w:t>
          </w:r>
          <w:r>
            <w:rPr>
              <w:rFonts w:hint="eastAsia" w:ascii="仿宋" w:hAnsi="仿宋" w:eastAsia="仿宋" w:cs="仿宋"/>
              <w:szCs w:val="24"/>
              <w:highlight w:val="none"/>
            </w:rPr>
            <w:t>、凡对本次采购提出询问，请按以下方式联系。</w:t>
          </w:r>
          <w:r>
            <w:tab/>
          </w:r>
          <w:r>
            <w:fldChar w:fldCharType="begin"/>
          </w:r>
          <w:r>
            <w:instrText xml:space="preserve"> PAGEREF _Toc25214 \h </w:instrText>
          </w:r>
          <w:r>
            <w:fldChar w:fldCharType="separate"/>
          </w:r>
          <w:r>
            <w:t>5</w:t>
          </w:r>
          <w:r>
            <w:fldChar w:fldCharType="end"/>
          </w:r>
          <w:r>
            <w:fldChar w:fldCharType="end"/>
          </w:r>
        </w:p>
        <w:p w14:paraId="3F563C18">
          <w:pPr>
            <w:pStyle w:val="30"/>
            <w:keepNext w:val="0"/>
            <w:keepLines w:val="0"/>
            <w:pageBreakBefore w:val="0"/>
            <w:widowControl w:val="0"/>
            <w:tabs>
              <w:tab w:val="right" w:leader="dot" w:pos="9746"/>
              <w:tab w:val="clear" w:pos="9628"/>
            </w:tabs>
            <w:kinsoku/>
            <w:wordWrap/>
            <w:overflowPunct/>
            <w:topLinePunct w:val="0"/>
            <w:autoSpaceDE/>
            <w:autoSpaceDN/>
            <w:bidi w:val="0"/>
            <w:adjustRightInd/>
            <w:snapToGrid/>
            <w:spacing w:line="360" w:lineRule="auto"/>
            <w:textAlignment w:val="auto"/>
          </w:pPr>
          <w:r>
            <w:fldChar w:fldCharType="begin"/>
          </w:r>
          <w:r>
            <w:instrText xml:space="preserve"> HYPERLINK \l _Toc13627 </w:instrText>
          </w:r>
          <w:r>
            <w:fldChar w:fldCharType="separate"/>
          </w:r>
          <w:r>
            <w:rPr>
              <w:rFonts w:hint="eastAsia" w:ascii="宋体" w:hAnsi="宋体" w:eastAsia="宋体" w:cs="楷体"/>
              <w:kern w:val="0"/>
              <w:szCs w:val="20"/>
              <w:highlight w:val="none"/>
              <w:lang w:val="en-US" w:eastAsia="zh-CN" w:bidi="ar-SA"/>
            </w:rPr>
            <w:t>第二章 投标人须知</w:t>
          </w:r>
          <w:r>
            <w:tab/>
          </w:r>
          <w:r>
            <w:fldChar w:fldCharType="begin"/>
          </w:r>
          <w:r>
            <w:instrText xml:space="preserve"> PAGEREF _Toc13627 \h </w:instrText>
          </w:r>
          <w:r>
            <w:fldChar w:fldCharType="separate"/>
          </w:r>
          <w:r>
            <w:t>6</w:t>
          </w:r>
          <w:r>
            <w:fldChar w:fldCharType="end"/>
          </w:r>
          <w:r>
            <w:fldChar w:fldCharType="end"/>
          </w:r>
        </w:p>
        <w:p w14:paraId="3B1FF1A0">
          <w:pPr>
            <w:pStyle w:val="34"/>
            <w:keepNext w:val="0"/>
            <w:keepLines w:val="0"/>
            <w:pageBreakBefore w:val="0"/>
            <w:widowControl w:val="0"/>
            <w:tabs>
              <w:tab w:val="right" w:leader="dot" w:pos="9746"/>
              <w:tab w:val="clear" w:pos="9628"/>
            </w:tabs>
            <w:kinsoku/>
            <w:wordWrap/>
            <w:overflowPunct/>
            <w:topLinePunct w:val="0"/>
            <w:autoSpaceDE/>
            <w:autoSpaceDN/>
            <w:bidi w:val="0"/>
            <w:adjustRightInd/>
            <w:snapToGrid/>
            <w:spacing w:line="360" w:lineRule="auto"/>
            <w:textAlignment w:val="auto"/>
          </w:pPr>
          <w:r>
            <w:fldChar w:fldCharType="begin"/>
          </w:r>
          <w:r>
            <w:instrText xml:space="preserve"> HYPERLINK \l _Toc10216 </w:instrText>
          </w:r>
          <w:r>
            <w:fldChar w:fldCharType="separate"/>
          </w:r>
          <w:r>
            <w:rPr>
              <w:rFonts w:hint="eastAsia" w:ascii="仿宋" w:hAnsi="仿宋" w:eastAsia="仿宋" w:cs="仿宋"/>
              <w:szCs w:val="24"/>
              <w:highlight w:val="none"/>
            </w:rPr>
            <w:t>投标人须知前附表</w:t>
          </w:r>
          <w:r>
            <w:tab/>
          </w:r>
          <w:r>
            <w:fldChar w:fldCharType="begin"/>
          </w:r>
          <w:r>
            <w:instrText xml:space="preserve"> PAGEREF _Toc10216 \h </w:instrText>
          </w:r>
          <w:r>
            <w:fldChar w:fldCharType="separate"/>
          </w:r>
          <w:r>
            <w:t>7</w:t>
          </w:r>
          <w:r>
            <w:fldChar w:fldCharType="end"/>
          </w:r>
          <w:r>
            <w:fldChar w:fldCharType="end"/>
          </w:r>
        </w:p>
        <w:p w14:paraId="0F275485">
          <w:pPr>
            <w:pStyle w:val="34"/>
            <w:keepNext w:val="0"/>
            <w:keepLines w:val="0"/>
            <w:pageBreakBefore w:val="0"/>
            <w:widowControl w:val="0"/>
            <w:tabs>
              <w:tab w:val="right" w:leader="dot" w:pos="9746"/>
              <w:tab w:val="clear" w:pos="9628"/>
            </w:tabs>
            <w:kinsoku/>
            <w:wordWrap/>
            <w:overflowPunct/>
            <w:topLinePunct w:val="0"/>
            <w:autoSpaceDE/>
            <w:autoSpaceDN/>
            <w:bidi w:val="0"/>
            <w:adjustRightInd/>
            <w:snapToGrid/>
            <w:spacing w:line="360" w:lineRule="auto"/>
            <w:textAlignment w:val="auto"/>
          </w:pPr>
          <w:r>
            <w:fldChar w:fldCharType="begin"/>
          </w:r>
          <w:r>
            <w:instrText xml:space="preserve"> HYPERLINK \l _Toc9696 </w:instrText>
          </w:r>
          <w:r>
            <w:fldChar w:fldCharType="separate"/>
          </w:r>
          <w:r>
            <w:rPr>
              <w:rFonts w:hint="eastAsia" w:ascii="仿宋" w:hAnsi="仿宋" w:eastAsia="仿宋" w:cs="仿宋"/>
              <w:szCs w:val="28"/>
              <w:highlight w:val="none"/>
            </w:rPr>
            <w:t>一、总  则</w:t>
          </w:r>
          <w:r>
            <w:tab/>
          </w:r>
          <w:r>
            <w:fldChar w:fldCharType="begin"/>
          </w:r>
          <w:r>
            <w:instrText xml:space="preserve"> PAGEREF _Toc9696 \h </w:instrText>
          </w:r>
          <w:r>
            <w:fldChar w:fldCharType="separate"/>
          </w:r>
          <w:r>
            <w:t>13</w:t>
          </w:r>
          <w:r>
            <w:fldChar w:fldCharType="end"/>
          </w:r>
          <w:r>
            <w:fldChar w:fldCharType="end"/>
          </w:r>
        </w:p>
        <w:p w14:paraId="4B7B5CAE">
          <w:pPr>
            <w:pStyle w:val="34"/>
            <w:keepNext w:val="0"/>
            <w:keepLines w:val="0"/>
            <w:pageBreakBefore w:val="0"/>
            <w:widowControl w:val="0"/>
            <w:tabs>
              <w:tab w:val="right" w:leader="dot" w:pos="9746"/>
              <w:tab w:val="clear" w:pos="9628"/>
            </w:tabs>
            <w:kinsoku/>
            <w:wordWrap/>
            <w:overflowPunct/>
            <w:topLinePunct w:val="0"/>
            <w:autoSpaceDE/>
            <w:autoSpaceDN/>
            <w:bidi w:val="0"/>
            <w:adjustRightInd/>
            <w:snapToGrid/>
            <w:spacing w:line="360" w:lineRule="auto"/>
            <w:textAlignment w:val="auto"/>
          </w:pPr>
          <w:r>
            <w:fldChar w:fldCharType="begin"/>
          </w:r>
          <w:r>
            <w:instrText xml:space="preserve"> HYPERLINK \l _Toc1711 </w:instrText>
          </w:r>
          <w:r>
            <w:fldChar w:fldCharType="separate"/>
          </w:r>
          <w:r>
            <w:rPr>
              <w:rFonts w:hint="eastAsia" w:ascii="仿宋" w:hAnsi="仿宋" w:eastAsia="仿宋" w:cs="仿宋"/>
              <w:szCs w:val="28"/>
              <w:highlight w:val="none"/>
            </w:rPr>
            <w:t>二、招标文件</w:t>
          </w:r>
          <w:r>
            <w:tab/>
          </w:r>
          <w:r>
            <w:fldChar w:fldCharType="begin"/>
          </w:r>
          <w:r>
            <w:instrText xml:space="preserve"> PAGEREF _Toc1711 \h </w:instrText>
          </w:r>
          <w:r>
            <w:fldChar w:fldCharType="separate"/>
          </w:r>
          <w:r>
            <w:t>14</w:t>
          </w:r>
          <w:r>
            <w:fldChar w:fldCharType="end"/>
          </w:r>
          <w:r>
            <w:fldChar w:fldCharType="end"/>
          </w:r>
        </w:p>
        <w:p w14:paraId="49138610">
          <w:pPr>
            <w:pStyle w:val="34"/>
            <w:keepNext w:val="0"/>
            <w:keepLines w:val="0"/>
            <w:pageBreakBefore w:val="0"/>
            <w:widowControl w:val="0"/>
            <w:tabs>
              <w:tab w:val="right" w:leader="dot" w:pos="9746"/>
              <w:tab w:val="clear" w:pos="9628"/>
            </w:tabs>
            <w:kinsoku/>
            <w:wordWrap/>
            <w:overflowPunct/>
            <w:topLinePunct w:val="0"/>
            <w:autoSpaceDE/>
            <w:autoSpaceDN/>
            <w:bidi w:val="0"/>
            <w:adjustRightInd/>
            <w:snapToGrid/>
            <w:spacing w:line="360" w:lineRule="auto"/>
            <w:textAlignment w:val="auto"/>
          </w:pPr>
          <w:r>
            <w:fldChar w:fldCharType="begin"/>
          </w:r>
          <w:r>
            <w:instrText xml:space="preserve"> HYPERLINK \l _Toc16213 </w:instrText>
          </w:r>
          <w:r>
            <w:fldChar w:fldCharType="separate"/>
          </w:r>
          <w:r>
            <w:rPr>
              <w:rFonts w:hint="eastAsia" w:ascii="仿宋" w:hAnsi="仿宋" w:eastAsia="仿宋" w:cs="仿宋"/>
              <w:szCs w:val="28"/>
              <w:highlight w:val="none"/>
            </w:rPr>
            <w:t>三、投标文件</w:t>
          </w:r>
          <w:r>
            <w:tab/>
          </w:r>
          <w:r>
            <w:fldChar w:fldCharType="begin"/>
          </w:r>
          <w:r>
            <w:instrText xml:space="preserve"> PAGEREF _Toc16213 \h </w:instrText>
          </w:r>
          <w:r>
            <w:fldChar w:fldCharType="separate"/>
          </w:r>
          <w:r>
            <w:t>15</w:t>
          </w:r>
          <w:r>
            <w:fldChar w:fldCharType="end"/>
          </w:r>
          <w:r>
            <w:fldChar w:fldCharType="end"/>
          </w:r>
        </w:p>
        <w:p w14:paraId="11A1B38D">
          <w:pPr>
            <w:pStyle w:val="34"/>
            <w:keepNext w:val="0"/>
            <w:keepLines w:val="0"/>
            <w:pageBreakBefore w:val="0"/>
            <w:widowControl w:val="0"/>
            <w:tabs>
              <w:tab w:val="right" w:leader="dot" w:pos="9746"/>
              <w:tab w:val="clear" w:pos="9628"/>
            </w:tabs>
            <w:kinsoku/>
            <w:wordWrap/>
            <w:overflowPunct/>
            <w:topLinePunct w:val="0"/>
            <w:autoSpaceDE/>
            <w:autoSpaceDN/>
            <w:bidi w:val="0"/>
            <w:adjustRightInd/>
            <w:snapToGrid/>
            <w:spacing w:line="360" w:lineRule="auto"/>
            <w:textAlignment w:val="auto"/>
          </w:pPr>
          <w:r>
            <w:fldChar w:fldCharType="begin"/>
          </w:r>
          <w:r>
            <w:instrText xml:space="preserve"> HYPERLINK \l _Toc20739 </w:instrText>
          </w:r>
          <w:r>
            <w:fldChar w:fldCharType="separate"/>
          </w:r>
          <w:r>
            <w:rPr>
              <w:rFonts w:hint="eastAsia" w:ascii="仿宋" w:hAnsi="仿宋" w:eastAsia="仿宋" w:cs="仿宋"/>
              <w:szCs w:val="28"/>
              <w:highlight w:val="none"/>
            </w:rPr>
            <w:t>四、投标文件的提交</w:t>
          </w:r>
          <w:r>
            <w:tab/>
          </w:r>
          <w:r>
            <w:fldChar w:fldCharType="begin"/>
          </w:r>
          <w:r>
            <w:instrText xml:space="preserve"> PAGEREF _Toc20739 \h </w:instrText>
          </w:r>
          <w:r>
            <w:fldChar w:fldCharType="separate"/>
          </w:r>
          <w:r>
            <w:t>18</w:t>
          </w:r>
          <w:r>
            <w:fldChar w:fldCharType="end"/>
          </w:r>
          <w:r>
            <w:fldChar w:fldCharType="end"/>
          </w:r>
        </w:p>
        <w:p w14:paraId="76ECE248">
          <w:pPr>
            <w:pStyle w:val="34"/>
            <w:keepNext w:val="0"/>
            <w:keepLines w:val="0"/>
            <w:pageBreakBefore w:val="0"/>
            <w:widowControl w:val="0"/>
            <w:tabs>
              <w:tab w:val="right" w:leader="dot" w:pos="9746"/>
              <w:tab w:val="clear" w:pos="9628"/>
            </w:tabs>
            <w:kinsoku/>
            <w:wordWrap/>
            <w:overflowPunct/>
            <w:topLinePunct w:val="0"/>
            <w:autoSpaceDE/>
            <w:autoSpaceDN/>
            <w:bidi w:val="0"/>
            <w:adjustRightInd/>
            <w:snapToGrid/>
            <w:spacing w:line="360" w:lineRule="auto"/>
            <w:textAlignment w:val="auto"/>
          </w:pPr>
          <w:r>
            <w:fldChar w:fldCharType="begin"/>
          </w:r>
          <w:r>
            <w:instrText xml:space="preserve"> HYPERLINK \l _Toc19544 </w:instrText>
          </w:r>
          <w:r>
            <w:fldChar w:fldCharType="separate"/>
          </w:r>
          <w:r>
            <w:rPr>
              <w:rFonts w:hint="eastAsia" w:ascii="仿宋" w:hAnsi="仿宋" w:eastAsia="仿宋" w:cs="仿宋"/>
              <w:szCs w:val="28"/>
              <w:highlight w:val="none"/>
            </w:rPr>
            <w:t>五、开标与评标</w:t>
          </w:r>
          <w:r>
            <w:tab/>
          </w:r>
          <w:r>
            <w:fldChar w:fldCharType="begin"/>
          </w:r>
          <w:r>
            <w:instrText xml:space="preserve"> PAGEREF _Toc19544 \h </w:instrText>
          </w:r>
          <w:r>
            <w:fldChar w:fldCharType="separate"/>
          </w:r>
          <w:r>
            <w:t>19</w:t>
          </w:r>
          <w:r>
            <w:fldChar w:fldCharType="end"/>
          </w:r>
          <w:r>
            <w:fldChar w:fldCharType="end"/>
          </w:r>
        </w:p>
        <w:p w14:paraId="4309D01E">
          <w:pPr>
            <w:pStyle w:val="34"/>
            <w:keepNext w:val="0"/>
            <w:keepLines w:val="0"/>
            <w:pageBreakBefore w:val="0"/>
            <w:widowControl w:val="0"/>
            <w:tabs>
              <w:tab w:val="right" w:leader="dot" w:pos="9746"/>
              <w:tab w:val="clear" w:pos="9628"/>
            </w:tabs>
            <w:kinsoku/>
            <w:wordWrap/>
            <w:overflowPunct/>
            <w:topLinePunct w:val="0"/>
            <w:autoSpaceDE/>
            <w:autoSpaceDN/>
            <w:bidi w:val="0"/>
            <w:adjustRightInd/>
            <w:snapToGrid/>
            <w:spacing w:line="360" w:lineRule="auto"/>
            <w:textAlignment w:val="auto"/>
          </w:pPr>
          <w:r>
            <w:fldChar w:fldCharType="begin"/>
          </w:r>
          <w:r>
            <w:instrText xml:space="preserve"> HYPERLINK \l _Toc25773 </w:instrText>
          </w:r>
          <w:r>
            <w:fldChar w:fldCharType="separate"/>
          </w:r>
          <w:r>
            <w:rPr>
              <w:rFonts w:hint="eastAsia" w:ascii="仿宋" w:hAnsi="仿宋" w:eastAsia="仿宋" w:cs="仿宋"/>
              <w:szCs w:val="28"/>
              <w:highlight w:val="none"/>
            </w:rPr>
            <w:t>六、中标结果</w:t>
          </w:r>
          <w:r>
            <w:tab/>
          </w:r>
          <w:r>
            <w:fldChar w:fldCharType="begin"/>
          </w:r>
          <w:r>
            <w:instrText xml:space="preserve"> PAGEREF _Toc25773 \h </w:instrText>
          </w:r>
          <w:r>
            <w:fldChar w:fldCharType="separate"/>
          </w:r>
          <w:r>
            <w:t>21</w:t>
          </w:r>
          <w:r>
            <w:fldChar w:fldCharType="end"/>
          </w:r>
          <w:r>
            <w:fldChar w:fldCharType="end"/>
          </w:r>
        </w:p>
        <w:p w14:paraId="122125FF">
          <w:pPr>
            <w:pStyle w:val="34"/>
            <w:keepNext w:val="0"/>
            <w:keepLines w:val="0"/>
            <w:pageBreakBefore w:val="0"/>
            <w:widowControl w:val="0"/>
            <w:tabs>
              <w:tab w:val="right" w:leader="dot" w:pos="9746"/>
              <w:tab w:val="clear" w:pos="9628"/>
            </w:tabs>
            <w:kinsoku/>
            <w:wordWrap/>
            <w:overflowPunct/>
            <w:topLinePunct w:val="0"/>
            <w:autoSpaceDE/>
            <w:autoSpaceDN/>
            <w:bidi w:val="0"/>
            <w:adjustRightInd/>
            <w:snapToGrid/>
            <w:spacing w:line="360" w:lineRule="auto"/>
            <w:textAlignment w:val="auto"/>
          </w:pPr>
          <w:r>
            <w:fldChar w:fldCharType="begin"/>
          </w:r>
          <w:r>
            <w:instrText xml:space="preserve"> HYPERLINK \l _Toc10818 </w:instrText>
          </w:r>
          <w:r>
            <w:fldChar w:fldCharType="separate"/>
          </w:r>
          <w:r>
            <w:rPr>
              <w:rFonts w:hint="eastAsia" w:ascii="仿宋" w:hAnsi="仿宋" w:eastAsia="仿宋" w:cs="仿宋"/>
              <w:szCs w:val="28"/>
              <w:highlight w:val="none"/>
            </w:rPr>
            <w:t>七、其他事项</w:t>
          </w:r>
          <w:r>
            <w:tab/>
          </w:r>
          <w:r>
            <w:fldChar w:fldCharType="begin"/>
          </w:r>
          <w:r>
            <w:instrText xml:space="preserve"> PAGEREF _Toc10818 \h </w:instrText>
          </w:r>
          <w:r>
            <w:fldChar w:fldCharType="separate"/>
          </w:r>
          <w:r>
            <w:t>22</w:t>
          </w:r>
          <w:r>
            <w:fldChar w:fldCharType="end"/>
          </w:r>
          <w:r>
            <w:fldChar w:fldCharType="end"/>
          </w:r>
        </w:p>
        <w:p w14:paraId="0E00C303">
          <w:pPr>
            <w:pStyle w:val="30"/>
            <w:keepNext w:val="0"/>
            <w:keepLines w:val="0"/>
            <w:pageBreakBefore w:val="0"/>
            <w:widowControl w:val="0"/>
            <w:tabs>
              <w:tab w:val="right" w:leader="dot" w:pos="9746"/>
              <w:tab w:val="clear" w:pos="9628"/>
            </w:tabs>
            <w:kinsoku/>
            <w:wordWrap/>
            <w:overflowPunct/>
            <w:topLinePunct w:val="0"/>
            <w:autoSpaceDE/>
            <w:autoSpaceDN/>
            <w:bidi w:val="0"/>
            <w:adjustRightInd/>
            <w:snapToGrid/>
            <w:spacing w:line="360" w:lineRule="auto"/>
            <w:textAlignment w:val="auto"/>
          </w:pPr>
          <w:r>
            <w:fldChar w:fldCharType="begin"/>
          </w:r>
          <w:r>
            <w:instrText xml:space="preserve"> HYPERLINK \l _Toc21961 </w:instrText>
          </w:r>
          <w:r>
            <w:fldChar w:fldCharType="separate"/>
          </w:r>
          <w:r>
            <w:rPr>
              <w:rFonts w:hint="eastAsia" w:ascii="宋体" w:hAnsi="宋体" w:eastAsia="宋体" w:cs="楷体"/>
              <w:kern w:val="0"/>
              <w:szCs w:val="20"/>
              <w:highlight w:val="none"/>
              <w:lang w:val="en-US" w:eastAsia="zh-CN" w:bidi="ar-SA"/>
            </w:rPr>
            <w:t>第三章 合同书样式及主要条款</w:t>
          </w:r>
          <w:r>
            <w:tab/>
          </w:r>
          <w:r>
            <w:fldChar w:fldCharType="begin"/>
          </w:r>
          <w:r>
            <w:instrText xml:space="preserve"> PAGEREF _Toc21961 \h </w:instrText>
          </w:r>
          <w:r>
            <w:fldChar w:fldCharType="separate"/>
          </w:r>
          <w:r>
            <w:t>23</w:t>
          </w:r>
          <w:r>
            <w:fldChar w:fldCharType="end"/>
          </w:r>
          <w:r>
            <w:fldChar w:fldCharType="end"/>
          </w:r>
        </w:p>
        <w:p w14:paraId="06E1F2C2">
          <w:pPr>
            <w:pStyle w:val="30"/>
            <w:keepNext w:val="0"/>
            <w:keepLines w:val="0"/>
            <w:pageBreakBefore w:val="0"/>
            <w:widowControl w:val="0"/>
            <w:tabs>
              <w:tab w:val="right" w:leader="dot" w:pos="9746"/>
              <w:tab w:val="clear" w:pos="9628"/>
            </w:tabs>
            <w:kinsoku/>
            <w:wordWrap/>
            <w:overflowPunct/>
            <w:topLinePunct w:val="0"/>
            <w:autoSpaceDE/>
            <w:autoSpaceDN/>
            <w:bidi w:val="0"/>
            <w:adjustRightInd/>
            <w:snapToGrid/>
            <w:spacing w:line="360" w:lineRule="auto"/>
            <w:textAlignment w:val="auto"/>
          </w:pPr>
          <w:r>
            <w:fldChar w:fldCharType="begin"/>
          </w:r>
          <w:r>
            <w:instrText xml:space="preserve"> HYPERLINK \l _Toc20423 </w:instrText>
          </w:r>
          <w:r>
            <w:fldChar w:fldCharType="separate"/>
          </w:r>
          <w:r>
            <w:rPr>
              <w:rFonts w:hint="eastAsia" w:ascii="宋体" w:hAnsi="宋体" w:eastAsia="宋体" w:cs="楷体"/>
              <w:kern w:val="0"/>
              <w:szCs w:val="20"/>
              <w:highlight w:val="none"/>
              <w:lang w:val="en-US" w:eastAsia="zh-CN" w:bidi="ar-SA"/>
            </w:rPr>
            <w:t>第四章 投标文件格式</w:t>
          </w:r>
          <w:r>
            <w:tab/>
          </w:r>
          <w:r>
            <w:fldChar w:fldCharType="begin"/>
          </w:r>
          <w:r>
            <w:instrText xml:space="preserve"> PAGEREF _Toc20423 \h </w:instrText>
          </w:r>
          <w:r>
            <w:fldChar w:fldCharType="separate"/>
          </w:r>
          <w:r>
            <w:t>38</w:t>
          </w:r>
          <w:r>
            <w:fldChar w:fldCharType="end"/>
          </w:r>
          <w:r>
            <w:fldChar w:fldCharType="end"/>
          </w:r>
        </w:p>
        <w:p w14:paraId="2C0A4D22">
          <w:pPr>
            <w:pStyle w:val="34"/>
            <w:keepNext w:val="0"/>
            <w:keepLines w:val="0"/>
            <w:pageBreakBefore w:val="0"/>
            <w:widowControl w:val="0"/>
            <w:tabs>
              <w:tab w:val="right" w:leader="dot" w:pos="9746"/>
              <w:tab w:val="clear" w:pos="9628"/>
            </w:tabs>
            <w:kinsoku/>
            <w:wordWrap/>
            <w:overflowPunct/>
            <w:topLinePunct w:val="0"/>
            <w:autoSpaceDE/>
            <w:autoSpaceDN/>
            <w:bidi w:val="0"/>
            <w:adjustRightInd/>
            <w:snapToGrid/>
            <w:spacing w:line="360" w:lineRule="auto"/>
            <w:textAlignment w:val="auto"/>
          </w:pPr>
          <w:r>
            <w:fldChar w:fldCharType="begin"/>
          </w:r>
          <w:r>
            <w:instrText xml:space="preserve"> HYPERLINK \l _Toc21010 </w:instrText>
          </w:r>
          <w:r>
            <w:fldChar w:fldCharType="separate"/>
          </w:r>
          <w:r>
            <w:rPr>
              <w:rFonts w:hint="eastAsia" w:ascii="仿宋" w:hAnsi="仿宋" w:eastAsia="仿宋" w:cs="仿宋"/>
              <w:szCs w:val="36"/>
              <w:highlight w:val="none"/>
              <w:lang w:val="en-US" w:eastAsia="zh-CN"/>
            </w:rPr>
            <w:t>一、投标文件封面</w:t>
          </w:r>
          <w:r>
            <w:tab/>
          </w:r>
          <w:r>
            <w:fldChar w:fldCharType="begin"/>
          </w:r>
          <w:r>
            <w:instrText xml:space="preserve"> PAGEREF _Toc21010 \h </w:instrText>
          </w:r>
          <w:r>
            <w:fldChar w:fldCharType="separate"/>
          </w:r>
          <w:r>
            <w:t>38</w:t>
          </w:r>
          <w:r>
            <w:fldChar w:fldCharType="end"/>
          </w:r>
          <w:r>
            <w:fldChar w:fldCharType="end"/>
          </w:r>
        </w:p>
        <w:p w14:paraId="35BCEA9F">
          <w:pPr>
            <w:pStyle w:val="34"/>
            <w:keepNext w:val="0"/>
            <w:keepLines w:val="0"/>
            <w:pageBreakBefore w:val="0"/>
            <w:widowControl w:val="0"/>
            <w:tabs>
              <w:tab w:val="right" w:leader="dot" w:pos="9746"/>
              <w:tab w:val="clear" w:pos="9628"/>
            </w:tabs>
            <w:kinsoku/>
            <w:wordWrap/>
            <w:overflowPunct/>
            <w:topLinePunct w:val="0"/>
            <w:autoSpaceDE/>
            <w:autoSpaceDN/>
            <w:bidi w:val="0"/>
            <w:adjustRightInd/>
            <w:snapToGrid/>
            <w:spacing w:line="360" w:lineRule="auto"/>
            <w:textAlignment w:val="auto"/>
          </w:pPr>
          <w:r>
            <w:fldChar w:fldCharType="begin"/>
          </w:r>
          <w:r>
            <w:instrText xml:space="preserve"> HYPERLINK \l _Toc20446 </w:instrText>
          </w:r>
          <w:r>
            <w:fldChar w:fldCharType="separate"/>
          </w:r>
          <w:r>
            <w:rPr>
              <w:rFonts w:hint="eastAsia" w:ascii="仿宋" w:hAnsi="仿宋" w:eastAsia="仿宋" w:cs="仿宋"/>
              <w:szCs w:val="36"/>
              <w:highlight w:val="none"/>
              <w:lang w:val="en-US" w:eastAsia="zh-CN"/>
            </w:rPr>
            <w:t>二、报价一览表</w:t>
          </w:r>
          <w:r>
            <w:tab/>
          </w:r>
          <w:r>
            <w:fldChar w:fldCharType="begin"/>
          </w:r>
          <w:r>
            <w:instrText xml:space="preserve"> PAGEREF _Toc20446 \h </w:instrText>
          </w:r>
          <w:r>
            <w:fldChar w:fldCharType="separate"/>
          </w:r>
          <w:r>
            <w:t>41</w:t>
          </w:r>
          <w:r>
            <w:fldChar w:fldCharType="end"/>
          </w:r>
          <w:r>
            <w:fldChar w:fldCharType="end"/>
          </w:r>
        </w:p>
        <w:p w14:paraId="21D48F46">
          <w:pPr>
            <w:pStyle w:val="34"/>
            <w:keepNext w:val="0"/>
            <w:keepLines w:val="0"/>
            <w:pageBreakBefore w:val="0"/>
            <w:widowControl w:val="0"/>
            <w:tabs>
              <w:tab w:val="right" w:leader="dot" w:pos="9746"/>
              <w:tab w:val="clear" w:pos="9628"/>
            </w:tabs>
            <w:kinsoku/>
            <w:wordWrap/>
            <w:overflowPunct/>
            <w:topLinePunct w:val="0"/>
            <w:autoSpaceDE/>
            <w:autoSpaceDN/>
            <w:bidi w:val="0"/>
            <w:adjustRightInd/>
            <w:snapToGrid/>
            <w:spacing w:line="360" w:lineRule="auto"/>
            <w:textAlignment w:val="auto"/>
          </w:pPr>
          <w:r>
            <w:fldChar w:fldCharType="begin"/>
          </w:r>
          <w:r>
            <w:instrText xml:space="preserve"> HYPERLINK \l _Toc1442 </w:instrText>
          </w:r>
          <w:r>
            <w:fldChar w:fldCharType="separate"/>
          </w:r>
          <w:r>
            <w:rPr>
              <w:rFonts w:hint="eastAsia" w:ascii="仿宋" w:hAnsi="仿宋" w:eastAsia="仿宋" w:cs="仿宋"/>
              <w:szCs w:val="36"/>
              <w:highlight w:val="none"/>
              <w:lang w:val="en-US" w:eastAsia="zh-CN"/>
            </w:rPr>
            <w:t>三、资格审查文件部分</w:t>
          </w:r>
          <w:r>
            <w:tab/>
          </w:r>
          <w:r>
            <w:fldChar w:fldCharType="begin"/>
          </w:r>
          <w:r>
            <w:instrText xml:space="preserve"> PAGEREF _Toc1442 \h </w:instrText>
          </w:r>
          <w:r>
            <w:fldChar w:fldCharType="separate"/>
          </w:r>
          <w:r>
            <w:t>45</w:t>
          </w:r>
          <w:r>
            <w:fldChar w:fldCharType="end"/>
          </w:r>
          <w:r>
            <w:fldChar w:fldCharType="end"/>
          </w:r>
        </w:p>
        <w:p w14:paraId="456AAF81">
          <w:pPr>
            <w:pStyle w:val="34"/>
            <w:keepNext w:val="0"/>
            <w:keepLines w:val="0"/>
            <w:pageBreakBefore w:val="0"/>
            <w:widowControl w:val="0"/>
            <w:tabs>
              <w:tab w:val="right" w:leader="dot" w:pos="9746"/>
              <w:tab w:val="clear" w:pos="9628"/>
            </w:tabs>
            <w:kinsoku/>
            <w:wordWrap/>
            <w:overflowPunct/>
            <w:topLinePunct w:val="0"/>
            <w:autoSpaceDE/>
            <w:autoSpaceDN/>
            <w:bidi w:val="0"/>
            <w:adjustRightInd/>
            <w:snapToGrid/>
            <w:spacing w:line="360" w:lineRule="auto"/>
            <w:textAlignment w:val="auto"/>
          </w:pPr>
          <w:r>
            <w:fldChar w:fldCharType="begin"/>
          </w:r>
          <w:r>
            <w:instrText xml:space="preserve"> HYPERLINK \l _Toc9826 </w:instrText>
          </w:r>
          <w:r>
            <w:fldChar w:fldCharType="separate"/>
          </w:r>
          <w:r>
            <w:rPr>
              <w:rFonts w:hint="eastAsia" w:ascii="仿宋" w:hAnsi="仿宋" w:eastAsia="仿宋" w:cs="仿宋"/>
              <w:szCs w:val="36"/>
              <w:highlight w:val="none"/>
              <w:lang w:val="en-US" w:eastAsia="zh-CN"/>
            </w:rPr>
            <w:t>四、商务标部分</w:t>
          </w:r>
          <w:r>
            <w:tab/>
          </w:r>
          <w:r>
            <w:fldChar w:fldCharType="begin"/>
          </w:r>
          <w:r>
            <w:instrText xml:space="preserve"> PAGEREF _Toc9826 \h </w:instrText>
          </w:r>
          <w:r>
            <w:fldChar w:fldCharType="separate"/>
          </w:r>
          <w:r>
            <w:t>53</w:t>
          </w:r>
          <w:r>
            <w:fldChar w:fldCharType="end"/>
          </w:r>
          <w:r>
            <w:fldChar w:fldCharType="end"/>
          </w:r>
        </w:p>
        <w:p w14:paraId="4C7D7AEC">
          <w:pPr>
            <w:pStyle w:val="34"/>
            <w:keepNext w:val="0"/>
            <w:keepLines w:val="0"/>
            <w:pageBreakBefore w:val="0"/>
            <w:widowControl w:val="0"/>
            <w:tabs>
              <w:tab w:val="right" w:leader="dot" w:pos="9746"/>
              <w:tab w:val="clear" w:pos="9628"/>
            </w:tabs>
            <w:kinsoku/>
            <w:wordWrap/>
            <w:overflowPunct/>
            <w:topLinePunct w:val="0"/>
            <w:autoSpaceDE/>
            <w:autoSpaceDN/>
            <w:bidi w:val="0"/>
            <w:adjustRightInd/>
            <w:snapToGrid/>
            <w:spacing w:line="360" w:lineRule="auto"/>
            <w:textAlignment w:val="auto"/>
          </w:pPr>
          <w:r>
            <w:fldChar w:fldCharType="begin"/>
          </w:r>
          <w:r>
            <w:instrText xml:space="preserve"> HYPERLINK \l _Toc12601 </w:instrText>
          </w:r>
          <w:r>
            <w:fldChar w:fldCharType="separate"/>
          </w:r>
          <w:r>
            <w:rPr>
              <w:rFonts w:hint="eastAsia" w:ascii="仿宋" w:hAnsi="仿宋" w:eastAsia="仿宋" w:cs="仿宋"/>
              <w:szCs w:val="36"/>
              <w:highlight w:val="none"/>
              <w:lang w:val="en-US" w:eastAsia="zh-CN"/>
            </w:rPr>
            <w:t>五、技术标部分</w:t>
          </w:r>
          <w:r>
            <w:tab/>
          </w:r>
          <w:r>
            <w:fldChar w:fldCharType="begin"/>
          </w:r>
          <w:r>
            <w:instrText xml:space="preserve"> PAGEREF _Toc12601 \h </w:instrText>
          </w:r>
          <w:r>
            <w:fldChar w:fldCharType="separate"/>
          </w:r>
          <w:r>
            <w:t>62</w:t>
          </w:r>
          <w:r>
            <w:fldChar w:fldCharType="end"/>
          </w:r>
          <w:r>
            <w:fldChar w:fldCharType="end"/>
          </w:r>
        </w:p>
        <w:p w14:paraId="3A826422">
          <w:pPr>
            <w:pStyle w:val="30"/>
            <w:keepNext w:val="0"/>
            <w:keepLines w:val="0"/>
            <w:pageBreakBefore w:val="0"/>
            <w:widowControl w:val="0"/>
            <w:tabs>
              <w:tab w:val="right" w:leader="dot" w:pos="9746"/>
              <w:tab w:val="clear" w:pos="9628"/>
            </w:tabs>
            <w:kinsoku/>
            <w:wordWrap/>
            <w:overflowPunct/>
            <w:topLinePunct w:val="0"/>
            <w:autoSpaceDE/>
            <w:autoSpaceDN/>
            <w:bidi w:val="0"/>
            <w:adjustRightInd/>
            <w:snapToGrid/>
            <w:spacing w:line="360" w:lineRule="auto"/>
            <w:textAlignment w:val="auto"/>
          </w:pPr>
          <w:r>
            <w:fldChar w:fldCharType="begin"/>
          </w:r>
          <w:r>
            <w:instrText xml:space="preserve"> HYPERLINK \l _Toc15387 </w:instrText>
          </w:r>
          <w:r>
            <w:fldChar w:fldCharType="separate"/>
          </w:r>
          <w:r>
            <w:rPr>
              <w:rFonts w:hint="eastAsia" w:ascii="宋体" w:hAnsi="宋体" w:eastAsia="宋体" w:cs="楷体"/>
              <w:kern w:val="0"/>
              <w:szCs w:val="20"/>
              <w:highlight w:val="none"/>
              <w:lang w:val="en-US" w:eastAsia="zh-CN" w:bidi="ar-SA"/>
            </w:rPr>
            <w:t>第五章 采购需求及技术参数</w:t>
          </w:r>
          <w:r>
            <w:tab/>
          </w:r>
          <w:r>
            <w:fldChar w:fldCharType="begin"/>
          </w:r>
          <w:r>
            <w:instrText xml:space="preserve"> PAGEREF _Toc15387 \h </w:instrText>
          </w:r>
          <w:r>
            <w:fldChar w:fldCharType="separate"/>
          </w:r>
          <w:r>
            <w:t>65</w:t>
          </w:r>
          <w:r>
            <w:fldChar w:fldCharType="end"/>
          </w:r>
          <w:r>
            <w:fldChar w:fldCharType="end"/>
          </w:r>
        </w:p>
        <w:p w14:paraId="1D0FAB6C">
          <w:pPr>
            <w:pStyle w:val="30"/>
            <w:keepNext w:val="0"/>
            <w:keepLines w:val="0"/>
            <w:pageBreakBefore w:val="0"/>
            <w:widowControl w:val="0"/>
            <w:tabs>
              <w:tab w:val="right" w:leader="dot" w:pos="9746"/>
              <w:tab w:val="clear" w:pos="9628"/>
            </w:tabs>
            <w:kinsoku/>
            <w:wordWrap/>
            <w:overflowPunct/>
            <w:topLinePunct w:val="0"/>
            <w:autoSpaceDE/>
            <w:autoSpaceDN/>
            <w:bidi w:val="0"/>
            <w:adjustRightInd/>
            <w:snapToGrid/>
            <w:spacing w:line="360" w:lineRule="auto"/>
            <w:textAlignment w:val="auto"/>
          </w:pPr>
          <w:r>
            <w:fldChar w:fldCharType="begin"/>
          </w:r>
          <w:r>
            <w:instrText xml:space="preserve"> HYPERLINK \l _Toc31582 </w:instrText>
          </w:r>
          <w:r>
            <w:fldChar w:fldCharType="separate"/>
          </w:r>
          <w:r>
            <w:rPr>
              <w:rFonts w:hint="eastAsia" w:ascii="宋体" w:hAnsi="宋体" w:eastAsia="宋体" w:cs="楷体"/>
              <w:kern w:val="0"/>
              <w:szCs w:val="20"/>
              <w:highlight w:val="none"/>
              <w:lang w:val="en-US" w:eastAsia="zh-CN" w:bidi="ar-SA"/>
            </w:rPr>
            <w:t>第六章 评标办法（综合评分法）</w:t>
          </w:r>
          <w:r>
            <w:tab/>
          </w:r>
          <w:r>
            <w:fldChar w:fldCharType="begin"/>
          </w:r>
          <w:r>
            <w:instrText xml:space="preserve"> PAGEREF _Toc31582 \h </w:instrText>
          </w:r>
          <w:r>
            <w:fldChar w:fldCharType="separate"/>
          </w:r>
          <w:r>
            <w:t>97</w:t>
          </w:r>
          <w:r>
            <w:fldChar w:fldCharType="end"/>
          </w:r>
          <w:r>
            <w:fldChar w:fldCharType="end"/>
          </w:r>
        </w:p>
        <w:p w14:paraId="0AE7A65C">
          <w:pPr>
            <w:pStyle w:val="34"/>
            <w:keepNext w:val="0"/>
            <w:keepLines w:val="0"/>
            <w:pageBreakBefore w:val="0"/>
            <w:widowControl w:val="0"/>
            <w:tabs>
              <w:tab w:val="right" w:leader="dot" w:pos="9746"/>
              <w:tab w:val="clear" w:pos="9628"/>
            </w:tabs>
            <w:kinsoku/>
            <w:wordWrap/>
            <w:overflowPunct/>
            <w:topLinePunct w:val="0"/>
            <w:autoSpaceDE/>
            <w:autoSpaceDN/>
            <w:bidi w:val="0"/>
            <w:adjustRightInd/>
            <w:snapToGrid/>
            <w:spacing w:line="360" w:lineRule="auto"/>
            <w:textAlignment w:val="auto"/>
          </w:pPr>
          <w:r>
            <w:fldChar w:fldCharType="begin"/>
          </w:r>
          <w:r>
            <w:instrText xml:space="preserve"> HYPERLINK \l _Toc14572 </w:instrText>
          </w:r>
          <w:r>
            <w:fldChar w:fldCharType="separate"/>
          </w:r>
          <w:r>
            <w:rPr>
              <w:rFonts w:hint="eastAsia" w:ascii="楷体" w:hAnsi="楷体" w:eastAsia="楷体" w:cs="楷体"/>
              <w:szCs w:val="30"/>
              <w:highlight w:val="none"/>
            </w:rPr>
            <w:t>评标办法前附表</w:t>
          </w:r>
          <w:r>
            <w:tab/>
          </w:r>
          <w:r>
            <w:fldChar w:fldCharType="begin"/>
          </w:r>
          <w:r>
            <w:instrText xml:space="preserve"> PAGEREF _Toc14572 \h </w:instrText>
          </w:r>
          <w:r>
            <w:fldChar w:fldCharType="separate"/>
          </w:r>
          <w:r>
            <w:t>97</w:t>
          </w:r>
          <w:r>
            <w:fldChar w:fldCharType="end"/>
          </w:r>
          <w:r>
            <w:fldChar w:fldCharType="end"/>
          </w:r>
        </w:p>
        <w:p w14:paraId="1231D581">
          <w:pPr>
            <w:pStyle w:val="34"/>
            <w:keepNext w:val="0"/>
            <w:keepLines w:val="0"/>
            <w:pageBreakBefore w:val="0"/>
            <w:widowControl w:val="0"/>
            <w:tabs>
              <w:tab w:val="right" w:leader="dot" w:pos="9746"/>
              <w:tab w:val="clear" w:pos="9628"/>
            </w:tabs>
            <w:kinsoku/>
            <w:wordWrap/>
            <w:overflowPunct/>
            <w:topLinePunct w:val="0"/>
            <w:autoSpaceDE/>
            <w:autoSpaceDN/>
            <w:bidi w:val="0"/>
            <w:adjustRightInd/>
            <w:snapToGrid/>
            <w:spacing w:line="360" w:lineRule="auto"/>
            <w:textAlignment w:val="auto"/>
          </w:pPr>
          <w:r>
            <w:fldChar w:fldCharType="begin"/>
          </w:r>
          <w:r>
            <w:instrText xml:space="preserve"> HYPERLINK \l _Toc19503 </w:instrText>
          </w:r>
          <w:r>
            <w:fldChar w:fldCharType="separate"/>
          </w:r>
          <w:r>
            <w:rPr>
              <w:rFonts w:hint="eastAsia" w:ascii="仿宋" w:hAnsi="仿宋" w:eastAsia="仿宋"/>
              <w:szCs w:val="28"/>
              <w:highlight w:val="none"/>
            </w:rPr>
            <w:t>一、评标方法</w:t>
          </w:r>
          <w:r>
            <w:tab/>
          </w:r>
          <w:r>
            <w:fldChar w:fldCharType="begin"/>
          </w:r>
          <w:r>
            <w:instrText xml:space="preserve"> PAGEREF _Toc19503 \h </w:instrText>
          </w:r>
          <w:r>
            <w:fldChar w:fldCharType="separate"/>
          </w:r>
          <w:r>
            <w:t>105</w:t>
          </w:r>
          <w:r>
            <w:fldChar w:fldCharType="end"/>
          </w:r>
          <w:r>
            <w:fldChar w:fldCharType="end"/>
          </w:r>
        </w:p>
        <w:p w14:paraId="03E5006F">
          <w:pPr>
            <w:pStyle w:val="34"/>
            <w:keepNext w:val="0"/>
            <w:keepLines w:val="0"/>
            <w:pageBreakBefore w:val="0"/>
            <w:widowControl w:val="0"/>
            <w:tabs>
              <w:tab w:val="right" w:leader="dot" w:pos="9746"/>
              <w:tab w:val="clear" w:pos="9628"/>
            </w:tabs>
            <w:kinsoku/>
            <w:wordWrap/>
            <w:overflowPunct/>
            <w:topLinePunct w:val="0"/>
            <w:autoSpaceDE/>
            <w:autoSpaceDN/>
            <w:bidi w:val="0"/>
            <w:adjustRightInd/>
            <w:snapToGrid/>
            <w:spacing w:line="360" w:lineRule="auto"/>
            <w:textAlignment w:val="auto"/>
          </w:pPr>
          <w:r>
            <w:fldChar w:fldCharType="begin"/>
          </w:r>
          <w:r>
            <w:instrText xml:space="preserve"> HYPERLINK \l _Toc13522 </w:instrText>
          </w:r>
          <w:r>
            <w:fldChar w:fldCharType="separate"/>
          </w:r>
          <w:r>
            <w:rPr>
              <w:rFonts w:hint="eastAsia" w:ascii="仿宋" w:hAnsi="仿宋" w:eastAsia="仿宋"/>
              <w:szCs w:val="28"/>
              <w:highlight w:val="none"/>
            </w:rPr>
            <w:t>二、评标委员会</w:t>
          </w:r>
          <w:r>
            <w:tab/>
          </w:r>
          <w:r>
            <w:fldChar w:fldCharType="begin"/>
          </w:r>
          <w:r>
            <w:instrText xml:space="preserve"> PAGEREF _Toc13522 \h </w:instrText>
          </w:r>
          <w:r>
            <w:fldChar w:fldCharType="separate"/>
          </w:r>
          <w:r>
            <w:t>108</w:t>
          </w:r>
          <w:r>
            <w:fldChar w:fldCharType="end"/>
          </w:r>
          <w:r>
            <w:fldChar w:fldCharType="end"/>
          </w:r>
        </w:p>
        <w:p w14:paraId="28280B0F">
          <w:pPr>
            <w:pStyle w:val="34"/>
            <w:keepNext w:val="0"/>
            <w:keepLines w:val="0"/>
            <w:pageBreakBefore w:val="0"/>
            <w:widowControl w:val="0"/>
            <w:tabs>
              <w:tab w:val="right" w:leader="dot" w:pos="9746"/>
              <w:tab w:val="clear" w:pos="9628"/>
            </w:tabs>
            <w:kinsoku/>
            <w:wordWrap/>
            <w:overflowPunct/>
            <w:topLinePunct w:val="0"/>
            <w:autoSpaceDE/>
            <w:autoSpaceDN/>
            <w:bidi w:val="0"/>
            <w:adjustRightInd/>
            <w:snapToGrid/>
            <w:spacing w:line="360" w:lineRule="auto"/>
            <w:textAlignment w:val="auto"/>
          </w:pPr>
          <w:r>
            <w:fldChar w:fldCharType="begin"/>
          </w:r>
          <w:r>
            <w:instrText xml:space="preserve"> HYPERLINK \l _Toc16659 </w:instrText>
          </w:r>
          <w:r>
            <w:fldChar w:fldCharType="separate"/>
          </w:r>
          <w:r>
            <w:rPr>
              <w:rFonts w:hint="eastAsia" w:ascii="仿宋" w:hAnsi="仿宋" w:eastAsia="仿宋"/>
              <w:szCs w:val="28"/>
              <w:highlight w:val="none"/>
            </w:rPr>
            <w:t>三、评标原则</w:t>
          </w:r>
          <w:r>
            <w:tab/>
          </w:r>
          <w:r>
            <w:fldChar w:fldCharType="begin"/>
          </w:r>
          <w:r>
            <w:instrText xml:space="preserve"> PAGEREF _Toc16659 \h </w:instrText>
          </w:r>
          <w:r>
            <w:fldChar w:fldCharType="separate"/>
          </w:r>
          <w:r>
            <w:t>108</w:t>
          </w:r>
          <w:r>
            <w:fldChar w:fldCharType="end"/>
          </w:r>
          <w:r>
            <w:fldChar w:fldCharType="end"/>
          </w:r>
        </w:p>
        <w:p w14:paraId="6E96D6EE">
          <w:pPr>
            <w:pStyle w:val="34"/>
            <w:keepNext w:val="0"/>
            <w:keepLines w:val="0"/>
            <w:pageBreakBefore w:val="0"/>
            <w:widowControl w:val="0"/>
            <w:tabs>
              <w:tab w:val="right" w:leader="dot" w:pos="9746"/>
              <w:tab w:val="clear" w:pos="9628"/>
            </w:tabs>
            <w:kinsoku/>
            <w:wordWrap/>
            <w:overflowPunct/>
            <w:topLinePunct w:val="0"/>
            <w:autoSpaceDE/>
            <w:autoSpaceDN/>
            <w:bidi w:val="0"/>
            <w:adjustRightInd/>
            <w:snapToGrid/>
            <w:spacing w:line="360" w:lineRule="auto"/>
            <w:textAlignment w:val="auto"/>
          </w:pPr>
          <w:r>
            <w:fldChar w:fldCharType="begin"/>
          </w:r>
          <w:r>
            <w:instrText xml:space="preserve"> HYPERLINK \l _Toc387 </w:instrText>
          </w:r>
          <w:r>
            <w:fldChar w:fldCharType="separate"/>
          </w:r>
          <w:r>
            <w:rPr>
              <w:rFonts w:hint="eastAsia" w:ascii="仿宋" w:hAnsi="仿宋" w:eastAsia="仿宋"/>
              <w:szCs w:val="28"/>
              <w:highlight w:val="none"/>
            </w:rPr>
            <w:t>四、评标纪律</w:t>
          </w:r>
          <w:r>
            <w:tab/>
          </w:r>
          <w:r>
            <w:fldChar w:fldCharType="begin"/>
          </w:r>
          <w:r>
            <w:instrText xml:space="preserve"> PAGEREF _Toc387 \h </w:instrText>
          </w:r>
          <w:r>
            <w:fldChar w:fldCharType="separate"/>
          </w:r>
          <w:r>
            <w:t>109</w:t>
          </w:r>
          <w:r>
            <w:fldChar w:fldCharType="end"/>
          </w:r>
          <w:r>
            <w:fldChar w:fldCharType="end"/>
          </w:r>
        </w:p>
        <w:p w14:paraId="0AD20984">
          <w:pPr>
            <w:pStyle w:val="34"/>
            <w:keepNext w:val="0"/>
            <w:keepLines w:val="0"/>
            <w:pageBreakBefore w:val="0"/>
            <w:widowControl w:val="0"/>
            <w:tabs>
              <w:tab w:val="right" w:leader="dot" w:pos="9746"/>
              <w:tab w:val="clear" w:pos="9628"/>
            </w:tabs>
            <w:kinsoku/>
            <w:wordWrap/>
            <w:overflowPunct/>
            <w:topLinePunct w:val="0"/>
            <w:autoSpaceDE/>
            <w:autoSpaceDN/>
            <w:bidi w:val="0"/>
            <w:adjustRightInd/>
            <w:snapToGrid/>
            <w:spacing w:line="360" w:lineRule="auto"/>
            <w:textAlignment w:val="auto"/>
          </w:pPr>
          <w:r>
            <w:fldChar w:fldCharType="begin"/>
          </w:r>
          <w:r>
            <w:instrText xml:space="preserve"> HYPERLINK \l _Toc10637 </w:instrText>
          </w:r>
          <w:r>
            <w:fldChar w:fldCharType="separate"/>
          </w:r>
          <w:r>
            <w:rPr>
              <w:rFonts w:hint="eastAsia" w:ascii="仿宋" w:hAnsi="仿宋" w:eastAsia="仿宋"/>
              <w:szCs w:val="28"/>
              <w:highlight w:val="none"/>
            </w:rPr>
            <w:t>五、评标程序和标准</w:t>
          </w:r>
          <w:r>
            <w:tab/>
          </w:r>
          <w:r>
            <w:fldChar w:fldCharType="begin"/>
          </w:r>
          <w:r>
            <w:instrText xml:space="preserve"> PAGEREF _Toc10637 \h </w:instrText>
          </w:r>
          <w:r>
            <w:fldChar w:fldCharType="separate"/>
          </w:r>
          <w:r>
            <w:t>109</w:t>
          </w:r>
          <w:r>
            <w:fldChar w:fldCharType="end"/>
          </w:r>
          <w:r>
            <w:fldChar w:fldCharType="end"/>
          </w:r>
        </w:p>
        <w:p w14:paraId="7BB8133D">
          <w:pPr>
            <w:pStyle w:val="34"/>
            <w:tabs>
              <w:tab w:val="right" w:leader="dot" w:pos="9746"/>
              <w:tab w:val="clear" w:pos="9628"/>
            </w:tabs>
          </w:pPr>
        </w:p>
        <w:p w14:paraId="355447CD">
          <w:r>
            <w:fldChar w:fldCharType="end"/>
          </w:r>
        </w:p>
        <w:p w14:paraId="2E81B609">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楷体"/>
              <w:color w:val="auto"/>
              <w:kern w:val="0"/>
              <w:sz w:val="36"/>
              <w:highlight w:val="none"/>
            </w:rPr>
            <w:sectPr>
              <w:footerReference r:id="rId8" w:type="first"/>
              <w:type w:val="nextColumn"/>
              <w:pgSz w:w="11906" w:h="16838"/>
              <w:pgMar w:top="1440" w:right="1080" w:bottom="1440" w:left="1080" w:header="964" w:footer="850" w:gutter="0"/>
              <w:pgNumType w:start="1"/>
              <w:cols w:space="720" w:num="1"/>
              <w:titlePg/>
              <w:docGrid w:linePitch="331" w:charSpace="0"/>
            </w:sectPr>
          </w:pPr>
        </w:p>
      </w:sdtContent>
    </w:sdt>
    <w:p w14:paraId="4A883EDE">
      <w:pPr>
        <w:pStyle w:val="4"/>
        <w:pageBreakBefore w:val="0"/>
        <w:tabs>
          <w:tab w:val="left" w:pos="0"/>
          <w:tab w:val="clear" w:pos="360"/>
        </w:tabs>
        <w:kinsoku/>
        <w:overflowPunct/>
        <w:topLinePunct w:val="0"/>
        <w:autoSpaceDE/>
        <w:autoSpaceDN/>
        <w:bidi w:val="0"/>
        <w:snapToGrid/>
        <w:spacing w:line="500" w:lineRule="exact"/>
        <w:jc w:val="center"/>
        <w:rPr>
          <w:rFonts w:ascii="宋体" w:hAnsi="宋体" w:eastAsia="宋体" w:cs="楷体"/>
          <w:color w:val="auto"/>
          <w:kern w:val="0"/>
          <w:sz w:val="18"/>
          <w:szCs w:val="18"/>
          <w:highlight w:val="none"/>
        </w:rPr>
      </w:pPr>
      <w:bookmarkStart w:id="4" w:name="_Toc13566"/>
      <w:bookmarkStart w:id="5" w:name="_Toc3594"/>
      <w:bookmarkStart w:id="6" w:name="_Toc30722"/>
      <w:bookmarkStart w:id="7" w:name="_Toc1225"/>
      <w:bookmarkStart w:id="8" w:name="_Toc28428"/>
      <w:bookmarkStart w:id="9" w:name="_Toc26373"/>
      <w:r>
        <w:rPr>
          <w:rFonts w:hint="eastAsia" w:ascii="宋体" w:hAnsi="宋体" w:eastAsia="宋体" w:cs="楷体"/>
          <w:color w:val="auto"/>
          <w:kern w:val="0"/>
          <w:sz w:val="36"/>
          <w:highlight w:val="none"/>
        </w:rPr>
        <w:t>第一章 招标公告</w:t>
      </w:r>
      <w:bookmarkEnd w:id="3"/>
      <w:bookmarkEnd w:id="4"/>
      <w:bookmarkEnd w:id="5"/>
      <w:bookmarkEnd w:id="6"/>
      <w:bookmarkEnd w:id="7"/>
      <w:bookmarkEnd w:id="8"/>
      <w:bookmarkEnd w:id="9"/>
    </w:p>
    <w:p w14:paraId="2865F349">
      <w:pPr>
        <w:pageBreakBefore w:val="0"/>
        <w:kinsoku/>
        <w:overflowPunct/>
        <w:topLinePunct w:val="0"/>
        <w:autoSpaceDE/>
        <w:autoSpaceDN/>
        <w:bidi w:val="0"/>
        <w:snapToGrid/>
        <w:spacing w:line="500" w:lineRule="exact"/>
        <w:jc w:val="center"/>
        <w:rPr>
          <w:rFonts w:hint="eastAsia" w:ascii="宋体" w:hAnsi="宋体" w:cs="楷体"/>
          <w:b/>
          <w:color w:val="auto"/>
          <w:kern w:val="0"/>
          <w:sz w:val="28"/>
          <w:szCs w:val="16"/>
          <w:highlight w:val="none"/>
          <w:lang w:val="en-US" w:eastAsia="zh-CN" w:bidi="ar-SA"/>
        </w:rPr>
      </w:pPr>
      <w:bookmarkStart w:id="10" w:name="_Toc13828"/>
      <w:bookmarkStart w:id="11" w:name="_Hlk159601113"/>
      <w:bookmarkStart w:id="12" w:name="_Hlk61623049"/>
      <w:r>
        <w:rPr>
          <w:rFonts w:hint="eastAsia" w:ascii="宋体" w:hAnsi="宋体" w:cs="楷体"/>
          <w:b/>
          <w:color w:val="auto"/>
          <w:kern w:val="0"/>
          <w:sz w:val="28"/>
          <w:szCs w:val="16"/>
          <w:highlight w:val="none"/>
          <w:lang w:val="en-US" w:eastAsia="zh-CN" w:bidi="ar-SA"/>
        </w:rPr>
        <w:t>大理白族自治州财贸学校职业教育贯通培养试点项目非集采部分（货物）</w:t>
      </w:r>
    </w:p>
    <w:p w14:paraId="15A7B9E9">
      <w:pPr>
        <w:pageBreakBefore w:val="0"/>
        <w:kinsoku/>
        <w:overflowPunct/>
        <w:topLinePunct w:val="0"/>
        <w:autoSpaceDE/>
        <w:autoSpaceDN/>
        <w:bidi w:val="0"/>
        <w:snapToGrid/>
        <w:spacing w:line="500" w:lineRule="exact"/>
        <w:jc w:val="center"/>
        <w:rPr>
          <w:rFonts w:hint="eastAsia" w:ascii="宋体" w:hAnsi="宋体" w:eastAsia="宋体" w:cs="楷体"/>
          <w:b/>
          <w:color w:val="auto"/>
          <w:kern w:val="0"/>
          <w:sz w:val="28"/>
          <w:szCs w:val="16"/>
          <w:highlight w:val="none"/>
          <w:lang w:val="en-US" w:eastAsia="zh-CN" w:bidi="ar-SA"/>
        </w:rPr>
      </w:pPr>
      <w:r>
        <w:rPr>
          <w:rFonts w:hint="eastAsia" w:ascii="宋体" w:hAnsi="宋体" w:eastAsia="宋体" w:cs="楷体"/>
          <w:b/>
          <w:color w:val="auto"/>
          <w:kern w:val="0"/>
          <w:sz w:val="28"/>
          <w:szCs w:val="16"/>
          <w:highlight w:val="none"/>
          <w:lang w:val="en-US" w:eastAsia="zh-CN" w:bidi="ar-SA"/>
        </w:rPr>
        <w:t>招标公告</w:t>
      </w:r>
      <w:bookmarkEnd w:id="10"/>
    </w:p>
    <w:p w14:paraId="219F94BC">
      <w:pPr>
        <w:keepNext w:val="0"/>
        <w:keepLines w:val="0"/>
        <w:pageBreakBefore w:val="0"/>
        <w:pBdr>
          <w:top w:val="single" w:color="auto" w:sz="4" w:space="1"/>
          <w:left w:val="single" w:color="auto" w:sz="4" w:space="4"/>
          <w:bottom w:val="single" w:color="auto" w:sz="4" w:space="1"/>
          <w:right w:val="single" w:color="auto" w:sz="4" w:space="11"/>
        </w:pBdr>
        <w:kinsoku/>
        <w:overflowPunct/>
        <w:topLinePunct w:val="0"/>
        <w:autoSpaceDE/>
        <w:autoSpaceDN/>
        <w:bidi w:val="0"/>
        <w:snapToGrid/>
        <w:spacing w:line="440" w:lineRule="exact"/>
        <w:ind w:firstLine="480" w:firstLineChars="200"/>
        <w:textAlignment w:val="auto"/>
        <w:rPr>
          <w:rFonts w:hint="eastAsia" w:ascii="仿宋" w:hAnsi="仿宋" w:eastAsia="仿宋" w:cs="仿宋"/>
          <w:color w:val="auto"/>
          <w:sz w:val="24"/>
          <w:szCs w:val="24"/>
          <w:highlight w:val="none"/>
        </w:rPr>
      </w:pPr>
      <w:bookmarkStart w:id="13" w:name="_Toc28359089"/>
      <w:bookmarkStart w:id="14" w:name="_Toc35393629"/>
      <w:bookmarkStart w:id="15" w:name="_Toc35393798"/>
      <w:bookmarkStart w:id="16" w:name="_Toc28359012"/>
      <w:r>
        <w:rPr>
          <w:rFonts w:hint="eastAsia" w:ascii="仿宋" w:hAnsi="仿宋" w:eastAsia="仿宋" w:cs="仿宋"/>
          <w:color w:val="auto"/>
          <w:sz w:val="24"/>
          <w:szCs w:val="24"/>
          <w:highlight w:val="none"/>
        </w:rPr>
        <w:t>项目概况</w:t>
      </w:r>
    </w:p>
    <w:p w14:paraId="5A54793D">
      <w:pPr>
        <w:keepNext w:val="0"/>
        <w:keepLines w:val="0"/>
        <w:pageBreakBefore w:val="0"/>
        <w:widowControl w:val="0"/>
        <w:pBdr>
          <w:top w:val="single" w:color="auto" w:sz="4" w:space="1"/>
          <w:left w:val="single" w:color="auto" w:sz="4" w:space="4"/>
          <w:bottom w:val="single" w:color="auto" w:sz="4" w:space="1"/>
          <w:right w:val="single" w:color="auto" w:sz="4" w:space="11"/>
        </w:pBdr>
        <w:kinsoku/>
        <w:wordWrap w:val="0"/>
        <w:overflowPunct/>
        <w:topLinePunct w:val="0"/>
        <w:autoSpaceDE/>
        <w:autoSpaceDN/>
        <w:bidi w:val="0"/>
        <w:adjustRightInd/>
        <w:snapToGrid/>
        <w:spacing w:line="440" w:lineRule="exact"/>
        <w:ind w:firstLine="482"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u w:val="single"/>
          <w:lang w:eastAsia="zh-CN"/>
        </w:rPr>
        <w:t>大理白族自治州财贸学校职业教育贯通培养试点项目非集采部分（货物）</w:t>
      </w:r>
      <w:r>
        <w:rPr>
          <w:rFonts w:hint="eastAsia" w:ascii="仿宋" w:hAnsi="仿宋" w:eastAsia="仿宋" w:cs="仿宋"/>
          <w:color w:val="auto"/>
          <w:sz w:val="24"/>
          <w:szCs w:val="24"/>
          <w:highlight w:val="none"/>
        </w:rPr>
        <w:t>的潜在投标人应在</w:t>
      </w:r>
      <w:r>
        <w:rPr>
          <w:rFonts w:hint="eastAsia" w:ascii="仿宋" w:hAnsi="仿宋" w:eastAsia="仿宋" w:cs="仿宋"/>
          <w:b/>
          <w:bCs/>
          <w:color w:val="auto"/>
          <w:sz w:val="24"/>
          <w:szCs w:val="24"/>
          <w:highlight w:val="none"/>
          <w:u w:val="single"/>
        </w:rPr>
        <w:t>政府采购云平台（https://www.zcygov.cn/）</w:t>
      </w:r>
      <w:r>
        <w:rPr>
          <w:rFonts w:hint="eastAsia" w:ascii="仿宋" w:hAnsi="仿宋" w:eastAsia="仿宋" w:cs="仿宋"/>
          <w:color w:val="auto"/>
          <w:sz w:val="24"/>
          <w:szCs w:val="24"/>
          <w:highlight w:val="none"/>
        </w:rPr>
        <w:t>获取</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，并于</w:t>
      </w:r>
      <w:r>
        <w:rPr>
          <w:rFonts w:hint="eastAsia" w:ascii="仿宋" w:hAnsi="仿宋" w:eastAsia="仿宋" w:cs="仿宋"/>
          <w:b/>
          <w:bCs/>
          <w:color w:val="auto"/>
          <w:sz w:val="24"/>
          <w:szCs w:val="24"/>
          <w:highlight w:val="none"/>
          <w:u w:val="single"/>
        </w:rPr>
        <w:t>202</w:t>
      </w:r>
      <w:r>
        <w:rPr>
          <w:rFonts w:hint="eastAsia" w:ascii="仿宋" w:hAnsi="仿宋" w:eastAsia="仿宋" w:cs="仿宋"/>
          <w:b/>
          <w:bCs/>
          <w:color w:val="auto"/>
          <w:sz w:val="24"/>
          <w:szCs w:val="24"/>
          <w:highlight w:val="none"/>
          <w:u w:val="single"/>
          <w:lang w:val="en-US" w:eastAsia="zh-CN"/>
        </w:rPr>
        <w:t>6</w:t>
      </w:r>
      <w:r>
        <w:rPr>
          <w:rFonts w:hint="eastAsia" w:ascii="仿宋" w:hAnsi="仿宋" w:eastAsia="仿宋" w:cs="仿宋"/>
          <w:b/>
          <w:bCs/>
          <w:color w:val="auto"/>
          <w:sz w:val="24"/>
          <w:szCs w:val="24"/>
          <w:highlight w:val="none"/>
          <w:u w:val="single"/>
        </w:rPr>
        <w:t>年</w:t>
      </w:r>
      <w:r>
        <w:rPr>
          <w:rFonts w:hint="eastAsia" w:ascii="仿宋" w:hAnsi="仿宋" w:eastAsia="仿宋" w:cs="仿宋"/>
          <w:b/>
          <w:bCs/>
          <w:color w:val="auto"/>
          <w:sz w:val="24"/>
          <w:szCs w:val="24"/>
          <w:highlight w:val="none"/>
          <w:u w:val="single"/>
          <w:lang w:val="en-US" w:eastAsia="zh-CN"/>
        </w:rPr>
        <w:t>06</w:t>
      </w:r>
      <w:r>
        <w:rPr>
          <w:rFonts w:hint="eastAsia" w:ascii="仿宋" w:hAnsi="仿宋" w:eastAsia="仿宋" w:cs="仿宋"/>
          <w:b/>
          <w:bCs/>
          <w:color w:val="auto"/>
          <w:sz w:val="24"/>
          <w:szCs w:val="24"/>
          <w:highlight w:val="none"/>
          <w:u w:val="single"/>
          <w:lang w:eastAsia="zh-CN"/>
        </w:rPr>
        <w:t>月</w:t>
      </w:r>
      <w:r>
        <w:rPr>
          <w:rFonts w:hint="eastAsia" w:ascii="仿宋" w:hAnsi="仿宋" w:eastAsia="仿宋" w:cs="仿宋"/>
          <w:b/>
          <w:bCs/>
          <w:color w:val="auto"/>
          <w:sz w:val="24"/>
          <w:szCs w:val="24"/>
          <w:highlight w:val="none"/>
          <w:u w:val="single"/>
          <w:lang w:val="en-US" w:eastAsia="zh-CN"/>
        </w:rPr>
        <w:t>04</w:t>
      </w:r>
      <w:r>
        <w:rPr>
          <w:rFonts w:hint="eastAsia" w:ascii="仿宋" w:hAnsi="仿宋" w:eastAsia="仿宋" w:cs="仿宋"/>
          <w:b/>
          <w:bCs/>
          <w:color w:val="auto"/>
          <w:sz w:val="24"/>
          <w:szCs w:val="24"/>
          <w:highlight w:val="none"/>
          <w:u w:val="single"/>
          <w:lang w:eastAsia="zh-CN"/>
        </w:rPr>
        <w:t>日</w:t>
      </w:r>
      <w:r>
        <w:rPr>
          <w:rFonts w:hint="eastAsia" w:ascii="仿宋" w:hAnsi="仿宋" w:eastAsia="仿宋" w:cs="仿宋"/>
          <w:b/>
          <w:bCs/>
          <w:color w:val="auto"/>
          <w:sz w:val="24"/>
          <w:szCs w:val="24"/>
          <w:highlight w:val="none"/>
          <w:u w:val="single"/>
          <w:lang w:val="en-US" w:eastAsia="zh-CN"/>
        </w:rPr>
        <w:t xml:space="preserve"> 14：30 </w:t>
      </w:r>
      <w:r>
        <w:rPr>
          <w:rFonts w:hint="eastAsia" w:ascii="仿宋" w:hAnsi="仿宋" w:eastAsia="仿宋" w:cs="仿宋"/>
          <w:bCs/>
          <w:color w:val="auto"/>
          <w:sz w:val="24"/>
          <w:szCs w:val="24"/>
          <w:highlight w:val="none"/>
        </w:rPr>
        <w:t>（北京时间）前递交投标文件</w:t>
      </w:r>
      <w:r>
        <w:rPr>
          <w:rFonts w:hint="eastAsia" w:ascii="仿宋" w:hAnsi="仿宋" w:eastAsia="仿宋" w:cs="仿宋"/>
          <w:color w:val="auto"/>
          <w:sz w:val="24"/>
          <w:szCs w:val="24"/>
          <w:highlight w:val="none"/>
        </w:rPr>
        <w:t>。</w:t>
      </w:r>
    </w:p>
    <w:p w14:paraId="5121DCA0">
      <w:pPr>
        <w:keepNext w:val="0"/>
        <w:keepLines w:val="0"/>
        <w:pageBreakBefore w:val="0"/>
        <w:widowControl/>
        <w:kinsoku/>
        <w:overflowPunct/>
        <w:topLinePunct w:val="0"/>
        <w:autoSpaceDE/>
        <w:autoSpaceDN/>
        <w:bidi w:val="0"/>
        <w:snapToGrid/>
        <w:spacing w:line="440" w:lineRule="exact"/>
        <w:jc w:val="left"/>
        <w:textAlignment w:val="auto"/>
        <w:outlineLvl w:val="1"/>
        <w:rPr>
          <w:rFonts w:hint="eastAsia" w:ascii="仿宋" w:hAnsi="仿宋" w:eastAsia="仿宋" w:cs="仿宋"/>
          <w:color w:val="auto"/>
          <w:kern w:val="0"/>
          <w:sz w:val="24"/>
          <w:szCs w:val="24"/>
          <w:highlight w:val="none"/>
        </w:rPr>
      </w:pPr>
      <w:bookmarkStart w:id="17" w:name="_Toc9483"/>
      <w:bookmarkStart w:id="18" w:name="_Toc29984"/>
      <w:bookmarkStart w:id="19" w:name="_Toc3720"/>
      <w:bookmarkStart w:id="20" w:name="_Toc29169"/>
      <w:bookmarkStart w:id="21" w:name="_Toc20713"/>
      <w:bookmarkStart w:id="22" w:name="_Toc10606"/>
      <w:r>
        <w:rPr>
          <w:rFonts w:hint="eastAsia" w:ascii="仿宋" w:hAnsi="仿宋" w:eastAsia="仿宋" w:cs="仿宋"/>
          <w:b/>
          <w:color w:val="auto"/>
          <w:sz w:val="24"/>
          <w:szCs w:val="24"/>
          <w:highlight w:val="none"/>
        </w:rPr>
        <w:t>一、项目基本情况</w:t>
      </w:r>
      <w:bookmarkEnd w:id="13"/>
      <w:bookmarkEnd w:id="14"/>
      <w:bookmarkEnd w:id="15"/>
      <w:bookmarkEnd w:id="16"/>
      <w:bookmarkEnd w:id="17"/>
      <w:r>
        <w:rPr>
          <w:rFonts w:hint="eastAsia" w:ascii="仿宋" w:hAnsi="仿宋" w:eastAsia="仿宋" w:cs="仿宋"/>
          <w:b/>
          <w:color w:val="auto"/>
          <w:sz w:val="24"/>
          <w:szCs w:val="24"/>
          <w:highlight w:val="none"/>
          <w:lang w:eastAsia="zh-CN"/>
        </w:rPr>
        <w:t>：</w:t>
      </w:r>
      <w:bookmarkEnd w:id="18"/>
      <w:bookmarkEnd w:id="19"/>
      <w:bookmarkEnd w:id="20"/>
      <w:bookmarkEnd w:id="21"/>
      <w:bookmarkEnd w:id="22"/>
      <w:r>
        <w:rPr>
          <w:rFonts w:hint="eastAsia" w:ascii="仿宋" w:hAnsi="仿宋" w:eastAsia="仿宋" w:cs="仿宋"/>
          <w:color w:val="auto"/>
          <w:kern w:val="0"/>
          <w:sz w:val="24"/>
          <w:szCs w:val="24"/>
          <w:highlight w:val="none"/>
        </w:rPr>
        <w:t xml:space="preserve">         </w:t>
      </w:r>
    </w:p>
    <w:p w14:paraId="6EDC67FE">
      <w:pPr>
        <w:pStyle w:val="3"/>
        <w:keepNext w:val="0"/>
        <w:keepLines w:val="0"/>
        <w:pageBreakBefore w:val="0"/>
        <w:kinsoku/>
        <w:overflowPunct/>
        <w:topLinePunct w:val="0"/>
        <w:autoSpaceDE/>
        <w:autoSpaceDN/>
        <w:bidi w:val="0"/>
        <w:snapToGrid/>
        <w:spacing w:after="0" w:line="440" w:lineRule="exact"/>
        <w:ind w:left="0" w:leftChars="0" w:right="210" w:firstLine="480" w:firstLineChars="200"/>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eastAsia="zh-CN"/>
        </w:rPr>
        <w:t>1.</w:t>
      </w:r>
      <w:r>
        <w:rPr>
          <w:rFonts w:hint="eastAsia" w:ascii="仿宋" w:hAnsi="仿宋" w:eastAsia="仿宋" w:cs="仿宋"/>
          <w:color w:val="auto"/>
          <w:kern w:val="0"/>
          <w:sz w:val="24"/>
          <w:szCs w:val="24"/>
          <w:highlight w:val="none"/>
        </w:rPr>
        <w:t>项目编号：</w:t>
      </w:r>
      <w:r>
        <w:rPr>
          <w:rFonts w:hint="eastAsia" w:ascii="仿宋" w:hAnsi="仿宋" w:eastAsia="仿宋" w:cs="仿宋"/>
          <w:color w:val="auto"/>
          <w:kern w:val="0"/>
          <w:sz w:val="24"/>
          <w:szCs w:val="24"/>
          <w:highlight w:val="none"/>
          <w:lang w:val="en-US" w:eastAsia="zh-CN"/>
        </w:rPr>
        <w:t xml:space="preserve">DLZC2026-G1-00454-ZCZB-0009/ZCZB-DL2026021A  </w:t>
      </w:r>
    </w:p>
    <w:p w14:paraId="6578557A">
      <w:pPr>
        <w:pStyle w:val="3"/>
        <w:keepNext w:val="0"/>
        <w:keepLines w:val="0"/>
        <w:pageBreakBefore w:val="0"/>
        <w:kinsoku/>
        <w:overflowPunct/>
        <w:topLinePunct w:val="0"/>
        <w:autoSpaceDE/>
        <w:autoSpaceDN/>
        <w:bidi w:val="0"/>
        <w:snapToGrid/>
        <w:spacing w:after="0" w:line="440" w:lineRule="exact"/>
        <w:ind w:left="0" w:leftChars="0" w:right="210" w:firstLine="480" w:firstLineChars="200"/>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2.</w:t>
      </w:r>
      <w:r>
        <w:rPr>
          <w:rFonts w:hint="eastAsia" w:ascii="仿宋" w:hAnsi="仿宋" w:eastAsia="仿宋" w:cs="仿宋"/>
          <w:color w:val="auto"/>
          <w:kern w:val="0"/>
          <w:sz w:val="24"/>
          <w:szCs w:val="24"/>
          <w:highlight w:val="none"/>
        </w:rPr>
        <w:t>项目名称：</w:t>
      </w:r>
      <w:r>
        <w:rPr>
          <w:rFonts w:hint="eastAsia" w:ascii="仿宋" w:hAnsi="仿宋" w:eastAsia="仿宋" w:cs="仿宋"/>
          <w:color w:val="auto"/>
          <w:kern w:val="0"/>
          <w:sz w:val="24"/>
          <w:szCs w:val="24"/>
          <w:highlight w:val="none"/>
          <w:lang w:eastAsia="zh-CN"/>
        </w:rPr>
        <w:t>大理白族自治州财贸学校职业教育贯通培养试点项目非集采部分（货物）</w:t>
      </w:r>
    </w:p>
    <w:p w14:paraId="1D7B1484">
      <w:pPr>
        <w:pStyle w:val="3"/>
        <w:keepNext w:val="0"/>
        <w:keepLines w:val="0"/>
        <w:pageBreakBefore w:val="0"/>
        <w:kinsoku/>
        <w:overflowPunct/>
        <w:topLinePunct w:val="0"/>
        <w:autoSpaceDE/>
        <w:autoSpaceDN/>
        <w:bidi w:val="0"/>
        <w:snapToGrid/>
        <w:spacing w:after="0" w:line="440" w:lineRule="exact"/>
        <w:ind w:left="0" w:leftChars="0" w:right="210"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3.</w:t>
      </w:r>
      <w:r>
        <w:rPr>
          <w:rFonts w:hint="eastAsia" w:ascii="仿宋" w:hAnsi="仿宋" w:eastAsia="仿宋" w:cs="仿宋"/>
          <w:color w:val="auto"/>
          <w:kern w:val="0"/>
          <w:sz w:val="24"/>
          <w:szCs w:val="24"/>
          <w:highlight w:val="none"/>
        </w:rPr>
        <w:t>采购方式：公开招标</w:t>
      </w:r>
    </w:p>
    <w:p w14:paraId="01000DDF">
      <w:pPr>
        <w:pStyle w:val="3"/>
        <w:keepNext w:val="0"/>
        <w:keepLines w:val="0"/>
        <w:pageBreakBefore w:val="0"/>
        <w:kinsoku/>
        <w:overflowPunct/>
        <w:topLinePunct w:val="0"/>
        <w:autoSpaceDE/>
        <w:autoSpaceDN/>
        <w:bidi w:val="0"/>
        <w:snapToGrid/>
        <w:spacing w:after="0" w:line="440" w:lineRule="exact"/>
        <w:ind w:left="0" w:leftChars="0" w:right="210"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4.</w:t>
      </w:r>
      <w:r>
        <w:rPr>
          <w:rFonts w:hint="eastAsia" w:ascii="仿宋" w:hAnsi="仿宋" w:eastAsia="仿宋" w:cs="仿宋"/>
          <w:color w:val="auto"/>
          <w:kern w:val="0"/>
          <w:sz w:val="24"/>
          <w:szCs w:val="24"/>
          <w:highlight w:val="none"/>
        </w:rPr>
        <w:t>预算金额：</w:t>
      </w:r>
      <w:r>
        <w:rPr>
          <w:rFonts w:hint="eastAsia" w:ascii="仿宋" w:hAnsi="仿宋" w:eastAsia="仿宋" w:cs="仿宋"/>
          <w:color w:val="auto"/>
          <w:kern w:val="0"/>
          <w:sz w:val="24"/>
          <w:szCs w:val="24"/>
          <w:highlight w:val="none"/>
          <w:lang w:val="en-US" w:eastAsia="zh-CN"/>
        </w:rPr>
        <w:t>小写：¥21.5215万元（大写：贰拾壹万伍仟贰佰壹拾伍元整）</w:t>
      </w:r>
      <w:r>
        <w:rPr>
          <w:rFonts w:hint="eastAsia" w:ascii="仿宋" w:hAnsi="仿宋" w:eastAsia="仿宋" w:cs="仿宋"/>
          <w:color w:val="auto"/>
          <w:kern w:val="0"/>
          <w:sz w:val="24"/>
          <w:szCs w:val="24"/>
          <w:highlight w:val="none"/>
        </w:rPr>
        <w:t>；</w:t>
      </w:r>
    </w:p>
    <w:p w14:paraId="2D39A74A">
      <w:pPr>
        <w:pStyle w:val="3"/>
        <w:keepNext w:val="0"/>
        <w:keepLines w:val="0"/>
        <w:pageBreakBefore w:val="0"/>
        <w:kinsoku/>
        <w:overflowPunct/>
        <w:topLinePunct w:val="0"/>
        <w:autoSpaceDE/>
        <w:autoSpaceDN/>
        <w:bidi w:val="0"/>
        <w:snapToGrid/>
        <w:spacing w:after="0" w:line="440" w:lineRule="exact"/>
        <w:ind w:right="210" w:firstLine="240" w:firstLineChars="1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最高限价：</w:t>
      </w:r>
      <w:r>
        <w:rPr>
          <w:rFonts w:hint="eastAsia" w:ascii="仿宋" w:hAnsi="仿宋" w:eastAsia="仿宋" w:cs="仿宋"/>
          <w:color w:val="auto"/>
          <w:kern w:val="0"/>
          <w:sz w:val="24"/>
          <w:szCs w:val="24"/>
          <w:highlight w:val="none"/>
          <w:lang w:val="en-US" w:eastAsia="zh-CN"/>
        </w:rPr>
        <w:t>小写：¥21.5215万元（大写：贰拾壹万伍仟贰佰壹拾伍元整）</w:t>
      </w:r>
      <w:r>
        <w:rPr>
          <w:rFonts w:hint="eastAsia" w:ascii="仿宋" w:hAnsi="仿宋" w:eastAsia="仿宋" w:cs="仿宋"/>
          <w:color w:val="auto"/>
          <w:kern w:val="0"/>
          <w:sz w:val="24"/>
          <w:szCs w:val="24"/>
          <w:highlight w:val="none"/>
        </w:rPr>
        <w:t>；</w:t>
      </w:r>
    </w:p>
    <w:p w14:paraId="67DB3536">
      <w:pPr>
        <w:pStyle w:val="3"/>
        <w:keepNext w:val="0"/>
        <w:keepLines w:val="0"/>
        <w:pageBreakBefore w:val="0"/>
        <w:kinsoku/>
        <w:overflowPunct/>
        <w:topLinePunct w:val="0"/>
        <w:autoSpaceDE/>
        <w:autoSpaceDN/>
        <w:bidi w:val="0"/>
        <w:snapToGrid/>
        <w:spacing w:after="0" w:line="440" w:lineRule="exact"/>
        <w:ind w:left="0" w:leftChars="0" w:right="210" w:firstLine="480" w:firstLineChars="20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5.组织形式：分散采购</w:t>
      </w:r>
    </w:p>
    <w:p w14:paraId="4375F8A3">
      <w:pPr>
        <w:pStyle w:val="3"/>
        <w:keepNext w:val="0"/>
        <w:keepLines w:val="0"/>
        <w:pageBreakBefore w:val="0"/>
        <w:kinsoku/>
        <w:overflowPunct/>
        <w:topLinePunct w:val="0"/>
        <w:autoSpaceDE/>
        <w:autoSpaceDN/>
        <w:bidi w:val="0"/>
        <w:snapToGrid/>
        <w:spacing w:after="0" w:line="440" w:lineRule="exact"/>
        <w:ind w:left="0" w:leftChars="0" w:right="210"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采购需求：</w:t>
      </w:r>
      <w:bookmarkStart w:id="23" w:name="_Toc28359090"/>
      <w:bookmarkStart w:id="24" w:name="_Toc35393799"/>
      <w:bookmarkStart w:id="25" w:name="_Toc35393630"/>
      <w:bookmarkStart w:id="26" w:name="_Toc31846"/>
      <w:bookmarkStart w:id="27" w:name="_Toc28359013"/>
    </w:p>
    <w:tbl>
      <w:tblPr>
        <w:tblStyle w:val="42"/>
        <w:tblW w:w="100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9"/>
        <w:gridCol w:w="1290"/>
        <w:gridCol w:w="2205"/>
        <w:gridCol w:w="855"/>
        <w:gridCol w:w="1073"/>
        <w:gridCol w:w="1105"/>
        <w:gridCol w:w="1323"/>
        <w:gridCol w:w="1584"/>
      </w:tblGrid>
      <w:tr w14:paraId="75AA5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609" w:type="dxa"/>
            <w:shd w:val="clear" w:color="auto" w:fill="F7CAAC" w:themeFill="accent2" w:themeFillTint="66"/>
            <w:noWrap w:val="0"/>
            <w:vAlign w:val="center"/>
          </w:tcPr>
          <w:p w14:paraId="74FBBADA">
            <w:pPr>
              <w:keepNext w:val="0"/>
              <w:keepLines w:val="0"/>
              <w:pageBreakBefore w:val="0"/>
              <w:kinsoku/>
              <w:overflowPunct/>
              <w:topLinePunct w:val="0"/>
              <w:autoSpaceDE/>
              <w:autoSpaceDN/>
              <w:bidi w:val="0"/>
              <w:spacing w:line="240" w:lineRule="auto"/>
              <w:contextualSpacing/>
              <w:jc w:val="center"/>
              <w:textAlignment w:val="auto"/>
              <w:rPr>
                <w:rFonts w:hint="default" w:ascii="仿宋" w:hAnsi="仿宋" w:eastAsia="仿宋"/>
                <w:b/>
                <w:bCs/>
                <w:color w:val="auto"/>
                <w:sz w:val="24"/>
                <w:szCs w:val="24"/>
                <w:highlight w:val="none"/>
                <w:vertAlign w:val="baseline"/>
                <w:lang w:val="en-US" w:eastAsia="zh-CN"/>
              </w:rPr>
            </w:pPr>
            <w:r>
              <w:rPr>
                <w:rFonts w:hint="eastAsia" w:ascii="仿宋" w:hAnsi="仿宋" w:eastAsia="仿宋"/>
                <w:b/>
                <w:bCs/>
                <w:color w:val="auto"/>
                <w:sz w:val="24"/>
                <w:szCs w:val="24"/>
                <w:highlight w:val="none"/>
                <w:vertAlign w:val="baseline"/>
                <w:lang w:val="en-US" w:eastAsia="zh-CN"/>
              </w:rPr>
              <w:t>序号</w:t>
            </w:r>
          </w:p>
        </w:tc>
        <w:tc>
          <w:tcPr>
            <w:tcW w:w="1290" w:type="dxa"/>
            <w:shd w:val="clear" w:color="auto" w:fill="F7CAAC" w:themeFill="accent2" w:themeFillTint="66"/>
            <w:noWrap w:val="0"/>
            <w:vAlign w:val="center"/>
          </w:tcPr>
          <w:p w14:paraId="6CB7F847">
            <w:pPr>
              <w:keepNext w:val="0"/>
              <w:keepLines w:val="0"/>
              <w:pageBreakBefore w:val="0"/>
              <w:kinsoku/>
              <w:overflowPunct/>
              <w:topLinePunct w:val="0"/>
              <w:autoSpaceDE/>
              <w:autoSpaceDN/>
              <w:bidi w:val="0"/>
              <w:spacing w:line="240" w:lineRule="auto"/>
              <w:contextualSpacing/>
              <w:jc w:val="center"/>
              <w:textAlignment w:val="auto"/>
              <w:rPr>
                <w:rFonts w:hint="eastAsia" w:ascii="仿宋" w:hAnsi="仿宋" w:eastAsia="仿宋"/>
                <w:b/>
                <w:bCs/>
                <w:color w:val="auto"/>
                <w:sz w:val="24"/>
                <w:szCs w:val="24"/>
                <w:highlight w:val="none"/>
                <w:vertAlign w:val="baseline"/>
                <w:lang w:val="en-US" w:eastAsia="zh-CN"/>
              </w:rPr>
            </w:pPr>
            <w:r>
              <w:rPr>
                <w:rFonts w:hint="eastAsia" w:ascii="仿宋" w:hAnsi="仿宋" w:eastAsia="仿宋"/>
                <w:b/>
                <w:bCs/>
                <w:color w:val="auto"/>
                <w:sz w:val="24"/>
                <w:szCs w:val="24"/>
                <w:highlight w:val="none"/>
                <w:vertAlign w:val="baseline"/>
                <w:lang w:val="en-US" w:eastAsia="zh-CN"/>
              </w:rPr>
              <w:t>是否接受</w:t>
            </w:r>
          </w:p>
          <w:p w14:paraId="2B12DC01">
            <w:pPr>
              <w:keepNext w:val="0"/>
              <w:keepLines w:val="0"/>
              <w:pageBreakBefore w:val="0"/>
              <w:kinsoku/>
              <w:overflowPunct/>
              <w:topLinePunct w:val="0"/>
              <w:autoSpaceDE/>
              <w:autoSpaceDN/>
              <w:bidi w:val="0"/>
              <w:spacing w:line="240" w:lineRule="auto"/>
              <w:contextualSpacing/>
              <w:jc w:val="center"/>
              <w:textAlignment w:val="auto"/>
              <w:rPr>
                <w:rFonts w:hint="default" w:ascii="仿宋" w:hAnsi="仿宋" w:eastAsia="仿宋"/>
                <w:b/>
                <w:bCs/>
                <w:color w:val="auto"/>
                <w:sz w:val="24"/>
                <w:szCs w:val="24"/>
                <w:highlight w:val="none"/>
                <w:vertAlign w:val="baseline"/>
                <w:lang w:val="en-US" w:eastAsia="zh-CN"/>
              </w:rPr>
            </w:pPr>
            <w:r>
              <w:rPr>
                <w:rFonts w:hint="eastAsia" w:ascii="仿宋" w:hAnsi="仿宋" w:eastAsia="仿宋"/>
                <w:b/>
                <w:bCs/>
                <w:color w:val="auto"/>
                <w:sz w:val="24"/>
                <w:szCs w:val="24"/>
                <w:highlight w:val="none"/>
                <w:vertAlign w:val="baseline"/>
                <w:lang w:val="en-US" w:eastAsia="zh-CN"/>
              </w:rPr>
              <w:t>进口产品</w:t>
            </w:r>
          </w:p>
        </w:tc>
        <w:tc>
          <w:tcPr>
            <w:tcW w:w="2205" w:type="dxa"/>
            <w:shd w:val="clear" w:color="auto" w:fill="F7CAAC" w:themeFill="accent2" w:themeFillTint="66"/>
            <w:noWrap w:val="0"/>
            <w:vAlign w:val="center"/>
          </w:tcPr>
          <w:p w14:paraId="00E41272">
            <w:pPr>
              <w:keepNext w:val="0"/>
              <w:keepLines w:val="0"/>
              <w:pageBreakBefore w:val="0"/>
              <w:kinsoku/>
              <w:overflowPunct/>
              <w:topLinePunct w:val="0"/>
              <w:autoSpaceDE/>
              <w:autoSpaceDN/>
              <w:bidi w:val="0"/>
              <w:spacing w:line="240" w:lineRule="auto"/>
              <w:contextualSpacing/>
              <w:jc w:val="center"/>
              <w:textAlignment w:val="auto"/>
              <w:rPr>
                <w:rFonts w:hint="default" w:ascii="仿宋" w:hAnsi="仿宋" w:eastAsia="仿宋"/>
                <w:b/>
                <w:bCs/>
                <w:color w:val="auto"/>
                <w:sz w:val="24"/>
                <w:szCs w:val="24"/>
                <w:highlight w:val="none"/>
                <w:vertAlign w:val="baseline"/>
                <w:lang w:val="en-US" w:eastAsia="zh-CN"/>
              </w:rPr>
            </w:pPr>
            <w:r>
              <w:rPr>
                <w:rFonts w:hint="eastAsia" w:ascii="仿宋" w:hAnsi="仿宋" w:eastAsia="仿宋"/>
                <w:b/>
                <w:bCs/>
                <w:color w:val="auto"/>
                <w:sz w:val="24"/>
                <w:szCs w:val="24"/>
                <w:highlight w:val="none"/>
                <w:vertAlign w:val="baseline"/>
                <w:lang w:val="en-US" w:eastAsia="zh-CN"/>
              </w:rPr>
              <w:t>货物（产品）名称</w:t>
            </w:r>
          </w:p>
        </w:tc>
        <w:tc>
          <w:tcPr>
            <w:tcW w:w="855" w:type="dxa"/>
            <w:shd w:val="clear" w:color="auto" w:fill="F7CAAC" w:themeFill="accent2" w:themeFillTint="66"/>
            <w:noWrap w:val="0"/>
            <w:vAlign w:val="center"/>
          </w:tcPr>
          <w:p w14:paraId="4F501F95">
            <w:pPr>
              <w:keepNext w:val="0"/>
              <w:keepLines w:val="0"/>
              <w:pageBreakBefore w:val="0"/>
              <w:kinsoku/>
              <w:overflowPunct/>
              <w:topLinePunct w:val="0"/>
              <w:autoSpaceDE/>
              <w:autoSpaceDN/>
              <w:bidi w:val="0"/>
              <w:spacing w:line="240" w:lineRule="auto"/>
              <w:contextualSpacing/>
              <w:jc w:val="center"/>
              <w:textAlignment w:val="auto"/>
              <w:rPr>
                <w:rFonts w:hint="default" w:ascii="仿宋" w:hAnsi="仿宋" w:eastAsia="仿宋"/>
                <w:b/>
                <w:bCs/>
                <w:color w:val="auto"/>
                <w:sz w:val="24"/>
                <w:szCs w:val="24"/>
                <w:highlight w:val="none"/>
                <w:vertAlign w:val="baseline"/>
                <w:lang w:val="en-US" w:eastAsia="zh-CN"/>
              </w:rPr>
            </w:pPr>
            <w:r>
              <w:rPr>
                <w:rFonts w:hint="eastAsia" w:ascii="仿宋" w:hAnsi="仿宋" w:eastAsia="仿宋"/>
                <w:b/>
                <w:bCs/>
                <w:color w:val="auto"/>
                <w:sz w:val="24"/>
                <w:szCs w:val="24"/>
                <w:highlight w:val="none"/>
                <w:vertAlign w:val="baseline"/>
                <w:lang w:val="en-US" w:eastAsia="zh-CN"/>
              </w:rPr>
              <w:t>数量</w:t>
            </w:r>
          </w:p>
        </w:tc>
        <w:tc>
          <w:tcPr>
            <w:tcW w:w="1073" w:type="dxa"/>
            <w:shd w:val="clear" w:color="auto" w:fill="F7CAAC" w:themeFill="accent2" w:themeFillTint="66"/>
            <w:noWrap w:val="0"/>
            <w:vAlign w:val="center"/>
          </w:tcPr>
          <w:p w14:paraId="670CA869">
            <w:pPr>
              <w:keepNext w:val="0"/>
              <w:keepLines w:val="0"/>
              <w:pageBreakBefore w:val="0"/>
              <w:kinsoku/>
              <w:overflowPunct/>
              <w:topLinePunct w:val="0"/>
              <w:autoSpaceDE/>
              <w:autoSpaceDN/>
              <w:bidi w:val="0"/>
              <w:spacing w:line="240" w:lineRule="auto"/>
              <w:contextualSpacing/>
              <w:jc w:val="center"/>
              <w:textAlignment w:val="auto"/>
              <w:rPr>
                <w:rFonts w:hint="eastAsia" w:ascii="仿宋" w:hAnsi="仿宋" w:eastAsia="仿宋"/>
                <w:b/>
                <w:bCs/>
                <w:color w:val="auto"/>
                <w:sz w:val="24"/>
                <w:szCs w:val="24"/>
                <w:highlight w:val="none"/>
                <w:vertAlign w:val="baseline"/>
                <w:lang w:val="en-US" w:eastAsia="zh-CN"/>
              </w:rPr>
            </w:pPr>
            <w:r>
              <w:rPr>
                <w:rFonts w:hint="eastAsia" w:ascii="仿宋" w:hAnsi="仿宋" w:eastAsia="仿宋"/>
                <w:b/>
                <w:bCs/>
                <w:color w:val="auto"/>
                <w:sz w:val="24"/>
                <w:szCs w:val="24"/>
                <w:highlight w:val="none"/>
                <w:vertAlign w:val="baseline"/>
                <w:lang w:val="en-US" w:eastAsia="zh-CN"/>
              </w:rPr>
              <w:t>计量</w:t>
            </w:r>
          </w:p>
          <w:p w14:paraId="48764AA2">
            <w:pPr>
              <w:keepNext w:val="0"/>
              <w:keepLines w:val="0"/>
              <w:pageBreakBefore w:val="0"/>
              <w:kinsoku/>
              <w:overflowPunct/>
              <w:topLinePunct w:val="0"/>
              <w:autoSpaceDE/>
              <w:autoSpaceDN/>
              <w:bidi w:val="0"/>
              <w:spacing w:line="240" w:lineRule="auto"/>
              <w:contextualSpacing/>
              <w:jc w:val="center"/>
              <w:textAlignment w:val="auto"/>
              <w:rPr>
                <w:rFonts w:hint="default" w:ascii="仿宋" w:hAnsi="仿宋" w:eastAsia="仿宋"/>
                <w:b/>
                <w:bCs/>
                <w:color w:val="auto"/>
                <w:sz w:val="24"/>
                <w:szCs w:val="24"/>
                <w:highlight w:val="none"/>
                <w:vertAlign w:val="baseline"/>
                <w:lang w:val="en-US" w:eastAsia="zh-CN"/>
              </w:rPr>
            </w:pPr>
            <w:r>
              <w:rPr>
                <w:rFonts w:hint="eastAsia" w:ascii="仿宋" w:hAnsi="仿宋" w:eastAsia="仿宋"/>
                <w:b/>
                <w:bCs/>
                <w:color w:val="auto"/>
                <w:sz w:val="24"/>
                <w:szCs w:val="24"/>
                <w:highlight w:val="none"/>
                <w:vertAlign w:val="baseline"/>
                <w:lang w:val="en-US" w:eastAsia="zh-CN"/>
              </w:rPr>
              <w:t>单位</w:t>
            </w:r>
          </w:p>
        </w:tc>
        <w:tc>
          <w:tcPr>
            <w:tcW w:w="1105" w:type="dxa"/>
            <w:shd w:val="clear" w:color="auto" w:fill="F7CAAC" w:themeFill="accent2" w:themeFillTint="66"/>
            <w:noWrap w:val="0"/>
            <w:vAlign w:val="center"/>
          </w:tcPr>
          <w:p w14:paraId="1B833F54">
            <w:pPr>
              <w:keepNext w:val="0"/>
              <w:keepLines w:val="0"/>
              <w:pageBreakBefore w:val="0"/>
              <w:kinsoku/>
              <w:overflowPunct/>
              <w:topLinePunct w:val="0"/>
              <w:autoSpaceDE/>
              <w:autoSpaceDN/>
              <w:bidi w:val="0"/>
              <w:spacing w:line="240" w:lineRule="auto"/>
              <w:contextualSpacing/>
              <w:jc w:val="center"/>
              <w:textAlignment w:val="auto"/>
              <w:rPr>
                <w:rFonts w:hint="eastAsia" w:ascii="仿宋" w:hAnsi="仿宋" w:eastAsia="仿宋" w:cs="Times New Roman"/>
                <w:b/>
                <w:bCs/>
                <w:color w:val="auto"/>
                <w:sz w:val="24"/>
                <w:szCs w:val="24"/>
                <w:highlight w:val="none"/>
                <w:vertAlign w:val="baseline"/>
                <w:lang w:val="en-US" w:eastAsia="zh-CN"/>
              </w:rPr>
            </w:pPr>
            <w:r>
              <w:rPr>
                <w:rFonts w:hint="eastAsia" w:ascii="仿宋" w:hAnsi="仿宋" w:eastAsia="仿宋" w:cs="Times New Roman"/>
                <w:b/>
                <w:bCs/>
                <w:color w:val="auto"/>
                <w:sz w:val="24"/>
                <w:szCs w:val="24"/>
                <w:highlight w:val="none"/>
                <w:vertAlign w:val="baseline"/>
                <w:lang w:val="en-US" w:eastAsia="zh-CN"/>
              </w:rPr>
              <w:t>单价</w:t>
            </w:r>
          </w:p>
          <w:p w14:paraId="74DE195E">
            <w:pPr>
              <w:keepNext w:val="0"/>
              <w:keepLines w:val="0"/>
              <w:pageBreakBefore w:val="0"/>
              <w:kinsoku/>
              <w:overflowPunct/>
              <w:topLinePunct w:val="0"/>
              <w:autoSpaceDE/>
              <w:autoSpaceDN/>
              <w:bidi w:val="0"/>
              <w:spacing w:line="240" w:lineRule="auto"/>
              <w:contextualSpacing/>
              <w:jc w:val="center"/>
              <w:textAlignment w:val="auto"/>
              <w:rPr>
                <w:rFonts w:hint="default" w:ascii="仿宋" w:hAnsi="仿宋" w:eastAsia="仿宋" w:cs="Times New Roman"/>
                <w:b/>
                <w:bCs/>
                <w:color w:val="auto"/>
                <w:sz w:val="24"/>
                <w:szCs w:val="24"/>
                <w:highlight w:val="none"/>
                <w:vertAlign w:val="baseline"/>
                <w:lang w:val="en-US" w:eastAsia="zh-CN"/>
              </w:rPr>
            </w:pPr>
            <w:r>
              <w:rPr>
                <w:rFonts w:hint="eastAsia" w:ascii="仿宋" w:hAnsi="仿宋" w:eastAsia="仿宋" w:cs="Times New Roman"/>
                <w:b/>
                <w:bCs/>
                <w:color w:val="auto"/>
                <w:sz w:val="24"/>
                <w:szCs w:val="24"/>
                <w:highlight w:val="none"/>
                <w:vertAlign w:val="baseline"/>
                <w:lang w:val="en-US" w:eastAsia="zh-CN"/>
              </w:rPr>
              <w:t>（元）</w:t>
            </w:r>
          </w:p>
        </w:tc>
        <w:tc>
          <w:tcPr>
            <w:tcW w:w="1323" w:type="dxa"/>
            <w:shd w:val="clear" w:color="auto" w:fill="F7CAAC" w:themeFill="accent2" w:themeFillTint="66"/>
            <w:noWrap w:val="0"/>
            <w:vAlign w:val="center"/>
          </w:tcPr>
          <w:p w14:paraId="458A0E21">
            <w:pPr>
              <w:keepNext w:val="0"/>
              <w:keepLines w:val="0"/>
              <w:pageBreakBefore w:val="0"/>
              <w:kinsoku/>
              <w:overflowPunct/>
              <w:topLinePunct w:val="0"/>
              <w:autoSpaceDE/>
              <w:autoSpaceDN/>
              <w:bidi w:val="0"/>
              <w:spacing w:line="240" w:lineRule="auto"/>
              <w:contextualSpacing/>
              <w:jc w:val="center"/>
              <w:textAlignment w:val="auto"/>
              <w:rPr>
                <w:rFonts w:hint="eastAsia" w:ascii="仿宋" w:hAnsi="仿宋" w:eastAsia="仿宋" w:cs="Times New Roman"/>
                <w:b/>
                <w:bCs/>
                <w:color w:val="auto"/>
                <w:sz w:val="24"/>
                <w:szCs w:val="24"/>
                <w:highlight w:val="none"/>
                <w:vertAlign w:val="baseline"/>
                <w:lang w:val="en-US" w:eastAsia="zh-CN"/>
              </w:rPr>
            </w:pPr>
            <w:r>
              <w:rPr>
                <w:rFonts w:hint="eastAsia" w:ascii="仿宋" w:hAnsi="仿宋" w:eastAsia="仿宋" w:cs="Times New Roman"/>
                <w:b/>
                <w:bCs/>
                <w:color w:val="auto"/>
                <w:sz w:val="24"/>
                <w:szCs w:val="24"/>
                <w:highlight w:val="none"/>
                <w:vertAlign w:val="baseline"/>
                <w:lang w:val="en-US" w:eastAsia="zh-CN"/>
              </w:rPr>
              <w:t>总价</w:t>
            </w:r>
          </w:p>
          <w:p w14:paraId="6980C59D">
            <w:pPr>
              <w:keepNext w:val="0"/>
              <w:keepLines w:val="0"/>
              <w:pageBreakBefore w:val="0"/>
              <w:kinsoku/>
              <w:overflowPunct/>
              <w:topLinePunct w:val="0"/>
              <w:autoSpaceDE/>
              <w:autoSpaceDN/>
              <w:bidi w:val="0"/>
              <w:spacing w:line="240" w:lineRule="auto"/>
              <w:contextualSpacing/>
              <w:jc w:val="center"/>
              <w:textAlignment w:val="auto"/>
              <w:rPr>
                <w:rFonts w:hint="default" w:ascii="仿宋" w:hAnsi="仿宋" w:eastAsia="仿宋" w:cs="Times New Roman"/>
                <w:b/>
                <w:bCs/>
                <w:color w:val="auto"/>
                <w:sz w:val="24"/>
                <w:szCs w:val="24"/>
                <w:highlight w:val="none"/>
                <w:vertAlign w:val="baseline"/>
                <w:lang w:val="en-US" w:eastAsia="zh-CN"/>
              </w:rPr>
            </w:pPr>
            <w:r>
              <w:rPr>
                <w:rFonts w:hint="eastAsia" w:ascii="仿宋" w:hAnsi="仿宋" w:eastAsia="仿宋" w:cs="Times New Roman"/>
                <w:b/>
                <w:bCs/>
                <w:color w:val="auto"/>
                <w:sz w:val="24"/>
                <w:szCs w:val="24"/>
                <w:highlight w:val="none"/>
                <w:vertAlign w:val="baseline"/>
                <w:lang w:val="en-US" w:eastAsia="zh-CN"/>
              </w:rPr>
              <w:t>（元）</w:t>
            </w:r>
          </w:p>
        </w:tc>
        <w:tc>
          <w:tcPr>
            <w:tcW w:w="1584" w:type="dxa"/>
            <w:shd w:val="clear" w:color="auto" w:fill="F7CAAC" w:themeFill="accent2" w:themeFillTint="66"/>
            <w:noWrap w:val="0"/>
            <w:vAlign w:val="center"/>
          </w:tcPr>
          <w:p w14:paraId="43495E88">
            <w:pPr>
              <w:keepNext w:val="0"/>
              <w:keepLines w:val="0"/>
              <w:pageBreakBefore w:val="0"/>
              <w:kinsoku/>
              <w:overflowPunct/>
              <w:topLinePunct w:val="0"/>
              <w:autoSpaceDE/>
              <w:autoSpaceDN/>
              <w:bidi w:val="0"/>
              <w:spacing w:line="240" w:lineRule="auto"/>
              <w:contextualSpacing/>
              <w:jc w:val="center"/>
              <w:textAlignment w:val="auto"/>
              <w:rPr>
                <w:rFonts w:hint="default" w:ascii="仿宋" w:hAnsi="仿宋" w:eastAsia="仿宋"/>
                <w:b/>
                <w:bCs/>
                <w:color w:val="auto"/>
                <w:sz w:val="24"/>
                <w:szCs w:val="24"/>
                <w:highlight w:val="none"/>
                <w:vertAlign w:val="baseline"/>
                <w:lang w:val="en-US" w:eastAsia="zh-CN"/>
              </w:rPr>
            </w:pPr>
            <w:r>
              <w:rPr>
                <w:rFonts w:hint="eastAsia" w:ascii="仿宋" w:hAnsi="仿宋" w:eastAsia="仿宋"/>
                <w:b/>
                <w:bCs/>
                <w:color w:val="auto"/>
                <w:sz w:val="24"/>
                <w:szCs w:val="24"/>
                <w:highlight w:val="none"/>
                <w:vertAlign w:val="baseline"/>
                <w:lang w:val="en-US" w:eastAsia="zh-CN"/>
              </w:rPr>
              <w:t>备注</w:t>
            </w:r>
          </w:p>
        </w:tc>
      </w:tr>
      <w:tr w14:paraId="0A6D0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609" w:type="dxa"/>
            <w:noWrap w:val="0"/>
            <w:vAlign w:val="center"/>
          </w:tcPr>
          <w:p w14:paraId="2E60039C">
            <w:pPr>
              <w:keepNext w:val="0"/>
              <w:keepLines w:val="0"/>
              <w:pageBreakBefore w:val="0"/>
              <w:kinsoku/>
              <w:overflowPunct/>
              <w:topLinePunct w:val="0"/>
              <w:autoSpaceDE/>
              <w:autoSpaceDN/>
              <w:bidi w:val="0"/>
              <w:spacing w:line="440" w:lineRule="exact"/>
              <w:contextualSpacing/>
              <w:jc w:val="center"/>
              <w:textAlignment w:val="auto"/>
              <w:rPr>
                <w:rFonts w:hint="default"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1</w:t>
            </w:r>
          </w:p>
        </w:tc>
        <w:tc>
          <w:tcPr>
            <w:tcW w:w="1290" w:type="dxa"/>
            <w:noWrap w:val="0"/>
            <w:vAlign w:val="center"/>
          </w:tcPr>
          <w:p w14:paraId="341A70D9">
            <w:pPr>
              <w:keepNext w:val="0"/>
              <w:keepLines w:val="0"/>
              <w:widowControl/>
              <w:suppressLineNumbers w:val="0"/>
              <w:jc w:val="center"/>
              <w:textAlignment w:val="center"/>
              <w:rPr>
                <w:rFonts w:hint="default"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否</w:t>
            </w:r>
          </w:p>
        </w:tc>
        <w:tc>
          <w:tcPr>
            <w:tcW w:w="2205" w:type="dxa"/>
            <w:noWrap w:val="0"/>
            <w:vAlign w:val="center"/>
          </w:tcPr>
          <w:p w14:paraId="657B6993">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中控主机</w:t>
            </w:r>
          </w:p>
        </w:tc>
        <w:tc>
          <w:tcPr>
            <w:tcW w:w="855" w:type="dxa"/>
            <w:noWrap w:val="0"/>
            <w:vAlign w:val="center"/>
          </w:tcPr>
          <w:p w14:paraId="0D3BBA87">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1</w:t>
            </w:r>
          </w:p>
        </w:tc>
        <w:tc>
          <w:tcPr>
            <w:tcW w:w="1073" w:type="dxa"/>
            <w:noWrap w:val="0"/>
            <w:vAlign w:val="center"/>
          </w:tcPr>
          <w:p w14:paraId="538E1472">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台</w:t>
            </w:r>
          </w:p>
        </w:tc>
        <w:tc>
          <w:tcPr>
            <w:tcW w:w="1105" w:type="dxa"/>
            <w:noWrap w:val="0"/>
            <w:vAlign w:val="center"/>
          </w:tcPr>
          <w:p w14:paraId="57154EA9">
            <w:pPr>
              <w:keepNext w:val="0"/>
              <w:keepLines w:val="0"/>
              <w:widowControl/>
              <w:suppressLineNumbers w:val="0"/>
              <w:jc w:val="center"/>
              <w:textAlignment w:val="center"/>
              <w:rPr>
                <w:rFonts w:hint="default"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4890</w:t>
            </w:r>
          </w:p>
        </w:tc>
        <w:tc>
          <w:tcPr>
            <w:tcW w:w="1323" w:type="dxa"/>
            <w:noWrap w:val="0"/>
            <w:vAlign w:val="center"/>
          </w:tcPr>
          <w:p w14:paraId="09E1BEC2">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4890</w:t>
            </w:r>
          </w:p>
        </w:tc>
        <w:tc>
          <w:tcPr>
            <w:tcW w:w="1584" w:type="dxa"/>
            <w:vMerge w:val="restart"/>
            <w:noWrap w:val="0"/>
            <w:vAlign w:val="center"/>
          </w:tcPr>
          <w:p w14:paraId="70924AEC">
            <w:pPr>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仿宋" w:hAnsi="仿宋" w:eastAsia="仿宋"/>
                <w:color w:val="auto"/>
                <w:sz w:val="24"/>
                <w:szCs w:val="24"/>
                <w:highlight w:val="none"/>
                <w:vertAlign w:val="baseline"/>
                <w:lang w:val="en-US" w:eastAsia="zh-CN"/>
              </w:rPr>
            </w:pPr>
            <w:r>
              <w:rPr>
                <w:rFonts w:hint="eastAsia" w:ascii="仿宋" w:hAnsi="仿宋" w:eastAsia="仿宋" w:cs="仿宋"/>
                <w:color w:val="auto"/>
                <w:kern w:val="0"/>
                <w:sz w:val="24"/>
                <w:szCs w:val="24"/>
                <w:highlight w:val="none"/>
                <w:lang w:val="en-US" w:eastAsia="zh-CN"/>
              </w:rPr>
              <w:t>具体要求详见招标文件第五章。</w:t>
            </w:r>
          </w:p>
        </w:tc>
      </w:tr>
      <w:tr w14:paraId="38C16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609" w:type="dxa"/>
            <w:noWrap w:val="0"/>
            <w:vAlign w:val="center"/>
          </w:tcPr>
          <w:p w14:paraId="26104C79">
            <w:pPr>
              <w:keepNext w:val="0"/>
              <w:keepLines w:val="0"/>
              <w:pageBreakBefore w:val="0"/>
              <w:kinsoku/>
              <w:overflowPunct/>
              <w:topLinePunct w:val="0"/>
              <w:autoSpaceDE/>
              <w:autoSpaceDN/>
              <w:bidi w:val="0"/>
              <w:spacing w:line="440" w:lineRule="exact"/>
              <w:contextualSpacing/>
              <w:jc w:val="center"/>
              <w:textAlignment w:val="auto"/>
              <w:rPr>
                <w:rFonts w:hint="default"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2</w:t>
            </w:r>
          </w:p>
        </w:tc>
        <w:tc>
          <w:tcPr>
            <w:tcW w:w="1290" w:type="dxa"/>
            <w:noWrap w:val="0"/>
            <w:vAlign w:val="center"/>
          </w:tcPr>
          <w:p w14:paraId="5E34A16E">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否</w:t>
            </w:r>
          </w:p>
        </w:tc>
        <w:tc>
          <w:tcPr>
            <w:tcW w:w="2205" w:type="dxa"/>
            <w:noWrap w:val="0"/>
            <w:vAlign w:val="center"/>
          </w:tcPr>
          <w:p w14:paraId="2B7520DF">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中控面板</w:t>
            </w:r>
          </w:p>
        </w:tc>
        <w:tc>
          <w:tcPr>
            <w:tcW w:w="855" w:type="dxa"/>
            <w:noWrap w:val="0"/>
            <w:vAlign w:val="center"/>
          </w:tcPr>
          <w:p w14:paraId="1B2898A3">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1</w:t>
            </w:r>
          </w:p>
        </w:tc>
        <w:tc>
          <w:tcPr>
            <w:tcW w:w="1073" w:type="dxa"/>
            <w:noWrap w:val="0"/>
            <w:vAlign w:val="center"/>
          </w:tcPr>
          <w:p w14:paraId="7F902F0E">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台</w:t>
            </w:r>
          </w:p>
        </w:tc>
        <w:tc>
          <w:tcPr>
            <w:tcW w:w="1105" w:type="dxa"/>
            <w:noWrap w:val="0"/>
            <w:vAlign w:val="center"/>
          </w:tcPr>
          <w:p w14:paraId="535E9CFA">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5890</w:t>
            </w:r>
          </w:p>
        </w:tc>
        <w:tc>
          <w:tcPr>
            <w:tcW w:w="1323" w:type="dxa"/>
            <w:noWrap w:val="0"/>
            <w:vAlign w:val="center"/>
          </w:tcPr>
          <w:p w14:paraId="049FB632">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5890</w:t>
            </w:r>
          </w:p>
        </w:tc>
        <w:tc>
          <w:tcPr>
            <w:tcW w:w="1584" w:type="dxa"/>
            <w:vMerge w:val="continue"/>
            <w:noWrap w:val="0"/>
            <w:vAlign w:val="center"/>
          </w:tcPr>
          <w:p w14:paraId="5C28C3EF">
            <w:pPr>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color w:val="auto"/>
                <w:kern w:val="0"/>
                <w:sz w:val="24"/>
                <w:szCs w:val="24"/>
                <w:highlight w:val="none"/>
                <w:lang w:val="en-US" w:eastAsia="zh-CN"/>
              </w:rPr>
            </w:pPr>
          </w:p>
        </w:tc>
      </w:tr>
      <w:tr w14:paraId="25594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609" w:type="dxa"/>
            <w:noWrap w:val="0"/>
            <w:vAlign w:val="center"/>
          </w:tcPr>
          <w:p w14:paraId="2EC8F814">
            <w:pPr>
              <w:keepNext w:val="0"/>
              <w:keepLines w:val="0"/>
              <w:pageBreakBefore w:val="0"/>
              <w:kinsoku/>
              <w:overflowPunct/>
              <w:topLinePunct w:val="0"/>
              <w:autoSpaceDE/>
              <w:autoSpaceDN/>
              <w:bidi w:val="0"/>
              <w:spacing w:line="440" w:lineRule="exact"/>
              <w:contextualSpacing/>
              <w:jc w:val="center"/>
              <w:textAlignment w:val="auto"/>
              <w:rPr>
                <w:rFonts w:hint="default"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3</w:t>
            </w:r>
          </w:p>
        </w:tc>
        <w:tc>
          <w:tcPr>
            <w:tcW w:w="1290" w:type="dxa"/>
            <w:noWrap w:val="0"/>
            <w:vAlign w:val="center"/>
          </w:tcPr>
          <w:p w14:paraId="06A5262F">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否</w:t>
            </w:r>
          </w:p>
        </w:tc>
        <w:tc>
          <w:tcPr>
            <w:tcW w:w="2205" w:type="dxa"/>
            <w:noWrap w:val="0"/>
            <w:vAlign w:val="center"/>
          </w:tcPr>
          <w:p w14:paraId="13287855">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精品录播主机</w:t>
            </w:r>
          </w:p>
        </w:tc>
        <w:tc>
          <w:tcPr>
            <w:tcW w:w="855" w:type="dxa"/>
            <w:noWrap w:val="0"/>
            <w:vAlign w:val="center"/>
          </w:tcPr>
          <w:p w14:paraId="24613255">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1</w:t>
            </w:r>
          </w:p>
        </w:tc>
        <w:tc>
          <w:tcPr>
            <w:tcW w:w="1073" w:type="dxa"/>
            <w:noWrap w:val="0"/>
            <w:vAlign w:val="center"/>
          </w:tcPr>
          <w:p w14:paraId="48D606C7">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套</w:t>
            </w:r>
          </w:p>
        </w:tc>
        <w:tc>
          <w:tcPr>
            <w:tcW w:w="1105" w:type="dxa"/>
            <w:noWrap w:val="0"/>
            <w:vAlign w:val="center"/>
          </w:tcPr>
          <w:p w14:paraId="5B3D0987">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6285</w:t>
            </w:r>
          </w:p>
        </w:tc>
        <w:tc>
          <w:tcPr>
            <w:tcW w:w="1323" w:type="dxa"/>
            <w:noWrap w:val="0"/>
            <w:vAlign w:val="center"/>
          </w:tcPr>
          <w:p w14:paraId="0F22CB33">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6285</w:t>
            </w:r>
          </w:p>
        </w:tc>
        <w:tc>
          <w:tcPr>
            <w:tcW w:w="1584" w:type="dxa"/>
            <w:vMerge w:val="continue"/>
            <w:noWrap w:val="0"/>
            <w:vAlign w:val="center"/>
          </w:tcPr>
          <w:p w14:paraId="50272A36">
            <w:pPr>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color w:val="auto"/>
                <w:kern w:val="0"/>
                <w:sz w:val="24"/>
                <w:szCs w:val="24"/>
                <w:highlight w:val="none"/>
                <w:lang w:val="en-US" w:eastAsia="zh-CN"/>
              </w:rPr>
            </w:pPr>
          </w:p>
        </w:tc>
      </w:tr>
      <w:tr w14:paraId="43FE0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609" w:type="dxa"/>
            <w:noWrap w:val="0"/>
            <w:vAlign w:val="center"/>
          </w:tcPr>
          <w:p w14:paraId="15268AAD">
            <w:pPr>
              <w:keepNext w:val="0"/>
              <w:keepLines w:val="0"/>
              <w:pageBreakBefore w:val="0"/>
              <w:kinsoku/>
              <w:overflowPunct/>
              <w:topLinePunct w:val="0"/>
              <w:autoSpaceDE/>
              <w:autoSpaceDN/>
              <w:bidi w:val="0"/>
              <w:spacing w:line="440" w:lineRule="exact"/>
              <w:contextualSpacing/>
              <w:jc w:val="center"/>
              <w:textAlignment w:val="auto"/>
              <w:rPr>
                <w:rFonts w:hint="default"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4</w:t>
            </w:r>
          </w:p>
        </w:tc>
        <w:tc>
          <w:tcPr>
            <w:tcW w:w="1290" w:type="dxa"/>
            <w:noWrap w:val="0"/>
            <w:vAlign w:val="center"/>
          </w:tcPr>
          <w:p w14:paraId="4C87B6D0">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否</w:t>
            </w:r>
          </w:p>
        </w:tc>
        <w:tc>
          <w:tcPr>
            <w:tcW w:w="2205" w:type="dxa"/>
            <w:noWrap w:val="0"/>
            <w:vAlign w:val="center"/>
          </w:tcPr>
          <w:p w14:paraId="6227CACB">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精品录播流媒体控制处理系统</w:t>
            </w:r>
          </w:p>
        </w:tc>
        <w:tc>
          <w:tcPr>
            <w:tcW w:w="855" w:type="dxa"/>
            <w:noWrap w:val="0"/>
            <w:vAlign w:val="center"/>
          </w:tcPr>
          <w:p w14:paraId="515E85E3">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1</w:t>
            </w:r>
          </w:p>
        </w:tc>
        <w:tc>
          <w:tcPr>
            <w:tcW w:w="1073" w:type="dxa"/>
            <w:noWrap w:val="0"/>
            <w:vAlign w:val="center"/>
          </w:tcPr>
          <w:p w14:paraId="7BEB7503">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台</w:t>
            </w:r>
          </w:p>
        </w:tc>
        <w:tc>
          <w:tcPr>
            <w:tcW w:w="1105" w:type="dxa"/>
            <w:noWrap w:val="0"/>
            <w:vAlign w:val="center"/>
          </w:tcPr>
          <w:p w14:paraId="4DAC3680">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5860</w:t>
            </w:r>
          </w:p>
        </w:tc>
        <w:tc>
          <w:tcPr>
            <w:tcW w:w="1323" w:type="dxa"/>
            <w:noWrap w:val="0"/>
            <w:vAlign w:val="center"/>
          </w:tcPr>
          <w:p w14:paraId="0685F0CC">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5860</w:t>
            </w:r>
          </w:p>
        </w:tc>
        <w:tc>
          <w:tcPr>
            <w:tcW w:w="1584" w:type="dxa"/>
            <w:vMerge w:val="continue"/>
            <w:noWrap w:val="0"/>
            <w:vAlign w:val="center"/>
          </w:tcPr>
          <w:p w14:paraId="6FF8F1A7">
            <w:pPr>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color w:val="auto"/>
                <w:kern w:val="0"/>
                <w:sz w:val="24"/>
                <w:szCs w:val="24"/>
                <w:highlight w:val="none"/>
                <w:lang w:val="en-US" w:eastAsia="zh-CN"/>
              </w:rPr>
            </w:pPr>
          </w:p>
        </w:tc>
      </w:tr>
      <w:tr w14:paraId="12B0E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609" w:type="dxa"/>
            <w:noWrap w:val="0"/>
            <w:vAlign w:val="center"/>
          </w:tcPr>
          <w:p w14:paraId="37D6B414">
            <w:pPr>
              <w:keepNext w:val="0"/>
              <w:keepLines w:val="0"/>
              <w:pageBreakBefore w:val="0"/>
              <w:kinsoku/>
              <w:overflowPunct/>
              <w:topLinePunct w:val="0"/>
              <w:autoSpaceDE/>
              <w:autoSpaceDN/>
              <w:bidi w:val="0"/>
              <w:spacing w:line="440" w:lineRule="exact"/>
              <w:contextualSpacing/>
              <w:jc w:val="center"/>
              <w:textAlignment w:val="auto"/>
              <w:rPr>
                <w:rFonts w:hint="default"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5</w:t>
            </w:r>
          </w:p>
        </w:tc>
        <w:tc>
          <w:tcPr>
            <w:tcW w:w="1290" w:type="dxa"/>
            <w:noWrap w:val="0"/>
            <w:vAlign w:val="center"/>
          </w:tcPr>
          <w:p w14:paraId="18BCB1CA">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否</w:t>
            </w:r>
          </w:p>
        </w:tc>
        <w:tc>
          <w:tcPr>
            <w:tcW w:w="2205" w:type="dxa"/>
            <w:noWrap w:val="0"/>
            <w:vAlign w:val="center"/>
          </w:tcPr>
          <w:p w14:paraId="4F80C0C2">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精品录播导播管理控制系统</w:t>
            </w:r>
          </w:p>
        </w:tc>
        <w:tc>
          <w:tcPr>
            <w:tcW w:w="855" w:type="dxa"/>
            <w:noWrap w:val="0"/>
            <w:vAlign w:val="center"/>
          </w:tcPr>
          <w:p w14:paraId="41A20CA4">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1</w:t>
            </w:r>
          </w:p>
        </w:tc>
        <w:tc>
          <w:tcPr>
            <w:tcW w:w="1073" w:type="dxa"/>
            <w:noWrap w:val="0"/>
            <w:vAlign w:val="center"/>
          </w:tcPr>
          <w:p w14:paraId="2E32EA02">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套</w:t>
            </w:r>
          </w:p>
        </w:tc>
        <w:tc>
          <w:tcPr>
            <w:tcW w:w="1105" w:type="dxa"/>
            <w:noWrap w:val="0"/>
            <w:vAlign w:val="center"/>
          </w:tcPr>
          <w:p w14:paraId="7A6B30F6">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6180</w:t>
            </w:r>
          </w:p>
        </w:tc>
        <w:tc>
          <w:tcPr>
            <w:tcW w:w="1323" w:type="dxa"/>
            <w:noWrap w:val="0"/>
            <w:vAlign w:val="center"/>
          </w:tcPr>
          <w:p w14:paraId="0800F02A">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6180</w:t>
            </w:r>
          </w:p>
        </w:tc>
        <w:tc>
          <w:tcPr>
            <w:tcW w:w="1584" w:type="dxa"/>
            <w:vMerge w:val="continue"/>
            <w:noWrap w:val="0"/>
            <w:vAlign w:val="center"/>
          </w:tcPr>
          <w:p w14:paraId="6F5A5FED">
            <w:pPr>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color w:val="auto"/>
                <w:kern w:val="0"/>
                <w:sz w:val="24"/>
                <w:szCs w:val="24"/>
                <w:highlight w:val="none"/>
                <w:lang w:val="en-US" w:eastAsia="zh-CN"/>
              </w:rPr>
            </w:pPr>
          </w:p>
        </w:tc>
      </w:tr>
      <w:tr w14:paraId="3161C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609" w:type="dxa"/>
            <w:noWrap w:val="0"/>
            <w:vAlign w:val="center"/>
          </w:tcPr>
          <w:p w14:paraId="3FF9DBF4">
            <w:pPr>
              <w:keepNext w:val="0"/>
              <w:keepLines w:val="0"/>
              <w:pageBreakBefore w:val="0"/>
              <w:kinsoku/>
              <w:overflowPunct/>
              <w:topLinePunct w:val="0"/>
              <w:autoSpaceDE/>
              <w:autoSpaceDN/>
              <w:bidi w:val="0"/>
              <w:spacing w:line="440" w:lineRule="exact"/>
              <w:contextualSpacing/>
              <w:jc w:val="center"/>
              <w:textAlignment w:val="auto"/>
              <w:rPr>
                <w:rFonts w:hint="default"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6</w:t>
            </w:r>
          </w:p>
        </w:tc>
        <w:tc>
          <w:tcPr>
            <w:tcW w:w="1290" w:type="dxa"/>
            <w:noWrap w:val="0"/>
            <w:vAlign w:val="center"/>
          </w:tcPr>
          <w:p w14:paraId="027D7B82">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否</w:t>
            </w:r>
          </w:p>
        </w:tc>
        <w:tc>
          <w:tcPr>
            <w:tcW w:w="2205" w:type="dxa"/>
            <w:noWrap w:val="0"/>
            <w:vAlign w:val="center"/>
          </w:tcPr>
          <w:p w14:paraId="676D9C70">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学生定位摄像机</w:t>
            </w:r>
          </w:p>
        </w:tc>
        <w:tc>
          <w:tcPr>
            <w:tcW w:w="855" w:type="dxa"/>
            <w:noWrap w:val="0"/>
            <w:vAlign w:val="center"/>
          </w:tcPr>
          <w:p w14:paraId="002C6686">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1</w:t>
            </w:r>
          </w:p>
        </w:tc>
        <w:tc>
          <w:tcPr>
            <w:tcW w:w="1073" w:type="dxa"/>
            <w:noWrap w:val="0"/>
            <w:vAlign w:val="center"/>
          </w:tcPr>
          <w:p w14:paraId="2CD30035">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套</w:t>
            </w:r>
          </w:p>
        </w:tc>
        <w:tc>
          <w:tcPr>
            <w:tcW w:w="1105" w:type="dxa"/>
            <w:noWrap w:val="0"/>
            <w:vAlign w:val="center"/>
          </w:tcPr>
          <w:p w14:paraId="06DA6C1D">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6580</w:t>
            </w:r>
          </w:p>
        </w:tc>
        <w:tc>
          <w:tcPr>
            <w:tcW w:w="1323" w:type="dxa"/>
            <w:noWrap w:val="0"/>
            <w:vAlign w:val="center"/>
          </w:tcPr>
          <w:p w14:paraId="6BE64E9C">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6580</w:t>
            </w:r>
          </w:p>
        </w:tc>
        <w:tc>
          <w:tcPr>
            <w:tcW w:w="1584" w:type="dxa"/>
            <w:vMerge w:val="continue"/>
            <w:noWrap w:val="0"/>
            <w:vAlign w:val="center"/>
          </w:tcPr>
          <w:p w14:paraId="66B6F6D7">
            <w:pPr>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color w:val="auto"/>
                <w:kern w:val="0"/>
                <w:sz w:val="24"/>
                <w:szCs w:val="24"/>
                <w:highlight w:val="none"/>
                <w:lang w:val="en-US" w:eastAsia="zh-CN"/>
              </w:rPr>
            </w:pPr>
          </w:p>
        </w:tc>
      </w:tr>
      <w:tr w14:paraId="68368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609" w:type="dxa"/>
            <w:noWrap w:val="0"/>
            <w:vAlign w:val="center"/>
          </w:tcPr>
          <w:p w14:paraId="2A412786">
            <w:pPr>
              <w:keepNext w:val="0"/>
              <w:keepLines w:val="0"/>
              <w:pageBreakBefore w:val="0"/>
              <w:kinsoku/>
              <w:overflowPunct/>
              <w:topLinePunct w:val="0"/>
              <w:autoSpaceDE/>
              <w:autoSpaceDN/>
              <w:bidi w:val="0"/>
              <w:spacing w:line="440" w:lineRule="exact"/>
              <w:contextualSpacing/>
              <w:jc w:val="center"/>
              <w:textAlignment w:val="auto"/>
              <w:rPr>
                <w:rFonts w:hint="default"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7</w:t>
            </w:r>
          </w:p>
        </w:tc>
        <w:tc>
          <w:tcPr>
            <w:tcW w:w="1290" w:type="dxa"/>
            <w:noWrap w:val="0"/>
            <w:vAlign w:val="center"/>
          </w:tcPr>
          <w:p w14:paraId="44B9BEB2">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否</w:t>
            </w:r>
          </w:p>
        </w:tc>
        <w:tc>
          <w:tcPr>
            <w:tcW w:w="2205" w:type="dxa"/>
            <w:noWrap w:val="0"/>
            <w:vAlign w:val="center"/>
          </w:tcPr>
          <w:p w14:paraId="2A24FD1E">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学生摄像机图像处理系统</w:t>
            </w:r>
          </w:p>
        </w:tc>
        <w:tc>
          <w:tcPr>
            <w:tcW w:w="855" w:type="dxa"/>
            <w:noWrap w:val="0"/>
            <w:vAlign w:val="center"/>
          </w:tcPr>
          <w:p w14:paraId="44D139AE">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1</w:t>
            </w:r>
          </w:p>
        </w:tc>
        <w:tc>
          <w:tcPr>
            <w:tcW w:w="1073" w:type="dxa"/>
            <w:noWrap w:val="0"/>
            <w:vAlign w:val="center"/>
          </w:tcPr>
          <w:p w14:paraId="71B80687">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台</w:t>
            </w:r>
          </w:p>
        </w:tc>
        <w:tc>
          <w:tcPr>
            <w:tcW w:w="1105" w:type="dxa"/>
            <w:noWrap w:val="0"/>
            <w:vAlign w:val="center"/>
          </w:tcPr>
          <w:p w14:paraId="392FCCF7">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4200</w:t>
            </w:r>
          </w:p>
        </w:tc>
        <w:tc>
          <w:tcPr>
            <w:tcW w:w="1323" w:type="dxa"/>
            <w:noWrap w:val="0"/>
            <w:vAlign w:val="center"/>
          </w:tcPr>
          <w:p w14:paraId="2F5BDCF8">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4200</w:t>
            </w:r>
          </w:p>
        </w:tc>
        <w:tc>
          <w:tcPr>
            <w:tcW w:w="1584" w:type="dxa"/>
            <w:vMerge w:val="continue"/>
            <w:noWrap w:val="0"/>
            <w:vAlign w:val="center"/>
          </w:tcPr>
          <w:p w14:paraId="607D8122">
            <w:pPr>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color w:val="auto"/>
                <w:kern w:val="0"/>
                <w:sz w:val="24"/>
                <w:szCs w:val="24"/>
                <w:highlight w:val="none"/>
                <w:lang w:val="en-US" w:eastAsia="zh-CN"/>
              </w:rPr>
            </w:pPr>
          </w:p>
        </w:tc>
      </w:tr>
      <w:tr w14:paraId="56883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609" w:type="dxa"/>
            <w:noWrap w:val="0"/>
            <w:vAlign w:val="center"/>
          </w:tcPr>
          <w:p w14:paraId="241E64E4">
            <w:pPr>
              <w:keepNext w:val="0"/>
              <w:keepLines w:val="0"/>
              <w:pageBreakBefore w:val="0"/>
              <w:kinsoku/>
              <w:overflowPunct/>
              <w:topLinePunct w:val="0"/>
              <w:autoSpaceDE/>
              <w:autoSpaceDN/>
              <w:bidi w:val="0"/>
              <w:spacing w:line="440" w:lineRule="exact"/>
              <w:contextualSpacing/>
              <w:jc w:val="center"/>
              <w:textAlignment w:val="auto"/>
              <w:rPr>
                <w:rFonts w:hint="default"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8</w:t>
            </w:r>
          </w:p>
        </w:tc>
        <w:tc>
          <w:tcPr>
            <w:tcW w:w="1290" w:type="dxa"/>
            <w:noWrap w:val="0"/>
            <w:vAlign w:val="center"/>
          </w:tcPr>
          <w:p w14:paraId="2405E04F">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否</w:t>
            </w:r>
          </w:p>
        </w:tc>
        <w:tc>
          <w:tcPr>
            <w:tcW w:w="2205" w:type="dxa"/>
            <w:noWrap w:val="0"/>
            <w:vAlign w:val="center"/>
          </w:tcPr>
          <w:p w14:paraId="32EF1035">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机械云台摄像机</w:t>
            </w:r>
          </w:p>
        </w:tc>
        <w:tc>
          <w:tcPr>
            <w:tcW w:w="855" w:type="dxa"/>
            <w:noWrap w:val="0"/>
            <w:vAlign w:val="center"/>
          </w:tcPr>
          <w:p w14:paraId="7691DD48">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4</w:t>
            </w:r>
          </w:p>
        </w:tc>
        <w:tc>
          <w:tcPr>
            <w:tcW w:w="1073" w:type="dxa"/>
            <w:noWrap w:val="0"/>
            <w:vAlign w:val="center"/>
          </w:tcPr>
          <w:p w14:paraId="2EA98D92">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台</w:t>
            </w:r>
          </w:p>
        </w:tc>
        <w:tc>
          <w:tcPr>
            <w:tcW w:w="1105" w:type="dxa"/>
            <w:noWrap w:val="0"/>
            <w:vAlign w:val="center"/>
          </w:tcPr>
          <w:p w14:paraId="71415FF7">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6385</w:t>
            </w:r>
          </w:p>
        </w:tc>
        <w:tc>
          <w:tcPr>
            <w:tcW w:w="1323" w:type="dxa"/>
            <w:noWrap w:val="0"/>
            <w:vAlign w:val="center"/>
          </w:tcPr>
          <w:p w14:paraId="0E1BB134">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25540</w:t>
            </w:r>
          </w:p>
        </w:tc>
        <w:tc>
          <w:tcPr>
            <w:tcW w:w="1584" w:type="dxa"/>
            <w:vMerge w:val="continue"/>
            <w:noWrap w:val="0"/>
            <w:vAlign w:val="center"/>
          </w:tcPr>
          <w:p w14:paraId="68E82737">
            <w:pPr>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color w:val="auto"/>
                <w:kern w:val="0"/>
                <w:sz w:val="24"/>
                <w:szCs w:val="24"/>
                <w:highlight w:val="none"/>
                <w:lang w:val="en-US" w:eastAsia="zh-CN"/>
              </w:rPr>
            </w:pPr>
          </w:p>
        </w:tc>
      </w:tr>
      <w:tr w14:paraId="774B8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609" w:type="dxa"/>
            <w:noWrap w:val="0"/>
            <w:vAlign w:val="center"/>
          </w:tcPr>
          <w:p w14:paraId="04912C68">
            <w:pPr>
              <w:keepNext w:val="0"/>
              <w:keepLines w:val="0"/>
              <w:pageBreakBefore w:val="0"/>
              <w:kinsoku/>
              <w:overflowPunct/>
              <w:topLinePunct w:val="0"/>
              <w:autoSpaceDE/>
              <w:autoSpaceDN/>
              <w:bidi w:val="0"/>
              <w:spacing w:line="440" w:lineRule="exact"/>
              <w:contextualSpacing/>
              <w:jc w:val="center"/>
              <w:textAlignment w:val="auto"/>
              <w:rPr>
                <w:rFonts w:hint="default"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9</w:t>
            </w:r>
          </w:p>
        </w:tc>
        <w:tc>
          <w:tcPr>
            <w:tcW w:w="1290" w:type="dxa"/>
            <w:noWrap w:val="0"/>
            <w:vAlign w:val="center"/>
          </w:tcPr>
          <w:p w14:paraId="18E1B80A">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否</w:t>
            </w:r>
          </w:p>
        </w:tc>
        <w:tc>
          <w:tcPr>
            <w:tcW w:w="2205" w:type="dxa"/>
            <w:noWrap w:val="0"/>
            <w:vAlign w:val="center"/>
          </w:tcPr>
          <w:p w14:paraId="5CE15710">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跟踪云台摄像机图像处理系统</w:t>
            </w:r>
          </w:p>
        </w:tc>
        <w:tc>
          <w:tcPr>
            <w:tcW w:w="855" w:type="dxa"/>
            <w:noWrap w:val="0"/>
            <w:vAlign w:val="center"/>
          </w:tcPr>
          <w:p w14:paraId="02538F14">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4</w:t>
            </w:r>
          </w:p>
        </w:tc>
        <w:tc>
          <w:tcPr>
            <w:tcW w:w="1073" w:type="dxa"/>
            <w:noWrap w:val="0"/>
            <w:vAlign w:val="center"/>
          </w:tcPr>
          <w:p w14:paraId="0DF4C5D0">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套</w:t>
            </w:r>
          </w:p>
        </w:tc>
        <w:tc>
          <w:tcPr>
            <w:tcW w:w="1105" w:type="dxa"/>
            <w:noWrap w:val="0"/>
            <w:vAlign w:val="center"/>
          </w:tcPr>
          <w:p w14:paraId="37BC0903">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2900</w:t>
            </w:r>
          </w:p>
        </w:tc>
        <w:tc>
          <w:tcPr>
            <w:tcW w:w="1323" w:type="dxa"/>
            <w:noWrap w:val="0"/>
            <w:vAlign w:val="center"/>
          </w:tcPr>
          <w:p w14:paraId="5B91FF17">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11600</w:t>
            </w:r>
          </w:p>
        </w:tc>
        <w:tc>
          <w:tcPr>
            <w:tcW w:w="1584" w:type="dxa"/>
            <w:vMerge w:val="continue"/>
            <w:noWrap w:val="0"/>
            <w:vAlign w:val="center"/>
          </w:tcPr>
          <w:p w14:paraId="6A9A4A6B">
            <w:pPr>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color w:val="auto"/>
                <w:kern w:val="0"/>
                <w:sz w:val="24"/>
                <w:szCs w:val="24"/>
                <w:highlight w:val="none"/>
                <w:lang w:val="en-US" w:eastAsia="zh-CN"/>
              </w:rPr>
            </w:pPr>
          </w:p>
        </w:tc>
      </w:tr>
      <w:tr w14:paraId="671DF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609" w:type="dxa"/>
            <w:noWrap w:val="0"/>
            <w:vAlign w:val="center"/>
          </w:tcPr>
          <w:p w14:paraId="4C9BC380">
            <w:pPr>
              <w:keepNext w:val="0"/>
              <w:keepLines w:val="0"/>
              <w:pageBreakBefore w:val="0"/>
              <w:kinsoku/>
              <w:overflowPunct/>
              <w:topLinePunct w:val="0"/>
              <w:autoSpaceDE/>
              <w:autoSpaceDN/>
              <w:bidi w:val="0"/>
              <w:spacing w:line="440" w:lineRule="exact"/>
              <w:contextualSpacing/>
              <w:jc w:val="center"/>
              <w:textAlignment w:val="auto"/>
              <w:rPr>
                <w:rFonts w:hint="default"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10</w:t>
            </w:r>
          </w:p>
        </w:tc>
        <w:tc>
          <w:tcPr>
            <w:tcW w:w="1290" w:type="dxa"/>
            <w:noWrap w:val="0"/>
            <w:vAlign w:val="center"/>
          </w:tcPr>
          <w:p w14:paraId="60E75992">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否</w:t>
            </w:r>
          </w:p>
        </w:tc>
        <w:tc>
          <w:tcPr>
            <w:tcW w:w="2205" w:type="dxa"/>
            <w:noWrap w:val="0"/>
            <w:vAlign w:val="center"/>
          </w:tcPr>
          <w:p w14:paraId="07112E68">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拾音麦</w:t>
            </w:r>
          </w:p>
        </w:tc>
        <w:tc>
          <w:tcPr>
            <w:tcW w:w="855" w:type="dxa"/>
            <w:noWrap w:val="0"/>
            <w:vAlign w:val="center"/>
          </w:tcPr>
          <w:p w14:paraId="465FA6E9">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2</w:t>
            </w:r>
          </w:p>
        </w:tc>
        <w:tc>
          <w:tcPr>
            <w:tcW w:w="1073" w:type="dxa"/>
            <w:noWrap w:val="0"/>
            <w:vAlign w:val="center"/>
          </w:tcPr>
          <w:p w14:paraId="07763BB1">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套</w:t>
            </w:r>
          </w:p>
        </w:tc>
        <w:tc>
          <w:tcPr>
            <w:tcW w:w="1105" w:type="dxa"/>
            <w:noWrap w:val="0"/>
            <w:vAlign w:val="center"/>
          </w:tcPr>
          <w:p w14:paraId="467E7C02">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1860</w:t>
            </w:r>
          </w:p>
        </w:tc>
        <w:tc>
          <w:tcPr>
            <w:tcW w:w="1323" w:type="dxa"/>
            <w:noWrap w:val="0"/>
            <w:vAlign w:val="center"/>
          </w:tcPr>
          <w:p w14:paraId="68E927AF">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3720</w:t>
            </w:r>
          </w:p>
        </w:tc>
        <w:tc>
          <w:tcPr>
            <w:tcW w:w="1584" w:type="dxa"/>
            <w:vMerge w:val="continue"/>
            <w:noWrap w:val="0"/>
            <w:vAlign w:val="center"/>
          </w:tcPr>
          <w:p w14:paraId="5E147094">
            <w:pPr>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color w:val="auto"/>
                <w:kern w:val="0"/>
                <w:sz w:val="24"/>
                <w:szCs w:val="24"/>
                <w:highlight w:val="none"/>
                <w:lang w:val="en-US" w:eastAsia="zh-CN"/>
              </w:rPr>
            </w:pPr>
          </w:p>
        </w:tc>
      </w:tr>
      <w:tr w14:paraId="23091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609" w:type="dxa"/>
            <w:noWrap w:val="0"/>
            <w:vAlign w:val="center"/>
          </w:tcPr>
          <w:p w14:paraId="0EC2BCFA">
            <w:pPr>
              <w:keepNext w:val="0"/>
              <w:keepLines w:val="0"/>
              <w:pageBreakBefore w:val="0"/>
              <w:kinsoku/>
              <w:overflowPunct/>
              <w:topLinePunct w:val="0"/>
              <w:autoSpaceDE/>
              <w:autoSpaceDN/>
              <w:bidi w:val="0"/>
              <w:spacing w:line="440" w:lineRule="exact"/>
              <w:contextualSpacing/>
              <w:jc w:val="center"/>
              <w:textAlignment w:val="auto"/>
              <w:rPr>
                <w:rFonts w:hint="default"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11</w:t>
            </w:r>
          </w:p>
        </w:tc>
        <w:tc>
          <w:tcPr>
            <w:tcW w:w="1290" w:type="dxa"/>
            <w:noWrap w:val="0"/>
            <w:vAlign w:val="center"/>
          </w:tcPr>
          <w:p w14:paraId="03D2CDFC">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否</w:t>
            </w:r>
          </w:p>
        </w:tc>
        <w:tc>
          <w:tcPr>
            <w:tcW w:w="2205" w:type="dxa"/>
            <w:noWrap w:val="0"/>
            <w:vAlign w:val="center"/>
          </w:tcPr>
          <w:p w14:paraId="5C730FA3">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有线麦克风音频处理系统</w:t>
            </w:r>
          </w:p>
        </w:tc>
        <w:tc>
          <w:tcPr>
            <w:tcW w:w="855" w:type="dxa"/>
            <w:noWrap w:val="0"/>
            <w:vAlign w:val="center"/>
          </w:tcPr>
          <w:p w14:paraId="519F169E">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2</w:t>
            </w:r>
          </w:p>
        </w:tc>
        <w:tc>
          <w:tcPr>
            <w:tcW w:w="1073" w:type="dxa"/>
            <w:noWrap w:val="0"/>
            <w:vAlign w:val="center"/>
          </w:tcPr>
          <w:p w14:paraId="3E2BDACB">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套</w:t>
            </w:r>
          </w:p>
        </w:tc>
        <w:tc>
          <w:tcPr>
            <w:tcW w:w="1105" w:type="dxa"/>
            <w:noWrap w:val="0"/>
            <w:vAlign w:val="center"/>
          </w:tcPr>
          <w:p w14:paraId="7F451500">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610</w:t>
            </w:r>
          </w:p>
        </w:tc>
        <w:tc>
          <w:tcPr>
            <w:tcW w:w="1323" w:type="dxa"/>
            <w:noWrap w:val="0"/>
            <w:vAlign w:val="center"/>
          </w:tcPr>
          <w:p w14:paraId="029ED3D3">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1220</w:t>
            </w:r>
          </w:p>
        </w:tc>
        <w:tc>
          <w:tcPr>
            <w:tcW w:w="1584" w:type="dxa"/>
            <w:vMerge w:val="continue"/>
            <w:noWrap w:val="0"/>
            <w:vAlign w:val="center"/>
          </w:tcPr>
          <w:p w14:paraId="34022670">
            <w:pPr>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color w:val="auto"/>
                <w:kern w:val="0"/>
                <w:sz w:val="24"/>
                <w:szCs w:val="24"/>
                <w:highlight w:val="none"/>
                <w:lang w:val="en-US" w:eastAsia="zh-CN"/>
              </w:rPr>
            </w:pPr>
          </w:p>
        </w:tc>
      </w:tr>
      <w:tr w14:paraId="2663E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609" w:type="dxa"/>
            <w:noWrap w:val="0"/>
            <w:vAlign w:val="center"/>
          </w:tcPr>
          <w:p w14:paraId="09A9682E">
            <w:pPr>
              <w:keepNext w:val="0"/>
              <w:keepLines w:val="0"/>
              <w:pageBreakBefore w:val="0"/>
              <w:kinsoku/>
              <w:overflowPunct/>
              <w:topLinePunct w:val="0"/>
              <w:autoSpaceDE/>
              <w:autoSpaceDN/>
              <w:bidi w:val="0"/>
              <w:spacing w:line="440" w:lineRule="exact"/>
              <w:contextualSpacing/>
              <w:jc w:val="center"/>
              <w:textAlignment w:val="auto"/>
              <w:rPr>
                <w:rFonts w:hint="default"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12</w:t>
            </w:r>
          </w:p>
        </w:tc>
        <w:tc>
          <w:tcPr>
            <w:tcW w:w="1290" w:type="dxa"/>
            <w:noWrap w:val="0"/>
            <w:vAlign w:val="center"/>
          </w:tcPr>
          <w:p w14:paraId="3F2B6867">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否</w:t>
            </w:r>
          </w:p>
        </w:tc>
        <w:tc>
          <w:tcPr>
            <w:tcW w:w="2205" w:type="dxa"/>
            <w:noWrap w:val="0"/>
            <w:vAlign w:val="center"/>
          </w:tcPr>
          <w:p w14:paraId="634945CF">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远程互动课堂系统</w:t>
            </w:r>
          </w:p>
        </w:tc>
        <w:tc>
          <w:tcPr>
            <w:tcW w:w="855" w:type="dxa"/>
            <w:noWrap w:val="0"/>
            <w:vAlign w:val="center"/>
          </w:tcPr>
          <w:p w14:paraId="155EACF2">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1</w:t>
            </w:r>
          </w:p>
        </w:tc>
        <w:tc>
          <w:tcPr>
            <w:tcW w:w="1073" w:type="dxa"/>
            <w:noWrap w:val="0"/>
            <w:vAlign w:val="center"/>
          </w:tcPr>
          <w:p w14:paraId="1575B5DF">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套</w:t>
            </w:r>
          </w:p>
        </w:tc>
        <w:tc>
          <w:tcPr>
            <w:tcW w:w="1105" w:type="dxa"/>
            <w:noWrap w:val="0"/>
            <w:vAlign w:val="center"/>
          </w:tcPr>
          <w:p w14:paraId="3845B258">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8690</w:t>
            </w:r>
          </w:p>
        </w:tc>
        <w:tc>
          <w:tcPr>
            <w:tcW w:w="1323" w:type="dxa"/>
            <w:noWrap w:val="0"/>
            <w:vAlign w:val="center"/>
          </w:tcPr>
          <w:p w14:paraId="2921396A">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8690</w:t>
            </w:r>
          </w:p>
        </w:tc>
        <w:tc>
          <w:tcPr>
            <w:tcW w:w="1584" w:type="dxa"/>
            <w:vMerge w:val="continue"/>
            <w:noWrap w:val="0"/>
            <w:vAlign w:val="center"/>
          </w:tcPr>
          <w:p w14:paraId="214C7A4E">
            <w:pPr>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color w:val="auto"/>
                <w:kern w:val="0"/>
                <w:sz w:val="24"/>
                <w:szCs w:val="24"/>
                <w:highlight w:val="none"/>
                <w:lang w:val="en-US" w:eastAsia="zh-CN"/>
              </w:rPr>
            </w:pPr>
          </w:p>
        </w:tc>
      </w:tr>
      <w:tr w14:paraId="3443B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609" w:type="dxa"/>
            <w:noWrap w:val="0"/>
            <w:vAlign w:val="center"/>
          </w:tcPr>
          <w:p w14:paraId="61F06EAB">
            <w:pPr>
              <w:keepNext w:val="0"/>
              <w:keepLines w:val="0"/>
              <w:pageBreakBefore w:val="0"/>
              <w:kinsoku/>
              <w:overflowPunct/>
              <w:topLinePunct w:val="0"/>
              <w:autoSpaceDE/>
              <w:autoSpaceDN/>
              <w:bidi w:val="0"/>
              <w:spacing w:line="440" w:lineRule="exact"/>
              <w:contextualSpacing/>
              <w:jc w:val="center"/>
              <w:textAlignment w:val="auto"/>
              <w:rPr>
                <w:rFonts w:hint="default"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13</w:t>
            </w:r>
          </w:p>
        </w:tc>
        <w:tc>
          <w:tcPr>
            <w:tcW w:w="1290" w:type="dxa"/>
            <w:noWrap w:val="0"/>
            <w:vAlign w:val="center"/>
          </w:tcPr>
          <w:p w14:paraId="2B78E28A">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否</w:t>
            </w:r>
          </w:p>
        </w:tc>
        <w:tc>
          <w:tcPr>
            <w:tcW w:w="2205" w:type="dxa"/>
            <w:noWrap w:val="0"/>
            <w:vAlign w:val="center"/>
          </w:tcPr>
          <w:p w14:paraId="467452A8">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音频主机</w:t>
            </w:r>
          </w:p>
        </w:tc>
        <w:tc>
          <w:tcPr>
            <w:tcW w:w="855" w:type="dxa"/>
            <w:noWrap w:val="0"/>
            <w:vAlign w:val="center"/>
          </w:tcPr>
          <w:p w14:paraId="58259DDF">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1</w:t>
            </w:r>
          </w:p>
        </w:tc>
        <w:tc>
          <w:tcPr>
            <w:tcW w:w="1073" w:type="dxa"/>
            <w:noWrap w:val="0"/>
            <w:vAlign w:val="center"/>
          </w:tcPr>
          <w:p w14:paraId="5FAC8842">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台</w:t>
            </w:r>
          </w:p>
        </w:tc>
        <w:tc>
          <w:tcPr>
            <w:tcW w:w="1105" w:type="dxa"/>
            <w:noWrap w:val="0"/>
            <w:vAlign w:val="center"/>
          </w:tcPr>
          <w:p w14:paraId="1FA5B830">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2800</w:t>
            </w:r>
          </w:p>
        </w:tc>
        <w:tc>
          <w:tcPr>
            <w:tcW w:w="1323" w:type="dxa"/>
            <w:noWrap w:val="0"/>
            <w:vAlign w:val="center"/>
          </w:tcPr>
          <w:p w14:paraId="138996E8">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2800</w:t>
            </w:r>
          </w:p>
        </w:tc>
        <w:tc>
          <w:tcPr>
            <w:tcW w:w="1584" w:type="dxa"/>
            <w:vMerge w:val="continue"/>
            <w:noWrap w:val="0"/>
            <w:vAlign w:val="center"/>
          </w:tcPr>
          <w:p w14:paraId="484D0203">
            <w:pPr>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color w:val="auto"/>
                <w:kern w:val="0"/>
                <w:sz w:val="24"/>
                <w:szCs w:val="24"/>
                <w:highlight w:val="none"/>
                <w:lang w:val="en-US" w:eastAsia="zh-CN"/>
              </w:rPr>
            </w:pPr>
          </w:p>
        </w:tc>
      </w:tr>
      <w:tr w14:paraId="05C81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609" w:type="dxa"/>
            <w:noWrap w:val="0"/>
            <w:vAlign w:val="center"/>
          </w:tcPr>
          <w:p w14:paraId="32529575">
            <w:pPr>
              <w:keepNext w:val="0"/>
              <w:keepLines w:val="0"/>
              <w:pageBreakBefore w:val="0"/>
              <w:kinsoku/>
              <w:overflowPunct/>
              <w:topLinePunct w:val="0"/>
              <w:autoSpaceDE/>
              <w:autoSpaceDN/>
              <w:bidi w:val="0"/>
              <w:spacing w:line="440" w:lineRule="exact"/>
              <w:contextualSpacing/>
              <w:jc w:val="center"/>
              <w:textAlignment w:val="auto"/>
              <w:rPr>
                <w:rFonts w:hint="default"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14</w:t>
            </w:r>
          </w:p>
        </w:tc>
        <w:tc>
          <w:tcPr>
            <w:tcW w:w="1290" w:type="dxa"/>
            <w:noWrap w:val="0"/>
            <w:vAlign w:val="center"/>
          </w:tcPr>
          <w:p w14:paraId="4C00060A">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否</w:t>
            </w:r>
          </w:p>
        </w:tc>
        <w:tc>
          <w:tcPr>
            <w:tcW w:w="2205" w:type="dxa"/>
            <w:noWrap w:val="0"/>
            <w:vAlign w:val="center"/>
          </w:tcPr>
          <w:p w14:paraId="526EF49A">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无感扩声阵列麦</w:t>
            </w:r>
          </w:p>
        </w:tc>
        <w:tc>
          <w:tcPr>
            <w:tcW w:w="855" w:type="dxa"/>
            <w:noWrap w:val="0"/>
            <w:vAlign w:val="center"/>
          </w:tcPr>
          <w:p w14:paraId="37EA0855">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1</w:t>
            </w:r>
          </w:p>
        </w:tc>
        <w:tc>
          <w:tcPr>
            <w:tcW w:w="1073" w:type="dxa"/>
            <w:noWrap w:val="0"/>
            <w:vAlign w:val="center"/>
          </w:tcPr>
          <w:p w14:paraId="4A97C65B">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只</w:t>
            </w:r>
          </w:p>
        </w:tc>
        <w:tc>
          <w:tcPr>
            <w:tcW w:w="1105" w:type="dxa"/>
            <w:noWrap w:val="0"/>
            <w:vAlign w:val="center"/>
          </w:tcPr>
          <w:p w14:paraId="73B1C46A">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800</w:t>
            </w:r>
          </w:p>
        </w:tc>
        <w:tc>
          <w:tcPr>
            <w:tcW w:w="1323" w:type="dxa"/>
            <w:noWrap w:val="0"/>
            <w:vAlign w:val="center"/>
          </w:tcPr>
          <w:p w14:paraId="19687D45">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800</w:t>
            </w:r>
          </w:p>
        </w:tc>
        <w:tc>
          <w:tcPr>
            <w:tcW w:w="1584" w:type="dxa"/>
            <w:vMerge w:val="continue"/>
            <w:noWrap w:val="0"/>
            <w:vAlign w:val="center"/>
          </w:tcPr>
          <w:p w14:paraId="50E31CCF">
            <w:pPr>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color w:val="auto"/>
                <w:kern w:val="0"/>
                <w:sz w:val="24"/>
                <w:szCs w:val="24"/>
                <w:highlight w:val="none"/>
                <w:lang w:val="en-US" w:eastAsia="zh-CN"/>
              </w:rPr>
            </w:pPr>
          </w:p>
        </w:tc>
      </w:tr>
      <w:tr w14:paraId="53DAE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609" w:type="dxa"/>
            <w:noWrap w:val="0"/>
            <w:vAlign w:val="center"/>
          </w:tcPr>
          <w:p w14:paraId="043E90FB">
            <w:pPr>
              <w:keepNext w:val="0"/>
              <w:keepLines w:val="0"/>
              <w:pageBreakBefore w:val="0"/>
              <w:kinsoku/>
              <w:overflowPunct/>
              <w:topLinePunct w:val="0"/>
              <w:autoSpaceDE/>
              <w:autoSpaceDN/>
              <w:bidi w:val="0"/>
              <w:spacing w:line="440" w:lineRule="exact"/>
              <w:contextualSpacing/>
              <w:jc w:val="center"/>
              <w:textAlignment w:val="auto"/>
              <w:rPr>
                <w:rFonts w:hint="default"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15</w:t>
            </w:r>
          </w:p>
        </w:tc>
        <w:tc>
          <w:tcPr>
            <w:tcW w:w="1290" w:type="dxa"/>
            <w:noWrap w:val="0"/>
            <w:vAlign w:val="center"/>
          </w:tcPr>
          <w:p w14:paraId="433C9E04">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否</w:t>
            </w:r>
          </w:p>
        </w:tc>
        <w:tc>
          <w:tcPr>
            <w:tcW w:w="2205" w:type="dxa"/>
            <w:noWrap w:val="0"/>
            <w:vAlign w:val="center"/>
          </w:tcPr>
          <w:p w14:paraId="237CB4D3">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无源音箱</w:t>
            </w:r>
          </w:p>
        </w:tc>
        <w:tc>
          <w:tcPr>
            <w:tcW w:w="855" w:type="dxa"/>
            <w:noWrap w:val="0"/>
            <w:vAlign w:val="center"/>
          </w:tcPr>
          <w:p w14:paraId="7B585155">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2</w:t>
            </w:r>
          </w:p>
        </w:tc>
        <w:tc>
          <w:tcPr>
            <w:tcW w:w="1073" w:type="dxa"/>
            <w:noWrap w:val="0"/>
            <w:vAlign w:val="center"/>
          </w:tcPr>
          <w:p w14:paraId="3E696699">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对</w:t>
            </w:r>
          </w:p>
        </w:tc>
        <w:tc>
          <w:tcPr>
            <w:tcW w:w="1105" w:type="dxa"/>
            <w:noWrap w:val="0"/>
            <w:vAlign w:val="center"/>
          </w:tcPr>
          <w:p w14:paraId="1F61C983">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700</w:t>
            </w:r>
          </w:p>
        </w:tc>
        <w:tc>
          <w:tcPr>
            <w:tcW w:w="1323" w:type="dxa"/>
            <w:noWrap w:val="0"/>
            <w:vAlign w:val="center"/>
          </w:tcPr>
          <w:p w14:paraId="1C496E83">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1400</w:t>
            </w:r>
          </w:p>
        </w:tc>
        <w:tc>
          <w:tcPr>
            <w:tcW w:w="1584" w:type="dxa"/>
            <w:vMerge w:val="continue"/>
            <w:noWrap w:val="0"/>
            <w:vAlign w:val="center"/>
          </w:tcPr>
          <w:p w14:paraId="55C5BDE8">
            <w:pPr>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color w:val="auto"/>
                <w:kern w:val="0"/>
                <w:sz w:val="24"/>
                <w:szCs w:val="24"/>
                <w:highlight w:val="none"/>
                <w:lang w:val="en-US" w:eastAsia="zh-CN"/>
              </w:rPr>
            </w:pPr>
          </w:p>
        </w:tc>
      </w:tr>
      <w:tr w14:paraId="1085F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609" w:type="dxa"/>
            <w:noWrap w:val="0"/>
            <w:vAlign w:val="center"/>
          </w:tcPr>
          <w:p w14:paraId="40071F78">
            <w:pPr>
              <w:keepNext w:val="0"/>
              <w:keepLines w:val="0"/>
              <w:pageBreakBefore w:val="0"/>
              <w:kinsoku/>
              <w:overflowPunct/>
              <w:topLinePunct w:val="0"/>
              <w:autoSpaceDE/>
              <w:autoSpaceDN/>
              <w:bidi w:val="0"/>
              <w:spacing w:line="440" w:lineRule="exact"/>
              <w:contextualSpacing/>
              <w:jc w:val="center"/>
              <w:textAlignment w:val="auto"/>
              <w:rPr>
                <w:rFonts w:hint="default"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16</w:t>
            </w:r>
          </w:p>
        </w:tc>
        <w:tc>
          <w:tcPr>
            <w:tcW w:w="1290" w:type="dxa"/>
            <w:noWrap w:val="0"/>
            <w:vAlign w:val="center"/>
          </w:tcPr>
          <w:p w14:paraId="3B8FC502">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否</w:t>
            </w:r>
          </w:p>
        </w:tc>
        <w:tc>
          <w:tcPr>
            <w:tcW w:w="2205" w:type="dxa"/>
            <w:noWrap w:val="0"/>
            <w:vAlign w:val="center"/>
          </w:tcPr>
          <w:p w14:paraId="76590D91">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红外无线麦克风套件</w:t>
            </w:r>
          </w:p>
        </w:tc>
        <w:tc>
          <w:tcPr>
            <w:tcW w:w="855" w:type="dxa"/>
            <w:noWrap w:val="0"/>
            <w:vAlign w:val="center"/>
          </w:tcPr>
          <w:p w14:paraId="3563E1A3">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1</w:t>
            </w:r>
          </w:p>
        </w:tc>
        <w:tc>
          <w:tcPr>
            <w:tcW w:w="1073" w:type="dxa"/>
            <w:noWrap w:val="0"/>
            <w:vAlign w:val="center"/>
          </w:tcPr>
          <w:p w14:paraId="26242F83">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套</w:t>
            </w:r>
          </w:p>
        </w:tc>
        <w:tc>
          <w:tcPr>
            <w:tcW w:w="1105" w:type="dxa"/>
            <w:noWrap w:val="0"/>
            <w:vAlign w:val="center"/>
          </w:tcPr>
          <w:p w14:paraId="504BF5F4">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976</w:t>
            </w:r>
          </w:p>
        </w:tc>
        <w:tc>
          <w:tcPr>
            <w:tcW w:w="1323" w:type="dxa"/>
            <w:noWrap w:val="0"/>
            <w:vAlign w:val="center"/>
          </w:tcPr>
          <w:p w14:paraId="5A2DBB87">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976</w:t>
            </w:r>
          </w:p>
        </w:tc>
        <w:tc>
          <w:tcPr>
            <w:tcW w:w="1584" w:type="dxa"/>
            <w:vMerge w:val="continue"/>
            <w:noWrap w:val="0"/>
            <w:vAlign w:val="center"/>
          </w:tcPr>
          <w:p w14:paraId="39452A19">
            <w:pPr>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color w:val="auto"/>
                <w:kern w:val="0"/>
                <w:sz w:val="24"/>
                <w:szCs w:val="24"/>
                <w:highlight w:val="none"/>
                <w:lang w:val="en-US" w:eastAsia="zh-CN"/>
              </w:rPr>
            </w:pPr>
          </w:p>
        </w:tc>
      </w:tr>
      <w:tr w14:paraId="48CB2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609" w:type="dxa"/>
            <w:noWrap w:val="0"/>
            <w:vAlign w:val="center"/>
          </w:tcPr>
          <w:p w14:paraId="2210B794">
            <w:pPr>
              <w:keepNext w:val="0"/>
              <w:keepLines w:val="0"/>
              <w:pageBreakBefore w:val="0"/>
              <w:kinsoku/>
              <w:overflowPunct/>
              <w:topLinePunct w:val="0"/>
              <w:autoSpaceDE/>
              <w:autoSpaceDN/>
              <w:bidi w:val="0"/>
              <w:spacing w:line="440" w:lineRule="exact"/>
              <w:contextualSpacing/>
              <w:jc w:val="center"/>
              <w:textAlignment w:val="auto"/>
              <w:rPr>
                <w:rFonts w:hint="default"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17</w:t>
            </w:r>
          </w:p>
        </w:tc>
        <w:tc>
          <w:tcPr>
            <w:tcW w:w="1290" w:type="dxa"/>
            <w:noWrap w:val="0"/>
            <w:vAlign w:val="center"/>
          </w:tcPr>
          <w:p w14:paraId="1D93D8E2">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否</w:t>
            </w:r>
          </w:p>
        </w:tc>
        <w:tc>
          <w:tcPr>
            <w:tcW w:w="2205" w:type="dxa"/>
            <w:noWrap w:val="0"/>
            <w:vAlign w:val="center"/>
          </w:tcPr>
          <w:p w14:paraId="75406AAA">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鹅颈麦</w:t>
            </w:r>
          </w:p>
        </w:tc>
        <w:tc>
          <w:tcPr>
            <w:tcW w:w="855" w:type="dxa"/>
            <w:noWrap w:val="0"/>
            <w:vAlign w:val="center"/>
          </w:tcPr>
          <w:p w14:paraId="29C6E6E9">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1</w:t>
            </w:r>
          </w:p>
        </w:tc>
        <w:tc>
          <w:tcPr>
            <w:tcW w:w="1073" w:type="dxa"/>
            <w:noWrap w:val="0"/>
            <w:vAlign w:val="center"/>
          </w:tcPr>
          <w:p w14:paraId="4B31F76A">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只</w:t>
            </w:r>
          </w:p>
        </w:tc>
        <w:tc>
          <w:tcPr>
            <w:tcW w:w="1105" w:type="dxa"/>
            <w:noWrap w:val="0"/>
            <w:vAlign w:val="center"/>
          </w:tcPr>
          <w:p w14:paraId="1DA60C6E">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720</w:t>
            </w:r>
          </w:p>
        </w:tc>
        <w:tc>
          <w:tcPr>
            <w:tcW w:w="1323" w:type="dxa"/>
            <w:noWrap w:val="0"/>
            <w:vAlign w:val="center"/>
          </w:tcPr>
          <w:p w14:paraId="1E77D183">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720</w:t>
            </w:r>
          </w:p>
        </w:tc>
        <w:tc>
          <w:tcPr>
            <w:tcW w:w="1584" w:type="dxa"/>
            <w:vMerge w:val="continue"/>
            <w:noWrap w:val="0"/>
            <w:vAlign w:val="center"/>
          </w:tcPr>
          <w:p w14:paraId="3A700546">
            <w:pPr>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color w:val="auto"/>
                <w:kern w:val="0"/>
                <w:sz w:val="24"/>
                <w:szCs w:val="24"/>
                <w:highlight w:val="none"/>
                <w:lang w:val="en-US" w:eastAsia="zh-CN"/>
              </w:rPr>
            </w:pPr>
          </w:p>
        </w:tc>
      </w:tr>
      <w:tr w14:paraId="304EA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609" w:type="dxa"/>
            <w:noWrap w:val="0"/>
            <w:vAlign w:val="center"/>
          </w:tcPr>
          <w:p w14:paraId="394B801F">
            <w:pPr>
              <w:keepNext w:val="0"/>
              <w:keepLines w:val="0"/>
              <w:pageBreakBefore w:val="0"/>
              <w:kinsoku/>
              <w:overflowPunct/>
              <w:topLinePunct w:val="0"/>
              <w:autoSpaceDE/>
              <w:autoSpaceDN/>
              <w:bidi w:val="0"/>
              <w:spacing w:line="440" w:lineRule="exact"/>
              <w:contextualSpacing/>
              <w:jc w:val="center"/>
              <w:textAlignment w:val="auto"/>
              <w:rPr>
                <w:rFonts w:hint="default"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18</w:t>
            </w:r>
          </w:p>
        </w:tc>
        <w:tc>
          <w:tcPr>
            <w:tcW w:w="1290" w:type="dxa"/>
            <w:noWrap w:val="0"/>
            <w:vAlign w:val="center"/>
          </w:tcPr>
          <w:p w14:paraId="32C8DCC0">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否</w:t>
            </w:r>
          </w:p>
        </w:tc>
        <w:tc>
          <w:tcPr>
            <w:tcW w:w="2205" w:type="dxa"/>
            <w:noWrap w:val="0"/>
            <w:vAlign w:val="center"/>
          </w:tcPr>
          <w:p w14:paraId="68CD422E">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终端互动教学系统</w:t>
            </w:r>
          </w:p>
        </w:tc>
        <w:tc>
          <w:tcPr>
            <w:tcW w:w="855" w:type="dxa"/>
            <w:noWrap w:val="0"/>
            <w:vAlign w:val="center"/>
          </w:tcPr>
          <w:p w14:paraId="2A1FA457">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50</w:t>
            </w:r>
          </w:p>
        </w:tc>
        <w:tc>
          <w:tcPr>
            <w:tcW w:w="1073" w:type="dxa"/>
            <w:noWrap w:val="0"/>
            <w:vAlign w:val="center"/>
          </w:tcPr>
          <w:p w14:paraId="53BCAD1E">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点</w:t>
            </w:r>
          </w:p>
        </w:tc>
        <w:tc>
          <w:tcPr>
            <w:tcW w:w="1105" w:type="dxa"/>
            <w:noWrap w:val="0"/>
            <w:vAlign w:val="center"/>
          </w:tcPr>
          <w:p w14:paraId="3017F8DD">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850</w:t>
            </w:r>
          </w:p>
        </w:tc>
        <w:tc>
          <w:tcPr>
            <w:tcW w:w="1323" w:type="dxa"/>
            <w:noWrap w:val="0"/>
            <w:vAlign w:val="center"/>
          </w:tcPr>
          <w:p w14:paraId="2316D449">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42500</w:t>
            </w:r>
          </w:p>
        </w:tc>
        <w:tc>
          <w:tcPr>
            <w:tcW w:w="1584" w:type="dxa"/>
            <w:vMerge w:val="continue"/>
            <w:noWrap w:val="0"/>
            <w:vAlign w:val="center"/>
          </w:tcPr>
          <w:p w14:paraId="4FB28AD4">
            <w:pPr>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color w:val="auto"/>
                <w:kern w:val="0"/>
                <w:sz w:val="24"/>
                <w:szCs w:val="24"/>
                <w:highlight w:val="none"/>
                <w:lang w:val="en-US" w:eastAsia="zh-CN"/>
              </w:rPr>
            </w:pPr>
          </w:p>
        </w:tc>
      </w:tr>
      <w:tr w14:paraId="5724D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609" w:type="dxa"/>
            <w:noWrap w:val="0"/>
            <w:vAlign w:val="center"/>
          </w:tcPr>
          <w:p w14:paraId="4EBA4BB7">
            <w:pPr>
              <w:keepNext w:val="0"/>
              <w:keepLines w:val="0"/>
              <w:pageBreakBefore w:val="0"/>
              <w:kinsoku/>
              <w:overflowPunct/>
              <w:topLinePunct w:val="0"/>
              <w:autoSpaceDE/>
              <w:autoSpaceDN/>
              <w:bidi w:val="0"/>
              <w:spacing w:line="440" w:lineRule="exact"/>
              <w:contextualSpacing/>
              <w:jc w:val="center"/>
              <w:textAlignment w:val="auto"/>
              <w:rPr>
                <w:rFonts w:hint="default"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19</w:t>
            </w:r>
          </w:p>
        </w:tc>
        <w:tc>
          <w:tcPr>
            <w:tcW w:w="1290" w:type="dxa"/>
            <w:noWrap w:val="0"/>
            <w:vAlign w:val="center"/>
          </w:tcPr>
          <w:p w14:paraId="08D1BFA4">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否</w:t>
            </w:r>
          </w:p>
        </w:tc>
        <w:tc>
          <w:tcPr>
            <w:tcW w:w="2205" w:type="dxa"/>
            <w:noWrap w:val="0"/>
            <w:vAlign w:val="center"/>
          </w:tcPr>
          <w:p w14:paraId="1674449F">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无线AC管理器</w:t>
            </w:r>
          </w:p>
        </w:tc>
        <w:tc>
          <w:tcPr>
            <w:tcW w:w="855" w:type="dxa"/>
            <w:noWrap w:val="0"/>
            <w:vAlign w:val="center"/>
          </w:tcPr>
          <w:p w14:paraId="22E5B34E">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1</w:t>
            </w:r>
          </w:p>
        </w:tc>
        <w:tc>
          <w:tcPr>
            <w:tcW w:w="1073" w:type="dxa"/>
            <w:noWrap w:val="0"/>
            <w:vAlign w:val="center"/>
          </w:tcPr>
          <w:p w14:paraId="74390B73">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台</w:t>
            </w:r>
          </w:p>
        </w:tc>
        <w:tc>
          <w:tcPr>
            <w:tcW w:w="1105" w:type="dxa"/>
            <w:noWrap w:val="0"/>
            <w:vAlign w:val="center"/>
          </w:tcPr>
          <w:p w14:paraId="1E36D3E3">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1500</w:t>
            </w:r>
          </w:p>
        </w:tc>
        <w:tc>
          <w:tcPr>
            <w:tcW w:w="1323" w:type="dxa"/>
            <w:noWrap w:val="0"/>
            <w:vAlign w:val="center"/>
          </w:tcPr>
          <w:p w14:paraId="5B870C6F">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1500</w:t>
            </w:r>
          </w:p>
        </w:tc>
        <w:tc>
          <w:tcPr>
            <w:tcW w:w="1584" w:type="dxa"/>
            <w:vMerge w:val="continue"/>
            <w:noWrap w:val="0"/>
            <w:vAlign w:val="center"/>
          </w:tcPr>
          <w:p w14:paraId="5FB2DE31">
            <w:pPr>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color w:val="auto"/>
                <w:kern w:val="0"/>
                <w:sz w:val="24"/>
                <w:szCs w:val="24"/>
                <w:highlight w:val="none"/>
                <w:lang w:val="en-US" w:eastAsia="zh-CN"/>
              </w:rPr>
            </w:pPr>
          </w:p>
        </w:tc>
      </w:tr>
      <w:tr w14:paraId="7418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609" w:type="dxa"/>
            <w:noWrap w:val="0"/>
            <w:vAlign w:val="center"/>
          </w:tcPr>
          <w:p w14:paraId="65ADA24D">
            <w:pPr>
              <w:keepNext w:val="0"/>
              <w:keepLines w:val="0"/>
              <w:pageBreakBefore w:val="0"/>
              <w:kinsoku/>
              <w:overflowPunct/>
              <w:topLinePunct w:val="0"/>
              <w:autoSpaceDE/>
              <w:autoSpaceDN/>
              <w:bidi w:val="0"/>
              <w:spacing w:line="440" w:lineRule="exact"/>
              <w:contextualSpacing/>
              <w:jc w:val="center"/>
              <w:textAlignment w:val="auto"/>
              <w:rPr>
                <w:rFonts w:hint="default"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20</w:t>
            </w:r>
          </w:p>
        </w:tc>
        <w:tc>
          <w:tcPr>
            <w:tcW w:w="1290" w:type="dxa"/>
            <w:noWrap w:val="0"/>
            <w:vAlign w:val="center"/>
          </w:tcPr>
          <w:p w14:paraId="4B5AC48B">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否</w:t>
            </w:r>
          </w:p>
        </w:tc>
        <w:tc>
          <w:tcPr>
            <w:tcW w:w="2205" w:type="dxa"/>
            <w:noWrap w:val="0"/>
            <w:vAlign w:val="center"/>
          </w:tcPr>
          <w:p w14:paraId="426C1840">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无线AP</w:t>
            </w:r>
          </w:p>
        </w:tc>
        <w:tc>
          <w:tcPr>
            <w:tcW w:w="855" w:type="dxa"/>
            <w:noWrap w:val="0"/>
            <w:vAlign w:val="center"/>
          </w:tcPr>
          <w:p w14:paraId="03873BCC">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4</w:t>
            </w:r>
          </w:p>
        </w:tc>
        <w:tc>
          <w:tcPr>
            <w:tcW w:w="1073" w:type="dxa"/>
            <w:noWrap w:val="0"/>
            <w:vAlign w:val="center"/>
          </w:tcPr>
          <w:p w14:paraId="21914874">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台</w:t>
            </w:r>
          </w:p>
        </w:tc>
        <w:tc>
          <w:tcPr>
            <w:tcW w:w="1105" w:type="dxa"/>
            <w:noWrap w:val="0"/>
            <w:vAlign w:val="center"/>
          </w:tcPr>
          <w:p w14:paraId="2B02CFA3">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975</w:t>
            </w:r>
          </w:p>
        </w:tc>
        <w:tc>
          <w:tcPr>
            <w:tcW w:w="1323" w:type="dxa"/>
            <w:noWrap w:val="0"/>
            <w:vAlign w:val="center"/>
          </w:tcPr>
          <w:p w14:paraId="68F9B372">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3900</w:t>
            </w:r>
          </w:p>
        </w:tc>
        <w:tc>
          <w:tcPr>
            <w:tcW w:w="1584" w:type="dxa"/>
            <w:vMerge w:val="continue"/>
            <w:noWrap w:val="0"/>
            <w:vAlign w:val="center"/>
          </w:tcPr>
          <w:p w14:paraId="2ED6CB9F">
            <w:pPr>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color w:val="auto"/>
                <w:kern w:val="0"/>
                <w:sz w:val="24"/>
                <w:szCs w:val="24"/>
                <w:highlight w:val="none"/>
                <w:lang w:val="en-US" w:eastAsia="zh-CN"/>
              </w:rPr>
            </w:pPr>
          </w:p>
        </w:tc>
      </w:tr>
      <w:tr w14:paraId="74BB8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609" w:type="dxa"/>
            <w:noWrap w:val="0"/>
            <w:vAlign w:val="center"/>
          </w:tcPr>
          <w:p w14:paraId="173DA5D9">
            <w:pPr>
              <w:keepNext w:val="0"/>
              <w:keepLines w:val="0"/>
              <w:pageBreakBefore w:val="0"/>
              <w:kinsoku/>
              <w:overflowPunct/>
              <w:topLinePunct w:val="0"/>
              <w:autoSpaceDE/>
              <w:autoSpaceDN/>
              <w:bidi w:val="0"/>
              <w:spacing w:line="440" w:lineRule="exact"/>
              <w:contextualSpacing/>
              <w:jc w:val="center"/>
              <w:textAlignment w:val="auto"/>
              <w:rPr>
                <w:rFonts w:hint="default"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21</w:t>
            </w:r>
          </w:p>
        </w:tc>
        <w:tc>
          <w:tcPr>
            <w:tcW w:w="1290" w:type="dxa"/>
            <w:noWrap w:val="0"/>
            <w:vAlign w:val="center"/>
          </w:tcPr>
          <w:p w14:paraId="01FBC3CB">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否</w:t>
            </w:r>
          </w:p>
        </w:tc>
        <w:tc>
          <w:tcPr>
            <w:tcW w:w="2205" w:type="dxa"/>
            <w:noWrap w:val="0"/>
            <w:vAlign w:val="center"/>
          </w:tcPr>
          <w:p w14:paraId="155F4CC0">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电源时序器</w:t>
            </w:r>
          </w:p>
        </w:tc>
        <w:tc>
          <w:tcPr>
            <w:tcW w:w="855" w:type="dxa"/>
            <w:noWrap w:val="0"/>
            <w:vAlign w:val="center"/>
          </w:tcPr>
          <w:p w14:paraId="4F574E4C">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1</w:t>
            </w:r>
          </w:p>
        </w:tc>
        <w:tc>
          <w:tcPr>
            <w:tcW w:w="1073" w:type="dxa"/>
            <w:noWrap w:val="0"/>
            <w:vAlign w:val="center"/>
          </w:tcPr>
          <w:p w14:paraId="2CAC3783">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个</w:t>
            </w:r>
          </w:p>
        </w:tc>
        <w:tc>
          <w:tcPr>
            <w:tcW w:w="1105" w:type="dxa"/>
            <w:noWrap w:val="0"/>
            <w:vAlign w:val="center"/>
          </w:tcPr>
          <w:p w14:paraId="18A7642E">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900</w:t>
            </w:r>
          </w:p>
        </w:tc>
        <w:tc>
          <w:tcPr>
            <w:tcW w:w="1323" w:type="dxa"/>
            <w:noWrap w:val="0"/>
            <w:vAlign w:val="center"/>
          </w:tcPr>
          <w:p w14:paraId="6DA504FE">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900</w:t>
            </w:r>
          </w:p>
        </w:tc>
        <w:tc>
          <w:tcPr>
            <w:tcW w:w="1584" w:type="dxa"/>
            <w:vMerge w:val="continue"/>
            <w:noWrap w:val="0"/>
            <w:vAlign w:val="center"/>
          </w:tcPr>
          <w:p w14:paraId="33889B21">
            <w:pPr>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color w:val="auto"/>
                <w:kern w:val="0"/>
                <w:sz w:val="24"/>
                <w:szCs w:val="24"/>
                <w:highlight w:val="none"/>
                <w:lang w:val="en-US" w:eastAsia="zh-CN"/>
              </w:rPr>
            </w:pPr>
          </w:p>
        </w:tc>
      </w:tr>
      <w:tr w14:paraId="725E3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609" w:type="dxa"/>
            <w:noWrap w:val="0"/>
            <w:vAlign w:val="center"/>
          </w:tcPr>
          <w:p w14:paraId="35B112C6">
            <w:pPr>
              <w:keepNext w:val="0"/>
              <w:keepLines w:val="0"/>
              <w:pageBreakBefore w:val="0"/>
              <w:kinsoku/>
              <w:overflowPunct/>
              <w:topLinePunct w:val="0"/>
              <w:autoSpaceDE/>
              <w:autoSpaceDN/>
              <w:bidi w:val="0"/>
              <w:spacing w:line="440" w:lineRule="exact"/>
              <w:contextualSpacing/>
              <w:jc w:val="center"/>
              <w:textAlignment w:val="auto"/>
              <w:rPr>
                <w:rFonts w:hint="default"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22</w:t>
            </w:r>
          </w:p>
        </w:tc>
        <w:tc>
          <w:tcPr>
            <w:tcW w:w="1290" w:type="dxa"/>
            <w:noWrap w:val="0"/>
            <w:vAlign w:val="center"/>
          </w:tcPr>
          <w:p w14:paraId="2F4D2E0D">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否</w:t>
            </w:r>
          </w:p>
        </w:tc>
        <w:tc>
          <w:tcPr>
            <w:tcW w:w="2205" w:type="dxa"/>
            <w:noWrap w:val="0"/>
            <w:vAlign w:val="center"/>
          </w:tcPr>
          <w:p w14:paraId="15915475">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PDU（电源分配单元）</w:t>
            </w:r>
          </w:p>
        </w:tc>
        <w:tc>
          <w:tcPr>
            <w:tcW w:w="855" w:type="dxa"/>
            <w:noWrap w:val="0"/>
            <w:vAlign w:val="center"/>
          </w:tcPr>
          <w:p w14:paraId="00C6F498">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1</w:t>
            </w:r>
          </w:p>
        </w:tc>
        <w:tc>
          <w:tcPr>
            <w:tcW w:w="1073" w:type="dxa"/>
            <w:noWrap w:val="0"/>
            <w:vAlign w:val="center"/>
          </w:tcPr>
          <w:p w14:paraId="661A98CE">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个</w:t>
            </w:r>
          </w:p>
        </w:tc>
        <w:tc>
          <w:tcPr>
            <w:tcW w:w="1105" w:type="dxa"/>
            <w:noWrap w:val="0"/>
            <w:vAlign w:val="center"/>
          </w:tcPr>
          <w:p w14:paraId="6D70AC8C">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120</w:t>
            </w:r>
          </w:p>
        </w:tc>
        <w:tc>
          <w:tcPr>
            <w:tcW w:w="1323" w:type="dxa"/>
            <w:noWrap w:val="0"/>
            <w:vAlign w:val="center"/>
          </w:tcPr>
          <w:p w14:paraId="13A7FB6B">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120</w:t>
            </w:r>
          </w:p>
        </w:tc>
        <w:tc>
          <w:tcPr>
            <w:tcW w:w="1584" w:type="dxa"/>
            <w:vMerge w:val="continue"/>
            <w:noWrap w:val="0"/>
            <w:vAlign w:val="center"/>
          </w:tcPr>
          <w:p w14:paraId="5AEA8E9B">
            <w:pPr>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color w:val="auto"/>
                <w:kern w:val="0"/>
                <w:sz w:val="24"/>
                <w:szCs w:val="24"/>
                <w:highlight w:val="none"/>
                <w:lang w:val="en-US" w:eastAsia="zh-CN"/>
              </w:rPr>
            </w:pPr>
          </w:p>
        </w:tc>
      </w:tr>
      <w:tr w14:paraId="6E57F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609" w:type="dxa"/>
            <w:noWrap w:val="0"/>
            <w:vAlign w:val="center"/>
          </w:tcPr>
          <w:p w14:paraId="575594C4">
            <w:pPr>
              <w:keepNext w:val="0"/>
              <w:keepLines w:val="0"/>
              <w:pageBreakBefore w:val="0"/>
              <w:kinsoku/>
              <w:overflowPunct/>
              <w:topLinePunct w:val="0"/>
              <w:autoSpaceDE/>
              <w:autoSpaceDN/>
              <w:bidi w:val="0"/>
              <w:spacing w:line="440" w:lineRule="exact"/>
              <w:contextualSpacing/>
              <w:jc w:val="center"/>
              <w:textAlignment w:val="auto"/>
              <w:rPr>
                <w:rFonts w:hint="default"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23</w:t>
            </w:r>
          </w:p>
        </w:tc>
        <w:tc>
          <w:tcPr>
            <w:tcW w:w="1290" w:type="dxa"/>
            <w:noWrap w:val="0"/>
            <w:vAlign w:val="center"/>
          </w:tcPr>
          <w:p w14:paraId="76060133">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否</w:t>
            </w:r>
          </w:p>
        </w:tc>
        <w:tc>
          <w:tcPr>
            <w:tcW w:w="2205" w:type="dxa"/>
            <w:noWrap w:val="0"/>
            <w:vAlign w:val="center"/>
          </w:tcPr>
          <w:p w14:paraId="55B9AFF3">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智能终端充电柜</w:t>
            </w:r>
          </w:p>
        </w:tc>
        <w:tc>
          <w:tcPr>
            <w:tcW w:w="855" w:type="dxa"/>
            <w:noWrap w:val="0"/>
            <w:vAlign w:val="center"/>
          </w:tcPr>
          <w:p w14:paraId="59FAA200">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1</w:t>
            </w:r>
          </w:p>
        </w:tc>
        <w:tc>
          <w:tcPr>
            <w:tcW w:w="1073" w:type="dxa"/>
            <w:noWrap w:val="0"/>
            <w:vAlign w:val="center"/>
          </w:tcPr>
          <w:p w14:paraId="4C5953F6">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台</w:t>
            </w:r>
          </w:p>
        </w:tc>
        <w:tc>
          <w:tcPr>
            <w:tcW w:w="1105" w:type="dxa"/>
            <w:noWrap w:val="0"/>
            <w:vAlign w:val="center"/>
          </w:tcPr>
          <w:p w14:paraId="3F7B91C7">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6780</w:t>
            </w:r>
          </w:p>
        </w:tc>
        <w:tc>
          <w:tcPr>
            <w:tcW w:w="1323" w:type="dxa"/>
            <w:noWrap w:val="0"/>
            <w:vAlign w:val="center"/>
          </w:tcPr>
          <w:p w14:paraId="3E1CD804">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6780</w:t>
            </w:r>
          </w:p>
        </w:tc>
        <w:tc>
          <w:tcPr>
            <w:tcW w:w="1584" w:type="dxa"/>
            <w:vMerge w:val="continue"/>
            <w:noWrap w:val="0"/>
            <w:vAlign w:val="center"/>
          </w:tcPr>
          <w:p w14:paraId="5AA89918">
            <w:pPr>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color w:val="auto"/>
                <w:kern w:val="0"/>
                <w:sz w:val="24"/>
                <w:szCs w:val="24"/>
                <w:highlight w:val="none"/>
                <w:lang w:val="en-US" w:eastAsia="zh-CN"/>
              </w:rPr>
            </w:pPr>
          </w:p>
        </w:tc>
      </w:tr>
      <w:tr w14:paraId="0A06E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609" w:type="dxa"/>
            <w:noWrap w:val="0"/>
            <w:vAlign w:val="center"/>
          </w:tcPr>
          <w:p w14:paraId="46C11BC4">
            <w:pPr>
              <w:keepNext w:val="0"/>
              <w:keepLines w:val="0"/>
              <w:pageBreakBefore w:val="0"/>
              <w:kinsoku/>
              <w:overflowPunct/>
              <w:topLinePunct w:val="0"/>
              <w:autoSpaceDE/>
              <w:autoSpaceDN/>
              <w:bidi w:val="0"/>
              <w:spacing w:line="440" w:lineRule="exact"/>
              <w:contextualSpacing/>
              <w:jc w:val="center"/>
              <w:textAlignment w:val="auto"/>
              <w:rPr>
                <w:rFonts w:hint="default"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24</w:t>
            </w:r>
          </w:p>
        </w:tc>
        <w:tc>
          <w:tcPr>
            <w:tcW w:w="1290" w:type="dxa"/>
            <w:noWrap w:val="0"/>
            <w:vAlign w:val="center"/>
          </w:tcPr>
          <w:p w14:paraId="19E8A3FA">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否</w:t>
            </w:r>
          </w:p>
        </w:tc>
        <w:tc>
          <w:tcPr>
            <w:tcW w:w="2205" w:type="dxa"/>
            <w:noWrap w:val="0"/>
            <w:vAlign w:val="center"/>
          </w:tcPr>
          <w:p w14:paraId="25534A4A">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电子班牌</w:t>
            </w:r>
          </w:p>
        </w:tc>
        <w:tc>
          <w:tcPr>
            <w:tcW w:w="855" w:type="dxa"/>
            <w:noWrap w:val="0"/>
            <w:vAlign w:val="center"/>
          </w:tcPr>
          <w:p w14:paraId="47E9E2A7">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1</w:t>
            </w:r>
          </w:p>
        </w:tc>
        <w:tc>
          <w:tcPr>
            <w:tcW w:w="1073" w:type="dxa"/>
            <w:noWrap w:val="0"/>
            <w:vAlign w:val="center"/>
          </w:tcPr>
          <w:p w14:paraId="65B87E6D">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台</w:t>
            </w:r>
          </w:p>
        </w:tc>
        <w:tc>
          <w:tcPr>
            <w:tcW w:w="1105" w:type="dxa"/>
            <w:noWrap w:val="0"/>
            <w:vAlign w:val="center"/>
          </w:tcPr>
          <w:p w14:paraId="470F28C6">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3200</w:t>
            </w:r>
          </w:p>
        </w:tc>
        <w:tc>
          <w:tcPr>
            <w:tcW w:w="1323" w:type="dxa"/>
            <w:noWrap w:val="0"/>
            <w:vAlign w:val="center"/>
          </w:tcPr>
          <w:p w14:paraId="2CC8E4A3">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3200</w:t>
            </w:r>
          </w:p>
        </w:tc>
        <w:tc>
          <w:tcPr>
            <w:tcW w:w="1584" w:type="dxa"/>
            <w:vMerge w:val="continue"/>
            <w:noWrap w:val="0"/>
            <w:vAlign w:val="center"/>
          </w:tcPr>
          <w:p w14:paraId="4D766C52">
            <w:pPr>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color w:val="auto"/>
                <w:kern w:val="0"/>
                <w:sz w:val="24"/>
                <w:szCs w:val="24"/>
                <w:highlight w:val="none"/>
                <w:lang w:val="en-US" w:eastAsia="zh-CN"/>
              </w:rPr>
            </w:pPr>
          </w:p>
        </w:tc>
      </w:tr>
      <w:tr w14:paraId="339DC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609" w:type="dxa"/>
            <w:noWrap w:val="0"/>
            <w:vAlign w:val="center"/>
          </w:tcPr>
          <w:p w14:paraId="79EB7ADC">
            <w:pPr>
              <w:keepNext w:val="0"/>
              <w:keepLines w:val="0"/>
              <w:pageBreakBefore w:val="0"/>
              <w:kinsoku/>
              <w:overflowPunct/>
              <w:topLinePunct w:val="0"/>
              <w:autoSpaceDE/>
              <w:autoSpaceDN/>
              <w:bidi w:val="0"/>
              <w:spacing w:line="440" w:lineRule="exact"/>
              <w:contextualSpacing/>
              <w:jc w:val="center"/>
              <w:textAlignment w:val="auto"/>
              <w:rPr>
                <w:rFonts w:hint="default"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25</w:t>
            </w:r>
          </w:p>
        </w:tc>
        <w:tc>
          <w:tcPr>
            <w:tcW w:w="1290" w:type="dxa"/>
            <w:noWrap w:val="0"/>
            <w:vAlign w:val="center"/>
          </w:tcPr>
          <w:p w14:paraId="2FC6C994">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否</w:t>
            </w:r>
          </w:p>
        </w:tc>
        <w:tc>
          <w:tcPr>
            <w:tcW w:w="2205" w:type="dxa"/>
            <w:noWrap w:val="0"/>
            <w:vAlign w:val="center"/>
          </w:tcPr>
          <w:p w14:paraId="786EC92F">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拆除</w:t>
            </w:r>
          </w:p>
        </w:tc>
        <w:tc>
          <w:tcPr>
            <w:tcW w:w="855" w:type="dxa"/>
            <w:noWrap w:val="0"/>
            <w:vAlign w:val="center"/>
          </w:tcPr>
          <w:p w14:paraId="12EA45B5">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1</w:t>
            </w:r>
          </w:p>
        </w:tc>
        <w:tc>
          <w:tcPr>
            <w:tcW w:w="1073" w:type="dxa"/>
            <w:noWrap w:val="0"/>
            <w:vAlign w:val="center"/>
          </w:tcPr>
          <w:p w14:paraId="02C63F6A">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项</w:t>
            </w:r>
          </w:p>
        </w:tc>
        <w:tc>
          <w:tcPr>
            <w:tcW w:w="1105" w:type="dxa"/>
            <w:noWrap w:val="0"/>
            <w:vAlign w:val="center"/>
          </w:tcPr>
          <w:p w14:paraId="4FF1183E">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5000</w:t>
            </w:r>
          </w:p>
        </w:tc>
        <w:tc>
          <w:tcPr>
            <w:tcW w:w="1323" w:type="dxa"/>
            <w:noWrap w:val="0"/>
            <w:vAlign w:val="center"/>
          </w:tcPr>
          <w:p w14:paraId="4D5FD32F">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5000</w:t>
            </w:r>
          </w:p>
        </w:tc>
        <w:tc>
          <w:tcPr>
            <w:tcW w:w="1584" w:type="dxa"/>
            <w:vMerge w:val="continue"/>
            <w:noWrap w:val="0"/>
            <w:vAlign w:val="center"/>
          </w:tcPr>
          <w:p w14:paraId="306F0F44">
            <w:pPr>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color w:val="auto"/>
                <w:kern w:val="0"/>
                <w:sz w:val="24"/>
                <w:szCs w:val="24"/>
                <w:highlight w:val="none"/>
                <w:lang w:val="en-US" w:eastAsia="zh-CN"/>
              </w:rPr>
            </w:pPr>
          </w:p>
        </w:tc>
      </w:tr>
      <w:tr w14:paraId="1DFBB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609" w:type="dxa"/>
            <w:noWrap w:val="0"/>
            <w:vAlign w:val="center"/>
          </w:tcPr>
          <w:p w14:paraId="14AE2B2D">
            <w:pPr>
              <w:keepNext w:val="0"/>
              <w:keepLines w:val="0"/>
              <w:pageBreakBefore w:val="0"/>
              <w:kinsoku/>
              <w:overflowPunct/>
              <w:topLinePunct w:val="0"/>
              <w:autoSpaceDE/>
              <w:autoSpaceDN/>
              <w:bidi w:val="0"/>
              <w:spacing w:line="440" w:lineRule="exact"/>
              <w:contextualSpacing/>
              <w:jc w:val="center"/>
              <w:textAlignment w:val="auto"/>
              <w:rPr>
                <w:rFonts w:hint="default"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26</w:t>
            </w:r>
          </w:p>
        </w:tc>
        <w:tc>
          <w:tcPr>
            <w:tcW w:w="1290" w:type="dxa"/>
            <w:noWrap w:val="0"/>
            <w:vAlign w:val="center"/>
          </w:tcPr>
          <w:p w14:paraId="040BEA97">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否</w:t>
            </w:r>
          </w:p>
        </w:tc>
        <w:tc>
          <w:tcPr>
            <w:tcW w:w="2205" w:type="dxa"/>
            <w:noWrap w:val="0"/>
            <w:vAlign w:val="center"/>
          </w:tcPr>
          <w:p w14:paraId="38E37BD1">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垃圾外运</w:t>
            </w:r>
          </w:p>
        </w:tc>
        <w:tc>
          <w:tcPr>
            <w:tcW w:w="855" w:type="dxa"/>
            <w:noWrap w:val="0"/>
            <w:vAlign w:val="center"/>
          </w:tcPr>
          <w:p w14:paraId="6345DEAE">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1</w:t>
            </w:r>
          </w:p>
        </w:tc>
        <w:tc>
          <w:tcPr>
            <w:tcW w:w="1073" w:type="dxa"/>
            <w:noWrap w:val="0"/>
            <w:vAlign w:val="center"/>
          </w:tcPr>
          <w:p w14:paraId="0C2050B4">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项</w:t>
            </w:r>
          </w:p>
        </w:tc>
        <w:tc>
          <w:tcPr>
            <w:tcW w:w="1105" w:type="dxa"/>
            <w:noWrap w:val="0"/>
            <w:vAlign w:val="center"/>
          </w:tcPr>
          <w:p w14:paraId="11A8BDE1">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2600</w:t>
            </w:r>
          </w:p>
        </w:tc>
        <w:tc>
          <w:tcPr>
            <w:tcW w:w="1323" w:type="dxa"/>
            <w:noWrap w:val="0"/>
            <w:vAlign w:val="center"/>
          </w:tcPr>
          <w:p w14:paraId="33162C6E">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2600</w:t>
            </w:r>
          </w:p>
        </w:tc>
        <w:tc>
          <w:tcPr>
            <w:tcW w:w="1584" w:type="dxa"/>
            <w:vMerge w:val="continue"/>
            <w:noWrap w:val="0"/>
            <w:vAlign w:val="center"/>
          </w:tcPr>
          <w:p w14:paraId="7D4DDAEC">
            <w:pPr>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color w:val="auto"/>
                <w:kern w:val="0"/>
                <w:sz w:val="24"/>
                <w:szCs w:val="24"/>
                <w:highlight w:val="none"/>
                <w:lang w:val="en-US" w:eastAsia="zh-CN"/>
              </w:rPr>
            </w:pPr>
          </w:p>
        </w:tc>
      </w:tr>
      <w:tr w14:paraId="3429C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609" w:type="dxa"/>
            <w:noWrap w:val="0"/>
            <w:vAlign w:val="center"/>
          </w:tcPr>
          <w:p w14:paraId="52150BC4">
            <w:pPr>
              <w:keepNext w:val="0"/>
              <w:keepLines w:val="0"/>
              <w:pageBreakBefore w:val="0"/>
              <w:kinsoku/>
              <w:overflowPunct/>
              <w:topLinePunct w:val="0"/>
              <w:autoSpaceDE/>
              <w:autoSpaceDN/>
              <w:bidi w:val="0"/>
              <w:spacing w:line="440" w:lineRule="exact"/>
              <w:contextualSpacing/>
              <w:jc w:val="center"/>
              <w:textAlignment w:val="auto"/>
              <w:rPr>
                <w:rFonts w:hint="default"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27</w:t>
            </w:r>
          </w:p>
        </w:tc>
        <w:tc>
          <w:tcPr>
            <w:tcW w:w="1290" w:type="dxa"/>
            <w:noWrap w:val="0"/>
            <w:vAlign w:val="center"/>
          </w:tcPr>
          <w:p w14:paraId="741D4CF7">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否</w:t>
            </w:r>
          </w:p>
        </w:tc>
        <w:tc>
          <w:tcPr>
            <w:tcW w:w="2205" w:type="dxa"/>
            <w:noWrap w:val="0"/>
            <w:vAlign w:val="center"/>
          </w:tcPr>
          <w:p w14:paraId="42FFFCA9">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顶面处理</w:t>
            </w:r>
          </w:p>
        </w:tc>
        <w:tc>
          <w:tcPr>
            <w:tcW w:w="855" w:type="dxa"/>
            <w:noWrap w:val="0"/>
            <w:vAlign w:val="center"/>
          </w:tcPr>
          <w:p w14:paraId="4BAC7FCE">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73</w:t>
            </w:r>
          </w:p>
        </w:tc>
        <w:tc>
          <w:tcPr>
            <w:tcW w:w="1073" w:type="dxa"/>
            <w:noWrap w:val="0"/>
            <w:vAlign w:val="center"/>
          </w:tcPr>
          <w:p w14:paraId="0736D30A">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平方米</w:t>
            </w:r>
          </w:p>
        </w:tc>
        <w:tc>
          <w:tcPr>
            <w:tcW w:w="1105" w:type="dxa"/>
            <w:noWrap w:val="0"/>
            <w:vAlign w:val="center"/>
          </w:tcPr>
          <w:p w14:paraId="12891C10">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65</w:t>
            </w:r>
          </w:p>
        </w:tc>
        <w:tc>
          <w:tcPr>
            <w:tcW w:w="1323" w:type="dxa"/>
            <w:noWrap w:val="0"/>
            <w:vAlign w:val="center"/>
          </w:tcPr>
          <w:p w14:paraId="5A933E55">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4745</w:t>
            </w:r>
          </w:p>
        </w:tc>
        <w:tc>
          <w:tcPr>
            <w:tcW w:w="1584" w:type="dxa"/>
            <w:vMerge w:val="continue"/>
            <w:noWrap w:val="0"/>
            <w:vAlign w:val="center"/>
          </w:tcPr>
          <w:p w14:paraId="55C0201A">
            <w:pPr>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color w:val="auto"/>
                <w:kern w:val="0"/>
                <w:sz w:val="24"/>
                <w:szCs w:val="24"/>
                <w:highlight w:val="none"/>
                <w:lang w:val="en-US" w:eastAsia="zh-CN"/>
              </w:rPr>
            </w:pPr>
          </w:p>
        </w:tc>
      </w:tr>
      <w:tr w14:paraId="617B9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609" w:type="dxa"/>
            <w:noWrap w:val="0"/>
            <w:vAlign w:val="center"/>
          </w:tcPr>
          <w:p w14:paraId="217C2FAC">
            <w:pPr>
              <w:keepNext w:val="0"/>
              <w:keepLines w:val="0"/>
              <w:pageBreakBefore w:val="0"/>
              <w:kinsoku/>
              <w:overflowPunct/>
              <w:topLinePunct w:val="0"/>
              <w:autoSpaceDE/>
              <w:autoSpaceDN/>
              <w:bidi w:val="0"/>
              <w:spacing w:line="440" w:lineRule="exact"/>
              <w:contextualSpacing/>
              <w:jc w:val="center"/>
              <w:textAlignment w:val="auto"/>
              <w:rPr>
                <w:rFonts w:hint="default"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28</w:t>
            </w:r>
          </w:p>
        </w:tc>
        <w:tc>
          <w:tcPr>
            <w:tcW w:w="1290" w:type="dxa"/>
            <w:noWrap w:val="0"/>
            <w:vAlign w:val="center"/>
          </w:tcPr>
          <w:p w14:paraId="4D4B0832">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否</w:t>
            </w:r>
          </w:p>
        </w:tc>
        <w:tc>
          <w:tcPr>
            <w:tcW w:w="2205" w:type="dxa"/>
            <w:noWrap w:val="0"/>
            <w:vAlign w:val="center"/>
          </w:tcPr>
          <w:p w14:paraId="2D53AC2F">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前墙处理</w:t>
            </w:r>
          </w:p>
        </w:tc>
        <w:tc>
          <w:tcPr>
            <w:tcW w:w="855" w:type="dxa"/>
            <w:noWrap w:val="0"/>
            <w:vAlign w:val="center"/>
          </w:tcPr>
          <w:p w14:paraId="6373036D">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21</w:t>
            </w:r>
          </w:p>
        </w:tc>
        <w:tc>
          <w:tcPr>
            <w:tcW w:w="1073" w:type="dxa"/>
            <w:noWrap w:val="0"/>
            <w:vAlign w:val="center"/>
          </w:tcPr>
          <w:p w14:paraId="4AB64489">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平方米</w:t>
            </w:r>
          </w:p>
        </w:tc>
        <w:tc>
          <w:tcPr>
            <w:tcW w:w="1105" w:type="dxa"/>
            <w:noWrap w:val="0"/>
            <w:vAlign w:val="center"/>
          </w:tcPr>
          <w:p w14:paraId="645614B6">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265</w:t>
            </w:r>
          </w:p>
        </w:tc>
        <w:tc>
          <w:tcPr>
            <w:tcW w:w="1323" w:type="dxa"/>
            <w:noWrap w:val="0"/>
            <w:vAlign w:val="center"/>
          </w:tcPr>
          <w:p w14:paraId="1A78CC35">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5565</w:t>
            </w:r>
          </w:p>
        </w:tc>
        <w:tc>
          <w:tcPr>
            <w:tcW w:w="1584" w:type="dxa"/>
            <w:vMerge w:val="continue"/>
            <w:noWrap w:val="0"/>
            <w:vAlign w:val="center"/>
          </w:tcPr>
          <w:p w14:paraId="4DC04785">
            <w:pPr>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color w:val="auto"/>
                <w:kern w:val="0"/>
                <w:sz w:val="24"/>
                <w:szCs w:val="24"/>
                <w:highlight w:val="none"/>
                <w:lang w:val="en-US" w:eastAsia="zh-CN"/>
              </w:rPr>
            </w:pPr>
          </w:p>
        </w:tc>
      </w:tr>
      <w:tr w14:paraId="55BE6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609" w:type="dxa"/>
            <w:noWrap w:val="0"/>
            <w:vAlign w:val="center"/>
          </w:tcPr>
          <w:p w14:paraId="7E31A989">
            <w:pPr>
              <w:keepNext w:val="0"/>
              <w:keepLines w:val="0"/>
              <w:pageBreakBefore w:val="0"/>
              <w:kinsoku/>
              <w:overflowPunct/>
              <w:topLinePunct w:val="0"/>
              <w:autoSpaceDE/>
              <w:autoSpaceDN/>
              <w:bidi w:val="0"/>
              <w:spacing w:line="440" w:lineRule="exact"/>
              <w:contextualSpacing/>
              <w:jc w:val="center"/>
              <w:textAlignment w:val="auto"/>
              <w:rPr>
                <w:rFonts w:hint="default"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29</w:t>
            </w:r>
          </w:p>
        </w:tc>
        <w:tc>
          <w:tcPr>
            <w:tcW w:w="1290" w:type="dxa"/>
            <w:noWrap w:val="0"/>
            <w:vAlign w:val="center"/>
          </w:tcPr>
          <w:p w14:paraId="11564E5D">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否</w:t>
            </w:r>
          </w:p>
        </w:tc>
        <w:tc>
          <w:tcPr>
            <w:tcW w:w="2205" w:type="dxa"/>
            <w:noWrap w:val="0"/>
            <w:vAlign w:val="center"/>
          </w:tcPr>
          <w:p w14:paraId="3D9ED47F">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墙面处理</w:t>
            </w:r>
          </w:p>
        </w:tc>
        <w:tc>
          <w:tcPr>
            <w:tcW w:w="855" w:type="dxa"/>
            <w:noWrap w:val="0"/>
            <w:vAlign w:val="center"/>
          </w:tcPr>
          <w:p w14:paraId="76A169C2">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40</w:t>
            </w:r>
          </w:p>
        </w:tc>
        <w:tc>
          <w:tcPr>
            <w:tcW w:w="1073" w:type="dxa"/>
            <w:noWrap w:val="0"/>
            <w:vAlign w:val="center"/>
          </w:tcPr>
          <w:p w14:paraId="1FAFDA2F">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平方米</w:t>
            </w:r>
          </w:p>
        </w:tc>
        <w:tc>
          <w:tcPr>
            <w:tcW w:w="1105" w:type="dxa"/>
            <w:noWrap w:val="0"/>
            <w:vAlign w:val="center"/>
          </w:tcPr>
          <w:p w14:paraId="2A14B2D0">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65</w:t>
            </w:r>
          </w:p>
        </w:tc>
        <w:tc>
          <w:tcPr>
            <w:tcW w:w="1323" w:type="dxa"/>
            <w:noWrap w:val="0"/>
            <w:vAlign w:val="center"/>
          </w:tcPr>
          <w:p w14:paraId="1F72EF9A">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2600</w:t>
            </w:r>
          </w:p>
        </w:tc>
        <w:tc>
          <w:tcPr>
            <w:tcW w:w="1584" w:type="dxa"/>
            <w:vMerge w:val="continue"/>
            <w:noWrap w:val="0"/>
            <w:vAlign w:val="center"/>
          </w:tcPr>
          <w:p w14:paraId="72923BD2">
            <w:pPr>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color w:val="auto"/>
                <w:kern w:val="0"/>
                <w:sz w:val="24"/>
                <w:szCs w:val="24"/>
                <w:highlight w:val="none"/>
                <w:lang w:val="en-US" w:eastAsia="zh-CN"/>
              </w:rPr>
            </w:pPr>
          </w:p>
        </w:tc>
      </w:tr>
      <w:tr w14:paraId="6E371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609" w:type="dxa"/>
            <w:noWrap w:val="0"/>
            <w:vAlign w:val="center"/>
          </w:tcPr>
          <w:p w14:paraId="2EE609C4">
            <w:pPr>
              <w:keepNext w:val="0"/>
              <w:keepLines w:val="0"/>
              <w:pageBreakBefore w:val="0"/>
              <w:kinsoku/>
              <w:overflowPunct/>
              <w:topLinePunct w:val="0"/>
              <w:autoSpaceDE/>
              <w:autoSpaceDN/>
              <w:bidi w:val="0"/>
              <w:spacing w:line="440" w:lineRule="exact"/>
              <w:contextualSpacing/>
              <w:jc w:val="center"/>
              <w:textAlignment w:val="auto"/>
              <w:rPr>
                <w:rFonts w:hint="default"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30</w:t>
            </w:r>
          </w:p>
        </w:tc>
        <w:tc>
          <w:tcPr>
            <w:tcW w:w="1290" w:type="dxa"/>
            <w:noWrap w:val="0"/>
            <w:vAlign w:val="center"/>
          </w:tcPr>
          <w:p w14:paraId="69438D9D">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否</w:t>
            </w:r>
          </w:p>
        </w:tc>
        <w:tc>
          <w:tcPr>
            <w:tcW w:w="2205" w:type="dxa"/>
            <w:noWrap w:val="0"/>
            <w:vAlign w:val="center"/>
          </w:tcPr>
          <w:p w14:paraId="01FD4663">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照明灯具</w:t>
            </w:r>
          </w:p>
        </w:tc>
        <w:tc>
          <w:tcPr>
            <w:tcW w:w="855" w:type="dxa"/>
            <w:noWrap w:val="0"/>
            <w:vAlign w:val="center"/>
          </w:tcPr>
          <w:p w14:paraId="12447D0D">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1</w:t>
            </w:r>
          </w:p>
        </w:tc>
        <w:tc>
          <w:tcPr>
            <w:tcW w:w="1073" w:type="dxa"/>
            <w:noWrap w:val="0"/>
            <w:vAlign w:val="center"/>
          </w:tcPr>
          <w:p w14:paraId="0586DD39">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项</w:t>
            </w:r>
          </w:p>
        </w:tc>
        <w:tc>
          <w:tcPr>
            <w:tcW w:w="1105" w:type="dxa"/>
            <w:noWrap w:val="0"/>
            <w:vAlign w:val="center"/>
          </w:tcPr>
          <w:p w14:paraId="3D07FA85">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6500</w:t>
            </w:r>
          </w:p>
        </w:tc>
        <w:tc>
          <w:tcPr>
            <w:tcW w:w="1323" w:type="dxa"/>
            <w:noWrap w:val="0"/>
            <w:vAlign w:val="center"/>
          </w:tcPr>
          <w:p w14:paraId="22139A6B">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6500</w:t>
            </w:r>
          </w:p>
        </w:tc>
        <w:tc>
          <w:tcPr>
            <w:tcW w:w="1584" w:type="dxa"/>
            <w:vMerge w:val="continue"/>
            <w:noWrap w:val="0"/>
            <w:vAlign w:val="center"/>
          </w:tcPr>
          <w:p w14:paraId="3DBF1677">
            <w:pPr>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color w:val="auto"/>
                <w:kern w:val="0"/>
                <w:sz w:val="24"/>
                <w:szCs w:val="24"/>
                <w:highlight w:val="none"/>
                <w:lang w:val="en-US" w:eastAsia="zh-CN"/>
              </w:rPr>
            </w:pPr>
          </w:p>
        </w:tc>
      </w:tr>
      <w:tr w14:paraId="5FB30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609" w:type="dxa"/>
            <w:noWrap w:val="0"/>
            <w:vAlign w:val="center"/>
          </w:tcPr>
          <w:p w14:paraId="52F93EDE">
            <w:pPr>
              <w:keepNext w:val="0"/>
              <w:keepLines w:val="0"/>
              <w:pageBreakBefore w:val="0"/>
              <w:kinsoku/>
              <w:overflowPunct/>
              <w:topLinePunct w:val="0"/>
              <w:autoSpaceDE/>
              <w:autoSpaceDN/>
              <w:bidi w:val="0"/>
              <w:spacing w:line="440" w:lineRule="exact"/>
              <w:contextualSpacing/>
              <w:jc w:val="center"/>
              <w:textAlignment w:val="auto"/>
              <w:rPr>
                <w:rFonts w:hint="default"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31</w:t>
            </w:r>
          </w:p>
        </w:tc>
        <w:tc>
          <w:tcPr>
            <w:tcW w:w="1290" w:type="dxa"/>
            <w:noWrap w:val="0"/>
            <w:vAlign w:val="center"/>
          </w:tcPr>
          <w:p w14:paraId="571DA01D">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否</w:t>
            </w:r>
          </w:p>
        </w:tc>
        <w:tc>
          <w:tcPr>
            <w:tcW w:w="2205" w:type="dxa"/>
            <w:noWrap w:val="0"/>
            <w:vAlign w:val="center"/>
          </w:tcPr>
          <w:p w14:paraId="6B5C93E3">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窗帘</w:t>
            </w:r>
          </w:p>
        </w:tc>
        <w:tc>
          <w:tcPr>
            <w:tcW w:w="855" w:type="dxa"/>
            <w:noWrap w:val="0"/>
            <w:vAlign w:val="center"/>
          </w:tcPr>
          <w:p w14:paraId="6330444C">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14</w:t>
            </w:r>
          </w:p>
        </w:tc>
        <w:tc>
          <w:tcPr>
            <w:tcW w:w="1073" w:type="dxa"/>
            <w:noWrap w:val="0"/>
            <w:vAlign w:val="center"/>
          </w:tcPr>
          <w:p w14:paraId="7DE81DCF">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米</w:t>
            </w:r>
          </w:p>
        </w:tc>
        <w:tc>
          <w:tcPr>
            <w:tcW w:w="1105" w:type="dxa"/>
            <w:noWrap w:val="0"/>
            <w:vAlign w:val="center"/>
          </w:tcPr>
          <w:p w14:paraId="20A585F8">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161</w:t>
            </w:r>
          </w:p>
        </w:tc>
        <w:tc>
          <w:tcPr>
            <w:tcW w:w="1323" w:type="dxa"/>
            <w:noWrap w:val="0"/>
            <w:vAlign w:val="center"/>
          </w:tcPr>
          <w:p w14:paraId="2A313A15">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2254</w:t>
            </w:r>
          </w:p>
        </w:tc>
        <w:tc>
          <w:tcPr>
            <w:tcW w:w="1584" w:type="dxa"/>
            <w:vMerge w:val="continue"/>
            <w:noWrap w:val="0"/>
            <w:vAlign w:val="center"/>
          </w:tcPr>
          <w:p w14:paraId="5652DDF6">
            <w:pPr>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color w:val="auto"/>
                <w:kern w:val="0"/>
                <w:sz w:val="24"/>
                <w:szCs w:val="24"/>
                <w:highlight w:val="none"/>
                <w:lang w:val="en-US" w:eastAsia="zh-CN"/>
              </w:rPr>
            </w:pPr>
          </w:p>
        </w:tc>
      </w:tr>
      <w:tr w14:paraId="28D15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609" w:type="dxa"/>
            <w:noWrap w:val="0"/>
            <w:vAlign w:val="center"/>
          </w:tcPr>
          <w:p w14:paraId="69D7FB89">
            <w:pPr>
              <w:keepNext w:val="0"/>
              <w:keepLines w:val="0"/>
              <w:pageBreakBefore w:val="0"/>
              <w:kinsoku/>
              <w:overflowPunct/>
              <w:topLinePunct w:val="0"/>
              <w:autoSpaceDE/>
              <w:autoSpaceDN/>
              <w:bidi w:val="0"/>
              <w:spacing w:line="440" w:lineRule="exact"/>
              <w:contextualSpacing/>
              <w:jc w:val="center"/>
              <w:textAlignment w:val="auto"/>
              <w:rPr>
                <w:rFonts w:hint="default"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32</w:t>
            </w:r>
          </w:p>
        </w:tc>
        <w:tc>
          <w:tcPr>
            <w:tcW w:w="1290" w:type="dxa"/>
            <w:noWrap w:val="0"/>
            <w:vAlign w:val="center"/>
          </w:tcPr>
          <w:p w14:paraId="5D0E3D79">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否</w:t>
            </w:r>
          </w:p>
        </w:tc>
        <w:tc>
          <w:tcPr>
            <w:tcW w:w="2205" w:type="dxa"/>
            <w:noWrap w:val="0"/>
            <w:vAlign w:val="center"/>
          </w:tcPr>
          <w:p w14:paraId="2687581C">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文化建设</w:t>
            </w:r>
          </w:p>
        </w:tc>
        <w:tc>
          <w:tcPr>
            <w:tcW w:w="855" w:type="dxa"/>
            <w:noWrap w:val="0"/>
            <w:vAlign w:val="center"/>
          </w:tcPr>
          <w:p w14:paraId="758C9610">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1</w:t>
            </w:r>
          </w:p>
        </w:tc>
        <w:tc>
          <w:tcPr>
            <w:tcW w:w="1073" w:type="dxa"/>
            <w:noWrap w:val="0"/>
            <w:vAlign w:val="center"/>
          </w:tcPr>
          <w:p w14:paraId="20E73EF5">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项</w:t>
            </w:r>
          </w:p>
        </w:tc>
        <w:tc>
          <w:tcPr>
            <w:tcW w:w="1105" w:type="dxa"/>
            <w:noWrap w:val="0"/>
            <w:vAlign w:val="center"/>
          </w:tcPr>
          <w:p w14:paraId="7EF819FC">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13860</w:t>
            </w:r>
          </w:p>
        </w:tc>
        <w:tc>
          <w:tcPr>
            <w:tcW w:w="1323" w:type="dxa"/>
            <w:noWrap w:val="0"/>
            <w:vAlign w:val="center"/>
          </w:tcPr>
          <w:p w14:paraId="31FD5D15">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13860</w:t>
            </w:r>
          </w:p>
        </w:tc>
        <w:tc>
          <w:tcPr>
            <w:tcW w:w="1584" w:type="dxa"/>
            <w:vMerge w:val="continue"/>
            <w:noWrap w:val="0"/>
            <w:vAlign w:val="center"/>
          </w:tcPr>
          <w:p w14:paraId="50F747C8">
            <w:pPr>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color w:val="auto"/>
                <w:kern w:val="0"/>
                <w:sz w:val="24"/>
                <w:szCs w:val="24"/>
                <w:highlight w:val="none"/>
                <w:lang w:val="en-US" w:eastAsia="zh-CN"/>
              </w:rPr>
            </w:pPr>
          </w:p>
        </w:tc>
      </w:tr>
      <w:tr w14:paraId="7B1C8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609" w:type="dxa"/>
            <w:noWrap w:val="0"/>
            <w:vAlign w:val="center"/>
          </w:tcPr>
          <w:p w14:paraId="2C7487B8">
            <w:pPr>
              <w:keepNext w:val="0"/>
              <w:keepLines w:val="0"/>
              <w:pageBreakBefore w:val="0"/>
              <w:kinsoku/>
              <w:overflowPunct/>
              <w:topLinePunct w:val="0"/>
              <w:autoSpaceDE/>
              <w:autoSpaceDN/>
              <w:bidi w:val="0"/>
              <w:spacing w:line="440" w:lineRule="exact"/>
              <w:contextualSpacing/>
              <w:jc w:val="center"/>
              <w:textAlignment w:val="auto"/>
              <w:rPr>
                <w:rFonts w:hint="default"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33</w:t>
            </w:r>
          </w:p>
        </w:tc>
        <w:tc>
          <w:tcPr>
            <w:tcW w:w="1290" w:type="dxa"/>
            <w:noWrap w:val="0"/>
            <w:vAlign w:val="center"/>
          </w:tcPr>
          <w:p w14:paraId="305A2DAA">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否</w:t>
            </w:r>
          </w:p>
        </w:tc>
        <w:tc>
          <w:tcPr>
            <w:tcW w:w="2205" w:type="dxa"/>
            <w:noWrap w:val="0"/>
            <w:vAlign w:val="center"/>
          </w:tcPr>
          <w:p w14:paraId="1B1B3B59">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综合布线</w:t>
            </w:r>
          </w:p>
        </w:tc>
        <w:tc>
          <w:tcPr>
            <w:tcW w:w="855" w:type="dxa"/>
            <w:noWrap w:val="0"/>
            <w:vAlign w:val="center"/>
          </w:tcPr>
          <w:p w14:paraId="1015B2E6">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1</w:t>
            </w:r>
          </w:p>
        </w:tc>
        <w:tc>
          <w:tcPr>
            <w:tcW w:w="1073" w:type="dxa"/>
            <w:noWrap w:val="0"/>
            <w:vAlign w:val="center"/>
          </w:tcPr>
          <w:p w14:paraId="3FADF14B">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项</w:t>
            </w:r>
          </w:p>
        </w:tc>
        <w:tc>
          <w:tcPr>
            <w:tcW w:w="1105" w:type="dxa"/>
            <w:noWrap w:val="0"/>
            <w:vAlign w:val="center"/>
          </w:tcPr>
          <w:p w14:paraId="133B5E84">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15840</w:t>
            </w:r>
          </w:p>
        </w:tc>
        <w:tc>
          <w:tcPr>
            <w:tcW w:w="1323" w:type="dxa"/>
            <w:noWrap w:val="0"/>
            <w:vAlign w:val="center"/>
          </w:tcPr>
          <w:p w14:paraId="292574B6">
            <w:pPr>
              <w:keepNext w:val="0"/>
              <w:keepLines w:val="0"/>
              <w:widowControl/>
              <w:suppressLineNumbers w:val="0"/>
              <w:jc w:val="center"/>
              <w:textAlignment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15840</w:t>
            </w:r>
          </w:p>
        </w:tc>
        <w:tc>
          <w:tcPr>
            <w:tcW w:w="1584" w:type="dxa"/>
            <w:vMerge w:val="continue"/>
            <w:noWrap w:val="0"/>
            <w:vAlign w:val="center"/>
          </w:tcPr>
          <w:p w14:paraId="622B26B4">
            <w:pPr>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color w:val="auto"/>
                <w:kern w:val="0"/>
                <w:sz w:val="24"/>
                <w:szCs w:val="24"/>
                <w:highlight w:val="none"/>
                <w:lang w:val="en-US" w:eastAsia="zh-CN"/>
              </w:rPr>
            </w:pPr>
          </w:p>
        </w:tc>
      </w:tr>
      <w:tr w14:paraId="5B41B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044" w:type="dxa"/>
            <w:gridSpan w:val="8"/>
            <w:noWrap w:val="0"/>
            <w:vAlign w:val="center"/>
          </w:tcPr>
          <w:p w14:paraId="72B1978E">
            <w:pPr>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合计：小写：¥21.5215万元（大写：贰拾壹万伍仟贰佰壹拾伍元整）</w:t>
            </w:r>
          </w:p>
        </w:tc>
      </w:tr>
    </w:tbl>
    <w:p w14:paraId="4E601BF9">
      <w:pPr>
        <w:pStyle w:val="3"/>
        <w:keepNext w:val="0"/>
        <w:keepLines w:val="0"/>
        <w:pageBreakBefore w:val="0"/>
        <w:kinsoku/>
        <w:overflowPunct/>
        <w:topLinePunct w:val="0"/>
        <w:autoSpaceDE/>
        <w:autoSpaceDN/>
        <w:bidi w:val="0"/>
        <w:snapToGrid/>
        <w:spacing w:after="0" w:line="440" w:lineRule="exact"/>
        <w:ind w:left="0" w:leftChars="0" w:right="210" w:firstLine="482" w:firstLineChars="200"/>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注：投标人须对所投标段的产品进行整体投标报价，不得缺项漏项，否则按不响应招标文件实质性要求处理。本项目不允许进口产品参与投标，进口产品是指通过中国海关报关验放进入中国境内且产自关境外的产品。</w:t>
      </w:r>
    </w:p>
    <w:p w14:paraId="645279D1">
      <w:pPr>
        <w:pStyle w:val="3"/>
        <w:keepNext w:val="0"/>
        <w:keepLines w:val="0"/>
        <w:pageBreakBefore w:val="0"/>
        <w:kinsoku/>
        <w:overflowPunct/>
        <w:topLinePunct w:val="0"/>
        <w:autoSpaceDE/>
        <w:autoSpaceDN/>
        <w:bidi w:val="0"/>
        <w:snapToGrid/>
        <w:spacing w:after="0" w:line="440" w:lineRule="exact"/>
        <w:ind w:left="0" w:leftChars="0" w:right="210" w:firstLine="480" w:firstLineChars="20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7.合同履行期限：合同签订生效后60日历天内完成所有设备供货、安装、调试、装修、综合布线及竣工验收，并交付使用。</w:t>
      </w:r>
    </w:p>
    <w:p w14:paraId="143B2C2D">
      <w:pPr>
        <w:pStyle w:val="3"/>
        <w:keepNext w:val="0"/>
        <w:keepLines w:val="0"/>
        <w:pageBreakBefore w:val="0"/>
        <w:kinsoku/>
        <w:overflowPunct/>
        <w:topLinePunct w:val="0"/>
        <w:autoSpaceDE/>
        <w:autoSpaceDN/>
        <w:bidi w:val="0"/>
        <w:snapToGrid/>
        <w:spacing w:after="0" w:line="440" w:lineRule="exact"/>
        <w:ind w:left="0" w:leftChars="0" w:right="210" w:firstLine="480" w:firstLineChars="20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8.质量要求：符合国家及行业相关质量标准，所有产品须为全新、未使用过的原装正品，且具备完整的产品合格证明、出厂检验报告及相关技术资料。</w:t>
      </w:r>
    </w:p>
    <w:p w14:paraId="411628BD">
      <w:pPr>
        <w:pStyle w:val="3"/>
        <w:keepNext w:val="0"/>
        <w:keepLines w:val="0"/>
        <w:pageBreakBefore w:val="0"/>
        <w:kinsoku/>
        <w:overflowPunct/>
        <w:topLinePunct w:val="0"/>
        <w:autoSpaceDE/>
        <w:autoSpaceDN/>
        <w:bidi w:val="0"/>
        <w:snapToGrid/>
        <w:spacing w:after="0" w:line="440" w:lineRule="exact"/>
        <w:ind w:left="0" w:leftChars="0" w:right="210" w:firstLine="480" w:firstLineChars="20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9.质保期限：所有硬件设备自竣工验收合格之日起免费质保不少于3年，质保期内配置足额同型号备品备件，故障更换所需备品备件全部免费提供；所有软件系统自竣工验收合格之日起免费质保不少于3年并提供终身免费升级服务；装修及安装工程部分质保期不少于1年；质保期内提供免费上门服务，接到故障通知后12小时内响应，24小时内到场处置。</w:t>
      </w:r>
    </w:p>
    <w:p w14:paraId="41546AD9">
      <w:pPr>
        <w:pStyle w:val="3"/>
        <w:keepNext w:val="0"/>
        <w:keepLines w:val="0"/>
        <w:pageBreakBefore w:val="0"/>
        <w:kinsoku/>
        <w:overflowPunct/>
        <w:topLinePunct w:val="0"/>
        <w:autoSpaceDE/>
        <w:autoSpaceDN/>
        <w:bidi w:val="0"/>
        <w:snapToGrid/>
        <w:spacing w:after="0" w:line="440" w:lineRule="exact"/>
        <w:ind w:left="0" w:leftChars="0" w:right="210" w:firstLine="480" w:firstLineChars="20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10.服务地点：大理白族自治州财贸学校（采购人指定地点）。</w:t>
      </w:r>
    </w:p>
    <w:p w14:paraId="56569017">
      <w:pPr>
        <w:pStyle w:val="3"/>
        <w:keepNext w:val="0"/>
        <w:keepLines w:val="0"/>
        <w:pageBreakBefore w:val="0"/>
        <w:kinsoku/>
        <w:overflowPunct/>
        <w:topLinePunct w:val="0"/>
        <w:autoSpaceDE/>
        <w:autoSpaceDN/>
        <w:bidi w:val="0"/>
        <w:snapToGrid/>
        <w:spacing w:after="0" w:line="440" w:lineRule="exact"/>
        <w:ind w:left="0" w:leftChars="0" w:right="210" w:firstLine="480" w:firstLineChars="20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11.本项目不接受联合体投标。</w:t>
      </w:r>
    </w:p>
    <w:p w14:paraId="0B37F5BA">
      <w:pPr>
        <w:keepNext w:val="0"/>
        <w:keepLines w:val="0"/>
        <w:pageBreakBefore w:val="0"/>
        <w:widowControl/>
        <w:kinsoku/>
        <w:overflowPunct/>
        <w:topLinePunct w:val="0"/>
        <w:autoSpaceDE/>
        <w:autoSpaceDN/>
        <w:bidi w:val="0"/>
        <w:snapToGrid/>
        <w:spacing w:line="440" w:lineRule="exact"/>
        <w:jc w:val="left"/>
        <w:textAlignment w:val="auto"/>
        <w:outlineLvl w:val="1"/>
        <w:rPr>
          <w:rFonts w:hint="eastAsia" w:ascii="仿宋" w:hAnsi="仿宋" w:eastAsia="仿宋" w:cs="仿宋"/>
          <w:b/>
          <w:color w:val="auto"/>
          <w:sz w:val="24"/>
          <w:szCs w:val="24"/>
          <w:highlight w:val="none"/>
        </w:rPr>
      </w:pPr>
      <w:bookmarkStart w:id="28" w:name="_Toc6665"/>
      <w:bookmarkStart w:id="29" w:name="_Toc6729"/>
      <w:bookmarkStart w:id="30" w:name="_Toc14960"/>
      <w:bookmarkStart w:id="31" w:name="_Toc13205"/>
      <w:bookmarkStart w:id="32" w:name="_Toc3717"/>
      <w:r>
        <w:rPr>
          <w:rFonts w:hint="eastAsia" w:ascii="仿宋" w:hAnsi="仿宋" w:eastAsia="仿宋" w:cs="仿宋"/>
          <w:b/>
          <w:color w:val="auto"/>
          <w:sz w:val="24"/>
          <w:szCs w:val="24"/>
          <w:highlight w:val="none"/>
        </w:rPr>
        <w:t>二、</w:t>
      </w:r>
      <w:r>
        <w:rPr>
          <w:rFonts w:hint="eastAsia" w:ascii="仿宋" w:hAnsi="仿宋" w:eastAsia="仿宋" w:cs="仿宋"/>
          <w:b/>
          <w:color w:val="auto"/>
          <w:sz w:val="24"/>
          <w:szCs w:val="24"/>
          <w:highlight w:val="none"/>
          <w:lang w:eastAsia="zh-CN"/>
        </w:rPr>
        <w:t>投标人</w:t>
      </w:r>
      <w:r>
        <w:rPr>
          <w:rFonts w:hint="eastAsia" w:ascii="仿宋" w:hAnsi="仿宋" w:eastAsia="仿宋" w:cs="仿宋"/>
          <w:b/>
          <w:color w:val="auto"/>
          <w:sz w:val="24"/>
          <w:szCs w:val="24"/>
          <w:highlight w:val="none"/>
        </w:rPr>
        <w:t>的资格要求：</w:t>
      </w:r>
      <w:bookmarkEnd w:id="23"/>
      <w:bookmarkEnd w:id="24"/>
      <w:bookmarkEnd w:id="25"/>
      <w:bookmarkEnd w:id="26"/>
      <w:bookmarkEnd w:id="27"/>
      <w:bookmarkEnd w:id="28"/>
      <w:bookmarkEnd w:id="29"/>
      <w:bookmarkEnd w:id="30"/>
      <w:bookmarkEnd w:id="31"/>
      <w:bookmarkEnd w:id="32"/>
    </w:p>
    <w:p w14:paraId="0BC414F5">
      <w:pPr>
        <w:keepNext w:val="0"/>
        <w:keepLines w:val="0"/>
        <w:pageBreakBefore w:val="0"/>
        <w:widowControl w:val="0"/>
        <w:kinsoku/>
        <w:overflowPunct/>
        <w:topLinePunct w:val="0"/>
        <w:autoSpaceDE/>
        <w:autoSpaceDN/>
        <w:bidi w:val="0"/>
        <w:snapToGrid/>
        <w:spacing w:line="440" w:lineRule="exact"/>
        <w:ind w:firstLine="482" w:firstLineChars="200"/>
        <w:textAlignment w:val="auto"/>
        <w:rPr>
          <w:rFonts w:ascii="仿宋" w:hAnsi="仿宋" w:eastAsia="仿宋"/>
          <w:color w:val="auto"/>
          <w:sz w:val="24"/>
          <w:szCs w:val="24"/>
          <w:highlight w:val="none"/>
        </w:rPr>
      </w:pPr>
      <w:bookmarkStart w:id="33" w:name="_Toc363509106"/>
      <w:bookmarkStart w:id="34" w:name="_Toc364392602"/>
      <w:bookmarkStart w:id="35" w:name="_Toc14766"/>
      <w:bookmarkStart w:id="36" w:name="_Toc7984"/>
      <w:bookmarkStart w:id="37" w:name="_Toc35393631"/>
      <w:bookmarkStart w:id="38" w:name="_Toc28359091"/>
      <w:bookmarkStart w:id="39" w:name="_Toc35393800"/>
      <w:bookmarkStart w:id="40" w:name="_Toc28359014"/>
      <w:r>
        <w:rPr>
          <w:rFonts w:hint="eastAsia" w:ascii="仿宋" w:hAnsi="仿宋" w:eastAsia="仿宋"/>
          <w:b/>
          <w:bCs/>
          <w:color w:val="auto"/>
          <w:sz w:val="24"/>
          <w:szCs w:val="24"/>
          <w:highlight w:val="none"/>
          <w:lang w:eastAsia="zh-CN"/>
        </w:rPr>
        <w:t>1.</w:t>
      </w:r>
      <w:r>
        <w:rPr>
          <w:rFonts w:hint="eastAsia" w:ascii="仿宋" w:hAnsi="仿宋" w:eastAsia="仿宋"/>
          <w:b/>
          <w:bCs/>
          <w:color w:val="auto"/>
          <w:sz w:val="24"/>
          <w:szCs w:val="24"/>
          <w:highlight w:val="none"/>
          <w:lang w:val="en-US" w:eastAsia="zh-CN"/>
        </w:rPr>
        <w:t>满足</w:t>
      </w:r>
      <w:r>
        <w:rPr>
          <w:rFonts w:hint="eastAsia" w:ascii="仿宋" w:hAnsi="仿宋" w:eastAsia="仿宋"/>
          <w:b/>
          <w:bCs/>
          <w:color w:val="auto"/>
          <w:sz w:val="24"/>
          <w:szCs w:val="24"/>
          <w:highlight w:val="none"/>
        </w:rPr>
        <w:t>《中华人民共和国政府采购法》第二十二条的规定。</w:t>
      </w:r>
    </w:p>
    <w:p w14:paraId="4D8BA987">
      <w:pPr>
        <w:keepNext w:val="0"/>
        <w:keepLines w:val="0"/>
        <w:pageBreakBefore w:val="0"/>
        <w:widowControl w:val="0"/>
        <w:kinsoku/>
        <w:overflowPunct/>
        <w:topLinePunct w:val="0"/>
        <w:autoSpaceDE/>
        <w:autoSpaceDN/>
        <w:bidi w:val="0"/>
        <w:snapToGrid/>
        <w:spacing w:line="440" w:lineRule="exact"/>
        <w:ind w:firstLine="480" w:firstLineChars="200"/>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rPr>
        <w:t>1.1</w:t>
      </w:r>
      <w:r>
        <w:rPr>
          <w:rFonts w:hint="eastAsia" w:ascii="仿宋" w:hAnsi="仿宋" w:eastAsia="仿宋" w:cs="仿宋"/>
          <w:bCs/>
          <w:color w:val="auto"/>
          <w:sz w:val="24"/>
          <w:szCs w:val="24"/>
          <w:highlight w:val="none"/>
          <w:lang w:eastAsia="zh-CN"/>
        </w:rPr>
        <w:t>具有独立承担民事责任的能力；</w:t>
      </w:r>
    </w:p>
    <w:p w14:paraId="7BA1FB03">
      <w:pPr>
        <w:keepNext w:val="0"/>
        <w:keepLines w:val="0"/>
        <w:pageBreakBefore w:val="0"/>
        <w:widowControl w:val="0"/>
        <w:kinsoku/>
        <w:overflowPunct/>
        <w:topLinePunct w:val="0"/>
        <w:autoSpaceDE/>
        <w:autoSpaceDN/>
        <w:bidi w:val="0"/>
        <w:snapToGrid/>
        <w:spacing w:line="440" w:lineRule="exact"/>
        <w:ind w:firstLine="480" w:firstLineChars="200"/>
        <w:contextualSpacing/>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1.2具有良好的商业信誉和健全的财务会计制度；</w:t>
      </w:r>
    </w:p>
    <w:p w14:paraId="5A2236D2">
      <w:pPr>
        <w:keepNext w:val="0"/>
        <w:keepLines w:val="0"/>
        <w:pageBreakBefore w:val="0"/>
        <w:widowControl w:val="0"/>
        <w:kinsoku/>
        <w:overflowPunct/>
        <w:topLinePunct w:val="0"/>
        <w:autoSpaceDE/>
        <w:autoSpaceDN/>
        <w:bidi w:val="0"/>
        <w:snapToGrid/>
        <w:spacing w:line="440" w:lineRule="exact"/>
        <w:ind w:firstLine="480" w:firstLineChars="200"/>
        <w:contextualSpacing/>
        <w:textAlignment w:val="auto"/>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rPr>
        <w:t>1.3具有履行合同所必需的设备和专业技术能力；</w:t>
      </w:r>
    </w:p>
    <w:p w14:paraId="6EED2044">
      <w:pPr>
        <w:keepNext w:val="0"/>
        <w:keepLines w:val="0"/>
        <w:pageBreakBefore w:val="0"/>
        <w:widowControl w:val="0"/>
        <w:kinsoku/>
        <w:overflowPunct/>
        <w:topLinePunct w:val="0"/>
        <w:autoSpaceDE/>
        <w:autoSpaceDN/>
        <w:bidi w:val="0"/>
        <w:snapToGrid/>
        <w:spacing w:line="440" w:lineRule="exact"/>
        <w:ind w:firstLine="480" w:firstLineChars="200"/>
        <w:textAlignment w:val="auto"/>
        <w:rPr>
          <w:rFonts w:hint="eastAsia" w:ascii="仿宋" w:hAnsi="仿宋" w:eastAsia="仿宋" w:cs="仿宋"/>
          <w:b w:val="0"/>
          <w:bCs/>
          <w:color w:val="auto"/>
          <w:sz w:val="24"/>
          <w:szCs w:val="24"/>
          <w:highlight w:val="none"/>
        </w:rPr>
      </w:pPr>
      <w:r>
        <w:rPr>
          <w:rFonts w:hint="eastAsia" w:ascii="仿宋" w:hAnsi="仿宋" w:eastAsia="仿宋"/>
          <w:color w:val="auto"/>
          <w:sz w:val="24"/>
          <w:szCs w:val="24"/>
          <w:highlight w:val="none"/>
        </w:rPr>
        <w:t>1.4</w:t>
      </w:r>
      <w:r>
        <w:rPr>
          <w:rFonts w:hint="eastAsia" w:ascii="仿宋" w:hAnsi="仿宋" w:eastAsia="仿宋" w:cs="仿宋"/>
          <w:b w:val="0"/>
          <w:bCs/>
          <w:color w:val="auto"/>
          <w:sz w:val="24"/>
          <w:szCs w:val="24"/>
          <w:highlight w:val="none"/>
        </w:rPr>
        <w:t>有依法缴纳税收和社会保障资金的良好记录；</w:t>
      </w:r>
    </w:p>
    <w:p w14:paraId="666F5A79">
      <w:pPr>
        <w:keepNext w:val="0"/>
        <w:keepLines w:val="0"/>
        <w:pageBreakBefore w:val="0"/>
        <w:widowControl w:val="0"/>
        <w:kinsoku/>
        <w:overflowPunct/>
        <w:topLinePunct w:val="0"/>
        <w:autoSpaceDE/>
        <w:autoSpaceDN/>
        <w:bidi w:val="0"/>
        <w:snapToGrid/>
        <w:spacing w:line="440" w:lineRule="exact"/>
        <w:ind w:firstLine="480"/>
        <w:textAlignment w:val="auto"/>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rPr>
        <w:t>1.</w:t>
      </w:r>
      <w:r>
        <w:rPr>
          <w:rFonts w:hint="eastAsia" w:ascii="仿宋" w:hAnsi="仿宋" w:eastAsia="仿宋"/>
          <w:color w:val="auto"/>
          <w:sz w:val="24"/>
          <w:szCs w:val="24"/>
          <w:highlight w:val="none"/>
          <w:lang w:val="en-US" w:eastAsia="zh-CN"/>
        </w:rPr>
        <w:t>5</w:t>
      </w:r>
      <w:r>
        <w:rPr>
          <w:rFonts w:hint="eastAsia" w:ascii="仿宋" w:hAnsi="仿宋" w:eastAsia="仿宋"/>
          <w:color w:val="auto"/>
          <w:sz w:val="24"/>
          <w:szCs w:val="24"/>
          <w:highlight w:val="none"/>
        </w:rPr>
        <w:t>参加政府采购活动前三年内，在经营活动中没有重大违法记录</w:t>
      </w:r>
      <w:r>
        <w:rPr>
          <w:rFonts w:hint="eastAsia" w:ascii="仿宋" w:hAnsi="仿宋" w:eastAsia="仿宋"/>
          <w:color w:val="auto"/>
          <w:sz w:val="24"/>
          <w:szCs w:val="24"/>
          <w:highlight w:val="none"/>
          <w:lang w:eastAsia="zh-CN"/>
        </w:rPr>
        <w:t>；</w:t>
      </w:r>
    </w:p>
    <w:p w14:paraId="505C91BF">
      <w:pPr>
        <w:keepNext w:val="0"/>
        <w:keepLines w:val="0"/>
        <w:pageBreakBefore w:val="0"/>
        <w:widowControl w:val="0"/>
        <w:kinsoku/>
        <w:overflowPunct/>
        <w:topLinePunct w:val="0"/>
        <w:autoSpaceDE/>
        <w:autoSpaceDN/>
        <w:bidi w:val="0"/>
        <w:snapToGrid/>
        <w:spacing w:line="440" w:lineRule="exact"/>
        <w:ind w:firstLine="480"/>
        <w:jc w:val="both"/>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rPr>
        <w:t>1.6法律、行政法规规定的其他条件；</w:t>
      </w:r>
    </w:p>
    <w:p w14:paraId="179F1624">
      <w:pPr>
        <w:keepNext w:val="0"/>
        <w:keepLines w:val="0"/>
        <w:pageBreakBefore w:val="0"/>
        <w:widowControl w:val="0"/>
        <w:kinsoku/>
        <w:wordWrap w:val="0"/>
        <w:overflowPunct/>
        <w:topLinePunct w:val="0"/>
        <w:autoSpaceDE/>
        <w:autoSpaceDN/>
        <w:bidi w:val="0"/>
        <w:adjustRightInd/>
        <w:snapToGrid/>
        <w:spacing w:line="440" w:lineRule="exact"/>
        <w:ind w:firstLine="482"/>
        <w:jc w:val="both"/>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在本项目</w:t>
      </w:r>
      <w:r>
        <w:rPr>
          <w:rFonts w:hint="eastAsia" w:ascii="仿宋" w:hAnsi="仿宋" w:eastAsia="仿宋"/>
          <w:color w:val="auto"/>
          <w:sz w:val="24"/>
          <w:szCs w:val="24"/>
          <w:highlight w:val="none"/>
          <w:lang w:eastAsia="zh-CN"/>
        </w:rPr>
        <w:t>投标文件</w:t>
      </w:r>
      <w:r>
        <w:rPr>
          <w:rFonts w:hint="eastAsia" w:ascii="仿宋" w:hAnsi="仿宋" w:eastAsia="仿宋"/>
          <w:color w:val="auto"/>
          <w:sz w:val="24"/>
          <w:szCs w:val="24"/>
          <w:highlight w:val="none"/>
        </w:rPr>
        <w:t>提交截止时间前在信用中国网站（www.creditchina.gov.cn）“信用信息”查询栏中查询下载的信用报告或“信用服务”查询栏中查询的信息记录（包括失信被执行人查询、重大税收违法案件查询、政府采购严重违法失信名单）未出现不良信用信息查询记录；</w:t>
      </w:r>
    </w:p>
    <w:p w14:paraId="32E83CF5">
      <w:pPr>
        <w:keepNext w:val="0"/>
        <w:keepLines w:val="0"/>
        <w:pageBreakBefore w:val="0"/>
        <w:widowControl w:val="0"/>
        <w:kinsoku/>
        <w:wordWrap w:val="0"/>
        <w:overflowPunct/>
        <w:topLinePunct w:val="0"/>
        <w:autoSpaceDE/>
        <w:autoSpaceDN/>
        <w:bidi w:val="0"/>
        <w:adjustRightInd/>
        <w:snapToGrid/>
        <w:spacing w:line="440" w:lineRule="exact"/>
        <w:ind w:firstLine="482"/>
        <w:jc w:val="both"/>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rPr>
        <w:t>（2）</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在本项目</w:t>
      </w:r>
      <w:r>
        <w:rPr>
          <w:rFonts w:hint="eastAsia" w:ascii="仿宋" w:hAnsi="仿宋" w:eastAsia="仿宋"/>
          <w:color w:val="auto"/>
          <w:sz w:val="24"/>
          <w:szCs w:val="24"/>
          <w:highlight w:val="none"/>
          <w:lang w:eastAsia="zh-CN"/>
        </w:rPr>
        <w:t>投标文件</w:t>
      </w:r>
      <w:r>
        <w:rPr>
          <w:rFonts w:hint="eastAsia" w:ascii="仿宋" w:hAnsi="仿宋" w:eastAsia="仿宋"/>
          <w:color w:val="auto"/>
          <w:sz w:val="24"/>
          <w:szCs w:val="24"/>
          <w:highlight w:val="none"/>
        </w:rPr>
        <w:t>提交截止时间前在中国政府采购网（www.ccgp.gov.cn）政府采购严重违法失信行为记录名单内无不良信息记录（被禁止在一定期限内参加政府采购活动但期限届满的除外）</w:t>
      </w:r>
    </w:p>
    <w:p w14:paraId="78745128">
      <w:pPr>
        <w:keepNext w:val="0"/>
        <w:keepLines w:val="0"/>
        <w:pageBreakBefore w:val="0"/>
        <w:widowControl w:val="0"/>
        <w:kinsoku/>
        <w:wordWrap w:val="0"/>
        <w:overflowPunct/>
        <w:topLinePunct w:val="0"/>
        <w:autoSpaceDE/>
        <w:autoSpaceDN/>
        <w:bidi w:val="0"/>
        <w:adjustRightInd/>
        <w:snapToGrid/>
        <w:spacing w:line="440" w:lineRule="exact"/>
        <w:ind w:firstLine="482"/>
        <w:jc w:val="both"/>
        <w:textAlignment w:val="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rPr>
        <w:t>（3）</w:t>
      </w:r>
      <w:r>
        <w:rPr>
          <w:rFonts w:hint="eastAsia" w:ascii="仿宋" w:hAnsi="仿宋" w:eastAsia="仿宋" w:cs="Times New Roman"/>
          <w:color w:val="auto"/>
          <w:sz w:val="24"/>
          <w:szCs w:val="24"/>
          <w:highlight w:val="none"/>
          <w:lang w:val="en-US" w:eastAsia="zh-CN"/>
        </w:rPr>
        <w:t>单位负责人为同一人或者存在直接控股、管理关系的不同单位，不得参加同一标段投标或者未划分标段的同一招标项目投标。</w:t>
      </w:r>
    </w:p>
    <w:p w14:paraId="3FAB1642">
      <w:pPr>
        <w:keepNext w:val="0"/>
        <w:keepLines w:val="0"/>
        <w:pageBreakBefore w:val="0"/>
        <w:widowControl w:val="0"/>
        <w:kinsoku/>
        <w:wordWrap w:val="0"/>
        <w:overflowPunct/>
        <w:topLinePunct w:val="0"/>
        <w:autoSpaceDE/>
        <w:autoSpaceDN/>
        <w:bidi w:val="0"/>
        <w:adjustRightInd/>
        <w:snapToGrid/>
        <w:spacing w:line="440" w:lineRule="exact"/>
        <w:ind w:firstLine="482"/>
        <w:jc w:val="both"/>
        <w:textAlignment w:val="auto"/>
      </w:pPr>
      <w:r>
        <w:rPr>
          <w:rFonts w:hint="eastAsia" w:ascii="仿宋" w:hAnsi="仿宋" w:eastAsia="仿宋" w:cs="Times New Roman"/>
          <w:color w:val="auto"/>
          <w:sz w:val="24"/>
          <w:szCs w:val="24"/>
          <w:highlight w:val="none"/>
          <w:lang w:val="en-US" w:eastAsia="zh-CN"/>
        </w:rPr>
        <w:t>（4）投标人</w:t>
      </w:r>
      <w:r>
        <w:rPr>
          <w:rFonts w:hint="eastAsia" w:ascii="仿宋" w:hAnsi="仿宋" w:eastAsia="仿宋" w:cs="Times New Roman"/>
          <w:color w:val="auto"/>
          <w:sz w:val="24"/>
          <w:szCs w:val="24"/>
          <w:highlight w:val="none"/>
          <w:lang w:eastAsia="zh-CN"/>
        </w:rPr>
        <w:t>为采购项目提供整体设计、规范编制或者项目管理、监理、检测等服务的投标人，不得再参加该采购项目的其他采购活动。（</w:t>
      </w:r>
      <w:r>
        <w:rPr>
          <w:rFonts w:hint="eastAsia" w:ascii="仿宋" w:hAnsi="仿宋" w:eastAsia="仿宋" w:cs="Times New Roman"/>
          <w:color w:val="auto"/>
          <w:sz w:val="24"/>
          <w:szCs w:val="24"/>
          <w:highlight w:val="none"/>
          <w:lang w:val="en-US" w:eastAsia="zh-CN"/>
        </w:rPr>
        <w:t>提供声明</w:t>
      </w:r>
      <w:r>
        <w:rPr>
          <w:rFonts w:hint="eastAsia" w:ascii="仿宋" w:hAnsi="仿宋" w:eastAsia="仿宋" w:cs="Times New Roman"/>
          <w:color w:val="auto"/>
          <w:sz w:val="24"/>
          <w:szCs w:val="24"/>
          <w:highlight w:val="none"/>
          <w:lang w:eastAsia="zh-CN"/>
        </w:rPr>
        <w:t>）</w:t>
      </w:r>
    </w:p>
    <w:p w14:paraId="2F49618F">
      <w:pPr>
        <w:keepNext w:val="0"/>
        <w:keepLines w:val="0"/>
        <w:pageBreakBefore w:val="0"/>
        <w:widowControl w:val="0"/>
        <w:kinsoku/>
        <w:overflowPunct/>
        <w:topLinePunct w:val="0"/>
        <w:autoSpaceDE/>
        <w:autoSpaceDN/>
        <w:bidi w:val="0"/>
        <w:adjustRightInd/>
        <w:snapToGrid/>
        <w:spacing w:line="440" w:lineRule="exact"/>
        <w:ind w:firstLine="482" w:firstLineChars="200"/>
        <w:textAlignment w:val="auto"/>
        <w:rPr>
          <w:rFonts w:hint="eastAsia" w:ascii="仿宋" w:hAnsi="仿宋" w:eastAsia="仿宋"/>
          <w:b w:val="0"/>
          <w:bCs w:val="0"/>
          <w:color w:val="auto"/>
          <w:sz w:val="24"/>
          <w:szCs w:val="24"/>
          <w:highlight w:val="none"/>
        </w:rPr>
      </w:pPr>
      <w:r>
        <w:rPr>
          <w:rFonts w:hint="eastAsia" w:ascii="仿宋" w:hAnsi="仿宋" w:eastAsia="仿宋"/>
          <w:b/>
          <w:bCs/>
          <w:color w:val="auto"/>
          <w:sz w:val="24"/>
          <w:szCs w:val="24"/>
          <w:highlight w:val="none"/>
          <w:lang w:eastAsia="zh-CN"/>
        </w:rPr>
        <w:t>2.</w:t>
      </w:r>
      <w:r>
        <w:rPr>
          <w:rFonts w:hint="eastAsia" w:ascii="仿宋" w:hAnsi="仿宋" w:eastAsia="仿宋"/>
          <w:b/>
          <w:bCs/>
          <w:color w:val="auto"/>
          <w:sz w:val="24"/>
          <w:szCs w:val="24"/>
          <w:highlight w:val="none"/>
        </w:rPr>
        <w:t>落实政府采购政策需满足的资格要求：</w:t>
      </w:r>
      <w:r>
        <w:rPr>
          <w:rFonts w:hint="eastAsia" w:ascii="仿宋" w:hAnsi="仿宋" w:eastAsia="仿宋"/>
          <w:b w:val="0"/>
          <w:bCs w:val="0"/>
          <w:color w:val="auto"/>
          <w:sz w:val="24"/>
          <w:szCs w:val="24"/>
          <w:highlight w:val="none"/>
        </w:rPr>
        <w:t>本项目不属于专门面向中小企业、监狱企业、残疾人福利企业采购项目，在计算投标报价得分时，对小型或微型企业产品的价格给予10%的扣除。</w:t>
      </w:r>
    </w:p>
    <w:p w14:paraId="4DB96835">
      <w:pPr>
        <w:keepNext w:val="0"/>
        <w:keepLines w:val="0"/>
        <w:pageBreakBefore w:val="0"/>
        <w:widowControl w:val="0"/>
        <w:kinsoku/>
        <w:overflowPunct/>
        <w:topLinePunct w:val="0"/>
        <w:autoSpaceDE/>
        <w:autoSpaceDN/>
        <w:bidi w:val="0"/>
        <w:adjustRightInd/>
        <w:snapToGrid/>
        <w:spacing w:line="440" w:lineRule="exact"/>
        <w:ind w:firstLine="482" w:firstLineChars="200"/>
        <w:textAlignment w:val="auto"/>
        <w:rPr>
          <w:rFonts w:hint="default" w:ascii="仿宋" w:hAnsi="仿宋" w:eastAsia="仿宋"/>
          <w:color w:val="auto"/>
          <w:kern w:val="0"/>
          <w:sz w:val="24"/>
          <w:szCs w:val="24"/>
          <w:highlight w:val="none"/>
          <w:lang w:val="en-US" w:eastAsia="zh-CN"/>
        </w:rPr>
      </w:pPr>
      <w:r>
        <w:rPr>
          <w:rFonts w:hint="eastAsia" w:ascii="仿宋" w:hAnsi="仿宋" w:eastAsia="仿宋"/>
          <w:b/>
          <w:bCs/>
          <w:color w:val="auto"/>
          <w:sz w:val="24"/>
          <w:szCs w:val="24"/>
          <w:highlight w:val="none"/>
          <w:lang w:eastAsia="zh-CN"/>
        </w:rPr>
        <w:t>3.</w:t>
      </w:r>
      <w:r>
        <w:rPr>
          <w:rFonts w:hint="eastAsia" w:ascii="仿宋" w:hAnsi="仿宋" w:eastAsia="仿宋"/>
          <w:b/>
          <w:bCs/>
          <w:color w:val="auto"/>
          <w:sz w:val="24"/>
          <w:szCs w:val="24"/>
          <w:highlight w:val="none"/>
        </w:rPr>
        <w:t>本项目的特定资格要求：</w:t>
      </w:r>
      <w:r>
        <w:rPr>
          <w:rFonts w:hint="eastAsia" w:ascii="仿宋" w:hAnsi="仿宋" w:eastAsia="仿宋"/>
          <w:b w:val="0"/>
          <w:bCs w:val="0"/>
          <w:color w:val="auto"/>
          <w:sz w:val="24"/>
          <w:szCs w:val="24"/>
          <w:highlight w:val="none"/>
          <w:lang w:val="en-US" w:eastAsia="zh-CN"/>
        </w:rPr>
        <w:t>无。</w:t>
      </w:r>
    </w:p>
    <w:bookmarkEnd w:id="33"/>
    <w:bookmarkEnd w:id="34"/>
    <w:bookmarkEnd w:id="35"/>
    <w:p w14:paraId="09EFB9FA">
      <w:pPr>
        <w:pStyle w:val="3"/>
        <w:keepNext w:val="0"/>
        <w:keepLines w:val="0"/>
        <w:pageBreakBefore w:val="0"/>
        <w:kinsoku/>
        <w:overflowPunct/>
        <w:topLinePunct w:val="0"/>
        <w:autoSpaceDE/>
        <w:autoSpaceDN/>
        <w:bidi w:val="0"/>
        <w:snapToGrid/>
        <w:spacing w:after="0" w:line="440" w:lineRule="exact"/>
        <w:ind w:left="0" w:leftChars="0"/>
        <w:textAlignment w:val="auto"/>
        <w:outlineLvl w:val="1"/>
        <w:rPr>
          <w:rFonts w:hint="eastAsia" w:ascii="仿宋" w:hAnsi="仿宋" w:eastAsia="仿宋" w:cs="仿宋"/>
          <w:b/>
          <w:color w:val="auto"/>
          <w:sz w:val="24"/>
          <w:szCs w:val="24"/>
          <w:highlight w:val="none"/>
          <w:lang w:eastAsia="zh-CN"/>
        </w:rPr>
      </w:pPr>
      <w:bookmarkStart w:id="41" w:name="_Toc4707"/>
      <w:bookmarkStart w:id="42" w:name="_Toc32539"/>
      <w:bookmarkStart w:id="43" w:name="_Toc26559"/>
      <w:bookmarkStart w:id="44" w:name="_Toc19158"/>
      <w:bookmarkStart w:id="45" w:name="_Toc10108"/>
      <w:r>
        <w:rPr>
          <w:rFonts w:hint="eastAsia" w:ascii="仿宋" w:hAnsi="仿宋" w:eastAsia="仿宋" w:cs="仿宋"/>
          <w:b/>
          <w:color w:val="auto"/>
          <w:sz w:val="24"/>
          <w:szCs w:val="24"/>
          <w:highlight w:val="none"/>
        </w:rPr>
        <w:t>三、获取招标文件</w:t>
      </w:r>
      <w:bookmarkEnd w:id="36"/>
      <w:bookmarkEnd w:id="37"/>
      <w:bookmarkEnd w:id="38"/>
      <w:bookmarkEnd w:id="39"/>
      <w:bookmarkEnd w:id="40"/>
      <w:r>
        <w:rPr>
          <w:rFonts w:hint="eastAsia" w:ascii="仿宋" w:hAnsi="仿宋" w:eastAsia="仿宋" w:cs="仿宋"/>
          <w:b/>
          <w:color w:val="auto"/>
          <w:sz w:val="24"/>
          <w:szCs w:val="24"/>
          <w:highlight w:val="none"/>
          <w:lang w:eastAsia="zh-CN"/>
        </w:rPr>
        <w:t>：</w:t>
      </w:r>
      <w:bookmarkEnd w:id="41"/>
      <w:bookmarkEnd w:id="42"/>
      <w:bookmarkEnd w:id="43"/>
      <w:bookmarkEnd w:id="44"/>
      <w:bookmarkEnd w:id="45"/>
    </w:p>
    <w:p w14:paraId="1F328255">
      <w:pPr>
        <w:pStyle w:val="3"/>
        <w:keepNext w:val="0"/>
        <w:keepLines w:val="0"/>
        <w:pageBreakBefore w:val="0"/>
        <w:kinsoku/>
        <w:overflowPunct/>
        <w:topLinePunct w:val="0"/>
        <w:autoSpaceDE/>
        <w:autoSpaceDN/>
        <w:bidi w:val="0"/>
        <w:snapToGrid/>
        <w:spacing w:after="0" w:line="440" w:lineRule="exact"/>
        <w:ind w:left="0" w:leftChars="0" w:firstLine="480" w:firstLineChars="200"/>
        <w:textAlignment w:val="auto"/>
        <w:rPr>
          <w:rFonts w:hint="eastAsia" w:ascii="仿宋" w:hAnsi="仿宋" w:eastAsia="仿宋" w:cs="仿宋"/>
          <w:color w:val="auto"/>
          <w:kern w:val="0"/>
          <w:sz w:val="24"/>
          <w:szCs w:val="24"/>
          <w:highlight w:val="none"/>
        </w:rPr>
      </w:pPr>
      <w:bookmarkStart w:id="46" w:name="_Toc35393632"/>
      <w:bookmarkStart w:id="47" w:name="_Toc28359015"/>
      <w:bookmarkStart w:id="48" w:name="_Toc28359092"/>
      <w:bookmarkStart w:id="49" w:name="_Toc35393801"/>
      <w:r>
        <w:rPr>
          <w:rFonts w:hint="eastAsia" w:ascii="仿宋" w:hAnsi="仿宋" w:eastAsia="仿宋" w:cs="仿宋"/>
          <w:color w:val="auto"/>
          <w:kern w:val="0"/>
          <w:sz w:val="24"/>
          <w:szCs w:val="24"/>
          <w:highlight w:val="none"/>
        </w:rPr>
        <w:t>1.时间：202</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年</w:t>
      </w:r>
      <w:r>
        <w:rPr>
          <w:rFonts w:hint="eastAsia" w:ascii="仿宋" w:hAnsi="仿宋" w:eastAsia="仿宋" w:cs="仿宋"/>
          <w:color w:val="auto"/>
          <w:kern w:val="0"/>
          <w:sz w:val="24"/>
          <w:szCs w:val="24"/>
          <w:highlight w:val="none"/>
          <w:lang w:val="en-US" w:eastAsia="zh-CN"/>
        </w:rPr>
        <w:t>05</w:t>
      </w:r>
      <w:r>
        <w:rPr>
          <w:rFonts w:hint="eastAsia" w:ascii="仿宋" w:hAnsi="仿宋" w:eastAsia="仿宋" w:cs="仿宋"/>
          <w:color w:val="auto"/>
          <w:kern w:val="0"/>
          <w:sz w:val="24"/>
          <w:szCs w:val="24"/>
          <w:highlight w:val="none"/>
        </w:rPr>
        <w:t>月</w:t>
      </w:r>
      <w:r>
        <w:rPr>
          <w:rFonts w:hint="eastAsia" w:ascii="仿宋" w:hAnsi="仿宋" w:eastAsia="仿宋" w:cs="仿宋"/>
          <w:color w:val="auto"/>
          <w:kern w:val="0"/>
          <w:sz w:val="24"/>
          <w:szCs w:val="24"/>
          <w:highlight w:val="none"/>
          <w:lang w:val="en-US" w:eastAsia="zh-CN"/>
        </w:rPr>
        <w:t>15</w:t>
      </w:r>
      <w:r>
        <w:rPr>
          <w:rFonts w:hint="eastAsia" w:ascii="仿宋" w:hAnsi="仿宋" w:eastAsia="仿宋" w:cs="仿宋"/>
          <w:color w:val="auto"/>
          <w:kern w:val="0"/>
          <w:sz w:val="24"/>
          <w:szCs w:val="24"/>
          <w:highlight w:val="none"/>
        </w:rPr>
        <w:t>日至202</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年</w:t>
      </w:r>
      <w:r>
        <w:rPr>
          <w:rFonts w:hint="eastAsia" w:ascii="仿宋" w:hAnsi="仿宋" w:eastAsia="仿宋" w:cs="仿宋"/>
          <w:color w:val="auto"/>
          <w:kern w:val="0"/>
          <w:sz w:val="24"/>
          <w:szCs w:val="24"/>
          <w:highlight w:val="none"/>
          <w:lang w:val="en-US" w:eastAsia="zh-CN"/>
        </w:rPr>
        <w:t>05</w:t>
      </w:r>
      <w:r>
        <w:rPr>
          <w:rFonts w:hint="eastAsia" w:ascii="仿宋" w:hAnsi="仿宋" w:eastAsia="仿宋" w:cs="仿宋"/>
          <w:color w:val="auto"/>
          <w:kern w:val="0"/>
          <w:sz w:val="24"/>
          <w:szCs w:val="24"/>
          <w:highlight w:val="none"/>
        </w:rPr>
        <w:t>月</w:t>
      </w:r>
      <w:r>
        <w:rPr>
          <w:rFonts w:hint="eastAsia" w:ascii="仿宋" w:hAnsi="仿宋" w:eastAsia="仿宋" w:cs="仿宋"/>
          <w:color w:val="auto"/>
          <w:kern w:val="0"/>
          <w:sz w:val="24"/>
          <w:szCs w:val="24"/>
          <w:highlight w:val="none"/>
          <w:lang w:val="en-US" w:eastAsia="zh-CN"/>
        </w:rPr>
        <w:t>22</w:t>
      </w:r>
      <w:r>
        <w:rPr>
          <w:rFonts w:hint="eastAsia" w:ascii="仿宋" w:hAnsi="仿宋" w:eastAsia="仿宋" w:cs="仿宋"/>
          <w:color w:val="auto"/>
          <w:kern w:val="0"/>
          <w:sz w:val="24"/>
          <w:szCs w:val="24"/>
          <w:highlight w:val="none"/>
        </w:rPr>
        <w:t>日，每天上午0</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:00至12:00，下午12:00至23:59（北京时间，法定节假日除外）</w:t>
      </w:r>
    </w:p>
    <w:p w14:paraId="56852083">
      <w:pPr>
        <w:pStyle w:val="3"/>
        <w:keepNext w:val="0"/>
        <w:keepLines w:val="0"/>
        <w:pageBreakBefore w:val="0"/>
        <w:kinsoku/>
        <w:overflowPunct/>
        <w:topLinePunct w:val="0"/>
        <w:autoSpaceDE/>
        <w:autoSpaceDN/>
        <w:bidi w:val="0"/>
        <w:snapToGrid/>
        <w:spacing w:after="0" w:line="440" w:lineRule="exact"/>
        <w:ind w:left="0" w:leftChars="0"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2.地点：政府采购云平台（https://www.zcygov.cn/）。</w:t>
      </w:r>
    </w:p>
    <w:p w14:paraId="1E2AA3CB">
      <w:pPr>
        <w:keepNext w:val="0"/>
        <w:keepLines w:val="0"/>
        <w:pageBreakBefore w:val="0"/>
        <w:kinsoku/>
        <w:wordWrap w:val="0"/>
        <w:overflowPunct/>
        <w:topLinePunct w:val="0"/>
        <w:autoSpaceDE/>
        <w:autoSpaceDN/>
        <w:bidi w:val="0"/>
        <w:snapToGrid/>
        <w:spacing w:line="440" w:lineRule="exact"/>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方式：1、凡有意参加投标者，须注册政采云平台账号并登录办理数字证书（CA），数字证书（CA）申领完成之后进入政府采购云平台，企业账号与数字证书（CA）进行绑定，凭企业数字证书（CA）进行项目报名并下载招标文件及其他相关资料。CA申领链接：https://middle.zcygov.cn/ca/apply/list?_app_=zcy.sys，CA申领后需</w:t>
      </w:r>
      <w:r>
        <w:rPr>
          <w:rFonts w:hint="eastAsia" w:ascii="仿宋" w:hAnsi="仿宋" w:eastAsia="仿宋" w:cs="仿宋"/>
          <w:color w:val="auto"/>
          <w:sz w:val="24"/>
          <w:szCs w:val="24"/>
          <w:highlight w:val="none"/>
          <w:lang w:eastAsia="zh-CN"/>
        </w:rPr>
        <w:t>登录</w:t>
      </w:r>
      <w:r>
        <w:rPr>
          <w:rFonts w:hint="eastAsia" w:ascii="仿宋" w:hAnsi="仿宋" w:eastAsia="仿宋" w:cs="仿宋"/>
          <w:color w:val="auto"/>
          <w:sz w:val="24"/>
          <w:szCs w:val="24"/>
          <w:highlight w:val="none"/>
        </w:rPr>
        <w:t>政采云平台完成数字证书（CA）绑定才可以使用，数字证书（CA）详见其办理流程。</w:t>
      </w:r>
    </w:p>
    <w:p w14:paraId="72EACCDE">
      <w:pPr>
        <w:keepNext w:val="0"/>
        <w:keepLines w:val="0"/>
        <w:pageBreakBefore w:val="0"/>
        <w:kinsoku/>
        <w:overflowPunct/>
        <w:topLinePunct w:val="0"/>
        <w:autoSpaceDE/>
        <w:autoSpaceDN/>
        <w:bidi w:val="0"/>
        <w:snapToGrid/>
        <w:spacing w:line="440" w:lineRule="exact"/>
        <w:ind w:firstLine="480" w:firstLineChars="200"/>
        <w:contextualSpacing/>
        <w:jc w:val="left"/>
        <w:textAlignment w:val="auto"/>
        <w:rPr>
          <w:rFonts w:ascii="仿宋" w:hAnsi="仿宋" w:eastAsia="仿宋"/>
          <w:bCs/>
          <w:color w:val="auto"/>
          <w:sz w:val="24"/>
          <w:szCs w:val="24"/>
          <w:highlight w:val="none"/>
        </w:rPr>
      </w:pPr>
      <w:r>
        <w:rPr>
          <w:rFonts w:hint="eastAsia" w:ascii="仿宋" w:hAnsi="仿宋" w:eastAsia="仿宋"/>
          <w:bCs/>
          <w:color w:val="auto"/>
          <w:sz w:val="24"/>
          <w:szCs w:val="24"/>
          <w:highlight w:val="none"/>
          <w:lang w:eastAsia="zh-CN"/>
        </w:rPr>
        <w:t>2.</w:t>
      </w:r>
      <w:r>
        <w:rPr>
          <w:rFonts w:hint="eastAsia" w:ascii="仿宋" w:hAnsi="仿宋" w:eastAsia="仿宋"/>
          <w:bCs/>
          <w:color w:val="auto"/>
          <w:sz w:val="24"/>
          <w:szCs w:val="24"/>
          <w:highlight w:val="none"/>
        </w:rPr>
        <w:t>如有问题可拨打政采云客户服务热线95763进行咨询，数字证书（CA）问题可咨询24小时技术支持热线：0871-67276028（紧急办理可拨打19988166369）。</w:t>
      </w:r>
    </w:p>
    <w:p w14:paraId="0D49ACED">
      <w:pPr>
        <w:keepNext w:val="0"/>
        <w:keepLines w:val="0"/>
        <w:pageBreakBefore w:val="0"/>
        <w:kinsoku/>
        <w:overflowPunct/>
        <w:topLinePunct w:val="0"/>
        <w:autoSpaceDE/>
        <w:autoSpaceDN/>
        <w:bidi w:val="0"/>
        <w:snapToGrid/>
        <w:spacing w:line="440" w:lineRule="exact"/>
        <w:ind w:firstLine="480" w:firstLineChars="200"/>
        <w:contextualSpacing/>
        <w:jc w:val="left"/>
        <w:textAlignment w:val="auto"/>
        <w:rPr>
          <w:rFonts w:ascii="仿宋" w:hAnsi="仿宋" w:eastAsia="仿宋"/>
          <w:bCs/>
          <w:color w:val="auto"/>
          <w:sz w:val="24"/>
          <w:szCs w:val="24"/>
          <w:highlight w:val="none"/>
        </w:rPr>
      </w:pPr>
      <w:r>
        <w:rPr>
          <w:rFonts w:hint="eastAsia" w:ascii="仿宋" w:hAnsi="仿宋" w:eastAsia="仿宋"/>
          <w:bCs/>
          <w:color w:val="auto"/>
          <w:sz w:val="24"/>
          <w:szCs w:val="24"/>
          <w:highlight w:val="none"/>
        </w:rPr>
        <w:t>注：投标人如已在云南CA办理过企业数字证书（CA）的，直接绑定即可，无需重复办理（2022年1月1日前在云南省公共资源交易平台办理过云南CA证书的需到原办理点进行升级后方可使用）。云南省外投标人在政采云平台办理的其他CA可直接使用，无需重复办理。</w:t>
      </w:r>
    </w:p>
    <w:p w14:paraId="4029659E">
      <w:pPr>
        <w:keepNext w:val="0"/>
        <w:keepLines w:val="0"/>
        <w:pageBreakBefore w:val="0"/>
        <w:widowControl/>
        <w:kinsoku/>
        <w:overflowPunct/>
        <w:topLinePunct w:val="0"/>
        <w:autoSpaceDE/>
        <w:autoSpaceDN/>
        <w:bidi w:val="0"/>
        <w:snapToGrid/>
        <w:spacing w:line="440" w:lineRule="exact"/>
        <w:jc w:val="left"/>
        <w:textAlignment w:val="auto"/>
        <w:outlineLvl w:val="1"/>
        <w:rPr>
          <w:rFonts w:hint="eastAsia" w:ascii="仿宋" w:hAnsi="仿宋" w:eastAsia="仿宋" w:cs="仿宋"/>
          <w:b/>
          <w:color w:val="auto"/>
          <w:sz w:val="24"/>
          <w:szCs w:val="24"/>
          <w:highlight w:val="none"/>
          <w:lang w:eastAsia="zh-CN"/>
        </w:rPr>
      </w:pPr>
      <w:bookmarkStart w:id="50" w:name="_Toc20912"/>
      <w:bookmarkStart w:id="51" w:name="_Toc11140"/>
      <w:bookmarkStart w:id="52" w:name="_Toc9287"/>
      <w:bookmarkStart w:id="53" w:name="_Toc3700"/>
      <w:bookmarkStart w:id="54" w:name="_Toc1911"/>
      <w:bookmarkStart w:id="55" w:name="_Toc23636"/>
      <w:r>
        <w:rPr>
          <w:rFonts w:hint="eastAsia" w:ascii="仿宋" w:hAnsi="仿宋" w:eastAsia="仿宋" w:cs="仿宋"/>
          <w:b/>
          <w:color w:val="auto"/>
          <w:sz w:val="24"/>
          <w:szCs w:val="24"/>
          <w:highlight w:val="none"/>
        </w:rPr>
        <w:t>四、</w:t>
      </w:r>
      <w:bookmarkEnd w:id="46"/>
      <w:bookmarkEnd w:id="47"/>
      <w:bookmarkEnd w:id="48"/>
      <w:bookmarkEnd w:id="49"/>
      <w:r>
        <w:rPr>
          <w:rFonts w:hint="eastAsia" w:ascii="仿宋" w:hAnsi="仿宋" w:eastAsia="仿宋" w:cs="仿宋"/>
          <w:b/>
          <w:color w:val="auto"/>
          <w:sz w:val="24"/>
          <w:szCs w:val="24"/>
          <w:highlight w:val="none"/>
        </w:rPr>
        <w:t>提交投标文件截止时间、开标时间和地点</w:t>
      </w:r>
      <w:bookmarkEnd w:id="50"/>
      <w:r>
        <w:rPr>
          <w:rFonts w:hint="eastAsia" w:ascii="仿宋" w:hAnsi="仿宋" w:eastAsia="仿宋" w:cs="仿宋"/>
          <w:b/>
          <w:color w:val="auto"/>
          <w:sz w:val="24"/>
          <w:szCs w:val="24"/>
          <w:highlight w:val="none"/>
          <w:lang w:eastAsia="zh-CN"/>
        </w:rPr>
        <w:t>：</w:t>
      </w:r>
      <w:bookmarkEnd w:id="51"/>
      <w:bookmarkEnd w:id="52"/>
      <w:bookmarkEnd w:id="53"/>
      <w:bookmarkEnd w:id="54"/>
      <w:bookmarkEnd w:id="55"/>
    </w:p>
    <w:p w14:paraId="61D71BB9">
      <w:pPr>
        <w:keepNext w:val="0"/>
        <w:keepLines w:val="0"/>
        <w:pageBreakBefore w:val="0"/>
        <w:widowControl/>
        <w:suppressLineNumbers w:val="0"/>
        <w:kinsoku/>
        <w:overflowPunct/>
        <w:topLinePunct w:val="0"/>
        <w:autoSpaceDE/>
        <w:autoSpaceDN/>
        <w:bidi w:val="0"/>
        <w:snapToGrid/>
        <w:spacing w:line="440" w:lineRule="exact"/>
        <w:ind w:firstLine="480" w:firstLineChars="200"/>
        <w:jc w:val="left"/>
        <w:textAlignment w:val="auto"/>
        <w:rPr>
          <w:rFonts w:hint="eastAsia" w:ascii="仿宋" w:hAnsi="仿宋" w:eastAsia="仿宋" w:cs="仿宋"/>
          <w:color w:val="auto"/>
          <w:kern w:val="0"/>
          <w:sz w:val="24"/>
          <w:szCs w:val="24"/>
          <w:highlight w:val="none"/>
          <w:lang w:val="en-US" w:eastAsia="zh-CN" w:bidi="ar-SA"/>
        </w:rPr>
      </w:pPr>
      <w:bookmarkStart w:id="56" w:name="_Toc24504"/>
      <w:r>
        <w:rPr>
          <w:rFonts w:hint="eastAsia" w:ascii="仿宋" w:hAnsi="仿宋" w:eastAsia="仿宋" w:cs="仿宋"/>
          <w:color w:val="auto"/>
          <w:kern w:val="0"/>
          <w:sz w:val="24"/>
          <w:szCs w:val="24"/>
          <w:highlight w:val="none"/>
          <w:lang w:val="en-US" w:eastAsia="zh-CN" w:bidi="ar-SA"/>
        </w:rPr>
        <w:t>1.时间：2026年06月04日14:30（北京时间）；</w:t>
      </w:r>
      <w:bookmarkEnd w:id="56"/>
    </w:p>
    <w:p w14:paraId="366710B2">
      <w:pPr>
        <w:keepNext w:val="0"/>
        <w:keepLines w:val="0"/>
        <w:pageBreakBefore w:val="0"/>
        <w:widowControl/>
        <w:suppressLineNumbers w:val="0"/>
        <w:kinsoku/>
        <w:overflowPunct/>
        <w:topLinePunct w:val="0"/>
        <w:autoSpaceDE/>
        <w:autoSpaceDN/>
        <w:bidi w:val="0"/>
        <w:snapToGrid/>
        <w:spacing w:line="440" w:lineRule="exact"/>
        <w:ind w:firstLine="480" w:firstLineChars="200"/>
        <w:jc w:val="left"/>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2.地点：登录政采云平台（https://www.zcygov.cn/）</w:t>
      </w:r>
    </w:p>
    <w:p w14:paraId="3915EFD0">
      <w:pPr>
        <w:keepNext w:val="0"/>
        <w:keepLines w:val="0"/>
        <w:pageBreakBefore w:val="0"/>
        <w:widowControl/>
        <w:kinsoku/>
        <w:overflowPunct/>
        <w:topLinePunct w:val="0"/>
        <w:autoSpaceDE/>
        <w:autoSpaceDN/>
        <w:bidi w:val="0"/>
        <w:snapToGrid/>
        <w:spacing w:line="440" w:lineRule="exact"/>
        <w:jc w:val="left"/>
        <w:textAlignment w:val="auto"/>
        <w:outlineLvl w:val="1"/>
        <w:rPr>
          <w:rFonts w:hint="eastAsia" w:ascii="仿宋" w:hAnsi="仿宋" w:eastAsia="仿宋" w:cs="仿宋"/>
          <w:b/>
          <w:bCs/>
          <w:color w:val="auto"/>
          <w:kern w:val="0"/>
          <w:sz w:val="24"/>
          <w:szCs w:val="24"/>
          <w:highlight w:val="none"/>
          <w:lang w:val="en-US" w:eastAsia="zh-CN" w:bidi="ar-SA"/>
        </w:rPr>
      </w:pPr>
      <w:bookmarkStart w:id="57" w:name="_Toc16881"/>
      <w:bookmarkStart w:id="58" w:name="_Toc31529"/>
      <w:bookmarkStart w:id="59" w:name="_Toc2398"/>
      <w:bookmarkStart w:id="60" w:name="_Toc12873"/>
      <w:bookmarkStart w:id="61" w:name="_Toc30017"/>
      <w:bookmarkStart w:id="62" w:name="_Toc35393634"/>
      <w:bookmarkStart w:id="63" w:name="_Toc28359017"/>
      <w:bookmarkStart w:id="64" w:name="_Toc28359094"/>
      <w:bookmarkStart w:id="65" w:name="_Toc8500"/>
      <w:bookmarkStart w:id="66" w:name="_Toc35393803"/>
      <w:r>
        <w:rPr>
          <w:rFonts w:hint="eastAsia" w:ascii="仿宋" w:hAnsi="仿宋" w:eastAsia="仿宋" w:cs="仿宋"/>
          <w:b/>
          <w:bCs/>
          <w:color w:val="auto"/>
          <w:kern w:val="0"/>
          <w:sz w:val="24"/>
          <w:szCs w:val="24"/>
          <w:highlight w:val="none"/>
          <w:lang w:val="en-US" w:eastAsia="zh-CN" w:bidi="ar-SA"/>
        </w:rPr>
        <w:t>五、开启：</w:t>
      </w:r>
      <w:bookmarkEnd w:id="57"/>
      <w:bookmarkEnd w:id="58"/>
      <w:bookmarkEnd w:id="59"/>
      <w:bookmarkEnd w:id="60"/>
      <w:bookmarkEnd w:id="61"/>
    </w:p>
    <w:p w14:paraId="2E63EE96">
      <w:pPr>
        <w:keepNext w:val="0"/>
        <w:keepLines w:val="0"/>
        <w:pageBreakBefore w:val="0"/>
        <w:widowControl/>
        <w:suppressLineNumbers w:val="0"/>
        <w:kinsoku/>
        <w:overflowPunct/>
        <w:topLinePunct w:val="0"/>
        <w:autoSpaceDE/>
        <w:autoSpaceDN/>
        <w:bidi w:val="0"/>
        <w:snapToGrid/>
        <w:spacing w:line="440" w:lineRule="exact"/>
        <w:ind w:firstLine="480" w:firstLineChars="200"/>
        <w:jc w:val="left"/>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1.时间：2026年06月04日14:30（北京时间）；</w:t>
      </w:r>
    </w:p>
    <w:p w14:paraId="57255A42">
      <w:pPr>
        <w:keepNext w:val="0"/>
        <w:keepLines w:val="0"/>
        <w:pageBreakBefore w:val="0"/>
        <w:widowControl/>
        <w:suppressLineNumbers w:val="0"/>
        <w:kinsoku/>
        <w:overflowPunct/>
        <w:topLinePunct w:val="0"/>
        <w:autoSpaceDE/>
        <w:autoSpaceDN/>
        <w:bidi w:val="0"/>
        <w:snapToGrid/>
        <w:spacing w:line="440" w:lineRule="exact"/>
        <w:ind w:firstLine="480" w:firstLineChars="200"/>
        <w:jc w:val="left"/>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2.地点：登录政采云平台（https://www.zcygov.cn/）</w:t>
      </w:r>
    </w:p>
    <w:p w14:paraId="2B32AD8A">
      <w:pPr>
        <w:keepNext w:val="0"/>
        <w:keepLines w:val="0"/>
        <w:pageBreakBefore w:val="0"/>
        <w:widowControl/>
        <w:kinsoku/>
        <w:overflowPunct/>
        <w:topLinePunct w:val="0"/>
        <w:autoSpaceDE/>
        <w:autoSpaceDN/>
        <w:bidi w:val="0"/>
        <w:snapToGrid/>
        <w:spacing w:line="440" w:lineRule="exact"/>
        <w:jc w:val="left"/>
        <w:textAlignment w:val="auto"/>
        <w:outlineLvl w:val="1"/>
        <w:rPr>
          <w:rFonts w:hint="eastAsia" w:ascii="仿宋" w:hAnsi="仿宋" w:eastAsia="仿宋" w:cs="仿宋"/>
          <w:b/>
          <w:bCs/>
          <w:color w:val="auto"/>
          <w:kern w:val="0"/>
          <w:sz w:val="24"/>
          <w:szCs w:val="24"/>
          <w:highlight w:val="none"/>
          <w:lang w:val="en-US" w:eastAsia="zh-CN" w:bidi="ar-SA"/>
        </w:rPr>
      </w:pPr>
      <w:bookmarkStart w:id="67" w:name="_Toc5727"/>
      <w:bookmarkStart w:id="68" w:name="_Toc6833"/>
      <w:bookmarkStart w:id="69" w:name="_Toc26209"/>
      <w:bookmarkStart w:id="70" w:name="_Toc6865"/>
      <w:bookmarkStart w:id="71" w:name="_Toc8201"/>
      <w:r>
        <w:rPr>
          <w:rFonts w:hint="eastAsia" w:ascii="仿宋" w:hAnsi="仿宋" w:eastAsia="仿宋" w:cs="仿宋"/>
          <w:b/>
          <w:bCs/>
          <w:color w:val="auto"/>
          <w:kern w:val="0"/>
          <w:sz w:val="24"/>
          <w:szCs w:val="24"/>
          <w:highlight w:val="none"/>
          <w:lang w:val="en-US" w:eastAsia="zh-CN" w:bidi="ar-SA"/>
        </w:rPr>
        <w:t>六、公告期限</w:t>
      </w:r>
      <w:bookmarkEnd w:id="62"/>
      <w:bookmarkEnd w:id="63"/>
      <w:bookmarkEnd w:id="64"/>
      <w:bookmarkEnd w:id="65"/>
      <w:bookmarkEnd w:id="66"/>
      <w:r>
        <w:rPr>
          <w:rFonts w:hint="eastAsia" w:ascii="仿宋" w:hAnsi="仿宋" w:eastAsia="仿宋" w:cs="仿宋"/>
          <w:b/>
          <w:bCs/>
          <w:color w:val="auto"/>
          <w:kern w:val="0"/>
          <w:sz w:val="24"/>
          <w:szCs w:val="24"/>
          <w:highlight w:val="none"/>
          <w:lang w:val="en-US" w:eastAsia="zh-CN" w:bidi="ar-SA"/>
        </w:rPr>
        <w:t>：</w:t>
      </w:r>
      <w:bookmarkEnd w:id="67"/>
      <w:bookmarkEnd w:id="68"/>
      <w:bookmarkEnd w:id="69"/>
      <w:bookmarkEnd w:id="70"/>
      <w:bookmarkEnd w:id="71"/>
    </w:p>
    <w:p w14:paraId="500FBC5F">
      <w:pPr>
        <w:pStyle w:val="3"/>
        <w:keepNext w:val="0"/>
        <w:keepLines w:val="0"/>
        <w:pageBreakBefore w:val="0"/>
        <w:kinsoku/>
        <w:overflowPunct/>
        <w:topLinePunct w:val="0"/>
        <w:autoSpaceDE/>
        <w:autoSpaceDN/>
        <w:bidi w:val="0"/>
        <w:snapToGrid/>
        <w:spacing w:after="0" w:line="440" w:lineRule="exact"/>
        <w:ind w:left="0" w:leftChars="0"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自本公告发布之日起5个工作日。</w:t>
      </w:r>
    </w:p>
    <w:p w14:paraId="52D357D7">
      <w:pPr>
        <w:keepNext w:val="0"/>
        <w:keepLines w:val="0"/>
        <w:pageBreakBefore w:val="0"/>
        <w:widowControl/>
        <w:kinsoku/>
        <w:overflowPunct/>
        <w:topLinePunct w:val="0"/>
        <w:autoSpaceDE/>
        <w:autoSpaceDN/>
        <w:bidi w:val="0"/>
        <w:snapToGrid/>
        <w:spacing w:line="440" w:lineRule="exact"/>
        <w:jc w:val="left"/>
        <w:textAlignment w:val="auto"/>
        <w:outlineLvl w:val="1"/>
        <w:rPr>
          <w:rFonts w:hint="eastAsia" w:ascii="仿宋" w:hAnsi="仿宋" w:eastAsia="仿宋" w:cs="仿宋"/>
          <w:b/>
          <w:color w:val="auto"/>
          <w:sz w:val="24"/>
          <w:szCs w:val="24"/>
          <w:highlight w:val="none"/>
          <w:lang w:eastAsia="zh-CN"/>
        </w:rPr>
      </w:pPr>
      <w:bookmarkStart w:id="72" w:name="_Toc35393635"/>
      <w:bookmarkStart w:id="73" w:name="_Toc17781"/>
      <w:bookmarkStart w:id="74" w:name="_Toc35393804"/>
      <w:bookmarkStart w:id="75" w:name="_Toc13042"/>
      <w:bookmarkStart w:id="76" w:name="_Toc18619"/>
      <w:bookmarkStart w:id="77" w:name="_Toc14076"/>
      <w:bookmarkStart w:id="78" w:name="_Toc27567"/>
      <w:bookmarkStart w:id="79" w:name="_Toc11066"/>
      <w:r>
        <w:rPr>
          <w:rFonts w:hint="eastAsia" w:ascii="仿宋" w:hAnsi="仿宋" w:eastAsia="仿宋" w:cs="仿宋"/>
          <w:b/>
          <w:color w:val="auto"/>
          <w:sz w:val="24"/>
          <w:szCs w:val="24"/>
          <w:highlight w:val="none"/>
          <w:lang w:val="en-US" w:eastAsia="zh-CN"/>
        </w:rPr>
        <w:t>七</w:t>
      </w:r>
      <w:r>
        <w:rPr>
          <w:rFonts w:hint="eastAsia" w:ascii="仿宋" w:hAnsi="仿宋" w:eastAsia="仿宋" w:cs="仿宋"/>
          <w:b/>
          <w:color w:val="auto"/>
          <w:sz w:val="24"/>
          <w:szCs w:val="24"/>
          <w:highlight w:val="none"/>
        </w:rPr>
        <w:t>、其他补充事宜</w:t>
      </w:r>
      <w:bookmarkEnd w:id="72"/>
      <w:bookmarkEnd w:id="73"/>
      <w:bookmarkEnd w:id="74"/>
      <w:r>
        <w:rPr>
          <w:rFonts w:hint="eastAsia" w:ascii="仿宋" w:hAnsi="仿宋" w:eastAsia="仿宋" w:cs="仿宋"/>
          <w:b/>
          <w:color w:val="auto"/>
          <w:sz w:val="24"/>
          <w:szCs w:val="24"/>
          <w:highlight w:val="none"/>
          <w:lang w:eastAsia="zh-CN"/>
        </w:rPr>
        <w:t>：</w:t>
      </w:r>
      <w:bookmarkEnd w:id="75"/>
      <w:bookmarkEnd w:id="76"/>
      <w:bookmarkEnd w:id="77"/>
      <w:bookmarkEnd w:id="78"/>
      <w:bookmarkEnd w:id="79"/>
    </w:p>
    <w:p w14:paraId="71C64CFB">
      <w:pPr>
        <w:keepNext w:val="0"/>
        <w:keepLines w:val="0"/>
        <w:pageBreakBefore w:val="0"/>
        <w:kinsoku/>
        <w:overflowPunct/>
        <w:topLinePunct w:val="0"/>
        <w:autoSpaceDE/>
        <w:autoSpaceDN/>
        <w:bidi w:val="0"/>
        <w:snapToGrid/>
        <w:spacing w:line="440" w:lineRule="exact"/>
        <w:ind w:firstLine="480" w:firstLineChars="200"/>
        <w:contextualSpacing/>
        <w:jc w:val="left"/>
        <w:textAlignment w:val="auto"/>
        <w:rPr>
          <w:rFonts w:hint="eastAsia" w:ascii="仿宋" w:hAnsi="仿宋" w:eastAsia="仿宋" w:cs="仿宋"/>
          <w:color w:val="auto"/>
          <w:sz w:val="24"/>
          <w:highlight w:val="none"/>
          <w:lang w:eastAsia="zh-CN"/>
        </w:rPr>
      </w:pPr>
      <w:bookmarkStart w:id="80" w:name="_Toc28359095"/>
      <w:bookmarkStart w:id="81" w:name="_Toc35393805"/>
      <w:bookmarkStart w:id="82" w:name="_Toc9059"/>
      <w:bookmarkStart w:id="83" w:name="_Toc35393636"/>
      <w:bookmarkStart w:id="84" w:name="_Toc28359018"/>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lang w:eastAsia="zh-CN"/>
        </w:rPr>
        <w:t>开标方式：网上开标（本项目为不见面开标，投标</w:t>
      </w:r>
      <w:r>
        <w:rPr>
          <w:rFonts w:hint="eastAsia" w:ascii="仿宋" w:hAnsi="仿宋" w:eastAsia="仿宋" w:cs="仿宋"/>
          <w:color w:val="auto"/>
          <w:sz w:val="24"/>
          <w:highlight w:val="none"/>
          <w:lang w:val="en-US" w:eastAsia="zh-CN"/>
        </w:rPr>
        <w:t>人</w:t>
      </w:r>
      <w:r>
        <w:rPr>
          <w:rFonts w:hint="eastAsia" w:ascii="仿宋" w:hAnsi="仿宋" w:eastAsia="仿宋" w:cs="仿宋"/>
          <w:color w:val="auto"/>
          <w:sz w:val="24"/>
          <w:highlight w:val="none"/>
          <w:lang w:eastAsia="zh-CN"/>
        </w:rPr>
        <w:t>无需到达现场）。</w:t>
      </w:r>
    </w:p>
    <w:p w14:paraId="60EC15B6">
      <w:pPr>
        <w:keepNext w:val="0"/>
        <w:keepLines w:val="0"/>
        <w:pageBreakBefore w:val="0"/>
        <w:kinsoku/>
        <w:overflowPunct/>
        <w:topLinePunct w:val="0"/>
        <w:autoSpaceDE/>
        <w:autoSpaceDN/>
        <w:bidi w:val="0"/>
        <w:snapToGrid/>
        <w:spacing w:line="440" w:lineRule="exact"/>
        <w:ind w:firstLine="480" w:firstLineChars="200"/>
        <w:contextualSpacing/>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eastAsia="zh-CN"/>
        </w:rPr>
        <w:t>是否需要缴纳投标保证金：</w:t>
      </w:r>
      <w:r>
        <w:rPr>
          <w:rFonts w:hint="eastAsia" w:ascii="仿宋" w:hAnsi="仿宋" w:eastAsia="仿宋" w:cs="仿宋"/>
          <w:color w:val="auto"/>
          <w:sz w:val="24"/>
          <w:highlight w:val="none"/>
          <w:lang w:val="en-US" w:eastAsia="zh-CN"/>
        </w:rPr>
        <w:t>否</w:t>
      </w:r>
      <w:r>
        <w:rPr>
          <w:rFonts w:hint="eastAsia" w:ascii="仿宋" w:hAnsi="仿宋" w:eastAsia="仿宋" w:cs="仿宋"/>
          <w:color w:val="auto"/>
          <w:sz w:val="24"/>
          <w:highlight w:val="none"/>
          <w:lang w:eastAsia="zh-CN"/>
        </w:rPr>
        <w:t>。</w:t>
      </w:r>
    </w:p>
    <w:p w14:paraId="185DE695">
      <w:pPr>
        <w:keepNext w:val="0"/>
        <w:keepLines w:val="0"/>
        <w:pageBreakBefore w:val="0"/>
        <w:kinsoku/>
        <w:overflowPunct/>
        <w:topLinePunct w:val="0"/>
        <w:autoSpaceDE/>
        <w:autoSpaceDN/>
        <w:bidi w:val="0"/>
        <w:snapToGrid/>
        <w:spacing w:line="440" w:lineRule="exact"/>
        <w:ind w:firstLine="480" w:firstLineChars="200"/>
        <w:contextualSpacing/>
        <w:textAlignment w:val="auto"/>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lang w:val="en-US" w:eastAsia="zh-CN"/>
        </w:rPr>
        <w:t>3.</w:t>
      </w:r>
      <w:r>
        <w:rPr>
          <w:rFonts w:hint="eastAsia" w:ascii="仿宋" w:hAnsi="仿宋" w:eastAsia="仿宋"/>
          <w:color w:val="auto"/>
          <w:sz w:val="24"/>
          <w:szCs w:val="24"/>
          <w:highlight w:val="none"/>
          <w:lang w:eastAsia="zh-CN"/>
        </w:rPr>
        <w:t>本次采购公告在《云南省政府采购网》《政府采购云平台》上发</w:t>
      </w:r>
      <w:r>
        <w:rPr>
          <w:rFonts w:hint="eastAsia" w:ascii="仿宋" w:hAnsi="仿宋" w:eastAsia="仿宋"/>
          <w:color w:val="auto"/>
          <w:sz w:val="24"/>
          <w:szCs w:val="24"/>
          <w:highlight w:val="none"/>
          <w:lang w:val="en-US" w:eastAsia="zh-CN"/>
        </w:rPr>
        <w:t>布。</w:t>
      </w:r>
      <w:r>
        <w:rPr>
          <w:rFonts w:hint="eastAsia" w:ascii="仿宋" w:hAnsi="仿宋" w:eastAsia="仿宋"/>
          <w:color w:val="auto"/>
          <w:sz w:val="24"/>
          <w:szCs w:val="24"/>
          <w:highlight w:val="none"/>
          <w:lang w:eastAsia="zh-CN"/>
        </w:rPr>
        <w:t xml:space="preserve">采购人及采购代理机构对其他网站发布或转载的公告内容不承担任何责任。 </w:t>
      </w:r>
    </w:p>
    <w:p w14:paraId="14FC955E">
      <w:pPr>
        <w:keepNext w:val="0"/>
        <w:keepLines w:val="0"/>
        <w:pageBreakBefore w:val="0"/>
        <w:kinsoku/>
        <w:overflowPunct/>
        <w:topLinePunct w:val="0"/>
        <w:autoSpaceDE/>
        <w:autoSpaceDN/>
        <w:bidi w:val="0"/>
        <w:snapToGrid/>
        <w:spacing w:line="440" w:lineRule="exact"/>
        <w:ind w:firstLine="480" w:firstLineChars="200"/>
        <w:contextualSpacing/>
        <w:textAlignment w:val="auto"/>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lang w:val="en-US" w:eastAsia="zh-CN"/>
        </w:rPr>
        <w:t>4.</w:t>
      </w:r>
      <w:r>
        <w:rPr>
          <w:rFonts w:hint="eastAsia" w:ascii="仿宋" w:hAnsi="仿宋" w:eastAsia="仿宋"/>
          <w:color w:val="auto"/>
          <w:sz w:val="24"/>
          <w:szCs w:val="24"/>
          <w:highlight w:val="none"/>
          <w:lang w:eastAsia="zh-CN"/>
        </w:rPr>
        <w:t>本项目实行网上投标，采用电子投标文件。</w:t>
      </w:r>
    </w:p>
    <w:p w14:paraId="192C4EE5">
      <w:pPr>
        <w:keepNext w:val="0"/>
        <w:keepLines w:val="0"/>
        <w:pageBreakBefore w:val="0"/>
        <w:kinsoku/>
        <w:wordWrap w:val="0"/>
        <w:overflowPunct/>
        <w:topLinePunct w:val="0"/>
        <w:autoSpaceDE/>
        <w:autoSpaceDN/>
        <w:bidi w:val="0"/>
        <w:snapToGrid/>
        <w:spacing w:line="44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各投标人应在开标前应确保成为政采云平台投标人，并完成CA数字证书申领。因未注册入库、未办理CA数字证书等原因造成无法投标或投标失败等后果由投标人自行承担。凡有意参加投标的投标人，须在政采云平台办理数字证书（CA），CA申领链接：</w:t>
      </w:r>
      <w:r>
        <w:rPr>
          <w:rFonts w:hint="eastAsia" w:ascii="仿宋" w:hAnsi="仿宋" w:eastAsia="仿宋" w:cs="仿宋"/>
          <w:color w:val="auto"/>
          <w:sz w:val="24"/>
          <w:szCs w:val="24"/>
          <w:highlight w:val="none"/>
        </w:rPr>
        <w:t>https://middle.zcygov.cn/ca/apply/edit?certType=32</w:t>
      </w:r>
      <w:r>
        <w:rPr>
          <w:rFonts w:hint="eastAsia" w:ascii="仿宋" w:hAnsi="仿宋" w:eastAsia="仿宋" w:cs="仿宋"/>
          <w:color w:val="auto"/>
          <w:sz w:val="24"/>
          <w:szCs w:val="24"/>
          <w:highlight w:val="none"/>
          <w:lang w:eastAsia="zh-CN"/>
        </w:rPr>
        <w:t>，并通过政采云绑定数字证书（CA）后在网上获取招标文件及其它采购资料，数字证书（CA）详见其办理流程。</w:t>
      </w:r>
    </w:p>
    <w:p w14:paraId="36D2D9AA">
      <w:pPr>
        <w:keepNext w:val="0"/>
        <w:keepLines w:val="0"/>
        <w:pageBreakBefore w:val="0"/>
        <w:kinsoku/>
        <w:overflowPunct/>
        <w:topLinePunct w:val="0"/>
        <w:autoSpaceDE/>
        <w:autoSpaceDN/>
        <w:bidi w:val="0"/>
        <w:snapToGrid/>
        <w:spacing w:line="440" w:lineRule="exact"/>
        <w:ind w:firstLine="480" w:firstLineChars="200"/>
        <w:contextualSpacing/>
        <w:textAlignment w:val="auto"/>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lang w:val="en-US" w:eastAsia="zh-CN"/>
        </w:rPr>
        <w:t>6.</w:t>
      </w:r>
      <w:r>
        <w:rPr>
          <w:rFonts w:hint="eastAsia" w:ascii="仿宋" w:hAnsi="仿宋" w:eastAsia="仿宋"/>
          <w:color w:val="auto"/>
          <w:sz w:val="24"/>
          <w:szCs w:val="24"/>
          <w:highlight w:val="none"/>
          <w:lang w:eastAsia="zh-CN"/>
        </w:rPr>
        <w:t>投标人将政采云电子交易客户端下载、安装完成后，可通过账号密码或CA登录客户端进行投标文件的制作。在使用政采云投标客户端时，建议使用WIN7（64位）及以上操作系统。客户端请至政采云公司网站（https://edu.zcygov.cn/luban/yunnan-dzjy-gys）进行查看下载，如有问题可拨打政采云客户服务热线</w:t>
      </w:r>
      <w:r>
        <w:rPr>
          <w:rFonts w:hint="eastAsia" w:ascii="仿宋" w:hAnsi="仿宋" w:eastAsia="仿宋"/>
          <w:color w:val="auto"/>
          <w:sz w:val="24"/>
          <w:szCs w:val="24"/>
          <w:highlight w:val="none"/>
          <w:lang w:val="en-US" w:eastAsia="zh-CN"/>
        </w:rPr>
        <w:t>9</w:t>
      </w:r>
      <w:r>
        <w:rPr>
          <w:rFonts w:hint="eastAsia" w:ascii="仿宋" w:hAnsi="仿宋" w:eastAsia="仿宋"/>
          <w:color w:val="auto"/>
          <w:sz w:val="24"/>
          <w:szCs w:val="24"/>
          <w:highlight w:val="none"/>
          <w:lang w:eastAsia="zh-CN"/>
        </w:rPr>
        <w:t>5763进行咨询；CA操作问题：可致电云南壹证通CA，24小时技术支持热线：0871-67276028（紧急办理可拨打19988166369）；如因投标人自身原因导致在规定时间内无法正常解密的（如：浏览器故障、未安装相关驱动、网络故障、加密CA与解密CA不一致等），代理机构不予异常处理，视为投标人自动弃标。</w:t>
      </w:r>
    </w:p>
    <w:p w14:paraId="44914445">
      <w:pPr>
        <w:keepNext w:val="0"/>
        <w:keepLines w:val="0"/>
        <w:pageBreakBefore w:val="0"/>
        <w:widowControl/>
        <w:kinsoku/>
        <w:overflowPunct/>
        <w:topLinePunct w:val="0"/>
        <w:autoSpaceDE/>
        <w:autoSpaceDN/>
        <w:bidi w:val="0"/>
        <w:snapToGrid/>
        <w:spacing w:line="440" w:lineRule="exact"/>
        <w:jc w:val="left"/>
        <w:textAlignment w:val="auto"/>
        <w:outlineLvl w:val="1"/>
        <w:rPr>
          <w:rFonts w:hint="eastAsia" w:ascii="仿宋" w:hAnsi="仿宋" w:eastAsia="仿宋" w:cs="仿宋"/>
          <w:b/>
          <w:color w:val="auto"/>
          <w:sz w:val="24"/>
          <w:szCs w:val="24"/>
          <w:highlight w:val="none"/>
        </w:rPr>
      </w:pPr>
      <w:bookmarkStart w:id="85" w:name="_Toc822"/>
      <w:bookmarkStart w:id="86" w:name="_Toc28423"/>
      <w:bookmarkStart w:id="87" w:name="_Toc20015"/>
      <w:bookmarkStart w:id="88" w:name="_Toc32348"/>
      <w:bookmarkStart w:id="89" w:name="_Toc25214"/>
      <w:r>
        <w:rPr>
          <w:rFonts w:hint="eastAsia" w:ascii="仿宋" w:hAnsi="仿宋" w:eastAsia="仿宋" w:cs="仿宋"/>
          <w:b/>
          <w:color w:val="auto"/>
          <w:sz w:val="24"/>
          <w:szCs w:val="24"/>
          <w:highlight w:val="none"/>
          <w:lang w:val="en-US" w:eastAsia="zh-CN"/>
        </w:rPr>
        <w:t>八</w:t>
      </w:r>
      <w:r>
        <w:rPr>
          <w:rFonts w:hint="eastAsia" w:ascii="仿宋" w:hAnsi="仿宋" w:eastAsia="仿宋" w:cs="仿宋"/>
          <w:b/>
          <w:color w:val="auto"/>
          <w:sz w:val="24"/>
          <w:szCs w:val="24"/>
          <w:highlight w:val="none"/>
        </w:rPr>
        <w:t>、凡对本次采购提出询问，请按以下方式联系。</w:t>
      </w:r>
      <w:bookmarkEnd w:id="80"/>
      <w:bookmarkEnd w:id="81"/>
      <w:bookmarkEnd w:id="82"/>
      <w:bookmarkEnd w:id="83"/>
      <w:bookmarkEnd w:id="84"/>
      <w:bookmarkEnd w:id="85"/>
      <w:bookmarkEnd w:id="86"/>
      <w:bookmarkEnd w:id="87"/>
      <w:bookmarkEnd w:id="88"/>
      <w:bookmarkEnd w:id="89"/>
    </w:p>
    <w:bookmarkEnd w:id="11"/>
    <w:bookmarkEnd w:id="12"/>
    <w:p w14:paraId="3192DD37">
      <w:pPr>
        <w:keepNext w:val="0"/>
        <w:keepLines w:val="0"/>
        <w:pageBreakBefore w:val="0"/>
        <w:kinsoku/>
        <w:overflowPunct/>
        <w:topLinePunct w:val="0"/>
        <w:autoSpaceDE/>
        <w:autoSpaceDN/>
        <w:bidi w:val="0"/>
        <w:snapToGrid w:val="0"/>
        <w:spacing w:line="440" w:lineRule="exact"/>
        <w:ind w:firstLine="480" w:firstLineChars="200"/>
        <w:contextualSpacing/>
        <w:textAlignment w:val="auto"/>
        <w:rPr>
          <w:rFonts w:ascii="仿宋" w:hAnsi="仿宋" w:eastAsia="仿宋"/>
          <w:color w:val="auto"/>
          <w:sz w:val="24"/>
          <w:highlight w:val="none"/>
        </w:rPr>
      </w:pPr>
      <w:bookmarkStart w:id="90" w:name="_Toc3656"/>
      <w:bookmarkStart w:id="91" w:name="_Toc25932"/>
      <w:r>
        <w:rPr>
          <w:rFonts w:hint="eastAsia" w:ascii="仿宋" w:hAnsi="仿宋" w:eastAsia="仿宋"/>
          <w:color w:val="auto"/>
          <w:sz w:val="24"/>
          <w:highlight w:val="none"/>
        </w:rPr>
        <w:t>1.采购人信息</w:t>
      </w:r>
    </w:p>
    <w:p w14:paraId="28FF7163">
      <w:pPr>
        <w:keepNext w:val="0"/>
        <w:keepLines w:val="0"/>
        <w:pageBreakBefore w:val="0"/>
        <w:kinsoku/>
        <w:overflowPunct/>
        <w:topLinePunct w:val="0"/>
        <w:autoSpaceDE/>
        <w:autoSpaceDN/>
        <w:bidi w:val="0"/>
        <w:spacing w:line="440" w:lineRule="exact"/>
        <w:ind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名    称：</w:t>
      </w:r>
      <w:r>
        <w:rPr>
          <w:rFonts w:hint="eastAsia" w:ascii="仿宋" w:hAnsi="仿宋" w:eastAsia="仿宋" w:cs="仿宋"/>
          <w:color w:val="auto"/>
          <w:sz w:val="24"/>
          <w:highlight w:val="none"/>
          <w:lang w:eastAsia="zh-CN"/>
        </w:rPr>
        <w:t>大理白族自治州财贸学校</w:t>
      </w:r>
    </w:p>
    <w:p w14:paraId="6CAD914B">
      <w:pPr>
        <w:keepNext w:val="0"/>
        <w:keepLines w:val="0"/>
        <w:pageBreakBefore w:val="0"/>
        <w:kinsoku/>
        <w:overflowPunct/>
        <w:topLinePunct w:val="0"/>
        <w:autoSpaceDE/>
        <w:autoSpaceDN/>
        <w:bidi w:val="0"/>
        <w:spacing w:line="44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lang w:eastAsia="zh-CN"/>
        </w:rPr>
        <w:t>大理市大理镇弘圣路1号</w:t>
      </w:r>
    </w:p>
    <w:p w14:paraId="4600A1AD">
      <w:pPr>
        <w:keepNext w:val="0"/>
        <w:keepLines w:val="0"/>
        <w:pageBreakBefore w:val="0"/>
        <w:kinsoku/>
        <w:overflowPunct/>
        <w:topLinePunct w:val="0"/>
        <w:autoSpaceDE/>
        <w:autoSpaceDN/>
        <w:bidi w:val="0"/>
        <w:snapToGrid w:val="0"/>
        <w:spacing w:line="440" w:lineRule="exact"/>
        <w:ind w:firstLine="480" w:firstLineChars="200"/>
        <w:contextualSpacing/>
        <w:textAlignment w:val="auto"/>
        <w:rPr>
          <w:rFonts w:hint="default" w:ascii="仿宋" w:hAnsi="仿宋" w:eastAsia="仿宋"/>
          <w:color w:val="auto"/>
          <w:sz w:val="24"/>
          <w:highlight w:val="none"/>
          <w:lang w:val="en-US" w:eastAsia="zh-CN"/>
        </w:rPr>
      </w:pPr>
      <w:r>
        <w:rPr>
          <w:rFonts w:hint="eastAsia" w:ascii="仿宋" w:hAnsi="仿宋" w:eastAsia="仿宋"/>
          <w:color w:val="auto"/>
          <w:sz w:val="24"/>
          <w:highlight w:val="none"/>
        </w:rPr>
        <w:t>联系方式：</w:t>
      </w:r>
      <w:r>
        <w:rPr>
          <w:rFonts w:hint="eastAsia" w:ascii="仿宋" w:hAnsi="仿宋" w:eastAsia="仿宋"/>
          <w:color w:val="auto"/>
          <w:sz w:val="24"/>
          <w:highlight w:val="none"/>
          <w:lang w:val="en-US" w:eastAsia="zh-CN"/>
        </w:rPr>
        <w:t>18487539753</w:t>
      </w:r>
    </w:p>
    <w:p w14:paraId="7D9BED86">
      <w:pPr>
        <w:keepNext w:val="0"/>
        <w:keepLines w:val="0"/>
        <w:pageBreakBefore w:val="0"/>
        <w:kinsoku/>
        <w:overflowPunct/>
        <w:topLinePunct w:val="0"/>
        <w:autoSpaceDE/>
        <w:autoSpaceDN/>
        <w:bidi w:val="0"/>
        <w:snapToGrid w:val="0"/>
        <w:spacing w:line="440" w:lineRule="exact"/>
        <w:ind w:firstLine="480" w:firstLineChars="200"/>
        <w:contextualSpacing/>
        <w:textAlignment w:val="auto"/>
        <w:rPr>
          <w:rFonts w:ascii="仿宋" w:hAnsi="仿宋" w:eastAsia="仿宋"/>
          <w:color w:val="auto"/>
          <w:sz w:val="24"/>
          <w:highlight w:val="none"/>
        </w:rPr>
      </w:pPr>
      <w:r>
        <w:rPr>
          <w:rFonts w:hint="eastAsia" w:ascii="仿宋" w:hAnsi="仿宋" w:eastAsia="仿宋"/>
          <w:color w:val="auto"/>
          <w:sz w:val="24"/>
          <w:highlight w:val="none"/>
        </w:rPr>
        <w:t>2.采购代理机构</w:t>
      </w:r>
    </w:p>
    <w:p w14:paraId="581DE690">
      <w:pPr>
        <w:keepNext w:val="0"/>
        <w:keepLines w:val="0"/>
        <w:pageBreakBefore w:val="0"/>
        <w:kinsoku/>
        <w:overflowPunct/>
        <w:topLinePunct w:val="0"/>
        <w:autoSpaceDE/>
        <w:autoSpaceDN/>
        <w:bidi w:val="0"/>
        <w:snapToGrid w:val="0"/>
        <w:spacing w:line="440" w:lineRule="exact"/>
        <w:ind w:firstLine="480" w:firstLineChars="200"/>
        <w:contextualSpacing/>
        <w:textAlignment w:val="auto"/>
        <w:rPr>
          <w:rFonts w:hint="eastAsia" w:ascii="仿宋" w:hAnsi="仿宋" w:eastAsia="仿宋"/>
          <w:color w:val="auto"/>
          <w:sz w:val="24"/>
          <w:highlight w:val="none"/>
          <w:lang w:eastAsia="zh-CN"/>
        </w:rPr>
      </w:pPr>
      <w:r>
        <w:rPr>
          <w:rFonts w:hint="eastAsia" w:ascii="仿宋" w:hAnsi="仿宋" w:eastAsia="仿宋"/>
          <w:color w:val="auto"/>
          <w:sz w:val="24"/>
          <w:highlight w:val="none"/>
        </w:rPr>
        <w:t>采购代理机构：</w:t>
      </w:r>
      <w:r>
        <w:rPr>
          <w:rFonts w:hint="eastAsia" w:ascii="仿宋" w:hAnsi="仿宋" w:eastAsia="仿宋"/>
          <w:color w:val="auto"/>
          <w:sz w:val="24"/>
          <w:highlight w:val="none"/>
          <w:lang w:eastAsia="zh-CN"/>
        </w:rPr>
        <w:t>云南咫尺招标咨询有限公司</w:t>
      </w:r>
    </w:p>
    <w:p w14:paraId="353FF62B">
      <w:pPr>
        <w:keepNext w:val="0"/>
        <w:keepLines w:val="0"/>
        <w:pageBreakBefore w:val="0"/>
        <w:kinsoku/>
        <w:overflowPunct/>
        <w:topLinePunct w:val="0"/>
        <w:autoSpaceDE/>
        <w:autoSpaceDN/>
        <w:bidi w:val="0"/>
        <w:snapToGrid w:val="0"/>
        <w:spacing w:line="440" w:lineRule="exact"/>
        <w:ind w:firstLine="480" w:firstLineChars="200"/>
        <w:contextualSpacing/>
        <w:textAlignment w:val="auto"/>
        <w:rPr>
          <w:rFonts w:ascii="仿宋" w:hAnsi="仿宋" w:eastAsia="仿宋"/>
          <w:color w:val="auto"/>
          <w:sz w:val="24"/>
          <w:highlight w:val="none"/>
        </w:rPr>
      </w:pPr>
      <w:r>
        <w:rPr>
          <w:rFonts w:hint="eastAsia" w:ascii="仿宋" w:hAnsi="仿宋" w:eastAsia="仿宋"/>
          <w:color w:val="auto"/>
          <w:sz w:val="24"/>
          <w:highlight w:val="none"/>
        </w:rPr>
        <w:t>地    址：</w:t>
      </w:r>
      <w:r>
        <w:rPr>
          <w:rFonts w:hint="eastAsia" w:ascii="仿宋" w:hAnsi="仿宋" w:eastAsia="仿宋"/>
          <w:color w:val="auto"/>
          <w:sz w:val="24"/>
          <w:highlight w:val="none"/>
          <w:lang w:eastAsia="zh-CN"/>
        </w:rPr>
        <w:t>大理市太和街道苍洱天籁小区西门对面京东便利店四楼</w:t>
      </w:r>
      <w:r>
        <w:rPr>
          <w:rFonts w:hint="eastAsia" w:ascii="仿宋" w:hAnsi="仿宋" w:eastAsia="仿宋"/>
          <w:color w:val="auto"/>
          <w:sz w:val="24"/>
          <w:highlight w:val="none"/>
        </w:rPr>
        <w:t xml:space="preserve">  </w:t>
      </w:r>
    </w:p>
    <w:p w14:paraId="33B18787">
      <w:pPr>
        <w:keepNext w:val="0"/>
        <w:keepLines w:val="0"/>
        <w:pageBreakBefore w:val="0"/>
        <w:kinsoku/>
        <w:overflowPunct/>
        <w:topLinePunct w:val="0"/>
        <w:autoSpaceDE/>
        <w:autoSpaceDN/>
        <w:bidi w:val="0"/>
        <w:snapToGrid w:val="0"/>
        <w:spacing w:line="440" w:lineRule="exact"/>
        <w:ind w:firstLine="480" w:firstLineChars="200"/>
        <w:contextualSpacing/>
        <w:textAlignment w:val="auto"/>
        <w:rPr>
          <w:rFonts w:hint="default" w:ascii="仿宋" w:hAnsi="仿宋" w:eastAsia="仿宋"/>
          <w:color w:val="auto"/>
          <w:sz w:val="24"/>
          <w:highlight w:val="none"/>
          <w:lang w:val="en-US" w:eastAsia="zh-CN"/>
        </w:rPr>
      </w:pPr>
      <w:r>
        <w:rPr>
          <w:rFonts w:hint="eastAsia" w:ascii="仿宋" w:hAnsi="仿宋" w:eastAsia="仿宋"/>
          <w:color w:val="auto"/>
          <w:sz w:val="24"/>
          <w:highlight w:val="none"/>
        </w:rPr>
        <w:t>联系方式：</w:t>
      </w:r>
      <w:r>
        <w:rPr>
          <w:rFonts w:hint="eastAsia" w:ascii="仿宋" w:hAnsi="仿宋" w:eastAsia="仿宋"/>
          <w:color w:val="auto"/>
          <w:sz w:val="24"/>
          <w:highlight w:val="none"/>
          <w:lang w:val="en-US" w:eastAsia="zh-CN"/>
        </w:rPr>
        <w:t>13508728749</w:t>
      </w:r>
    </w:p>
    <w:p w14:paraId="7D7ECBD9">
      <w:pPr>
        <w:keepNext w:val="0"/>
        <w:keepLines w:val="0"/>
        <w:pageBreakBefore w:val="0"/>
        <w:widowControl/>
        <w:kinsoku/>
        <w:overflowPunct/>
        <w:topLinePunct w:val="0"/>
        <w:autoSpaceDE/>
        <w:autoSpaceDN/>
        <w:bidi w:val="0"/>
        <w:snapToGrid w:val="0"/>
        <w:spacing w:line="440" w:lineRule="exact"/>
        <w:ind w:firstLine="480" w:firstLineChars="200"/>
        <w:jc w:val="left"/>
        <w:textAlignment w:val="auto"/>
        <w:rPr>
          <w:rFonts w:ascii="仿宋" w:hAnsi="仿宋" w:eastAsia="仿宋"/>
          <w:color w:val="auto"/>
          <w:sz w:val="24"/>
          <w:highlight w:val="none"/>
        </w:rPr>
      </w:pPr>
      <w:r>
        <w:rPr>
          <w:rFonts w:hint="eastAsia" w:ascii="仿宋" w:hAnsi="仿宋" w:eastAsia="仿宋"/>
          <w:color w:val="auto"/>
          <w:sz w:val="24"/>
          <w:highlight w:val="none"/>
        </w:rPr>
        <w:t>3.项目联系方式</w:t>
      </w:r>
    </w:p>
    <w:p w14:paraId="554F8736">
      <w:pPr>
        <w:keepNext w:val="0"/>
        <w:keepLines w:val="0"/>
        <w:pageBreakBefore w:val="0"/>
        <w:widowControl/>
        <w:kinsoku/>
        <w:overflowPunct/>
        <w:topLinePunct w:val="0"/>
        <w:autoSpaceDE/>
        <w:autoSpaceDN/>
        <w:bidi w:val="0"/>
        <w:snapToGrid w:val="0"/>
        <w:spacing w:line="440" w:lineRule="exact"/>
        <w:ind w:firstLine="424" w:firstLineChars="177"/>
        <w:jc w:val="left"/>
        <w:textAlignment w:val="auto"/>
        <w:rPr>
          <w:rFonts w:hint="default" w:ascii="仿宋" w:hAnsi="仿宋" w:eastAsia="仿宋"/>
          <w:color w:val="auto"/>
          <w:sz w:val="24"/>
          <w:highlight w:val="none"/>
          <w:lang w:val="en-US" w:eastAsia="zh-CN"/>
        </w:rPr>
      </w:pPr>
      <w:r>
        <w:rPr>
          <w:rFonts w:hint="eastAsia" w:ascii="仿宋" w:hAnsi="仿宋" w:eastAsia="仿宋"/>
          <w:color w:val="auto"/>
          <w:sz w:val="24"/>
          <w:highlight w:val="none"/>
        </w:rPr>
        <w:t>联系人：</w:t>
      </w:r>
      <w:r>
        <w:rPr>
          <w:rFonts w:hint="eastAsia" w:ascii="仿宋" w:hAnsi="仿宋" w:eastAsia="仿宋"/>
          <w:color w:val="auto"/>
          <w:sz w:val="24"/>
          <w:szCs w:val="24"/>
          <w:highlight w:val="none"/>
        </w:rPr>
        <w:t>杨顺枫</w:t>
      </w:r>
      <w:r>
        <w:rPr>
          <w:rFonts w:hint="eastAsia" w:ascii="仿宋" w:hAnsi="仿宋" w:eastAsia="仿宋"/>
          <w:color w:val="auto"/>
          <w:sz w:val="24"/>
          <w:szCs w:val="24"/>
          <w:highlight w:val="none"/>
          <w:lang w:eastAsia="zh-CN"/>
        </w:rPr>
        <w:t>、</w:t>
      </w:r>
      <w:r>
        <w:rPr>
          <w:rFonts w:hint="eastAsia" w:ascii="仿宋" w:hAnsi="仿宋" w:eastAsia="仿宋"/>
          <w:color w:val="auto"/>
          <w:sz w:val="24"/>
          <w:szCs w:val="24"/>
          <w:highlight w:val="none"/>
        </w:rPr>
        <w:t>李琳燕、佘一松、段腾磊、王琨智</w:t>
      </w:r>
    </w:p>
    <w:p w14:paraId="62C809FE">
      <w:pPr>
        <w:keepNext w:val="0"/>
        <w:keepLines w:val="0"/>
        <w:pageBreakBefore w:val="0"/>
        <w:kinsoku/>
        <w:overflowPunct/>
        <w:topLinePunct w:val="0"/>
        <w:autoSpaceDE/>
        <w:autoSpaceDN/>
        <w:bidi w:val="0"/>
        <w:snapToGrid w:val="0"/>
        <w:spacing w:line="440" w:lineRule="exact"/>
        <w:ind w:firstLine="424" w:firstLineChars="177"/>
        <w:contextualSpacing/>
        <w:textAlignment w:val="auto"/>
        <w:rPr>
          <w:rFonts w:hint="eastAsia" w:ascii="仿宋" w:hAnsi="仿宋" w:eastAsia="仿宋"/>
          <w:color w:val="auto"/>
          <w:sz w:val="24"/>
          <w:highlight w:val="none"/>
          <w:lang w:eastAsia="zh-CN"/>
        </w:rPr>
      </w:pPr>
      <w:r>
        <w:rPr>
          <w:rFonts w:hint="eastAsia" w:ascii="仿宋" w:hAnsi="仿宋" w:eastAsia="仿宋"/>
          <w:color w:val="auto"/>
          <w:sz w:val="24"/>
          <w:highlight w:val="none"/>
        </w:rPr>
        <w:t>联系电话：</w:t>
      </w:r>
      <w:r>
        <w:rPr>
          <w:rFonts w:hint="eastAsia" w:ascii="仿宋" w:hAnsi="仿宋" w:eastAsia="仿宋"/>
          <w:color w:val="auto"/>
          <w:sz w:val="24"/>
          <w:highlight w:val="none"/>
          <w:lang w:eastAsia="zh-CN"/>
        </w:rPr>
        <w:t>0872-2196616</w:t>
      </w:r>
    </w:p>
    <w:p w14:paraId="25DA2C01">
      <w:pPr>
        <w:widowControl/>
        <w:spacing w:line="360" w:lineRule="auto"/>
        <w:jc w:val="center"/>
        <w:outlineLvl w:val="0"/>
        <w:rPr>
          <w:rFonts w:hint="eastAsia" w:ascii="宋体" w:hAnsi="宋体" w:eastAsia="宋体" w:cs="楷体"/>
          <w:b/>
          <w:color w:val="auto"/>
          <w:kern w:val="0"/>
          <w:sz w:val="36"/>
          <w:szCs w:val="20"/>
          <w:highlight w:val="none"/>
          <w:lang w:val="en-US" w:eastAsia="zh-CN" w:bidi="ar-SA"/>
        </w:rPr>
      </w:pPr>
      <w:bookmarkStart w:id="92" w:name="_Toc11594"/>
      <w:bookmarkStart w:id="93" w:name="_Toc13926"/>
      <w:bookmarkStart w:id="94" w:name="_Toc25023"/>
      <w:bookmarkStart w:id="95" w:name="_Toc24176"/>
      <w:bookmarkStart w:id="96" w:name="_Toc13627"/>
      <w:r>
        <w:rPr>
          <w:rFonts w:hint="eastAsia" w:ascii="仿宋" w:hAnsi="仿宋" w:eastAsia="仿宋" w:cs="仿宋"/>
          <w:color w:val="auto"/>
          <w:sz w:val="24"/>
          <w:szCs w:val="24"/>
          <w:highlight w:val="none"/>
        </w:rPr>
        <w:br w:type="column"/>
      </w:r>
      <w:bookmarkStart w:id="97" w:name="_Toc393354828"/>
      <w:r>
        <w:rPr>
          <w:rFonts w:hint="eastAsia" w:ascii="宋体" w:hAnsi="宋体" w:eastAsia="宋体" w:cs="楷体"/>
          <w:b/>
          <w:color w:val="auto"/>
          <w:kern w:val="0"/>
          <w:sz w:val="36"/>
          <w:szCs w:val="20"/>
          <w:highlight w:val="none"/>
          <w:lang w:val="en-US" w:eastAsia="zh-CN" w:bidi="ar-SA"/>
        </w:rPr>
        <w:t>第二章 投标人须知</w:t>
      </w:r>
      <w:bookmarkEnd w:id="90"/>
      <w:bookmarkEnd w:id="91"/>
      <w:bookmarkEnd w:id="92"/>
      <w:bookmarkEnd w:id="93"/>
      <w:bookmarkEnd w:id="94"/>
      <w:bookmarkEnd w:id="95"/>
      <w:bookmarkEnd w:id="96"/>
      <w:bookmarkEnd w:id="97"/>
    </w:p>
    <w:p w14:paraId="068E1085">
      <w:pPr>
        <w:pStyle w:val="5"/>
        <w:spacing w:before="0" w:line="360" w:lineRule="auto"/>
        <w:ind w:left="425" w:firstLine="0"/>
        <w:jc w:val="center"/>
        <w:rPr>
          <w:rFonts w:hint="eastAsia" w:ascii="仿宋" w:hAnsi="仿宋" w:eastAsia="仿宋" w:cs="仿宋"/>
          <w:color w:val="auto"/>
          <w:sz w:val="24"/>
          <w:szCs w:val="24"/>
          <w:highlight w:val="none"/>
        </w:rPr>
      </w:pPr>
      <w:bookmarkStart w:id="98" w:name="_Toc481583777"/>
      <w:bookmarkStart w:id="99" w:name="_Toc23323"/>
      <w:bookmarkStart w:id="100" w:name="_Toc21007"/>
      <w:bookmarkStart w:id="101" w:name="_Toc8081"/>
      <w:bookmarkStart w:id="102" w:name="_Toc17525"/>
      <w:bookmarkStart w:id="103" w:name="_Toc475291679"/>
      <w:bookmarkStart w:id="104" w:name="_Toc29439"/>
      <w:bookmarkStart w:id="105" w:name="_Toc536394472"/>
      <w:bookmarkStart w:id="106" w:name="_Toc393354829"/>
      <w:bookmarkStart w:id="107" w:name="_Toc18536"/>
      <w:bookmarkStart w:id="108" w:name="_Toc20283"/>
      <w:bookmarkStart w:id="109" w:name="_Toc10216"/>
      <w:r>
        <w:rPr>
          <w:rFonts w:hint="eastAsia" w:ascii="仿宋" w:hAnsi="仿宋" w:eastAsia="仿宋" w:cs="仿宋"/>
          <w:color w:val="auto"/>
          <w:sz w:val="24"/>
          <w:szCs w:val="24"/>
          <w:highlight w:val="none"/>
        </w:rPr>
        <w:t>投标人须知前附表</w:t>
      </w:r>
      <w:bookmarkEnd w:id="98"/>
      <w:bookmarkEnd w:id="99"/>
      <w:bookmarkEnd w:id="100"/>
      <w:bookmarkEnd w:id="101"/>
      <w:bookmarkEnd w:id="102"/>
      <w:bookmarkEnd w:id="103"/>
      <w:bookmarkEnd w:id="104"/>
      <w:bookmarkEnd w:id="105"/>
      <w:bookmarkEnd w:id="106"/>
      <w:bookmarkEnd w:id="107"/>
      <w:bookmarkEnd w:id="108"/>
      <w:bookmarkEnd w:id="109"/>
    </w:p>
    <w:tbl>
      <w:tblPr>
        <w:tblStyle w:val="41"/>
        <w:tblW w:w="102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3"/>
        <w:gridCol w:w="1773"/>
        <w:gridCol w:w="7324"/>
      </w:tblGrid>
      <w:tr w14:paraId="69D8A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113" w:type="dxa"/>
            <w:vAlign w:val="center"/>
          </w:tcPr>
          <w:p w14:paraId="78897D01">
            <w:pPr>
              <w:pStyle w:val="22"/>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条款号</w:t>
            </w:r>
          </w:p>
        </w:tc>
        <w:tc>
          <w:tcPr>
            <w:tcW w:w="1773" w:type="dxa"/>
            <w:vAlign w:val="center"/>
          </w:tcPr>
          <w:p w14:paraId="67700C1E">
            <w:pPr>
              <w:pStyle w:val="22"/>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条款名称</w:t>
            </w:r>
          </w:p>
        </w:tc>
        <w:tc>
          <w:tcPr>
            <w:tcW w:w="7324" w:type="dxa"/>
            <w:vAlign w:val="center"/>
          </w:tcPr>
          <w:p w14:paraId="51416409">
            <w:pPr>
              <w:pStyle w:val="22"/>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编 列 内 容</w:t>
            </w:r>
          </w:p>
        </w:tc>
      </w:tr>
      <w:tr w14:paraId="66F83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1113" w:type="dxa"/>
            <w:vMerge w:val="restart"/>
            <w:vAlign w:val="center"/>
          </w:tcPr>
          <w:p w14:paraId="6D2920E4">
            <w:pPr>
              <w:pStyle w:val="22"/>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773" w:type="dxa"/>
            <w:vAlign w:val="center"/>
          </w:tcPr>
          <w:p w14:paraId="72E590EA">
            <w:pPr>
              <w:pStyle w:val="22"/>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bCs/>
                <w:color w:val="auto"/>
                <w:sz w:val="24"/>
                <w:highlight w:val="none"/>
              </w:rPr>
              <w:t>采购人</w:t>
            </w:r>
          </w:p>
        </w:tc>
        <w:tc>
          <w:tcPr>
            <w:tcW w:w="7324" w:type="dxa"/>
            <w:vAlign w:val="center"/>
          </w:tcPr>
          <w:p w14:paraId="508247FD">
            <w:pPr>
              <w:pStyle w:val="22"/>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名    称：</w:t>
            </w:r>
            <w:r>
              <w:rPr>
                <w:rFonts w:hint="eastAsia" w:ascii="仿宋" w:hAnsi="仿宋" w:eastAsia="仿宋" w:cs="仿宋"/>
                <w:color w:val="auto"/>
                <w:sz w:val="24"/>
                <w:highlight w:val="none"/>
                <w:lang w:eastAsia="zh-CN"/>
              </w:rPr>
              <w:t>大理白族自治州财贸学校</w:t>
            </w:r>
          </w:p>
          <w:p w14:paraId="2935C372">
            <w:pPr>
              <w:pStyle w:val="22"/>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lang w:eastAsia="zh-CN"/>
              </w:rPr>
              <w:t>大理市大理镇弘圣路1号</w:t>
            </w:r>
          </w:p>
          <w:p w14:paraId="06F578EB">
            <w:pPr>
              <w:pStyle w:val="22"/>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联</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系</w:t>
            </w:r>
            <w:r>
              <w:rPr>
                <w:rFonts w:hint="eastAsia" w:ascii="仿宋" w:hAnsi="仿宋" w:eastAsia="仿宋" w:cs="仿宋"/>
                <w:color w:val="auto"/>
                <w:sz w:val="24"/>
                <w:highlight w:val="none"/>
                <w:lang w:val="en-US" w:eastAsia="zh-CN"/>
              </w:rPr>
              <w:t xml:space="preserve"> 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张</w:t>
            </w:r>
            <w:r>
              <w:rPr>
                <w:rFonts w:hint="eastAsia" w:ascii="仿宋" w:hAnsi="仿宋" w:eastAsia="仿宋" w:cs="仿宋"/>
                <w:color w:val="auto"/>
                <w:sz w:val="24"/>
                <w:highlight w:val="none"/>
              </w:rPr>
              <w:t>老师</w:t>
            </w:r>
          </w:p>
          <w:p w14:paraId="5E250340">
            <w:pPr>
              <w:pStyle w:val="22"/>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lang w:val="en-US" w:eastAsia="zh-CN"/>
              </w:rPr>
              <w:t>联系电话：18487539753</w:t>
            </w:r>
          </w:p>
        </w:tc>
      </w:tr>
      <w:tr w14:paraId="77330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1113" w:type="dxa"/>
            <w:vMerge w:val="continue"/>
            <w:vAlign w:val="center"/>
          </w:tcPr>
          <w:p w14:paraId="10887D30">
            <w:pPr>
              <w:spacing w:line="360" w:lineRule="auto"/>
              <w:jc w:val="center"/>
              <w:rPr>
                <w:rFonts w:hint="eastAsia" w:ascii="仿宋" w:hAnsi="仿宋" w:eastAsia="仿宋" w:cs="仿宋"/>
                <w:color w:val="auto"/>
                <w:sz w:val="24"/>
                <w:szCs w:val="24"/>
                <w:highlight w:val="none"/>
              </w:rPr>
            </w:pPr>
          </w:p>
        </w:tc>
        <w:tc>
          <w:tcPr>
            <w:tcW w:w="1773" w:type="dxa"/>
            <w:vAlign w:val="center"/>
          </w:tcPr>
          <w:p w14:paraId="0D4752D2">
            <w:pPr>
              <w:pStyle w:val="22"/>
              <w:spacing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highlight w:val="none"/>
              </w:rPr>
              <w:t>采购代理机构</w:t>
            </w:r>
          </w:p>
        </w:tc>
        <w:tc>
          <w:tcPr>
            <w:tcW w:w="7324" w:type="dxa"/>
            <w:vAlign w:val="center"/>
          </w:tcPr>
          <w:p w14:paraId="617DD694">
            <w:pPr>
              <w:pStyle w:val="22"/>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名    称</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云南咫尺招标咨询有限公司</w:t>
            </w:r>
          </w:p>
          <w:p w14:paraId="43B32228">
            <w:pPr>
              <w:pStyle w:val="22"/>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lang w:eastAsia="zh-CN"/>
              </w:rPr>
              <w:t>大理市太和街道苍洱天籁小区西门对面京东便利店四楼</w:t>
            </w:r>
            <w:r>
              <w:rPr>
                <w:rFonts w:hint="eastAsia" w:ascii="仿宋" w:hAnsi="仿宋" w:eastAsia="仿宋" w:cs="仿宋"/>
                <w:color w:val="auto"/>
                <w:sz w:val="24"/>
                <w:highlight w:val="none"/>
              </w:rPr>
              <w:t xml:space="preserve">  </w:t>
            </w:r>
          </w:p>
          <w:p w14:paraId="326D5778">
            <w:pPr>
              <w:pStyle w:val="22"/>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联</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系</w:t>
            </w:r>
            <w:r>
              <w:rPr>
                <w:rFonts w:hint="eastAsia" w:ascii="仿宋" w:hAnsi="仿宋" w:eastAsia="仿宋" w:cs="仿宋"/>
                <w:color w:val="auto"/>
                <w:sz w:val="24"/>
                <w:highlight w:val="none"/>
                <w:lang w:val="en-US" w:eastAsia="zh-CN"/>
              </w:rPr>
              <w:t xml:space="preserve"> 人</w:t>
            </w:r>
            <w:r>
              <w:rPr>
                <w:rFonts w:hint="eastAsia" w:ascii="仿宋" w:hAnsi="仿宋" w:eastAsia="仿宋" w:cs="仿宋"/>
                <w:color w:val="auto"/>
                <w:sz w:val="24"/>
                <w:highlight w:val="none"/>
              </w:rPr>
              <w:t>：</w:t>
            </w:r>
            <w:r>
              <w:rPr>
                <w:rFonts w:hint="eastAsia" w:ascii="仿宋" w:hAnsi="仿宋" w:eastAsia="仿宋"/>
                <w:color w:val="auto"/>
                <w:sz w:val="24"/>
                <w:szCs w:val="24"/>
                <w:highlight w:val="none"/>
              </w:rPr>
              <w:t>杨顺枫</w:t>
            </w:r>
            <w:r>
              <w:rPr>
                <w:rFonts w:hint="eastAsia" w:ascii="仿宋" w:hAnsi="仿宋" w:eastAsia="仿宋"/>
                <w:color w:val="auto"/>
                <w:sz w:val="24"/>
                <w:szCs w:val="24"/>
                <w:highlight w:val="none"/>
                <w:lang w:eastAsia="zh-CN"/>
              </w:rPr>
              <w:t>、</w:t>
            </w:r>
            <w:r>
              <w:rPr>
                <w:rFonts w:hint="eastAsia" w:ascii="仿宋" w:hAnsi="仿宋" w:eastAsia="仿宋"/>
                <w:color w:val="auto"/>
                <w:sz w:val="24"/>
                <w:szCs w:val="24"/>
                <w:highlight w:val="none"/>
              </w:rPr>
              <w:t>李琳燕、佘一松、段腾磊、王琨智</w:t>
            </w:r>
          </w:p>
          <w:p w14:paraId="1492CF18">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lang w:val="en-US" w:eastAsia="zh-CN"/>
              </w:rPr>
              <w:t>联系电话：0872-2196616、13508728749</w:t>
            </w:r>
          </w:p>
        </w:tc>
      </w:tr>
      <w:tr w14:paraId="29C5C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jc w:val="center"/>
        </w:trPr>
        <w:tc>
          <w:tcPr>
            <w:tcW w:w="1113" w:type="dxa"/>
            <w:vMerge w:val="continue"/>
            <w:vAlign w:val="center"/>
          </w:tcPr>
          <w:p w14:paraId="28587671">
            <w:pPr>
              <w:spacing w:line="360" w:lineRule="auto"/>
              <w:jc w:val="center"/>
              <w:rPr>
                <w:rFonts w:hint="eastAsia" w:ascii="仿宋" w:hAnsi="仿宋" w:eastAsia="仿宋" w:cs="仿宋"/>
                <w:color w:val="auto"/>
                <w:sz w:val="24"/>
                <w:szCs w:val="24"/>
                <w:highlight w:val="none"/>
              </w:rPr>
            </w:pPr>
          </w:p>
        </w:tc>
        <w:tc>
          <w:tcPr>
            <w:tcW w:w="1773" w:type="dxa"/>
            <w:vAlign w:val="center"/>
          </w:tcPr>
          <w:p w14:paraId="132776EE">
            <w:pPr>
              <w:pStyle w:val="22"/>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eastAsia="zh-CN"/>
              </w:rPr>
              <w:t>项目编号</w:t>
            </w:r>
          </w:p>
        </w:tc>
        <w:tc>
          <w:tcPr>
            <w:tcW w:w="7324" w:type="dxa"/>
            <w:vAlign w:val="center"/>
          </w:tcPr>
          <w:p w14:paraId="3DA05276">
            <w:pPr>
              <w:pStyle w:val="22"/>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color w:val="auto"/>
                <w:sz w:val="24"/>
                <w:szCs w:val="24"/>
                <w:highlight w:val="none"/>
              </w:rPr>
              <w:t>项目名称：</w:t>
            </w:r>
            <w:r>
              <w:rPr>
                <w:rFonts w:hint="eastAsia" w:ascii="仿宋" w:hAnsi="仿宋" w:eastAsia="仿宋" w:cs="仿宋"/>
                <w:b w:val="0"/>
                <w:bCs w:val="0"/>
                <w:color w:val="auto"/>
                <w:sz w:val="24"/>
                <w:szCs w:val="24"/>
                <w:highlight w:val="none"/>
                <w:lang w:eastAsia="zh-CN"/>
              </w:rPr>
              <w:t>大理白族自治州财贸学校职业教育贯通培养试点项目非集采部分（货物）</w:t>
            </w:r>
          </w:p>
          <w:p w14:paraId="1D2335BB">
            <w:pPr>
              <w:pStyle w:val="22"/>
              <w:spacing w:line="360" w:lineRule="auto"/>
              <w:rPr>
                <w:rFonts w:hint="default" w:ascii="仿宋" w:hAnsi="仿宋" w:eastAsia="仿宋" w:cs="仿宋"/>
                <w:b/>
                <w:bCs/>
                <w:color w:val="auto"/>
                <w:sz w:val="24"/>
                <w:szCs w:val="24"/>
                <w:highlight w:val="none"/>
                <w:lang w:val="en-US"/>
              </w:rPr>
            </w:pPr>
            <w:r>
              <w:rPr>
                <w:rFonts w:hint="eastAsia" w:ascii="仿宋" w:hAnsi="仿宋" w:eastAsia="仿宋" w:cs="仿宋"/>
                <w:bCs/>
                <w:color w:val="auto"/>
                <w:sz w:val="24"/>
                <w:szCs w:val="24"/>
                <w:highlight w:val="none"/>
                <w:lang w:val="en-US" w:eastAsia="zh-CN"/>
              </w:rPr>
              <w:t xml:space="preserve">项目编号: DLZC2026-G1-00454-ZCZB-0009 /ZCZB-DL2026021A  </w:t>
            </w:r>
          </w:p>
        </w:tc>
      </w:tr>
      <w:tr w14:paraId="34F19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jc w:val="center"/>
        </w:trPr>
        <w:tc>
          <w:tcPr>
            <w:tcW w:w="1113" w:type="dxa"/>
            <w:vAlign w:val="center"/>
          </w:tcPr>
          <w:p w14:paraId="5D9F350D">
            <w:pPr>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2.1</w:t>
            </w:r>
          </w:p>
        </w:tc>
        <w:tc>
          <w:tcPr>
            <w:tcW w:w="1773" w:type="dxa"/>
            <w:vAlign w:val="center"/>
          </w:tcPr>
          <w:p w14:paraId="0B8B93BB">
            <w:pPr>
              <w:pStyle w:val="22"/>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资金来源</w:t>
            </w:r>
          </w:p>
        </w:tc>
        <w:tc>
          <w:tcPr>
            <w:tcW w:w="7324" w:type="dxa"/>
            <w:vAlign w:val="center"/>
          </w:tcPr>
          <w:p w14:paraId="10FC7E75">
            <w:pPr>
              <w:pStyle w:val="22"/>
              <w:spacing w:line="360" w:lineRule="auto"/>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财政资金。</w:t>
            </w:r>
          </w:p>
        </w:tc>
      </w:tr>
      <w:tr w14:paraId="7049C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113" w:type="dxa"/>
            <w:vAlign w:val="center"/>
          </w:tcPr>
          <w:p w14:paraId="7EC2D737">
            <w:pPr>
              <w:pStyle w:val="22"/>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3.1</w:t>
            </w:r>
          </w:p>
        </w:tc>
        <w:tc>
          <w:tcPr>
            <w:tcW w:w="1773" w:type="dxa"/>
            <w:vAlign w:val="center"/>
          </w:tcPr>
          <w:p w14:paraId="3B9C173E">
            <w:pPr>
              <w:pStyle w:val="22"/>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招标范围及预算金额</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最高限价</w:t>
            </w:r>
          </w:p>
        </w:tc>
        <w:tc>
          <w:tcPr>
            <w:tcW w:w="7324" w:type="dxa"/>
            <w:vAlign w:val="center"/>
          </w:tcPr>
          <w:p w14:paraId="4915D939">
            <w:pPr>
              <w:pStyle w:val="22"/>
              <w:spacing w:line="360" w:lineRule="auto"/>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招标范围：详见《第五章 采购需求及技术参数》</w:t>
            </w:r>
          </w:p>
          <w:p w14:paraId="7FF5C2F1">
            <w:pPr>
              <w:pStyle w:val="22"/>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预算金额：小写：</w:t>
            </w:r>
            <w:r>
              <w:rPr>
                <w:rFonts w:hint="eastAsia" w:ascii="仿宋" w:hAnsi="仿宋" w:eastAsia="仿宋" w:cs="仿宋"/>
                <w:color w:val="auto"/>
                <w:kern w:val="0"/>
                <w:sz w:val="24"/>
                <w:szCs w:val="24"/>
                <w:highlight w:val="none"/>
                <w:lang w:val="en-US" w:eastAsia="zh-CN"/>
              </w:rPr>
              <w:t>¥21.5215万元（大写：贰拾壹万伍仟贰佰壹拾伍元整）</w:t>
            </w:r>
            <w:r>
              <w:rPr>
                <w:rFonts w:hint="eastAsia" w:ascii="仿宋" w:hAnsi="仿宋" w:eastAsia="仿宋" w:cs="仿宋"/>
                <w:color w:val="auto"/>
                <w:sz w:val="24"/>
                <w:highlight w:val="none"/>
                <w:lang w:val="en-US" w:eastAsia="zh-CN"/>
              </w:rPr>
              <w:t>；</w:t>
            </w:r>
          </w:p>
          <w:p w14:paraId="79CE1757">
            <w:pPr>
              <w:pStyle w:val="22"/>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最高限价：小写：</w:t>
            </w:r>
            <w:r>
              <w:rPr>
                <w:rFonts w:hint="eastAsia" w:ascii="仿宋" w:hAnsi="仿宋" w:eastAsia="仿宋" w:cs="仿宋"/>
                <w:color w:val="auto"/>
                <w:kern w:val="0"/>
                <w:sz w:val="24"/>
                <w:szCs w:val="24"/>
                <w:highlight w:val="none"/>
                <w:lang w:val="en-US" w:eastAsia="zh-CN"/>
              </w:rPr>
              <w:t>¥21.5215万元（大写：贰拾壹万伍仟贰佰壹拾伍元整）</w:t>
            </w:r>
            <w:r>
              <w:rPr>
                <w:rFonts w:hint="eastAsia" w:ascii="仿宋" w:hAnsi="仿宋" w:eastAsia="仿宋" w:cs="仿宋"/>
                <w:color w:val="auto"/>
                <w:sz w:val="24"/>
                <w:highlight w:val="none"/>
                <w:lang w:val="en-US" w:eastAsia="zh-CN"/>
              </w:rPr>
              <w:t>；</w:t>
            </w:r>
          </w:p>
          <w:p w14:paraId="602BDA0D">
            <w:pPr>
              <w:pStyle w:val="22"/>
              <w:spacing w:line="360" w:lineRule="auto"/>
              <w:rPr>
                <w:rFonts w:hint="eastAsia" w:ascii="仿宋" w:hAnsi="仿宋" w:eastAsia="仿宋" w:cs="仿宋"/>
                <w:b/>
                <w:color w:val="auto"/>
                <w:sz w:val="24"/>
                <w:szCs w:val="24"/>
                <w:highlight w:val="none"/>
              </w:rPr>
            </w:pPr>
            <w:r>
              <w:rPr>
                <w:rFonts w:hint="eastAsia" w:ascii="仿宋" w:hAnsi="仿宋" w:eastAsia="仿宋" w:cs="仿宋"/>
                <w:b/>
                <w:bCs/>
                <w:color w:val="auto"/>
                <w:sz w:val="24"/>
                <w:highlight w:val="none"/>
                <w:lang w:val="en-US" w:eastAsia="zh-CN"/>
              </w:rPr>
              <w:t>注：投标人所报的单价及总价不得高于最高限价，否则按无效投标处理。</w:t>
            </w:r>
          </w:p>
        </w:tc>
      </w:tr>
      <w:tr w14:paraId="7AB3F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113" w:type="dxa"/>
            <w:vAlign w:val="center"/>
          </w:tcPr>
          <w:p w14:paraId="292503C9">
            <w:pPr>
              <w:pStyle w:val="22"/>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.2</w:t>
            </w:r>
          </w:p>
        </w:tc>
        <w:tc>
          <w:tcPr>
            <w:tcW w:w="1773" w:type="dxa"/>
            <w:vAlign w:val="center"/>
          </w:tcPr>
          <w:p w14:paraId="7B75C1C3">
            <w:pPr>
              <w:pStyle w:val="22"/>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合同履行期限、质量要求、质保期限</w:t>
            </w:r>
          </w:p>
        </w:tc>
        <w:tc>
          <w:tcPr>
            <w:tcW w:w="7324" w:type="dxa"/>
            <w:vAlign w:val="center"/>
          </w:tcPr>
          <w:p w14:paraId="1C11E196">
            <w:pPr>
              <w:pStyle w:val="22"/>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见第一章“招标公告”</w:t>
            </w:r>
            <w:r>
              <w:rPr>
                <w:rFonts w:hint="eastAsia" w:ascii="仿宋" w:hAnsi="仿宋" w:eastAsia="仿宋" w:cs="仿宋"/>
                <w:color w:val="auto"/>
                <w:sz w:val="24"/>
                <w:szCs w:val="24"/>
                <w:highlight w:val="none"/>
                <w:lang w:eastAsia="zh-CN"/>
              </w:rPr>
              <w:t>（项目基本情况）</w:t>
            </w:r>
          </w:p>
        </w:tc>
      </w:tr>
      <w:tr w14:paraId="72942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3" w:type="dxa"/>
            <w:vAlign w:val="center"/>
          </w:tcPr>
          <w:p w14:paraId="75892344">
            <w:pPr>
              <w:pStyle w:val="22"/>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en-US" w:eastAsia="zh-CN"/>
              </w:rPr>
              <w:t>.1</w:t>
            </w:r>
          </w:p>
        </w:tc>
        <w:tc>
          <w:tcPr>
            <w:tcW w:w="1773" w:type="dxa"/>
            <w:vAlign w:val="center"/>
          </w:tcPr>
          <w:p w14:paraId="3004116D">
            <w:pPr>
              <w:pStyle w:val="22"/>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w:t>
            </w:r>
          </w:p>
          <w:p w14:paraId="6931B71D">
            <w:pPr>
              <w:pStyle w:val="22"/>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资格要求</w:t>
            </w:r>
          </w:p>
        </w:tc>
        <w:tc>
          <w:tcPr>
            <w:tcW w:w="7324" w:type="dxa"/>
            <w:vAlign w:val="center"/>
          </w:tcPr>
          <w:p w14:paraId="389411B1">
            <w:pPr>
              <w:autoSpaceDE w:val="0"/>
              <w:autoSpaceDN w:val="0"/>
              <w:snapToGrid w:val="0"/>
              <w:spacing w:line="360" w:lineRule="auto"/>
              <w:textAlignment w:val="bottom"/>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见第一章“招标公告”（</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的资格要求）</w:t>
            </w:r>
          </w:p>
        </w:tc>
      </w:tr>
      <w:tr w14:paraId="44605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113" w:type="dxa"/>
            <w:vAlign w:val="center"/>
          </w:tcPr>
          <w:p w14:paraId="10680527">
            <w:pPr>
              <w:pStyle w:val="22"/>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9.1</w:t>
            </w:r>
          </w:p>
        </w:tc>
        <w:tc>
          <w:tcPr>
            <w:tcW w:w="1773" w:type="dxa"/>
            <w:vAlign w:val="center"/>
          </w:tcPr>
          <w:p w14:paraId="773CFF3B">
            <w:pPr>
              <w:autoSpaceDE w:val="0"/>
              <w:autoSpaceDN w:val="0"/>
              <w:snapToGrid w:val="0"/>
              <w:spacing w:line="360" w:lineRule="auto"/>
              <w:jc w:val="center"/>
              <w:textAlignment w:val="bottom"/>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招标文件澄清截止时间</w:t>
            </w:r>
          </w:p>
        </w:tc>
        <w:tc>
          <w:tcPr>
            <w:tcW w:w="7324" w:type="dxa"/>
            <w:vAlign w:val="center"/>
          </w:tcPr>
          <w:p w14:paraId="720A3F0C">
            <w:pPr>
              <w:pStyle w:val="22"/>
              <w:spacing w:line="360" w:lineRule="auto"/>
              <w:jc w:val="left"/>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提交投标文件截止时间十五日前</w:t>
            </w:r>
          </w:p>
        </w:tc>
      </w:tr>
      <w:tr w14:paraId="15805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 w:hRule="atLeast"/>
          <w:jc w:val="center"/>
        </w:trPr>
        <w:tc>
          <w:tcPr>
            <w:tcW w:w="1113" w:type="dxa"/>
            <w:vAlign w:val="center"/>
          </w:tcPr>
          <w:p w14:paraId="6CEB7714">
            <w:pPr>
              <w:pStyle w:val="22"/>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13.2</w:t>
            </w:r>
          </w:p>
        </w:tc>
        <w:tc>
          <w:tcPr>
            <w:tcW w:w="1773" w:type="dxa"/>
            <w:vAlign w:val="center"/>
          </w:tcPr>
          <w:p w14:paraId="316572E2">
            <w:pPr>
              <w:pStyle w:val="22"/>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构成投标文件的其他资料</w:t>
            </w:r>
          </w:p>
        </w:tc>
        <w:tc>
          <w:tcPr>
            <w:tcW w:w="7324" w:type="dxa"/>
            <w:vAlign w:val="center"/>
          </w:tcPr>
          <w:p w14:paraId="5C44FA66">
            <w:pPr>
              <w:autoSpaceDE w:val="0"/>
              <w:autoSpaceDN w:val="0"/>
              <w:snapToGrid w:val="0"/>
              <w:spacing w:line="360" w:lineRule="auto"/>
              <w:textAlignment w:val="bottom"/>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1.</w:t>
            </w:r>
            <w:r>
              <w:rPr>
                <w:rFonts w:hint="eastAsia" w:ascii="仿宋" w:hAnsi="仿宋" w:eastAsia="仿宋" w:cs="仿宋"/>
                <w:bCs/>
                <w:color w:val="auto"/>
                <w:sz w:val="24"/>
                <w:szCs w:val="24"/>
                <w:highlight w:val="none"/>
              </w:rPr>
              <w:t>第五章“</w:t>
            </w:r>
            <w:r>
              <w:rPr>
                <w:rFonts w:hint="eastAsia" w:ascii="仿宋" w:hAnsi="仿宋" w:eastAsia="仿宋" w:cs="仿宋"/>
                <w:bCs/>
                <w:color w:val="auto"/>
                <w:sz w:val="24"/>
                <w:szCs w:val="24"/>
                <w:highlight w:val="none"/>
                <w:lang w:eastAsia="zh-CN"/>
              </w:rPr>
              <w:t>采购需求及技术参数</w:t>
            </w:r>
            <w:r>
              <w:rPr>
                <w:rFonts w:hint="eastAsia" w:ascii="仿宋" w:hAnsi="仿宋" w:eastAsia="仿宋" w:cs="仿宋"/>
                <w:bCs/>
                <w:color w:val="auto"/>
                <w:sz w:val="24"/>
                <w:szCs w:val="24"/>
                <w:highlight w:val="none"/>
              </w:rPr>
              <w:t>”中要求提供的相关资料；</w:t>
            </w:r>
          </w:p>
          <w:p w14:paraId="23A17A5C">
            <w:pPr>
              <w:autoSpaceDE w:val="0"/>
              <w:autoSpaceDN w:val="0"/>
              <w:snapToGrid w:val="0"/>
              <w:spacing w:line="360" w:lineRule="auto"/>
              <w:textAlignment w:val="bottom"/>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2.</w:t>
            </w:r>
            <w:r>
              <w:rPr>
                <w:rFonts w:hint="eastAsia" w:ascii="仿宋" w:hAnsi="仿宋" w:eastAsia="仿宋" w:cs="仿宋"/>
                <w:bCs/>
                <w:color w:val="auto"/>
                <w:sz w:val="24"/>
                <w:szCs w:val="24"/>
                <w:highlight w:val="none"/>
              </w:rPr>
              <w:t>招标文件中所</w:t>
            </w:r>
            <w:r>
              <w:rPr>
                <w:rFonts w:hint="eastAsia" w:ascii="仿宋" w:hAnsi="仿宋" w:eastAsia="仿宋" w:cs="仿宋"/>
                <w:bCs/>
                <w:color w:val="auto"/>
                <w:sz w:val="24"/>
                <w:szCs w:val="24"/>
                <w:highlight w:val="none"/>
                <w:lang w:eastAsia="zh-CN"/>
              </w:rPr>
              <w:t>涉及</w:t>
            </w:r>
            <w:r>
              <w:rPr>
                <w:rFonts w:hint="eastAsia" w:ascii="仿宋" w:hAnsi="仿宋" w:eastAsia="仿宋" w:cs="仿宋"/>
                <w:bCs/>
                <w:color w:val="auto"/>
                <w:sz w:val="24"/>
                <w:szCs w:val="24"/>
                <w:highlight w:val="none"/>
              </w:rPr>
              <w:t>的相关资料及证明文件或投标人认为必须提供的其他相关资料。</w:t>
            </w:r>
          </w:p>
        </w:tc>
      </w:tr>
      <w:tr w14:paraId="72491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3" w:type="dxa"/>
            <w:vAlign w:val="center"/>
          </w:tcPr>
          <w:p w14:paraId="2D174D86">
            <w:pPr>
              <w:pStyle w:val="22"/>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17.1</w:t>
            </w:r>
          </w:p>
        </w:tc>
        <w:tc>
          <w:tcPr>
            <w:tcW w:w="1773" w:type="dxa"/>
            <w:vAlign w:val="center"/>
          </w:tcPr>
          <w:p w14:paraId="46861DDD">
            <w:pPr>
              <w:pStyle w:val="22"/>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w:t>
            </w:r>
          </w:p>
          <w:p w14:paraId="175359EB">
            <w:pPr>
              <w:pStyle w:val="22"/>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有效期</w:t>
            </w:r>
          </w:p>
        </w:tc>
        <w:tc>
          <w:tcPr>
            <w:tcW w:w="7324" w:type="dxa"/>
            <w:vAlign w:val="center"/>
          </w:tcPr>
          <w:p w14:paraId="22D84836">
            <w:pPr>
              <w:pStyle w:val="22"/>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从提交投标文件截止之日起</w:t>
            </w:r>
            <w:r>
              <w:rPr>
                <w:rFonts w:hint="eastAsia" w:ascii="仿宋" w:hAnsi="仿宋" w:eastAsia="仿宋" w:cs="仿宋"/>
                <w:color w:val="auto"/>
                <w:sz w:val="24"/>
                <w:szCs w:val="24"/>
                <w:highlight w:val="none"/>
                <w:u w:val="single"/>
              </w:rPr>
              <w:t>90</w:t>
            </w:r>
            <w:r>
              <w:rPr>
                <w:rFonts w:hint="eastAsia" w:ascii="仿宋" w:hAnsi="仿宋" w:eastAsia="仿宋" w:cs="仿宋"/>
                <w:color w:val="auto"/>
                <w:sz w:val="24"/>
                <w:szCs w:val="24"/>
                <w:highlight w:val="none"/>
              </w:rPr>
              <w:t>日历天</w:t>
            </w:r>
          </w:p>
        </w:tc>
      </w:tr>
      <w:tr w14:paraId="13882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3" w:type="dxa"/>
            <w:vAlign w:val="center"/>
          </w:tcPr>
          <w:p w14:paraId="4AB16C31">
            <w:pPr>
              <w:pStyle w:val="22"/>
              <w:spacing w:line="24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19.1</w:t>
            </w:r>
          </w:p>
        </w:tc>
        <w:tc>
          <w:tcPr>
            <w:tcW w:w="1773" w:type="dxa"/>
            <w:vAlign w:val="center"/>
          </w:tcPr>
          <w:p w14:paraId="175C60A5">
            <w:pPr>
              <w:pStyle w:val="22"/>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投标保证金</w:t>
            </w:r>
          </w:p>
        </w:tc>
        <w:tc>
          <w:tcPr>
            <w:tcW w:w="7324" w:type="dxa"/>
            <w:vAlign w:val="center"/>
          </w:tcPr>
          <w:p w14:paraId="270D8611">
            <w:pPr>
              <w:pStyle w:val="192"/>
              <w:spacing w:line="360" w:lineRule="auto"/>
              <w:ind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根据“云财规〔2019〕5号”《云南省财政厅关于促进政府采购公平竞争优化营商环</w:t>
            </w:r>
            <w:r>
              <w:rPr>
                <w:rFonts w:hint="eastAsia" w:ascii="仿宋" w:hAnsi="仿宋" w:eastAsia="仿宋" w:cs="仿宋"/>
                <w:b w:val="0"/>
                <w:bCs w:val="0"/>
                <w:color w:val="auto"/>
                <w:sz w:val="24"/>
                <w:szCs w:val="24"/>
                <w:highlight w:val="none"/>
                <w:lang w:eastAsia="zh-CN"/>
              </w:rPr>
              <w:t>境的实施意见》的相关要求，本项目无需递交</w:t>
            </w:r>
            <w:r>
              <w:rPr>
                <w:rFonts w:hint="eastAsia" w:ascii="仿宋" w:hAnsi="仿宋" w:eastAsia="仿宋" w:cs="仿宋"/>
                <w:b w:val="0"/>
                <w:bCs w:val="0"/>
                <w:color w:val="auto"/>
                <w:sz w:val="24"/>
                <w:szCs w:val="24"/>
                <w:highlight w:val="none"/>
              </w:rPr>
              <w:t>投标</w:t>
            </w:r>
            <w:r>
              <w:rPr>
                <w:rFonts w:hint="eastAsia" w:ascii="仿宋" w:hAnsi="仿宋" w:eastAsia="仿宋" w:cs="仿宋"/>
                <w:b w:val="0"/>
                <w:bCs w:val="0"/>
                <w:color w:val="auto"/>
                <w:sz w:val="24"/>
                <w:szCs w:val="24"/>
                <w:highlight w:val="none"/>
                <w:lang w:eastAsia="zh-CN"/>
              </w:rPr>
              <w:t>保证金。</w:t>
            </w:r>
          </w:p>
        </w:tc>
      </w:tr>
      <w:tr w14:paraId="7140D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113" w:type="dxa"/>
            <w:vAlign w:val="center"/>
          </w:tcPr>
          <w:p w14:paraId="20A9297B">
            <w:pPr>
              <w:pStyle w:val="22"/>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21.2</w:t>
            </w:r>
          </w:p>
        </w:tc>
        <w:tc>
          <w:tcPr>
            <w:tcW w:w="1773" w:type="dxa"/>
            <w:vAlign w:val="center"/>
          </w:tcPr>
          <w:p w14:paraId="71FE8F75">
            <w:pPr>
              <w:pStyle w:val="22"/>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提交投标文件时间和地点</w:t>
            </w:r>
          </w:p>
        </w:tc>
        <w:tc>
          <w:tcPr>
            <w:tcW w:w="7324" w:type="dxa"/>
            <w:vAlign w:val="center"/>
          </w:tcPr>
          <w:p w14:paraId="332B6389">
            <w:pPr>
              <w:pStyle w:val="22"/>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时间：见第一章“招标公告”</w:t>
            </w:r>
          </w:p>
          <w:p w14:paraId="41BCB549">
            <w:pPr>
              <w:pStyle w:val="22"/>
              <w:spacing w:line="360" w:lineRule="auto"/>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地点：见第一章“招标公告”</w:t>
            </w:r>
          </w:p>
        </w:tc>
      </w:tr>
      <w:tr w14:paraId="29594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3" w:type="dxa"/>
            <w:vAlign w:val="center"/>
          </w:tcPr>
          <w:p w14:paraId="66EB4367">
            <w:pPr>
              <w:pStyle w:val="22"/>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23.1</w:t>
            </w:r>
          </w:p>
        </w:tc>
        <w:tc>
          <w:tcPr>
            <w:tcW w:w="1773" w:type="dxa"/>
            <w:vAlign w:val="center"/>
          </w:tcPr>
          <w:p w14:paraId="21A3FA13">
            <w:pPr>
              <w:pStyle w:val="22"/>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开标时间</w:t>
            </w:r>
          </w:p>
          <w:p w14:paraId="386F752D">
            <w:pPr>
              <w:pStyle w:val="22"/>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和地点</w:t>
            </w:r>
          </w:p>
        </w:tc>
        <w:tc>
          <w:tcPr>
            <w:tcW w:w="7324" w:type="dxa"/>
            <w:vAlign w:val="center"/>
          </w:tcPr>
          <w:p w14:paraId="747473E6">
            <w:pPr>
              <w:pStyle w:val="22"/>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开标时间：见第一章“招标公告”</w:t>
            </w:r>
          </w:p>
          <w:p w14:paraId="1DC1BAC9">
            <w:pPr>
              <w:pStyle w:val="22"/>
              <w:spacing w:line="36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开标地点：见第一章“招标公告”</w:t>
            </w:r>
          </w:p>
        </w:tc>
      </w:tr>
      <w:tr w14:paraId="35D08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113" w:type="dxa"/>
            <w:vAlign w:val="center"/>
          </w:tcPr>
          <w:p w14:paraId="7A923362">
            <w:pPr>
              <w:pStyle w:val="22"/>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25.2</w:t>
            </w:r>
          </w:p>
        </w:tc>
        <w:tc>
          <w:tcPr>
            <w:tcW w:w="1773" w:type="dxa"/>
            <w:vAlign w:val="center"/>
          </w:tcPr>
          <w:p w14:paraId="4AC5081D">
            <w:pPr>
              <w:pStyle w:val="22"/>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评标方法</w:t>
            </w:r>
          </w:p>
        </w:tc>
        <w:tc>
          <w:tcPr>
            <w:tcW w:w="7324" w:type="dxa"/>
            <w:vAlign w:val="center"/>
          </w:tcPr>
          <w:p w14:paraId="5EE00503">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综合评分法</w:t>
            </w:r>
          </w:p>
        </w:tc>
      </w:tr>
      <w:tr w14:paraId="4335D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2" w:hRule="atLeast"/>
          <w:jc w:val="center"/>
        </w:trPr>
        <w:tc>
          <w:tcPr>
            <w:tcW w:w="1113" w:type="dxa"/>
            <w:vAlign w:val="center"/>
          </w:tcPr>
          <w:p w14:paraId="6E1FA2B8">
            <w:pPr>
              <w:pStyle w:val="22"/>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30.1</w:t>
            </w:r>
          </w:p>
        </w:tc>
        <w:tc>
          <w:tcPr>
            <w:tcW w:w="1773" w:type="dxa"/>
            <w:vAlign w:val="center"/>
          </w:tcPr>
          <w:p w14:paraId="54FFFF02">
            <w:pPr>
              <w:pStyle w:val="22"/>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代理服务费及相关费用</w:t>
            </w:r>
          </w:p>
        </w:tc>
        <w:tc>
          <w:tcPr>
            <w:tcW w:w="7324" w:type="dxa"/>
            <w:vAlign w:val="center"/>
          </w:tcPr>
          <w:p w14:paraId="60EA7073">
            <w:pPr>
              <w:pageBreakBefore w:val="0"/>
              <w:widowControl w:val="0"/>
              <w:numPr>
                <w:ilvl w:val="0"/>
                <w:numId w:val="0"/>
              </w:numPr>
              <w:kinsoku/>
              <w:wordWrap/>
              <w:overflowPunct/>
              <w:topLinePunct w:val="0"/>
              <w:bidi w:val="0"/>
              <w:snapToGrid/>
              <w:spacing w:line="480" w:lineRule="exact"/>
              <w:textAlignment w:val="auto"/>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lang w:val="en-US" w:eastAsia="zh-CN"/>
              </w:rPr>
              <w:t>1.</w:t>
            </w:r>
            <w:r>
              <w:rPr>
                <w:rFonts w:hint="eastAsia" w:ascii="仿宋" w:hAnsi="仿宋" w:eastAsia="仿宋" w:cs="宋体"/>
                <w:color w:val="auto"/>
                <w:sz w:val="24"/>
                <w:szCs w:val="24"/>
                <w:highlight w:val="none"/>
              </w:rPr>
              <w:t>本项目</w:t>
            </w:r>
            <w:r>
              <w:rPr>
                <w:rFonts w:hint="eastAsia" w:ascii="仿宋" w:hAnsi="仿宋" w:eastAsia="仿宋" w:cs="宋体"/>
                <w:color w:val="auto"/>
                <w:sz w:val="24"/>
                <w:szCs w:val="24"/>
                <w:highlight w:val="none"/>
                <w:lang w:eastAsia="zh-CN"/>
              </w:rPr>
              <w:t>采购</w:t>
            </w:r>
            <w:r>
              <w:rPr>
                <w:rFonts w:hint="eastAsia" w:ascii="仿宋" w:hAnsi="仿宋" w:eastAsia="仿宋" w:cs="宋体"/>
                <w:color w:val="auto"/>
                <w:sz w:val="24"/>
                <w:szCs w:val="24"/>
                <w:highlight w:val="none"/>
              </w:rPr>
              <w:t>代理服务费由</w:t>
            </w:r>
            <w:r>
              <w:rPr>
                <w:rFonts w:hint="eastAsia" w:ascii="仿宋" w:hAnsi="仿宋" w:eastAsia="仿宋" w:cs="宋体"/>
                <w:color w:val="auto"/>
                <w:sz w:val="24"/>
                <w:szCs w:val="24"/>
                <w:highlight w:val="none"/>
                <w:lang w:eastAsia="zh-CN"/>
              </w:rPr>
              <w:t>中标单位</w:t>
            </w:r>
            <w:r>
              <w:rPr>
                <w:rFonts w:hint="eastAsia" w:ascii="仿宋" w:hAnsi="仿宋" w:eastAsia="仿宋" w:cs="宋体"/>
                <w:color w:val="auto"/>
                <w:sz w:val="24"/>
                <w:szCs w:val="24"/>
                <w:highlight w:val="none"/>
              </w:rPr>
              <w:t>支付，</w:t>
            </w:r>
            <w:r>
              <w:rPr>
                <w:rFonts w:hint="eastAsia" w:ascii="仿宋" w:hAnsi="仿宋" w:eastAsia="仿宋" w:cs="宋体"/>
                <w:color w:val="auto"/>
                <w:sz w:val="24"/>
                <w:szCs w:val="24"/>
                <w:highlight w:val="none"/>
                <w:lang w:eastAsia="zh-CN"/>
              </w:rPr>
              <w:t>中标单位</w:t>
            </w:r>
            <w:r>
              <w:rPr>
                <w:rFonts w:hint="eastAsia" w:ascii="仿宋" w:hAnsi="仿宋" w:eastAsia="仿宋" w:cs="宋体"/>
                <w:color w:val="auto"/>
                <w:sz w:val="24"/>
                <w:szCs w:val="24"/>
                <w:highlight w:val="none"/>
              </w:rPr>
              <w:t>收到</w:t>
            </w:r>
            <w:r>
              <w:rPr>
                <w:rFonts w:hint="eastAsia" w:ascii="仿宋" w:hAnsi="仿宋" w:eastAsia="仿宋" w:cs="宋体"/>
                <w:color w:val="auto"/>
                <w:sz w:val="24"/>
                <w:szCs w:val="24"/>
                <w:highlight w:val="none"/>
                <w:lang w:val="en-US" w:eastAsia="zh-CN"/>
              </w:rPr>
              <w:t>中标</w:t>
            </w:r>
            <w:r>
              <w:rPr>
                <w:rFonts w:hint="eastAsia" w:ascii="仿宋" w:hAnsi="仿宋" w:eastAsia="仿宋" w:cs="宋体"/>
                <w:color w:val="auto"/>
                <w:sz w:val="24"/>
                <w:szCs w:val="24"/>
                <w:highlight w:val="none"/>
              </w:rPr>
              <w:t>通知书的同时，应向采购代理机构缴付</w:t>
            </w:r>
            <w:r>
              <w:rPr>
                <w:rFonts w:hint="eastAsia" w:ascii="仿宋" w:hAnsi="仿宋" w:eastAsia="仿宋" w:cs="宋体"/>
                <w:color w:val="auto"/>
                <w:sz w:val="24"/>
                <w:szCs w:val="24"/>
                <w:highlight w:val="none"/>
                <w:lang w:eastAsia="zh-CN"/>
              </w:rPr>
              <w:t>。</w:t>
            </w:r>
          </w:p>
          <w:p w14:paraId="3CEEEC44">
            <w:pPr>
              <w:pageBreakBefore w:val="0"/>
              <w:widowControl w:val="0"/>
              <w:numPr>
                <w:ilvl w:val="0"/>
                <w:numId w:val="0"/>
              </w:numPr>
              <w:kinsoku/>
              <w:wordWrap/>
              <w:overflowPunct/>
              <w:topLinePunct w:val="0"/>
              <w:bidi w:val="0"/>
              <w:snapToGrid/>
              <w:spacing w:line="48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olor w:val="auto"/>
                <w:sz w:val="24"/>
                <w:szCs w:val="24"/>
                <w:highlight w:val="none"/>
                <w:lang w:val="en-US" w:eastAsia="zh-CN"/>
              </w:rPr>
              <w:t>2</w:t>
            </w:r>
            <w:r>
              <w:rPr>
                <w:rFonts w:hint="eastAsia" w:ascii="仿宋" w:hAnsi="仿宋" w:eastAsia="仿宋" w:cs="Times New Roman"/>
                <w:color w:val="auto"/>
                <w:sz w:val="24"/>
                <w:szCs w:val="24"/>
                <w:highlight w:val="none"/>
                <w:lang w:val="en-US" w:eastAsia="zh-CN"/>
              </w:rPr>
              <w:t>.本项目招标代理服务参照《云南省建设工程及政府采购代理服务收费参考意见的通知》(云建招协〔2026〕11号)文及与采购人协商以包干价¥5000.00元收取，由中标单位一次性向采购代理机构支付。</w:t>
            </w:r>
          </w:p>
          <w:p w14:paraId="2A6BA93C">
            <w:pPr>
              <w:pageBreakBefore w:val="0"/>
              <w:widowControl w:val="0"/>
              <w:numPr>
                <w:ilvl w:val="0"/>
                <w:numId w:val="0"/>
              </w:numPr>
              <w:kinsoku/>
              <w:wordWrap/>
              <w:overflowPunct/>
              <w:topLinePunct w:val="0"/>
              <w:bidi w:val="0"/>
              <w:snapToGrid/>
              <w:spacing w:line="480" w:lineRule="exact"/>
              <w:textAlignment w:val="auto"/>
              <w:rPr>
                <w:rFonts w:hint="default" w:ascii="仿宋" w:hAnsi="仿宋" w:eastAsia="仿宋" w:cs="Times New Roman"/>
                <w:color w:val="auto"/>
                <w:sz w:val="24"/>
                <w:szCs w:val="24"/>
                <w:highlight w:val="none"/>
                <w:lang w:val="en-US" w:eastAsia="zh-CN"/>
              </w:rPr>
            </w:pPr>
            <w:r>
              <w:rPr>
                <w:rFonts w:hint="default" w:ascii="仿宋" w:hAnsi="仿宋" w:eastAsia="仿宋" w:cs="Times New Roman"/>
                <w:color w:val="auto"/>
                <w:sz w:val="24"/>
                <w:szCs w:val="24"/>
                <w:highlight w:val="none"/>
                <w:lang w:val="en-US" w:eastAsia="zh-CN"/>
              </w:rPr>
              <w:t>3</w:t>
            </w:r>
            <w:r>
              <w:rPr>
                <w:rFonts w:hint="eastAsia" w:ascii="仿宋" w:hAnsi="仿宋" w:eastAsia="仿宋" w:cs="Times New Roman"/>
                <w:color w:val="auto"/>
                <w:sz w:val="24"/>
                <w:szCs w:val="24"/>
                <w:highlight w:val="none"/>
                <w:lang w:val="en-US" w:eastAsia="zh-CN"/>
              </w:rPr>
              <w:t>.</w:t>
            </w:r>
            <w:r>
              <w:rPr>
                <w:rFonts w:hint="default" w:ascii="仿宋" w:hAnsi="仿宋" w:eastAsia="仿宋" w:cs="Times New Roman"/>
                <w:color w:val="auto"/>
                <w:sz w:val="24"/>
                <w:szCs w:val="24"/>
                <w:highlight w:val="none"/>
                <w:lang w:val="en-US" w:eastAsia="zh-CN"/>
              </w:rPr>
              <w:t>招标代理服务费接受以下形式：现金、银行电汇、网银</w:t>
            </w:r>
          </w:p>
          <w:p w14:paraId="3C9D576C">
            <w:pPr>
              <w:pageBreakBefore w:val="0"/>
              <w:widowControl w:val="0"/>
              <w:numPr>
                <w:ilvl w:val="0"/>
                <w:numId w:val="0"/>
              </w:numPr>
              <w:kinsoku/>
              <w:wordWrap/>
              <w:overflowPunct/>
              <w:topLinePunct w:val="0"/>
              <w:bidi w:val="0"/>
              <w:snapToGrid/>
              <w:spacing w:line="480" w:lineRule="exact"/>
              <w:textAlignment w:val="auto"/>
              <w:rPr>
                <w:rFonts w:hint="default" w:ascii="仿宋" w:hAnsi="仿宋" w:eastAsia="仿宋" w:cs="Times New Roman"/>
                <w:color w:val="auto"/>
                <w:sz w:val="24"/>
                <w:szCs w:val="24"/>
                <w:highlight w:val="none"/>
                <w:lang w:val="en-US" w:eastAsia="zh-CN"/>
              </w:rPr>
            </w:pPr>
            <w:r>
              <w:rPr>
                <w:rFonts w:hint="default" w:ascii="仿宋" w:hAnsi="仿宋" w:eastAsia="仿宋" w:cs="Times New Roman"/>
                <w:color w:val="auto"/>
                <w:sz w:val="24"/>
                <w:szCs w:val="24"/>
                <w:highlight w:val="none"/>
                <w:lang w:val="en-US" w:eastAsia="zh-CN"/>
              </w:rPr>
              <w:t>4.代理机构账号信息：</w:t>
            </w:r>
          </w:p>
          <w:p w14:paraId="5203FADC">
            <w:pPr>
              <w:pageBreakBefore w:val="0"/>
              <w:widowControl w:val="0"/>
              <w:numPr>
                <w:ilvl w:val="0"/>
                <w:numId w:val="0"/>
              </w:numPr>
              <w:kinsoku/>
              <w:wordWrap/>
              <w:overflowPunct/>
              <w:topLinePunct w:val="0"/>
              <w:bidi w:val="0"/>
              <w:snapToGrid/>
              <w:spacing w:line="480" w:lineRule="exact"/>
              <w:textAlignment w:val="auto"/>
              <w:rPr>
                <w:rFonts w:hint="default" w:ascii="仿宋" w:hAnsi="仿宋" w:eastAsia="仿宋" w:cs="Times New Roman"/>
                <w:color w:val="auto"/>
                <w:sz w:val="24"/>
                <w:szCs w:val="24"/>
                <w:highlight w:val="none"/>
                <w:lang w:val="en-US" w:eastAsia="zh-CN"/>
              </w:rPr>
            </w:pPr>
            <w:r>
              <w:rPr>
                <w:rFonts w:hint="default" w:ascii="仿宋" w:hAnsi="仿宋" w:eastAsia="仿宋" w:cs="Times New Roman"/>
                <w:color w:val="auto"/>
                <w:sz w:val="24"/>
                <w:szCs w:val="24"/>
                <w:highlight w:val="none"/>
                <w:lang w:val="en-US" w:eastAsia="zh-CN"/>
              </w:rPr>
              <w:t>户  名：云南咫尺招标咨询有限公司</w:t>
            </w:r>
          </w:p>
          <w:p w14:paraId="7E1D1169">
            <w:pPr>
              <w:pageBreakBefore w:val="0"/>
              <w:widowControl w:val="0"/>
              <w:numPr>
                <w:ilvl w:val="0"/>
                <w:numId w:val="0"/>
              </w:numPr>
              <w:kinsoku/>
              <w:wordWrap/>
              <w:overflowPunct/>
              <w:topLinePunct w:val="0"/>
              <w:bidi w:val="0"/>
              <w:snapToGrid/>
              <w:spacing w:line="480" w:lineRule="exact"/>
              <w:textAlignment w:val="auto"/>
              <w:rPr>
                <w:rFonts w:hint="default" w:ascii="仿宋" w:hAnsi="仿宋" w:eastAsia="仿宋" w:cs="Times New Roman"/>
                <w:color w:val="auto"/>
                <w:sz w:val="24"/>
                <w:szCs w:val="24"/>
                <w:highlight w:val="none"/>
                <w:lang w:val="en-US" w:eastAsia="zh-CN"/>
              </w:rPr>
            </w:pPr>
            <w:r>
              <w:rPr>
                <w:rFonts w:hint="default" w:ascii="仿宋" w:hAnsi="仿宋" w:eastAsia="仿宋" w:cs="Times New Roman"/>
                <w:color w:val="auto"/>
                <w:sz w:val="24"/>
                <w:szCs w:val="24"/>
                <w:highlight w:val="none"/>
                <w:lang w:val="en-US" w:eastAsia="zh-CN"/>
              </w:rPr>
              <w:t>开户行：中国工商银行股份有限公司大理振兴支行</w:t>
            </w:r>
          </w:p>
          <w:p w14:paraId="6000CF77">
            <w:pPr>
              <w:pageBreakBefore w:val="0"/>
              <w:widowControl w:val="0"/>
              <w:numPr>
                <w:ilvl w:val="0"/>
                <w:numId w:val="0"/>
              </w:numPr>
              <w:kinsoku/>
              <w:wordWrap/>
              <w:overflowPunct/>
              <w:topLinePunct w:val="0"/>
              <w:bidi w:val="0"/>
              <w:snapToGrid/>
              <w:spacing w:line="480" w:lineRule="exact"/>
              <w:textAlignment w:val="auto"/>
              <w:rPr>
                <w:rFonts w:hint="eastAsia" w:ascii="仿宋" w:hAnsi="仿宋" w:eastAsia="仿宋" w:cs="仿宋"/>
                <w:b/>
                <w:color w:val="auto"/>
                <w:sz w:val="24"/>
                <w:szCs w:val="24"/>
                <w:highlight w:val="none"/>
                <w:lang w:eastAsia="zh-CN"/>
              </w:rPr>
            </w:pPr>
            <w:r>
              <w:rPr>
                <w:rFonts w:hint="default" w:ascii="仿宋" w:hAnsi="仿宋" w:eastAsia="仿宋" w:cs="Times New Roman"/>
                <w:color w:val="auto"/>
                <w:sz w:val="24"/>
                <w:szCs w:val="24"/>
                <w:highlight w:val="none"/>
                <w:lang w:val="en-US" w:eastAsia="zh-CN"/>
              </w:rPr>
              <w:t>账  号：2515 0298 0920 0046 828</w:t>
            </w:r>
          </w:p>
        </w:tc>
      </w:tr>
      <w:tr w14:paraId="33825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113" w:type="dxa"/>
            <w:vAlign w:val="center"/>
          </w:tcPr>
          <w:p w14:paraId="7CDEDE59">
            <w:pPr>
              <w:pStyle w:val="22"/>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32</w:t>
            </w:r>
          </w:p>
        </w:tc>
        <w:tc>
          <w:tcPr>
            <w:tcW w:w="1773" w:type="dxa"/>
            <w:vAlign w:val="center"/>
          </w:tcPr>
          <w:p w14:paraId="5CD8179E">
            <w:pPr>
              <w:pStyle w:val="22"/>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履约保证金</w:t>
            </w:r>
          </w:p>
        </w:tc>
        <w:tc>
          <w:tcPr>
            <w:tcW w:w="7324" w:type="dxa"/>
            <w:vAlign w:val="center"/>
          </w:tcPr>
          <w:p w14:paraId="3C568A37">
            <w:pPr>
              <w:pageBreakBefore w:val="0"/>
              <w:kinsoku/>
              <w:overflowPunct/>
              <w:topLinePunct w:val="0"/>
              <w:bidi w:val="0"/>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是否要求中标人提交履约保证金：</w:t>
            </w:r>
          </w:p>
          <w:p w14:paraId="11430925">
            <w:pPr>
              <w:pStyle w:val="22"/>
              <w:pageBreakBefore w:val="0"/>
              <w:kinsoku/>
              <w:overflowPunct/>
              <w:topLinePunct w:val="0"/>
              <w:bidi w:val="0"/>
              <w:spacing w:line="360" w:lineRule="auto"/>
              <w:jc w:val="both"/>
              <w:rPr>
                <w:rFonts w:hint="eastAsia" w:ascii="仿宋" w:hAnsi="仿宋" w:eastAsia="仿宋" w:cs="仿宋"/>
                <w:color w:val="auto"/>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AUTOTEXT  input126 \* MERGEFORMAT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lang w:eastAsia="zh-CN"/>
              </w:rPr>
              <w:t>不</w:t>
            </w:r>
            <w:r>
              <w:rPr>
                <w:rFonts w:hint="eastAsia" w:ascii="仿宋" w:hAnsi="仿宋" w:eastAsia="仿宋" w:cs="仿宋"/>
                <w:color w:val="auto"/>
                <w:sz w:val="24"/>
                <w:szCs w:val="24"/>
                <w:highlight w:val="none"/>
                <w:lang w:val="en-US" w:eastAsia="zh-CN"/>
              </w:rPr>
              <w:t>要求，</w:t>
            </w:r>
          </w:p>
          <w:p w14:paraId="27F78A08">
            <w:pPr>
              <w:pStyle w:val="22"/>
              <w:spacing w:line="360" w:lineRule="auto"/>
              <w:rPr>
                <w:rFonts w:hint="eastAsia" w:ascii="仿宋" w:hAnsi="仿宋" w:eastAsia="仿宋" w:cs="仿宋"/>
                <w:color w:val="auto"/>
                <w:sz w:val="24"/>
                <w:szCs w:val="24"/>
                <w:highlight w:val="none"/>
                <w:lang w:val="en-US" w:eastAsia="zh-CN"/>
              </w:rPr>
            </w:pPr>
            <w:bookmarkStart w:id="110" w:name="OLE_LINK4"/>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AUTOTEXT  input126 \* MERGEFORMAT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lang w:val="en-US" w:eastAsia="zh-CN"/>
              </w:rPr>
              <w:t>要求，</w:t>
            </w:r>
            <w:bookmarkEnd w:id="110"/>
          </w:p>
          <w:p w14:paraId="2209487C">
            <w:pPr>
              <w:spacing w:line="360" w:lineRule="auto"/>
              <w:rPr>
                <w:rFonts w:hint="eastAsia" w:ascii="仿宋" w:hAnsi="仿宋" w:eastAsia="仿宋" w:cs="Times New Roman"/>
                <w:color w:val="auto"/>
                <w:sz w:val="24"/>
                <w:szCs w:val="24"/>
                <w:highlight w:val="none"/>
              </w:rPr>
            </w:pPr>
            <w:r>
              <w:rPr>
                <w:rFonts w:hint="eastAsia" w:ascii="仿宋" w:hAnsi="仿宋" w:eastAsia="仿宋"/>
                <w:color w:val="auto"/>
                <w:sz w:val="24"/>
                <w:szCs w:val="24"/>
                <w:highlight w:val="none"/>
              </w:rPr>
              <w:t>1.履</w:t>
            </w:r>
            <w:r>
              <w:rPr>
                <w:rFonts w:hint="eastAsia" w:ascii="仿宋" w:hAnsi="仿宋" w:eastAsia="仿宋" w:cs="Times New Roman"/>
                <w:color w:val="auto"/>
                <w:sz w:val="24"/>
                <w:szCs w:val="24"/>
                <w:highlight w:val="none"/>
              </w:rPr>
              <w:t>约保证金递交的形式：支票、汇票、本票</w:t>
            </w:r>
            <w:r>
              <w:rPr>
                <w:rFonts w:hint="eastAsia" w:ascii="仿宋" w:hAnsi="仿宋" w:eastAsia="仿宋" w:cs="Times New Roman"/>
                <w:color w:val="auto"/>
                <w:sz w:val="24"/>
                <w:szCs w:val="24"/>
                <w:highlight w:val="none"/>
                <w:lang w:eastAsia="zh-CN"/>
              </w:rPr>
              <w:t>、转账</w:t>
            </w:r>
            <w:r>
              <w:rPr>
                <w:rFonts w:hint="eastAsia" w:ascii="仿宋" w:hAnsi="仿宋" w:eastAsia="仿宋" w:cs="Times New Roman"/>
                <w:color w:val="auto"/>
                <w:sz w:val="24"/>
                <w:szCs w:val="24"/>
                <w:highlight w:val="none"/>
              </w:rPr>
              <w:t>或者金融机构、担保机构出具的保函等非现金形式提交；</w:t>
            </w:r>
          </w:p>
          <w:p w14:paraId="78FB2A4B">
            <w:pPr>
              <w:spacing w:line="360" w:lineRule="auto"/>
              <w:rPr>
                <w:rFonts w:hint="eastAsia" w:ascii="仿宋" w:hAnsi="仿宋" w:eastAsia="仿宋"/>
                <w:color w:val="auto"/>
                <w:sz w:val="24"/>
                <w:szCs w:val="24"/>
                <w:highlight w:val="none"/>
                <w:lang w:eastAsia="zh-CN"/>
              </w:rPr>
            </w:pPr>
            <w:r>
              <w:rPr>
                <w:rFonts w:hint="eastAsia" w:ascii="仿宋" w:hAnsi="仿宋" w:eastAsia="仿宋" w:cs="Times New Roman"/>
                <w:color w:val="auto"/>
                <w:sz w:val="24"/>
                <w:szCs w:val="24"/>
                <w:highlight w:val="none"/>
              </w:rPr>
              <w:t>2.履约保证金金额：中标</w:t>
            </w:r>
            <w:r>
              <w:rPr>
                <w:rFonts w:hint="eastAsia" w:ascii="仿宋" w:hAnsi="仿宋" w:eastAsia="仿宋" w:cs="Times New Roman"/>
                <w:color w:val="auto"/>
                <w:sz w:val="24"/>
                <w:szCs w:val="24"/>
                <w:highlight w:val="none"/>
                <w:lang w:eastAsia="zh-CN"/>
              </w:rPr>
              <w:t>人</w:t>
            </w:r>
            <w:r>
              <w:rPr>
                <w:rFonts w:hint="eastAsia" w:ascii="仿宋" w:hAnsi="仿宋" w:eastAsia="仿宋" w:cs="Times New Roman"/>
                <w:color w:val="auto"/>
                <w:sz w:val="24"/>
                <w:szCs w:val="24"/>
                <w:highlight w:val="none"/>
              </w:rPr>
              <w:t>在合同签订后7个工作日内，向采购人支付合同总价的</w:t>
            </w:r>
            <w:r>
              <w:rPr>
                <w:rFonts w:hint="eastAsia" w:ascii="仿宋" w:hAnsi="仿宋" w:eastAsia="仿宋" w:cs="Times New Roman"/>
                <w:color w:val="auto"/>
                <w:sz w:val="24"/>
                <w:szCs w:val="24"/>
                <w:highlight w:val="none"/>
                <w:lang w:val="en-US" w:eastAsia="zh-CN"/>
              </w:rPr>
              <w:t>5</w:t>
            </w:r>
            <w:r>
              <w:rPr>
                <w:rFonts w:hint="eastAsia" w:ascii="仿宋" w:hAnsi="仿宋" w:eastAsia="仿宋" w:cs="Times New Roman"/>
                <w:color w:val="auto"/>
                <w:sz w:val="24"/>
                <w:szCs w:val="24"/>
                <w:highlight w:val="none"/>
              </w:rPr>
              <w:t>%作为履约保证金</w:t>
            </w:r>
            <w:r>
              <w:rPr>
                <w:rFonts w:hint="eastAsia" w:ascii="仿宋" w:hAnsi="仿宋" w:eastAsia="仿宋" w:cs="Times New Roman"/>
                <w:color w:val="auto"/>
                <w:sz w:val="24"/>
                <w:szCs w:val="24"/>
                <w:highlight w:val="none"/>
                <w:lang w:eastAsia="zh-CN"/>
              </w:rPr>
              <w:t>。</w:t>
            </w:r>
          </w:p>
        </w:tc>
      </w:tr>
      <w:tr w14:paraId="0382F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113" w:type="dxa"/>
            <w:vAlign w:val="center"/>
          </w:tcPr>
          <w:p w14:paraId="7B80D82C">
            <w:pPr>
              <w:pStyle w:val="22"/>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33</w:t>
            </w:r>
          </w:p>
        </w:tc>
        <w:tc>
          <w:tcPr>
            <w:tcW w:w="1773" w:type="dxa"/>
            <w:vAlign w:val="center"/>
          </w:tcPr>
          <w:p w14:paraId="454F4FC8">
            <w:pPr>
              <w:pageBreakBefore w:val="0"/>
              <w:widowControl w:val="0"/>
              <w:numPr>
                <w:ilvl w:val="0"/>
                <w:numId w:val="0"/>
              </w:numPr>
              <w:kinsoku/>
              <w:wordWrap/>
              <w:overflowPunct/>
              <w:topLinePunct w:val="0"/>
              <w:bidi w:val="0"/>
              <w:snapToGrid/>
              <w:spacing w:line="480" w:lineRule="exact"/>
              <w:jc w:val="center"/>
              <w:textAlignment w:val="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▲备品备件</w:t>
            </w:r>
          </w:p>
          <w:p w14:paraId="7BDE62EE">
            <w:pPr>
              <w:pageBreakBefore w:val="0"/>
              <w:widowControl w:val="0"/>
              <w:numPr>
                <w:ilvl w:val="0"/>
                <w:numId w:val="0"/>
              </w:numPr>
              <w:kinsoku/>
              <w:wordWrap/>
              <w:overflowPunct/>
              <w:topLinePunct w:val="0"/>
              <w:bidi w:val="0"/>
              <w:snapToGrid/>
              <w:spacing w:line="480" w:lineRule="exact"/>
              <w:jc w:val="center"/>
              <w:textAlignment w:val="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要求</w:t>
            </w:r>
          </w:p>
        </w:tc>
        <w:tc>
          <w:tcPr>
            <w:tcW w:w="7324" w:type="dxa"/>
            <w:vAlign w:val="center"/>
          </w:tcPr>
          <w:p w14:paraId="059B9185">
            <w:pPr>
              <w:pageBreakBefore w:val="0"/>
              <w:widowControl w:val="0"/>
              <w:numPr>
                <w:ilvl w:val="0"/>
                <w:numId w:val="0"/>
              </w:numPr>
              <w:kinsoku/>
              <w:wordWrap/>
              <w:overflowPunct/>
              <w:topLinePunct w:val="0"/>
              <w:bidi w:val="0"/>
              <w:snapToGrid/>
              <w:spacing w:line="480" w:lineRule="exact"/>
              <w:textAlignment w:val="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sym w:font="Wingdings" w:char="00A8"/>
            </w:r>
            <w:r>
              <w:rPr>
                <w:rFonts w:hint="eastAsia" w:ascii="仿宋" w:hAnsi="仿宋" w:eastAsia="仿宋" w:cs="Times New Roman"/>
                <w:color w:val="auto"/>
                <w:sz w:val="24"/>
                <w:szCs w:val="24"/>
                <w:highlight w:val="none"/>
                <w:lang w:val="en-US" w:eastAsia="zh-CN"/>
              </w:rPr>
              <w:t>不包含在投标报价中</w:t>
            </w:r>
          </w:p>
          <w:p w14:paraId="2270E304">
            <w:pPr>
              <w:pageBreakBefore w:val="0"/>
              <w:widowControl w:val="0"/>
              <w:numPr>
                <w:ilvl w:val="0"/>
                <w:numId w:val="0"/>
              </w:numPr>
              <w:kinsoku/>
              <w:wordWrap/>
              <w:overflowPunct/>
              <w:topLinePunct w:val="0"/>
              <w:bidi w:val="0"/>
              <w:snapToGrid/>
              <w:spacing w:line="480" w:lineRule="exact"/>
              <w:textAlignment w:val="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sym w:font="Wingdings" w:char="00FE"/>
            </w:r>
            <w:r>
              <w:rPr>
                <w:rFonts w:hint="eastAsia" w:ascii="仿宋" w:hAnsi="仿宋" w:eastAsia="仿宋" w:cs="Times New Roman"/>
                <w:color w:val="auto"/>
                <w:sz w:val="24"/>
                <w:szCs w:val="24"/>
                <w:highlight w:val="none"/>
                <w:lang w:val="en-US" w:eastAsia="zh-CN"/>
              </w:rPr>
              <w:t>包含在投标报价中</w:t>
            </w:r>
          </w:p>
          <w:p w14:paraId="58ED6E53">
            <w:pPr>
              <w:pageBreakBefore w:val="0"/>
              <w:widowControl w:val="0"/>
              <w:numPr>
                <w:ilvl w:val="0"/>
                <w:numId w:val="0"/>
              </w:numPr>
              <w:kinsoku/>
              <w:wordWrap/>
              <w:overflowPunct/>
              <w:topLinePunct w:val="0"/>
              <w:bidi w:val="0"/>
              <w:snapToGrid/>
              <w:spacing w:line="480" w:lineRule="exact"/>
              <w:textAlignment w:val="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注：投标人提供的备品备件的质量需符合相关行业标准和技术规范，其性能应不低于主设备所使用的原装部件。需保证备品备件的充足库存，能够在接到采购人需求后的合理时间内及时供应，以确保设备的正常运行和维修需求。在质保期内，投标人应免费提供因质量问题导致损坏的备品备件更换服务。超出质保期后，投标人应以优惠的价格继续为采购人提供备品备件，并提供长期的技术支持和售后服务。此外，备品备件的包装应符合防潮、防震、防锈等要求，以确保在运输和储存过程中不受损坏。</w:t>
            </w:r>
          </w:p>
        </w:tc>
      </w:tr>
      <w:tr w14:paraId="7C431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113" w:type="dxa"/>
            <w:vAlign w:val="center"/>
          </w:tcPr>
          <w:p w14:paraId="7F549FDC">
            <w:pPr>
              <w:pStyle w:val="22"/>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34</w:t>
            </w:r>
          </w:p>
        </w:tc>
        <w:tc>
          <w:tcPr>
            <w:tcW w:w="1773" w:type="dxa"/>
            <w:vAlign w:val="center"/>
          </w:tcPr>
          <w:p w14:paraId="36A8A5D4">
            <w:pPr>
              <w:adjustRightInd w:val="0"/>
              <w:snapToGrid w:val="0"/>
              <w:spacing w:line="360" w:lineRule="auto"/>
              <w:jc w:val="center"/>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其他要求</w:t>
            </w:r>
          </w:p>
        </w:tc>
        <w:tc>
          <w:tcPr>
            <w:tcW w:w="7324" w:type="dxa"/>
            <w:vAlign w:val="center"/>
          </w:tcPr>
          <w:p w14:paraId="366D97A5">
            <w:pPr>
              <w:spacing w:line="360" w:lineRule="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采购代理机构将依托电子交易平台发起开始解密指令，投标人的法定代表人或其委托代理人须携带加密时所用的CA锁按平台提示和</w:t>
            </w:r>
            <w:r>
              <w:rPr>
                <w:rFonts w:hint="eastAsia" w:ascii="仿宋" w:hAnsi="仿宋" w:eastAsia="仿宋" w:cs="仿宋"/>
                <w:b/>
                <w:bCs/>
                <w:color w:val="auto"/>
                <w:sz w:val="24"/>
                <w:szCs w:val="24"/>
                <w:highlight w:val="none"/>
                <w:lang w:eastAsia="zh-CN"/>
              </w:rPr>
              <w:t>招标文件</w:t>
            </w:r>
            <w:r>
              <w:rPr>
                <w:rFonts w:hint="eastAsia" w:ascii="仿宋" w:hAnsi="仿宋" w:eastAsia="仿宋" w:cs="仿宋"/>
                <w:b/>
                <w:bCs/>
                <w:color w:val="auto"/>
                <w:sz w:val="24"/>
                <w:szCs w:val="24"/>
                <w:highlight w:val="none"/>
              </w:rPr>
              <w:t>的规定登录到“政采云”平台电子开标大厅签到并在发起解密指令之时起</w:t>
            </w:r>
            <w:r>
              <w:rPr>
                <w:rFonts w:hint="eastAsia" w:ascii="仿宋" w:hAnsi="仿宋" w:eastAsia="仿宋" w:cs="仿宋"/>
                <w:b/>
                <w:bCs/>
                <w:color w:val="auto"/>
                <w:sz w:val="24"/>
                <w:szCs w:val="24"/>
                <w:highlight w:val="none"/>
                <w:lang w:val="en-US" w:eastAsia="zh-CN"/>
              </w:rPr>
              <w:t>60</w:t>
            </w:r>
            <w:r>
              <w:rPr>
                <w:rFonts w:hint="eastAsia" w:ascii="仿宋" w:hAnsi="仿宋" w:eastAsia="仿宋" w:cs="仿宋"/>
                <w:b/>
                <w:bCs/>
                <w:color w:val="auto"/>
                <w:sz w:val="24"/>
                <w:szCs w:val="24"/>
                <w:highlight w:val="none"/>
              </w:rPr>
              <w:t>分钟内完成对电子</w:t>
            </w:r>
            <w:r>
              <w:rPr>
                <w:rFonts w:hint="eastAsia" w:ascii="仿宋" w:hAnsi="仿宋" w:eastAsia="仿宋" w:cs="仿宋"/>
                <w:b/>
                <w:bCs/>
                <w:color w:val="auto"/>
                <w:sz w:val="24"/>
                <w:szCs w:val="24"/>
                <w:highlight w:val="none"/>
                <w:lang w:eastAsia="zh-CN"/>
              </w:rPr>
              <w:t>投标文件</w:t>
            </w:r>
            <w:r>
              <w:rPr>
                <w:rFonts w:hint="eastAsia" w:ascii="仿宋" w:hAnsi="仿宋" w:eastAsia="仿宋" w:cs="仿宋"/>
                <w:b/>
                <w:bCs/>
                <w:color w:val="auto"/>
                <w:sz w:val="24"/>
                <w:szCs w:val="24"/>
                <w:highlight w:val="none"/>
              </w:rPr>
              <w:t>在线解密。</w:t>
            </w:r>
            <w:r>
              <w:rPr>
                <w:rFonts w:hint="eastAsia" w:ascii="仿宋" w:hAnsi="仿宋" w:eastAsia="仿宋" w:cs="仿宋"/>
                <w:b/>
                <w:bCs/>
                <w:color w:val="auto"/>
                <w:sz w:val="24"/>
                <w:szCs w:val="24"/>
                <w:highlight w:val="none"/>
                <w:lang w:eastAsia="zh-CN"/>
              </w:rPr>
              <w:t>投标文件</w:t>
            </w:r>
            <w:r>
              <w:rPr>
                <w:rFonts w:hint="eastAsia" w:ascii="仿宋" w:hAnsi="仿宋" w:eastAsia="仿宋" w:cs="仿宋"/>
                <w:b/>
                <w:bCs/>
                <w:color w:val="auto"/>
                <w:sz w:val="24"/>
                <w:szCs w:val="24"/>
                <w:highlight w:val="none"/>
              </w:rPr>
              <w:t>未按时解密的，视为</w:t>
            </w:r>
            <w:r>
              <w:rPr>
                <w:rFonts w:hint="eastAsia" w:ascii="仿宋" w:hAnsi="仿宋" w:eastAsia="仿宋" w:cs="仿宋"/>
                <w:b/>
                <w:bCs/>
                <w:color w:val="auto"/>
                <w:sz w:val="24"/>
                <w:szCs w:val="24"/>
                <w:highlight w:val="none"/>
                <w:lang w:eastAsia="zh-CN"/>
              </w:rPr>
              <w:t>投标文件</w:t>
            </w:r>
            <w:r>
              <w:rPr>
                <w:rFonts w:hint="eastAsia" w:ascii="仿宋" w:hAnsi="仿宋" w:eastAsia="仿宋" w:cs="仿宋"/>
                <w:b/>
                <w:bCs/>
                <w:color w:val="auto"/>
                <w:sz w:val="24"/>
                <w:szCs w:val="24"/>
                <w:highlight w:val="none"/>
              </w:rPr>
              <w:t>无效。</w:t>
            </w:r>
          </w:p>
        </w:tc>
      </w:tr>
      <w:tr w14:paraId="45C45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3" w:type="dxa"/>
            <w:shd w:val="clear" w:color="auto" w:fill="auto"/>
            <w:vAlign w:val="center"/>
          </w:tcPr>
          <w:p w14:paraId="102BE43E">
            <w:pPr>
              <w:pStyle w:val="22"/>
              <w:spacing w:line="360" w:lineRule="auto"/>
              <w:jc w:val="center"/>
              <w:rPr>
                <w:rFonts w:hint="default" w:ascii="仿宋" w:hAnsi="仿宋" w:eastAsia="仿宋" w:cs="仿宋"/>
                <w:color w:val="auto"/>
                <w:sz w:val="24"/>
                <w:szCs w:val="24"/>
                <w:highlight w:val="none"/>
                <w:lang w:val="en-US" w:eastAsia="zh-CN"/>
              </w:rPr>
            </w:pPr>
            <w:bookmarkStart w:id="111" w:name="_Toc393354830"/>
            <w:bookmarkStart w:id="112" w:name="_Toc475291680"/>
            <w:r>
              <w:rPr>
                <w:rFonts w:hint="eastAsia" w:ascii="仿宋" w:hAnsi="仿宋" w:eastAsia="仿宋" w:cs="仿宋"/>
                <w:color w:val="auto"/>
                <w:sz w:val="24"/>
                <w:szCs w:val="24"/>
                <w:highlight w:val="none"/>
                <w:lang w:val="en-US" w:eastAsia="zh-CN"/>
              </w:rPr>
              <w:t>35</w:t>
            </w:r>
          </w:p>
        </w:tc>
        <w:tc>
          <w:tcPr>
            <w:tcW w:w="1773" w:type="dxa"/>
            <w:shd w:val="clear" w:color="auto" w:fill="auto"/>
            <w:vAlign w:val="center"/>
          </w:tcPr>
          <w:p w14:paraId="56B7F65B">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中小企业合同融资</w:t>
            </w:r>
          </w:p>
        </w:tc>
        <w:tc>
          <w:tcPr>
            <w:tcW w:w="7324" w:type="dxa"/>
            <w:shd w:val="clear" w:color="auto" w:fill="auto"/>
            <w:vAlign w:val="center"/>
          </w:tcPr>
          <w:p w14:paraId="6B6D83F5">
            <w:pPr>
              <w:pStyle w:val="22"/>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为支持和促进中小企业发展，进一步发挥政府采购政策功能，大理州财政局与中国人民银行大理州中心支行共同出台了《大理州支持中小微企业政府采购合同质押融资试行方案》（大财采〔2023〕5号）。</w:t>
            </w:r>
          </w:p>
          <w:p w14:paraId="687222B1">
            <w:pPr>
              <w:pStyle w:val="22"/>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中标（成交）中小企业若有融资意向，请登录“云南省政府采购网（大理分网）</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政策法规栏目”下查看融资政策文件及操作手册，登录“中征应收账款融资服务平台”按照操作手册流程登记融资意向或查看各相关银行服务方案。</w:t>
            </w:r>
          </w:p>
          <w:p w14:paraId="3304FAD5">
            <w:pPr>
              <w:pStyle w:val="22"/>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“云南省政府采购网（大理分网）</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政策法规栏目”网址：http://zs.yngp.com/login.do?method=beginlogin&amp;districts=532900“中征应收账款融资服务平台”网址：https://www.crcrfsp.com</w:t>
            </w:r>
          </w:p>
        </w:tc>
      </w:tr>
      <w:tr w14:paraId="1ED24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3" w:type="dxa"/>
            <w:shd w:val="clear" w:color="auto" w:fill="auto"/>
            <w:vAlign w:val="center"/>
          </w:tcPr>
          <w:p w14:paraId="56E6965A">
            <w:pPr>
              <w:pStyle w:val="22"/>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36</w:t>
            </w:r>
          </w:p>
        </w:tc>
        <w:tc>
          <w:tcPr>
            <w:tcW w:w="1773" w:type="dxa"/>
            <w:shd w:val="clear" w:color="auto" w:fill="auto"/>
            <w:vAlign w:val="center"/>
          </w:tcPr>
          <w:p w14:paraId="25B4B897">
            <w:pPr>
              <w:pStyle w:val="22"/>
              <w:jc w:val="center"/>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节能产品与环境标志产品</w:t>
            </w:r>
          </w:p>
        </w:tc>
        <w:tc>
          <w:tcPr>
            <w:tcW w:w="7324" w:type="dxa"/>
            <w:shd w:val="clear" w:color="auto" w:fill="auto"/>
            <w:vAlign w:val="center"/>
          </w:tcPr>
          <w:p w14:paraId="1F1F8675">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仿宋" w:hAnsi="仿宋" w:eastAsia="仿宋" w:cs="仿宋"/>
                <w:i w:val="0"/>
                <w:iCs w:val="0"/>
                <w:color w:val="auto"/>
                <w:sz w:val="24"/>
                <w:szCs w:val="24"/>
                <w:highlight w:val="none"/>
              </w:rPr>
            </w:pPr>
            <w:r>
              <w:rPr>
                <w:rFonts w:hint="eastAsia" w:ascii="仿宋" w:hAnsi="仿宋" w:eastAsia="仿宋" w:cs="仿宋"/>
                <w:b/>
                <w:bCs/>
                <w:i w:val="0"/>
                <w:iCs w:val="0"/>
                <w:color w:val="auto"/>
                <w:sz w:val="24"/>
                <w:szCs w:val="24"/>
                <w:highlight w:val="none"/>
              </w:rPr>
              <w:t>节能产品</w:t>
            </w:r>
            <w:r>
              <w:rPr>
                <w:rFonts w:hint="eastAsia" w:ascii="仿宋" w:hAnsi="仿宋" w:eastAsia="仿宋" w:cs="仿宋"/>
                <w:i w:val="0"/>
                <w:iCs w:val="0"/>
                <w:color w:val="auto"/>
                <w:sz w:val="24"/>
                <w:szCs w:val="24"/>
                <w:highlight w:val="none"/>
              </w:rPr>
              <w:t>是指列入财政部和</w:t>
            </w:r>
            <w:r>
              <w:rPr>
                <w:rFonts w:hint="eastAsia" w:ascii="仿宋" w:hAnsi="仿宋" w:eastAsia="仿宋" w:cs="仿宋"/>
                <w:i w:val="0"/>
                <w:iCs w:val="0"/>
                <w:color w:val="auto"/>
                <w:sz w:val="24"/>
                <w:szCs w:val="24"/>
                <w:highlight w:val="none"/>
                <w:lang w:eastAsia="zh-CN"/>
              </w:rPr>
              <w:t>国家发展改革委</w:t>
            </w:r>
            <w:r>
              <w:rPr>
                <w:rFonts w:hint="eastAsia" w:ascii="仿宋" w:hAnsi="仿宋" w:eastAsia="仿宋" w:cs="仿宋"/>
                <w:i w:val="0"/>
                <w:iCs w:val="0"/>
                <w:color w:val="auto"/>
                <w:sz w:val="24"/>
                <w:szCs w:val="24"/>
                <w:highlight w:val="none"/>
              </w:rPr>
              <w:t>公布的、在最新一期有效期内的《节能产品政府采购</w:t>
            </w:r>
            <w:r>
              <w:rPr>
                <w:rFonts w:hint="eastAsia" w:ascii="仿宋" w:hAnsi="仿宋" w:eastAsia="仿宋" w:cs="仿宋"/>
                <w:i w:val="0"/>
                <w:iCs w:val="0"/>
                <w:color w:val="auto"/>
                <w:sz w:val="24"/>
                <w:szCs w:val="24"/>
                <w:highlight w:val="none"/>
                <w:lang w:eastAsia="zh-CN"/>
              </w:rPr>
              <w:t>品目</w:t>
            </w:r>
            <w:r>
              <w:rPr>
                <w:rFonts w:hint="eastAsia" w:ascii="仿宋" w:hAnsi="仿宋" w:eastAsia="仿宋" w:cs="仿宋"/>
                <w:i w:val="0"/>
                <w:iCs w:val="0"/>
                <w:color w:val="auto"/>
                <w:sz w:val="24"/>
                <w:szCs w:val="24"/>
                <w:highlight w:val="none"/>
              </w:rPr>
              <w:t>清单》中的货物，需对应到“节能清单”中所列的型号/系列。政府强制采购节能产品是指“节能清单”中以“★”标注类别的产品。</w:t>
            </w:r>
          </w:p>
          <w:p w14:paraId="13509D21">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仿宋" w:hAnsi="仿宋" w:eastAsia="仿宋" w:cs="仿宋"/>
                <w:i w:val="0"/>
                <w:iCs w:val="0"/>
                <w:color w:val="auto"/>
                <w:sz w:val="24"/>
                <w:szCs w:val="24"/>
                <w:highlight w:val="none"/>
              </w:rPr>
            </w:pPr>
            <w:r>
              <w:rPr>
                <w:rFonts w:hint="eastAsia" w:ascii="仿宋" w:hAnsi="仿宋" w:eastAsia="仿宋" w:cs="仿宋"/>
                <w:b/>
                <w:bCs/>
                <w:i w:val="0"/>
                <w:iCs w:val="0"/>
                <w:color w:val="auto"/>
                <w:sz w:val="24"/>
                <w:szCs w:val="24"/>
                <w:highlight w:val="none"/>
              </w:rPr>
              <w:t>环境标志产品</w:t>
            </w:r>
            <w:r>
              <w:rPr>
                <w:rFonts w:hint="eastAsia" w:ascii="仿宋" w:hAnsi="仿宋" w:eastAsia="仿宋" w:cs="仿宋"/>
                <w:i w:val="0"/>
                <w:iCs w:val="0"/>
                <w:color w:val="auto"/>
                <w:sz w:val="24"/>
                <w:szCs w:val="24"/>
                <w:highlight w:val="none"/>
              </w:rPr>
              <w:t>是指列入财政部、原环保总局公布的、在有效期内的“环境标志产品政府采购清单”中的货物。最新一期“节能清单”可通过中国政府采购网（http://www.ccgp.gov.cn/）、国家发展改革委网站（http://hzs.ndrc.gov.cn/）查阅、下载；当期“环境标志产品政府采购</w:t>
            </w:r>
            <w:r>
              <w:rPr>
                <w:rFonts w:hint="eastAsia" w:ascii="仿宋" w:hAnsi="仿宋" w:eastAsia="仿宋" w:cs="仿宋"/>
                <w:i w:val="0"/>
                <w:iCs w:val="0"/>
                <w:color w:val="auto"/>
                <w:sz w:val="24"/>
                <w:szCs w:val="24"/>
                <w:highlight w:val="none"/>
                <w:lang w:eastAsia="zh-CN"/>
              </w:rPr>
              <w:t>品目</w:t>
            </w:r>
            <w:r>
              <w:rPr>
                <w:rFonts w:hint="eastAsia" w:ascii="仿宋" w:hAnsi="仿宋" w:eastAsia="仿宋" w:cs="仿宋"/>
                <w:i w:val="0"/>
                <w:iCs w:val="0"/>
                <w:color w:val="auto"/>
                <w:sz w:val="24"/>
                <w:szCs w:val="24"/>
                <w:highlight w:val="none"/>
              </w:rPr>
              <w:t>清单” 可通过中国政府采购网（http://www.ccgp.gov.cn/）、国家环境保护（http://www.sepa.gov.cn/）查阅、下载。</w:t>
            </w:r>
          </w:p>
          <w:p w14:paraId="2FEB1CE6">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i w:val="0"/>
                <w:iCs w:val="0"/>
                <w:color w:val="auto"/>
                <w:sz w:val="24"/>
                <w:szCs w:val="24"/>
                <w:highlight w:val="none"/>
                <w:lang w:eastAsia="zh-CN"/>
              </w:rPr>
              <w:t>投标人</w:t>
            </w:r>
            <w:r>
              <w:rPr>
                <w:rFonts w:hint="eastAsia" w:ascii="仿宋" w:hAnsi="仿宋" w:eastAsia="仿宋" w:cs="仿宋"/>
                <w:i w:val="0"/>
                <w:iCs w:val="0"/>
                <w:color w:val="auto"/>
                <w:sz w:val="24"/>
                <w:szCs w:val="24"/>
                <w:highlight w:val="none"/>
              </w:rPr>
              <w:t>除提供以上证明材料外，另可提供所投产品关于节能与环保的其他有效证明材料，由评标委员会评审。</w:t>
            </w:r>
          </w:p>
        </w:tc>
      </w:tr>
      <w:tr w14:paraId="34A42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3" w:type="dxa"/>
            <w:shd w:val="clear" w:color="auto" w:fill="auto"/>
            <w:vAlign w:val="center"/>
          </w:tcPr>
          <w:p w14:paraId="0EA901BB">
            <w:pPr>
              <w:pStyle w:val="22"/>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37</w:t>
            </w:r>
          </w:p>
        </w:tc>
        <w:tc>
          <w:tcPr>
            <w:tcW w:w="1773" w:type="dxa"/>
            <w:shd w:val="clear" w:color="auto" w:fill="auto"/>
            <w:vAlign w:val="center"/>
          </w:tcPr>
          <w:p w14:paraId="7A63EAF1">
            <w:pPr>
              <w:pStyle w:val="22"/>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olor w:val="auto"/>
                <w:sz w:val="24"/>
                <w:szCs w:val="24"/>
                <w:highlight w:val="none"/>
                <w:lang w:eastAsia="zh-CN"/>
              </w:rPr>
              <w:t>行业属性划分</w:t>
            </w:r>
          </w:p>
        </w:tc>
        <w:tc>
          <w:tcPr>
            <w:tcW w:w="7324" w:type="dxa"/>
            <w:shd w:val="clear" w:color="auto" w:fill="auto"/>
            <w:vAlign w:val="center"/>
          </w:tcPr>
          <w:p w14:paraId="1BB34788">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仿宋" w:hAnsi="仿宋" w:eastAsia="仿宋" w:cs="仿宋"/>
                <w:i w:val="0"/>
                <w:iCs w:val="0"/>
                <w:color w:val="auto"/>
                <w:sz w:val="24"/>
                <w:szCs w:val="24"/>
                <w:highlight w:val="none"/>
              </w:rPr>
            </w:pPr>
            <w:r>
              <w:rPr>
                <w:rFonts w:hint="eastAsia" w:ascii="仿宋" w:hAnsi="仿宋" w:eastAsia="仿宋" w:cs="Times New Roman"/>
                <w:color w:val="auto"/>
                <w:kern w:val="0"/>
                <w:sz w:val="24"/>
                <w:szCs w:val="24"/>
                <w:highlight w:val="none"/>
                <w:lang w:val="en-US" w:eastAsia="zh-CN" w:bidi="ar-SA"/>
              </w:rPr>
              <w:t>根据国家统计局关于印发《统计上大中小微型企业划分办法（2017）》的通知，本项目采购标的所属行业为：</w:t>
            </w:r>
            <w:r>
              <w:rPr>
                <w:rFonts w:hint="eastAsia" w:ascii="仿宋" w:hAnsi="仿宋" w:eastAsia="仿宋" w:cs="Times New Roman"/>
                <w:b/>
                <w:bCs/>
                <w:color w:val="FF0000"/>
                <w:kern w:val="0"/>
                <w:sz w:val="24"/>
                <w:szCs w:val="24"/>
                <w:highlight w:val="none"/>
                <w:u w:val="single"/>
                <w:lang w:val="en-US" w:eastAsia="zh-CN" w:bidi="ar-SA"/>
              </w:rPr>
              <w:t>工业。</w:t>
            </w:r>
          </w:p>
        </w:tc>
      </w:tr>
      <w:tr w14:paraId="7501B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3" w:type="dxa"/>
            <w:shd w:val="clear" w:color="auto" w:fill="auto"/>
            <w:vAlign w:val="center"/>
          </w:tcPr>
          <w:p w14:paraId="1D721A7B">
            <w:pPr>
              <w:pStyle w:val="22"/>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38</w:t>
            </w:r>
          </w:p>
        </w:tc>
        <w:tc>
          <w:tcPr>
            <w:tcW w:w="1773" w:type="dxa"/>
            <w:shd w:val="clear" w:color="auto" w:fill="auto"/>
            <w:vAlign w:val="center"/>
          </w:tcPr>
          <w:p w14:paraId="12FD6A60">
            <w:pPr>
              <w:pStyle w:val="22"/>
              <w:jc w:val="center"/>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政府采购</w:t>
            </w:r>
          </w:p>
          <w:p w14:paraId="35C03184">
            <w:pPr>
              <w:pStyle w:val="22"/>
              <w:jc w:val="center"/>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lang w:val="en-US" w:eastAsia="zh-CN"/>
              </w:rPr>
              <w:t>政策功能</w:t>
            </w:r>
          </w:p>
        </w:tc>
        <w:tc>
          <w:tcPr>
            <w:tcW w:w="7324" w:type="dxa"/>
            <w:shd w:val="clear" w:color="auto" w:fill="auto"/>
            <w:vAlign w:val="center"/>
          </w:tcPr>
          <w:p w14:paraId="2EE17099">
            <w:pPr>
              <w:pStyle w:val="22"/>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b/>
                <w:bCs/>
                <w:color w:val="auto"/>
                <w:sz w:val="24"/>
                <w:highlight w:val="none"/>
                <w:lang w:val="en-US" w:eastAsia="zh-CN"/>
              </w:rPr>
              <w:t>政府采购政策功能：</w:t>
            </w:r>
            <w:r>
              <w:rPr>
                <w:rFonts w:hint="eastAsia" w:ascii="仿宋" w:hAnsi="仿宋" w:eastAsia="仿宋" w:cs="仿宋"/>
                <w:color w:val="auto"/>
                <w:sz w:val="24"/>
                <w:highlight w:val="none"/>
                <w:lang w:val="en-US" w:eastAsia="zh-CN"/>
              </w:rPr>
              <w:t>本项目执行政府采购促进中小企业发展、支持监狱企业、促进残疾人就业等政府采购政策。在政府采购活动中，监狱企业、残疾人福利性单位视同小型、微型企业，享受预留份额、评审中价格扣除等政府采购促进中小企业发展的政府采购政策。</w:t>
            </w:r>
          </w:p>
          <w:p w14:paraId="5AA141AA">
            <w:pPr>
              <w:pStyle w:val="22"/>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1.同等条件下优先采购监狱企业、残疾人福利性单位、劳动关系和谐企业、新兴业态企业的服务等。</w:t>
            </w:r>
          </w:p>
          <w:p w14:paraId="798A9497">
            <w:pPr>
              <w:pStyle w:val="22"/>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本项目未专门面向中小企业预留的采购项目，对符合《政府采购促进中小企业发展管理办法》（财库〔2020〕46号）规定的小微企业，其报价按照《关于进一步加大政府采购支持中小企业力度的通知》（财库〔2022〕19号）文件精神给予10%的扣除，用扣除后的价格参加评审。</w:t>
            </w:r>
          </w:p>
          <w:p w14:paraId="705E92E3">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仿宋" w:hAnsi="仿宋" w:eastAsia="仿宋" w:cs="Times New Roman"/>
                <w:color w:val="auto"/>
                <w:kern w:val="0"/>
                <w:sz w:val="24"/>
                <w:szCs w:val="24"/>
                <w:highlight w:val="none"/>
                <w:lang w:val="en-US" w:eastAsia="zh-CN" w:bidi="ar-SA"/>
              </w:rPr>
            </w:pPr>
            <w:r>
              <w:rPr>
                <w:rFonts w:hint="eastAsia" w:ascii="仿宋" w:hAnsi="仿宋" w:eastAsia="仿宋" w:cs="仿宋"/>
                <w:color w:val="auto"/>
                <w:sz w:val="24"/>
                <w:highlight w:val="none"/>
                <w:lang w:val="en-US" w:eastAsia="zh-CN"/>
              </w:rPr>
              <w:t>3.涉及商品包装或快递包装的，按照《财政部办公厅、生态环境部办公厅、国家邮政局办公室关于印发&lt;商品包装政府采购需求标准（试行）&gt;&lt;快递包装政府采购需求标准（试行）&gt;的通知》（财办库〔2020〕123号）要求执行。</w:t>
            </w:r>
          </w:p>
        </w:tc>
      </w:tr>
      <w:tr w14:paraId="5B836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3" w:type="dxa"/>
            <w:shd w:val="clear" w:color="auto" w:fill="auto"/>
            <w:vAlign w:val="center"/>
          </w:tcPr>
          <w:p w14:paraId="34D475A6">
            <w:pPr>
              <w:pStyle w:val="22"/>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39</w:t>
            </w:r>
          </w:p>
        </w:tc>
        <w:tc>
          <w:tcPr>
            <w:tcW w:w="1773" w:type="dxa"/>
            <w:shd w:val="clear" w:color="auto" w:fill="auto"/>
            <w:vAlign w:val="center"/>
          </w:tcPr>
          <w:p w14:paraId="69B2F340">
            <w:pPr>
              <w:pStyle w:val="22"/>
              <w:jc w:val="center"/>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核心产品</w:t>
            </w:r>
          </w:p>
        </w:tc>
        <w:tc>
          <w:tcPr>
            <w:tcW w:w="7324" w:type="dxa"/>
            <w:shd w:val="clear" w:color="auto" w:fill="auto"/>
            <w:vAlign w:val="center"/>
          </w:tcPr>
          <w:p w14:paraId="0885EE2E">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仿宋" w:hAnsi="仿宋" w:eastAsia="仿宋"/>
                <w:b/>
                <w:bCs/>
                <w:color w:val="auto"/>
                <w:sz w:val="24"/>
                <w:szCs w:val="24"/>
                <w:highlight w:val="none"/>
                <w:vertAlign w:val="baseline"/>
                <w:lang w:val="en-US" w:eastAsia="zh-CN"/>
              </w:rPr>
            </w:pPr>
            <w:r>
              <w:rPr>
                <w:rFonts w:hint="eastAsia" w:ascii="仿宋" w:hAnsi="仿宋" w:eastAsia="仿宋"/>
                <w:b/>
                <w:bCs/>
                <w:color w:val="auto"/>
                <w:sz w:val="24"/>
                <w:szCs w:val="24"/>
                <w:highlight w:val="none"/>
                <w:lang w:val="en-US" w:eastAsia="zh-CN"/>
              </w:rPr>
              <w:t>核心产品：</w:t>
            </w:r>
            <w:r>
              <w:rPr>
                <w:rFonts w:hint="eastAsia" w:ascii="仿宋" w:hAnsi="仿宋" w:eastAsia="仿宋"/>
                <w:b/>
                <w:bCs/>
                <w:color w:val="auto"/>
                <w:sz w:val="24"/>
                <w:szCs w:val="24"/>
                <w:highlight w:val="none"/>
                <w:vertAlign w:val="baseline"/>
                <w:lang w:val="en-US" w:eastAsia="zh-CN"/>
              </w:rPr>
              <w:t>精品录播主机；</w:t>
            </w:r>
          </w:p>
          <w:p w14:paraId="3160EB57">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仿宋" w:hAnsi="仿宋" w:eastAsia="仿宋"/>
                <w:b/>
                <w:bCs/>
                <w:color w:val="auto"/>
                <w:sz w:val="24"/>
                <w:szCs w:val="24"/>
                <w:highlight w:val="none"/>
                <w:vertAlign w:val="baseline"/>
                <w:lang w:val="en-US" w:eastAsia="zh-CN"/>
              </w:rPr>
            </w:pPr>
            <w:r>
              <w:rPr>
                <w:rFonts w:hint="eastAsia" w:ascii="仿宋" w:hAnsi="仿宋" w:eastAsia="仿宋"/>
                <w:b w:val="0"/>
                <w:bCs w:val="0"/>
                <w:color w:val="auto"/>
                <w:sz w:val="24"/>
                <w:szCs w:val="24"/>
                <w:highlight w:val="none"/>
                <w:vertAlign w:val="baseline"/>
                <w:lang w:val="en-US" w:eastAsia="zh-CN"/>
              </w:rPr>
              <w:t>核心产品提供相同品牌且通过资格审查、符合性审查的不同投标人参加同一合同项下投标的，按一家投标人计算，评审后得分最高的同品牌投标人获得中标人推荐资格，如评标总得分相同的，按报价得分由高到低顺序排列；若评标总得分、报价得分均相同的，按最有利于招标人利益的方式推荐第一中标候选单位以此类推。评标过程中若有其他特殊情况则由评标委员会讨论后决定。</w:t>
            </w:r>
          </w:p>
        </w:tc>
      </w:tr>
      <w:tr w14:paraId="1C05E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3" w:type="dxa"/>
            <w:shd w:val="clear" w:color="auto" w:fill="auto"/>
            <w:vAlign w:val="center"/>
          </w:tcPr>
          <w:p w14:paraId="1C58E72E">
            <w:pPr>
              <w:pStyle w:val="22"/>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40</w:t>
            </w:r>
          </w:p>
        </w:tc>
        <w:tc>
          <w:tcPr>
            <w:tcW w:w="1773" w:type="dxa"/>
            <w:shd w:val="clear" w:color="auto" w:fill="auto"/>
            <w:vAlign w:val="center"/>
          </w:tcPr>
          <w:p w14:paraId="65977B33">
            <w:pPr>
              <w:pStyle w:val="22"/>
              <w:jc w:val="center"/>
              <w:rPr>
                <w:rFonts w:hint="default" w:ascii="仿宋" w:hAnsi="仿宋" w:eastAsia="仿宋"/>
                <w:color w:val="auto"/>
                <w:sz w:val="24"/>
                <w:szCs w:val="24"/>
                <w:highlight w:val="none"/>
                <w:lang w:val="en-US" w:eastAsia="zh-CN"/>
              </w:rPr>
            </w:pPr>
            <w:r>
              <w:rPr>
                <w:rFonts w:hint="default" w:ascii="仿宋" w:hAnsi="仿宋" w:eastAsia="仿宋"/>
                <w:color w:val="auto"/>
                <w:sz w:val="24"/>
                <w:szCs w:val="24"/>
                <w:highlight w:val="none"/>
                <w:lang w:val="en-US" w:eastAsia="zh-CN"/>
              </w:rPr>
              <w:t>关于符合本国产品</w:t>
            </w:r>
          </w:p>
          <w:p w14:paraId="76EAC95C">
            <w:pPr>
              <w:pStyle w:val="22"/>
              <w:jc w:val="center"/>
              <w:rPr>
                <w:rFonts w:hint="default" w:ascii="仿宋" w:hAnsi="仿宋" w:eastAsia="仿宋"/>
                <w:color w:val="auto"/>
                <w:sz w:val="24"/>
                <w:szCs w:val="24"/>
                <w:highlight w:val="none"/>
                <w:lang w:val="en-US" w:eastAsia="zh-CN"/>
              </w:rPr>
            </w:pPr>
          </w:p>
        </w:tc>
        <w:tc>
          <w:tcPr>
            <w:tcW w:w="7324" w:type="dxa"/>
            <w:shd w:val="clear" w:color="auto" w:fill="auto"/>
            <w:vAlign w:val="center"/>
          </w:tcPr>
          <w:p w14:paraId="576AE558">
            <w:pPr>
              <w:numPr>
                <w:ilvl w:val="0"/>
                <w:numId w:val="0"/>
              </w:numPr>
              <w:spacing w:line="360" w:lineRule="auto"/>
              <w:jc w:val="both"/>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关于符合本国产品：</w:t>
            </w:r>
          </w:p>
          <w:p w14:paraId="7A2FDCA2">
            <w:pPr>
              <w:pStyle w:val="16"/>
              <w:spacing w:line="360" w:lineRule="auto"/>
              <w:rPr>
                <w:rFonts w:hint="eastAsia" w:ascii="仿宋" w:hAnsi="仿宋" w:eastAsia="仿宋" w:cs="仿宋"/>
                <w:color w:val="auto"/>
                <w:sz w:val="24"/>
                <w:szCs w:val="20"/>
                <w:highlight w:val="none"/>
                <w:u w:val="none"/>
                <w:lang w:val="en-US" w:eastAsia="zh-CN"/>
              </w:rPr>
            </w:pPr>
            <w:r>
              <w:rPr>
                <w:rFonts w:hint="eastAsia" w:ascii="仿宋" w:hAnsi="仿宋" w:eastAsia="仿宋" w:cs="仿宋"/>
                <w:color w:val="auto"/>
                <w:sz w:val="24"/>
                <w:szCs w:val="20"/>
                <w:highlight w:val="none"/>
                <w:u w:val="none"/>
                <w:lang w:val="en-US" w:eastAsia="zh-CN"/>
              </w:rPr>
              <w:t>1.本项目对采购本国产品给予政策支持：</w:t>
            </w:r>
          </w:p>
          <w:p w14:paraId="1B7D857E">
            <w:pPr>
              <w:pStyle w:val="16"/>
              <w:spacing w:line="360" w:lineRule="auto"/>
              <w:rPr>
                <w:rFonts w:hint="eastAsia" w:ascii="仿宋" w:hAnsi="仿宋" w:eastAsia="仿宋" w:cs="仿宋"/>
                <w:color w:val="auto"/>
                <w:sz w:val="24"/>
                <w:szCs w:val="20"/>
                <w:highlight w:val="none"/>
                <w:u w:val="none"/>
                <w:lang w:val="en-US" w:eastAsia="zh-CN"/>
              </w:rPr>
            </w:pPr>
            <w:r>
              <w:rPr>
                <w:rFonts w:hint="eastAsia" w:ascii="仿宋" w:hAnsi="仿宋" w:eastAsia="仿宋" w:cs="仿宋"/>
                <w:color w:val="auto"/>
                <w:sz w:val="24"/>
                <w:szCs w:val="20"/>
                <w:highlight w:val="none"/>
                <w:u w:val="none"/>
                <w:lang w:val="en-US" w:eastAsia="zh-CN"/>
              </w:rPr>
              <w:t>1.1本项目政府采购活动中既有本国产品又有非本国产品参与竞争的，依法对本国产品给予价格评审优惠，对本国产品的报价给予20%的价格扣除，用扣除后的价格参与评审。</w:t>
            </w:r>
          </w:p>
          <w:p w14:paraId="47C9C84D">
            <w:pPr>
              <w:pStyle w:val="16"/>
              <w:spacing w:line="360" w:lineRule="auto"/>
              <w:rPr>
                <w:rFonts w:hint="eastAsia" w:ascii="仿宋" w:hAnsi="仿宋" w:eastAsia="仿宋" w:cs="仿宋"/>
                <w:color w:val="auto"/>
                <w:sz w:val="24"/>
                <w:szCs w:val="20"/>
                <w:highlight w:val="none"/>
                <w:u w:val="none"/>
                <w:lang w:val="en-US" w:eastAsia="zh-CN"/>
              </w:rPr>
            </w:pPr>
            <w:r>
              <w:rPr>
                <w:rFonts w:hint="eastAsia" w:ascii="仿宋" w:hAnsi="仿宋" w:eastAsia="仿宋" w:cs="仿宋"/>
                <w:color w:val="auto"/>
                <w:sz w:val="24"/>
                <w:szCs w:val="20"/>
                <w:highlight w:val="none"/>
                <w:u w:val="none"/>
                <w:lang w:val="en-US" w:eastAsia="zh-CN"/>
              </w:rPr>
              <w:t>1.2当采购项目或者采购包中含有多种产品，投标人为该采购项目或者采购包提供的符合本国产品标准的产品成本之和占该投标人提供的全部产品成本之和的比例达到80%以上时（投标人需在“投标文件格式”的“投标分项报价表”中填写比例数值），依法对该投标人提供的全部产品给予价格评审优惠，即对该投标人提供的全部产品的总报价给予20%的价格扣除，用扣除后的价格参与评审。投标人未填写比例数值，或比例数值未达到80%的，将不享受本国产品价格评审优惠。</w:t>
            </w:r>
          </w:p>
          <w:p w14:paraId="0685142C">
            <w:pPr>
              <w:pStyle w:val="16"/>
              <w:spacing w:line="360" w:lineRule="auto"/>
              <w:rPr>
                <w:rFonts w:hint="eastAsia" w:ascii="仿宋" w:hAnsi="仿宋" w:eastAsia="仿宋" w:cs="仿宋"/>
                <w:color w:val="auto"/>
                <w:sz w:val="24"/>
                <w:szCs w:val="20"/>
                <w:highlight w:val="none"/>
                <w:u w:val="none"/>
                <w:lang w:val="en-US" w:eastAsia="zh-CN"/>
              </w:rPr>
            </w:pPr>
            <w:r>
              <w:rPr>
                <w:rFonts w:hint="eastAsia" w:ascii="仿宋" w:hAnsi="仿宋" w:eastAsia="仿宋" w:cs="仿宋"/>
                <w:color w:val="auto"/>
                <w:sz w:val="24"/>
                <w:szCs w:val="20"/>
                <w:highlight w:val="none"/>
                <w:u w:val="none"/>
                <w:lang w:val="en-US" w:eastAsia="zh-CN"/>
              </w:rPr>
              <w:t>1.3投标人需按照招标文件的要求提供《关于符合本国产品标准的声明函》（以下简称《声明函》），如不提供将不享受本国产品价格评审优惠。</w:t>
            </w:r>
          </w:p>
          <w:p w14:paraId="50AA2739">
            <w:pPr>
              <w:pStyle w:val="16"/>
              <w:spacing w:line="360" w:lineRule="auto"/>
              <w:rPr>
                <w:rFonts w:hint="eastAsia" w:ascii="仿宋" w:hAnsi="仿宋" w:eastAsia="仿宋" w:cs="仿宋"/>
                <w:color w:val="auto"/>
                <w:sz w:val="24"/>
                <w:szCs w:val="20"/>
                <w:highlight w:val="none"/>
                <w:u w:val="none"/>
                <w:lang w:val="en-US" w:eastAsia="zh-CN"/>
              </w:rPr>
            </w:pPr>
            <w:r>
              <w:rPr>
                <w:rFonts w:hint="eastAsia" w:ascii="仿宋" w:hAnsi="仿宋" w:eastAsia="仿宋" w:cs="仿宋"/>
                <w:color w:val="auto"/>
                <w:sz w:val="24"/>
                <w:szCs w:val="20"/>
                <w:highlight w:val="none"/>
                <w:u w:val="none"/>
                <w:lang w:val="en-US" w:eastAsia="zh-CN"/>
              </w:rPr>
              <w:t>1.4投标人需在《声明函》中逐一、准确填写产品名称、厂名、生产厂址三项信息（《声明函》中用斜线划除的地方无需填写），三项信息中任意一项未填写的视为该项产品不符合本国产品标准，不享受本国产品价格评审优惠。</w:t>
            </w:r>
          </w:p>
          <w:p w14:paraId="61157A4B">
            <w:pPr>
              <w:pStyle w:val="16"/>
              <w:spacing w:line="360" w:lineRule="auto"/>
              <w:rPr>
                <w:rFonts w:hint="eastAsia" w:ascii="仿宋" w:hAnsi="仿宋" w:eastAsia="仿宋" w:cs="仿宋"/>
                <w:color w:val="auto"/>
                <w:sz w:val="24"/>
                <w:szCs w:val="20"/>
                <w:highlight w:val="none"/>
                <w:u w:val="none"/>
                <w:lang w:val="en-US" w:eastAsia="zh-CN"/>
              </w:rPr>
            </w:pPr>
            <w:r>
              <w:rPr>
                <w:rFonts w:hint="eastAsia" w:ascii="仿宋" w:hAnsi="仿宋" w:eastAsia="仿宋" w:cs="仿宋"/>
                <w:color w:val="auto"/>
                <w:sz w:val="24"/>
                <w:szCs w:val="20"/>
                <w:highlight w:val="none"/>
                <w:u w:val="none"/>
                <w:lang w:val="en-US" w:eastAsia="zh-CN"/>
              </w:rPr>
              <w:t>1.5 评标过程中，如发现投标人在《声明函》内容含义不明确、同类事项与投标（响应）文件表述不一致或者有明显文字错误等情况的，评标委员会应当以书面形式要求投标人作出必要的澄清、说明或者补正。经澄清、说明或者补正的《声明函》仍然不符合《国务院办公厅关于在政府采购中实施本国产品标准及相关政策的通知》（国办发〔2025〕34号）和招标文件规定的，投标人提供的相关产品视为不符合本国产品标准。</w:t>
            </w:r>
          </w:p>
          <w:p w14:paraId="5640B381">
            <w:pPr>
              <w:pStyle w:val="16"/>
              <w:spacing w:line="360" w:lineRule="auto"/>
              <w:rPr>
                <w:rFonts w:hint="eastAsia" w:ascii="仿宋" w:hAnsi="仿宋" w:eastAsia="仿宋" w:cs="仿宋"/>
                <w:color w:val="auto"/>
                <w:sz w:val="24"/>
                <w:szCs w:val="20"/>
                <w:highlight w:val="none"/>
                <w:u w:val="none"/>
                <w:lang w:val="en-US" w:eastAsia="zh-CN"/>
              </w:rPr>
            </w:pPr>
            <w:r>
              <w:rPr>
                <w:rFonts w:hint="eastAsia" w:ascii="仿宋" w:hAnsi="仿宋" w:eastAsia="仿宋" w:cs="仿宋"/>
                <w:color w:val="auto"/>
                <w:sz w:val="24"/>
                <w:szCs w:val="20"/>
                <w:highlight w:val="none"/>
                <w:u w:val="none"/>
                <w:lang w:val="en-US" w:eastAsia="zh-CN"/>
              </w:rPr>
              <w:t>2.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1309E7E">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仿宋" w:hAnsi="仿宋" w:eastAsia="仿宋" w:cs="Times New Roman"/>
                <w:color w:val="auto"/>
                <w:kern w:val="0"/>
                <w:sz w:val="24"/>
                <w:szCs w:val="24"/>
                <w:highlight w:val="none"/>
                <w:lang w:val="en-US" w:eastAsia="zh-CN" w:bidi="ar-SA"/>
              </w:rPr>
            </w:pPr>
            <w:r>
              <w:rPr>
                <w:rFonts w:hint="eastAsia" w:ascii="仿宋" w:hAnsi="仿宋" w:eastAsia="仿宋" w:cs="仿宋"/>
                <w:color w:val="auto"/>
                <w:sz w:val="24"/>
                <w:szCs w:val="20"/>
                <w:highlight w:val="none"/>
                <w:u w:val="none"/>
                <w:lang w:val="en-US" w:eastAsia="zh-CN"/>
              </w:rPr>
              <w:t>3.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tc>
      </w:tr>
    </w:tbl>
    <w:p w14:paraId="10C6DCE1">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09543161">
      <w:pPr>
        <w:pStyle w:val="5"/>
        <w:keepLines w:val="0"/>
        <w:pageBreakBefore w:val="0"/>
        <w:widowControl w:val="0"/>
        <w:kinsoku/>
        <w:overflowPunct/>
        <w:topLinePunct w:val="0"/>
        <w:autoSpaceDE/>
        <w:autoSpaceDN/>
        <w:bidi w:val="0"/>
        <w:snapToGrid/>
        <w:spacing w:before="0" w:line="460" w:lineRule="exact"/>
        <w:ind w:left="0" w:firstLine="0"/>
        <w:jc w:val="center"/>
        <w:rPr>
          <w:rFonts w:hint="eastAsia" w:ascii="仿宋" w:hAnsi="仿宋" w:eastAsia="仿宋" w:cs="仿宋"/>
          <w:color w:val="auto"/>
          <w:sz w:val="24"/>
          <w:szCs w:val="24"/>
          <w:highlight w:val="none"/>
        </w:rPr>
      </w:pPr>
      <w:bookmarkStart w:id="113" w:name="_Toc29876"/>
      <w:bookmarkStart w:id="114" w:name="_Toc1859"/>
      <w:bookmarkStart w:id="115" w:name="_Toc17064"/>
      <w:bookmarkStart w:id="116" w:name="_Toc14893"/>
      <w:bookmarkStart w:id="117" w:name="_Toc6224"/>
      <w:bookmarkStart w:id="118" w:name="_Toc4328"/>
      <w:bookmarkStart w:id="119" w:name="_Toc22612"/>
      <w:bookmarkStart w:id="120" w:name="_Toc9696"/>
      <w:r>
        <w:rPr>
          <w:rFonts w:hint="eastAsia" w:ascii="仿宋" w:hAnsi="仿宋" w:eastAsia="仿宋" w:cs="仿宋"/>
          <w:color w:val="auto"/>
          <w:sz w:val="28"/>
          <w:szCs w:val="28"/>
          <w:highlight w:val="none"/>
        </w:rPr>
        <w:t>一、总  则</w:t>
      </w:r>
      <w:bookmarkEnd w:id="111"/>
      <w:bookmarkEnd w:id="112"/>
      <w:bookmarkEnd w:id="113"/>
      <w:bookmarkEnd w:id="114"/>
      <w:bookmarkEnd w:id="115"/>
      <w:bookmarkEnd w:id="116"/>
      <w:bookmarkEnd w:id="117"/>
      <w:bookmarkEnd w:id="118"/>
      <w:bookmarkEnd w:id="119"/>
      <w:bookmarkEnd w:id="120"/>
    </w:p>
    <w:p w14:paraId="63009F5A">
      <w:pPr>
        <w:keepLines w:val="0"/>
        <w:pageBreakBefore w:val="0"/>
        <w:widowControl w:val="0"/>
        <w:kinsoku/>
        <w:overflowPunct/>
        <w:topLinePunct w:val="0"/>
        <w:autoSpaceDE/>
        <w:autoSpaceDN/>
        <w:bidi w:val="0"/>
        <w:snapToGrid/>
        <w:spacing w:line="460" w:lineRule="exact"/>
        <w:ind w:firstLine="482" w:firstLineChars="200"/>
        <w:jc w:val="left"/>
        <w:outlineLvl w:val="2"/>
        <w:rPr>
          <w:rFonts w:hint="eastAsia" w:ascii="仿宋" w:hAnsi="仿宋" w:eastAsia="仿宋" w:cs="仿宋"/>
          <w:b/>
          <w:color w:val="auto"/>
          <w:sz w:val="24"/>
          <w:szCs w:val="24"/>
          <w:highlight w:val="none"/>
        </w:rPr>
      </w:pPr>
      <w:bookmarkStart w:id="121" w:name="_Toc28174"/>
      <w:bookmarkStart w:id="122" w:name="_Toc23240"/>
      <w:bookmarkStart w:id="123" w:name="_Toc27729"/>
      <w:bookmarkStart w:id="124" w:name="_Toc1015"/>
      <w:bookmarkStart w:id="125" w:name="_Toc16049"/>
      <w:bookmarkStart w:id="126" w:name="_Toc393354837"/>
      <w:bookmarkStart w:id="127" w:name="_Toc213141090"/>
      <w:r>
        <w:rPr>
          <w:rFonts w:hint="eastAsia" w:ascii="仿宋" w:hAnsi="仿宋" w:eastAsia="仿宋" w:cs="仿宋"/>
          <w:b/>
          <w:color w:val="auto"/>
          <w:sz w:val="24"/>
          <w:szCs w:val="24"/>
          <w:highlight w:val="none"/>
          <w:lang w:val="en-US" w:eastAsia="zh-CN"/>
        </w:rPr>
        <w:t>1.</w:t>
      </w:r>
      <w:r>
        <w:rPr>
          <w:rFonts w:hint="eastAsia" w:ascii="仿宋" w:hAnsi="仿宋" w:eastAsia="仿宋" w:cs="仿宋"/>
          <w:b/>
          <w:color w:val="auto"/>
          <w:sz w:val="24"/>
          <w:szCs w:val="24"/>
          <w:highlight w:val="none"/>
        </w:rPr>
        <w:t>采购人、采购代理机构、项目名称、项目名称、</w:t>
      </w:r>
      <w:r>
        <w:rPr>
          <w:rFonts w:hint="eastAsia" w:ascii="仿宋" w:hAnsi="仿宋" w:eastAsia="仿宋" w:cs="仿宋"/>
          <w:b/>
          <w:color w:val="auto"/>
          <w:sz w:val="24"/>
          <w:szCs w:val="24"/>
          <w:highlight w:val="none"/>
          <w:lang w:eastAsia="zh-CN"/>
        </w:rPr>
        <w:t>项目编号</w:t>
      </w:r>
      <w:r>
        <w:rPr>
          <w:rFonts w:hint="eastAsia" w:ascii="仿宋" w:hAnsi="仿宋" w:eastAsia="仿宋" w:cs="仿宋"/>
          <w:b/>
          <w:color w:val="auto"/>
          <w:sz w:val="24"/>
          <w:szCs w:val="24"/>
          <w:highlight w:val="none"/>
        </w:rPr>
        <w:t>，详见招标文件“投标人须知前附表”。</w:t>
      </w:r>
      <w:bookmarkEnd w:id="121"/>
      <w:bookmarkEnd w:id="122"/>
      <w:bookmarkEnd w:id="123"/>
      <w:bookmarkEnd w:id="124"/>
      <w:bookmarkEnd w:id="125"/>
    </w:p>
    <w:p w14:paraId="5B44507C">
      <w:pPr>
        <w:keepLines w:val="0"/>
        <w:pageBreakBefore w:val="0"/>
        <w:widowControl w:val="0"/>
        <w:kinsoku/>
        <w:overflowPunct/>
        <w:topLinePunct w:val="0"/>
        <w:autoSpaceDE/>
        <w:autoSpaceDN/>
        <w:bidi w:val="0"/>
        <w:snapToGrid/>
        <w:spacing w:line="460" w:lineRule="exact"/>
        <w:ind w:firstLine="482" w:firstLineChars="200"/>
        <w:jc w:val="left"/>
        <w:outlineLvl w:val="2"/>
        <w:rPr>
          <w:rFonts w:hint="eastAsia" w:ascii="仿宋" w:hAnsi="仿宋" w:eastAsia="仿宋" w:cs="仿宋"/>
          <w:b/>
          <w:color w:val="auto"/>
          <w:sz w:val="24"/>
          <w:szCs w:val="24"/>
          <w:highlight w:val="none"/>
        </w:rPr>
      </w:pPr>
      <w:bookmarkStart w:id="128" w:name="_Toc15385"/>
      <w:bookmarkStart w:id="129" w:name="_Toc21870"/>
      <w:bookmarkStart w:id="130" w:name="_Toc14792"/>
      <w:bookmarkStart w:id="131" w:name="_Toc29816"/>
      <w:bookmarkStart w:id="132" w:name="_Toc3956"/>
      <w:bookmarkStart w:id="133" w:name="_Toc15878"/>
      <w:r>
        <w:rPr>
          <w:rFonts w:hint="eastAsia" w:ascii="仿宋" w:hAnsi="仿宋" w:eastAsia="仿宋" w:cs="仿宋"/>
          <w:b/>
          <w:color w:val="auto"/>
          <w:sz w:val="24"/>
          <w:szCs w:val="24"/>
          <w:highlight w:val="none"/>
        </w:rPr>
        <w:t>2.资金来源</w:t>
      </w:r>
      <w:bookmarkEnd w:id="128"/>
      <w:bookmarkEnd w:id="129"/>
      <w:bookmarkEnd w:id="130"/>
      <w:bookmarkEnd w:id="131"/>
      <w:bookmarkEnd w:id="132"/>
      <w:bookmarkEnd w:id="133"/>
    </w:p>
    <w:p w14:paraId="46988754">
      <w:pPr>
        <w:keepLines w:val="0"/>
        <w:pageBreakBefore w:val="0"/>
        <w:widowControl w:val="0"/>
        <w:kinsoku/>
        <w:overflowPunct/>
        <w:topLinePunct w:val="0"/>
        <w:autoSpaceDE/>
        <w:autoSpaceDN/>
        <w:bidi w:val="0"/>
        <w:snapToGrid/>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2.1采购人资金来源为</w:t>
      </w:r>
      <w:r>
        <w:rPr>
          <w:rFonts w:hint="eastAsia" w:ascii="仿宋" w:hAnsi="仿宋" w:eastAsia="仿宋" w:cs="仿宋"/>
          <w:b/>
          <w:color w:val="auto"/>
          <w:sz w:val="24"/>
          <w:szCs w:val="24"/>
          <w:highlight w:val="none"/>
        </w:rPr>
        <w:t>财政资金</w:t>
      </w:r>
      <w:r>
        <w:rPr>
          <w:rFonts w:hint="eastAsia" w:ascii="仿宋" w:hAnsi="仿宋" w:eastAsia="仿宋" w:cs="仿宋"/>
          <w:color w:val="auto"/>
          <w:sz w:val="24"/>
          <w:szCs w:val="24"/>
          <w:highlight w:val="none"/>
        </w:rPr>
        <w:t>，用于采购“</w:t>
      </w:r>
      <w:r>
        <w:rPr>
          <w:rFonts w:hint="eastAsia" w:ascii="仿宋" w:hAnsi="仿宋" w:eastAsia="仿宋" w:cs="仿宋"/>
          <w:b/>
          <w:color w:val="auto"/>
          <w:sz w:val="24"/>
          <w:szCs w:val="24"/>
          <w:highlight w:val="none"/>
          <w:lang w:eastAsia="zh-CN"/>
        </w:rPr>
        <w:t>采购需求及技术参数</w:t>
      </w:r>
      <w:r>
        <w:rPr>
          <w:rFonts w:hint="eastAsia" w:ascii="仿宋" w:hAnsi="仿宋" w:eastAsia="仿宋" w:cs="仿宋"/>
          <w:color w:val="auto"/>
          <w:sz w:val="24"/>
          <w:szCs w:val="24"/>
          <w:highlight w:val="none"/>
        </w:rPr>
        <w:t>”所列服务。</w:t>
      </w:r>
    </w:p>
    <w:p w14:paraId="4DCA7460">
      <w:pPr>
        <w:keepLines w:val="0"/>
        <w:pageBreakBefore w:val="0"/>
        <w:widowControl w:val="0"/>
        <w:kinsoku/>
        <w:overflowPunct/>
        <w:topLinePunct w:val="0"/>
        <w:autoSpaceDE/>
        <w:autoSpaceDN/>
        <w:bidi w:val="0"/>
        <w:snapToGrid/>
        <w:spacing w:line="460" w:lineRule="exact"/>
        <w:ind w:firstLine="480" w:firstLineChars="200"/>
        <w:jc w:val="left"/>
        <w:rPr>
          <w:rFonts w:hint="eastAsia" w:ascii="仿宋" w:hAnsi="仿宋" w:eastAsia="仿宋" w:cs="仿宋"/>
          <w:color w:val="auto"/>
          <w:sz w:val="24"/>
          <w:szCs w:val="24"/>
          <w:highlight w:val="none"/>
          <w:lang w:val="en-US" w:eastAsia="zh-CN"/>
        </w:rPr>
      </w:pPr>
      <w:bookmarkStart w:id="134" w:name="_Toc22926"/>
      <w:r>
        <w:rPr>
          <w:rFonts w:hint="eastAsia" w:ascii="仿宋" w:hAnsi="仿宋" w:eastAsia="仿宋" w:cs="仿宋"/>
          <w:color w:val="auto"/>
          <w:sz w:val="24"/>
          <w:szCs w:val="24"/>
          <w:highlight w:val="none"/>
          <w:lang w:val="en-US" w:eastAsia="zh-CN"/>
        </w:rPr>
        <w:t>2.2报价及结算要求</w:t>
      </w:r>
      <w:r>
        <w:rPr>
          <w:rFonts w:hint="eastAsia" w:ascii="仿宋" w:hAnsi="仿宋" w:eastAsia="仿宋" w:cs="仿宋"/>
          <w:color w:val="auto"/>
          <w:sz w:val="24"/>
          <w:szCs w:val="24"/>
          <w:highlight w:val="none"/>
        </w:rPr>
        <w:t>：见“投标人须知前附表”。</w:t>
      </w:r>
    </w:p>
    <w:p w14:paraId="30D8AC6D">
      <w:pPr>
        <w:keepLines w:val="0"/>
        <w:pageBreakBefore w:val="0"/>
        <w:widowControl w:val="0"/>
        <w:kinsoku/>
        <w:overflowPunct/>
        <w:topLinePunct w:val="0"/>
        <w:autoSpaceDE/>
        <w:autoSpaceDN/>
        <w:bidi w:val="0"/>
        <w:snapToGrid/>
        <w:spacing w:line="460" w:lineRule="exact"/>
        <w:ind w:firstLine="482" w:firstLineChars="200"/>
        <w:jc w:val="left"/>
        <w:outlineLvl w:val="2"/>
        <w:rPr>
          <w:rFonts w:hint="eastAsia" w:ascii="仿宋" w:hAnsi="仿宋" w:eastAsia="仿宋" w:cs="仿宋"/>
          <w:b/>
          <w:color w:val="auto"/>
          <w:sz w:val="24"/>
          <w:szCs w:val="24"/>
          <w:highlight w:val="none"/>
        </w:rPr>
      </w:pPr>
      <w:bookmarkStart w:id="135" w:name="_Toc25268"/>
      <w:bookmarkStart w:id="136" w:name="_Toc12021"/>
      <w:bookmarkStart w:id="137" w:name="_Toc20038"/>
      <w:bookmarkStart w:id="138" w:name="_Toc22991"/>
      <w:bookmarkStart w:id="139" w:name="_Toc7389"/>
      <w:r>
        <w:rPr>
          <w:rFonts w:hint="eastAsia" w:ascii="仿宋" w:hAnsi="仿宋" w:eastAsia="仿宋" w:cs="仿宋"/>
          <w:b/>
          <w:color w:val="auto"/>
          <w:sz w:val="24"/>
          <w:szCs w:val="24"/>
          <w:highlight w:val="none"/>
        </w:rPr>
        <w:t>3.招标范围</w:t>
      </w:r>
      <w:bookmarkEnd w:id="134"/>
      <w:bookmarkEnd w:id="135"/>
      <w:bookmarkEnd w:id="136"/>
      <w:bookmarkEnd w:id="137"/>
      <w:bookmarkEnd w:id="138"/>
      <w:bookmarkEnd w:id="139"/>
    </w:p>
    <w:p w14:paraId="7967AB90">
      <w:pPr>
        <w:keepLines w:val="0"/>
        <w:pageBreakBefore w:val="0"/>
        <w:widowControl w:val="0"/>
        <w:kinsoku/>
        <w:overflowPunct/>
        <w:topLinePunct w:val="0"/>
        <w:autoSpaceDE/>
        <w:autoSpaceDN/>
        <w:bidi w:val="0"/>
        <w:snapToGrid/>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3.1本项目招标范围：见“</w:t>
      </w:r>
      <w:r>
        <w:rPr>
          <w:rFonts w:hint="eastAsia" w:ascii="仿宋" w:hAnsi="仿宋" w:eastAsia="仿宋" w:cs="仿宋"/>
          <w:b/>
          <w:color w:val="auto"/>
          <w:sz w:val="24"/>
          <w:szCs w:val="24"/>
          <w:highlight w:val="none"/>
        </w:rPr>
        <w:t>投标人须知前附表</w:t>
      </w:r>
      <w:r>
        <w:rPr>
          <w:rFonts w:hint="eastAsia" w:ascii="仿宋" w:hAnsi="仿宋" w:eastAsia="仿宋" w:cs="仿宋"/>
          <w:color w:val="auto"/>
          <w:sz w:val="24"/>
          <w:szCs w:val="24"/>
          <w:highlight w:val="none"/>
        </w:rPr>
        <w:t>”。</w:t>
      </w:r>
    </w:p>
    <w:p w14:paraId="42D500FD">
      <w:pPr>
        <w:keepLines w:val="0"/>
        <w:pageBreakBefore w:val="0"/>
        <w:widowControl w:val="0"/>
        <w:kinsoku/>
        <w:overflowPunct/>
        <w:topLinePunct w:val="0"/>
        <w:autoSpaceDE/>
        <w:autoSpaceDN/>
        <w:bidi w:val="0"/>
        <w:snapToGrid/>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3.2本项目</w:t>
      </w:r>
      <w:r>
        <w:rPr>
          <w:rFonts w:hint="eastAsia" w:ascii="仿宋" w:hAnsi="仿宋" w:eastAsia="仿宋" w:cs="仿宋"/>
          <w:color w:val="auto"/>
          <w:sz w:val="24"/>
          <w:szCs w:val="24"/>
          <w:highlight w:val="none"/>
          <w:lang w:val="en-US" w:eastAsia="zh-CN"/>
        </w:rPr>
        <w:t>合同履约期限、质量要求、质保期限</w:t>
      </w:r>
      <w:r>
        <w:rPr>
          <w:rFonts w:hint="eastAsia" w:ascii="仿宋" w:hAnsi="仿宋" w:eastAsia="仿宋" w:cs="仿宋"/>
          <w:color w:val="auto"/>
          <w:sz w:val="24"/>
          <w:szCs w:val="24"/>
          <w:highlight w:val="none"/>
        </w:rPr>
        <w:t>：见“</w:t>
      </w:r>
      <w:r>
        <w:rPr>
          <w:rFonts w:hint="eastAsia" w:ascii="仿宋" w:hAnsi="仿宋" w:eastAsia="仿宋" w:cs="仿宋"/>
          <w:b/>
          <w:color w:val="auto"/>
          <w:sz w:val="24"/>
          <w:szCs w:val="24"/>
          <w:highlight w:val="none"/>
        </w:rPr>
        <w:t>投标人须知前附表</w:t>
      </w:r>
      <w:r>
        <w:rPr>
          <w:rFonts w:hint="eastAsia" w:ascii="仿宋" w:hAnsi="仿宋" w:eastAsia="仿宋" w:cs="仿宋"/>
          <w:color w:val="auto"/>
          <w:sz w:val="24"/>
          <w:szCs w:val="24"/>
          <w:highlight w:val="none"/>
        </w:rPr>
        <w:t>”。</w:t>
      </w:r>
    </w:p>
    <w:p w14:paraId="5A162894">
      <w:pPr>
        <w:keepLines w:val="0"/>
        <w:pageBreakBefore w:val="0"/>
        <w:widowControl w:val="0"/>
        <w:kinsoku/>
        <w:overflowPunct/>
        <w:topLinePunct w:val="0"/>
        <w:autoSpaceDE/>
        <w:autoSpaceDN/>
        <w:bidi w:val="0"/>
        <w:snapToGrid/>
        <w:spacing w:line="460" w:lineRule="exact"/>
        <w:ind w:firstLine="482" w:firstLineChars="200"/>
        <w:jc w:val="left"/>
        <w:outlineLvl w:val="2"/>
        <w:rPr>
          <w:rFonts w:hint="eastAsia" w:ascii="仿宋" w:hAnsi="仿宋" w:eastAsia="仿宋" w:cs="仿宋"/>
          <w:b/>
          <w:color w:val="auto"/>
          <w:sz w:val="24"/>
          <w:szCs w:val="24"/>
          <w:highlight w:val="none"/>
        </w:rPr>
      </w:pPr>
      <w:bookmarkStart w:id="140" w:name="_Toc10945"/>
      <w:bookmarkStart w:id="141" w:name="_Toc18648"/>
      <w:bookmarkStart w:id="142" w:name="_Toc4112"/>
      <w:bookmarkStart w:id="143" w:name="_Toc23223"/>
      <w:bookmarkStart w:id="144" w:name="_Toc774"/>
      <w:bookmarkStart w:id="145" w:name="_Toc31557"/>
      <w:r>
        <w:rPr>
          <w:rFonts w:hint="eastAsia" w:ascii="仿宋" w:hAnsi="仿宋" w:eastAsia="仿宋" w:cs="仿宋"/>
          <w:b/>
          <w:color w:val="auto"/>
          <w:sz w:val="24"/>
          <w:szCs w:val="24"/>
          <w:highlight w:val="none"/>
        </w:rPr>
        <w:t>4.合格的投标人</w:t>
      </w:r>
      <w:bookmarkEnd w:id="140"/>
      <w:bookmarkEnd w:id="141"/>
      <w:bookmarkEnd w:id="142"/>
      <w:bookmarkEnd w:id="143"/>
      <w:bookmarkEnd w:id="144"/>
      <w:bookmarkEnd w:id="145"/>
    </w:p>
    <w:p w14:paraId="4BE9C3C1">
      <w:pPr>
        <w:keepLines w:val="0"/>
        <w:pageBreakBefore w:val="0"/>
        <w:widowControl w:val="0"/>
        <w:kinsoku/>
        <w:overflowPunct/>
        <w:topLinePunct w:val="0"/>
        <w:autoSpaceDE/>
        <w:autoSpaceDN/>
        <w:bidi w:val="0"/>
        <w:snapToGrid/>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4.1投标人应符合招标文件“招标公告”中规定的条件。</w:t>
      </w:r>
    </w:p>
    <w:p w14:paraId="0EE14A31">
      <w:pPr>
        <w:keepLines w:val="0"/>
        <w:pageBreakBefore w:val="0"/>
        <w:widowControl w:val="0"/>
        <w:kinsoku/>
        <w:overflowPunct/>
        <w:topLinePunct w:val="0"/>
        <w:autoSpaceDE/>
        <w:autoSpaceDN/>
        <w:bidi w:val="0"/>
        <w:snapToGrid/>
        <w:spacing w:line="460" w:lineRule="exact"/>
        <w:ind w:firstLine="482" w:firstLineChars="200"/>
        <w:jc w:val="left"/>
        <w:outlineLvl w:val="2"/>
        <w:rPr>
          <w:rFonts w:hint="eastAsia" w:ascii="仿宋" w:hAnsi="仿宋" w:eastAsia="仿宋" w:cs="仿宋"/>
          <w:color w:val="auto"/>
          <w:sz w:val="24"/>
          <w:szCs w:val="24"/>
          <w:highlight w:val="none"/>
        </w:rPr>
      </w:pPr>
      <w:bookmarkStart w:id="146" w:name="_Toc27984"/>
      <w:bookmarkStart w:id="147" w:name="_Toc30212"/>
      <w:bookmarkStart w:id="148" w:name="_Toc25689"/>
      <w:bookmarkStart w:id="149" w:name="_Toc20908"/>
      <w:bookmarkStart w:id="150" w:name="_Toc5441"/>
      <w:bookmarkStart w:id="151" w:name="_Toc31472"/>
      <w:r>
        <w:rPr>
          <w:rFonts w:hint="eastAsia" w:ascii="仿宋" w:hAnsi="仿宋" w:eastAsia="仿宋" w:cs="仿宋"/>
          <w:b/>
          <w:color w:val="auto"/>
          <w:sz w:val="24"/>
          <w:szCs w:val="24"/>
          <w:highlight w:val="none"/>
        </w:rPr>
        <w:t>5.投标费用</w:t>
      </w:r>
      <w:bookmarkEnd w:id="146"/>
      <w:bookmarkEnd w:id="147"/>
      <w:bookmarkEnd w:id="148"/>
      <w:bookmarkEnd w:id="149"/>
      <w:bookmarkEnd w:id="150"/>
      <w:bookmarkEnd w:id="151"/>
    </w:p>
    <w:p w14:paraId="7FBED14E">
      <w:pPr>
        <w:pStyle w:val="22"/>
        <w:keepLines w:val="0"/>
        <w:pageBreakBefore w:val="0"/>
        <w:widowControl w:val="0"/>
        <w:kinsoku/>
        <w:overflowPunct/>
        <w:topLinePunct w:val="0"/>
        <w:autoSpaceDE/>
        <w:autoSpaceDN/>
        <w:bidi w:val="0"/>
        <w:snapToGrid/>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5.1不论投标结果如何，投标人均应自行承担所有与准备和参加投标活动有关的全部费用以及“</w:t>
      </w:r>
      <w:r>
        <w:rPr>
          <w:rFonts w:hint="eastAsia" w:ascii="仿宋" w:hAnsi="仿宋" w:eastAsia="仿宋" w:cs="仿宋"/>
          <w:b/>
          <w:color w:val="auto"/>
          <w:sz w:val="24"/>
          <w:szCs w:val="24"/>
          <w:highlight w:val="none"/>
        </w:rPr>
        <w:t>投标人须知前附表</w:t>
      </w:r>
      <w:r>
        <w:rPr>
          <w:rFonts w:hint="eastAsia" w:ascii="仿宋" w:hAnsi="仿宋" w:eastAsia="仿宋" w:cs="仿宋"/>
          <w:color w:val="auto"/>
          <w:sz w:val="24"/>
          <w:szCs w:val="24"/>
          <w:highlight w:val="none"/>
        </w:rPr>
        <w:t>”中所包含的费用。</w:t>
      </w:r>
    </w:p>
    <w:p w14:paraId="1EFBEBC9">
      <w:pPr>
        <w:keepLines w:val="0"/>
        <w:pageBreakBefore w:val="0"/>
        <w:widowControl w:val="0"/>
        <w:kinsoku/>
        <w:overflowPunct/>
        <w:topLinePunct w:val="0"/>
        <w:autoSpaceDE/>
        <w:autoSpaceDN/>
        <w:bidi w:val="0"/>
        <w:snapToGrid/>
        <w:spacing w:line="460" w:lineRule="exact"/>
        <w:ind w:firstLine="480" w:firstLineChars="200"/>
        <w:jc w:val="left"/>
        <w:rPr>
          <w:rFonts w:hint="default" w:eastAsia="仿宋"/>
          <w:b/>
          <w:bCs/>
          <w:color w:val="auto"/>
          <w:highlight w:val="none"/>
          <w:lang w:val="en-US" w:eastAsia="zh-CN"/>
        </w:rPr>
      </w:pPr>
      <w:r>
        <w:rPr>
          <w:rFonts w:hint="eastAsia" w:ascii="仿宋" w:hAnsi="仿宋" w:eastAsia="仿宋" w:cs="仿宋"/>
          <w:color w:val="auto"/>
          <w:sz w:val="24"/>
          <w:szCs w:val="24"/>
          <w:highlight w:val="none"/>
          <w:lang w:val="en-US" w:eastAsia="zh-CN"/>
        </w:rPr>
        <w:t>5.2本项目采购人将不统一组织现场踏勘。若投标人认为必要时，可与采购人联系进行考察，但由此产生的费用和风险由投标人自行承担。</w:t>
      </w:r>
    </w:p>
    <w:p w14:paraId="792F617C">
      <w:pPr>
        <w:keepLines w:val="0"/>
        <w:pageBreakBefore w:val="0"/>
        <w:widowControl w:val="0"/>
        <w:tabs>
          <w:tab w:val="center" w:pos="4917"/>
        </w:tabs>
        <w:kinsoku/>
        <w:overflowPunct/>
        <w:topLinePunct w:val="0"/>
        <w:autoSpaceDE/>
        <w:autoSpaceDN/>
        <w:bidi w:val="0"/>
        <w:snapToGrid/>
        <w:spacing w:line="460" w:lineRule="exact"/>
        <w:ind w:firstLine="482" w:firstLineChars="200"/>
        <w:jc w:val="left"/>
        <w:outlineLvl w:val="2"/>
        <w:rPr>
          <w:rFonts w:hint="eastAsia" w:ascii="仿宋" w:hAnsi="仿宋" w:eastAsia="仿宋" w:cs="仿宋"/>
          <w:b/>
          <w:color w:val="auto"/>
          <w:sz w:val="24"/>
          <w:szCs w:val="24"/>
          <w:highlight w:val="none"/>
        </w:rPr>
      </w:pPr>
      <w:bookmarkStart w:id="152" w:name="_Toc19255"/>
      <w:bookmarkStart w:id="153" w:name="_Toc31400"/>
      <w:bookmarkStart w:id="154" w:name="_Toc5150"/>
      <w:bookmarkStart w:id="155" w:name="_Toc16228"/>
      <w:bookmarkStart w:id="156" w:name="_Toc475291681"/>
      <w:bookmarkStart w:id="157" w:name="_Toc321836356"/>
      <w:bookmarkStart w:id="158" w:name="_Toc476848359"/>
      <w:bookmarkStart w:id="159" w:name="_Toc13257"/>
      <w:bookmarkStart w:id="160" w:name="_Toc18489"/>
      <w:r>
        <w:rPr>
          <w:rFonts w:hint="eastAsia" w:ascii="仿宋" w:hAnsi="仿宋" w:eastAsia="仿宋" w:cs="仿宋"/>
          <w:b/>
          <w:color w:val="auto"/>
          <w:sz w:val="24"/>
          <w:szCs w:val="24"/>
          <w:highlight w:val="none"/>
        </w:rPr>
        <w:t>6.质疑</w:t>
      </w:r>
      <w:bookmarkEnd w:id="152"/>
      <w:bookmarkEnd w:id="153"/>
      <w:bookmarkEnd w:id="154"/>
      <w:bookmarkEnd w:id="155"/>
      <w:bookmarkEnd w:id="156"/>
      <w:bookmarkEnd w:id="157"/>
      <w:bookmarkEnd w:id="158"/>
      <w:bookmarkEnd w:id="159"/>
      <w:bookmarkEnd w:id="160"/>
    </w:p>
    <w:p w14:paraId="52572721">
      <w:pPr>
        <w:keepLines w:val="0"/>
        <w:pageBreakBefore w:val="0"/>
        <w:widowControl w:val="0"/>
        <w:kinsoku/>
        <w:overflowPunct/>
        <w:topLinePunct w:val="0"/>
        <w:autoSpaceDE/>
        <w:autoSpaceDN/>
        <w:bidi w:val="0"/>
        <w:snapToGrid/>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6.1投标人认为</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采购过程、中标或者成交结果使自己的权益受到损害的，可以在知道或者应知其权益受到损害之日起7个工作日内，以书面形式向采购人、采购代理机构提出质疑。质疑内容不得含有虚假、恶意成分。当事人对自己提出的主张，有责任提供证据，提出质疑时应同时提交相关证据材料和注明事实的确切来源。</w:t>
      </w:r>
    </w:p>
    <w:p w14:paraId="25EDFFAA">
      <w:pPr>
        <w:keepLines w:val="0"/>
        <w:pageBreakBefore w:val="0"/>
        <w:widowControl w:val="0"/>
        <w:kinsoku/>
        <w:overflowPunct/>
        <w:topLinePunct w:val="0"/>
        <w:autoSpaceDE/>
        <w:autoSpaceDN/>
        <w:bidi w:val="0"/>
        <w:snapToGrid/>
        <w:spacing w:line="460" w:lineRule="exact"/>
        <w:ind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提出质疑的投标人（以下简称质疑投标人）应当是参与所质疑项目采购活动的投标人。</w:t>
      </w:r>
    </w:p>
    <w:p w14:paraId="1F398142">
      <w:pPr>
        <w:keepLines w:val="0"/>
        <w:pageBreakBefore w:val="0"/>
        <w:widowControl w:val="0"/>
        <w:kinsoku/>
        <w:overflowPunct/>
        <w:topLinePunct w:val="0"/>
        <w:autoSpaceDE/>
        <w:autoSpaceDN/>
        <w:bidi w:val="0"/>
        <w:snapToGrid/>
        <w:spacing w:line="460" w:lineRule="exact"/>
        <w:ind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潜在投标人已依法获取</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的，可以对该文件提出质疑。对</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提出质疑的，应当在获取</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或者采购公告期限届满之日（报名结束之日）起7个工作日内提出。</w:t>
      </w:r>
    </w:p>
    <w:p w14:paraId="1911189A">
      <w:pPr>
        <w:keepLines w:val="0"/>
        <w:pageBreakBefore w:val="0"/>
        <w:widowControl w:val="0"/>
        <w:kinsoku/>
        <w:overflowPunct/>
        <w:topLinePunct w:val="0"/>
        <w:autoSpaceDE/>
        <w:autoSpaceDN/>
        <w:bidi w:val="0"/>
        <w:snapToGrid/>
        <w:spacing w:line="46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受理质疑部门：</w:t>
      </w:r>
      <w:r>
        <w:rPr>
          <w:rFonts w:hint="eastAsia" w:ascii="仿宋" w:hAnsi="仿宋" w:eastAsia="仿宋" w:cs="仿宋"/>
          <w:color w:val="auto"/>
          <w:kern w:val="0"/>
          <w:sz w:val="24"/>
          <w:szCs w:val="24"/>
          <w:highlight w:val="none"/>
        </w:rPr>
        <w:t>详见须知前附表“代理机构”</w:t>
      </w:r>
    </w:p>
    <w:p w14:paraId="2E89B746">
      <w:pPr>
        <w:keepLines w:val="0"/>
        <w:pageBreakBefore w:val="0"/>
        <w:widowControl w:val="0"/>
        <w:kinsoku/>
        <w:overflowPunct/>
        <w:topLinePunct w:val="0"/>
        <w:autoSpaceDE/>
        <w:autoSpaceDN/>
        <w:bidi w:val="0"/>
        <w:snapToGrid/>
        <w:spacing w:line="460" w:lineRule="exact"/>
        <w:ind w:firstLine="482" w:firstLineChars="200"/>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u w:val="single"/>
        </w:rPr>
        <w:t>6.2投标人提供的质疑书应符合中华人民共和国财政部令第94号《政府采购质疑和投诉办法》的规定。</w:t>
      </w:r>
      <w:r>
        <w:rPr>
          <w:rFonts w:hint="eastAsia" w:ascii="仿宋" w:hAnsi="仿宋" w:eastAsia="仿宋" w:cs="仿宋"/>
          <w:color w:val="auto"/>
          <w:sz w:val="24"/>
          <w:szCs w:val="24"/>
          <w:highlight w:val="none"/>
        </w:rPr>
        <w:t>投标人提供的质疑书（如材料中有外文资料应同时附上中文译本）应当包括以下主要内容：</w:t>
      </w:r>
    </w:p>
    <w:p w14:paraId="1859B8F9">
      <w:pPr>
        <w:keepLines w:val="0"/>
        <w:pageBreakBefore w:val="0"/>
        <w:widowControl w:val="0"/>
        <w:kinsoku/>
        <w:overflowPunct/>
        <w:topLinePunct w:val="0"/>
        <w:autoSpaceDE/>
        <w:autoSpaceDN/>
        <w:bidi w:val="0"/>
        <w:snapToGrid/>
        <w:spacing w:line="460" w:lineRule="exact"/>
        <w:ind w:firstLine="410" w:firstLineChars="171"/>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（一）投标人的姓名或者名称、地址、邮编、联系人及联系电话；</w:t>
      </w:r>
    </w:p>
    <w:p w14:paraId="48F7520A">
      <w:pPr>
        <w:keepLines w:val="0"/>
        <w:pageBreakBefore w:val="0"/>
        <w:widowControl w:val="0"/>
        <w:kinsoku/>
        <w:overflowPunct/>
        <w:topLinePunct w:val="0"/>
        <w:autoSpaceDE/>
        <w:autoSpaceDN/>
        <w:bidi w:val="0"/>
        <w:snapToGrid/>
        <w:spacing w:line="460" w:lineRule="exact"/>
        <w:ind w:firstLine="410" w:firstLineChars="171"/>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（二）质疑项目的名称、编号；</w:t>
      </w:r>
    </w:p>
    <w:p w14:paraId="7DECA830">
      <w:pPr>
        <w:keepLines w:val="0"/>
        <w:pageBreakBefore w:val="0"/>
        <w:widowControl w:val="0"/>
        <w:kinsoku/>
        <w:overflowPunct/>
        <w:topLinePunct w:val="0"/>
        <w:autoSpaceDE/>
        <w:autoSpaceDN/>
        <w:bidi w:val="0"/>
        <w:snapToGrid/>
        <w:spacing w:line="460" w:lineRule="exact"/>
        <w:ind w:firstLine="410" w:firstLineChars="171"/>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（三）具体、明确的质疑事项和与质疑事项相关的请求；</w:t>
      </w:r>
    </w:p>
    <w:p w14:paraId="7626B35D">
      <w:pPr>
        <w:keepLines w:val="0"/>
        <w:pageBreakBefore w:val="0"/>
        <w:widowControl w:val="0"/>
        <w:kinsoku/>
        <w:overflowPunct/>
        <w:topLinePunct w:val="0"/>
        <w:autoSpaceDE/>
        <w:autoSpaceDN/>
        <w:bidi w:val="0"/>
        <w:snapToGrid/>
        <w:spacing w:line="460" w:lineRule="exact"/>
        <w:ind w:firstLine="410" w:firstLineChars="171"/>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（四）事实依据；</w:t>
      </w:r>
    </w:p>
    <w:p w14:paraId="7052AD72">
      <w:pPr>
        <w:keepLines w:val="0"/>
        <w:pageBreakBefore w:val="0"/>
        <w:widowControl w:val="0"/>
        <w:kinsoku/>
        <w:overflowPunct/>
        <w:topLinePunct w:val="0"/>
        <w:autoSpaceDE/>
        <w:autoSpaceDN/>
        <w:bidi w:val="0"/>
        <w:snapToGrid/>
        <w:spacing w:line="460" w:lineRule="exact"/>
        <w:ind w:firstLine="410" w:firstLineChars="171"/>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（五）必要的法律依据；</w:t>
      </w:r>
    </w:p>
    <w:p w14:paraId="55943F85">
      <w:pPr>
        <w:keepLines w:val="0"/>
        <w:pageBreakBefore w:val="0"/>
        <w:widowControl w:val="0"/>
        <w:kinsoku/>
        <w:overflowPunct/>
        <w:topLinePunct w:val="0"/>
        <w:autoSpaceDE/>
        <w:autoSpaceDN/>
        <w:bidi w:val="0"/>
        <w:snapToGrid/>
        <w:spacing w:line="460" w:lineRule="exact"/>
        <w:ind w:firstLine="410" w:firstLineChars="171"/>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（六）提出质疑的日期。</w:t>
      </w:r>
    </w:p>
    <w:p w14:paraId="2B917EBE">
      <w:pPr>
        <w:keepLines w:val="0"/>
        <w:pageBreakBefore w:val="0"/>
        <w:widowControl w:val="0"/>
        <w:kinsoku/>
        <w:overflowPunct/>
        <w:topLinePunct w:val="0"/>
        <w:autoSpaceDE/>
        <w:autoSpaceDN/>
        <w:bidi w:val="0"/>
        <w:snapToGrid/>
        <w:spacing w:line="460" w:lineRule="exact"/>
        <w:ind w:firstLine="542" w:firstLineChars="225"/>
        <w:jc w:val="left"/>
        <w:rPr>
          <w:rFonts w:hint="eastAsia" w:ascii="仿宋" w:hAnsi="仿宋" w:eastAsia="仿宋" w:cs="仿宋"/>
          <w:b/>
          <w:bCs/>
          <w:color w:val="auto"/>
          <w:sz w:val="24"/>
          <w:szCs w:val="24"/>
          <w:highlight w:val="none"/>
          <w:u w:val="single"/>
        </w:rPr>
      </w:pPr>
      <w:r>
        <w:rPr>
          <w:rFonts w:hint="eastAsia" w:ascii="仿宋" w:hAnsi="仿宋" w:eastAsia="仿宋" w:cs="仿宋"/>
          <w:b/>
          <w:bCs/>
          <w:color w:val="auto"/>
          <w:sz w:val="24"/>
          <w:szCs w:val="24"/>
          <w:highlight w:val="none"/>
          <w:u w:val="single"/>
        </w:rPr>
        <w:t>质疑书实行实名制，投标人为自然人的，应当由本人签字；投标人为法人或者其他组织的，应当由法定代表人、主要负责人，或者其授权代表签字或者盖章，并加盖公章的原件。</w:t>
      </w:r>
    </w:p>
    <w:p w14:paraId="7BF4DE71">
      <w:pPr>
        <w:keepLines w:val="0"/>
        <w:pageBreakBefore w:val="0"/>
        <w:widowControl w:val="0"/>
        <w:kinsoku/>
        <w:overflowPunct/>
        <w:topLinePunct w:val="0"/>
        <w:autoSpaceDE/>
        <w:autoSpaceDN/>
        <w:bidi w:val="0"/>
        <w:snapToGrid/>
        <w:spacing w:line="460" w:lineRule="exact"/>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6.3</w:t>
      </w:r>
      <w:r>
        <w:rPr>
          <w:rFonts w:hint="eastAsia" w:ascii="仿宋" w:hAnsi="仿宋" w:eastAsia="仿宋" w:cs="仿宋"/>
          <w:color w:val="auto"/>
          <w:kern w:val="0"/>
          <w:sz w:val="24"/>
          <w:szCs w:val="24"/>
          <w:highlight w:val="none"/>
        </w:rPr>
        <w:t>采购人、采购代理机构不得拒收质疑投标人在法定质疑期内发出的质疑函，应当在收到质疑函后7个工作日内作出答复，并以书面形式通知质疑投标人和其他有关投标人。质疑答复的内容不得涉及商业秘密。</w:t>
      </w:r>
    </w:p>
    <w:p w14:paraId="2D3AEDE2">
      <w:pPr>
        <w:keepLines w:val="0"/>
        <w:pageBreakBefore w:val="0"/>
        <w:widowControl w:val="0"/>
        <w:kinsoku/>
        <w:overflowPunct/>
        <w:topLinePunct w:val="0"/>
        <w:autoSpaceDE/>
        <w:autoSpaceDN/>
        <w:bidi w:val="0"/>
        <w:snapToGrid/>
        <w:spacing w:line="460" w:lineRule="exact"/>
        <w:ind w:firstLine="480" w:firstLineChars="200"/>
        <w:jc w:val="left"/>
        <w:rPr>
          <w:rFonts w:hint="eastAsia" w:ascii="仿宋" w:hAnsi="仿宋" w:eastAsia="仿宋" w:cs="仿宋"/>
          <w:color w:val="auto"/>
          <w:sz w:val="24"/>
          <w:szCs w:val="24"/>
          <w:highlight w:val="none"/>
        </w:rPr>
      </w:pPr>
      <w:bookmarkStart w:id="161" w:name="_Toc476848360"/>
      <w:bookmarkStart w:id="162" w:name="_Toc476856065"/>
      <w:bookmarkStart w:id="163" w:name="_Toc475291682"/>
      <w:bookmarkStart w:id="164" w:name="_Toc480665479"/>
      <w:r>
        <w:rPr>
          <w:rFonts w:hint="eastAsia" w:ascii="仿宋" w:hAnsi="仿宋" w:eastAsia="仿宋" w:cs="仿宋"/>
          <w:color w:val="auto"/>
          <w:sz w:val="24"/>
          <w:szCs w:val="24"/>
          <w:highlight w:val="none"/>
        </w:rPr>
        <w:t>6.4参与政府采购活动的投标人对评审过程或者结果提出质疑的，采购人或采购代理机构可以组织原评审委员会协助处理质疑事项，并依据评审委员会出具的意见进行答复。质疑答复导致中标或成交结果改变的，采购人或采购代理机构应当将相关情况报财政部门备案。</w:t>
      </w:r>
      <w:bookmarkEnd w:id="161"/>
      <w:bookmarkEnd w:id="162"/>
      <w:bookmarkEnd w:id="163"/>
      <w:bookmarkEnd w:id="164"/>
    </w:p>
    <w:p w14:paraId="7BF8CCCD">
      <w:pPr>
        <w:keepLines w:val="0"/>
        <w:pageBreakBefore w:val="0"/>
        <w:widowControl w:val="0"/>
        <w:kinsoku/>
        <w:overflowPunct/>
        <w:topLinePunct w:val="0"/>
        <w:autoSpaceDE/>
        <w:autoSpaceDN/>
        <w:bidi w:val="0"/>
        <w:snapToGrid/>
        <w:spacing w:line="460" w:lineRule="exact"/>
        <w:ind w:firstLine="482" w:firstLineChars="200"/>
        <w:jc w:val="left"/>
        <w:outlineLvl w:val="2"/>
        <w:rPr>
          <w:rFonts w:hint="eastAsia" w:ascii="仿宋" w:hAnsi="仿宋" w:eastAsia="仿宋" w:cs="仿宋"/>
          <w:b/>
          <w:color w:val="auto"/>
          <w:sz w:val="24"/>
          <w:szCs w:val="24"/>
          <w:highlight w:val="none"/>
        </w:rPr>
      </w:pPr>
      <w:bookmarkStart w:id="165" w:name="_Toc321836357"/>
      <w:bookmarkStart w:id="166" w:name="_Toc8812"/>
      <w:bookmarkStart w:id="167" w:name="_Toc476856066"/>
      <w:bookmarkStart w:id="168" w:name="_Toc4694"/>
      <w:bookmarkStart w:id="169" w:name="_Toc16147"/>
      <w:bookmarkStart w:id="170" w:name="_Toc31873"/>
      <w:bookmarkStart w:id="171" w:name="_Toc475291683"/>
      <w:bookmarkStart w:id="172" w:name="_Toc476848361"/>
      <w:bookmarkStart w:id="173" w:name="_Toc10399"/>
      <w:bookmarkStart w:id="174" w:name="_Toc480665480"/>
      <w:bookmarkStart w:id="175" w:name="_Toc25780"/>
      <w:r>
        <w:rPr>
          <w:rFonts w:hint="eastAsia" w:ascii="仿宋" w:hAnsi="仿宋" w:eastAsia="仿宋" w:cs="仿宋"/>
          <w:b/>
          <w:color w:val="auto"/>
          <w:sz w:val="24"/>
          <w:szCs w:val="24"/>
          <w:highlight w:val="none"/>
        </w:rPr>
        <w:t>7.投诉</w:t>
      </w:r>
      <w:bookmarkEnd w:id="165"/>
      <w:bookmarkEnd w:id="166"/>
      <w:bookmarkEnd w:id="167"/>
      <w:bookmarkEnd w:id="168"/>
      <w:bookmarkEnd w:id="169"/>
      <w:bookmarkEnd w:id="170"/>
      <w:bookmarkEnd w:id="171"/>
      <w:bookmarkEnd w:id="172"/>
      <w:bookmarkEnd w:id="173"/>
      <w:bookmarkEnd w:id="174"/>
      <w:bookmarkEnd w:id="175"/>
    </w:p>
    <w:p w14:paraId="68414664">
      <w:pPr>
        <w:pStyle w:val="22"/>
        <w:keepLines w:val="0"/>
        <w:pageBreakBefore w:val="0"/>
        <w:widowControl w:val="0"/>
        <w:kinsoku/>
        <w:overflowPunct/>
        <w:topLinePunct w:val="0"/>
        <w:autoSpaceDE/>
        <w:autoSpaceDN/>
        <w:bidi w:val="0"/>
        <w:snapToGrid/>
        <w:spacing w:line="46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投诉必须首先经过质疑程序。质疑投标人对采购人、采购代理机构的答复不满意，或者采购人、采购代理机构未在规定的时间内做出答复的，可以在答复期满后十五个工作日内书面向同级财政部门提出投诉。</w:t>
      </w:r>
    </w:p>
    <w:p w14:paraId="0C1510AE">
      <w:pPr>
        <w:pStyle w:val="5"/>
        <w:keepLines w:val="0"/>
        <w:pageBreakBefore w:val="0"/>
        <w:widowControl w:val="0"/>
        <w:kinsoku/>
        <w:overflowPunct/>
        <w:topLinePunct w:val="0"/>
        <w:autoSpaceDE/>
        <w:autoSpaceDN/>
        <w:bidi w:val="0"/>
        <w:snapToGrid/>
        <w:spacing w:before="0" w:line="460" w:lineRule="exact"/>
        <w:ind w:left="0" w:firstLine="0"/>
        <w:jc w:val="center"/>
        <w:rPr>
          <w:rFonts w:hint="eastAsia" w:ascii="仿宋" w:hAnsi="仿宋" w:eastAsia="仿宋" w:cs="仿宋"/>
          <w:color w:val="auto"/>
          <w:sz w:val="28"/>
          <w:szCs w:val="28"/>
          <w:highlight w:val="none"/>
        </w:rPr>
      </w:pPr>
      <w:bookmarkStart w:id="176" w:name="_Toc17018"/>
      <w:bookmarkStart w:id="177" w:name="_Toc17630"/>
      <w:bookmarkStart w:id="178" w:name="_Toc302"/>
      <w:bookmarkStart w:id="179" w:name="_Toc14891"/>
      <w:bookmarkStart w:id="180" w:name="_Toc29766"/>
      <w:bookmarkStart w:id="181" w:name="_Toc393354831"/>
      <w:bookmarkStart w:id="182" w:name="_Toc24368"/>
      <w:bookmarkStart w:id="183" w:name="_Toc5661"/>
      <w:bookmarkStart w:id="184" w:name="_Toc475291684"/>
      <w:bookmarkStart w:id="185" w:name="_Toc1711"/>
      <w:r>
        <w:rPr>
          <w:rFonts w:hint="eastAsia" w:ascii="仿宋" w:hAnsi="仿宋" w:eastAsia="仿宋" w:cs="仿宋"/>
          <w:color w:val="auto"/>
          <w:sz w:val="28"/>
          <w:szCs w:val="28"/>
          <w:highlight w:val="none"/>
        </w:rPr>
        <w:t>二、招标文件</w:t>
      </w:r>
      <w:bookmarkEnd w:id="176"/>
      <w:bookmarkEnd w:id="177"/>
      <w:bookmarkEnd w:id="178"/>
      <w:bookmarkEnd w:id="179"/>
      <w:bookmarkEnd w:id="180"/>
      <w:bookmarkEnd w:id="181"/>
      <w:bookmarkEnd w:id="182"/>
      <w:bookmarkEnd w:id="183"/>
      <w:bookmarkEnd w:id="184"/>
      <w:bookmarkEnd w:id="185"/>
    </w:p>
    <w:p w14:paraId="6D1602C6">
      <w:pPr>
        <w:pStyle w:val="22"/>
        <w:keepLines w:val="0"/>
        <w:pageBreakBefore w:val="0"/>
        <w:widowControl w:val="0"/>
        <w:kinsoku/>
        <w:overflowPunct/>
        <w:topLinePunct w:val="0"/>
        <w:autoSpaceDE/>
        <w:autoSpaceDN/>
        <w:bidi w:val="0"/>
        <w:snapToGrid/>
        <w:spacing w:line="460" w:lineRule="exact"/>
        <w:ind w:firstLine="482" w:firstLineChars="200"/>
        <w:outlineLvl w:val="2"/>
        <w:rPr>
          <w:rFonts w:hint="eastAsia" w:ascii="仿宋" w:hAnsi="仿宋" w:eastAsia="仿宋" w:cs="仿宋"/>
          <w:b/>
          <w:bCs/>
          <w:color w:val="auto"/>
          <w:sz w:val="24"/>
          <w:szCs w:val="24"/>
          <w:highlight w:val="none"/>
        </w:rPr>
      </w:pPr>
      <w:bookmarkStart w:id="186" w:name="_Toc22627"/>
      <w:bookmarkStart w:id="187" w:name="_Toc17133"/>
      <w:bookmarkStart w:id="188" w:name="_Toc1302"/>
      <w:bookmarkStart w:id="189" w:name="_Toc20311"/>
      <w:bookmarkStart w:id="190" w:name="_Toc28390"/>
      <w:bookmarkStart w:id="191" w:name="_Toc27943"/>
      <w:r>
        <w:rPr>
          <w:rFonts w:hint="eastAsia" w:ascii="仿宋" w:hAnsi="仿宋" w:eastAsia="仿宋" w:cs="仿宋"/>
          <w:b/>
          <w:bCs/>
          <w:color w:val="auto"/>
          <w:sz w:val="24"/>
          <w:szCs w:val="24"/>
          <w:highlight w:val="none"/>
        </w:rPr>
        <w:t>8.招标文件构成</w:t>
      </w:r>
      <w:bookmarkEnd w:id="186"/>
      <w:bookmarkEnd w:id="187"/>
      <w:bookmarkEnd w:id="188"/>
      <w:bookmarkEnd w:id="189"/>
      <w:bookmarkEnd w:id="190"/>
      <w:bookmarkEnd w:id="191"/>
    </w:p>
    <w:p w14:paraId="2792FD5C">
      <w:pPr>
        <w:keepLines w:val="0"/>
        <w:pageBreakBefore w:val="0"/>
        <w:widowControl w:val="0"/>
        <w:kinsoku/>
        <w:overflowPunct/>
        <w:topLinePunct w:val="0"/>
        <w:autoSpaceDE/>
        <w:autoSpaceDN/>
        <w:bidi w:val="0"/>
        <w:snapToGrid/>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8.1要求提供的服务、采购过程及合同条款在招标文件中均有说明，招标文件共七章，各章的内容如下：</w:t>
      </w:r>
    </w:p>
    <w:p w14:paraId="1F910DD4">
      <w:pPr>
        <w:keepLines w:val="0"/>
        <w:pageBreakBefore w:val="0"/>
        <w:widowControl w:val="0"/>
        <w:kinsoku/>
        <w:overflowPunct/>
        <w:topLinePunct w:val="0"/>
        <w:autoSpaceDE/>
        <w:autoSpaceDN/>
        <w:bidi w:val="0"/>
        <w:snapToGrid/>
        <w:spacing w:line="460" w:lineRule="exact"/>
        <w:ind w:firstLine="720" w:firstLineChars="3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第一章  招标公告</w:t>
      </w:r>
    </w:p>
    <w:p w14:paraId="69986806">
      <w:pPr>
        <w:pStyle w:val="22"/>
        <w:keepLines w:val="0"/>
        <w:pageBreakBefore w:val="0"/>
        <w:widowControl w:val="0"/>
        <w:kinsoku/>
        <w:overflowPunct/>
        <w:topLinePunct w:val="0"/>
        <w:autoSpaceDE/>
        <w:autoSpaceDN/>
        <w:bidi w:val="0"/>
        <w:snapToGrid/>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第二章  投标人须知</w:t>
      </w:r>
    </w:p>
    <w:p w14:paraId="0DD8FD31">
      <w:pPr>
        <w:pStyle w:val="22"/>
        <w:keepLines w:val="0"/>
        <w:pageBreakBefore w:val="0"/>
        <w:widowControl w:val="0"/>
        <w:kinsoku/>
        <w:overflowPunct/>
        <w:topLinePunct w:val="0"/>
        <w:autoSpaceDE/>
        <w:autoSpaceDN/>
        <w:bidi w:val="0"/>
        <w:snapToGrid/>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第三章  合同书样式及主要条款</w:t>
      </w:r>
    </w:p>
    <w:p w14:paraId="3071E57D">
      <w:pPr>
        <w:pStyle w:val="22"/>
        <w:keepLines w:val="0"/>
        <w:pageBreakBefore w:val="0"/>
        <w:widowControl w:val="0"/>
        <w:kinsoku/>
        <w:overflowPunct/>
        <w:topLinePunct w:val="0"/>
        <w:autoSpaceDE/>
        <w:autoSpaceDN/>
        <w:bidi w:val="0"/>
        <w:snapToGrid/>
        <w:spacing w:line="460" w:lineRule="exact"/>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第四章  投标文件格式</w:t>
      </w:r>
    </w:p>
    <w:p w14:paraId="760B46BE">
      <w:pPr>
        <w:pStyle w:val="22"/>
        <w:keepLines w:val="0"/>
        <w:pageBreakBefore w:val="0"/>
        <w:widowControl w:val="0"/>
        <w:kinsoku/>
        <w:overflowPunct/>
        <w:topLinePunct w:val="0"/>
        <w:autoSpaceDE/>
        <w:autoSpaceDN/>
        <w:bidi w:val="0"/>
        <w:snapToGrid/>
        <w:spacing w:line="460" w:lineRule="exac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 xml:space="preserve">      第五章  </w:t>
      </w:r>
      <w:r>
        <w:rPr>
          <w:rFonts w:hint="eastAsia" w:ascii="仿宋" w:hAnsi="仿宋" w:eastAsia="仿宋" w:cs="仿宋"/>
          <w:bCs/>
          <w:color w:val="auto"/>
          <w:sz w:val="24"/>
          <w:szCs w:val="24"/>
          <w:highlight w:val="none"/>
          <w:lang w:eastAsia="zh-CN"/>
        </w:rPr>
        <w:t>采购需求及技术参数</w:t>
      </w:r>
    </w:p>
    <w:p w14:paraId="66B30783">
      <w:pPr>
        <w:pStyle w:val="22"/>
        <w:keepLines w:val="0"/>
        <w:pageBreakBefore w:val="0"/>
        <w:widowControl w:val="0"/>
        <w:kinsoku/>
        <w:overflowPunct/>
        <w:topLinePunct w:val="0"/>
        <w:autoSpaceDE/>
        <w:autoSpaceDN/>
        <w:bidi w:val="0"/>
        <w:snapToGrid/>
        <w:spacing w:line="460" w:lineRule="exact"/>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w:t>
      </w:r>
      <w:r>
        <w:rPr>
          <w:rFonts w:hint="eastAsia" w:ascii="仿宋" w:hAnsi="仿宋" w:eastAsia="仿宋" w:cs="仿宋"/>
          <w:color w:val="auto"/>
          <w:sz w:val="24"/>
          <w:szCs w:val="24"/>
          <w:highlight w:val="none"/>
          <w:lang w:val="en-US" w:eastAsia="zh-CN"/>
        </w:rPr>
        <w:t>六</w:t>
      </w:r>
      <w:r>
        <w:rPr>
          <w:rFonts w:hint="eastAsia" w:ascii="仿宋" w:hAnsi="仿宋" w:eastAsia="仿宋" w:cs="仿宋"/>
          <w:color w:val="auto"/>
          <w:sz w:val="24"/>
          <w:szCs w:val="24"/>
          <w:highlight w:val="none"/>
        </w:rPr>
        <w:t>章  评标办法</w:t>
      </w:r>
    </w:p>
    <w:p w14:paraId="0C8D8902">
      <w:pPr>
        <w:pStyle w:val="22"/>
        <w:keepLines w:val="0"/>
        <w:pageBreakBefore w:val="0"/>
        <w:widowControl w:val="0"/>
        <w:kinsoku/>
        <w:overflowPunct/>
        <w:topLinePunct w:val="0"/>
        <w:autoSpaceDE/>
        <w:autoSpaceDN/>
        <w:bidi w:val="0"/>
        <w:snapToGrid/>
        <w:spacing w:line="460" w:lineRule="exact"/>
        <w:ind w:firstLine="482" w:firstLineChars="200"/>
        <w:outlineLvl w:val="2"/>
        <w:rPr>
          <w:rFonts w:hint="eastAsia" w:ascii="仿宋" w:hAnsi="仿宋" w:eastAsia="仿宋" w:cs="仿宋"/>
          <w:b/>
          <w:bCs/>
          <w:color w:val="auto"/>
          <w:sz w:val="24"/>
          <w:szCs w:val="24"/>
          <w:highlight w:val="none"/>
        </w:rPr>
      </w:pPr>
      <w:bookmarkStart w:id="192" w:name="_Toc12706"/>
      <w:bookmarkStart w:id="193" w:name="_Toc1830"/>
      <w:bookmarkStart w:id="194" w:name="_Toc14194"/>
      <w:bookmarkStart w:id="195" w:name="_Toc16175"/>
      <w:bookmarkStart w:id="196" w:name="_Toc2010"/>
      <w:bookmarkStart w:id="197" w:name="_Toc31860"/>
      <w:r>
        <w:rPr>
          <w:rFonts w:hint="eastAsia" w:ascii="仿宋" w:hAnsi="仿宋" w:eastAsia="仿宋" w:cs="仿宋"/>
          <w:b/>
          <w:bCs/>
          <w:color w:val="auto"/>
          <w:sz w:val="24"/>
          <w:szCs w:val="24"/>
          <w:highlight w:val="none"/>
        </w:rPr>
        <w:t>9.招标文件的澄清</w:t>
      </w:r>
      <w:bookmarkEnd w:id="192"/>
      <w:bookmarkEnd w:id="193"/>
      <w:bookmarkEnd w:id="194"/>
      <w:bookmarkEnd w:id="195"/>
      <w:bookmarkEnd w:id="196"/>
      <w:bookmarkEnd w:id="197"/>
    </w:p>
    <w:p w14:paraId="67D00D04">
      <w:pPr>
        <w:keepLines w:val="0"/>
        <w:pageBreakBefore w:val="0"/>
        <w:widowControl w:val="0"/>
        <w:kinsoku/>
        <w:overflowPunct/>
        <w:topLinePunct w:val="0"/>
        <w:autoSpaceDE/>
        <w:autoSpaceDN/>
        <w:bidi w:val="0"/>
        <w:snapToGrid/>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9.1投标人应认真核查招标文件，如有疑问的，投标人可以在“</w:t>
      </w:r>
      <w:r>
        <w:rPr>
          <w:rFonts w:hint="eastAsia" w:ascii="仿宋" w:hAnsi="仿宋" w:eastAsia="仿宋" w:cs="仿宋"/>
          <w:b/>
          <w:bCs/>
          <w:color w:val="auto"/>
          <w:sz w:val="24"/>
          <w:szCs w:val="24"/>
          <w:highlight w:val="none"/>
        </w:rPr>
        <w:t>投标人须知前附表</w:t>
      </w:r>
      <w:r>
        <w:rPr>
          <w:rFonts w:hint="eastAsia" w:ascii="仿宋" w:hAnsi="仿宋" w:eastAsia="仿宋" w:cs="仿宋"/>
          <w:color w:val="auto"/>
          <w:sz w:val="24"/>
          <w:szCs w:val="24"/>
          <w:highlight w:val="none"/>
        </w:rPr>
        <w:t>”规定截止时间前以澄清函形式（加</w:t>
      </w:r>
      <w:r>
        <w:rPr>
          <w:rFonts w:hint="eastAsia" w:ascii="仿宋" w:hAnsi="仿宋" w:eastAsia="仿宋" w:cs="仿宋"/>
          <w:color w:val="auto"/>
          <w:sz w:val="24"/>
          <w:szCs w:val="24"/>
          <w:highlight w:val="none"/>
          <w:lang w:eastAsia="zh-CN"/>
        </w:rPr>
        <w:t>盖公</w:t>
      </w:r>
      <w:r>
        <w:rPr>
          <w:rFonts w:hint="eastAsia" w:ascii="仿宋" w:hAnsi="仿宋" w:eastAsia="仿宋" w:cs="仿宋"/>
          <w:color w:val="auto"/>
          <w:sz w:val="24"/>
          <w:szCs w:val="24"/>
          <w:highlight w:val="none"/>
        </w:rPr>
        <w:t>章）要求采购人澄清，截止时间后送达的澄清要求不予接受。</w:t>
      </w:r>
    </w:p>
    <w:p w14:paraId="43028139">
      <w:pPr>
        <w:keepLines w:val="0"/>
        <w:pageBreakBefore w:val="0"/>
        <w:widowControl w:val="0"/>
        <w:kinsoku/>
        <w:overflowPunct/>
        <w:topLinePunct w:val="0"/>
        <w:autoSpaceDE/>
        <w:autoSpaceDN/>
        <w:bidi w:val="0"/>
        <w:snapToGrid/>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9.2采购代理机构将以书面形式答复所有购买招标文件的投标人（答复中不包含问题的来源）要求澄清的问题，其他澄清方式为无效。</w:t>
      </w:r>
    </w:p>
    <w:p w14:paraId="7E9594EB">
      <w:pPr>
        <w:pStyle w:val="22"/>
        <w:keepLines w:val="0"/>
        <w:pageBreakBefore w:val="0"/>
        <w:widowControl w:val="0"/>
        <w:kinsoku/>
        <w:overflowPunct/>
        <w:topLinePunct w:val="0"/>
        <w:autoSpaceDE/>
        <w:autoSpaceDN/>
        <w:bidi w:val="0"/>
        <w:snapToGrid/>
        <w:spacing w:line="460" w:lineRule="exact"/>
        <w:ind w:firstLine="482" w:firstLineChars="200"/>
        <w:outlineLvl w:val="2"/>
        <w:rPr>
          <w:rFonts w:hint="eastAsia" w:ascii="仿宋" w:hAnsi="仿宋" w:eastAsia="仿宋" w:cs="仿宋"/>
          <w:b/>
          <w:bCs/>
          <w:color w:val="auto"/>
          <w:sz w:val="24"/>
          <w:szCs w:val="24"/>
          <w:highlight w:val="none"/>
        </w:rPr>
      </w:pPr>
      <w:bookmarkStart w:id="198" w:name="_Toc28196"/>
      <w:bookmarkStart w:id="199" w:name="_Toc4524"/>
      <w:bookmarkStart w:id="200" w:name="_Toc32351"/>
      <w:bookmarkStart w:id="201" w:name="_Toc10673"/>
      <w:bookmarkStart w:id="202" w:name="_Toc22628"/>
      <w:bookmarkStart w:id="203" w:name="_Toc20127"/>
      <w:r>
        <w:rPr>
          <w:rFonts w:hint="eastAsia" w:ascii="仿宋" w:hAnsi="仿宋" w:eastAsia="仿宋" w:cs="仿宋"/>
          <w:b/>
          <w:bCs/>
          <w:color w:val="auto"/>
          <w:sz w:val="24"/>
          <w:szCs w:val="24"/>
          <w:highlight w:val="none"/>
        </w:rPr>
        <w:t>10.招标文件的澄清或者修改</w:t>
      </w:r>
      <w:bookmarkEnd w:id="198"/>
      <w:bookmarkEnd w:id="199"/>
      <w:bookmarkEnd w:id="200"/>
      <w:bookmarkEnd w:id="201"/>
      <w:bookmarkEnd w:id="202"/>
      <w:bookmarkEnd w:id="203"/>
    </w:p>
    <w:p w14:paraId="34C4A874">
      <w:pPr>
        <w:keepLines w:val="0"/>
        <w:pageBreakBefore w:val="0"/>
        <w:widowControl w:val="0"/>
        <w:kinsoku/>
        <w:overflowPunct/>
        <w:topLinePunct w:val="0"/>
        <w:autoSpaceDE/>
        <w:autoSpaceDN/>
        <w:bidi w:val="0"/>
        <w:snapToGrid/>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10.1采购代理机构对已发出的招标文件进行必要澄清或者修改的，于招标文件要求提交投标文件截止时间十五日前，在财政部门指定的政府采购信息发布媒体上发布更正公告，并以书面形式通知所有购买招标文件的投标人。该澄清或者修改的内容为招标文件的组成部分。</w:t>
      </w:r>
    </w:p>
    <w:p w14:paraId="26BB9331">
      <w:pPr>
        <w:keepLines w:val="0"/>
        <w:pageBreakBefore w:val="0"/>
        <w:widowControl w:val="0"/>
        <w:kinsoku/>
        <w:overflowPunct/>
        <w:topLinePunct w:val="0"/>
        <w:autoSpaceDE/>
        <w:autoSpaceDN/>
        <w:bidi w:val="0"/>
        <w:snapToGrid/>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10.2采购代理机构和采购单位可以视采购具体情况，延长投标截止时间和开标时间，但至少在招标文件要求提交投标文件的截止时间三日前，将变更时间书面通知所有购买招标文件的投标人，并在财政部门指定的政府采购信息发布媒体上发布变更公告。</w:t>
      </w:r>
    </w:p>
    <w:p w14:paraId="5DD23692">
      <w:pPr>
        <w:pStyle w:val="5"/>
        <w:keepLines w:val="0"/>
        <w:pageBreakBefore w:val="0"/>
        <w:widowControl w:val="0"/>
        <w:kinsoku/>
        <w:overflowPunct/>
        <w:topLinePunct w:val="0"/>
        <w:autoSpaceDE/>
        <w:autoSpaceDN/>
        <w:bidi w:val="0"/>
        <w:snapToGrid/>
        <w:spacing w:before="0" w:line="460" w:lineRule="exact"/>
        <w:ind w:left="0" w:firstLine="0"/>
        <w:jc w:val="center"/>
        <w:rPr>
          <w:rFonts w:hint="eastAsia" w:ascii="仿宋" w:hAnsi="仿宋" w:eastAsia="仿宋" w:cs="仿宋"/>
          <w:color w:val="auto"/>
          <w:sz w:val="28"/>
          <w:szCs w:val="28"/>
          <w:highlight w:val="none"/>
        </w:rPr>
      </w:pPr>
      <w:bookmarkStart w:id="204" w:name="_Toc475291685"/>
      <w:bookmarkStart w:id="205" w:name="_Toc393354832"/>
      <w:bookmarkStart w:id="206" w:name="_Toc3692"/>
      <w:bookmarkStart w:id="207" w:name="_Toc875"/>
      <w:bookmarkStart w:id="208" w:name="_Toc25604"/>
      <w:bookmarkStart w:id="209" w:name="_Toc31711"/>
      <w:bookmarkStart w:id="210" w:name="_Toc28534"/>
      <w:bookmarkStart w:id="211" w:name="_Toc29651"/>
      <w:bookmarkStart w:id="212" w:name="_Toc4113"/>
      <w:bookmarkStart w:id="213" w:name="_Toc16213"/>
      <w:r>
        <w:rPr>
          <w:rFonts w:hint="eastAsia" w:ascii="仿宋" w:hAnsi="仿宋" w:eastAsia="仿宋" w:cs="仿宋"/>
          <w:color w:val="auto"/>
          <w:sz w:val="28"/>
          <w:szCs w:val="28"/>
          <w:highlight w:val="none"/>
        </w:rPr>
        <w:t>三、投标文件</w:t>
      </w:r>
      <w:bookmarkEnd w:id="204"/>
      <w:bookmarkEnd w:id="205"/>
      <w:bookmarkEnd w:id="206"/>
      <w:bookmarkEnd w:id="207"/>
      <w:bookmarkEnd w:id="208"/>
      <w:bookmarkEnd w:id="209"/>
      <w:bookmarkEnd w:id="210"/>
      <w:bookmarkEnd w:id="211"/>
      <w:bookmarkEnd w:id="212"/>
      <w:bookmarkEnd w:id="213"/>
    </w:p>
    <w:p w14:paraId="678CF2CA">
      <w:pPr>
        <w:keepLines w:val="0"/>
        <w:pageBreakBefore w:val="0"/>
        <w:widowControl w:val="0"/>
        <w:kinsoku/>
        <w:overflowPunct/>
        <w:topLinePunct w:val="0"/>
        <w:autoSpaceDE/>
        <w:autoSpaceDN/>
        <w:bidi w:val="0"/>
        <w:snapToGrid/>
        <w:spacing w:line="460" w:lineRule="exact"/>
        <w:ind w:firstLine="482" w:firstLineChars="200"/>
        <w:jc w:val="left"/>
        <w:outlineLvl w:val="2"/>
        <w:rPr>
          <w:rFonts w:hint="eastAsia" w:ascii="仿宋" w:hAnsi="仿宋" w:eastAsia="仿宋" w:cs="仿宋"/>
          <w:b/>
          <w:color w:val="auto"/>
          <w:sz w:val="24"/>
          <w:szCs w:val="24"/>
          <w:highlight w:val="none"/>
        </w:rPr>
      </w:pPr>
      <w:bookmarkStart w:id="214" w:name="_Toc27384"/>
      <w:bookmarkStart w:id="215" w:name="_Toc28768"/>
      <w:bookmarkStart w:id="216" w:name="_Toc24471"/>
      <w:bookmarkStart w:id="217" w:name="_Toc9433"/>
      <w:bookmarkStart w:id="218" w:name="_Toc26636"/>
      <w:bookmarkStart w:id="219" w:name="_Toc16705"/>
      <w:r>
        <w:rPr>
          <w:rFonts w:hint="eastAsia" w:ascii="仿宋" w:hAnsi="仿宋" w:eastAsia="仿宋" w:cs="仿宋"/>
          <w:b/>
          <w:color w:val="auto"/>
          <w:sz w:val="24"/>
          <w:szCs w:val="24"/>
          <w:highlight w:val="none"/>
        </w:rPr>
        <w:t>11.投标文件编写注意事项</w:t>
      </w:r>
      <w:bookmarkEnd w:id="214"/>
      <w:bookmarkEnd w:id="215"/>
      <w:bookmarkEnd w:id="216"/>
      <w:bookmarkEnd w:id="217"/>
      <w:bookmarkEnd w:id="218"/>
      <w:bookmarkEnd w:id="219"/>
    </w:p>
    <w:p w14:paraId="43BF976E">
      <w:pPr>
        <w:keepLines w:val="0"/>
        <w:pageBreakBefore w:val="0"/>
        <w:widowControl w:val="0"/>
        <w:kinsoku/>
        <w:overflowPunct/>
        <w:topLinePunct w:val="0"/>
        <w:autoSpaceDE/>
        <w:autoSpaceDN/>
        <w:bidi w:val="0"/>
        <w:snapToGrid/>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11.1投标人应仔细阅读招标文件，在完全了解采购的内容、技术性能要求(详见“</w:t>
      </w:r>
      <w:r>
        <w:rPr>
          <w:rFonts w:hint="eastAsia" w:ascii="仿宋" w:hAnsi="仿宋" w:eastAsia="仿宋" w:cs="仿宋"/>
          <w:b/>
          <w:bCs/>
          <w:color w:val="auto"/>
          <w:sz w:val="24"/>
          <w:szCs w:val="24"/>
          <w:highlight w:val="none"/>
          <w:lang w:eastAsia="zh-CN"/>
        </w:rPr>
        <w:t>采购需求及技术参数</w:t>
      </w:r>
      <w:r>
        <w:rPr>
          <w:rFonts w:hint="eastAsia" w:ascii="仿宋" w:hAnsi="仿宋" w:eastAsia="仿宋" w:cs="仿宋"/>
          <w:b/>
          <w:color w:val="auto"/>
          <w:sz w:val="24"/>
          <w:szCs w:val="24"/>
          <w:highlight w:val="none"/>
        </w:rPr>
        <w:t>”</w:t>
      </w:r>
      <w:r>
        <w:rPr>
          <w:rFonts w:hint="eastAsia" w:ascii="仿宋" w:hAnsi="仿宋" w:eastAsia="仿宋" w:cs="仿宋"/>
          <w:color w:val="auto"/>
          <w:sz w:val="24"/>
          <w:szCs w:val="24"/>
          <w:highlight w:val="none"/>
        </w:rPr>
        <w:t>)和商务条件后，编写投标文件。投标文件必须响应招标文件的实质性要求和条件。</w:t>
      </w:r>
    </w:p>
    <w:p w14:paraId="7E1F006A">
      <w:pPr>
        <w:keepLines w:val="0"/>
        <w:pageBreakBefore w:val="0"/>
        <w:widowControl w:val="0"/>
        <w:kinsoku/>
        <w:overflowPunct/>
        <w:topLinePunct w:val="0"/>
        <w:autoSpaceDE/>
        <w:autoSpaceDN/>
        <w:bidi w:val="0"/>
        <w:snapToGrid/>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11.2对招标文件提出的实质性要求和条件作出响应是指：投标人必须对招标文件中的实质性要求和条件的内容作出满足或者优于原要求和条件的承诺，并提供相应的证明材料。</w:t>
      </w:r>
    </w:p>
    <w:p w14:paraId="10A38187">
      <w:pPr>
        <w:keepLines w:val="0"/>
        <w:pageBreakBefore w:val="0"/>
        <w:widowControl w:val="0"/>
        <w:kinsoku/>
        <w:overflowPunct/>
        <w:topLinePunct w:val="0"/>
        <w:autoSpaceDE/>
        <w:autoSpaceDN/>
        <w:bidi w:val="0"/>
        <w:snapToGrid/>
        <w:spacing w:line="460" w:lineRule="exact"/>
        <w:ind w:firstLine="482" w:firstLineChars="200"/>
        <w:jc w:val="left"/>
        <w:outlineLvl w:val="2"/>
        <w:rPr>
          <w:rFonts w:hint="eastAsia" w:ascii="仿宋" w:hAnsi="仿宋" w:eastAsia="仿宋" w:cs="仿宋"/>
          <w:b/>
          <w:color w:val="auto"/>
          <w:sz w:val="24"/>
          <w:szCs w:val="24"/>
          <w:highlight w:val="none"/>
        </w:rPr>
      </w:pPr>
      <w:bookmarkStart w:id="220" w:name="_Toc2250"/>
      <w:bookmarkStart w:id="221" w:name="_Toc9357"/>
      <w:bookmarkStart w:id="222" w:name="_Toc19979"/>
      <w:bookmarkStart w:id="223" w:name="_Toc31509"/>
      <w:bookmarkStart w:id="224" w:name="_Toc9720"/>
      <w:bookmarkStart w:id="225" w:name="_Toc25160"/>
      <w:r>
        <w:rPr>
          <w:rFonts w:hint="eastAsia" w:ascii="仿宋" w:hAnsi="仿宋" w:eastAsia="仿宋" w:cs="仿宋"/>
          <w:b/>
          <w:color w:val="auto"/>
          <w:sz w:val="24"/>
          <w:szCs w:val="24"/>
          <w:highlight w:val="none"/>
        </w:rPr>
        <w:t>12.投标的语言及计量单位</w:t>
      </w:r>
      <w:bookmarkEnd w:id="220"/>
      <w:bookmarkEnd w:id="221"/>
      <w:bookmarkEnd w:id="222"/>
      <w:bookmarkEnd w:id="223"/>
      <w:bookmarkEnd w:id="224"/>
      <w:bookmarkEnd w:id="225"/>
    </w:p>
    <w:p w14:paraId="4A52B768">
      <w:pPr>
        <w:keepLines w:val="0"/>
        <w:pageBreakBefore w:val="0"/>
        <w:widowControl w:val="0"/>
        <w:kinsoku/>
        <w:overflowPunct/>
        <w:topLinePunct w:val="0"/>
        <w:autoSpaceDE/>
        <w:autoSpaceDN/>
        <w:bidi w:val="0"/>
        <w:snapToGrid/>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12.1投标人的投标文件以及投标人与采购代理机构就有关投标的所有来往函电统一使用中文（特别规定除外）。</w:t>
      </w:r>
    </w:p>
    <w:p w14:paraId="340AF946">
      <w:pPr>
        <w:keepLines w:val="0"/>
        <w:pageBreakBefore w:val="0"/>
        <w:widowControl w:val="0"/>
        <w:kinsoku/>
        <w:overflowPunct/>
        <w:topLinePunct w:val="0"/>
        <w:autoSpaceDE/>
        <w:autoSpaceDN/>
        <w:bidi w:val="0"/>
        <w:snapToGrid/>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12.2投标文件中使用的计量单位除招标文件中有特殊规定外，一律使用中国法定计量单位。</w:t>
      </w:r>
    </w:p>
    <w:p w14:paraId="5FB715ED">
      <w:pPr>
        <w:keepLines w:val="0"/>
        <w:pageBreakBefore w:val="0"/>
        <w:widowControl w:val="0"/>
        <w:kinsoku/>
        <w:overflowPunct/>
        <w:topLinePunct w:val="0"/>
        <w:autoSpaceDE/>
        <w:autoSpaceDN/>
        <w:bidi w:val="0"/>
        <w:snapToGrid/>
        <w:spacing w:line="460" w:lineRule="exact"/>
        <w:ind w:firstLine="482" w:firstLineChars="200"/>
        <w:jc w:val="left"/>
        <w:outlineLvl w:val="2"/>
        <w:rPr>
          <w:rFonts w:hint="eastAsia" w:ascii="仿宋" w:hAnsi="仿宋" w:eastAsia="仿宋" w:cs="仿宋"/>
          <w:b/>
          <w:color w:val="auto"/>
          <w:sz w:val="24"/>
          <w:szCs w:val="24"/>
          <w:highlight w:val="none"/>
        </w:rPr>
      </w:pPr>
      <w:bookmarkStart w:id="226" w:name="_Toc12479"/>
      <w:bookmarkStart w:id="227" w:name="_Toc4607"/>
      <w:bookmarkStart w:id="228" w:name="_Toc3032"/>
      <w:bookmarkStart w:id="229" w:name="_Toc7737"/>
      <w:bookmarkStart w:id="230" w:name="_Toc27130"/>
      <w:bookmarkStart w:id="231" w:name="_Toc29928"/>
      <w:r>
        <w:rPr>
          <w:rFonts w:hint="eastAsia" w:ascii="仿宋" w:hAnsi="仿宋" w:eastAsia="仿宋" w:cs="仿宋"/>
          <w:b/>
          <w:color w:val="auto"/>
          <w:sz w:val="24"/>
          <w:szCs w:val="24"/>
          <w:highlight w:val="none"/>
        </w:rPr>
        <w:t>13.投标文件构成</w:t>
      </w:r>
      <w:bookmarkEnd w:id="226"/>
      <w:bookmarkEnd w:id="227"/>
      <w:bookmarkEnd w:id="228"/>
      <w:bookmarkEnd w:id="229"/>
      <w:bookmarkEnd w:id="230"/>
      <w:bookmarkEnd w:id="231"/>
    </w:p>
    <w:p w14:paraId="580706CA">
      <w:pPr>
        <w:keepLines w:val="0"/>
        <w:pageBreakBefore w:val="0"/>
        <w:widowControl w:val="0"/>
        <w:kinsoku/>
        <w:overflowPunct/>
        <w:topLinePunct w:val="0"/>
        <w:autoSpaceDE/>
        <w:autoSpaceDN/>
        <w:bidi w:val="0"/>
        <w:snapToGrid/>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13.1投标人编写的投标文件应由下列部分构成，</w:t>
      </w:r>
      <w:r>
        <w:rPr>
          <w:rFonts w:hint="eastAsia" w:ascii="仿宋" w:hAnsi="仿宋" w:eastAsia="仿宋" w:cs="仿宋"/>
          <w:b/>
          <w:bCs/>
          <w:color w:val="auto"/>
          <w:sz w:val="24"/>
          <w:szCs w:val="24"/>
          <w:highlight w:val="none"/>
        </w:rPr>
        <w:t>并按第</w:t>
      </w:r>
      <w:r>
        <w:rPr>
          <w:rFonts w:hint="eastAsia" w:ascii="仿宋" w:hAnsi="仿宋" w:eastAsia="仿宋" w:cs="仿宋"/>
          <w:b/>
          <w:bCs/>
          <w:color w:val="auto"/>
          <w:sz w:val="24"/>
          <w:szCs w:val="24"/>
          <w:highlight w:val="none"/>
          <w:lang w:val="en-US" w:eastAsia="zh-CN"/>
        </w:rPr>
        <w:t>五</w:t>
      </w:r>
      <w:r>
        <w:rPr>
          <w:rFonts w:hint="eastAsia" w:ascii="仿宋" w:hAnsi="仿宋" w:eastAsia="仿宋" w:cs="仿宋"/>
          <w:b/>
          <w:bCs/>
          <w:color w:val="auto"/>
          <w:sz w:val="24"/>
          <w:szCs w:val="24"/>
          <w:highlight w:val="none"/>
        </w:rPr>
        <w:t>章“投标文件格式”要求填写</w:t>
      </w:r>
      <w:r>
        <w:rPr>
          <w:rFonts w:hint="eastAsia" w:ascii="仿宋" w:hAnsi="仿宋" w:eastAsia="仿宋" w:cs="仿宋"/>
          <w:color w:val="auto"/>
          <w:sz w:val="24"/>
          <w:szCs w:val="24"/>
          <w:highlight w:val="none"/>
        </w:rPr>
        <w:t>。有关文件的提交如未特别注明需提供原件的，可提供扫描件。</w:t>
      </w:r>
    </w:p>
    <w:p w14:paraId="7FB22188">
      <w:pPr>
        <w:keepLines w:val="0"/>
        <w:pageBreakBefore w:val="0"/>
        <w:widowControl w:val="0"/>
        <w:kinsoku/>
        <w:overflowPunct/>
        <w:topLinePunct w:val="0"/>
        <w:autoSpaceDE/>
        <w:autoSpaceDN/>
        <w:bidi w:val="0"/>
        <w:snapToGrid/>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13.2构成投标文件的其他资料：详见“</w:t>
      </w:r>
      <w:r>
        <w:rPr>
          <w:rFonts w:hint="eastAsia" w:ascii="仿宋" w:hAnsi="仿宋" w:eastAsia="仿宋" w:cs="仿宋"/>
          <w:bCs/>
          <w:color w:val="auto"/>
          <w:sz w:val="24"/>
          <w:szCs w:val="24"/>
          <w:highlight w:val="none"/>
        </w:rPr>
        <w:t>投标人须知前附表</w:t>
      </w:r>
      <w:r>
        <w:rPr>
          <w:rFonts w:hint="eastAsia" w:ascii="仿宋" w:hAnsi="仿宋" w:eastAsia="仿宋" w:cs="仿宋"/>
          <w:color w:val="auto"/>
          <w:sz w:val="24"/>
          <w:szCs w:val="24"/>
          <w:highlight w:val="none"/>
        </w:rPr>
        <w:t>”要求。</w:t>
      </w:r>
    </w:p>
    <w:p w14:paraId="1F96F4E1">
      <w:pPr>
        <w:keepLines w:val="0"/>
        <w:pageBreakBefore w:val="0"/>
        <w:widowControl w:val="0"/>
        <w:kinsoku/>
        <w:overflowPunct/>
        <w:topLinePunct w:val="0"/>
        <w:autoSpaceDE/>
        <w:autoSpaceDN/>
        <w:bidi w:val="0"/>
        <w:snapToGrid/>
        <w:spacing w:line="460" w:lineRule="exact"/>
        <w:ind w:firstLine="482" w:firstLineChars="200"/>
        <w:jc w:val="left"/>
        <w:outlineLvl w:val="2"/>
        <w:rPr>
          <w:rFonts w:hint="eastAsia" w:ascii="仿宋" w:hAnsi="仿宋" w:eastAsia="仿宋" w:cs="仿宋"/>
          <w:b/>
          <w:color w:val="auto"/>
          <w:sz w:val="24"/>
          <w:szCs w:val="24"/>
          <w:highlight w:val="none"/>
        </w:rPr>
      </w:pPr>
      <w:bookmarkStart w:id="232" w:name="_Toc28359"/>
      <w:bookmarkStart w:id="233" w:name="_Toc27533"/>
      <w:bookmarkStart w:id="234" w:name="_Toc4846"/>
      <w:bookmarkStart w:id="235" w:name="_Toc2548"/>
      <w:bookmarkStart w:id="236" w:name="_Toc10292"/>
      <w:bookmarkStart w:id="237" w:name="_Toc5815"/>
      <w:r>
        <w:rPr>
          <w:rFonts w:hint="eastAsia" w:ascii="仿宋" w:hAnsi="仿宋" w:eastAsia="仿宋" w:cs="仿宋"/>
          <w:b/>
          <w:color w:val="auto"/>
          <w:sz w:val="24"/>
          <w:szCs w:val="24"/>
          <w:highlight w:val="none"/>
        </w:rPr>
        <w:t>14.投标文件的格式要求</w:t>
      </w:r>
      <w:bookmarkEnd w:id="232"/>
      <w:bookmarkEnd w:id="233"/>
      <w:bookmarkEnd w:id="234"/>
      <w:bookmarkEnd w:id="235"/>
      <w:bookmarkEnd w:id="236"/>
      <w:bookmarkEnd w:id="237"/>
    </w:p>
    <w:p w14:paraId="20EBF51A">
      <w:pPr>
        <w:pStyle w:val="22"/>
        <w:keepLines w:val="0"/>
        <w:pageBreakBefore w:val="0"/>
        <w:widowControl w:val="0"/>
        <w:tabs>
          <w:tab w:val="left" w:pos="3030"/>
        </w:tabs>
        <w:kinsoku/>
        <w:overflowPunct/>
        <w:topLinePunct w:val="0"/>
        <w:autoSpaceDE/>
        <w:autoSpaceDN/>
        <w:bidi w:val="0"/>
        <w:snapToGrid/>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14.1投标人应按第四章“投标文件格式”提供的格式完整地填写。</w:t>
      </w:r>
    </w:p>
    <w:p w14:paraId="285ADD51">
      <w:pPr>
        <w:keepLines w:val="0"/>
        <w:pageBreakBefore w:val="0"/>
        <w:widowControl w:val="0"/>
        <w:kinsoku/>
        <w:overflowPunct/>
        <w:topLinePunct w:val="0"/>
        <w:autoSpaceDE/>
        <w:autoSpaceDN/>
        <w:bidi w:val="0"/>
        <w:snapToGrid/>
        <w:spacing w:line="460" w:lineRule="exact"/>
        <w:ind w:firstLine="482" w:firstLineChars="200"/>
        <w:jc w:val="left"/>
        <w:outlineLvl w:val="2"/>
        <w:rPr>
          <w:rFonts w:hint="eastAsia" w:ascii="仿宋" w:hAnsi="仿宋" w:eastAsia="仿宋" w:cs="仿宋"/>
          <w:b/>
          <w:color w:val="auto"/>
          <w:sz w:val="24"/>
          <w:szCs w:val="24"/>
          <w:highlight w:val="none"/>
        </w:rPr>
      </w:pPr>
      <w:bookmarkStart w:id="238" w:name="_Toc14609"/>
      <w:bookmarkStart w:id="239" w:name="_Toc27399"/>
      <w:bookmarkStart w:id="240" w:name="_Toc20674"/>
      <w:bookmarkStart w:id="241" w:name="_Toc9058"/>
      <w:bookmarkStart w:id="242" w:name="_Toc9640"/>
      <w:bookmarkStart w:id="243" w:name="_Toc12186"/>
      <w:r>
        <w:rPr>
          <w:rFonts w:hint="eastAsia" w:ascii="仿宋" w:hAnsi="仿宋" w:eastAsia="仿宋" w:cs="仿宋"/>
          <w:b/>
          <w:color w:val="auto"/>
          <w:sz w:val="24"/>
          <w:szCs w:val="24"/>
          <w:highlight w:val="none"/>
        </w:rPr>
        <w:t>15.投标报价</w:t>
      </w:r>
      <w:bookmarkEnd w:id="238"/>
      <w:bookmarkEnd w:id="239"/>
      <w:bookmarkEnd w:id="240"/>
      <w:bookmarkEnd w:id="241"/>
      <w:bookmarkEnd w:id="242"/>
      <w:bookmarkEnd w:id="243"/>
    </w:p>
    <w:p w14:paraId="4F75A2FA">
      <w:pPr>
        <w:keepLines w:val="0"/>
        <w:pageBreakBefore w:val="0"/>
        <w:widowControl w:val="0"/>
        <w:kinsoku/>
        <w:overflowPunct/>
        <w:topLinePunct w:val="0"/>
        <w:autoSpaceDE/>
        <w:autoSpaceDN/>
        <w:bidi w:val="0"/>
        <w:snapToGrid/>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15.1</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须就“</w:t>
      </w:r>
      <w:r>
        <w:rPr>
          <w:rFonts w:hint="eastAsia" w:ascii="仿宋" w:hAnsi="仿宋" w:eastAsia="仿宋" w:cs="仿宋"/>
          <w:color w:val="auto"/>
          <w:sz w:val="24"/>
          <w:szCs w:val="24"/>
          <w:highlight w:val="none"/>
          <w:lang w:val="en-US" w:eastAsia="zh-CN"/>
        </w:rPr>
        <w:t>采购需求及技术参数</w:t>
      </w:r>
      <w:r>
        <w:rPr>
          <w:rFonts w:hint="eastAsia" w:ascii="仿宋" w:hAnsi="仿宋" w:eastAsia="仿宋" w:cs="仿宋"/>
          <w:color w:val="auto"/>
          <w:sz w:val="24"/>
          <w:szCs w:val="24"/>
          <w:highlight w:val="none"/>
        </w:rPr>
        <w:t>”中的所投内容作完整唯一报价；</w:t>
      </w:r>
    </w:p>
    <w:p w14:paraId="3B5F05DE">
      <w:pPr>
        <w:keepLines w:val="0"/>
        <w:pageBreakBefore w:val="0"/>
        <w:widowControl w:val="0"/>
        <w:kinsoku/>
        <w:overflowPunct/>
        <w:topLinePunct w:val="0"/>
        <w:autoSpaceDE/>
        <w:autoSpaceDN/>
        <w:bidi w:val="0"/>
        <w:snapToGrid/>
        <w:spacing w:line="460" w:lineRule="exact"/>
        <w:ind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15.2</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应依据招标文件的要求及有关资料，按国家或行业现行技术经济标准、定额及规范，自行测算出满足招标要求的投标服务的竞争性报价。</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报价为人民币含税价（元），</w:t>
      </w:r>
      <w:r>
        <w:rPr>
          <w:rFonts w:hint="eastAsia" w:ascii="仿宋" w:hAnsi="仿宋" w:eastAsia="仿宋" w:cs="仿宋"/>
          <w:color w:val="auto"/>
          <w:sz w:val="24"/>
          <w:szCs w:val="24"/>
          <w:highlight w:val="none"/>
          <w:lang w:eastAsia="zh-CN"/>
        </w:rPr>
        <w:t>包含货物设计、生产制造、包装、运输、保险、装卸、安装调试、验收、培训、质保期服务、税费及所有伴随货物产生的投标人</w:t>
      </w:r>
      <w:r>
        <w:rPr>
          <w:rFonts w:hint="eastAsia" w:ascii="仿宋" w:hAnsi="仿宋" w:eastAsia="仿宋" w:cs="仿宋"/>
          <w:color w:val="auto"/>
          <w:sz w:val="24"/>
          <w:szCs w:val="24"/>
          <w:highlight w:val="none"/>
        </w:rPr>
        <w:t>技术服务费，保证期内缺陷的修复补救费用，市场价格变化的风险费用、利润、税金等的总和，该报价应考虑市场风险、政策性风险、汇率风险等因素，并能保证</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完成履行合同所需的全部工作，此价格在合同签订后将不作调整。</w:t>
      </w:r>
    </w:p>
    <w:p w14:paraId="1531911B">
      <w:pPr>
        <w:keepLines w:val="0"/>
        <w:pageBreakBefore w:val="0"/>
        <w:widowControl w:val="0"/>
        <w:kinsoku/>
        <w:overflowPunct/>
        <w:topLinePunct w:val="0"/>
        <w:autoSpaceDE/>
        <w:autoSpaceDN/>
        <w:bidi w:val="0"/>
        <w:snapToGrid/>
        <w:spacing w:line="460" w:lineRule="exact"/>
        <w:ind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15.3技术服务费用包括：技术资料费以及技术咨询协调费用、联络费用（若有）、现场服务和人员培训的费用等。</w:t>
      </w:r>
    </w:p>
    <w:p w14:paraId="6CD3485B">
      <w:pPr>
        <w:keepLines w:val="0"/>
        <w:pageBreakBefore w:val="0"/>
        <w:widowControl w:val="0"/>
        <w:kinsoku/>
        <w:overflowPunct/>
        <w:topLinePunct w:val="0"/>
        <w:autoSpaceDE/>
        <w:autoSpaceDN/>
        <w:bidi w:val="0"/>
        <w:snapToGrid/>
        <w:spacing w:line="460" w:lineRule="exact"/>
        <w:ind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15.4</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应依据招标文件的要求及有关资料，按国家或行业现行技术经济标准、定额及规范，自行测算出满足招标要求的报价。投标报价能保证</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完成履行合同所需的全部工作费用；</w:t>
      </w:r>
    </w:p>
    <w:p w14:paraId="0C2D3DD7">
      <w:pPr>
        <w:pStyle w:val="2"/>
        <w:ind w:left="0" w:leftChars="0"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15.5</w:t>
      </w:r>
      <w:bookmarkStart w:id="244" w:name="_Toc24774"/>
      <w:r>
        <w:rPr>
          <w:rFonts w:hint="eastAsia" w:ascii="仿宋" w:hAnsi="仿宋" w:eastAsia="仿宋" w:cs="仿宋"/>
          <w:color w:val="auto"/>
          <w:kern w:val="2"/>
          <w:sz w:val="24"/>
          <w:szCs w:val="24"/>
          <w:highlight w:val="none"/>
          <w:lang w:val="en-US" w:eastAsia="zh-CN" w:bidi="ar-SA"/>
        </w:rPr>
        <w:t>低于成本价不正当竞争预防措施</w:t>
      </w:r>
    </w:p>
    <w:p w14:paraId="1ECBB9E0">
      <w:pPr>
        <w:pageBreakBefore w:val="0"/>
        <w:kinsoku/>
        <w:overflowPunct/>
        <w:bidi w:val="0"/>
        <w:adjustRightInd w:val="0"/>
        <w:spacing w:beforeAutospacing="0" w:afterAutospacing="0"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在评标过程中，评审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审委员会应当将其作为无效投标处理。投标人书面说明应当按照国家财务会计制度的规定要求，逐项就投标人提供的货物、工程和服务的主营业务成本（应根据投标人企业类型予以区别）、税金及附加、销售费用、管理费用、财务费用等成本构成事项详细陈述〔若响应文件未附财务报告的，则还需提供完整的财务状况报告（含三表一附注）〕。</w:t>
      </w:r>
    </w:p>
    <w:p w14:paraId="1A1E7D87">
      <w:pPr>
        <w:pageBreakBefore w:val="0"/>
        <w:kinsoku/>
        <w:overflowPunct/>
        <w:bidi w:val="0"/>
        <w:adjustRightInd w:val="0"/>
        <w:spacing w:beforeAutospacing="0" w:afterAutospacing="0"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根据《关于推动解决政府采购异常低价问题的通知》财库〔2026〕2号，为整治政府采购领域“内卷式”竞争，形成优质优价、良性竞争的市场秩序，评审中出现下列情形之一的，评审委员会应当启动异常低价投标（响应）审查程序：</w:t>
      </w:r>
    </w:p>
    <w:p w14:paraId="118D9C24">
      <w:pPr>
        <w:pageBreakBefore w:val="0"/>
        <w:kinsoku/>
        <w:overflowPunct/>
        <w:bidi w:val="0"/>
        <w:adjustRightInd w:val="0"/>
        <w:spacing w:beforeAutospacing="0" w:afterAutospacing="0"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1）投标（响应）报价低于全部通过符合性审查投标人投标（响应）报价平均值50%的，即投标（响应）报价&lt;全部通过符合性审查投标人投标（响应）报价平均值×50%；</w:t>
      </w:r>
    </w:p>
    <w:p w14:paraId="3EC47B6B">
      <w:pPr>
        <w:pageBreakBefore w:val="0"/>
        <w:kinsoku/>
        <w:overflowPunct/>
        <w:bidi w:val="0"/>
        <w:adjustRightInd w:val="0"/>
        <w:spacing w:beforeAutospacing="0" w:afterAutospacing="0"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2）投标（响应）报价低于通过符合性审查的次低报价投标人投标（响应）报价50%的，即投标（响应）报价&lt;通过符合性审查的次低报价投标人投标（响应）报价×50%；</w:t>
      </w:r>
    </w:p>
    <w:p w14:paraId="047D9178">
      <w:pPr>
        <w:pageBreakBefore w:val="0"/>
        <w:kinsoku/>
        <w:overflowPunct/>
        <w:bidi w:val="0"/>
        <w:adjustRightInd w:val="0"/>
        <w:spacing w:beforeAutospacing="0" w:afterAutospacing="0"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3）投标（响应）报价低于采购项目最高限价45%的，即投标（响应）报价&lt;采购项目最高限价×45%；</w:t>
      </w:r>
    </w:p>
    <w:p w14:paraId="74B99C35">
      <w:pPr>
        <w:pageBreakBefore w:val="0"/>
        <w:kinsoku/>
        <w:overflowPunct/>
        <w:bidi w:val="0"/>
        <w:adjustRightInd w:val="0"/>
        <w:spacing w:beforeAutospacing="0" w:afterAutospacing="0"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4）评审委员会基于专业判断，认为投标人报价过低，有可能影响产品质量或者不能诚信履约的其他情形。</w:t>
      </w:r>
    </w:p>
    <w:p w14:paraId="2FECF431">
      <w:pPr>
        <w:pageBreakBefore w:val="0"/>
        <w:kinsoku/>
        <w:overflowPunct/>
        <w:bidi w:val="0"/>
        <w:adjustRightInd w:val="0"/>
        <w:spacing w:beforeAutospacing="0" w:afterAutospacing="0"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5）采购人可以结合具体项目实际情况，提高上述第1项至第3项中启动异常低价投标（响应）审查的数值标准，但最高不得超过65%。</w:t>
      </w:r>
    </w:p>
    <w:p w14:paraId="51DD1474">
      <w:pPr>
        <w:pageBreakBefore w:val="0"/>
        <w:kinsoku/>
        <w:overflowPunct/>
        <w:bidi w:val="0"/>
        <w:adjustRightInd w:val="0"/>
        <w:spacing w:beforeAutospacing="0" w:afterAutospacing="0"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相关法律法规对投标人报价有规定的，从其规定。</w:t>
      </w:r>
    </w:p>
    <w:p w14:paraId="00B8C802">
      <w:pPr>
        <w:pageBreakBefore w:val="0"/>
        <w:kinsoku/>
        <w:overflowPunct/>
        <w:bidi w:val="0"/>
        <w:adjustRightInd w:val="0"/>
        <w:spacing w:beforeAutospacing="0" w:afterAutospacing="0"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评审委员会启动异常低价投标（响应）审查后，属于前述第1项至第4项情形的，应当要求相关投标人在评审现场合理的时间内对投标（响应）价格作出解释，并提供项目具体成本测算等与报价合理性相关的书面说明及必要的证明材料，包括但不限于原材料成本、人工成本、制造费用等，给予相关投标人的合理时间一般不少于30分钟。其中，属于第3项情形，投标人已随投标（响应）文件一并提交相关书面说明及必要的证明材料的，在评审现场可不再重复提交。</w:t>
      </w:r>
    </w:p>
    <w:p w14:paraId="54ECF624">
      <w:pPr>
        <w:pageBreakBefore w:val="0"/>
        <w:kinsoku/>
        <w:overflowPunct/>
        <w:bidi w:val="0"/>
        <w:adjustRightInd w:val="0"/>
        <w:spacing w:beforeAutospacing="0" w:afterAutospacing="0"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投标人书面说明应当签字确认或者加盖公章，否则无效。书面说明的签字确认，投标人为法人的，由其法定代表人或者代理人签字确认：投标人为其他组织的，由其主要负责人或者代理人签字确认；投标人为自然人的，由其本人或者代理人签字确认。</w:t>
      </w:r>
    </w:p>
    <w:p w14:paraId="36670BC4">
      <w:pPr>
        <w:pageBreakBefore w:val="0"/>
        <w:kinsoku/>
        <w:overflowPunct/>
        <w:bidi w:val="0"/>
        <w:adjustRightInd w:val="0"/>
        <w:spacing w:beforeAutospacing="0" w:afterAutospacing="0"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投标人提供书面说明后，评审委员会应当结合采购项目采购需求、专业实际情况、投标人财务状况报告、与其他投标人比较情况等就投标人书面说明进行审查评价。投标人拒绝或者变相拒绝（包括未在规定时间内提供的）提供有效书面说明或者书面说明不能证明其报价合理性的，评审委员会应当将其响应文件作为无效处理。</w:t>
      </w:r>
    </w:p>
    <w:p w14:paraId="10BDE75C">
      <w:pPr>
        <w:pageBreakBefore w:val="0"/>
        <w:kinsoku/>
        <w:overflowPunct/>
        <w:bidi w:val="0"/>
        <w:adjustRightInd w:val="0"/>
        <w:spacing w:beforeAutospacing="0" w:afterAutospacing="0" w:line="360" w:lineRule="auto"/>
        <w:ind w:firstLine="482" w:firstLineChars="200"/>
        <w:rPr>
          <w:rFonts w:hint="eastAsia" w:ascii="仿宋" w:hAnsi="仿宋" w:eastAsia="仿宋" w:cs="仿宋"/>
          <w:b/>
          <w:bCs/>
          <w:color w:val="auto"/>
          <w:kern w:val="2"/>
          <w:sz w:val="24"/>
          <w:szCs w:val="24"/>
          <w:highlight w:val="none"/>
          <w:lang w:val="en-US" w:eastAsia="zh-CN" w:bidi="ar-SA"/>
        </w:rPr>
      </w:pPr>
      <w:bookmarkStart w:id="245" w:name="_Toc2131"/>
      <w:bookmarkStart w:id="246" w:name="_Toc8288"/>
      <w:bookmarkStart w:id="247" w:name="_Toc355"/>
      <w:r>
        <w:rPr>
          <w:rFonts w:hint="eastAsia" w:ascii="仿宋" w:hAnsi="仿宋" w:eastAsia="仿宋" w:cs="仿宋"/>
          <w:b/>
          <w:bCs/>
          <w:color w:val="auto"/>
          <w:kern w:val="2"/>
          <w:sz w:val="24"/>
          <w:szCs w:val="24"/>
          <w:highlight w:val="none"/>
          <w:lang w:val="en-US" w:eastAsia="zh-CN" w:bidi="ar-SA"/>
        </w:rPr>
        <w:t>16.投标货币</w:t>
      </w:r>
      <w:bookmarkEnd w:id="244"/>
      <w:bookmarkEnd w:id="245"/>
      <w:bookmarkEnd w:id="246"/>
      <w:bookmarkEnd w:id="247"/>
    </w:p>
    <w:p w14:paraId="755B701C">
      <w:pPr>
        <w:pageBreakBefore w:val="0"/>
        <w:kinsoku/>
        <w:overflowPunct/>
        <w:bidi w:val="0"/>
        <w:adjustRightInd w:val="0"/>
        <w:spacing w:beforeAutospacing="0" w:afterAutospacing="0"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16.1投标以人民币报价。</w:t>
      </w:r>
    </w:p>
    <w:p w14:paraId="67318259">
      <w:pPr>
        <w:pageBreakBefore w:val="0"/>
        <w:kinsoku/>
        <w:overflowPunct/>
        <w:bidi w:val="0"/>
        <w:adjustRightInd w:val="0"/>
        <w:spacing w:beforeAutospacing="0" w:afterAutospacing="0" w:line="360" w:lineRule="auto"/>
        <w:ind w:firstLine="480" w:firstLineChars="200"/>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16.2备品备件要求：见“投标人须知前附表”</w:t>
      </w:r>
    </w:p>
    <w:p w14:paraId="75282C35">
      <w:pPr>
        <w:pageBreakBefore w:val="0"/>
        <w:kinsoku/>
        <w:overflowPunct/>
        <w:bidi w:val="0"/>
        <w:adjustRightInd w:val="0"/>
        <w:spacing w:beforeAutospacing="0" w:afterAutospacing="0" w:line="360" w:lineRule="auto"/>
        <w:ind w:firstLine="482" w:firstLineChars="200"/>
        <w:rPr>
          <w:rFonts w:hint="eastAsia" w:ascii="仿宋" w:hAnsi="仿宋" w:eastAsia="仿宋" w:cs="仿宋"/>
          <w:b/>
          <w:bCs/>
          <w:color w:val="auto"/>
          <w:kern w:val="2"/>
          <w:sz w:val="24"/>
          <w:szCs w:val="24"/>
          <w:highlight w:val="none"/>
          <w:lang w:val="en-US" w:eastAsia="zh-CN" w:bidi="ar-SA"/>
        </w:rPr>
      </w:pPr>
      <w:bookmarkStart w:id="248" w:name="_Toc16236"/>
      <w:bookmarkStart w:id="249" w:name="_Toc10141"/>
      <w:bookmarkStart w:id="250" w:name="_Toc21123"/>
      <w:bookmarkStart w:id="251" w:name="_Toc31209"/>
      <w:r>
        <w:rPr>
          <w:rFonts w:hint="eastAsia" w:ascii="仿宋" w:hAnsi="仿宋" w:eastAsia="仿宋" w:cs="仿宋"/>
          <w:b/>
          <w:bCs/>
          <w:color w:val="auto"/>
          <w:kern w:val="2"/>
          <w:sz w:val="24"/>
          <w:szCs w:val="24"/>
          <w:highlight w:val="none"/>
          <w:lang w:val="en-US" w:eastAsia="zh-CN" w:bidi="ar-SA"/>
        </w:rPr>
        <w:t>17.投标文件有效期</w:t>
      </w:r>
      <w:bookmarkEnd w:id="248"/>
      <w:bookmarkEnd w:id="249"/>
      <w:bookmarkEnd w:id="250"/>
      <w:bookmarkEnd w:id="251"/>
    </w:p>
    <w:p w14:paraId="31CC2CAB">
      <w:pPr>
        <w:keepLines w:val="0"/>
        <w:pageBreakBefore w:val="0"/>
        <w:widowControl w:val="0"/>
        <w:kinsoku/>
        <w:overflowPunct/>
        <w:topLinePunct w:val="0"/>
        <w:autoSpaceDE/>
        <w:autoSpaceDN/>
        <w:bidi w:val="0"/>
        <w:snapToGrid/>
        <w:spacing w:line="460" w:lineRule="exact"/>
        <w:ind w:firstLine="480" w:firstLineChars="200"/>
        <w:jc w:val="left"/>
        <w:rPr>
          <w:rFonts w:hint="eastAsia" w:ascii="仿宋" w:hAnsi="仿宋" w:eastAsia="仿宋" w:cs="仿宋"/>
          <w:b/>
          <w:color w:val="auto"/>
          <w:sz w:val="24"/>
          <w:szCs w:val="24"/>
          <w:highlight w:val="none"/>
        </w:rPr>
      </w:pPr>
      <w:r>
        <w:rPr>
          <w:rFonts w:hint="eastAsia" w:ascii="仿宋" w:hAnsi="仿宋" w:eastAsia="仿宋" w:cs="仿宋"/>
          <w:b w:val="0"/>
          <w:bCs w:val="0"/>
          <w:color w:val="auto"/>
          <w:sz w:val="24"/>
          <w:szCs w:val="24"/>
          <w:highlight w:val="none"/>
        </w:rPr>
        <w:t>17.1在“投标人须知前附表”规定的</w:t>
      </w:r>
      <w:r>
        <w:rPr>
          <w:rFonts w:hint="eastAsia" w:ascii="仿宋" w:hAnsi="仿宋" w:eastAsia="仿宋" w:cs="仿宋"/>
          <w:color w:val="auto"/>
          <w:sz w:val="24"/>
          <w:szCs w:val="24"/>
          <w:highlight w:val="none"/>
        </w:rPr>
        <w:t>投标有效期内，投标人不得要求撤销或修改其投标文件。</w:t>
      </w:r>
    </w:p>
    <w:p w14:paraId="31763925">
      <w:pPr>
        <w:keepLines w:val="0"/>
        <w:pageBreakBefore w:val="0"/>
        <w:widowControl w:val="0"/>
        <w:kinsoku/>
        <w:overflowPunct/>
        <w:topLinePunct w:val="0"/>
        <w:autoSpaceDE/>
        <w:autoSpaceDN/>
        <w:bidi w:val="0"/>
        <w:snapToGrid/>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17.2在特殊情况需要延长投标有效期的，采购人以书面形式通知所有投标人延长投标有效期。投标人同意延长的，但不得要求或被允许修改或撤销其投标文件；投标人拒绝延长的，其投标文件失效。</w:t>
      </w:r>
    </w:p>
    <w:p w14:paraId="2CA11C73">
      <w:pPr>
        <w:keepLines w:val="0"/>
        <w:pageBreakBefore w:val="0"/>
        <w:widowControl w:val="0"/>
        <w:kinsoku/>
        <w:overflowPunct/>
        <w:topLinePunct w:val="0"/>
        <w:autoSpaceDE/>
        <w:autoSpaceDN/>
        <w:bidi w:val="0"/>
        <w:snapToGrid/>
        <w:spacing w:line="460" w:lineRule="exact"/>
        <w:ind w:firstLine="482" w:firstLineChars="200"/>
        <w:jc w:val="left"/>
        <w:outlineLvl w:val="2"/>
        <w:rPr>
          <w:rFonts w:hint="eastAsia" w:ascii="仿宋" w:hAnsi="仿宋" w:eastAsia="仿宋" w:cs="仿宋"/>
          <w:b/>
          <w:color w:val="auto"/>
          <w:sz w:val="24"/>
          <w:szCs w:val="24"/>
          <w:highlight w:val="none"/>
        </w:rPr>
      </w:pPr>
      <w:bookmarkStart w:id="252" w:name="_Toc20603"/>
      <w:bookmarkStart w:id="253" w:name="_Toc32005"/>
      <w:bookmarkStart w:id="254" w:name="_Toc4150"/>
      <w:bookmarkStart w:id="255" w:name="_Toc7224"/>
      <w:bookmarkStart w:id="256" w:name="_Toc12154"/>
      <w:bookmarkStart w:id="257" w:name="_Toc49"/>
      <w:r>
        <w:rPr>
          <w:rFonts w:hint="eastAsia" w:ascii="仿宋" w:hAnsi="仿宋" w:eastAsia="仿宋" w:cs="仿宋"/>
          <w:b/>
          <w:color w:val="auto"/>
          <w:sz w:val="24"/>
          <w:szCs w:val="24"/>
          <w:highlight w:val="none"/>
        </w:rPr>
        <w:t>18.投标文件的编制</w:t>
      </w:r>
      <w:bookmarkEnd w:id="252"/>
      <w:bookmarkEnd w:id="253"/>
      <w:bookmarkEnd w:id="254"/>
      <w:bookmarkEnd w:id="255"/>
      <w:bookmarkEnd w:id="256"/>
      <w:bookmarkEnd w:id="257"/>
    </w:p>
    <w:p w14:paraId="213139A8">
      <w:pPr>
        <w:keepLines w:val="0"/>
        <w:pageBreakBefore w:val="0"/>
        <w:widowControl w:val="0"/>
        <w:kinsoku/>
        <w:overflowPunct/>
        <w:topLinePunct w:val="0"/>
        <w:autoSpaceDE/>
        <w:autoSpaceDN/>
        <w:bidi w:val="0"/>
        <w:snapToGrid/>
        <w:spacing w:line="460" w:lineRule="exact"/>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18.1投标文件全部采用电子文档，投标人应安装客户端软件—“政采云电子交易客户端”，并按照招标文件和政采云电子交易平台的要求编制，编制后应进行电子签名及加密。</w:t>
      </w:r>
    </w:p>
    <w:p w14:paraId="61969296">
      <w:pPr>
        <w:keepLines w:val="0"/>
        <w:pageBreakBefore w:val="0"/>
        <w:widowControl w:val="0"/>
        <w:kinsoku/>
        <w:overflowPunct/>
        <w:topLinePunct w:val="0"/>
        <w:autoSpaceDE/>
        <w:autoSpaceDN/>
        <w:bidi w:val="0"/>
        <w:snapToGrid/>
        <w:spacing w:line="460" w:lineRule="exact"/>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18.2如投标人提交的电子标书不符合20.1要求或开标时无法读取导入或解密，其投标文件将不予受理。</w:t>
      </w:r>
    </w:p>
    <w:p w14:paraId="5B05052B">
      <w:pPr>
        <w:keepLines w:val="0"/>
        <w:pageBreakBefore w:val="0"/>
        <w:widowControl w:val="0"/>
        <w:kinsoku/>
        <w:overflowPunct/>
        <w:topLinePunct w:val="0"/>
        <w:autoSpaceDE/>
        <w:autoSpaceDN/>
        <w:bidi w:val="0"/>
        <w:snapToGrid/>
        <w:spacing w:line="460" w:lineRule="exact"/>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18.3投标文件应尽量避免涂改、行间插字或删除。如果出现上述情况，改动之处应加盖单</w:t>
      </w:r>
      <w:r>
        <w:rPr>
          <w:rFonts w:hint="eastAsia" w:ascii="仿宋" w:hAnsi="仿宋" w:eastAsia="仿宋" w:cs="仿宋"/>
          <w:bCs/>
          <w:color w:val="auto"/>
          <w:sz w:val="24"/>
          <w:szCs w:val="24"/>
          <w:highlight w:val="none"/>
          <w:lang w:eastAsia="zh-CN"/>
        </w:rPr>
        <w:t>位公</w:t>
      </w:r>
      <w:r>
        <w:rPr>
          <w:rFonts w:hint="eastAsia" w:ascii="仿宋" w:hAnsi="仿宋" w:eastAsia="仿宋" w:cs="仿宋"/>
          <w:bCs/>
          <w:color w:val="auto"/>
          <w:sz w:val="24"/>
          <w:szCs w:val="24"/>
          <w:highlight w:val="none"/>
        </w:rPr>
        <w:t>章或由投标人的法定代表人/单位负责人（签名或盖章）确认。</w:t>
      </w:r>
    </w:p>
    <w:p w14:paraId="6F59E3FA">
      <w:pPr>
        <w:keepLines w:val="0"/>
        <w:pageBreakBefore w:val="0"/>
        <w:widowControl w:val="0"/>
        <w:kinsoku/>
        <w:overflowPunct/>
        <w:topLinePunct w:val="0"/>
        <w:autoSpaceDE/>
        <w:autoSpaceDN/>
        <w:bidi w:val="0"/>
        <w:snapToGrid/>
        <w:spacing w:line="460" w:lineRule="exact"/>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18.4关键内容字迹潦草、表达不清、未按要求填写而导致非唯一理解，视为未实质性响应招标文件的投标文件。</w:t>
      </w:r>
    </w:p>
    <w:p w14:paraId="3FFB4121">
      <w:pPr>
        <w:keepLines w:val="0"/>
        <w:pageBreakBefore w:val="0"/>
        <w:widowControl w:val="0"/>
        <w:kinsoku/>
        <w:overflowPunct/>
        <w:topLinePunct w:val="0"/>
        <w:autoSpaceDE/>
        <w:autoSpaceDN/>
        <w:bidi w:val="0"/>
        <w:snapToGrid/>
        <w:spacing w:line="460" w:lineRule="exact"/>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18.5投标文件中提供的资料（扫描件），内容必须清晰可辨，若内容模糊，无法辨识，均视为未提供。</w:t>
      </w:r>
    </w:p>
    <w:p w14:paraId="022DB3A8">
      <w:pPr>
        <w:keepLines w:val="0"/>
        <w:pageBreakBefore w:val="0"/>
        <w:widowControl w:val="0"/>
        <w:kinsoku/>
        <w:overflowPunct/>
        <w:topLinePunct w:val="0"/>
        <w:autoSpaceDE/>
        <w:autoSpaceDN/>
        <w:bidi w:val="0"/>
        <w:snapToGrid/>
        <w:spacing w:line="460" w:lineRule="exact"/>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18.6投标文件应由法定代表人/单位负责人在凡规定（电子签名）处逐一电子签名（电子签名或电子签章），要求盖章处应盖单位章（电子签章）。</w:t>
      </w:r>
    </w:p>
    <w:p w14:paraId="3C6B4128">
      <w:pPr>
        <w:keepLines w:val="0"/>
        <w:pageBreakBefore w:val="0"/>
        <w:widowControl w:val="0"/>
        <w:kinsoku/>
        <w:overflowPunct/>
        <w:topLinePunct w:val="0"/>
        <w:autoSpaceDE/>
        <w:autoSpaceDN/>
        <w:bidi w:val="0"/>
        <w:snapToGrid/>
        <w:spacing w:line="460" w:lineRule="exact"/>
        <w:ind w:firstLine="482" w:firstLineChars="200"/>
        <w:jc w:val="left"/>
        <w:outlineLvl w:val="2"/>
        <w:rPr>
          <w:rFonts w:hint="eastAsia" w:ascii="仿宋" w:hAnsi="仿宋" w:eastAsia="仿宋" w:cs="仿宋"/>
          <w:b/>
          <w:bCs w:val="0"/>
          <w:color w:val="auto"/>
          <w:sz w:val="24"/>
          <w:szCs w:val="24"/>
          <w:highlight w:val="none"/>
        </w:rPr>
      </w:pPr>
      <w:bookmarkStart w:id="258" w:name="_Toc6641"/>
      <w:bookmarkStart w:id="259" w:name="_Toc26290"/>
      <w:bookmarkStart w:id="260" w:name="_Toc307"/>
      <w:bookmarkStart w:id="261" w:name="_Toc10894"/>
      <w:bookmarkStart w:id="262" w:name="_Toc14524"/>
      <w:bookmarkStart w:id="263" w:name="_Toc14874"/>
      <w:r>
        <w:rPr>
          <w:rFonts w:hint="eastAsia" w:ascii="仿宋" w:hAnsi="仿宋" w:eastAsia="仿宋" w:cs="仿宋"/>
          <w:b/>
          <w:bCs w:val="0"/>
          <w:color w:val="auto"/>
          <w:sz w:val="24"/>
          <w:szCs w:val="24"/>
          <w:highlight w:val="none"/>
        </w:rPr>
        <w:t>19.投标保证金</w:t>
      </w:r>
      <w:bookmarkEnd w:id="258"/>
      <w:bookmarkEnd w:id="259"/>
      <w:bookmarkEnd w:id="260"/>
      <w:bookmarkEnd w:id="261"/>
      <w:bookmarkEnd w:id="262"/>
      <w:bookmarkEnd w:id="263"/>
    </w:p>
    <w:p w14:paraId="597BCFC1">
      <w:pPr>
        <w:keepLines w:val="0"/>
        <w:pageBreakBefore w:val="0"/>
        <w:widowControl w:val="0"/>
        <w:numPr>
          <w:ilvl w:val="0"/>
          <w:numId w:val="0"/>
        </w:numPr>
        <w:kinsoku/>
        <w:overflowPunct/>
        <w:topLinePunct w:val="0"/>
        <w:autoSpaceDE/>
        <w:autoSpaceDN/>
        <w:bidi w:val="0"/>
        <w:snapToGrid/>
        <w:spacing w:line="460" w:lineRule="exact"/>
        <w:ind w:left="420" w:leftChars="0"/>
        <w:jc w:val="left"/>
        <w:rPr>
          <w:rFonts w:ascii="仿宋" w:hAnsi="仿宋" w:eastAsia="仿宋"/>
          <w:color w:val="auto"/>
          <w:sz w:val="24"/>
          <w:highlight w:val="none"/>
        </w:rPr>
      </w:pPr>
      <w:r>
        <w:rPr>
          <w:rFonts w:hint="eastAsia" w:ascii="仿宋" w:hAnsi="仿宋" w:eastAsia="仿宋"/>
          <w:color w:val="auto"/>
          <w:sz w:val="24"/>
          <w:highlight w:val="none"/>
          <w:lang w:val="en-US" w:eastAsia="zh-CN"/>
        </w:rPr>
        <w:t>19.1见</w:t>
      </w:r>
      <w:r>
        <w:rPr>
          <w:rFonts w:hint="eastAsia" w:ascii="仿宋" w:hAnsi="仿宋" w:eastAsia="仿宋"/>
          <w:color w:val="auto"/>
          <w:sz w:val="24"/>
          <w:highlight w:val="none"/>
        </w:rPr>
        <w:t>“</w:t>
      </w:r>
      <w:r>
        <w:rPr>
          <w:rFonts w:hint="eastAsia" w:ascii="仿宋" w:hAnsi="仿宋" w:eastAsia="仿宋"/>
          <w:b/>
          <w:color w:val="auto"/>
          <w:sz w:val="24"/>
          <w:highlight w:val="none"/>
          <w:lang w:eastAsia="zh-CN"/>
        </w:rPr>
        <w:t>投标人</w:t>
      </w:r>
      <w:r>
        <w:rPr>
          <w:rFonts w:hint="eastAsia" w:ascii="仿宋" w:hAnsi="仿宋" w:eastAsia="仿宋"/>
          <w:b/>
          <w:color w:val="auto"/>
          <w:sz w:val="24"/>
          <w:highlight w:val="none"/>
        </w:rPr>
        <w:t>须知前附表</w:t>
      </w:r>
      <w:r>
        <w:rPr>
          <w:rFonts w:hint="eastAsia" w:ascii="仿宋" w:hAnsi="仿宋" w:eastAsia="仿宋"/>
          <w:color w:val="auto"/>
          <w:sz w:val="24"/>
          <w:highlight w:val="none"/>
        </w:rPr>
        <w:t>”。</w:t>
      </w:r>
    </w:p>
    <w:p w14:paraId="0774BBB7">
      <w:pPr>
        <w:pStyle w:val="5"/>
        <w:keepLines w:val="0"/>
        <w:pageBreakBefore w:val="0"/>
        <w:widowControl w:val="0"/>
        <w:kinsoku/>
        <w:overflowPunct/>
        <w:topLinePunct w:val="0"/>
        <w:autoSpaceDE/>
        <w:autoSpaceDN/>
        <w:bidi w:val="0"/>
        <w:snapToGrid/>
        <w:spacing w:before="0" w:line="460" w:lineRule="exact"/>
        <w:ind w:left="0" w:firstLine="0"/>
        <w:jc w:val="center"/>
        <w:rPr>
          <w:rFonts w:hint="eastAsia" w:ascii="仿宋" w:hAnsi="仿宋" w:eastAsia="仿宋" w:cs="仿宋"/>
          <w:color w:val="auto"/>
          <w:sz w:val="28"/>
          <w:szCs w:val="28"/>
          <w:highlight w:val="none"/>
        </w:rPr>
      </w:pPr>
      <w:bookmarkStart w:id="264" w:name="_Toc27264"/>
      <w:bookmarkStart w:id="265" w:name="_Toc13922"/>
      <w:bookmarkStart w:id="266" w:name="_Toc10800"/>
      <w:bookmarkStart w:id="267" w:name="_Toc18922"/>
      <w:bookmarkStart w:id="268" w:name="_Toc21853"/>
      <w:bookmarkStart w:id="269" w:name="_Toc393354833"/>
      <w:bookmarkStart w:id="270" w:name="_Toc30447"/>
      <w:bookmarkStart w:id="271" w:name="_Toc8536"/>
      <w:bookmarkStart w:id="272" w:name="_Toc475291686"/>
      <w:bookmarkStart w:id="273" w:name="_Toc20739"/>
      <w:r>
        <w:rPr>
          <w:rFonts w:hint="eastAsia" w:ascii="仿宋" w:hAnsi="仿宋" w:eastAsia="仿宋" w:cs="仿宋"/>
          <w:color w:val="auto"/>
          <w:sz w:val="28"/>
          <w:szCs w:val="28"/>
          <w:highlight w:val="none"/>
        </w:rPr>
        <w:t>四、投标文件的提交</w:t>
      </w:r>
      <w:bookmarkEnd w:id="264"/>
      <w:bookmarkEnd w:id="265"/>
      <w:bookmarkEnd w:id="266"/>
      <w:bookmarkEnd w:id="267"/>
      <w:bookmarkEnd w:id="268"/>
      <w:bookmarkEnd w:id="269"/>
      <w:bookmarkEnd w:id="270"/>
      <w:bookmarkEnd w:id="271"/>
      <w:bookmarkEnd w:id="272"/>
      <w:bookmarkEnd w:id="273"/>
    </w:p>
    <w:p w14:paraId="5A214F66">
      <w:pPr>
        <w:pStyle w:val="22"/>
        <w:keepLines w:val="0"/>
        <w:pageBreakBefore w:val="0"/>
        <w:widowControl w:val="0"/>
        <w:kinsoku/>
        <w:overflowPunct/>
        <w:topLinePunct w:val="0"/>
        <w:autoSpaceDE/>
        <w:autoSpaceDN/>
        <w:bidi w:val="0"/>
        <w:snapToGrid/>
        <w:spacing w:line="460" w:lineRule="exact"/>
        <w:ind w:firstLine="482" w:firstLineChars="200"/>
        <w:outlineLvl w:val="2"/>
        <w:rPr>
          <w:rFonts w:hint="eastAsia" w:ascii="仿宋" w:hAnsi="仿宋" w:eastAsia="仿宋" w:cs="仿宋"/>
          <w:b/>
          <w:bCs/>
          <w:color w:val="auto"/>
          <w:sz w:val="24"/>
          <w:szCs w:val="24"/>
          <w:highlight w:val="none"/>
        </w:rPr>
      </w:pPr>
      <w:bookmarkStart w:id="274" w:name="_Toc28609"/>
      <w:bookmarkStart w:id="275" w:name="_Toc4538"/>
      <w:bookmarkStart w:id="276" w:name="_Toc26202"/>
      <w:bookmarkStart w:id="277" w:name="_Toc16163"/>
      <w:bookmarkStart w:id="278" w:name="_Toc20032"/>
      <w:bookmarkStart w:id="279" w:name="_Toc10056"/>
      <w:r>
        <w:rPr>
          <w:rFonts w:hint="eastAsia" w:ascii="仿宋" w:hAnsi="仿宋" w:eastAsia="仿宋" w:cs="仿宋"/>
          <w:b/>
          <w:bCs/>
          <w:color w:val="auto"/>
          <w:sz w:val="24"/>
          <w:szCs w:val="24"/>
          <w:highlight w:val="none"/>
        </w:rPr>
        <w:t>20.投标文件的密封与标记</w:t>
      </w:r>
      <w:bookmarkEnd w:id="274"/>
      <w:bookmarkEnd w:id="275"/>
      <w:bookmarkEnd w:id="276"/>
      <w:bookmarkEnd w:id="277"/>
      <w:bookmarkEnd w:id="278"/>
      <w:bookmarkEnd w:id="279"/>
    </w:p>
    <w:p w14:paraId="7FA5B238">
      <w:pPr>
        <w:keepLines w:val="0"/>
        <w:pageBreakBefore w:val="0"/>
        <w:widowControl w:val="0"/>
        <w:kinsoku/>
        <w:overflowPunct/>
        <w:topLinePunct w:val="0"/>
        <w:autoSpaceDE/>
        <w:autoSpaceDN/>
        <w:bidi w:val="0"/>
        <w:snapToGrid/>
        <w:spacing w:line="460" w:lineRule="exact"/>
        <w:ind w:firstLine="482" w:firstLineChars="20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20.1投标人进行电子交易应安装客户端软件—“政采云电子交易客户端”，并按照招标文件和电子交易平台的要求编制并加密投标文件。招标人未按规定加密的投标文件，电子交易平台将拒收并提示。</w:t>
      </w:r>
    </w:p>
    <w:p w14:paraId="0570A143">
      <w:pPr>
        <w:keepLines w:val="0"/>
        <w:pageBreakBefore w:val="0"/>
        <w:widowControl w:val="0"/>
        <w:kinsoku/>
        <w:overflowPunct/>
        <w:topLinePunct w:val="0"/>
        <w:autoSpaceDE/>
        <w:autoSpaceDN/>
        <w:bidi w:val="0"/>
        <w:snapToGrid/>
        <w:spacing w:line="460" w:lineRule="exact"/>
        <w:ind w:firstLine="482" w:firstLineChars="20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20.2使用“政采云电子交易客户端”需要提前申领 CA 数字证书。</w:t>
      </w:r>
    </w:p>
    <w:p w14:paraId="54CA8C39">
      <w:pPr>
        <w:keepLines w:val="0"/>
        <w:pageBreakBefore w:val="0"/>
        <w:widowControl w:val="0"/>
        <w:kinsoku/>
        <w:overflowPunct/>
        <w:topLinePunct w:val="0"/>
        <w:autoSpaceDE/>
        <w:autoSpaceDN/>
        <w:bidi w:val="0"/>
        <w:snapToGrid/>
        <w:spacing w:line="460" w:lineRule="exact"/>
        <w:ind w:firstLine="482" w:firstLineChars="20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20.3为确保网上</w:t>
      </w:r>
      <w:r>
        <w:rPr>
          <w:rFonts w:hint="eastAsia" w:ascii="仿宋" w:hAnsi="仿宋" w:eastAsia="仿宋" w:cs="仿宋"/>
          <w:b/>
          <w:bCs/>
          <w:color w:val="auto"/>
          <w:sz w:val="24"/>
          <w:szCs w:val="24"/>
          <w:highlight w:val="none"/>
          <w:lang w:eastAsia="zh-CN"/>
        </w:rPr>
        <w:t>操作合法</w:t>
      </w:r>
      <w:r>
        <w:rPr>
          <w:rFonts w:hint="eastAsia" w:ascii="仿宋" w:hAnsi="仿宋" w:eastAsia="仿宋" w:cs="仿宋"/>
          <w:b/>
          <w:bCs/>
          <w:color w:val="auto"/>
          <w:sz w:val="24"/>
          <w:szCs w:val="24"/>
          <w:highlight w:val="none"/>
        </w:rPr>
        <w:t>、有效和安全，投标人应当在投标文件提交截止时间前完成在“政府采购云平台”的身份认证，确保在电子交易过程中能够对相关数据电文进行加密和使用电子签名。</w:t>
      </w:r>
    </w:p>
    <w:p w14:paraId="524EF8F2">
      <w:pPr>
        <w:keepLines w:val="0"/>
        <w:pageBreakBefore w:val="0"/>
        <w:widowControl w:val="0"/>
        <w:kinsoku/>
        <w:overflowPunct/>
        <w:topLinePunct w:val="0"/>
        <w:autoSpaceDE/>
        <w:autoSpaceDN/>
        <w:bidi w:val="0"/>
        <w:snapToGrid/>
        <w:spacing w:line="460" w:lineRule="exact"/>
        <w:ind w:firstLine="482" w:firstLineChars="200"/>
        <w:jc w:val="left"/>
        <w:outlineLvl w:val="2"/>
        <w:rPr>
          <w:rFonts w:hint="eastAsia" w:ascii="仿宋" w:hAnsi="仿宋" w:eastAsia="仿宋" w:cs="仿宋"/>
          <w:b/>
          <w:color w:val="auto"/>
          <w:sz w:val="24"/>
          <w:szCs w:val="24"/>
          <w:highlight w:val="none"/>
        </w:rPr>
      </w:pPr>
      <w:bookmarkStart w:id="280" w:name="_Toc7535"/>
      <w:bookmarkStart w:id="281" w:name="_Toc26381"/>
      <w:bookmarkStart w:id="282" w:name="_Toc27356"/>
      <w:bookmarkStart w:id="283" w:name="_Toc17762"/>
      <w:bookmarkStart w:id="284" w:name="_Toc15181"/>
      <w:bookmarkStart w:id="285" w:name="_Toc22698"/>
      <w:r>
        <w:rPr>
          <w:rFonts w:hint="eastAsia" w:ascii="仿宋" w:hAnsi="仿宋" w:eastAsia="仿宋" w:cs="仿宋"/>
          <w:b/>
          <w:color w:val="auto"/>
          <w:sz w:val="24"/>
          <w:szCs w:val="24"/>
          <w:highlight w:val="none"/>
        </w:rPr>
        <w:t>21.提交投标文件截止时间和地点</w:t>
      </w:r>
      <w:bookmarkEnd w:id="280"/>
      <w:bookmarkEnd w:id="281"/>
      <w:bookmarkEnd w:id="282"/>
      <w:bookmarkEnd w:id="283"/>
      <w:bookmarkEnd w:id="284"/>
      <w:bookmarkEnd w:id="285"/>
    </w:p>
    <w:p w14:paraId="30A23737">
      <w:pPr>
        <w:keepLines w:val="0"/>
        <w:pageBreakBefore w:val="0"/>
        <w:widowControl w:val="0"/>
        <w:kinsoku/>
        <w:overflowPunct/>
        <w:topLinePunct w:val="0"/>
        <w:autoSpaceDE/>
        <w:autoSpaceDN/>
        <w:bidi w:val="0"/>
        <w:snapToGrid/>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21.1投标文件的递交/上传不得迟于</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投标人须知前附表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规定的提交投标文件截止时间。逾期送达/上传的投标文件，采购人不予接收。</w:t>
      </w:r>
    </w:p>
    <w:p w14:paraId="45D84377">
      <w:pPr>
        <w:keepLines w:val="0"/>
        <w:pageBreakBefore w:val="0"/>
        <w:widowControl w:val="0"/>
        <w:kinsoku/>
        <w:overflowPunct/>
        <w:topLinePunct w:val="0"/>
        <w:autoSpaceDE/>
        <w:autoSpaceDN/>
        <w:bidi w:val="0"/>
        <w:snapToGrid/>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21.2投标人必须在规定时间内将投标文件递交/上传到</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投标人须知前附表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规定的地点。</w:t>
      </w:r>
    </w:p>
    <w:p w14:paraId="3F90A3B9">
      <w:pPr>
        <w:keepLines w:val="0"/>
        <w:pageBreakBefore w:val="0"/>
        <w:widowControl w:val="0"/>
        <w:kinsoku/>
        <w:overflowPunct/>
        <w:topLinePunct w:val="0"/>
        <w:autoSpaceDE/>
        <w:autoSpaceDN/>
        <w:bidi w:val="0"/>
        <w:snapToGrid/>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21.3 除</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投标人须知前附表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另有规定外，投标人所递交的投标文件不予退还。</w:t>
      </w:r>
    </w:p>
    <w:p w14:paraId="4E0E1C22">
      <w:pPr>
        <w:pStyle w:val="22"/>
        <w:keepLines w:val="0"/>
        <w:pageBreakBefore w:val="0"/>
        <w:widowControl w:val="0"/>
        <w:kinsoku/>
        <w:overflowPunct/>
        <w:topLinePunct w:val="0"/>
        <w:autoSpaceDE/>
        <w:autoSpaceDN/>
        <w:bidi w:val="0"/>
        <w:snapToGrid/>
        <w:spacing w:line="460" w:lineRule="exact"/>
        <w:ind w:firstLine="482" w:firstLineChars="200"/>
        <w:outlineLvl w:val="2"/>
        <w:rPr>
          <w:rFonts w:hint="eastAsia" w:ascii="仿宋" w:hAnsi="仿宋" w:eastAsia="仿宋" w:cs="仿宋"/>
          <w:b/>
          <w:bCs/>
          <w:color w:val="auto"/>
          <w:sz w:val="24"/>
          <w:szCs w:val="24"/>
          <w:highlight w:val="none"/>
        </w:rPr>
      </w:pPr>
      <w:bookmarkStart w:id="286" w:name="_Toc20733"/>
      <w:bookmarkStart w:id="287" w:name="_Toc18035"/>
      <w:bookmarkStart w:id="288" w:name="_Toc4841"/>
      <w:bookmarkStart w:id="289" w:name="_Toc19065"/>
      <w:bookmarkStart w:id="290" w:name="_Toc14180"/>
      <w:bookmarkStart w:id="291" w:name="_Toc22625"/>
      <w:r>
        <w:rPr>
          <w:rFonts w:hint="eastAsia" w:ascii="仿宋" w:hAnsi="仿宋" w:eastAsia="仿宋" w:cs="仿宋"/>
          <w:b/>
          <w:bCs/>
          <w:color w:val="auto"/>
          <w:sz w:val="24"/>
          <w:szCs w:val="24"/>
          <w:highlight w:val="none"/>
        </w:rPr>
        <w:t>22.电子投标文件的修改与撤回</w:t>
      </w:r>
      <w:bookmarkEnd w:id="286"/>
      <w:bookmarkEnd w:id="287"/>
      <w:bookmarkEnd w:id="288"/>
      <w:bookmarkEnd w:id="289"/>
      <w:bookmarkEnd w:id="290"/>
      <w:bookmarkEnd w:id="291"/>
    </w:p>
    <w:p w14:paraId="4AC98AE2">
      <w:pPr>
        <w:pStyle w:val="22"/>
        <w:keepLines w:val="0"/>
        <w:pageBreakBefore w:val="0"/>
        <w:widowControl w:val="0"/>
        <w:kinsoku/>
        <w:overflowPunct/>
        <w:topLinePunct w:val="0"/>
        <w:autoSpaceDE/>
        <w:autoSpaceDN/>
        <w:bidi w:val="0"/>
        <w:snapToGrid/>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22.1在投标截止时间前，投标人可以撤回在网上已递交的投标文件，修改后重新上传，无须书面形式通知采购人。</w:t>
      </w:r>
    </w:p>
    <w:p w14:paraId="4F3C00F5">
      <w:pPr>
        <w:pStyle w:val="22"/>
        <w:keepLines w:val="0"/>
        <w:pageBreakBefore w:val="0"/>
        <w:widowControl w:val="0"/>
        <w:kinsoku/>
        <w:overflowPunct/>
        <w:topLinePunct w:val="0"/>
        <w:autoSpaceDE/>
        <w:autoSpaceDN/>
        <w:bidi w:val="0"/>
        <w:snapToGrid/>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22.2修改的投标文件应按照本章第18款、第20款的要求进行重新编制、加密和递交。</w:t>
      </w:r>
    </w:p>
    <w:p w14:paraId="61FC3503">
      <w:pPr>
        <w:pStyle w:val="22"/>
        <w:keepLines w:val="0"/>
        <w:pageBreakBefore w:val="0"/>
        <w:widowControl w:val="0"/>
        <w:kinsoku/>
        <w:overflowPunct/>
        <w:topLinePunct w:val="0"/>
        <w:autoSpaceDE/>
        <w:autoSpaceDN/>
        <w:bidi w:val="0"/>
        <w:snapToGrid/>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22.3在投标截止时间后递交的投标文件不予撤回。</w:t>
      </w:r>
    </w:p>
    <w:p w14:paraId="5952468B">
      <w:pPr>
        <w:pStyle w:val="5"/>
        <w:keepLines w:val="0"/>
        <w:pageBreakBefore w:val="0"/>
        <w:widowControl w:val="0"/>
        <w:kinsoku/>
        <w:overflowPunct/>
        <w:topLinePunct w:val="0"/>
        <w:autoSpaceDE/>
        <w:autoSpaceDN/>
        <w:bidi w:val="0"/>
        <w:snapToGrid/>
        <w:spacing w:before="0" w:line="460" w:lineRule="exact"/>
        <w:ind w:left="0" w:firstLine="0"/>
        <w:jc w:val="center"/>
        <w:rPr>
          <w:rFonts w:hint="eastAsia" w:ascii="仿宋" w:hAnsi="仿宋" w:eastAsia="仿宋" w:cs="仿宋"/>
          <w:color w:val="auto"/>
          <w:sz w:val="28"/>
          <w:szCs w:val="28"/>
          <w:highlight w:val="none"/>
        </w:rPr>
      </w:pPr>
      <w:bookmarkStart w:id="292" w:name="_Toc9288"/>
      <w:bookmarkStart w:id="293" w:name="_Toc393354834"/>
      <w:bookmarkStart w:id="294" w:name="_Toc12435"/>
      <w:bookmarkStart w:id="295" w:name="_Toc6789"/>
      <w:bookmarkStart w:id="296" w:name="_Toc29947"/>
      <w:bookmarkStart w:id="297" w:name="_Toc5883"/>
      <w:bookmarkStart w:id="298" w:name="_Toc25037"/>
      <w:bookmarkStart w:id="299" w:name="_Toc475291687"/>
      <w:bookmarkStart w:id="300" w:name="_Toc29171"/>
      <w:bookmarkStart w:id="301" w:name="_Toc19544"/>
      <w:r>
        <w:rPr>
          <w:rFonts w:hint="eastAsia" w:ascii="仿宋" w:hAnsi="仿宋" w:eastAsia="仿宋" w:cs="仿宋"/>
          <w:color w:val="auto"/>
          <w:sz w:val="28"/>
          <w:szCs w:val="28"/>
          <w:highlight w:val="none"/>
        </w:rPr>
        <w:t>五、开标与评标</w:t>
      </w:r>
      <w:bookmarkEnd w:id="292"/>
      <w:bookmarkEnd w:id="293"/>
      <w:bookmarkEnd w:id="294"/>
      <w:bookmarkEnd w:id="295"/>
      <w:bookmarkEnd w:id="296"/>
      <w:bookmarkEnd w:id="297"/>
      <w:bookmarkEnd w:id="298"/>
      <w:bookmarkEnd w:id="299"/>
      <w:bookmarkEnd w:id="300"/>
      <w:bookmarkEnd w:id="301"/>
    </w:p>
    <w:p w14:paraId="4778B7E0">
      <w:pPr>
        <w:keepLines w:val="0"/>
        <w:pageBreakBefore w:val="0"/>
        <w:widowControl w:val="0"/>
        <w:kinsoku/>
        <w:overflowPunct/>
        <w:topLinePunct w:val="0"/>
        <w:autoSpaceDE/>
        <w:autoSpaceDN/>
        <w:bidi w:val="0"/>
        <w:snapToGrid/>
        <w:spacing w:line="460" w:lineRule="exact"/>
        <w:ind w:firstLine="482" w:firstLineChars="200"/>
        <w:jc w:val="left"/>
        <w:outlineLvl w:val="2"/>
        <w:rPr>
          <w:rFonts w:hint="eastAsia" w:ascii="仿宋" w:hAnsi="仿宋" w:eastAsia="仿宋" w:cs="仿宋"/>
          <w:b/>
          <w:color w:val="auto"/>
          <w:sz w:val="24"/>
          <w:szCs w:val="24"/>
          <w:highlight w:val="none"/>
        </w:rPr>
      </w:pPr>
      <w:bookmarkStart w:id="302" w:name="_Toc27785"/>
      <w:bookmarkStart w:id="303" w:name="_Toc16339"/>
      <w:bookmarkStart w:id="304" w:name="_Toc16226"/>
      <w:bookmarkStart w:id="305" w:name="_Toc28306"/>
      <w:bookmarkStart w:id="306" w:name="_Toc1737"/>
      <w:bookmarkStart w:id="307" w:name="_Toc19216"/>
      <w:r>
        <w:rPr>
          <w:rFonts w:hint="eastAsia" w:ascii="仿宋" w:hAnsi="仿宋" w:eastAsia="仿宋" w:cs="仿宋"/>
          <w:b/>
          <w:color w:val="auto"/>
          <w:sz w:val="24"/>
          <w:szCs w:val="24"/>
          <w:highlight w:val="none"/>
        </w:rPr>
        <w:t>23. 开标</w:t>
      </w:r>
      <w:bookmarkEnd w:id="302"/>
      <w:bookmarkEnd w:id="303"/>
      <w:bookmarkEnd w:id="304"/>
      <w:bookmarkEnd w:id="305"/>
      <w:bookmarkEnd w:id="306"/>
      <w:bookmarkEnd w:id="307"/>
    </w:p>
    <w:p w14:paraId="06A49F17">
      <w:pPr>
        <w:pStyle w:val="22"/>
        <w:keepLines w:val="0"/>
        <w:pageBreakBefore w:val="0"/>
        <w:widowControl w:val="0"/>
        <w:kinsoku/>
        <w:overflowPunct/>
        <w:topLinePunct w:val="0"/>
        <w:autoSpaceDE/>
        <w:autoSpaceDN/>
        <w:bidi w:val="0"/>
        <w:snapToGrid/>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23.1采购代理机构将在“</w:t>
      </w:r>
      <w:r>
        <w:rPr>
          <w:rFonts w:hint="eastAsia" w:ascii="仿宋" w:hAnsi="仿宋" w:eastAsia="仿宋" w:cs="仿宋"/>
          <w:bCs/>
          <w:color w:val="auto"/>
          <w:sz w:val="24"/>
          <w:szCs w:val="24"/>
          <w:highlight w:val="none"/>
        </w:rPr>
        <w:t>投标人须知前附表</w:t>
      </w:r>
      <w:r>
        <w:rPr>
          <w:rFonts w:hint="eastAsia" w:ascii="仿宋" w:hAnsi="仿宋" w:eastAsia="仿宋" w:cs="仿宋"/>
          <w:color w:val="auto"/>
          <w:sz w:val="24"/>
          <w:szCs w:val="24"/>
          <w:highlight w:val="none"/>
        </w:rPr>
        <w:t>”规定的时间和地点进行开标，投标人的法定代表人或其委托代理人应参加开标会，</w:t>
      </w:r>
      <w:r>
        <w:rPr>
          <w:rFonts w:hint="eastAsia" w:ascii="仿宋" w:hAnsi="仿宋" w:eastAsia="仿宋" w:cs="仿宋"/>
          <w:bCs/>
          <w:color w:val="auto"/>
          <w:sz w:val="24"/>
          <w:szCs w:val="24"/>
          <w:highlight w:val="none"/>
        </w:rPr>
        <w:t>如投标人代表未出席开标会，视为其默认现场唱标结果，由此产生的后果由投标人自行负责</w:t>
      </w:r>
      <w:r>
        <w:rPr>
          <w:rFonts w:hint="eastAsia" w:ascii="仿宋" w:hAnsi="仿宋" w:eastAsia="仿宋" w:cs="仿宋"/>
          <w:color w:val="auto"/>
          <w:sz w:val="24"/>
          <w:szCs w:val="24"/>
          <w:highlight w:val="none"/>
        </w:rPr>
        <w:t>。</w:t>
      </w:r>
    </w:p>
    <w:p w14:paraId="1D618713">
      <w:pPr>
        <w:keepLines w:val="0"/>
        <w:pageBreakBefore w:val="0"/>
        <w:widowControl w:val="0"/>
        <w:kinsoku/>
        <w:overflowPunct/>
        <w:topLinePunct w:val="0"/>
        <w:autoSpaceDE/>
        <w:autoSpaceDN/>
        <w:bidi w:val="0"/>
        <w:snapToGrid/>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23.2投标截止时间结束后参加投标的投标人不足三家的，不得开标。</w:t>
      </w:r>
    </w:p>
    <w:p w14:paraId="4963EED0">
      <w:pPr>
        <w:pStyle w:val="22"/>
        <w:keepLines w:val="0"/>
        <w:pageBreakBefore w:val="0"/>
        <w:widowControl w:val="0"/>
        <w:kinsoku/>
        <w:overflowPunct/>
        <w:topLinePunct w:val="0"/>
        <w:autoSpaceDE/>
        <w:autoSpaceDN/>
        <w:bidi w:val="0"/>
        <w:snapToGrid/>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23.3开标程序：</w:t>
      </w:r>
    </w:p>
    <w:p w14:paraId="34CDED2C">
      <w:pPr>
        <w:keepLines w:val="0"/>
        <w:pageBreakBefore w:val="0"/>
        <w:widowControl w:val="0"/>
        <w:kinsoku/>
        <w:overflowPunct/>
        <w:topLinePunct w:val="0"/>
        <w:autoSpaceDE/>
        <w:autoSpaceDN/>
        <w:bidi w:val="0"/>
        <w:snapToGrid/>
        <w:spacing w:line="460" w:lineRule="exact"/>
        <w:ind w:firstLine="482" w:firstLineChars="200"/>
        <w:jc w:val="both"/>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（1）采购代理机构依托电子交易平台发起开始解密指令，投标人须使用加密时所用的 CA 锁按平台提示和招标文件的规定登录到“政采云”平台电子开标大厅签到，并在发起解密指令之时起</w:t>
      </w:r>
      <w:r>
        <w:rPr>
          <w:rFonts w:hint="eastAsia" w:ascii="仿宋" w:hAnsi="仿宋" w:eastAsia="仿宋" w:cs="仿宋"/>
          <w:b/>
          <w:bCs/>
          <w:color w:val="auto"/>
          <w:sz w:val="24"/>
          <w:szCs w:val="24"/>
          <w:highlight w:val="none"/>
          <w:lang w:val="en-US" w:eastAsia="zh-CN"/>
        </w:rPr>
        <w:t>6</w:t>
      </w:r>
      <w:r>
        <w:rPr>
          <w:rFonts w:hint="eastAsia" w:ascii="仿宋" w:hAnsi="仿宋" w:eastAsia="仿宋" w:cs="仿宋"/>
          <w:b/>
          <w:bCs/>
          <w:color w:val="auto"/>
          <w:sz w:val="24"/>
          <w:szCs w:val="24"/>
          <w:highlight w:val="none"/>
        </w:rPr>
        <w:t>0分钟内完成对电子投标文件在线解密。</w:t>
      </w:r>
    </w:p>
    <w:p w14:paraId="36BACB37">
      <w:pPr>
        <w:keepLines w:val="0"/>
        <w:pageBreakBefore w:val="0"/>
        <w:widowControl w:val="0"/>
        <w:kinsoku/>
        <w:overflowPunct/>
        <w:topLinePunct w:val="0"/>
        <w:autoSpaceDE/>
        <w:autoSpaceDN/>
        <w:bidi w:val="0"/>
        <w:snapToGrid/>
        <w:spacing w:line="460" w:lineRule="exact"/>
        <w:ind w:firstLine="482" w:firstLineChars="200"/>
        <w:jc w:val="both"/>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（2）发起解密指令之时起5分钟内投标人还未进行解密的，代理机构可通知投标人，投标人未预留联系方式或预留联系方式无效，导致代理机构无法联系到投标人进行解密的，视为撤回投标文件。</w:t>
      </w:r>
    </w:p>
    <w:p w14:paraId="7317A772">
      <w:pPr>
        <w:keepLines w:val="0"/>
        <w:pageBreakBefore w:val="0"/>
        <w:widowControl w:val="0"/>
        <w:kinsoku/>
        <w:overflowPunct/>
        <w:topLinePunct w:val="0"/>
        <w:autoSpaceDE/>
        <w:autoSpaceDN/>
        <w:bidi w:val="0"/>
        <w:snapToGrid/>
        <w:spacing w:line="460" w:lineRule="exact"/>
        <w:ind w:firstLine="482" w:firstLineChars="200"/>
        <w:jc w:val="both"/>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（解密异常情况处理：详见本章26.2电子交易活动的中止）如投标人成功解密投标文件，但未在“政采云”电子开标大厅参加开标的，视同认可开标过程和结果，由此产生的后果由投标人自行负责。</w:t>
      </w:r>
    </w:p>
    <w:p w14:paraId="37E9F62A">
      <w:pPr>
        <w:keepLines w:val="0"/>
        <w:pageBreakBefore w:val="0"/>
        <w:widowControl w:val="0"/>
        <w:kinsoku/>
        <w:overflowPunct/>
        <w:topLinePunct w:val="0"/>
        <w:autoSpaceDE/>
        <w:autoSpaceDN/>
        <w:bidi w:val="0"/>
        <w:snapToGrid/>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23.4开标工作人员将做开标记录。</w:t>
      </w:r>
    </w:p>
    <w:p w14:paraId="67422270">
      <w:pPr>
        <w:keepLines w:val="0"/>
        <w:pageBreakBefore w:val="0"/>
        <w:widowControl w:val="0"/>
        <w:kinsoku/>
        <w:overflowPunct/>
        <w:topLinePunct w:val="0"/>
        <w:autoSpaceDE/>
        <w:autoSpaceDN/>
        <w:bidi w:val="0"/>
        <w:snapToGrid/>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23.5投标人代表对开标过程和开标记录有</w:t>
      </w:r>
      <w:r>
        <w:rPr>
          <w:rFonts w:hint="eastAsia" w:ascii="仿宋" w:hAnsi="仿宋" w:eastAsia="仿宋" w:cs="仿宋"/>
          <w:color w:val="auto"/>
          <w:sz w:val="24"/>
          <w:szCs w:val="24"/>
          <w:highlight w:val="none"/>
          <w:lang w:eastAsia="zh-CN"/>
        </w:rPr>
        <w:t>异议</w:t>
      </w:r>
      <w:r>
        <w:rPr>
          <w:rFonts w:hint="eastAsia" w:ascii="仿宋" w:hAnsi="仿宋" w:eastAsia="仿宋" w:cs="仿宋"/>
          <w:color w:val="auto"/>
          <w:sz w:val="24"/>
          <w:szCs w:val="24"/>
          <w:highlight w:val="none"/>
        </w:rPr>
        <w:t>，以及认为采购人、采购代理机构相关工作人员有需要回避的情形的，应在线提出询问或者回避申请。采购人、采购代理机构对投标人代表提出的询问或者回避申请应当及时处理。</w:t>
      </w:r>
    </w:p>
    <w:p w14:paraId="359F1EA7">
      <w:pPr>
        <w:keepLines w:val="0"/>
        <w:pageBreakBefore w:val="0"/>
        <w:widowControl w:val="0"/>
        <w:kinsoku/>
        <w:overflowPunct/>
        <w:topLinePunct w:val="0"/>
        <w:autoSpaceDE/>
        <w:autoSpaceDN/>
        <w:bidi w:val="0"/>
        <w:snapToGrid/>
        <w:spacing w:line="460" w:lineRule="exact"/>
        <w:ind w:firstLine="482" w:firstLineChars="200"/>
        <w:jc w:val="left"/>
        <w:outlineLvl w:val="2"/>
        <w:rPr>
          <w:rFonts w:hint="eastAsia" w:ascii="仿宋" w:hAnsi="仿宋" w:eastAsia="仿宋" w:cs="仿宋"/>
          <w:b/>
          <w:color w:val="auto"/>
          <w:sz w:val="24"/>
          <w:szCs w:val="24"/>
          <w:highlight w:val="none"/>
        </w:rPr>
      </w:pPr>
      <w:bookmarkStart w:id="308" w:name="_Toc128"/>
      <w:bookmarkStart w:id="309" w:name="_Toc32552"/>
      <w:bookmarkStart w:id="310" w:name="_Toc27239"/>
      <w:bookmarkStart w:id="311" w:name="_Toc31097"/>
      <w:bookmarkStart w:id="312" w:name="_Toc23694"/>
      <w:bookmarkStart w:id="313" w:name="_Toc25414"/>
      <w:r>
        <w:rPr>
          <w:rFonts w:hint="eastAsia" w:ascii="仿宋" w:hAnsi="仿宋" w:eastAsia="仿宋" w:cs="仿宋"/>
          <w:b/>
          <w:color w:val="auto"/>
          <w:sz w:val="24"/>
          <w:szCs w:val="24"/>
          <w:highlight w:val="none"/>
        </w:rPr>
        <w:t>24.资格审查</w:t>
      </w:r>
      <w:bookmarkEnd w:id="308"/>
      <w:bookmarkEnd w:id="309"/>
      <w:bookmarkEnd w:id="310"/>
      <w:bookmarkEnd w:id="311"/>
      <w:bookmarkEnd w:id="312"/>
      <w:bookmarkEnd w:id="313"/>
    </w:p>
    <w:p w14:paraId="5AE12B59">
      <w:pPr>
        <w:keepLines w:val="0"/>
        <w:pageBreakBefore w:val="0"/>
        <w:widowControl w:val="0"/>
        <w:kinsoku/>
        <w:overflowPunct/>
        <w:topLinePunct w:val="0"/>
        <w:autoSpaceDE/>
        <w:autoSpaceDN/>
        <w:bidi w:val="0"/>
        <w:snapToGrid/>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开标结束后，采购人或者采购代理机构应当依法对投标人的资格进行审查。合格投标人不足3家的，不得评标。</w:t>
      </w:r>
    </w:p>
    <w:p w14:paraId="43C0A778">
      <w:pPr>
        <w:keepLines w:val="0"/>
        <w:pageBreakBefore w:val="0"/>
        <w:widowControl w:val="0"/>
        <w:kinsoku/>
        <w:overflowPunct/>
        <w:topLinePunct w:val="0"/>
        <w:autoSpaceDE/>
        <w:autoSpaceDN/>
        <w:bidi w:val="0"/>
        <w:snapToGrid/>
        <w:spacing w:line="460" w:lineRule="exact"/>
        <w:ind w:firstLine="482" w:firstLineChars="200"/>
        <w:jc w:val="left"/>
        <w:outlineLvl w:val="2"/>
        <w:rPr>
          <w:rFonts w:hint="eastAsia" w:ascii="仿宋" w:hAnsi="仿宋" w:eastAsia="仿宋" w:cs="仿宋"/>
          <w:b/>
          <w:color w:val="auto"/>
          <w:sz w:val="24"/>
          <w:szCs w:val="24"/>
          <w:highlight w:val="none"/>
        </w:rPr>
      </w:pPr>
      <w:bookmarkStart w:id="314" w:name="_Toc21024"/>
      <w:bookmarkStart w:id="315" w:name="_Toc22529"/>
      <w:bookmarkStart w:id="316" w:name="_Toc6370"/>
      <w:bookmarkStart w:id="317" w:name="_Toc24779"/>
      <w:bookmarkStart w:id="318" w:name="_Toc29010"/>
      <w:bookmarkStart w:id="319" w:name="_Toc12536"/>
      <w:r>
        <w:rPr>
          <w:rFonts w:hint="eastAsia" w:ascii="仿宋" w:hAnsi="仿宋" w:eastAsia="仿宋" w:cs="仿宋"/>
          <w:b/>
          <w:color w:val="auto"/>
          <w:sz w:val="24"/>
          <w:szCs w:val="24"/>
          <w:highlight w:val="none"/>
        </w:rPr>
        <w:t>25.评标</w:t>
      </w:r>
      <w:bookmarkEnd w:id="314"/>
      <w:bookmarkEnd w:id="315"/>
      <w:bookmarkEnd w:id="316"/>
      <w:bookmarkEnd w:id="317"/>
      <w:bookmarkEnd w:id="318"/>
      <w:bookmarkEnd w:id="319"/>
    </w:p>
    <w:p w14:paraId="2C67454D">
      <w:pPr>
        <w:keepLines w:val="0"/>
        <w:pageBreakBefore w:val="0"/>
        <w:widowControl w:val="0"/>
        <w:kinsoku/>
        <w:overflowPunct/>
        <w:topLinePunct w:val="0"/>
        <w:autoSpaceDE/>
        <w:autoSpaceDN/>
        <w:bidi w:val="0"/>
        <w:snapToGrid/>
        <w:spacing w:line="460" w:lineRule="exact"/>
        <w:ind w:firstLine="482" w:firstLineChars="200"/>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25.1评标由采购人依法组建的评标委员会负责。评标委员会由采购人代表和评审专家组成，成员人数应当为5人以上单数，其中评审专家不得少于成员总数的三分之二。</w:t>
      </w:r>
    </w:p>
    <w:p w14:paraId="3740E3AB">
      <w:pPr>
        <w:pStyle w:val="22"/>
        <w:keepLines w:val="0"/>
        <w:pageBreakBefore w:val="0"/>
        <w:widowControl w:val="0"/>
        <w:kinsoku/>
        <w:overflowPunct/>
        <w:topLinePunct w:val="0"/>
        <w:autoSpaceDE/>
        <w:autoSpaceDN/>
        <w:bidi w:val="0"/>
        <w:snapToGrid/>
        <w:spacing w:line="460" w:lineRule="exact"/>
        <w:ind w:firstLine="480" w:firstLineChars="200"/>
        <w:rPr>
          <w:rFonts w:hint="eastAsia" w:ascii="仿宋" w:hAnsi="仿宋" w:eastAsia="仿宋" w:cs="仿宋"/>
          <w:bCs/>
          <w:color w:val="auto"/>
          <w:sz w:val="24"/>
          <w:szCs w:val="24"/>
          <w:highlight w:val="none"/>
        </w:rPr>
      </w:pPr>
      <w:bookmarkStart w:id="320" w:name="_Toc191374422"/>
      <w:r>
        <w:rPr>
          <w:rFonts w:hint="eastAsia" w:ascii="仿宋" w:hAnsi="仿宋" w:eastAsia="仿宋" w:cs="仿宋"/>
          <w:bCs/>
          <w:color w:val="auto"/>
          <w:sz w:val="24"/>
          <w:szCs w:val="24"/>
          <w:highlight w:val="none"/>
        </w:rPr>
        <w:t>25.2评标原则</w:t>
      </w:r>
      <w:bookmarkEnd w:id="320"/>
      <w:r>
        <w:rPr>
          <w:rFonts w:hint="eastAsia" w:ascii="仿宋" w:hAnsi="仿宋" w:eastAsia="仿宋" w:cs="仿宋"/>
          <w:bCs/>
          <w:color w:val="auto"/>
          <w:sz w:val="24"/>
          <w:szCs w:val="24"/>
          <w:highlight w:val="none"/>
        </w:rPr>
        <w:t>及方法</w:t>
      </w:r>
    </w:p>
    <w:p w14:paraId="4450E041">
      <w:pPr>
        <w:pStyle w:val="22"/>
        <w:keepLines w:val="0"/>
        <w:pageBreakBefore w:val="0"/>
        <w:widowControl w:val="0"/>
        <w:kinsoku/>
        <w:overflowPunct/>
        <w:topLinePunct w:val="0"/>
        <w:autoSpaceDE/>
        <w:autoSpaceDN/>
        <w:bidi w:val="0"/>
        <w:snapToGrid/>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25.2.1评标原则</w:t>
      </w:r>
    </w:p>
    <w:p w14:paraId="5F292A94">
      <w:pPr>
        <w:pStyle w:val="22"/>
        <w:keepLines w:val="0"/>
        <w:pageBreakBefore w:val="0"/>
        <w:widowControl w:val="0"/>
        <w:kinsoku/>
        <w:overflowPunct/>
        <w:topLinePunct w:val="0"/>
        <w:autoSpaceDE/>
        <w:autoSpaceDN/>
        <w:bidi w:val="0"/>
        <w:snapToGrid/>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评标应遵循下列原则：</w:t>
      </w:r>
    </w:p>
    <w:p w14:paraId="13DB2652">
      <w:pPr>
        <w:pStyle w:val="22"/>
        <w:keepLines w:val="0"/>
        <w:pageBreakBefore w:val="0"/>
        <w:widowControl w:val="0"/>
        <w:kinsoku/>
        <w:overflowPunct/>
        <w:topLinePunct w:val="0"/>
        <w:autoSpaceDE/>
        <w:autoSpaceDN/>
        <w:bidi w:val="0"/>
        <w:snapToGrid/>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(1)坚持公平、公正、科学、择优的原则，本着实事求是的精神，不带有任何主观意愿和偏见，认真负责地做好评标工作，公平、公正地对待每一个投标人。</w:t>
      </w:r>
    </w:p>
    <w:p w14:paraId="00AF9613">
      <w:pPr>
        <w:pStyle w:val="22"/>
        <w:keepLines w:val="0"/>
        <w:pageBreakBefore w:val="0"/>
        <w:widowControl w:val="0"/>
        <w:kinsoku/>
        <w:overflowPunct/>
        <w:topLinePunct w:val="0"/>
        <w:autoSpaceDE/>
        <w:autoSpaceDN/>
        <w:bidi w:val="0"/>
        <w:snapToGrid/>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(2)全面分析，综合评审。</w:t>
      </w:r>
    </w:p>
    <w:p w14:paraId="2371ACA0">
      <w:pPr>
        <w:pStyle w:val="22"/>
        <w:keepLines w:val="0"/>
        <w:pageBreakBefore w:val="0"/>
        <w:widowControl w:val="0"/>
        <w:kinsoku/>
        <w:overflowPunct/>
        <w:topLinePunct w:val="0"/>
        <w:autoSpaceDE/>
        <w:autoSpaceDN/>
        <w:bidi w:val="0"/>
        <w:snapToGrid/>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25.2.2评标纪律</w:t>
      </w:r>
    </w:p>
    <w:p w14:paraId="24F3EEC3">
      <w:pPr>
        <w:pStyle w:val="22"/>
        <w:keepLines w:val="0"/>
        <w:pageBreakBefore w:val="0"/>
        <w:widowControl w:val="0"/>
        <w:kinsoku/>
        <w:overflowPunct/>
        <w:topLinePunct w:val="0"/>
        <w:autoSpaceDE/>
        <w:autoSpaceDN/>
        <w:bidi w:val="0"/>
        <w:snapToGrid/>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(1)对评标内容和评标过程要严格保密，不得向投标人或与该过程无关的其它人员泄露；</w:t>
      </w:r>
    </w:p>
    <w:p w14:paraId="0224794B">
      <w:pPr>
        <w:pStyle w:val="22"/>
        <w:keepLines w:val="0"/>
        <w:pageBreakBefore w:val="0"/>
        <w:widowControl w:val="0"/>
        <w:kinsoku/>
        <w:overflowPunct/>
        <w:topLinePunct w:val="0"/>
        <w:autoSpaceDE/>
        <w:autoSpaceDN/>
        <w:bidi w:val="0"/>
        <w:snapToGrid/>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(2)评标期间的一切资料，包括评标意见、评标记录和评标结论，一律不得向外</w:t>
      </w:r>
      <w:r>
        <w:rPr>
          <w:rFonts w:hint="eastAsia" w:ascii="仿宋" w:hAnsi="仿宋" w:eastAsia="仿宋" w:cs="仿宋"/>
          <w:color w:val="auto"/>
          <w:sz w:val="24"/>
          <w:szCs w:val="24"/>
          <w:highlight w:val="none"/>
          <w:lang w:eastAsia="zh-CN"/>
        </w:rPr>
        <w:t>传播</w:t>
      </w:r>
      <w:r>
        <w:rPr>
          <w:rFonts w:hint="eastAsia" w:ascii="仿宋" w:hAnsi="仿宋" w:eastAsia="仿宋" w:cs="仿宋"/>
          <w:color w:val="auto"/>
          <w:sz w:val="24"/>
          <w:szCs w:val="24"/>
          <w:highlight w:val="none"/>
        </w:rPr>
        <w:t>和泄露；</w:t>
      </w:r>
    </w:p>
    <w:p w14:paraId="13E7D6CE">
      <w:pPr>
        <w:pStyle w:val="22"/>
        <w:keepLines w:val="0"/>
        <w:pageBreakBefore w:val="0"/>
        <w:widowControl w:val="0"/>
        <w:kinsoku/>
        <w:overflowPunct/>
        <w:topLinePunct w:val="0"/>
        <w:autoSpaceDE/>
        <w:autoSpaceDN/>
        <w:bidi w:val="0"/>
        <w:snapToGrid/>
        <w:spacing w:line="460" w:lineRule="exact"/>
        <w:ind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(3)任何属于投标文件审查、澄清、评价和比较的资料，不得向投标人或与该过程无关的其它人员泄露；</w:t>
      </w:r>
    </w:p>
    <w:p w14:paraId="4CFD5AE4">
      <w:pPr>
        <w:pStyle w:val="22"/>
        <w:keepLines w:val="0"/>
        <w:pageBreakBefore w:val="0"/>
        <w:widowControl w:val="0"/>
        <w:kinsoku/>
        <w:overflowPunct/>
        <w:topLinePunct w:val="0"/>
        <w:autoSpaceDE/>
        <w:autoSpaceDN/>
        <w:bidi w:val="0"/>
        <w:snapToGrid/>
        <w:spacing w:line="460" w:lineRule="exact"/>
        <w:ind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(4)所有资料（包括招标文件、投标文件、评标表格及各种文字记录）在评标结束后均应分别整理、存档备查，任何人不得复制和保留；</w:t>
      </w:r>
    </w:p>
    <w:p w14:paraId="0DE30D11">
      <w:pPr>
        <w:pStyle w:val="22"/>
        <w:keepLines w:val="0"/>
        <w:pageBreakBefore w:val="0"/>
        <w:widowControl w:val="0"/>
        <w:kinsoku/>
        <w:overflowPunct/>
        <w:topLinePunct w:val="0"/>
        <w:autoSpaceDE/>
        <w:autoSpaceDN/>
        <w:bidi w:val="0"/>
        <w:snapToGrid/>
        <w:spacing w:line="460" w:lineRule="exact"/>
        <w:ind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(5)评标结束后，与会人员不得向外界透露评标人员的评标意见，如因此造成的后果由责任者承担；</w:t>
      </w:r>
    </w:p>
    <w:p w14:paraId="34F63488">
      <w:pPr>
        <w:pStyle w:val="22"/>
        <w:keepLines w:val="0"/>
        <w:pageBreakBefore w:val="0"/>
        <w:widowControl w:val="0"/>
        <w:kinsoku/>
        <w:overflowPunct/>
        <w:topLinePunct w:val="0"/>
        <w:autoSpaceDE/>
        <w:autoSpaceDN/>
        <w:bidi w:val="0"/>
        <w:snapToGrid/>
        <w:spacing w:line="460" w:lineRule="exact"/>
        <w:ind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(6)评标期间，评标人员不得外出，确需外出时应事先请假；</w:t>
      </w:r>
    </w:p>
    <w:p w14:paraId="530F5477">
      <w:pPr>
        <w:pStyle w:val="22"/>
        <w:keepLines w:val="0"/>
        <w:pageBreakBefore w:val="0"/>
        <w:widowControl w:val="0"/>
        <w:kinsoku/>
        <w:overflowPunct/>
        <w:topLinePunct w:val="0"/>
        <w:autoSpaceDE/>
        <w:autoSpaceDN/>
        <w:bidi w:val="0"/>
        <w:snapToGrid/>
        <w:spacing w:line="460" w:lineRule="exact"/>
        <w:ind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(7)评标期间，所有与会人员均不得私自以任何方式和投标人进行联系，需询问、澄清的问题由评委会统一组织办理；</w:t>
      </w:r>
    </w:p>
    <w:p w14:paraId="5D41CCBF">
      <w:pPr>
        <w:pStyle w:val="22"/>
        <w:keepLines w:val="0"/>
        <w:pageBreakBefore w:val="0"/>
        <w:widowControl w:val="0"/>
        <w:kinsoku/>
        <w:overflowPunct/>
        <w:topLinePunct w:val="0"/>
        <w:autoSpaceDE/>
        <w:autoSpaceDN/>
        <w:bidi w:val="0"/>
        <w:snapToGrid/>
        <w:spacing w:line="460" w:lineRule="exact"/>
        <w:ind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(8)评标期间，未经允许评标委员会以外的任何单位或部门不得参加评标和采访评标工作。</w:t>
      </w:r>
    </w:p>
    <w:p w14:paraId="162F00AC">
      <w:pPr>
        <w:pStyle w:val="22"/>
        <w:keepLines w:val="0"/>
        <w:pageBreakBefore w:val="0"/>
        <w:widowControl w:val="0"/>
        <w:kinsoku/>
        <w:overflowPunct/>
        <w:topLinePunct w:val="0"/>
        <w:autoSpaceDE/>
        <w:autoSpaceDN/>
        <w:bidi w:val="0"/>
        <w:snapToGrid/>
        <w:spacing w:line="460" w:lineRule="exact"/>
        <w:ind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25.2.3评标程序</w:t>
      </w:r>
    </w:p>
    <w:p w14:paraId="4350E4F7">
      <w:pPr>
        <w:pStyle w:val="22"/>
        <w:keepLines w:val="0"/>
        <w:pageBreakBefore w:val="0"/>
        <w:widowControl w:val="0"/>
        <w:kinsoku/>
        <w:overflowPunct/>
        <w:topLinePunct w:val="0"/>
        <w:autoSpaceDE/>
        <w:autoSpaceDN/>
        <w:bidi w:val="0"/>
        <w:snapToGrid/>
        <w:spacing w:line="460" w:lineRule="exact"/>
        <w:ind w:firstLine="480" w:firstLineChars="200"/>
        <w:jc w:val="both"/>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评标只对有效投标文件进行评审。评标按：资格审查→符合性评审→详细评审→评标报告的程序进行。</w:t>
      </w:r>
    </w:p>
    <w:p w14:paraId="7E1600AA">
      <w:pPr>
        <w:pStyle w:val="22"/>
        <w:keepLines w:val="0"/>
        <w:pageBreakBefore w:val="0"/>
        <w:widowControl w:val="0"/>
        <w:kinsoku/>
        <w:overflowPunct/>
        <w:topLinePunct w:val="0"/>
        <w:autoSpaceDE/>
        <w:autoSpaceDN/>
        <w:bidi w:val="0"/>
        <w:snapToGrid/>
        <w:spacing w:line="460" w:lineRule="exact"/>
        <w:ind w:firstLine="480" w:firstLineChars="200"/>
        <w:jc w:val="both"/>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25.3</w:t>
      </w:r>
      <w:r>
        <w:rPr>
          <w:rFonts w:hint="eastAsia" w:ascii="仿宋" w:hAnsi="仿宋" w:eastAsia="仿宋" w:cs="仿宋"/>
          <w:bCs/>
          <w:color w:val="auto"/>
          <w:sz w:val="24"/>
          <w:szCs w:val="24"/>
          <w:highlight w:val="none"/>
        </w:rPr>
        <w:t>评标方法</w:t>
      </w:r>
    </w:p>
    <w:p w14:paraId="26276E1E">
      <w:pPr>
        <w:keepLines w:val="0"/>
        <w:pageBreakBefore w:val="0"/>
        <w:widowControl w:val="0"/>
        <w:kinsoku/>
        <w:overflowPunct/>
        <w:topLinePunct w:val="0"/>
        <w:autoSpaceDE/>
        <w:autoSpaceDN/>
        <w:bidi w:val="0"/>
        <w:snapToGrid/>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本项目按“</w:t>
      </w:r>
      <w:r>
        <w:rPr>
          <w:rFonts w:hint="eastAsia" w:ascii="仿宋" w:hAnsi="仿宋" w:eastAsia="仿宋" w:cs="仿宋"/>
          <w:bCs/>
          <w:color w:val="auto"/>
          <w:sz w:val="24"/>
          <w:szCs w:val="24"/>
          <w:highlight w:val="none"/>
        </w:rPr>
        <w:t>第</w:t>
      </w:r>
      <w:r>
        <w:rPr>
          <w:rFonts w:hint="eastAsia" w:ascii="仿宋" w:hAnsi="仿宋" w:eastAsia="仿宋" w:cs="仿宋"/>
          <w:bCs/>
          <w:color w:val="auto"/>
          <w:sz w:val="24"/>
          <w:szCs w:val="24"/>
          <w:highlight w:val="none"/>
          <w:lang w:val="en-US" w:eastAsia="zh-CN"/>
        </w:rPr>
        <w:t>六</w:t>
      </w:r>
      <w:r>
        <w:rPr>
          <w:rFonts w:hint="eastAsia" w:ascii="仿宋" w:hAnsi="仿宋" w:eastAsia="仿宋" w:cs="仿宋"/>
          <w:bCs/>
          <w:color w:val="auto"/>
          <w:sz w:val="24"/>
          <w:szCs w:val="24"/>
          <w:highlight w:val="none"/>
        </w:rPr>
        <w:t>章 评标方法</w:t>
      </w:r>
      <w:r>
        <w:rPr>
          <w:rFonts w:hint="eastAsia" w:ascii="仿宋" w:hAnsi="仿宋" w:eastAsia="仿宋" w:cs="仿宋"/>
          <w:color w:val="auto"/>
          <w:sz w:val="24"/>
          <w:szCs w:val="24"/>
          <w:highlight w:val="none"/>
        </w:rPr>
        <w:t>”规定的评标方法评标。在评标中，不得改变招标文件中规定的评标标准、方法和中标条件。“第</w:t>
      </w:r>
      <w:r>
        <w:rPr>
          <w:rFonts w:hint="eastAsia" w:ascii="仿宋" w:hAnsi="仿宋" w:eastAsia="仿宋" w:cs="仿宋"/>
          <w:color w:val="auto"/>
          <w:sz w:val="24"/>
          <w:szCs w:val="24"/>
          <w:highlight w:val="none"/>
          <w:lang w:val="en-US" w:eastAsia="zh-CN"/>
        </w:rPr>
        <w:t>六</w:t>
      </w:r>
      <w:r>
        <w:rPr>
          <w:rFonts w:hint="eastAsia" w:ascii="仿宋" w:hAnsi="仿宋" w:eastAsia="仿宋" w:cs="仿宋"/>
          <w:color w:val="auto"/>
          <w:sz w:val="24"/>
          <w:szCs w:val="24"/>
          <w:highlight w:val="none"/>
        </w:rPr>
        <w:t>章 评标方法”没有规定的评审因素和标准，不作为评标依据。</w:t>
      </w:r>
    </w:p>
    <w:p w14:paraId="71AA31DC">
      <w:pPr>
        <w:keepLines w:val="0"/>
        <w:pageBreakBefore w:val="0"/>
        <w:widowControl w:val="0"/>
        <w:kinsoku/>
        <w:overflowPunct/>
        <w:topLinePunct w:val="0"/>
        <w:autoSpaceDE/>
        <w:autoSpaceDN/>
        <w:bidi w:val="0"/>
        <w:snapToGrid/>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25.4评标应当在严格保密的情况下进行。任何单位和个人不得非法干预、影响评标办法的确定，以及评标过程和结果。评标委员会成员和与评标活动有关的人员在政府采购活动中应严格遵守政府采购评审工作纪律，不得向外界泄露评审情况。</w:t>
      </w:r>
    </w:p>
    <w:p w14:paraId="1D6CFCFA">
      <w:pPr>
        <w:keepLines w:val="0"/>
        <w:pageBreakBefore w:val="0"/>
        <w:widowControl w:val="0"/>
        <w:kinsoku/>
        <w:overflowPunct/>
        <w:topLinePunct w:val="0"/>
        <w:autoSpaceDE/>
        <w:autoSpaceDN/>
        <w:bidi w:val="0"/>
        <w:snapToGrid/>
        <w:spacing w:line="460" w:lineRule="exact"/>
        <w:ind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25.5</w:t>
      </w:r>
      <w:r>
        <w:rPr>
          <w:rFonts w:hint="eastAsia" w:ascii="仿宋" w:hAnsi="仿宋" w:eastAsia="仿宋" w:cs="仿宋"/>
          <w:b/>
          <w:color w:val="auto"/>
          <w:sz w:val="24"/>
          <w:szCs w:val="24"/>
          <w:highlight w:val="none"/>
        </w:rPr>
        <w:t>在评标过程中，使用综合评分法的采购项目，提供的核心产品为相同品牌产品且通过资格审查、符合性审查的不同投标人参加同一</w:t>
      </w:r>
      <w:r>
        <w:rPr>
          <w:rFonts w:hint="eastAsia" w:ascii="仿宋" w:hAnsi="仿宋" w:eastAsia="仿宋" w:cs="仿宋"/>
          <w:b/>
          <w:color w:val="auto"/>
          <w:sz w:val="24"/>
          <w:szCs w:val="24"/>
          <w:highlight w:val="none"/>
          <w:lang w:val="en-US" w:eastAsia="zh-CN"/>
        </w:rPr>
        <w:t>项目</w:t>
      </w:r>
      <w:r>
        <w:rPr>
          <w:rFonts w:hint="eastAsia" w:ascii="仿宋" w:hAnsi="仿宋" w:eastAsia="仿宋" w:cs="仿宋"/>
          <w:b/>
          <w:color w:val="auto"/>
          <w:sz w:val="24"/>
          <w:szCs w:val="24"/>
          <w:highlight w:val="none"/>
        </w:rPr>
        <w:t>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574B6DC5">
      <w:pPr>
        <w:pStyle w:val="22"/>
        <w:keepLines w:val="0"/>
        <w:pageBreakBefore w:val="0"/>
        <w:widowControl w:val="0"/>
        <w:kinsoku/>
        <w:overflowPunct/>
        <w:topLinePunct w:val="0"/>
        <w:autoSpaceDE/>
        <w:autoSpaceDN/>
        <w:bidi w:val="0"/>
        <w:snapToGrid/>
        <w:spacing w:line="460" w:lineRule="exact"/>
        <w:ind w:firstLine="480" w:firstLineChars="200"/>
        <w:outlineLvl w:val="2"/>
        <w:rPr>
          <w:rFonts w:hint="eastAsia" w:ascii="仿宋" w:hAnsi="仿宋" w:eastAsia="仿宋" w:cs="仿宋"/>
          <w:bCs/>
          <w:color w:val="auto"/>
          <w:sz w:val="24"/>
          <w:szCs w:val="24"/>
          <w:highlight w:val="none"/>
        </w:rPr>
      </w:pPr>
      <w:bookmarkStart w:id="321" w:name="_Toc14362"/>
      <w:bookmarkStart w:id="322" w:name="_Toc31639"/>
      <w:bookmarkStart w:id="323" w:name="_Toc30738"/>
      <w:bookmarkStart w:id="324" w:name="_Toc3868"/>
      <w:bookmarkStart w:id="325" w:name="_Toc18010"/>
      <w:bookmarkStart w:id="326" w:name="_Toc19088"/>
      <w:r>
        <w:rPr>
          <w:rFonts w:hint="eastAsia" w:ascii="仿宋" w:hAnsi="仿宋" w:eastAsia="仿宋" w:cs="仿宋"/>
          <w:bCs/>
          <w:color w:val="auto"/>
          <w:sz w:val="24"/>
          <w:szCs w:val="24"/>
          <w:highlight w:val="none"/>
        </w:rPr>
        <w:t>26.采购活动的终止：</w:t>
      </w:r>
      <w:bookmarkEnd w:id="321"/>
      <w:bookmarkEnd w:id="322"/>
      <w:bookmarkEnd w:id="323"/>
      <w:bookmarkEnd w:id="324"/>
      <w:bookmarkEnd w:id="325"/>
      <w:bookmarkEnd w:id="326"/>
    </w:p>
    <w:p w14:paraId="69DC5821">
      <w:pPr>
        <w:pStyle w:val="22"/>
        <w:keepLines w:val="0"/>
        <w:pageBreakBefore w:val="0"/>
        <w:widowControl w:val="0"/>
        <w:kinsoku/>
        <w:overflowPunct/>
        <w:topLinePunct w:val="0"/>
        <w:autoSpaceDE/>
        <w:autoSpaceDN/>
        <w:bidi w:val="0"/>
        <w:snapToGrid/>
        <w:spacing w:line="46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26.1在招标采购中，出现下列情形之一的，应予废标：</w:t>
      </w:r>
    </w:p>
    <w:p w14:paraId="51CBF7D9">
      <w:pPr>
        <w:pStyle w:val="22"/>
        <w:keepLines w:val="0"/>
        <w:pageBreakBefore w:val="0"/>
        <w:widowControl w:val="0"/>
        <w:kinsoku/>
        <w:overflowPunct/>
        <w:topLinePunct w:val="0"/>
        <w:autoSpaceDE/>
        <w:autoSpaceDN/>
        <w:bidi w:val="0"/>
        <w:snapToGrid/>
        <w:spacing w:line="46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(1)符合专业条件的投标人或者对招标文件作实质响应的投标人不足3家的；</w:t>
      </w:r>
    </w:p>
    <w:p w14:paraId="598DCAA0">
      <w:pPr>
        <w:pStyle w:val="22"/>
        <w:keepLines w:val="0"/>
        <w:pageBreakBefore w:val="0"/>
        <w:widowControl w:val="0"/>
        <w:kinsoku/>
        <w:overflowPunct/>
        <w:topLinePunct w:val="0"/>
        <w:autoSpaceDE/>
        <w:autoSpaceDN/>
        <w:bidi w:val="0"/>
        <w:snapToGrid/>
        <w:spacing w:line="46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(2)出现影响采购公正的违法、违规行为的；</w:t>
      </w:r>
    </w:p>
    <w:p w14:paraId="64A2EAB5">
      <w:pPr>
        <w:pStyle w:val="22"/>
        <w:keepLines w:val="0"/>
        <w:pageBreakBefore w:val="0"/>
        <w:widowControl w:val="0"/>
        <w:kinsoku/>
        <w:overflowPunct/>
        <w:topLinePunct w:val="0"/>
        <w:autoSpaceDE/>
        <w:autoSpaceDN/>
        <w:bidi w:val="0"/>
        <w:snapToGrid/>
        <w:spacing w:line="46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(3)投标人的报价均超过了采购预算，采购人不能支付的；</w:t>
      </w:r>
    </w:p>
    <w:p w14:paraId="011A3879">
      <w:pPr>
        <w:pStyle w:val="22"/>
        <w:keepLines w:val="0"/>
        <w:pageBreakBefore w:val="0"/>
        <w:widowControl w:val="0"/>
        <w:kinsoku/>
        <w:overflowPunct/>
        <w:topLinePunct w:val="0"/>
        <w:autoSpaceDE/>
        <w:autoSpaceDN/>
        <w:bidi w:val="0"/>
        <w:snapToGrid/>
        <w:spacing w:line="46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(4)因重大变故，采购任务取消的。</w:t>
      </w:r>
    </w:p>
    <w:p w14:paraId="5CCC9649">
      <w:pPr>
        <w:pStyle w:val="22"/>
        <w:keepLines w:val="0"/>
        <w:pageBreakBefore w:val="0"/>
        <w:widowControl w:val="0"/>
        <w:kinsoku/>
        <w:overflowPunct/>
        <w:topLinePunct w:val="0"/>
        <w:autoSpaceDE/>
        <w:autoSpaceDN/>
        <w:bidi w:val="0"/>
        <w:snapToGrid/>
        <w:spacing w:line="46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废标后，采购人应当将废标理由通知所有投标人。</w:t>
      </w:r>
    </w:p>
    <w:p w14:paraId="303FF5FA">
      <w:pPr>
        <w:pStyle w:val="22"/>
        <w:keepLines w:val="0"/>
        <w:pageBreakBefore w:val="0"/>
        <w:widowControl w:val="0"/>
        <w:kinsoku/>
        <w:overflowPunct/>
        <w:topLinePunct w:val="0"/>
        <w:autoSpaceDE/>
        <w:autoSpaceDN/>
        <w:bidi w:val="0"/>
        <w:snapToGrid/>
        <w:spacing w:line="46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26.2电子交易活动的中止</w:t>
      </w:r>
    </w:p>
    <w:p w14:paraId="787B4B59">
      <w:pPr>
        <w:pStyle w:val="22"/>
        <w:keepLines w:val="0"/>
        <w:pageBreakBefore w:val="0"/>
        <w:widowControl w:val="0"/>
        <w:kinsoku/>
        <w:overflowPunct/>
        <w:topLinePunct w:val="0"/>
        <w:autoSpaceDE/>
        <w:autoSpaceDN/>
        <w:bidi w:val="0"/>
        <w:snapToGrid/>
        <w:spacing w:line="46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采购过程中出现以下情形，导致电子交易平台无法正常运行，或者无法保证电子交易的公平、公正和安全时，采购代理机构可中止电子交易活动：</w:t>
      </w:r>
    </w:p>
    <w:p w14:paraId="7BF0EE0C">
      <w:pPr>
        <w:pStyle w:val="22"/>
        <w:keepLines w:val="0"/>
        <w:pageBreakBefore w:val="0"/>
        <w:widowControl w:val="0"/>
        <w:kinsoku/>
        <w:overflowPunct/>
        <w:topLinePunct w:val="0"/>
        <w:autoSpaceDE/>
        <w:autoSpaceDN/>
        <w:bidi w:val="0"/>
        <w:snapToGrid/>
        <w:spacing w:line="46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（1）电子交易平台发生故障而无法登录访问的；</w:t>
      </w:r>
    </w:p>
    <w:p w14:paraId="041B9410">
      <w:pPr>
        <w:pStyle w:val="22"/>
        <w:keepLines w:val="0"/>
        <w:pageBreakBefore w:val="0"/>
        <w:widowControl w:val="0"/>
        <w:kinsoku/>
        <w:overflowPunct/>
        <w:topLinePunct w:val="0"/>
        <w:autoSpaceDE/>
        <w:autoSpaceDN/>
        <w:bidi w:val="0"/>
        <w:snapToGrid/>
        <w:spacing w:line="46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（2）电子交易平台应用或数据库出现错误，不能进行正常操作的；</w:t>
      </w:r>
    </w:p>
    <w:p w14:paraId="3C80CAF0">
      <w:pPr>
        <w:pStyle w:val="22"/>
        <w:keepLines w:val="0"/>
        <w:pageBreakBefore w:val="0"/>
        <w:widowControl w:val="0"/>
        <w:kinsoku/>
        <w:overflowPunct/>
        <w:topLinePunct w:val="0"/>
        <w:autoSpaceDE/>
        <w:autoSpaceDN/>
        <w:bidi w:val="0"/>
        <w:snapToGrid/>
        <w:spacing w:line="46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（3）电子交易平台发现严重安全漏洞，有潜在泄密危险的；</w:t>
      </w:r>
    </w:p>
    <w:p w14:paraId="3F0B02A6">
      <w:pPr>
        <w:pStyle w:val="22"/>
        <w:keepLines w:val="0"/>
        <w:pageBreakBefore w:val="0"/>
        <w:widowControl w:val="0"/>
        <w:kinsoku/>
        <w:overflowPunct/>
        <w:topLinePunct w:val="0"/>
        <w:autoSpaceDE/>
        <w:autoSpaceDN/>
        <w:bidi w:val="0"/>
        <w:snapToGrid/>
        <w:spacing w:line="46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（4）病毒发作导致不能进行正常操作的；</w:t>
      </w:r>
    </w:p>
    <w:p w14:paraId="6B38294A">
      <w:pPr>
        <w:pStyle w:val="22"/>
        <w:keepLines w:val="0"/>
        <w:pageBreakBefore w:val="0"/>
        <w:widowControl w:val="0"/>
        <w:kinsoku/>
        <w:overflowPunct/>
        <w:topLinePunct w:val="0"/>
        <w:autoSpaceDE/>
        <w:autoSpaceDN/>
        <w:bidi w:val="0"/>
        <w:snapToGrid/>
        <w:spacing w:line="46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（5）其他无法保证电子交易的公平、公正和安全的情况。</w:t>
      </w:r>
    </w:p>
    <w:p w14:paraId="0C599749">
      <w:pPr>
        <w:pStyle w:val="22"/>
        <w:keepLines w:val="0"/>
        <w:pageBreakBefore w:val="0"/>
        <w:widowControl w:val="0"/>
        <w:kinsoku/>
        <w:overflowPunct/>
        <w:topLinePunct w:val="0"/>
        <w:autoSpaceDE/>
        <w:autoSpaceDN/>
        <w:bidi w:val="0"/>
        <w:snapToGrid/>
        <w:spacing w:line="460" w:lineRule="exact"/>
        <w:ind w:firstLine="48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4"/>
          <w:szCs w:val="24"/>
          <w:highlight w:val="none"/>
        </w:rPr>
        <w:t>26.3若出现26.2中情形，不影响采购公平、公正性的，采购代理机构可以待上述情形消除后继续组织电子交易活动；影响或可能影响采购公平、公正性的，经采购代理机构确认后，应当重新采购。采购代理机构必须对原有的资料及信息作出妥善保密处理，并报财政部门备案。</w:t>
      </w:r>
    </w:p>
    <w:p w14:paraId="533F7017">
      <w:pPr>
        <w:pStyle w:val="5"/>
        <w:keepLines w:val="0"/>
        <w:pageBreakBefore w:val="0"/>
        <w:widowControl w:val="0"/>
        <w:kinsoku/>
        <w:overflowPunct/>
        <w:topLinePunct w:val="0"/>
        <w:autoSpaceDE/>
        <w:autoSpaceDN/>
        <w:bidi w:val="0"/>
        <w:snapToGrid/>
        <w:spacing w:before="0" w:line="460" w:lineRule="exact"/>
        <w:ind w:left="0" w:firstLine="0"/>
        <w:jc w:val="center"/>
        <w:rPr>
          <w:rFonts w:hint="eastAsia" w:ascii="仿宋" w:hAnsi="仿宋" w:eastAsia="仿宋" w:cs="仿宋"/>
          <w:color w:val="auto"/>
          <w:sz w:val="28"/>
          <w:szCs w:val="28"/>
          <w:highlight w:val="none"/>
        </w:rPr>
      </w:pPr>
      <w:bookmarkStart w:id="327" w:name="_Toc393354835"/>
      <w:bookmarkStart w:id="328" w:name="_Toc16329"/>
      <w:bookmarkStart w:id="329" w:name="_Toc15763"/>
      <w:bookmarkStart w:id="330" w:name="_Toc31427"/>
      <w:bookmarkStart w:id="331" w:name="_Toc12321"/>
      <w:bookmarkStart w:id="332" w:name="_Toc22291"/>
      <w:bookmarkStart w:id="333" w:name="_Toc475291688"/>
      <w:bookmarkStart w:id="334" w:name="_Toc23717"/>
      <w:bookmarkStart w:id="335" w:name="_Toc14010"/>
      <w:bookmarkStart w:id="336" w:name="_Toc25773"/>
      <w:r>
        <w:rPr>
          <w:rFonts w:hint="eastAsia" w:ascii="仿宋" w:hAnsi="仿宋" w:eastAsia="仿宋" w:cs="仿宋"/>
          <w:color w:val="auto"/>
          <w:sz w:val="28"/>
          <w:szCs w:val="28"/>
          <w:highlight w:val="none"/>
        </w:rPr>
        <w:t>六、中标结果</w:t>
      </w:r>
      <w:bookmarkEnd w:id="327"/>
      <w:bookmarkEnd w:id="328"/>
      <w:bookmarkEnd w:id="329"/>
      <w:bookmarkEnd w:id="330"/>
      <w:bookmarkEnd w:id="331"/>
      <w:bookmarkEnd w:id="332"/>
      <w:bookmarkEnd w:id="333"/>
      <w:bookmarkEnd w:id="334"/>
      <w:bookmarkEnd w:id="335"/>
      <w:bookmarkEnd w:id="336"/>
    </w:p>
    <w:p w14:paraId="1EED9841">
      <w:pPr>
        <w:pStyle w:val="22"/>
        <w:keepLines w:val="0"/>
        <w:pageBreakBefore w:val="0"/>
        <w:widowControl w:val="0"/>
        <w:kinsoku/>
        <w:overflowPunct/>
        <w:topLinePunct w:val="0"/>
        <w:autoSpaceDE/>
        <w:autoSpaceDN/>
        <w:bidi w:val="0"/>
        <w:snapToGrid/>
        <w:spacing w:line="460" w:lineRule="exact"/>
        <w:ind w:firstLine="482" w:firstLineChars="200"/>
        <w:outlineLvl w:val="2"/>
        <w:rPr>
          <w:rFonts w:hint="eastAsia" w:ascii="仿宋" w:hAnsi="仿宋" w:eastAsia="仿宋" w:cs="仿宋"/>
          <w:b/>
          <w:color w:val="auto"/>
          <w:sz w:val="24"/>
          <w:szCs w:val="24"/>
          <w:highlight w:val="none"/>
        </w:rPr>
      </w:pPr>
      <w:bookmarkStart w:id="337" w:name="_Toc4985"/>
      <w:bookmarkStart w:id="338" w:name="_Toc23784"/>
      <w:bookmarkStart w:id="339" w:name="_Toc25310"/>
      <w:bookmarkStart w:id="340" w:name="_Toc23394"/>
      <w:bookmarkStart w:id="341" w:name="_Toc26585"/>
      <w:bookmarkStart w:id="342" w:name="_Toc21725"/>
      <w:r>
        <w:rPr>
          <w:rFonts w:hint="eastAsia" w:ascii="仿宋" w:hAnsi="仿宋" w:eastAsia="仿宋" w:cs="仿宋"/>
          <w:b/>
          <w:color w:val="auto"/>
          <w:sz w:val="24"/>
          <w:szCs w:val="24"/>
          <w:highlight w:val="none"/>
        </w:rPr>
        <w:t>27.中标人的确定</w:t>
      </w:r>
      <w:bookmarkEnd w:id="337"/>
      <w:bookmarkEnd w:id="338"/>
      <w:bookmarkEnd w:id="339"/>
      <w:bookmarkEnd w:id="340"/>
      <w:bookmarkEnd w:id="341"/>
      <w:bookmarkEnd w:id="342"/>
    </w:p>
    <w:p w14:paraId="7039C4EE">
      <w:pPr>
        <w:keepLines w:val="0"/>
        <w:pageBreakBefore w:val="0"/>
        <w:widowControl w:val="0"/>
        <w:kinsoku/>
        <w:overflowPunct/>
        <w:topLinePunct w:val="0"/>
        <w:autoSpaceDE/>
        <w:autoSpaceDN/>
        <w:bidi w:val="0"/>
        <w:snapToGrid/>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27.1采购代理机构应当在评标结束之日起2个工作日内将评标报告送采购人确认。</w:t>
      </w:r>
    </w:p>
    <w:p w14:paraId="6623C542">
      <w:pPr>
        <w:keepLines w:val="0"/>
        <w:pageBreakBefore w:val="0"/>
        <w:widowControl w:val="0"/>
        <w:kinsoku/>
        <w:overflowPunct/>
        <w:topLinePunct w:val="0"/>
        <w:autoSpaceDE/>
        <w:autoSpaceDN/>
        <w:bidi w:val="0"/>
        <w:snapToGrid/>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27.2采购人应当在收到评标报告之日起5个工作日内，在评标报告中推荐的中标候选人中按顺序确定中标人。</w:t>
      </w:r>
    </w:p>
    <w:p w14:paraId="443D7723">
      <w:pPr>
        <w:pStyle w:val="22"/>
        <w:keepLines w:val="0"/>
        <w:pageBreakBefore w:val="0"/>
        <w:widowControl w:val="0"/>
        <w:kinsoku/>
        <w:overflowPunct/>
        <w:topLinePunct w:val="0"/>
        <w:autoSpaceDE/>
        <w:autoSpaceDN/>
        <w:bidi w:val="0"/>
        <w:snapToGrid/>
        <w:spacing w:line="460" w:lineRule="exact"/>
        <w:ind w:firstLine="482" w:firstLineChars="200"/>
        <w:outlineLvl w:val="2"/>
        <w:rPr>
          <w:rFonts w:hint="eastAsia" w:ascii="仿宋" w:hAnsi="仿宋" w:eastAsia="仿宋" w:cs="仿宋"/>
          <w:b/>
          <w:bCs/>
          <w:color w:val="auto"/>
          <w:sz w:val="24"/>
          <w:szCs w:val="24"/>
          <w:highlight w:val="none"/>
        </w:rPr>
      </w:pPr>
      <w:bookmarkStart w:id="343" w:name="_Toc26804"/>
      <w:bookmarkStart w:id="344" w:name="_Toc12621"/>
      <w:bookmarkStart w:id="345" w:name="_Toc32638"/>
      <w:bookmarkStart w:id="346" w:name="_Toc21575"/>
      <w:bookmarkStart w:id="347" w:name="_Toc31864"/>
      <w:bookmarkStart w:id="348" w:name="_Toc12072"/>
      <w:r>
        <w:rPr>
          <w:rFonts w:hint="eastAsia" w:ascii="仿宋" w:hAnsi="仿宋" w:eastAsia="仿宋" w:cs="仿宋"/>
          <w:b/>
          <w:bCs/>
          <w:color w:val="auto"/>
          <w:sz w:val="24"/>
          <w:szCs w:val="24"/>
          <w:highlight w:val="none"/>
        </w:rPr>
        <w:t>28.中标通知书</w:t>
      </w:r>
      <w:bookmarkEnd w:id="343"/>
      <w:bookmarkEnd w:id="344"/>
      <w:bookmarkEnd w:id="345"/>
      <w:bookmarkEnd w:id="346"/>
      <w:bookmarkEnd w:id="347"/>
      <w:bookmarkEnd w:id="348"/>
    </w:p>
    <w:p w14:paraId="6D025EA5">
      <w:pPr>
        <w:pStyle w:val="22"/>
        <w:keepLines w:val="0"/>
        <w:pageBreakBefore w:val="0"/>
        <w:widowControl w:val="0"/>
        <w:kinsoku/>
        <w:overflowPunct/>
        <w:topLinePunct w:val="0"/>
        <w:autoSpaceDE/>
        <w:autoSpaceDN/>
        <w:bidi w:val="0"/>
        <w:snapToGrid/>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28.1中标人确定之日起2个工作日内，采购代理机构在</w:t>
      </w:r>
      <w:r>
        <w:rPr>
          <w:rFonts w:hint="eastAsia" w:ascii="仿宋" w:hAnsi="仿宋" w:eastAsia="仿宋" w:cs="仿宋"/>
          <w:color w:val="auto"/>
          <w:sz w:val="24"/>
          <w:szCs w:val="24"/>
          <w:highlight w:val="none"/>
          <w:lang w:eastAsia="zh-CN"/>
        </w:rPr>
        <w:t>上级</w:t>
      </w:r>
      <w:r>
        <w:rPr>
          <w:rFonts w:hint="eastAsia" w:ascii="仿宋" w:hAnsi="仿宋" w:eastAsia="仿宋" w:cs="仿宋"/>
          <w:color w:val="auto"/>
          <w:sz w:val="24"/>
          <w:szCs w:val="24"/>
          <w:highlight w:val="none"/>
        </w:rPr>
        <w:t>财政部门指定的媒体上公告中标结果，中标公告期限为1个工作日，同时向中标人发出中标通知书。</w:t>
      </w:r>
    </w:p>
    <w:p w14:paraId="3EBB939E">
      <w:pPr>
        <w:pStyle w:val="22"/>
        <w:keepLines w:val="0"/>
        <w:pageBreakBefore w:val="0"/>
        <w:widowControl w:val="0"/>
        <w:kinsoku/>
        <w:overflowPunct/>
        <w:topLinePunct w:val="0"/>
        <w:autoSpaceDE/>
        <w:autoSpaceDN/>
        <w:bidi w:val="0"/>
        <w:snapToGrid/>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28.2中标通知书是合同的组成部分。</w:t>
      </w:r>
    </w:p>
    <w:p w14:paraId="3398D7CC">
      <w:pPr>
        <w:pStyle w:val="22"/>
        <w:keepLines w:val="0"/>
        <w:pageBreakBefore w:val="0"/>
        <w:widowControl w:val="0"/>
        <w:kinsoku/>
        <w:overflowPunct/>
        <w:topLinePunct w:val="0"/>
        <w:autoSpaceDE/>
        <w:autoSpaceDN/>
        <w:bidi w:val="0"/>
        <w:snapToGrid/>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28.3中标（成交）中小企业若有融资意向，请登录“云南省政府采购网（大理分网）</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政策法规栏目”下查看《大理州支持中小微企业政府采购合同质押融资试行方案》（大财采〔2023〕5号）及操作手册，按照操作手册流程,登录“中征应收账款融资服务平台”登记融资意向或查看各相关银行服务方案。“云南省政府采购网（大理分网）</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政策法规栏目”网址：http://zs.yngp.com/login.do?method=beginlogin&amp;districts=532900“中征应收账款融资服务平台”网址：https://www.crcrfsp.com</w:t>
      </w:r>
    </w:p>
    <w:p w14:paraId="725FE1D8">
      <w:pPr>
        <w:pStyle w:val="22"/>
        <w:keepLines w:val="0"/>
        <w:pageBreakBefore w:val="0"/>
        <w:widowControl w:val="0"/>
        <w:kinsoku/>
        <w:overflowPunct/>
        <w:topLinePunct w:val="0"/>
        <w:autoSpaceDE/>
        <w:autoSpaceDN/>
        <w:bidi w:val="0"/>
        <w:snapToGrid/>
        <w:spacing w:line="460" w:lineRule="exact"/>
        <w:ind w:firstLine="482" w:firstLineChars="200"/>
        <w:outlineLvl w:val="2"/>
        <w:rPr>
          <w:rFonts w:hint="eastAsia" w:ascii="仿宋" w:hAnsi="仿宋" w:eastAsia="仿宋" w:cs="仿宋"/>
          <w:b/>
          <w:bCs/>
          <w:color w:val="auto"/>
          <w:sz w:val="24"/>
          <w:szCs w:val="24"/>
          <w:highlight w:val="none"/>
        </w:rPr>
      </w:pPr>
      <w:bookmarkStart w:id="349" w:name="_Toc2731"/>
      <w:bookmarkStart w:id="350" w:name="_Toc9427"/>
      <w:bookmarkStart w:id="351" w:name="_Toc16237"/>
      <w:bookmarkStart w:id="352" w:name="_Toc26728"/>
      <w:bookmarkStart w:id="353" w:name="_Toc16861"/>
      <w:bookmarkStart w:id="354" w:name="_Toc11366"/>
      <w:r>
        <w:rPr>
          <w:rFonts w:hint="eastAsia" w:ascii="仿宋" w:hAnsi="仿宋" w:eastAsia="仿宋" w:cs="仿宋"/>
          <w:b/>
          <w:bCs/>
          <w:color w:val="auto"/>
          <w:sz w:val="24"/>
          <w:szCs w:val="24"/>
          <w:highlight w:val="none"/>
        </w:rPr>
        <w:t>29.签订合同</w:t>
      </w:r>
      <w:bookmarkEnd w:id="349"/>
      <w:bookmarkEnd w:id="350"/>
      <w:bookmarkEnd w:id="351"/>
      <w:bookmarkEnd w:id="352"/>
      <w:bookmarkEnd w:id="353"/>
      <w:bookmarkEnd w:id="354"/>
    </w:p>
    <w:p w14:paraId="0730BBA7">
      <w:pPr>
        <w:pStyle w:val="22"/>
        <w:keepLines w:val="0"/>
        <w:pageBreakBefore w:val="0"/>
        <w:widowControl w:val="0"/>
        <w:kinsoku/>
        <w:overflowPunct/>
        <w:topLinePunct w:val="0"/>
        <w:autoSpaceDE/>
        <w:autoSpaceDN/>
        <w:bidi w:val="0"/>
        <w:snapToGrid/>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29.1采购人与中标人应当在中标通知书发出之日起三十日内，按照</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确定的事项签订政府采购合同。</w:t>
      </w:r>
    </w:p>
    <w:p w14:paraId="5B032FB5">
      <w:pPr>
        <w:pStyle w:val="22"/>
        <w:keepLines w:val="0"/>
        <w:pageBreakBefore w:val="0"/>
        <w:widowControl w:val="0"/>
        <w:kinsoku/>
        <w:overflowPunct/>
        <w:topLinePunct w:val="0"/>
        <w:autoSpaceDE/>
        <w:autoSpaceDN/>
        <w:bidi w:val="0"/>
        <w:snapToGrid/>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29.2中标人因不可抗力或者自身原因不能履行政府采购合同的，采购人可以与排位在中标人之后第一位的中标候选人签订政府采购合同，以此类推；也可以重新招标。</w:t>
      </w:r>
    </w:p>
    <w:p w14:paraId="6EFA9349">
      <w:pPr>
        <w:pStyle w:val="22"/>
        <w:keepLines w:val="0"/>
        <w:pageBreakBefore w:val="0"/>
        <w:widowControl w:val="0"/>
        <w:kinsoku/>
        <w:overflowPunct/>
        <w:topLinePunct w:val="0"/>
        <w:autoSpaceDE/>
        <w:autoSpaceDN/>
        <w:bidi w:val="0"/>
        <w:snapToGrid/>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29.3政府采购合同履行中，采购人需追加与合同标的相同的服务的，在不改变合同其他条款的前提下，可以与中标人协商签订补充合同，但所有补充合同的采购金额不得超过原合同采购金额的百分之十。</w:t>
      </w:r>
    </w:p>
    <w:p w14:paraId="73614C36">
      <w:pPr>
        <w:pStyle w:val="5"/>
        <w:keepLines w:val="0"/>
        <w:pageBreakBefore w:val="0"/>
        <w:widowControl w:val="0"/>
        <w:kinsoku/>
        <w:overflowPunct/>
        <w:topLinePunct w:val="0"/>
        <w:autoSpaceDE/>
        <w:autoSpaceDN/>
        <w:bidi w:val="0"/>
        <w:snapToGrid/>
        <w:spacing w:before="0" w:line="460" w:lineRule="exact"/>
        <w:ind w:left="0" w:firstLine="0"/>
        <w:jc w:val="center"/>
        <w:rPr>
          <w:rFonts w:hint="eastAsia" w:ascii="仿宋" w:hAnsi="仿宋" w:eastAsia="仿宋" w:cs="仿宋"/>
          <w:color w:val="auto"/>
          <w:sz w:val="28"/>
          <w:szCs w:val="28"/>
          <w:highlight w:val="none"/>
        </w:rPr>
      </w:pPr>
      <w:bookmarkStart w:id="355" w:name="_Toc1624"/>
      <w:bookmarkStart w:id="356" w:name="_Toc9015"/>
      <w:bookmarkStart w:id="357" w:name="_Toc32730"/>
      <w:bookmarkStart w:id="358" w:name="_Toc8264"/>
      <w:bookmarkStart w:id="359" w:name="_Toc15955"/>
      <w:bookmarkStart w:id="360" w:name="_Toc566"/>
      <w:bookmarkStart w:id="361" w:name="_Toc26047"/>
      <w:bookmarkStart w:id="362" w:name="_Toc393354836"/>
      <w:bookmarkStart w:id="363" w:name="_Toc475291689"/>
      <w:bookmarkStart w:id="364" w:name="_Toc10818"/>
      <w:r>
        <w:rPr>
          <w:rFonts w:hint="eastAsia" w:ascii="仿宋" w:hAnsi="仿宋" w:eastAsia="仿宋" w:cs="仿宋"/>
          <w:color w:val="auto"/>
          <w:sz w:val="28"/>
          <w:szCs w:val="28"/>
          <w:highlight w:val="none"/>
        </w:rPr>
        <w:t>七、其他事项</w:t>
      </w:r>
      <w:bookmarkEnd w:id="355"/>
      <w:bookmarkEnd w:id="356"/>
      <w:bookmarkEnd w:id="357"/>
      <w:bookmarkEnd w:id="358"/>
      <w:bookmarkEnd w:id="359"/>
      <w:bookmarkEnd w:id="360"/>
      <w:bookmarkEnd w:id="361"/>
      <w:bookmarkEnd w:id="362"/>
      <w:bookmarkEnd w:id="363"/>
      <w:bookmarkEnd w:id="364"/>
    </w:p>
    <w:p w14:paraId="2E0E9BCA">
      <w:pPr>
        <w:pStyle w:val="22"/>
        <w:keepLines w:val="0"/>
        <w:pageBreakBefore w:val="0"/>
        <w:widowControl w:val="0"/>
        <w:kinsoku/>
        <w:overflowPunct/>
        <w:topLinePunct w:val="0"/>
        <w:autoSpaceDE/>
        <w:autoSpaceDN/>
        <w:bidi w:val="0"/>
        <w:snapToGrid/>
        <w:spacing w:line="460" w:lineRule="exact"/>
        <w:ind w:firstLine="482" w:firstLineChars="200"/>
        <w:outlineLvl w:val="2"/>
        <w:rPr>
          <w:rFonts w:hint="eastAsia" w:ascii="仿宋" w:hAnsi="仿宋" w:eastAsia="仿宋" w:cs="仿宋"/>
          <w:b/>
          <w:bCs/>
          <w:color w:val="auto"/>
          <w:sz w:val="24"/>
          <w:szCs w:val="24"/>
          <w:highlight w:val="none"/>
        </w:rPr>
      </w:pPr>
      <w:bookmarkStart w:id="365" w:name="_Toc17125"/>
      <w:bookmarkStart w:id="366" w:name="_Toc9529"/>
      <w:bookmarkStart w:id="367" w:name="_Toc9281"/>
      <w:bookmarkStart w:id="368" w:name="_Toc16235"/>
      <w:bookmarkStart w:id="369" w:name="_Toc17161"/>
      <w:bookmarkStart w:id="370" w:name="_Toc16920"/>
      <w:r>
        <w:rPr>
          <w:rFonts w:hint="eastAsia" w:ascii="仿宋" w:hAnsi="仿宋" w:eastAsia="仿宋" w:cs="仿宋"/>
          <w:b/>
          <w:bCs/>
          <w:color w:val="auto"/>
          <w:sz w:val="24"/>
          <w:szCs w:val="24"/>
          <w:highlight w:val="none"/>
        </w:rPr>
        <w:t>30.招标代理服务费</w:t>
      </w:r>
      <w:bookmarkEnd w:id="365"/>
      <w:bookmarkEnd w:id="366"/>
      <w:bookmarkEnd w:id="367"/>
      <w:bookmarkEnd w:id="368"/>
      <w:bookmarkEnd w:id="369"/>
      <w:bookmarkEnd w:id="370"/>
    </w:p>
    <w:p w14:paraId="6B0F4022">
      <w:pPr>
        <w:pStyle w:val="22"/>
        <w:keepLines w:val="0"/>
        <w:pageBreakBefore w:val="0"/>
        <w:widowControl w:val="0"/>
        <w:kinsoku/>
        <w:overflowPunct/>
        <w:topLinePunct w:val="0"/>
        <w:autoSpaceDE/>
        <w:autoSpaceDN/>
        <w:bidi w:val="0"/>
        <w:snapToGrid/>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30.1招标代理服务费向中标人收取，收取标准详见“</w:t>
      </w:r>
      <w:r>
        <w:rPr>
          <w:rFonts w:hint="eastAsia" w:ascii="仿宋" w:hAnsi="仿宋" w:eastAsia="仿宋" w:cs="仿宋"/>
          <w:b/>
          <w:color w:val="auto"/>
          <w:sz w:val="24"/>
          <w:szCs w:val="24"/>
          <w:highlight w:val="none"/>
        </w:rPr>
        <w:t>投标人须知前附表</w:t>
      </w:r>
      <w:r>
        <w:rPr>
          <w:rFonts w:hint="eastAsia" w:ascii="仿宋" w:hAnsi="仿宋" w:eastAsia="仿宋" w:cs="仿宋"/>
          <w:color w:val="auto"/>
          <w:sz w:val="24"/>
          <w:szCs w:val="24"/>
          <w:highlight w:val="none"/>
        </w:rPr>
        <w:t>”。</w:t>
      </w:r>
    </w:p>
    <w:p w14:paraId="76413574">
      <w:pPr>
        <w:pStyle w:val="22"/>
        <w:keepLines w:val="0"/>
        <w:pageBreakBefore w:val="0"/>
        <w:widowControl w:val="0"/>
        <w:kinsoku/>
        <w:overflowPunct/>
        <w:topLinePunct w:val="0"/>
        <w:autoSpaceDE/>
        <w:autoSpaceDN/>
        <w:bidi w:val="0"/>
        <w:snapToGrid/>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30.2中标人应在接受“</w:t>
      </w:r>
      <w:r>
        <w:rPr>
          <w:rFonts w:hint="eastAsia" w:ascii="仿宋" w:hAnsi="仿宋" w:eastAsia="仿宋" w:cs="仿宋"/>
          <w:b/>
          <w:color w:val="auto"/>
          <w:sz w:val="24"/>
          <w:szCs w:val="24"/>
          <w:highlight w:val="none"/>
        </w:rPr>
        <w:t>中标通知书</w:t>
      </w:r>
      <w:r>
        <w:rPr>
          <w:rFonts w:hint="eastAsia" w:ascii="仿宋" w:hAnsi="仿宋" w:eastAsia="仿宋" w:cs="仿宋"/>
          <w:color w:val="auto"/>
          <w:sz w:val="24"/>
          <w:szCs w:val="24"/>
          <w:highlight w:val="none"/>
        </w:rPr>
        <w:t>”前向采购代理机构一次付清招标代理服务费及相关费用。</w:t>
      </w:r>
    </w:p>
    <w:p w14:paraId="66A09418">
      <w:pPr>
        <w:pStyle w:val="22"/>
        <w:keepLines w:val="0"/>
        <w:pageBreakBefore w:val="0"/>
        <w:widowControl w:val="0"/>
        <w:kinsoku/>
        <w:overflowPunct/>
        <w:topLinePunct w:val="0"/>
        <w:autoSpaceDE/>
        <w:autoSpaceDN/>
        <w:bidi w:val="0"/>
        <w:snapToGrid/>
        <w:spacing w:line="460" w:lineRule="exact"/>
        <w:ind w:firstLine="482" w:firstLineChars="200"/>
        <w:outlineLvl w:val="2"/>
        <w:rPr>
          <w:rFonts w:hint="eastAsia" w:ascii="仿宋" w:hAnsi="仿宋" w:eastAsia="仿宋" w:cs="仿宋"/>
          <w:b/>
          <w:bCs/>
          <w:color w:val="auto"/>
          <w:sz w:val="24"/>
          <w:szCs w:val="24"/>
          <w:highlight w:val="none"/>
        </w:rPr>
      </w:pPr>
      <w:bookmarkStart w:id="371" w:name="_Toc4730"/>
      <w:bookmarkStart w:id="372" w:name="_Toc7352"/>
      <w:bookmarkStart w:id="373" w:name="_Toc23755"/>
      <w:bookmarkStart w:id="374" w:name="_Toc31069"/>
      <w:bookmarkStart w:id="375" w:name="_Toc20575"/>
      <w:bookmarkStart w:id="376" w:name="_Toc12229"/>
      <w:r>
        <w:rPr>
          <w:rFonts w:hint="eastAsia" w:ascii="仿宋" w:hAnsi="仿宋" w:eastAsia="仿宋" w:cs="仿宋"/>
          <w:b/>
          <w:bCs/>
          <w:color w:val="auto"/>
          <w:sz w:val="24"/>
          <w:szCs w:val="24"/>
          <w:highlight w:val="none"/>
        </w:rPr>
        <w:t>31.招标文件编制依据</w:t>
      </w:r>
      <w:bookmarkEnd w:id="371"/>
      <w:bookmarkEnd w:id="372"/>
      <w:bookmarkEnd w:id="373"/>
      <w:bookmarkEnd w:id="374"/>
      <w:bookmarkEnd w:id="375"/>
      <w:bookmarkEnd w:id="376"/>
    </w:p>
    <w:p w14:paraId="07A445E1">
      <w:pPr>
        <w:pStyle w:val="22"/>
        <w:keepLines w:val="0"/>
        <w:pageBreakBefore w:val="0"/>
        <w:widowControl w:val="0"/>
        <w:kinsoku/>
        <w:overflowPunct/>
        <w:topLinePunct w:val="0"/>
        <w:autoSpaceDE/>
        <w:autoSpaceDN/>
        <w:bidi w:val="0"/>
        <w:snapToGrid/>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31.1本招标文件根据《中华人民共和国政府采购法</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中华人民共和国政府采购法实施条例</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政府采购服务和服务招标投标管理办法》（财政部87号令）及相关法律法规编制。</w:t>
      </w:r>
    </w:p>
    <w:p w14:paraId="7DE0EC1C">
      <w:pPr>
        <w:pStyle w:val="22"/>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textAlignment w:val="auto"/>
        <w:outlineLvl w:val="2"/>
        <w:rPr>
          <w:rFonts w:hint="eastAsia" w:ascii="仿宋" w:hAnsi="仿宋" w:eastAsia="仿宋" w:cs="仿宋"/>
          <w:color w:val="auto"/>
          <w:sz w:val="24"/>
          <w:szCs w:val="24"/>
          <w:highlight w:val="none"/>
        </w:rPr>
      </w:pPr>
      <w:bookmarkStart w:id="377" w:name="_Toc19173"/>
      <w:r>
        <w:rPr>
          <w:rFonts w:hint="eastAsia" w:ascii="仿宋" w:hAnsi="仿宋" w:eastAsia="仿宋" w:cs="仿宋"/>
          <w:b/>
          <w:bCs/>
          <w:color w:val="auto"/>
          <w:sz w:val="24"/>
          <w:szCs w:val="24"/>
          <w:highlight w:val="none"/>
          <w:lang w:val="en-US" w:eastAsia="zh-CN"/>
        </w:rPr>
        <w:t>32.</w:t>
      </w:r>
      <w:r>
        <w:rPr>
          <w:rFonts w:hint="eastAsia" w:ascii="仿宋" w:hAnsi="仿宋" w:eastAsia="仿宋" w:cs="仿宋"/>
          <w:b/>
          <w:bCs/>
          <w:color w:val="auto"/>
          <w:sz w:val="24"/>
          <w:szCs w:val="24"/>
          <w:highlight w:val="none"/>
        </w:rPr>
        <w:t>履约保证金</w:t>
      </w:r>
      <w:r>
        <w:rPr>
          <w:rFonts w:hint="eastAsia" w:ascii="仿宋" w:hAnsi="仿宋" w:eastAsia="仿宋" w:cs="仿宋"/>
          <w:b/>
          <w:bCs/>
          <w:color w:val="auto"/>
          <w:sz w:val="24"/>
          <w:szCs w:val="24"/>
          <w:highlight w:val="none"/>
          <w:lang w:eastAsia="zh-CN"/>
        </w:rPr>
        <w:t>：</w:t>
      </w:r>
      <w:r>
        <w:rPr>
          <w:rFonts w:hint="eastAsia" w:ascii="仿宋" w:hAnsi="仿宋" w:eastAsia="仿宋" w:cs="仿宋"/>
          <w:color w:val="auto"/>
          <w:sz w:val="24"/>
          <w:szCs w:val="24"/>
          <w:highlight w:val="none"/>
        </w:rPr>
        <w:t>见“</w:t>
      </w:r>
      <w:r>
        <w:rPr>
          <w:rFonts w:hint="eastAsia" w:ascii="仿宋" w:hAnsi="仿宋" w:eastAsia="仿宋" w:cs="仿宋"/>
          <w:b/>
          <w:color w:val="auto"/>
          <w:sz w:val="24"/>
          <w:szCs w:val="24"/>
          <w:highlight w:val="none"/>
        </w:rPr>
        <w:t>投标人须知前附表</w:t>
      </w:r>
      <w:r>
        <w:rPr>
          <w:rFonts w:hint="eastAsia" w:ascii="仿宋" w:hAnsi="仿宋" w:eastAsia="仿宋" w:cs="仿宋"/>
          <w:color w:val="auto"/>
          <w:sz w:val="24"/>
          <w:szCs w:val="24"/>
          <w:highlight w:val="none"/>
        </w:rPr>
        <w:t>”。</w:t>
      </w:r>
      <w:bookmarkEnd w:id="377"/>
    </w:p>
    <w:p w14:paraId="0E84BD0D">
      <w:pPr>
        <w:pStyle w:val="22"/>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textAlignment w:val="auto"/>
        <w:outlineLvl w:val="2"/>
        <w:rPr>
          <w:rFonts w:hint="eastAsia" w:ascii="仿宋" w:hAnsi="仿宋" w:eastAsia="仿宋" w:cs="仿宋"/>
          <w:b/>
          <w:bCs/>
          <w:color w:val="auto"/>
          <w:sz w:val="24"/>
          <w:szCs w:val="24"/>
          <w:highlight w:val="none"/>
          <w:lang w:val="en-US" w:eastAsia="zh-CN"/>
        </w:rPr>
      </w:pPr>
      <w:bookmarkStart w:id="378" w:name="_Toc508"/>
      <w:r>
        <w:rPr>
          <w:rFonts w:hint="eastAsia" w:ascii="仿宋" w:hAnsi="仿宋" w:eastAsia="仿宋" w:cs="仿宋"/>
          <w:b/>
          <w:bCs/>
          <w:color w:val="auto"/>
          <w:sz w:val="24"/>
          <w:szCs w:val="24"/>
          <w:highlight w:val="none"/>
          <w:lang w:val="en-US" w:eastAsia="zh-CN"/>
        </w:rPr>
        <w:t>33.备品备件要求</w:t>
      </w:r>
      <w:r>
        <w:rPr>
          <w:rFonts w:hint="eastAsia" w:ascii="仿宋" w:hAnsi="仿宋" w:eastAsia="仿宋" w:cs="仿宋"/>
          <w:b/>
          <w:bCs/>
          <w:color w:val="auto"/>
          <w:sz w:val="24"/>
          <w:szCs w:val="24"/>
          <w:highlight w:val="none"/>
          <w:lang w:eastAsia="zh-CN"/>
        </w:rPr>
        <w:t>：</w:t>
      </w:r>
      <w:r>
        <w:rPr>
          <w:rFonts w:hint="eastAsia" w:ascii="仿宋" w:hAnsi="仿宋" w:eastAsia="仿宋" w:cs="仿宋"/>
          <w:color w:val="auto"/>
          <w:sz w:val="24"/>
          <w:szCs w:val="24"/>
          <w:highlight w:val="none"/>
        </w:rPr>
        <w:t>见“</w:t>
      </w:r>
      <w:r>
        <w:rPr>
          <w:rFonts w:hint="eastAsia" w:ascii="仿宋" w:hAnsi="仿宋" w:eastAsia="仿宋" w:cs="仿宋"/>
          <w:b/>
          <w:color w:val="auto"/>
          <w:sz w:val="24"/>
          <w:szCs w:val="24"/>
          <w:highlight w:val="none"/>
        </w:rPr>
        <w:t>投标人须知前附表</w:t>
      </w:r>
      <w:r>
        <w:rPr>
          <w:rFonts w:hint="eastAsia" w:ascii="仿宋" w:hAnsi="仿宋" w:eastAsia="仿宋" w:cs="仿宋"/>
          <w:color w:val="auto"/>
          <w:sz w:val="24"/>
          <w:szCs w:val="24"/>
          <w:highlight w:val="none"/>
        </w:rPr>
        <w:t>”。</w:t>
      </w:r>
      <w:bookmarkEnd w:id="378"/>
    </w:p>
    <w:p w14:paraId="0497374C">
      <w:pPr>
        <w:pStyle w:val="22"/>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textAlignment w:val="auto"/>
        <w:outlineLvl w:val="2"/>
        <w:rPr>
          <w:rFonts w:hint="eastAsia" w:ascii="仿宋" w:hAnsi="仿宋" w:eastAsia="仿宋" w:cs="仿宋"/>
          <w:b/>
          <w:bCs/>
          <w:color w:val="auto"/>
          <w:sz w:val="24"/>
          <w:szCs w:val="24"/>
          <w:highlight w:val="none"/>
          <w:lang w:val="en-US" w:eastAsia="zh-CN"/>
        </w:rPr>
      </w:pPr>
      <w:bookmarkStart w:id="379" w:name="_Toc25730"/>
      <w:r>
        <w:rPr>
          <w:rFonts w:hint="eastAsia" w:ascii="仿宋" w:hAnsi="仿宋" w:eastAsia="仿宋" w:cs="仿宋"/>
          <w:b/>
          <w:bCs/>
          <w:color w:val="auto"/>
          <w:sz w:val="24"/>
          <w:szCs w:val="24"/>
          <w:highlight w:val="none"/>
          <w:lang w:val="en-US" w:eastAsia="zh-CN"/>
        </w:rPr>
        <w:t>34.其他要求</w:t>
      </w:r>
      <w:r>
        <w:rPr>
          <w:rFonts w:hint="eastAsia" w:ascii="仿宋" w:hAnsi="仿宋" w:eastAsia="仿宋" w:cs="仿宋"/>
          <w:b/>
          <w:bCs/>
          <w:color w:val="auto"/>
          <w:sz w:val="24"/>
          <w:szCs w:val="24"/>
          <w:highlight w:val="none"/>
          <w:lang w:eastAsia="zh-CN"/>
        </w:rPr>
        <w:t>：</w:t>
      </w:r>
      <w:r>
        <w:rPr>
          <w:rFonts w:hint="eastAsia" w:ascii="仿宋" w:hAnsi="仿宋" w:eastAsia="仿宋" w:cs="仿宋"/>
          <w:color w:val="auto"/>
          <w:sz w:val="24"/>
          <w:szCs w:val="24"/>
          <w:highlight w:val="none"/>
        </w:rPr>
        <w:t>见“</w:t>
      </w:r>
      <w:r>
        <w:rPr>
          <w:rFonts w:hint="eastAsia" w:ascii="仿宋" w:hAnsi="仿宋" w:eastAsia="仿宋" w:cs="仿宋"/>
          <w:b/>
          <w:color w:val="auto"/>
          <w:sz w:val="24"/>
          <w:szCs w:val="24"/>
          <w:highlight w:val="none"/>
        </w:rPr>
        <w:t>投标人须知前附表</w:t>
      </w:r>
      <w:r>
        <w:rPr>
          <w:rFonts w:hint="eastAsia" w:ascii="仿宋" w:hAnsi="仿宋" w:eastAsia="仿宋" w:cs="仿宋"/>
          <w:color w:val="auto"/>
          <w:sz w:val="24"/>
          <w:szCs w:val="24"/>
          <w:highlight w:val="none"/>
        </w:rPr>
        <w:t>”。</w:t>
      </w:r>
      <w:bookmarkEnd w:id="379"/>
    </w:p>
    <w:p w14:paraId="6FE33BAD">
      <w:pPr>
        <w:pStyle w:val="22"/>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textAlignment w:val="auto"/>
        <w:outlineLvl w:val="2"/>
        <w:rPr>
          <w:rFonts w:hint="eastAsia" w:ascii="仿宋" w:hAnsi="仿宋" w:eastAsia="仿宋" w:cs="仿宋"/>
          <w:b/>
          <w:bCs/>
          <w:color w:val="auto"/>
          <w:sz w:val="24"/>
          <w:szCs w:val="24"/>
          <w:highlight w:val="none"/>
          <w:lang w:val="en-US" w:eastAsia="zh-CN"/>
        </w:rPr>
      </w:pPr>
      <w:bookmarkStart w:id="380" w:name="_Toc507"/>
      <w:r>
        <w:rPr>
          <w:rFonts w:hint="eastAsia" w:ascii="仿宋" w:hAnsi="仿宋" w:eastAsia="仿宋" w:cs="仿宋"/>
          <w:b/>
          <w:bCs/>
          <w:color w:val="auto"/>
          <w:sz w:val="24"/>
          <w:szCs w:val="24"/>
          <w:highlight w:val="none"/>
          <w:lang w:val="en-US" w:eastAsia="zh-CN"/>
        </w:rPr>
        <w:t>35.中小企业合同融资</w:t>
      </w:r>
      <w:r>
        <w:rPr>
          <w:rFonts w:hint="eastAsia" w:ascii="仿宋" w:hAnsi="仿宋" w:eastAsia="仿宋" w:cs="仿宋"/>
          <w:b/>
          <w:bCs/>
          <w:color w:val="auto"/>
          <w:sz w:val="24"/>
          <w:szCs w:val="24"/>
          <w:highlight w:val="none"/>
          <w:lang w:eastAsia="zh-CN"/>
        </w:rPr>
        <w:t>：</w:t>
      </w:r>
      <w:r>
        <w:rPr>
          <w:rFonts w:hint="eastAsia" w:ascii="仿宋" w:hAnsi="仿宋" w:eastAsia="仿宋" w:cs="仿宋"/>
          <w:color w:val="auto"/>
          <w:sz w:val="24"/>
          <w:szCs w:val="24"/>
          <w:highlight w:val="none"/>
        </w:rPr>
        <w:t>见“</w:t>
      </w:r>
      <w:r>
        <w:rPr>
          <w:rFonts w:hint="eastAsia" w:ascii="仿宋" w:hAnsi="仿宋" w:eastAsia="仿宋" w:cs="仿宋"/>
          <w:b/>
          <w:color w:val="auto"/>
          <w:sz w:val="24"/>
          <w:szCs w:val="24"/>
          <w:highlight w:val="none"/>
        </w:rPr>
        <w:t>投标人须知前附表</w:t>
      </w:r>
      <w:r>
        <w:rPr>
          <w:rFonts w:hint="eastAsia" w:ascii="仿宋" w:hAnsi="仿宋" w:eastAsia="仿宋" w:cs="仿宋"/>
          <w:color w:val="auto"/>
          <w:sz w:val="24"/>
          <w:szCs w:val="24"/>
          <w:highlight w:val="none"/>
        </w:rPr>
        <w:t>”。</w:t>
      </w:r>
      <w:bookmarkEnd w:id="380"/>
    </w:p>
    <w:p w14:paraId="0008076E">
      <w:pPr>
        <w:pStyle w:val="22"/>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textAlignment w:val="auto"/>
        <w:outlineLvl w:val="2"/>
        <w:rPr>
          <w:rFonts w:hint="eastAsia" w:ascii="仿宋" w:hAnsi="仿宋" w:eastAsia="仿宋" w:cs="仿宋"/>
          <w:b/>
          <w:bCs/>
          <w:color w:val="auto"/>
          <w:sz w:val="24"/>
          <w:szCs w:val="24"/>
          <w:highlight w:val="none"/>
          <w:lang w:val="en-US" w:eastAsia="zh-CN"/>
        </w:rPr>
      </w:pPr>
      <w:bookmarkStart w:id="381" w:name="_Toc1312"/>
      <w:r>
        <w:rPr>
          <w:rFonts w:hint="eastAsia" w:ascii="仿宋" w:hAnsi="仿宋" w:eastAsia="仿宋" w:cs="仿宋"/>
          <w:b/>
          <w:bCs/>
          <w:color w:val="auto"/>
          <w:sz w:val="24"/>
          <w:szCs w:val="24"/>
          <w:highlight w:val="none"/>
          <w:lang w:val="en-US" w:eastAsia="zh-CN"/>
        </w:rPr>
        <w:t>36.节能产品与环境标志产品</w:t>
      </w:r>
      <w:r>
        <w:rPr>
          <w:rFonts w:hint="eastAsia" w:ascii="仿宋" w:hAnsi="仿宋" w:eastAsia="仿宋" w:cs="仿宋"/>
          <w:b/>
          <w:bCs/>
          <w:color w:val="auto"/>
          <w:sz w:val="24"/>
          <w:szCs w:val="24"/>
          <w:highlight w:val="none"/>
          <w:lang w:eastAsia="zh-CN"/>
        </w:rPr>
        <w:t>：</w:t>
      </w:r>
      <w:r>
        <w:rPr>
          <w:rFonts w:hint="eastAsia" w:ascii="仿宋" w:hAnsi="仿宋" w:eastAsia="仿宋" w:cs="仿宋"/>
          <w:color w:val="auto"/>
          <w:sz w:val="24"/>
          <w:szCs w:val="24"/>
          <w:highlight w:val="none"/>
        </w:rPr>
        <w:t>见“</w:t>
      </w:r>
      <w:r>
        <w:rPr>
          <w:rFonts w:hint="eastAsia" w:ascii="仿宋" w:hAnsi="仿宋" w:eastAsia="仿宋" w:cs="仿宋"/>
          <w:b/>
          <w:color w:val="auto"/>
          <w:sz w:val="24"/>
          <w:szCs w:val="24"/>
          <w:highlight w:val="none"/>
        </w:rPr>
        <w:t>投标人须知前附表</w:t>
      </w:r>
      <w:r>
        <w:rPr>
          <w:rFonts w:hint="eastAsia" w:ascii="仿宋" w:hAnsi="仿宋" w:eastAsia="仿宋" w:cs="仿宋"/>
          <w:color w:val="auto"/>
          <w:sz w:val="24"/>
          <w:szCs w:val="24"/>
          <w:highlight w:val="none"/>
        </w:rPr>
        <w:t>”。</w:t>
      </w:r>
      <w:bookmarkEnd w:id="381"/>
    </w:p>
    <w:p w14:paraId="10220ED7">
      <w:pPr>
        <w:pStyle w:val="22"/>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textAlignment w:val="auto"/>
        <w:outlineLvl w:val="2"/>
        <w:rPr>
          <w:rFonts w:hint="eastAsia" w:ascii="仿宋" w:hAnsi="仿宋" w:eastAsia="仿宋" w:cs="仿宋"/>
          <w:b/>
          <w:bCs/>
          <w:color w:val="auto"/>
          <w:sz w:val="24"/>
          <w:szCs w:val="24"/>
          <w:highlight w:val="none"/>
          <w:lang w:val="en-US" w:eastAsia="zh-CN"/>
        </w:rPr>
      </w:pPr>
      <w:bookmarkStart w:id="382" w:name="_Toc13794"/>
      <w:r>
        <w:rPr>
          <w:rFonts w:hint="eastAsia" w:ascii="仿宋" w:hAnsi="仿宋" w:eastAsia="仿宋" w:cs="仿宋"/>
          <w:b/>
          <w:bCs/>
          <w:color w:val="auto"/>
          <w:sz w:val="24"/>
          <w:szCs w:val="24"/>
          <w:highlight w:val="none"/>
          <w:lang w:val="en-US" w:eastAsia="zh-CN"/>
        </w:rPr>
        <w:t>37.行业属性划分</w:t>
      </w:r>
      <w:r>
        <w:rPr>
          <w:rFonts w:hint="eastAsia" w:ascii="仿宋" w:hAnsi="仿宋" w:eastAsia="仿宋" w:cs="仿宋"/>
          <w:b/>
          <w:bCs/>
          <w:color w:val="auto"/>
          <w:sz w:val="24"/>
          <w:szCs w:val="24"/>
          <w:highlight w:val="none"/>
          <w:lang w:eastAsia="zh-CN"/>
        </w:rPr>
        <w:t>：</w:t>
      </w:r>
      <w:r>
        <w:rPr>
          <w:rFonts w:hint="eastAsia" w:ascii="仿宋" w:hAnsi="仿宋" w:eastAsia="仿宋" w:cs="仿宋"/>
          <w:color w:val="auto"/>
          <w:sz w:val="24"/>
          <w:szCs w:val="24"/>
          <w:highlight w:val="none"/>
        </w:rPr>
        <w:t>见“</w:t>
      </w:r>
      <w:r>
        <w:rPr>
          <w:rFonts w:hint="eastAsia" w:ascii="仿宋" w:hAnsi="仿宋" w:eastAsia="仿宋" w:cs="仿宋"/>
          <w:b/>
          <w:color w:val="auto"/>
          <w:sz w:val="24"/>
          <w:szCs w:val="24"/>
          <w:highlight w:val="none"/>
        </w:rPr>
        <w:t>投标人须知前附表</w:t>
      </w:r>
      <w:r>
        <w:rPr>
          <w:rFonts w:hint="eastAsia" w:ascii="仿宋" w:hAnsi="仿宋" w:eastAsia="仿宋" w:cs="仿宋"/>
          <w:color w:val="auto"/>
          <w:sz w:val="24"/>
          <w:szCs w:val="24"/>
          <w:highlight w:val="none"/>
        </w:rPr>
        <w:t>”。</w:t>
      </w:r>
      <w:bookmarkEnd w:id="382"/>
    </w:p>
    <w:p w14:paraId="069384F7">
      <w:pPr>
        <w:pStyle w:val="22"/>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textAlignment w:val="auto"/>
        <w:outlineLvl w:val="2"/>
        <w:rPr>
          <w:rFonts w:hint="eastAsia" w:ascii="仿宋" w:hAnsi="仿宋" w:eastAsia="仿宋" w:cs="仿宋"/>
          <w:b/>
          <w:bCs/>
          <w:color w:val="auto"/>
          <w:sz w:val="24"/>
          <w:szCs w:val="24"/>
          <w:highlight w:val="none"/>
          <w:lang w:val="en-US" w:eastAsia="zh-CN"/>
        </w:rPr>
      </w:pPr>
      <w:bookmarkStart w:id="383" w:name="_Toc25931"/>
      <w:r>
        <w:rPr>
          <w:rFonts w:hint="eastAsia" w:ascii="仿宋" w:hAnsi="仿宋" w:eastAsia="仿宋" w:cs="仿宋"/>
          <w:b/>
          <w:bCs/>
          <w:color w:val="auto"/>
          <w:sz w:val="24"/>
          <w:szCs w:val="24"/>
          <w:highlight w:val="none"/>
          <w:lang w:val="en-US" w:eastAsia="zh-CN"/>
        </w:rPr>
        <w:t>38.政府采购政策功能</w:t>
      </w:r>
      <w:r>
        <w:rPr>
          <w:rFonts w:hint="eastAsia" w:ascii="仿宋" w:hAnsi="仿宋" w:eastAsia="仿宋" w:cs="仿宋"/>
          <w:b/>
          <w:bCs/>
          <w:color w:val="auto"/>
          <w:sz w:val="24"/>
          <w:szCs w:val="24"/>
          <w:highlight w:val="none"/>
          <w:lang w:eastAsia="zh-CN"/>
        </w:rPr>
        <w:t>：</w:t>
      </w:r>
      <w:r>
        <w:rPr>
          <w:rFonts w:hint="eastAsia" w:ascii="仿宋" w:hAnsi="仿宋" w:eastAsia="仿宋" w:cs="仿宋"/>
          <w:color w:val="auto"/>
          <w:sz w:val="24"/>
          <w:szCs w:val="24"/>
          <w:highlight w:val="none"/>
        </w:rPr>
        <w:t>见“</w:t>
      </w:r>
      <w:r>
        <w:rPr>
          <w:rFonts w:hint="eastAsia" w:ascii="仿宋" w:hAnsi="仿宋" w:eastAsia="仿宋" w:cs="仿宋"/>
          <w:b/>
          <w:color w:val="auto"/>
          <w:sz w:val="24"/>
          <w:szCs w:val="24"/>
          <w:highlight w:val="none"/>
        </w:rPr>
        <w:t>投标人须知前附表</w:t>
      </w:r>
      <w:r>
        <w:rPr>
          <w:rFonts w:hint="eastAsia" w:ascii="仿宋" w:hAnsi="仿宋" w:eastAsia="仿宋" w:cs="仿宋"/>
          <w:color w:val="auto"/>
          <w:sz w:val="24"/>
          <w:szCs w:val="24"/>
          <w:highlight w:val="none"/>
        </w:rPr>
        <w:t>”。</w:t>
      </w:r>
      <w:bookmarkEnd w:id="383"/>
    </w:p>
    <w:p w14:paraId="48AA88CA">
      <w:pPr>
        <w:pStyle w:val="22"/>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textAlignment w:val="auto"/>
        <w:outlineLvl w:val="2"/>
        <w:rPr>
          <w:rFonts w:hint="eastAsia" w:ascii="仿宋" w:hAnsi="仿宋" w:eastAsia="仿宋" w:cs="仿宋"/>
          <w:b/>
          <w:bCs/>
          <w:color w:val="auto"/>
          <w:sz w:val="24"/>
          <w:szCs w:val="24"/>
          <w:highlight w:val="none"/>
          <w:lang w:val="en-US" w:eastAsia="zh-CN"/>
        </w:rPr>
      </w:pPr>
      <w:bookmarkStart w:id="384" w:name="_Toc22052"/>
      <w:r>
        <w:rPr>
          <w:rFonts w:hint="eastAsia" w:ascii="仿宋" w:hAnsi="仿宋" w:eastAsia="仿宋" w:cs="仿宋"/>
          <w:b/>
          <w:bCs/>
          <w:color w:val="auto"/>
          <w:sz w:val="24"/>
          <w:szCs w:val="24"/>
          <w:highlight w:val="none"/>
          <w:lang w:val="en-US" w:eastAsia="zh-CN"/>
        </w:rPr>
        <w:t>39.核心产品</w:t>
      </w:r>
      <w:r>
        <w:rPr>
          <w:rFonts w:hint="eastAsia" w:ascii="仿宋" w:hAnsi="仿宋" w:eastAsia="仿宋" w:cs="仿宋"/>
          <w:b/>
          <w:bCs/>
          <w:color w:val="auto"/>
          <w:sz w:val="24"/>
          <w:szCs w:val="24"/>
          <w:highlight w:val="none"/>
          <w:lang w:eastAsia="zh-CN"/>
        </w:rPr>
        <w:t>：</w:t>
      </w:r>
      <w:r>
        <w:rPr>
          <w:rFonts w:hint="eastAsia" w:ascii="仿宋" w:hAnsi="仿宋" w:eastAsia="仿宋" w:cs="仿宋"/>
          <w:color w:val="auto"/>
          <w:sz w:val="24"/>
          <w:szCs w:val="24"/>
          <w:highlight w:val="none"/>
        </w:rPr>
        <w:t>见“</w:t>
      </w:r>
      <w:r>
        <w:rPr>
          <w:rFonts w:hint="eastAsia" w:ascii="仿宋" w:hAnsi="仿宋" w:eastAsia="仿宋" w:cs="仿宋"/>
          <w:b/>
          <w:color w:val="auto"/>
          <w:sz w:val="24"/>
          <w:szCs w:val="24"/>
          <w:highlight w:val="none"/>
        </w:rPr>
        <w:t>投标人须知前附表</w:t>
      </w:r>
      <w:r>
        <w:rPr>
          <w:rFonts w:hint="eastAsia" w:ascii="仿宋" w:hAnsi="仿宋" w:eastAsia="仿宋" w:cs="仿宋"/>
          <w:color w:val="auto"/>
          <w:sz w:val="24"/>
          <w:szCs w:val="24"/>
          <w:highlight w:val="none"/>
        </w:rPr>
        <w:t>”。</w:t>
      </w:r>
      <w:bookmarkEnd w:id="384"/>
    </w:p>
    <w:p w14:paraId="4EE1FC50">
      <w:pPr>
        <w:pStyle w:val="22"/>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textAlignment w:val="auto"/>
        <w:outlineLvl w:val="2"/>
        <w:rPr>
          <w:rFonts w:hint="eastAsia" w:ascii="仿宋" w:hAnsi="仿宋" w:eastAsia="仿宋" w:cs="仿宋"/>
          <w:b/>
          <w:bCs/>
          <w:color w:val="auto"/>
          <w:sz w:val="24"/>
          <w:szCs w:val="24"/>
          <w:highlight w:val="none"/>
          <w:lang w:val="en-US" w:eastAsia="zh-CN"/>
        </w:rPr>
      </w:pPr>
      <w:bookmarkStart w:id="385" w:name="_Toc16722"/>
      <w:r>
        <w:rPr>
          <w:rFonts w:hint="eastAsia" w:ascii="仿宋" w:hAnsi="仿宋" w:eastAsia="仿宋" w:cs="仿宋"/>
          <w:b/>
          <w:bCs/>
          <w:color w:val="auto"/>
          <w:sz w:val="24"/>
          <w:szCs w:val="24"/>
          <w:highlight w:val="none"/>
          <w:lang w:val="en-US" w:eastAsia="zh-CN"/>
        </w:rPr>
        <w:t>40.关于符合本国产品</w:t>
      </w:r>
      <w:r>
        <w:rPr>
          <w:rFonts w:hint="eastAsia" w:ascii="仿宋" w:hAnsi="仿宋" w:eastAsia="仿宋" w:cs="仿宋"/>
          <w:b/>
          <w:bCs/>
          <w:color w:val="auto"/>
          <w:sz w:val="24"/>
          <w:szCs w:val="24"/>
          <w:highlight w:val="none"/>
          <w:lang w:eastAsia="zh-CN"/>
        </w:rPr>
        <w:t>：</w:t>
      </w:r>
      <w:r>
        <w:rPr>
          <w:rFonts w:hint="eastAsia" w:ascii="仿宋" w:hAnsi="仿宋" w:eastAsia="仿宋" w:cs="仿宋"/>
          <w:color w:val="auto"/>
          <w:sz w:val="24"/>
          <w:szCs w:val="24"/>
          <w:highlight w:val="none"/>
        </w:rPr>
        <w:t>见“</w:t>
      </w:r>
      <w:r>
        <w:rPr>
          <w:rFonts w:hint="eastAsia" w:ascii="仿宋" w:hAnsi="仿宋" w:eastAsia="仿宋" w:cs="仿宋"/>
          <w:b/>
          <w:color w:val="auto"/>
          <w:sz w:val="24"/>
          <w:szCs w:val="24"/>
          <w:highlight w:val="none"/>
        </w:rPr>
        <w:t>投标人须知前附表</w:t>
      </w:r>
      <w:r>
        <w:rPr>
          <w:rFonts w:hint="eastAsia" w:ascii="仿宋" w:hAnsi="仿宋" w:eastAsia="仿宋" w:cs="仿宋"/>
          <w:color w:val="auto"/>
          <w:sz w:val="24"/>
          <w:szCs w:val="24"/>
          <w:highlight w:val="none"/>
        </w:rPr>
        <w:t>”。</w:t>
      </w:r>
      <w:bookmarkEnd w:id="385"/>
    </w:p>
    <w:p w14:paraId="161B00AF">
      <w:pPr>
        <w:pStyle w:val="22"/>
        <w:keepLines w:val="0"/>
        <w:pageBreakBefore w:val="0"/>
        <w:widowControl w:val="0"/>
        <w:kinsoku/>
        <w:overflowPunct/>
        <w:topLinePunct w:val="0"/>
        <w:autoSpaceDE/>
        <w:autoSpaceDN/>
        <w:bidi w:val="0"/>
        <w:snapToGrid/>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77629D43">
      <w:pPr>
        <w:widowControl/>
        <w:spacing w:line="360" w:lineRule="auto"/>
        <w:jc w:val="center"/>
        <w:outlineLvl w:val="0"/>
        <w:rPr>
          <w:rFonts w:hint="eastAsia" w:ascii="宋体" w:hAnsi="宋体" w:eastAsia="宋体" w:cs="楷体"/>
          <w:b/>
          <w:color w:val="auto"/>
          <w:kern w:val="0"/>
          <w:sz w:val="36"/>
          <w:szCs w:val="20"/>
          <w:highlight w:val="none"/>
          <w:lang w:val="en-US" w:eastAsia="zh-CN" w:bidi="ar-SA"/>
        </w:rPr>
      </w:pPr>
      <w:bookmarkStart w:id="386" w:name="_Toc26508"/>
      <w:bookmarkStart w:id="387" w:name="_Toc32162"/>
      <w:bookmarkStart w:id="388" w:name="_Toc5609"/>
      <w:bookmarkStart w:id="389" w:name="_Toc31503"/>
      <w:bookmarkStart w:id="390" w:name="_Toc29229"/>
      <w:bookmarkStart w:id="391" w:name="_Toc14683"/>
      <w:bookmarkStart w:id="392" w:name="_Toc21961"/>
      <w:r>
        <w:rPr>
          <w:rFonts w:hint="eastAsia" w:ascii="宋体" w:hAnsi="宋体" w:eastAsia="宋体" w:cs="楷体"/>
          <w:b/>
          <w:color w:val="auto"/>
          <w:kern w:val="0"/>
          <w:sz w:val="36"/>
          <w:szCs w:val="20"/>
          <w:highlight w:val="none"/>
          <w:lang w:val="en-US" w:eastAsia="zh-CN" w:bidi="ar-SA"/>
        </w:rPr>
        <w:t>第三章 合同书样式及主要条款</w:t>
      </w:r>
      <w:bookmarkEnd w:id="126"/>
      <w:bookmarkEnd w:id="127"/>
      <w:bookmarkEnd w:id="386"/>
      <w:bookmarkEnd w:id="387"/>
      <w:bookmarkEnd w:id="388"/>
      <w:bookmarkEnd w:id="389"/>
      <w:bookmarkEnd w:id="390"/>
      <w:bookmarkEnd w:id="391"/>
      <w:bookmarkEnd w:id="392"/>
    </w:p>
    <w:p w14:paraId="0F473319">
      <w:pPr>
        <w:jc w:val="center"/>
        <w:rPr>
          <w:rFonts w:hint="eastAsia" w:ascii="仿宋" w:hAnsi="仿宋" w:eastAsia="仿宋" w:cs="仿宋"/>
          <w:b/>
          <w:color w:val="auto"/>
          <w:kern w:val="44"/>
          <w:sz w:val="24"/>
          <w:szCs w:val="24"/>
          <w:highlight w:val="none"/>
        </w:rPr>
      </w:pPr>
      <w:r>
        <w:rPr>
          <w:rFonts w:hint="eastAsia" w:ascii="仿宋" w:hAnsi="仿宋" w:eastAsia="仿宋" w:cs="仿宋"/>
          <w:b/>
          <w:color w:val="auto"/>
          <w:kern w:val="44"/>
          <w:sz w:val="24"/>
          <w:szCs w:val="24"/>
          <w:highlight w:val="none"/>
        </w:rPr>
        <w:t>合同条款前附表</w:t>
      </w:r>
    </w:p>
    <w:tbl>
      <w:tblPr>
        <w:tblStyle w:val="41"/>
        <w:tblW w:w="9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1785"/>
        <w:gridCol w:w="7052"/>
      </w:tblGrid>
      <w:tr w14:paraId="67009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919" w:type="dxa"/>
            <w:vAlign w:val="center"/>
          </w:tcPr>
          <w:p w14:paraId="66C837CA">
            <w:pP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1785" w:type="dxa"/>
            <w:vAlign w:val="center"/>
          </w:tcPr>
          <w:p w14:paraId="45905878">
            <w:pP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条款名称</w:t>
            </w:r>
          </w:p>
        </w:tc>
        <w:tc>
          <w:tcPr>
            <w:tcW w:w="7052" w:type="dxa"/>
            <w:vAlign w:val="center"/>
          </w:tcPr>
          <w:p w14:paraId="505D2DD0">
            <w:pP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内容</w:t>
            </w:r>
          </w:p>
        </w:tc>
      </w:tr>
      <w:tr w14:paraId="5EEE8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919" w:type="dxa"/>
            <w:vAlign w:val="center"/>
          </w:tcPr>
          <w:p w14:paraId="298CAA6C">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785" w:type="dxa"/>
            <w:vAlign w:val="center"/>
          </w:tcPr>
          <w:p w14:paraId="4E44A24E">
            <w:pPr>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合同履行期限</w:t>
            </w:r>
          </w:p>
        </w:tc>
        <w:tc>
          <w:tcPr>
            <w:tcW w:w="7052" w:type="dxa"/>
            <w:vAlign w:val="center"/>
          </w:tcPr>
          <w:p w14:paraId="1917E954">
            <w:pPr>
              <w:pStyle w:val="3"/>
              <w:pageBreakBefore w:val="0"/>
              <w:kinsoku/>
              <w:overflowPunct/>
              <w:topLinePunct w:val="0"/>
              <w:autoSpaceDE/>
              <w:autoSpaceDN/>
              <w:bidi w:val="0"/>
              <w:snapToGrid/>
              <w:spacing w:after="0" w:line="500" w:lineRule="exact"/>
              <w:ind w:left="0" w:leftChars="0" w:right="210"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rPr>
              <w:t>合同签订生效后60日历天内完成所有设备供货、安装、调试、装修、综合布线及竣工验收，并交付使用。</w:t>
            </w:r>
          </w:p>
        </w:tc>
      </w:tr>
      <w:tr w14:paraId="61B2E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19" w:type="dxa"/>
            <w:vAlign w:val="center"/>
          </w:tcPr>
          <w:p w14:paraId="69E17DA2">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1785" w:type="dxa"/>
            <w:vAlign w:val="center"/>
          </w:tcPr>
          <w:p w14:paraId="7F70231A">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rPr>
              <w:t>质量要求</w:t>
            </w:r>
          </w:p>
        </w:tc>
        <w:tc>
          <w:tcPr>
            <w:tcW w:w="7052" w:type="dxa"/>
            <w:vAlign w:val="center"/>
          </w:tcPr>
          <w:p w14:paraId="144378B6">
            <w:pPr>
              <w:pStyle w:val="3"/>
              <w:pageBreakBefore w:val="0"/>
              <w:kinsoku/>
              <w:overflowPunct/>
              <w:topLinePunct w:val="0"/>
              <w:autoSpaceDE/>
              <w:autoSpaceDN/>
              <w:bidi w:val="0"/>
              <w:snapToGrid/>
              <w:spacing w:after="0" w:line="500" w:lineRule="exact"/>
              <w:ind w:left="0" w:leftChars="0" w:right="210" w:firstLine="0" w:firstLineChars="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kern w:val="0"/>
                <w:sz w:val="24"/>
                <w:szCs w:val="24"/>
                <w:highlight w:val="none"/>
                <w:lang w:val="en-US" w:eastAsia="zh-CN"/>
              </w:rPr>
              <w:t>符合国家及行业相关质量标准，所有产品须为全新、未使用过的原装正品，且具备完整的产品合格证明、出厂检验报告及相关技术资料。</w:t>
            </w:r>
          </w:p>
        </w:tc>
      </w:tr>
      <w:tr w14:paraId="5913B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919" w:type="dxa"/>
            <w:vAlign w:val="center"/>
          </w:tcPr>
          <w:p w14:paraId="1A15E206">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1785" w:type="dxa"/>
            <w:vAlign w:val="center"/>
          </w:tcPr>
          <w:p w14:paraId="3EA56981">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rPr>
              <w:t>质保期限</w:t>
            </w:r>
          </w:p>
        </w:tc>
        <w:tc>
          <w:tcPr>
            <w:tcW w:w="7052" w:type="dxa"/>
            <w:vAlign w:val="center"/>
          </w:tcPr>
          <w:p w14:paraId="1BAB61F4">
            <w:pPr>
              <w:pStyle w:val="3"/>
              <w:keepNext w:val="0"/>
              <w:keepLines w:val="0"/>
              <w:pageBreakBefore w:val="0"/>
              <w:kinsoku/>
              <w:overflowPunct/>
              <w:topLinePunct w:val="0"/>
              <w:autoSpaceDE/>
              <w:autoSpaceDN/>
              <w:bidi w:val="0"/>
              <w:snapToGrid/>
              <w:spacing w:after="0" w:line="440" w:lineRule="exact"/>
              <w:ind w:left="0" w:leftChars="0" w:right="210" w:firstLine="0" w:firstLine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所有硬件设备自竣工验收合格之日起免费质保不少于 3 年，质保期内配置足额同型号备品备件，故障更换所需备品备件全部免费提供；所有软件系统自竣工验收合格之日起免费质保不少于 3 年并提供终身免费升级服务；装修及安装工程部分质保期不少于 1 年；质保期内提供免费上门服务，接到故障通知后12 小时内响应，24 小时内到场处置。</w:t>
            </w:r>
          </w:p>
        </w:tc>
      </w:tr>
      <w:tr w14:paraId="56E76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919" w:type="dxa"/>
            <w:vAlign w:val="center"/>
          </w:tcPr>
          <w:p w14:paraId="6AA4162B">
            <w:pPr>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4</w:t>
            </w:r>
          </w:p>
        </w:tc>
        <w:tc>
          <w:tcPr>
            <w:tcW w:w="1785" w:type="dxa"/>
            <w:vAlign w:val="center"/>
          </w:tcPr>
          <w:p w14:paraId="385F0C95">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服务地点</w:t>
            </w:r>
          </w:p>
        </w:tc>
        <w:tc>
          <w:tcPr>
            <w:tcW w:w="7052" w:type="dxa"/>
            <w:vAlign w:val="center"/>
          </w:tcPr>
          <w:p w14:paraId="7484CE0C">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大理白族自治州财贸学校</w:t>
            </w:r>
            <w:r>
              <w:rPr>
                <w:rFonts w:hint="eastAsia" w:ascii="仿宋" w:hAnsi="仿宋" w:eastAsia="仿宋" w:cs="仿宋"/>
                <w:color w:val="auto"/>
                <w:sz w:val="24"/>
                <w:szCs w:val="24"/>
                <w:highlight w:val="none"/>
              </w:rPr>
              <w:t>（采购人指定地点）。</w:t>
            </w:r>
          </w:p>
        </w:tc>
      </w:tr>
      <w:tr w14:paraId="33836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919" w:type="dxa"/>
            <w:tcBorders>
              <w:top w:val="single" w:color="auto" w:sz="4" w:space="0"/>
              <w:left w:val="single" w:color="auto" w:sz="4" w:space="0"/>
              <w:bottom w:val="single" w:color="auto" w:sz="4" w:space="0"/>
              <w:right w:val="single" w:color="auto" w:sz="4" w:space="0"/>
            </w:tcBorders>
            <w:vAlign w:val="center"/>
          </w:tcPr>
          <w:p w14:paraId="4F140E3D">
            <w:pPr>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5</w:t>
            </w:r>
          </w:p>
        </w:tc>
        <w:tc>
          <w:tcPr>
            <w:tcW w:w="1785" w:type="dxa"/>
            <w:tcBorders>
              <w:top w:val="single" w:color="auto" w:sz="4" w:space="0"/>
              <w:left w:val="single" w:color="auto" w:sz="4" w:space="0"/>
              <w:bottom w:val="single" w:color="auto" w:sz="4" w:space="0"/>
              <w:right w:val="single" w:color="auto" w:sz="4" w:space="0"/>
            </w:tcBorders>
            <w:vAlign w:val="center"/>
          </w:tcPr>
          <w:p w14:paraId="7DEFE35E">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付款方式</w:t>
            </w:r>
          </w:p>
        </w:tc>
        <w:tc>
          <w:tcPr>
            <w:tcW w:w="7052" w:type="dxa"/>
            <w:tcBorders>
              <w:top w:val="single" w:color="auto" w:sz="4" w:space="0"/>
              <w:left w:val="single" w:color="auto" w:sz="4" w:space="0"/>
              <w:bottom w:val="single" w:color="auto" w:sz="4" w:space="0"/>
              <w:right w:val="single" w:color="auto" w:sz="4" w:space="0"/>
            </w:tcBorders>
            <w:vAlign w:val="center"/>
          </w:tcPr>
          <w:p w14:paraId="3D07A700">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具体付款条件及付款方式以采购人和投标人在合同中双方商定的内容为准。</w:t>
            </w:r>
          </w:p>
        </w:tc>
      </w:tr>
      <w:tr w14:paraId="260E4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919" w:type="dxa"/>
            <w:tcBorders>
              <w:top w:val="single" w:color="auto" w:sz="4" w:space="0"/>
              <w:left w:val="single" w:color="auto" w:sz="4" w:space="0"/>
              <w:bottom w:val="single" w:color="auto" w:sz="4" w:space="0"/>
              <w:right w:val="single" w:color="auto" w:sz="4" w:space="0"/>
            </w:tcBorders>
            <w:vAlign w:val="center"/>
          </w:tcPr>
          <w:p w14:paraId="7ADF2DEF">
            <w:pPr>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6</w:t>
            </w:r>
          </w:p>
        </w:tc>
        <w:tc>
          <w:tcPr>
            <w:tcW w:w="1785" w:type="dxa"/>
            <w:tcBorders>
              <w:top w:val="single" w:color="auto" w:sz="4" w:space="0"/>
              <w:left w:val="single" w:color="auto" w:sz="4" w:space="0"/>
              <w:bottom w:val="single" w:color="auto" w:sz="4" w:space="0"/>
              <w:right w:val="single" w:color="auto" w:sz="4" w:space="0"/>
            </w:tcBorders>
            <w:vAlign w:val="center"/>
          </w:tcPr>
          <w:p w14:paraId="1F6DFAA0">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合同份数</w:t>
            </w:r>
          </w:p>
        </w:tc>
        <w:tc>
          <w:tcPr>
            <w:tcW w:w="7052" w:type="dxa"/>
            <w:tcBorders>
              <w:top w:val="single" w:color="auto" w:sz="4" w:space="0"/>
              <w:left w:val="single" w:color="auto" w:sz="4" w:space="0"/>
              <w:bottom w:val="single" w:color="auto" w:sz="4" w:space="0"/>
              <w:right w:val="single" w:color="auto" w:sz="4" w:space="0"/>
            </w:tcBorders>
            <w:vAlign w:val="center"/>
          </w:tcPr>
          <w:p w14:paraId="26435583">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具体合同份数以采购人和投标人在合同中双方商定的内容为准。</w:t>
            </w:r>
          </w:p>
        </w:tc>
      </w:tr>
    </w:tbl>
    <w:p w14:paraId="5C74BEE2">
      <w:pPr>
        <w:rPr>
          <w:rFonts w:hint="eastAsia" w:ascii="仿宋" w:hAnsi="仿宋" w:eastAsia="仿宋" w:cs="仿宋"/>
          <w:color w:val="auto"/>
          <w:sz w:val="24"/>
          <w:szCs w:val="24"/>
          <w:highlight w:val="none"/>
        </w:rPr>
      </w:pPr>
    </w:p>
    <w:p w14:paraId="0DF25262">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320435BD">
      <w:pPr>
        <w:bidi w:val="0"/>
        <w:rPr>
          <w:rFonts w:hint="eastAsia" w:ascii="楷体" w:hAnsi="楷体" w:eastAsia="楷体" w:cs="楷体"/>
          <w:b/>
          <w:bCs/>
          <w:color w:val="auto"/>
          <w:sz w:val="28"/>
          <w:szCs w:val="28"/>
          <w:highlight w:val="none"/>
        </w:rPr>
      </w:pPr>
      <w:bookmarkStart w:id="393" w:name="_Toc17405"/>
      <w:bookmarkStart w:id="394" w:name="_Toc20186"/>
      <w:bookmarkStart w:id="395" w:name="_Toc31289"/>
      <w:bookmarkStart w:id="396" w:name="_Toc801"/>
      <w:bookmarkStart w:id="397" w:name="_Toc5489"/>
      <w:bookmarkStart w:id="398" w:name="_Toc22002"/>
      <w:bookmarkStart w:id="399" w:name="_Toc16298"/>
      <w:bookmarkStart w:id="400" w:name="_Toc2168"/>
      <w:bookmarkStart w:id="401" w:name="_Toc393354839"/>
      <w:r>
        <w:rPr>
          <w:rFonts w:hint="eastAsia" w:ascii="楷体" w:hAnsi="楷体" w:eastAsia="楷体" w:cs="楷体"/>
          <w:b/>
          <w:bCs/>
          <w:color w:val="auto"/>
          <w:sz w:val="28"/>
          <w:szCs w:val="28"/>
          <w:highlight w:val="none"/>
        </w:rPr>
        <w:t>（</w:t>
      </w:r>
      <w:bookmarkStart w:id="402" w:name="_Toc15414"/>
      <w:bookmarkStart w:id="403" w:name="_Toc28170"/>
      <w:bookmarkStart w:id="404" w:name="_Toc30547"/>
      <w:r>
        <w:rPr>
          <w:rFonts w:hint="eastAsia" w:ascii="楷体" w:hAnsi="楷体" w:eastAsia="楷体" w:cs="楷体"/>
          <w:b/>
          <w:bCs/>
          <w:color w:val="auto"/>
          <w:sz w:val="28"/>
          <w:szCs w:val="28"/>
          <w:highlight w:val="none"/>
        </w:rPr>
        <w:t>注：本合同样式仅供参考，具体合同以采购人与成交人</w:t>
      </w:r>
      <w:r>
        <w:rPr>
          <w:rFonts w:hint="eastAsia" w:ascii="楷体" w:hAnsi="楷体" w:eastAsia="楷体" w:cs="楷体"/>
          <w:b/>
          <w:bCs/>
          <w:color w:val="auto"/>
          <w:sz w:val="28"/>
          <w:szCs w:val="28"/>
          <w:highlight w:val="none"/>
          <w:lang w:eastAsia="zh-CN"/>
        </w:rPr>
        <w:t>签订</w:t>
      </w:r>
      <w:r>
        <w:rPr>
          <w:rFonts w:hint="eastAsia" w:ascii="楷体" w:hAnsi="楷体" w:eastAsia="楷体" w:cs="楷体"/>
          <w:b/>
          <w:bCs/>
          <w:color w:val="auto"/>
          <w:sz w:val="28"/>
          <w:szCs w:val="28"/>
          <w:highlight w:val="none"/>
        </w:rPr>
        <w:t>的合同为准）</w:t>
      </w:r>
      <w:bookmarkEnd w:id="393"/>
      <w:bookmarkEnd w:id="394"/>
      <w:bookmarkEnd w:id="395"/>
      <w:bookmarkEnd w:id="396"/>
      <w:bookmarkEnd w:id="397"/>
      <w:bookmarkEnd w:id="398"/>
      <w:bookmarkEnd w:id="402"/>
      <w:bookmarkEnd w:id="403"/>
      <w:bookmarkEnd w:id="404"/>
    </w:p>
    <w:p w14:paraId="2BFEA9B9">
      <w:pPr>
        <w:pStyle w:val="245"/>
        <w:pageBreakBefore w:val="0"/>
        <w:widowControl w:val="0"/>
        <w:kinsoku/>
        <w:wordWrap/>
        <w:overflowPunct/>
        <w:topLinePunct w:val="0"/>
        <w:bidi w:val="0"/>
        <w:spacing w:line="480" w:lineRule="exact"/>
        <w:ind w:firstLine="0"/>
        <w:rPr>
          <w:rFonts w:hAnsi="宋体" w:cs="宋体"/>
          <w:color w:val="auto"/>
          <w:szCs w:val="24"/>
          <w:highlight w:val="none"/>
        </w:rPr>
      </w:pPr>
    </w:p>
    <w:p w14:paraId="1DAB0D2F">
      <w:pPr>
        <w:pStyle w:val="18"/>
        <w:spacing w:after="0"/>
        <w:jc w:val="center"/>
        <w:rPr>
          <w:rFonts w:hint="eastAsia" w:ascii="华文中宋" w:hAnsi="华文中宋" w:eastAsia="华文中宋" w:cs="华文中宋"/>
          <w:b/>
          <w:bCs/>
          <w:iCs w:val="0"/>
          <w:color w:val="auto"/>
          <w:kern w:val="0"/>
          <w:sz w:val="48"/>
          <w:szCs w:val="48"/>
          <w:highlight w:val="none"/>
          <w:lang w:val="en-US" w:eastAsia="zh-CN" w:bidi="ar-SA"/>
        </w:rPr>
      </w:pPr>
    </w:p>
    <w:p w14:paraId="5CEF99E9">
      <w:pPr>
        <w:rPr>
          <w:rFonts w:hint="eastAsia" w:ascii="华文中宋" w:hAnsi="华文中宋" w:eastAsia="华文中宋" w:cs="华文中宋"/>
          <w:b/>
          <w:bCs/>
          <w:iCs w:val="0"/>
          <w:color w:val="auto"/>
          <w:kern w:val="0"/>
          <w:sz w:val="48"/>
          <w:szCs w:val="48"/>
          <w:highlight w:val="none"/>
          <w:lang w:val="en-US" w:eastAsia="zh-CN" w:bidi="ar-SA"/>
        </w:rPr>
      </w:pPr>
    </w:p>
    <w:p w14:paraId="1B32DE3D">
      <w:pPr>
        <w:rPr>
          <w:rFonts w:hint="eastAsia" w:ascii="华文中宋" w:hAnsi="华文中宋" w:eastAsia="华文中宋" w:cs="华文中宋"/>
          <w:b/>
          <w:bCs/>
          <w:iCs w:val="0"/>
          <w:color w:val="auto"/>
          <w:kern w:val="0"/>
          <w:sz w:val="48"/>
          <w:szCs w:val="48"/>
          <w:highlight w:val="none"/>
          <w:lang w:val="en-US" w:eastAsia="zh-CN" w:bidi="ar-SA"/>
        </w:rPr>
      </w:pPr>
    </w:p>
    <w:p w14:paraId="19B97CEC">
      <w:pPr>
        <w:rPr>
          <w:rFonts w:hint="eastAsia" w:ascii="华文中宋" w:hAnsi="华文中宋" w:eastAsia="华文中宋" w:cs="华文中宋"/>
          <w:b/>
          <w:bCs/>
          <w:iCs w:val="0"/>
          <w:color w:val="auto"/>
          <w:kern w:val="0"/>
          <w:sz w:val="48"/>
          <w:szCs w:val="48"/>
          <w:highlight w:val="none"/>
          <w:lang w:val="en-US" w:eastAsia="zh-CN" w:bidi="ar-SA"/>
        </w:rPr>
      </w:pPr>
    </w:p>
    <w:p w14:paraId="64A5B018">
      <w:pPr>
        <w:pStyle w:val="18"/>
        <w:spacing w:after="0"/>
        <w:jc w:val="center"/>
        <w:rPr>
          <w:rFonts w:hint="eastAsia" w:ascii="华文中宋" w:hAnsi="华文中宋" w:eastAsia="华文中宋" w:cs="华文中宋"/>
          <w:b/>
          <w:bCs/>
          <w:iCs w:val="0"/>
          <w:color w:val="auto"/>
          <w:kern w:val="0"/>
          <w:sz w:val="48"/>
          <w:szCs w:val="48"/>
          <w:highlight w:val="none"/>
          <w:lang w:val="en-US" w:eastAsia="zh-CN" w:bidi="ar-SA"/>
        </w:rPr>
      </w:pPr>
    </w:p>
    <w:p w14:paraId="254B654F">
      <w:pPr>
        <w:pStyle w:val="18"/>
        <w:spacing w:after="0" w:line="360" w:lineRule="auto"/>
        <w:jc w:val="center"/>
        <w:rPr>
          <w:rFonts w:hint="eastAsia" w:ascii="华文中宋" w:hAnsi="华文中宋" w:eastAsia="华文中宋" w:cs="华文中宋"/>
          <w:b/>
          <w:bCs/>
          <w:iCs w:val="0"/>
          <w:color w:val="auto"/>
          <w:kern w:val="0"/>
          <w:sz w:val="48"/>
          <w:szCs w:val="48"/>
          <w:highlight w:val="none"/>
          <w:lang w:val="en-US" w:eastAsia="zh-CN" w:bidi="ar-SA"/>
        </w:rPr>
      </w:pPr>
      <w:r>
        <w:rPr>
          <w:rFonts w:hint="eastAsia" w:ascii="华文中宋" w:hAnsi="华文中宋" w:eastAsia="华文中宋" w:cs="华文中宋"/>
          <w:b/>
          <w:bCs/>
          <w:iCs w:val="0"/>
          <w:color w:val="auto"/>
          <w:kern w:val="0"/>
          <w:sz w:val="48"/>
          <w:szCs w:val="48"/>
          <w:highlight w:val="none"/>
          <w:lang w:val="en-US" w:eastAsia="zh-CN" w:bidi="ar-SA"/>
        </w:rPr>
        <w:t>政府采购货物买卖合同</w:t>
      </w:r>
    </w:p>
    <w:p w14:paraId="57DEB5E7">
      <w:pPr>
        <w:pStyle w:val="18"/>
        <w:spacing w:after="0"/>
        <w:jc w:val="center"/>
        <w:rPr>
          <w:rFonts w:hint="eastAsia" w:ascii="华文中宋" w:hAnsi="华文中宋" w:eastAsia="华文中宋" w:cs="华文中宋"/>
          <w:b/>
          <w:bCs/>
          <w:iCs w:val="0"/>
          <w:color w:val="auto"/>
          <w:kern w:val="0"/>
          <w:sz w:val="36"/>
          <w:szCs w:val="36"/>
          <w:highlight w:val="none"/>
          <w:lang w:val="en-US" w:eastAsia="zh-CN" w:bidi="ar-SA"/>
        </w:rPr>
      </w:pPr>
      <w:r>
        <w:rPr>
          <w:rFonts w:hint="eastAsia" w:ascii="华文中宋" w:hAnsi="华文中宋" w:eastAsia="华文中宋" w:cs="华文中宋"/>
          <w:b/>
          <w:bCs/>
          <w:iCs w:val="0"/>
          <w:color w:val="auto"/>
          <w:kern w:val="0"/>
          <w:sz w:val="36"/>
          <w:szCs w:val="36"/>
          <w:highlight w:val="none"/>
          <w:lang w:val="en-US" w:eastAsia="zh-CN" w:bidi="ar-SA"/>
        </w:rPr>
        <w:t>（试行）</w:t>
      </w:r>
    </w:p>
    <w:p w14:paraId="2763DD9B">
      <w:pPr>
        <w:rPr>
          <w:rFonts w:ascii="宋体" w:hAnsi="宋体" w:cs="宋体"/>
          <w:b/>
          <w:bCs/>
          <w:color w:val="auto"/>
          <w:spacing w:val="-20"/>
          <w:kern w:val="44"/>
          <w:sz w:val="40"/>
          <w:szCs w:val="40"/>
          <w:highlight w:val="none"/>
        </w:rPr>
      </w:pPr>
    </w:p>
    <w:p w14:paraId="722EF593">
      <w:pPr>
        <w:rPr>
          <w:rFonts w:ascii="宋体" w:hAnsi="宋体" w:cs="宋体"/>
          <w:b/>
          <w:bCs/>
          <w:color w:val="auto"/>
          <w:spacing w:val="-20"/>
          <w:kern w:val="44"/>
          <w:sz w:val="40"/>
          <w:szCs w:val="40"/>
          <w:highlight w:val="none"/>
        </w:rPr>
      </w:pPr>
    </w:p>
    <w:p w14:paraId="7E47E80A">
      <w:pPr>
        <w:rPr>
          <w:rFonts w:ascii="宋体" w:hAnsi="宋体" w:cs="宋体"/>
          <w:b/>
          <w:bCs/>
          <w:color w:val="auto"/>
          <w:spacing w:val="-20"/>
          <w:kern w:val="44"/>
          <w:sz w:val="40"/>
          <w:szCs w:val="40"/>
          <w:highlight w:val="none"/>
        </w:rPr>
      </w:pPr>
    </w:p>
    <w:p w14:paraId="6A9154A8">
      <w:pPr>
        <w:pStyle w:val="247"/>
        <w:rPr>
          <w:rFonts w:ascii="宋体" w:hAnsi="宋体" w:cs="宋体"/>
          <w:b/>
          <w:bCs/>
          <w:color w:val="auto"/>
          <w:spacing w:val="-20"/>
          <w:kern w:val="44"/>
          <w:sz w:val="40"/>
          <w:szCs w:val="40"/>
          <w:highlight w:val="none"/>
        </w:rPr>
      </w:pPr>
    </w:p>
    <w:p w14:paraId="57E5CCEB">
      <w:pPr>
        <w:pStyle w:val="247"/>
        <w:rPr>
          <w:rFonts w:ascii="宋体" w:hAnsi="宋体" w:cs="宋体"/>
          <w:b/>
          <w:bCs/>
          <w:color w:val="auto"/>
          <w:spacing w:val="-20"/>
          <w:kern w:val="44"/>
          <w:sz w:val="40"/>
          <w:szCs w:val="40"/>
          <w:highlight w:val="none"/>
        </w:rPr>
      </w:pPr>
    </w:p>
    <w:p w14:paraId="45C38E8D">
      <w:pPr>
        <w:pStyle w:val="247"/>
        <w:ind w:left="0" w:leftChars="0" w:firstLine="0" w:firstLineChars="0"/>
        <w:rPr>
          <w:rFonts w:ascii="宋体" w:hAnsi="宋体" w:cs="宋体"/>
          <w:b/>
          <w:bCs/>
          <w:color w:val="auto"/>
          <w:spacing w:val="-20"/>
          <w:kern w:val="44"/>
          <w:sz w:val="40"/>
          <w:szCs w:val="40"/>
          <w:highlight w:val="none"/>
        </w:rPr>
      </w:pPr>
    </w:p>
    <w:p w14:paraId="3B174C3F">
      <w:pPr>
        <w:pStyle w:val="247"/>
        <w:rPr>
          <w:rFonts w:ascii="宋体" w:hAnsi="宋体" w:cs="宋体"/>
          <w:b/>
          <w:bCs/>
          <w:color w:val="auto"/>
          <w:spacing w:val="-20"/>
          <w:kern w:val="44"/>
          <w:sz w:val="40"/>
          <w:szCs w:val="40"/>
          <w:highlight w:val="none"/>
        </w:rPr>
      </w:pPr>
    </w:p>
    <w:p w14:paraId="6581D144">
      <w:pPr>
        <w:pStyle w:val="247"/>
        <w:rPr>
          <w:rFonts w:ascii="宋体" w:hAnsi="宋体" w:cs="宋体"/>
          <w:b/>
          <w:bCs/>
          <w:color w:val="auto"/>
          <w:spacing w:val="-20"/>
          <w:kern w:val="44"/>
          <w:sz w:val="40"/>
          <w:szCs w:val="40"/>
          <w:highlight w:val="none"/>
        </w:rPr>
      </w:pPr>
    </w:p>
    <w:p w14:paraId="4F685C82">
      <w:pPr>
        <w:pStyle w:val="247"/>
        <w:rPr>
          <w:rFonts w:ascii="宋体" w:hAnsi="宋体" w:cs="宋体"/>
          <w:b/>
          <w:bCs/>
          <w:color w:val="auto"/>
          <w:spacing w:val="-20"/>
          <w:kern w:val="44"/>
          <w:sz w:val="40"/>
          <w:szCs w:val="40"/>
          <w:highlight w:val="none"/>
        </w:rPr>
      </w:pPr>
    </w:p>
    <w:p w14:paraId="381023A5">
      <w:pPr>
        <w:pStyle w:val="247"/>
        <w:rPr>
          <w:rFonts w:ascii="宋体" w:hAnsi="宋体" w:cs="宋体"/>
          <w:b/>
          <w:bCs/>
          <w:color w:val="auto"/>
          <w:spacing w:val="-20"/>
          <w:kern w:val="44"/>
          <w:sz w:val="40"/>
          <w:szCs w:val="40"/>
          <w:highlight w:val="none"/>
        </w:rPr>
      </w:pPr>
    </w:p>
    <w:p w14:paraId="3285ECC1">
      <w:pPr>
        <w:pStyle w:val="247"/>
        <w:rPr>
          <w:rFonts w:ascii="宋体" w:hAnsi="宋体" w:cs="宋体"/>
          <w:b/>
          <w:bCs/>
          <w:color w:val="auto"/>
          <w:spacing w:val="-20"/>
          <w:kern w:val="44"/>
          <w:sz w:val="40"/>
          <w:szCs w:val="40"/>
          <w:highlight w:val="none"/>
        </w:rPr>
      </w:pPr>
    </w:p>
    <w:p w14:paraId="01FB5110">
      <w:pPr>
        <w:spacing w:line="360" w:lineRule="auto"/>
        <w:ind w:left="420" w:leftChars="200" w:firstLine="960" w:firstLineChars="300"/>
        <w:rPr>
          <w:color w:val="auto"/>
          <w:sz w:val="32"/>
          <w:szCs w:val="32"/>
          <w:highlight w:val="none"/>
        </w:rPr>
      </w:pPr>
      <w:r>
        <w:rPr>
          <w:rFonts w:hint="eastAsia" w:ascii="宋体" w:hAnsi="宋体" w:cs="宋体"/>
          <w:color w:val="auto"/>
          <w:kern w:val="0"/>
          <w:sz w:val="32"/>
          <w:szCs w:val="32"/>
          <w:highlight w:val="none"/>
        </w:rPr>
        <w:t>项目名称：</w:t>
      </w:r>
      <w:r>
        <w:rPr>
          <w:rFonts w:hint="eastAsia"/>
          <w:color w:val="auto"/>
          <w:sz w:val="32"/>
          <w:szCs w:val="32"/>
          <w:highlight w:val="none"/>
          <w:u w:val="single"/>
        </w:rPr>
        <w:t xml:space="preserve">        </w:t>
      </w:r>
      <w:r>
        <w:rPr>
          <w:rFonts w:hint="eastAsia"/>
          <w:color w:val="auto"/>
          <w:sz w:val="32"/>
          <w:szCs w:val="32"/>
          <w:highlight w:val="none"/>
          <w:u w:val="single"/>
          <w:lang w:val="en-US" w:eastAsia="zh-CN"/>
        </w:rPr>
        <w:t xml:space="preserve">         </w:t>
      </w:r>
      <w:r>
        <w:rPr>
          <w:rFonts w:hint="eastAsia"/>
          <w:color w:val="auto"/>
          <w:sz w:val="32"/>
          <w:szCs w:val="32"/>
          <w:highlight w:val="none"/>
          <w:u w:val="single"/>
        </w:rPr>
        <w:t xml:space="preserve">                     </w:t>
      </w:r>
    </w:p>
    <w:p w14:paraId="6124CD3C">
      <w:pPr>
        <w:spacing w:line="360" w:lineRule="auto"/>
        <w:ind w:left="420" w:leftChars="200" w:firstLine="960" w:firstLineChars="300"/>
        <w:rPr>
          <w:color w:val="auto"/>
          <w:sz w:val="32"/>
          <w:szCs w:val="32"/>
          <w:highlight w:val="none"/>
          <w:u w:val="single"/>
        </w:rPr>
      </w:pPr>
      <w:r>
        <w:rPr>
          <w:rFonts w:hint="eastAsia"/>
          <w:color w:val="auto"/>
          <w:sz w:val="32"/>
          <w:szCs w:val="32"/>
          <w:highlight w:val="none"/>
        </w:rPr>
        <w:t>合同编号：</w:t>
      </w:r>
      <w:r>
        <w:rPr>
          <w:rFonts w:hint="eastAsia"/>
          <w:color w:val="auto"/>
          <w:sz w:val="32"/>
          <w:szCs w:val="32"/>
          <w:highlight w:val="none"/>
          <w:u w:val="single"/>
        </w:rPr>
        <w:t xml:space="preserve">                </w:t>
      </w:r>
      <w:r>
        <w:rPr>
          <w:rFonts w:hint="eastAsia"/>
          <w:color w:val="auto"/>
          <w:sz w:val="32"/>
          <w:szCs w:val="32"/>
          <w:highlight w:val="none"/>
          <w:u w:val="single"/>
          <w:lang w:val="en-US" w:eastAsia="zh-CN"/>
        </w:rPr>
        <w:t xml:space="preserve">         </w:t>
      </w:r>
      <w:r>
        <w:rPr>
          <w:rFonts w:hint="eastAsia"/>
          <w:color w:val="auto"/>
          <w:sz w:val="32"/>
          <w:szCs w:val="32"/>
          <w:highlight w:val="none"/>
          <w:u w:val="single"/>
        </w:rPr>
        <w:t xml:space="preserve">             </w:t>
      </w:r>
    </w:p>
    <w:p w14:paraId="3EEC999B">
      <w:pPr>
        <w:spacing w:line="360" w:lineRule="auto"/>
        <w:ind w:left="420" w:leftChars="200" w:firstLine="960" w:firstLineChars="300"/>
        <w:rPr>
          <w:color w:val="auto"/>
          <w:sz w:val="32"/>
          <w:szCs w:val="32"/>
          <w:highlight w:val="none"/>
        </w:rPr>
      </w:pPr>
      <w:r>
        <w:rPr>
          <w:rFonts w:hint="eastAsia"/>
          <w:color w:val="auto"/>
          <w:sz w:val="32"/>
          <w:szCs w:val="32"/>
          <w:highlight w:val="none"/>
        </w:rPr>
        <w:t>甲    方：</w:t>
      </w:r>
      <w:r>
        <w:rPr>
          <w:rFonts w:hint="eastAsia"/>
          <w:color w:val="auto"/>
          <w:sz w:val="32"/>
          <w:szCs w:val="32"/>
          <w:highlight w:val="none"/>
          <w:u w:val="single"/>
        </w:rPr>
        <w:t xml:space="preserve">                      </w:t>
      </w:r>
      <w:r>
        <w:rPr>
          <w:rFonts w:hint="eastAsia"/>
          <w:color w:val="auto"/>
          <w:sz w:val="32"/>
          <w:szCs w:val="32"/>
          <w:highlight w:val="none"/>
          <w:u w:val="single"/>
          <w:lang w:val="en-US" w:eastAsia="zh-CN"/>
        </w:rPr>
        <w:t xml:space="preserve">             </w:t>
      </w:r>
      <w:r>
        <w:rPr>
          <w:rFonts w:hint="eastAsia"/>
          <w:color w:val="auto"/>
          <w:sz w:val="32"/>
          <w:szCs w:val="32"/>
          <w:highlight w:val="none"/>
          <w:u w:val="single"/>
        </w:rPr>
        <w:t xml:space="preserve">       </w:t>
      </w:r>
    </w:p>
    <w:p w14:paraId="13343340">
      <w:pPr>
        <w:spacing w:line="360" w:lineRule="auto"/>
        <w:ind w:left="420" w:leftChars="200" w:firstLine="960" w:firstLineChars="300"/>
        <w:rPr>
          <w:color w:val="auto"/>
          <w:sz w:val="32"/>
          <w:szCs w:val="32"/>
          <w:highlight w:val="none"/>
          <w:u w:val="single"/>
        </w:rPr>
      </w:pPr>
      <w:r>
        <w:rPr>
          <w:rFonts w:hint="eastAsia"/>
          <w:color w:val="auto"/>
          <w:sz w:val="32"/>
          <w:szCs w:val="32"/>
          <w:highlight w:val="none"/>
        </w:rPr>
        <w:t>乙    方：</w:t>
      </w:r>
      <w:r>
        <w:rPr>
          <w:rFonts w:hint="eastAsia"/>
          <w:color w:val="auto"/>
          <w:sz w:val="32"/>
          <w:szCs w:val="32"/>
          <w:highlight w:val="none"/>
          <w:u w:val="single"/>
        </w:rPr>
        <w:t xml:space="preserve">                    </w:t>
      </w:r>
      <w:r>
        <w:rPr>
          <w:rFonts w:hint="eastAsia"/>
          <w:color w:val="auto"/>
          <w:sz w:val="32"/>
          <w:szCs w:val="32"/>
          <w:highlight w:val="none"/>
          <w:u w:val="single"/>
          <w:lang w:val="en-US" w:eastAsia="zh-CN"/>
        </w:rPr>
        <w:t xml:space="preserve">             </w:t>
      </w:r>
      <w:r>
        <w:rPr>
          <w:rFonts w:hint="eastAsia"/>
          <w:color w:val="auto"/>
          <w:sz w:val="32"/>
          <w:szCs w:val="32"/>
          <w:highlight w:val="none"/>
          <w:u w:val="single"/>
        </w:rPr>
        <w:t xml:space="preserve">         </w:t>
      </w:r>
    </w:p>
    <w:p w14:paraId="4E252E4E">
      <w:pPr>
        <w:spacing w:line="360" w:lineRule="auto"/>
        <w:ind w:left="420" w:leftChars="200" w:firstLine="960" w:firstLineChars="300"/>
        <w:rPr>
          <w:rFonts w:hint="eastAsia"/>
          <w:color w:val="auto"/>
          <w:highlight w:val="none"/>
        </w:rPr>
      </w:pPr>
      <w:r>
        <w:rPr>
          <w:rFonts w:hint="eastAsia"/>
          <w:color w:val="auto"/>
          <w:sz w:val="32"/>
          <w:szCs w:val="32"/>
          <w:highlight w:val="none"/>
        </w:rPr>
        <w:t>签订时间：</w:t>
      </w:r>
      <w:r>
        <w:rPr>
          <w:rFonts w:hint="eastAsia"/>
          <w:color w:val="auto"/>
          <w:sz w:val="32"/>
          <w:szCs w:val="32"/>
          <w:highlight w:val="none"/>
          <w:u w:val="single"/>
        </w:rPr>
        <w:t xml:space="preserve">      </w:t>
      </w:r>
      <w:r>
        <w:rPr>
          <w:color w:val="auto"/>
          <w:sz w:val="32"/>
          <w:szCs w:val="32"/>
          <w:highlight w:val="none"/>
          <w:u w:val="single"/>
        </w:rPr>
        <w:t xml:space="preserve">           </w:t>
      </w:r>
      <w:r>
        <w:rPr>
          <w:rFonts w:hint="eastAsia"/>
          <w:color w:val="auto"/>
          <w:sz w:val="32"/>
          <w:szCs w:val="32"/>
          <w:highlight w:val="none"/>
          <w:u w:val="single"/>
        </w:rPr>
        <w:t xml:space="preserve">   </w:t>
      </w:r>
      <w:r>
        <w:rPr>
          <w:rFonts w:hint="eastAsia"/>
          <w:color w:val="auto"/>
          <w:sz w:val="32"/>
          <w:szCs w:val="32"/>
          <w:highlight w:val="none"/>
          <w:u w:val="single"/>
          <w:lang w:val="en-US" w:eastAsia="zh-CN"/>
        </w:rPr>
        <w:t xml:space="preserve">         </w:t>
      </w:r>
      <w:r>
        <w:rPr>
          <w:rFonts w:hint="eastAsia"/>
          <w:color w:val="auto"/>
          <w:sz w:val="32"/>
          <w:szCs w:val="32"/>
          <w:highlight w:val="none"/>
          <w:u w:val="single"/>
        </w:rPr>
        <w:t xml:space="preserve">         </w:t>
      </w:r>
    </w:p>
    <w:tbl>
      <w:tblPr>
        <w:tblStyle w:val="41"/>
        <w:tblW w:w="9859" w:type="dxa"/>
        <w:jc w:val="center"/>
        <w:tblCellSpacing w:w="0" w:type="dxa"/>
        <w:tblLayout w:type="fixed"/>
        <w:tblCellMar>
          <w:top w:w="0" w:type="dxa"/>
          <w:left w:w="0" w:type="dxa"/>
          <w:bottom w:w="0" w:type="dxa"/>
          <w:right w:w="0" w:type="dxa"/>
        </w:tblCellMar>
      </w:tblPr>
      <w:tblGrid>
        <w:gridCol w:w="9859"/>
      </w:tblGrid>
      <w:tr w14:paraId="659D3199">
        <w:tblPrEx>
          <w:tblCellMar>
            <w:top w:w="0" w:type="dxa"/>
            <w:left w:w="0" w:type="dxa"/>
            <w:bottom w:w="0" w:type="dxa"/>
            <w:right w:w="0" w:type="dxa"/>
          </w:tblCellMar>
        </w:tblPrEx>
        <w:trPr>
          <w:tblCellSpacing w:w="0" w:type="dxa"/>
          <w:jc w:val="center"/>
        </w:trPr>
        <w:tc>
          <w:tcPr>
            <w:tcW w:w="9859" w:type="dxa"/>
            <w:noWrap w:val="0"/>
            <w:vAlign w:val="center"/>
          </w:tcPr>
          <w:p w14:paraId="1086C958">
            <w:pPr>
              <w:adjustRightInd w:val="0"/>
              <w:snapToGrid w:val="0"/>
              <w:spacing w:before="0" w:beforeLines="0"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甲方（全称）：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（采购人）</w:t>
            </w:r>
          </w:p>
          <w:p w14:paraId="55A8029B">
            <w:pPr>
              <w:adjustRightInd w:val="0"/>
              <w:snapToGrid w:val="0"/>
              <w:spacing w:before="0" w:beforeLines="0"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乙方（全称）：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w:t>
            </w:r>
          </w:p>
          <w:p w14:paraId="33E27909">
            <w:pPr>
              <w:pStyle w:val="3"/>
              <w:adjustRightInd w:val="0"/>
              <w:snapToGrid w:val="0"/>
              <w:spacing w:before="0" w:beforeLines="0" w:after="0" w:line="400" w:lineRule="exact"/>
              <w:ind w:left="0"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依据《中华人民共和国民法典</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中华人民共和国政府采购法》等有关的法律法规，以及</w:t>
            </w:r>
            <w:r>
              <w:rPr>
                <w:rFonts w:hint="eastAsia" w:ascii="仿宋" w:hAnsi="仿宋" w:eastAsia="仿宋" w:cs="仿宋"/>
                <w:i w:val="0"/>
                <w:iCs w:val="0"/>
                <w:color w:val="auto"/>
                <w:sz w:val="24"/>
                <w:szCs w:val="24"/>
                <w:highlight w:val="none"/>
                <w:u w:val="none"/>
                <w:lang w:eastAsia="zh-CN"/>
              </w:rPr>
              <w:t>本采购项目</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 xml:space="preserve">乙方的《投标文件》及《中标通知书》，甲乙双方同意签订本合同。具体情况及要求如下：     </w:t>
            </w:r>
          </w:p>
          <w:p w14:paraId="019FAFA5">
            <w:pPr>
              <w:numPr>
                <w:ilvl w:val="0"/>
                <w:numId w:val="0"/>
              </w:numPr>
              <w:adjustRightInd w:val="0"/>
              <w:snapToGrid w:val="0"/>
              <w:spacing w:before="0" w:beforeLines="0" w:line="40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1.</w:t>
            </w:r>
            <w:r>
              <w:rPr>
                <w:rFonts w:hint="eastAsia" w:ascii="仿宋" w:hAnsi="仿宋" w:eastAsia="仿宋" w:cs="仿宋"/>
                <w:b/>
                <w:color w:val="auto"/>
                <w:sz w:val="24"/>
                <w:szCs w:val="24"/>
                <w:highlight w:val="none"/>
              </w:rPr>
              <w:t>项目信息</w:t>
            </w:r>
          </w:p>
          <w:p w14:paraId="20A78FF6">
            <w:pPr>
              <w:pStyle w:val="3"/>
              <w:numPr>
                <w:ilvl w:val="0"/>
                <w:numId w:val="0"/>
              </w:numPr>
              <w:adjustRightInd w:val="0"/>
              <w:snapToGrid w:val="0"/>
              <w:spacing w:before="0" w:beforeLines="0" w:after="0" w:line="400" w:lineRule="exact"/>
              <w:ind w:left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采购项目名称：</w:t>
            </w:r>
            <w:r>
              <w:rPr>
                <w:rFonts w:hint="eastAsia" w:ascii="仿宋" w:hAnsi="仿宋" w:eastAsia="仿宋" w:cs="仿宋"/>
                <w:color w:val="auto"/>
                <w:sz w:val="24"/>
                <w:szCs w:val="24"/>
                <w:highlight w:val="none"/>
                <w:u w:val="single"/>
              </w:rPr>
              <w:t xml:space="preserve">                                          </w:t>
            </w:r>
          </w:p>
          <w:p w14:paraId="50CCD991">
            <w:pPr>
              <w:pStyle w:val="3"/>
              <w:numPr>
                <w:ilvl w:val="0"/>
                <w:numId w:val="0"/>
              </w:numPr>
              <w:tabs>
                <w:tab w:val="left" w:pos="999"/>
              </w:tabs>
              <w:adjustRightInd w:val="0"/>
              <w:snapToGrid w:val="0"/>
              <w:spacing w:before="0" w:beforeLines="0" w:after="0" w:line="400" w:lineRule="exact"/>
              <w:ind w:left="0" w:leftChars="0" w:firstLine="0" w:firstLineChars="0"/>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 xml:space="preserve">         采购项目编号：</w:t>
            </w:r>
            <w:r>
              <w:rPr>
                <w:rFonts w:hint="eastAsia" w:ascii="仿宋" w:hAnsi="仿宋" w:eastAsia="仿宋" w:cs="仿宋"/>
                <w:color w:val="auto"/>
                <w:sz w:val="24"/>
                <w:szCs w:val="24"/>
                <w:highlight w:val="none"/>
                <w:u w:val="single"/>
              </w:rPr>
              <w:t xml:space="preserve">                                          </w:t>
            </w:r>
          </w:p>
          <w:p w14:paraId="1D2A4BFD">
            <w:pPr>
              <w:pStyle w:val="3"/>
              <w:adjustRightInd w:val="0"/>
              <w:snapToGrid w:val="0"/>
              <w:spacing w:before="0" w:beforeLines="0" w:after="0" w:line="400" w:lineRule="exact"/>
              <w:ind w:left="0"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（2）采购计划编号：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30C5684F">
            <w:pPr>
              <w:adjustRightInd w:val="0"/>
              <w:snapToGrid w:val="0"/>
              <w:spacing w:before="0" w:beforeLines="0"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（3）项目内容：</w:t>
            </w:r>
          </w:p>
          <w:p w14:paraId="5AA85B87">
            <w:pPr>
              <w:adjustRightInd w:val="0"/>
              <w:snapToGrid w:val="0"/>
              <w:spacing w:before="0" w:beforeLines="0" w:line="40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采购标的及数量</w:t>
            </w:r>
            <w:r>
              <w:rPr>
                <w:rFonts w:hint="eastAsia" w:ascii="仿宋" w:hAnsi="仿宋" w:eastAsia="仿宋" w:cs="仿宋"/>
                <w:color w:val="auto"/>
                <w:sz w:val="24"/>
                <w:szCs w:val="24"/>
                <w:highlight w:val="none"/>
                <w:lang w:val="en-US" w:eastAsia="zh-CN"/>
              </w:rPr>
              <w:t>（台/套</w:t>
            </w:r>
            <w:r>
              <w:rPr>
                <w:rFonts w:hint="eastAsia" w:ascii="仿宋" w:hAnsi="仿宋" w:eastAsia="仿宋" w:cs="仿宋"/>
                <w:color w:val="auto"/>
                <w:sz w:val="24"/>
                <w:szCs w:val="24"/>
                <w:highlight w:val="none"/>
                <w:lang w:val="en" w:eastAsia="zh-CN"/>
              </w:rPr>
              <w:t>/个/架/组等</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 xml:space="preserve">   </w:t>
            </w:r>
          </w:p>
          <w:p w14:paraId="093D0C17">
            <w:pPr>
              <w:numPr>
                <w:ilvl w:val="0"/>
                <w:numId w:val="0"/>
              </w:numPr>
              <w:adjustRightInd w:val="0"/>
              <w:snapToGrid w:val="0"/>
              <w:spacing w:before="0" w:beforeLines="0" w:line="400" w:lineRule="exact"/>
              <w:ind w:firstLine="480" w:firstLineChars="200"/>
              <w:rPr>
                <w:rFonts w:hint="eastAsia" w:ascii="仿宋" w:hAnsi="仿宋" w:eastAsia="仿宋" w:cs="仿宋"/>
                <w:color w:val="auto"/>
                <w:sz w:val="24"/>
                <w:szCs w:val="24"/>
                <w:highlight w:val="none"/>
                <w:lang w:val="en" w:eastAsia="zh-CN"/>
              </w:rPr>
            </w:pP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szCs w:val="24"/>
                <w:highlight w:val="none"/>
                <w:lang w:val="en-US" w:eastAsia="zh-CN"/>
              </w:rPr>
              <w:t>品牌：</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lang w:val="en" w:eastAsia="zh-CN"/>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lang w:val="en" w:eastAsia="zh-CN"/>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 w:eastAsia="zh-CN"/>
              </w:rPr>
              <w:t xml:space="preserve">     </w:t>
            </w:r>
            <w:r>
              <w:rPr>
                <w:rFonts w:hint="eastAsia" w:ascii="仿宋" w:hAnsi="仿宋" w:eastAsia="仿宋" w:cs="仿宋"/>
                <w:color w:val="auto"/>
                <w:sz w:val="24"/>
                <w:szCs w:val="24"/>
                <w:highlight w:val="none"/>
                <w:lang w:val="en-US" w:eastAsia="zh-CN"/>
              </w:rPr>
              <w:t>规格型号：</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lang w:val="en" w:eastAsia="zh-CN"/>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lang w:val="en" w:eastAsia="zh-CN"/>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lang w:val="en" w:eastAsia="zh-CN"/>
              </w:rPr>
              <w:t xml:space="preserve">  </w:t>
            </w:r>
          </w:p>
          <w:p w14:paraId="6FE17A78">
            <w:pPr>
              <w:adjustRightInd w:val="0"/>
              <w:snapToGrid w:val="0"/>
              <w:spacing w:before="0" w:beforeLines="0" w:line="400" w:lineRule="exact"/>
              <w:ind w:firstLine="1080" w:firstLineChars="45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none"/>
                <w:lang w:val="en-US" w:eastAsia="zh-CN"/>
              </w:rPr>
              <w:t>采购标的的技术要求、商务要求具体见附件。</w:t>
            </w:r>
          </w:p>
          <w:p w14:paraId="79C083BE">
            <w:pPr>
              <w:numPr>
                <w:ilvl w:val="0"/>
                <w:numId w:val="0"/>
              </w:numPr>
              <w:adjustRightInd w:val="0"/>
              <w:snapToGrid w:val="0"/>
              <w:spacing w:before="0" w:beforeLines="0" w:line="400" w:lineRule="exact"/>
              <w:ind w:firstLine="1080" w:firstLineChars="45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①涉及信息类产品，请填写该产品关键部件的品牌、型号：</w:t>
            </w:r>
          </w:p>
          <w:p w14:paraId="6B20ABB4">
            <w:pPr>
              <w:numPr>
                <w:ilvl w:val="0"/>
                <w:numId w:val="0"/>
              </w:numPr>
              <w:adjustRightInd w:val="0"/>
              <w:snapToGrid w:val="0"/>
              <w:spacing w:before="0" w:beforeLines="0" w:line="400" w:lineRule="exact"/>
              <w:ind w:firstLine="480" w:firstLineChars="200"/>
              <w:rPr>
                <w:rFonts w:hint="eastAsia" w:ascii="仿宋" w:hAnsi="仿宋" w:eastAsia="仿宋" w:cs="仿宋"/>
                <w:color w:val="auto"/>
                <w:kern w:val="0"/>
                <w:sz w:val="24"/>
                <w:szCs w:val="24"/>
                <w:highlight w:val="none"/>
                <w:u w:val="single"/>
                <w:lang w:val="en-US" w:eastAsia="zh-CN"/>
              </w:rPr>
            </w:pPr>
            <w:r>
              <w:rPr>
                <w:rFonts w:hint="eastAsia" w:ascii="仿宋" w:hAnsi="仿宋" w:eastAsia="仿宋" w:cs="仿宋"/>
                <w:color w:val="auto"/>
                <w:sz w:val="24"/>
                <w:szCs w:val="24"/>
                <w:highlight w:val="none"/>
                <w:lang w:val="en-US" w:eastAsia="zh-CN"/>
              </w:rPr>
              <w:t xml:space="preserve">     标的名称：</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lang w:val="en" w:eastAsia="zh-CN"/>
              </w:rPr>
              <w:t xml:space="preserve">               </w:t>
            </w:r>
            <w:r>
              <w:rPr>
                <w:rFonts w:hint="eastAsia" w:ascii="仿宋" w:hAnsi="仿宋" w:eastAsia="仿宋" w:cs="仿宋"/>
                <w:color w:val="auto"/>
                <w:kern w:val="0"/>
                <w:sz w:val="24"/>
                <w:szCs w:val="24"/>
                <w:highlight w:val="none"/>
                <w:u w:val="single"/>
                <w:lang w:val="en-US" w:eastAsia="zh-CN"/>
              </w:rPr>
              <w:t xml:space="preserve">    </w:t>
            </w:r>
          </w:p>
          <w:p w14:paraId="5ED4C9A7">
            <w:pPr>
              <w:numPr>
                <w:ilvl w:val="0"/>
                <w:numId w:val="0"/>
              </w:numPr>
              <w:adjustRightInd w:val="0"/>
              <w:snapToGrid w:val="0"/>
              <w:spacing w:before="0" w:beforeLines="0" w:line="40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关键部件：</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none"/>
                <w:lang w:val="en-US" w:eastAsia="zh-CN"/>
              </w:rPr>
              <w:t xml:space="preserve"> </w:t>
            </w:r>
            <w:r>
              <w:rPr>
                <w:rFonts w:hint="eastAsia" w:ascii="仿宋" w:hAnsi="仿宋" w:eastAsia="仿宋" w:cs="仿宋"/>
                <w:color w:val="auto"/>
                <w:sz w:val="24"/>
                <w:szCs w:val="24"/>
                <w:highlight w:val="none"/>
                <w:lang w:val="en-US" w:eastAsia="zh-CN"/>
              </w:rPr>
              <w:t>品牌：</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szCs w:val="24"/>
                <w:highlight w:val="none"/>
                <w:lang w:val="en-US" w:eastAsia="zh-CN"/>
              </w:rPr>
              <w:t>型号：</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 xml:space="preserve"> </w:t>
            </w:r>
          </w:p>
          <w:p w14:paraId="2600E60E">
            <w:pPr>
              <w:pStyle w:val="247"/>
              <w:spacing w:beforeLine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kern w:val="2"/>
                <w:sz w:val="24"/>
                <w:szCs w:val="24"/>
                <w:highlight w:val="none"/>
                <w:lang w:val="en-US" w:eastAsia="zh-CN"/>
              </w:rPr>
              <w:t>关键部件</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szCs w:val="24"/>
                <w:highlight w:val="none"/>
                <w:lang w:val="en-US" w:eastAsia="zh-CN"/>
              </w:rPr>
              <w:t>品牌：</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szCs w:val="24"/>
                <w:highlight w:val="none"/>
                <w:lang w:val="en-US" w:eastAsia="zh-CN"/>
              </w:rPr>
              <w:t>型号：</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 xml:space="preserve"> </w:t>
            </w:r>
          </w:p>
          <w:p w14:paraId="57CD1C38">
            <w:pPr>
              <w:pStyle w:val="247"/>
              <w:spacing w:beforeLine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关键部件：</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szCs w:val="24"/>
                <w:highlight w:val="none"/>
                <w:lang w:val="en-US" w:eastAsia="zh-CN"/>
              </w:rPr>
              <w:t>品牌：</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szCs w:val="24"/>
                <w:highlight w:val="none"/>
                <w:lang w:val="en-US" w:eastAsia="zh-CN"/>
              </w:rPr>
              <w:t>型号：</w:t>
            </w:r>
            <w:r>
              <w:rPr>
                <w:rFonts w:hint="eastAsia" w:ascii="仿宋" w:hAnsi="仿宋" w:eastAsia="仿宋" w:cs="仿宋"/>
                <w:color w:val="auto"/>
                <w:sz w:val="24"/>
                <w:szCs w:val="24"/>
                <w:highlight w:val="none"/>
                <w:u w:val="single"/>
                <w:lang w:val="en-US" w:eastAsia="zh-CN"/>
              </w:rPr>
              <w:t xml:space="preserve">       </w:t>
            </w:r>
          </w:p>
          <w:p w14:paraId="6CC2EFB3">
            <w:pPr>
              <w:pStyle w:val="247"/>
              <w:numPr>
                <w:ilvl w:val="0"/>
                <w:numId w:val="0"/>
              </w:numPr>
              <w:adjustRightInd w:val="0"/>
              <w:snapToGrid w:val="0"/>
              <w:spacing w:before="0" w:beforeLines="0" w:line="400" w:lineRule="exact"/>
              <w:ind w:firstLine="0" w:firstLineChars="0"/>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（注：关键部件是指财政部会同有关部门发布的政府技术参数及要求标准规定的需要通过国家有关部门指定的测评机构开展的安全可靠测评的软硬件，如CPU芯片、操作系统、数据库等。）</w:t>
            </w:r>
          </w:p>
          <w:p w14:paraId="7D4DE46F">
            <w:pPr>
              <w:pStyle w:val="247"/>
              <w:numPr>
                <w:ilvl w:val="0"/>
                <w:numId w:val="0"/>
              </w:numPr>
              <w:adjustRightInd w:val="0"/>
              <w:snapToGrid w:val="0"/>
              <w:spacing w:before="0" w:beforeLines="0" w:line="400" w:lineRule="exact"/>
              <w:ind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②涉及车辆采购，请填写是否属于新能源汽车：</w:t>
            </w:r>
          </w:p>
          <w:p w14:paraId="26CAB52D">
            <w:pPr>
              <w:pStyle w:val="247"/>
              <w:numPr>
                <w:ilvl w:val="0"/>
                <w:numId w:val="0"/>
              </w:numPr>
              <w:adjustRightInd w:val="0"/>
              <w:snapToGrid w:val="0"/>
              <w:spacing w:before="0" w:beforeLines="0" w:line="400" w:lineRule="exact"/>
              <w:ind w:firstLine="0" w:firstLineChars="0"/>
              <w:rPr>
                <w:rFonts w:hint="eastAsia" w:ascii="仿宋" w:hAnsi="仿宋" w:eastAsia="仿宋" w:cs="仿宋"/>
                <w:iCs w:val="0"/>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iCs w:val="0"/>
                <w:color w:val="auto"/>
                <w:sz w:val="24"/>
                <w:szCs w:val="24"/>
                <w:highlight w:val="none"/>
              </w:rPr>
              <w:sym w:font="Wingdings" w:char="00A8"/>
            </w:r>
            <w:r>
              <w:rPr>
                <w:rFonts w:hint="eastAsia" w:ascii="仿宋" w:hAnsi="仿宋" w:eastAsia="仿宋" w:cs="仿宋"/>
                <w:iCs w:val="0"/>
                <w:color w:val="auto"/>
                <w:sz w:val="24"/>
                <w:szCs w:val="24"/>
                <w:highlight w:val="none"/>
              </w:rPr>
              <w:t>是</w:t>
            </w:r>
            <w:r>
              <w:rPr>
                <w:rFonts w:hint="eastAsia" w:ascii="仿宋" w:hAnsi="仿宋" w:eastAsia="仿宋" w:cs="仿宋"/>
                <w:iCs w:val="0"/>
                <w:color w:val="auto"/>
                <w:sz w:val="24"/>
                <w:szCs w:val="24"/>
                <w:highlight w:val="none"/>
                <w:lang w:eastAsia="zh-CN"/>
              </w:rPr>
              <w:t>，《政府采购品目分类目录》底级品目名称</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 xml:space="preserve"> 数量：</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 xml:space="preserve"> 金额：</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iCs w:val="0"/>
                <w:color w:val="auto"/>
                <w:sz w:val="24"/>
                <w:szCs w:val="24"/>
                <w:highlight w:val="none"/>
                <w:lang w:val="en-US" w:eastAsia="zh-CN"/>
              </w:rPr>
              <w:t xml:space="preserve"> </w:t>
            </w:r>
          </w:p>
          <w:p w14:paraId="69E21849">
            <w:pPr>
              <w:pStyle w:val="247"/>
              <w:numPr>
                <w:ilvl w:val="0"/>
                <w:numId w:val="0"/>
              </w:numPr>
              <w:adjustRightInd w:val="0"/>
              <w:snapToGrid w:val="0"/>
              <w:spacing w:before="0" w:beforeLines="0" w:line="400" w:lineRule="exact"/>
              <w:ind w:firstLine="0" w:firstLineChars="0"/>
              <w:rPr>
                <w:rFonts w:hint="eastAsia" w:ascii="仿宋" w:hAnsi="仿宋" w:eastAsia="仿宋" w:cs="仿宋"/>
                <w:iCs w:val="0"/>
                <w:color w:val="auto"/>
                <w:sz w:val="24"/>
                <w:szCs w:val="24"/>
                <w:highlight w:val="none"/>
                <w:lang w:eastAsia="zh-CN"/>
              </w:rPr>
            </w:pPr>
            <w:r>
              <w:rPr>
                <w:rFonts w:hint="eastAsia" w:ascii="仿宋" w:hAnsi="仿宋" w:eastAsia="仿宋" w:cs="仿宋"/>
                <w:iCs w:val="0"/>
                <w:color w:val="auto"/>
                <w:sz w:val="24"/>
                <w:szCs w:val="24"/>
                <w:highlight w:val="none"/>
                <w:lang w:val="en-US" w:eastAsia="zh-CN"/>
              </w:rPr>
              <w:t xml:space="preserve">         </w:t>
            </w:r>
            <w:r>
              <w:rPr>
                <w:rFonts w:hint="eastAsia" w:ascii="仿宋" w:hAnsi="仿宋" w:eastAsia="仿宋" w:cs="仿宋"/>
                <w:iCs w:val="0"/>
                <w:color w:val="auto"/>
                <w:sz w:val="24"/>
                <w:szCs w:val="24"/>
                <w:highlight w:val="none"/>
              </w:rPr>
              <w:sym w:font="Wingdings" w:char="00FE"/>
            </w:r>
            <w:r>
              <w:rPr>
                <w:rFonts w:hint="eastAsia" w:ascii="仿宋" w:hAnsi="仿宋" w:eastAsia="仿宋" w:cs="仿宋"/>
                <w:iCs w:val="0"/>
                <w:color w:val="auto"/>
                <w:sz w:val="24"/>
                <w:szCs w:val="24"/>
                <w:highlight w:val="none"/>
                <w:lang w:eastAsia="zh-CN"/>
              </w:rPr>
              <w:t>否</w:t>
            </w:r>
          </w:p>
          <w:p w14:paraId="158F9D68">
            <w:pPr>
              <w:pStyle w:val="247"/>
              <w:numPr>
                <w:ilvl w:val="0"/>
                <w:numId w:val="0"/>
              </w:numPr>
              <w:adjustRightInd w:val="0"/>
              <w:snapToGrid w:val="0"/>
              <w:spacing w:before="0" w:beforeLines="0" w:line="400" w:lineRule="exact"/>
              <w:ind w:left="0" w:firstLine="0" w:firstLineChars="0"/>
              <w:rPr>
                <w:rFonts w:hint="eastAsia" w:ascii="仿宋" w:hAnsi="仿宋" w:eastAsia="仿宋" w:cs="仿宋"/>
                <w:iCs w:val="0"/>
                <w:color w:val="auto"/>
                <w:sz w:val="24"/>
                <w:szCs w:val="24"/>
                <w:highlight w:val="none"/>
                <w:lang w:val="en-US" w:eastAsia="zh-CN"/>
              </w:rPr>
            </w:pPr>
            <w:r>
              <w:rPr>
                <w:rFonts w:hint="eastAsia" w:ascii="仿宋" w:hAnsi="仿宋" w:eastAsia="仿宋" w:cs="仿宋"/>
                <w:iCs w:val="0"/>
                <w:color w:val="auto"/>
                <w:sz w:val="24"/>
                <w:szCs w:val="24"/>
                <w:highlight w:val="none"/>
                <w:lang w:val="en-US" w:eastAsia="zh-CN"/>
              </w:rPr>
              <w:t xml:space="preserve">    （</w:t>
            </w:r>
            <w:r>
              <w:rPr>
                <w:rFonts w:hint="eastAsia" w:ascii="仿宋" w:hAnsi="仿宋" w:eastAsia="仿宋" w:cs="仿宋"/>
                <w:iCs w:val="0"/>
                <w:color w:val="auto"/>
                <w:sz w:val="24"/>
                <w:szCs w:val="24"/>
                <w:highlight w:val="none"/>
                <w:lang w:val="en" w:eastAsia="zh-CN"/>
              </w:rPr>
              <w:t>4</w:t>
            </w:r>
            <w:r>
              <w:rPr>
                <w:rFonts w:hint="eastAsia" w:ascii="仿宋" w:hAnsi="仿宋" w:eastAsia="仿宋" w:cs="仿宋"/>
                <w:iCs w:val="0"/>
                <w:color w:val="auto"/>
                <w:sz w:val="24"/>
                <w:szCs w:val="24"/>
                <w:highlight w:val="none"/>
                <w:lang w:val="en-US" w:eastAsia="zh-CN"/>
              </w:rPr>
              <w:t>）政府采购组织形式：</w:t>
            </w:r>
            <w:r>
              <w:rPr>
                <w:rFonts w:hint="eastAsia" w:ascii="仿宋" w:hAnsi="仿宋" w:eastAsia="仿宋" w:cs="仿宋"/>
                <w:iCs w:val="0"/>
                <w:color w:val="auto"/>
                <w:sz w:val="24"/>
                <w:szCs w:val="24"/>
                <w:highlight w:val="none"/>
              </w:rPr>
              <w:sym w:font="Wingdings" w:char="00A8"/>
            </w:r>
            <w:r>
              <w:rPr>
                <w:rFonts w:hint="eastAsia" w:ascii="仿宋" w:hAnsi="仿宋" w:eastAsia="仿宋" w:cs="仿宋"/>
                <w:iCs w:val="0"/>
                <w:color w:val="auto"/>
                <w:sz w:val="24"/>
                <w:szCs w:val="24"/>
                <w:highlight w:val="none"/>
                <w:lang w:eastAsia="zh-CN"/>
              </w:rPr>
              <w:t>政府集中采购</w:t>
            </w:r>
            <w:r>
              <w:rPr>
                <w:rFonts w:hint="eastAsia" w:ascii="仿宋" w:hAnsi="仿宋" w:eastAsia="仿宋" w:cs="仿宋"/>
                <w:iCs w:val="0"/>
                <w:color w:val="auto"/>
                <w:sz w:val="24"/>
                <w:szCs w:val="24"/>
                <w:highlight w:val="none"/>
                <w:lang w:val="en-US" w:eastAsia="zh-CN"/>
              </w:rPr>
              <w:t xml:space="preserve">  </w:t>
            </w:r>
            <w:r>
              <w:rPr>
                <w:rFonts w:hint="eastAsia" w:ascii="仿宋" w:hAnsi="仿宋" w:eastAsia="仿宋" w:cs="仿宋"/>
                <w:iCs w:val="0"/>
                <w:color w:val="auto"/>
                <w:sz w:val="24"/>
                <w:szCs w:val="24"/>
                <w:highlight w:val="none"/>
              </w:rPr>
              <w:sym w:font="Wingdings" w:char="00A8"/>
            </w:r>
            <w:r>
              <w:rPr>
                <w:rFonts w:hint="eastAsia" w:ascii="仿宋" w:hAnsi="仿宋" w:eastAsia="仿宋" w:cs="仿宋"/>
                <w:iCs w:val="0"/>
                <w:color w:val="auto"/>
                <w:sz w:val="24"/>
                <w:szCs w:val="24"/>
                <w:highlight w:val="none"/>
                <w:lang w:val="en-US" w:eastAsia="zh-CN"/>
              </w:rPr>
              <w:t xml:space="preserve">部门集中采购  </w:t>
            </w:r>
            <w:r>
              <w:rPr>
                <w:rFonts w:hint="eastAsia" w:ascii="仿宋" w:hAnsi="仿宋" w:eastAsia="仿宋" w:cs="仿宋"/>
                <w:iCs w:val="0"/>
                <w:color w:val="auto"/>
                <w:sz w:val="24"/>
                <w:szCs w:val="24"/>
                <w:highlight w:val="none"/>
              </w:rPr>
              <w:sym w:font="Wingdings" w:char="00FE"/>
            </w:r>
            <w:r>
              <w:rPr>
                <w:rFonts w:hint="eastAsia" w:ascii="仿宋" w:hAnsi="仿宋" w:eastAsia="仿宋" w:cs="仿宋"/>
                <w:iCs w:val="0"/>
                <w:color w:val="auto"/>
                <w:sz w:val="24"/>
                <w:szCs w:val="24"/>
                <w:highlight w:val="none"/>
                <w:lang w:val="en-US" w:eastAsia="zh-CN"/>
              </w:rPr>
              <w:t>分散采购</w:t>
            </w:r>
          </w:p>
          <w:p w14:paraId="29FC1387">
            <w:pPr>
              <w:pStyle w:val="247"/>
              <w:numPr>
                <w:ilvl w:val="0"/>
                <w:numId w:val="0"/>
              </w:numPr>
              <w:adjustRightInd w:val="0"/>
              <w:snapToGrid w:val="0"/>
              <w:spacing w:before="0" w:beforeLines="0" w:line="400" w:lineRule="exact"/>
              <w:ind w:firstLine="480" w:firstLineChars="200"/>
              <w:rPr>
                <w:rFonts w:hint="eastAsia" w:ascii="仿宋" w:hAnsi="仿宋" w:eastAsia="仿宋" w:cs="仿宋"/>
                <w:iCs w:val="0"/>
                <w:color w:val="auto"/>
                <w:sz w:val="24"/>
                <w:szCs w:val="24"/>
                <w:highlight w:val="none"/>
                <w:lang w:eastAsia="zh-CN"/>
              </w:rPr>
            </w:pPr>
            <w:r>
              <w:rPr>
                <w:rFonts w:hint="eastAsia" w:ascii="仿宋" w:hAnsi="仿宋" w:eastAsia="仿宋" w:cs="仿宋"/>
                <w:iCs w:val="0"/>
                <w:color w:val="auto"/>
                <w:sz w:val="24"/>
                <w:szCs w:val="24"/>
                <w:highlight w:val="none"/>
                <w:lang w:val="en-US" w:eastAsia="zh-CN"/>
              </w:rPr>
              <w:t>（</w:t>
            </w:r>
            <w:r>
              <w:rPr>
                <w:rFonts w:hint="eastAsia" w:ascii="仿宋" w:hAnsi="仿宋" w:eastAsia="仿宋" w:cs="仿宋"/>
                <w:iCs w:val="0"/>
                <w:color w:val="auto"/>
                <w:sz w:val="24"/>
                <w:szCs w:val="24"/>
                <w:highlight w:val="none"/>
                <w:lang w:val="en" w:eastAsia="zh-CN"/>
              </w:rPr>
              <w:t>5</w:t>
            </w:r>
            <w:r>
              <w:rPr>
                <w:rFonts w:hint="eastAsia" w:ascii="仿宋" w:hAnsi="仿宋" w:eastAsia="仿宋" w:cs="仿宋"/>
                <w:iCs w:val="0"/>
                <w:color w:val="auto"/>
                <w:sz w:val="24"/>
                <w:szCs w:val="24"/>
                <w:highlight w:val="none"/>
                <w:lang w:val="en-US" w:eastAsia="zh-CN"/>
              </w:rPr>
              <w:t>）政府采购方式：</w:t>
            </w:r>
            <w:r>
              <w:rPr>
                <w:rFonts w:hint="eastAsia" w:ascii="仿宋" w:hAnsi="仿宋" w:eastAsia="仿宋" w:cs="仿宋"/>
                <w:iCs w:val="0"/>
                <w:color w:val="auto"/>
                <w:sz w:val="24"/>
                <w:szCs w:val="24"/>
                <w:highlight w:val="none"/>
              </w:rPr>
              <w:sym w:font="Wingdings" w:char="00FE"/>
            </w:r>
            <w:r>
              <w:rPr>
                <w:rFonts w:hint="eastAsia" w:ascii="仿宋" w:hAnsi="仿宋" w:eastAsia="仿宋" w:cs="仿宋"/>
                <w:iCs w:val="0"/>
                <w:color w:val="auto"/>
                <w:sz w:val="24"/>
                <w:szCs w:val="24"/>
                <w:highlight w:val="none"/>
                <w:lang w:eastAsia="zh-CN"/>
              </w:rPr>
              <w:t>公开招标</w:t>
            </w:r>
            <w:r>
              <w:rPr>
                <w:rFonts w:hint="eastAsia" w:ascii="仿宋" w:hAnsi="仿宋" w:eastAsia="仿宋" w:cs="仿宋"/>
                <w:iCs w:val="0"/>
                <w:color w:val="auto"/>
                <w:sz w:val="24"/>
                <w:szCs w:val="24"/>
                <w:highlight w:val="none"/>
                <w:lang w:val="en-US" w:eastAsia="zh-CN"/>
              </w:rPr>
              <w:t xml:space="preserve"> </w:t>
            </w:r>
            <w:r>
              <w:rPr>
                <w:rFonts w:hint="eastAsia" w:ascii="仿宋" w:hAnsi="仿宋" w:eastAsia="仿宋" w:cs="仿宋"/>
                <w:iCs w:val="0"/>
                <w:color w:val="auto"/>
                <w:sz w:val="24"/>
                <w:szCs w:val="24"/>
                <w:highlight w:val="none"/>
              </w:rPr>
              <w:sym w:font="Wingdings" w:char="00A8"/>
            </w:r>
            <w:r>
              <w:rPr>
                <w:rFonts w:hint="eastAsia" w:ascii="仿宋" w:hAnsi="仿宋" w:eastAsia="仿宋" w:cs="仿宋"/>
                <w:iCs w:val="0"/>
                <w:color w:val="auto"/>
                <w:sz w:val="24"/>
                <w:szCs w:val="24"/>
                <w:highlight w:val="none"/>
                <w:lang w:eastAsia="zh-CN"/>
              </w:rPr>
              <w:t>邀请招标</w:t>
            </w:r>
            <w:r>
              <w:rPr>
                <w:rFonts w:hint="eastAsia" w:ascii="仿宋" w:hAnsi="仿宋" w:eastAsia="仿宋" w:cs="仿宋"/>
                <w:iCs w:val="0"/>
                <w:color w:val="auto"/>
                <w:sz w:val="24"/>
                <w:szCs w:val="24"/>
                <w:highlight w:val="none"/>
                <w:lang w:val="en-US" w:eastAsia="zh-CN"/>
              </w:rPr>
              <w:t xml:space="preserve"> </w:t>
            </w:r>
            <w:r>
              <w:rPr>
                <w:rFonts w:hint="eastAsia" w:ascii="仿宋" w:hAnsi="仿宋" w:eastAsia="仿宋" w:cs="仿宋"/>
                <w:iCs w:val="0"/>
                <w:color w:val="auto"/>
                <w:sz w:val="24"/>
                <w:szCs w:val="24"/>
                <w:highlight w:val="none"/>
              </w:rPr>
              <w:sym w:font="Wingdings" w:char="00A8"/>
            </w:r>
            <w:r>
              <w:rPr>
                <w:rFonts w:hint="eastAsia" w:ascii="仿宋" w:hAnsi="仿宋" w:eastAsia="仿宋" w:cs="仿宋"/>
                <w:iCs w:val="0"/>
                <w:color w:val="auto"/>
                <w:sz w:val="24"/>
                <w:szCs w:val="24"/>
                <w:highlight w:val="none"/>
                <w:lang w:eastAsia="zh-CN"/>
              </w:rPr>
              <w:t>竞争性谈判</w:t>
            </w:r>
            <w:r>
              <w:rPr>
                <w:rFonts w:hint="eastAsia" w:ascii="仿宋" w:hAnsi="仿宋" w:eastAsia="仿宋" w:cs="仿宋"/>
                <w:iCs w:val="0"/>
                <w:color w:val="auto"/>
                <w:sz w:val="24"/>
                <w:szCs w:val="24"/>
                <w:highlight w:val="none"/>
                <w:lang w:val="en-US" w:eastAsia="zh-CN"/>
              </w:rPr>
              <w:t xml:space="preserve"> </w:t>
            </w:r>
            <w:r>
              <w:rPr>
                <w:rFonts w:hint="eastAsia" w:ascii="仿宋" w:hAnsi="仿宋" w:eastAsia="仿宋" w:cs="仿宋"/>
                <w:iCs w:val="0"/>
                <w:color w:val="auto"/>
                <w:sz w:val="24"/>
                <w:szCs w:val="24"/>
                <w:highlight w:val="none"/>
              </w:rPr>
              <w:sym w:font="Wingdings" w:char="00A8"/>
            </w:r>
            <w:r>
              <w:rPr>
                <w:rFonts w:hint="eastAsia" w:ascii="仿宋" w:hAnsi="仿宋" w:eastAsia="仿宋" w:cs="仿宋"/>
                <w:iCs w:val="0"/>
                <w:color w:val="auto"/>
                <w:sz w:val="24"/>
                <w:szCs w:val="24"/>
                <w:highlight w:val="none"/>
                <w:lang w:eastAsia="zh-CN"/>
              </w:rPr>
              <w:t>竞争性磋商</w:t>
            </w:r>
          </w:p>
          <w:p w14:paraId="24F74392">
            <w:pPr>
              <w:pStyle w:val="247"/>
              <w:numPr>
                <w:ilvl w:val="0"/>
                <w:numId w:val="0"/>
              </w:numPr>
              <w:adjustRightInd w:val="0"/>
              <w:snapToGrid w:val="0"/>
              <w:spacing w:before="0" w:beforeLines="0" w:line="400" w:lineRule="exact"/>
              <w:ind w:left="0" w:firstLine="420" w:firstLineChars="0"/>
              <w:rPr>
                <w:rFonts w:hint="eastAsia" w:ascii="仿宋" w:hAnsi="仿宋" w:eastAsia="仿宋" w:cs="仿宋"/>
                <w:iCs w:val="0"/>
                <w:color w:val="auto"/>
                <w:sz w:val="24"/>
                <w:szCs w:val="24"/>
                <w:highlight w:val="none"/>
                <w:u w:val="single"/>
                <w:lang w:val="en-US" w:eastAsia="zh-CN"/>
              </w:rPr>
            </w:pP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iCs w:val="0"/>
                <w:color w:val="auto"/>
                <w:sz w:val="24"/>
                <w:szCs w:val="24"/>
                <w:highlight w:val="none"/>
              </w:rPr>
              <w:sym w:font="Wingdings" w:char="00A8"/>
            </w:r>
            <w:r>
              <w:rPr>
                <w:rFonts w:hint="eastAsia" w:ascii="仿宋" w:hAnsi="仿宋" w:eastAsia="仿宋" w:cs="仿宋"/>
                <w:iCs w:val="0"/>
                <w:color w:val="auto"/>
                <w:sz w:val="24"/>
                <w:szCs w:val="24"/>
                <w:highlight w:val="none"/>
                <w:lang w:eastAsia="zh-CN"/>
              </w:rPr>
              <w:t>询价</w:t>
            </w:r>
            <w:r>
              <w:rPr>
                <w:rFonts w:hint="eastAsia" w:ascii="仿宋" w:hAnsi="仿宋" w:eastAsia="仿宋" w:cs="仿宋"/>
                <w:iCs w:val="0"/>
                <w:color w:val="auto"/>
                <w:sz w:val="24"/>
                <w:szCs w:val="24"/>
                <w:highlight w:val="none"/>
                <w:lang w:val="en-US" w:eastAsia="zh-CN"/>
              </w:rPr>
              <w:t xml:space="preserve"> </w:t>
            </w:r>
            <w:r>
              <w:rPr>
                <w:rFonts w:hint="eastAsia" w:ascii="仿宋" w:hAnsi="仿宋" w:eastAsia="仿宋" w:cs="仿宋"/>
                <w:iCs w:val="0"/>
                <w:color w:val="auto"/>
                <w:sz w:val="24"/>
                <w:szCs w:val="24"/>
                <w:highlight w:val="none"/>
              </w:rPr>
              <w:sym w:font="Wingdings" w:char="00A8"/>
            </w:r>
            <w:r>
              <w:rPr>
                <w:rFonts w:hint="eastAsia" w:ascii="仿宋" w:hAnsi="仿宋" w:eastAsia="仿宋" w:cs="仿宋"/>
                <w:iCs w:val="0"/>
                <w:color w:val="auto"/>
                <w:sz w:val="24"/>
                <w:szCs w:val="24"/>
                <w:highlight w:val="none"/>
                <w:lang w:eastAsia="zh-CN"/>
              </w:rPr>
              <w:t>单一来源</w:t>
            </w:r>
            <w:r>
              <w:rPr>
                <w:rFonts w:hint="eastAsia" w:ascii="仿宋" w:hAnsi="仿宋" w:eastAsia="仿宋" w:cs="仿宋"/>
                <w:iCs w:val="0"/>
                <w:color w:val="auto"/>
                <w:sz w:val="24"/>
                <w:szCs w:val="24"/>
                <w:highlight w:val="none"/>
                <w:lang w:val="en-US" w:eastAsia="zh-CN"/>
              </w:rPr>
              <w:t xml:space="preserve"> </w:t>
            </w:r>
            <w:r>
              <w:rPr>
                <w:rFonts w:hint="eastAsia" w:ascii="仿宋" w:hAnsi="仿宋" w:eastAsia="仿宋" w:cs="仿宋"/>
                <w:iCs w:val="0"/>
                <w:color w:val="auto"/>
                <w:sz w:val="24"/>
                <w:szCs w:val="24"/>
                <w:highlight w:val="none"/>
              </w:rPr>
              <w:sym w:font="Wingdings" w:char="00A8"/>
            </w:r>
            <w:r>
              <w:rPr>
                <w:rFonts w:hint="eastAsia" w:ascii="仿宋" w:hAnsi="仿宋" w:eastAsia="仿宋" w:cs="仿宋"/>
                <w:iCs w:val="0"/>
                <w:color w:val="auto"/>
                <w:sz w:val="24"/>
                <w:szCs w:val="24"/>
                <w:highlight w:val="none"/>
                <w:lang w:eastAsia="zh-CN"/>
              </w:rPr>
              <w:t>框架协议</w:t>
            </w:r>
            <w:r>
              <w:rPr>
                <w:rFonts w:hint="eastAsia" w:ascii="仿宋" w:hAnsi="仿宋" w:eastAsia="仿宋" w:cs="仿宋"/>
                <w:iCs w:val="0"/>
                <w:color w:val="auto"/>
                <w:sz w:val="24"/>
                <w:szCs w:val="24"/>
                <w:highlight w:val="none"/>
                <w:lang w:val="en-US" w:eastAsia="zh-CN"/>
              </w:rPr>
              <w:t xml:space="preserve"> </w:t>
            </w:r>
            <w:r>
              <w:rPr>
                <w:rFonts w:hint="eastAsia" w:ascii="仿宋" w:hAnsi="仿宋" w:eastAsia="仿宋" w:cs="仿宋"/>
                <w:iCs w:val="0"/>
                <w:color w:val="auto"/>
                <w:sz w:val="24"/>
                <w:szCs w:val="24"/>
                <w:highlight w:val="none"/>
              </w:rPr>
              <w:sym w:font="Wingdings" w:char="00A8"/>
            </w:r>
            <w:r>
              <w:rPr>
                <w:rFonts w:hint="eastAsia" w:ascii="仿宋" w:hAnsi="仿宋" w:eastAsia="仿宋" w:cs="仿宋"/>
                <w:iCs w:val="0"/>
                <w:color w:val="auto"/>
                <w:sz w:val="24"/>
                <w:szCs w:val="24"/>
                <w:highlight w:val="none"/>
                <w:lang w:eastAsia="zh-CN"/>
              </w:rPr>
              <w:t>其他：</w:t>
            </w:r>
            <w:r>
              <w:rPr>
                <w:rFonts w:hint="eastAsia" w:ascii="仿宋" w:hAnsi="仿宋" w:eastAsia="仿宋" w:cs="仿宋"/>
                <w:iCs w:val="0"/>
                <w:color w:val="auto"/>
                <w:sz w:val="24"/>
                <w:szCs w:val="24"/>
                <w:highlight w:val="none"/>
                <w:u w:val="single"/>
                <w:lang w:val="en-US" w:eastAsia="zh-CN"/>
              </w:rPr>
              <w:t xml:space="preserve">          </w:t>
            </w:r>
          </w:p>
          <w:p w14:paraId="519E11A5">
            <w:pPr>
              <w:pStyle w:val="247"/>
              <w:numPr>
                <w:ilvl w:val="0"/>
                <w:numId w:val="0"/>
              </w:numPr>
              <w:adjustRightInd w:val="0"/>
              <w:snapToGrid w:val="0"/>
              <w:spacing w:before="0" w:beforeLines="0" w:line="400" w:lineRule="exact"/>
              <w:ind w:left="0" w:firstLine="420" w:firstLineChars="0"/>
              <w:rPr>
                <w:rFonts w:hint="eastAsia" w:ascii="仿宋" w:hAnsi="仿宋" w:eastAsia="仿宋" w:cs="仿宋"/>
                <w:b/>
                <w:bCs/>
                <w:iCs w:val="0"/>
                <w:color w:val="auto"/>
                <w:sz w:val="22"/>
                <w:szCs w:val="22"/>
                <w:highlight w:val="none"/>
                <w:u w:val="none"/>
                <w:lang w:val="en-US" w:eastAsia="zh-CN"/>
              </w:rPr>
            </w:pPr>
            <w:r>
              <w:rPr>
                <w:rFonts w:hint="eastAsia" w:ascii="仿宋" w:hAnsi="仿宋" w:eastAsia="仿宋" w:cs="仿宋"/>
                <w:b/>
                <w:bCs/>
                <w:iCs w:val="0"/>
                <w:color w:val="auto"/>
                <w:sz w:val="22"/>
                <w:szCs w:val="22"/>
                <w:highlight w:val="none"/>
                <w:u w:val="none"/>
                <w:lang w:val="en-US" w:eastAsia="zh-CN"/>
              </w:rPr>
              <w:t>（注：在框架协议采购的第二阶段，可选择使用该合同文本）</w:t>
            </w:r>
          </w:p>
          <w:p w14:paraId="73A857CA">
            <w:pPr>
              <w:pStyle w:val="247"/>
              <w:numPr>
                <w:ilvl w:val="0"/>
                <w:numId w:val="0"/>
              </w:numPr>
              <w:adjustRightInd w:val="0"/>
              <w:snapToGrid w:val="0"/>
              <w:spacing w:before="0" w:beforeLines="0" w:line="400" w:lineRule="exact"/>
              <w:ind w:firstLine="480" w:firstLineChars="200"/>
              <w:rPr>
                <w:rFonts w:hint="eastAsia" w:ascii="仿宋" w:hAnsi="仿宋" w:eastAsia="仿宋" w:cs="仿宋"/>
                <w:color w:val="auto"/>
                <w:w w:val="100"/>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 w:eastAsia="zh-CN"/>
              </w:rPr>
              <w:t>6</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w w:val="100"/>
                <w:kern w:val="2"/>
                <w:sz w:val="24"/>
                <w:szCs w:val="24"/>
                <w:highlight w:val="none"/>
                <w:lang w:val="en-US" w:eastAsia="zh-CN" w:bidi="ar-SA"/>
              </w:rPr>
              <w:t>中标采购标的制造商是否为中小企业：</w:t>
            </w:r>
            <w:r>
              <w:rPr>
                <w:rFonts w:hint="eastAsia" w:ascii="仿宋" w:hAnsi="仿宋" w:eastAsia="仿宋" w:cs="仿宋"/>
                <w:color w:val="auto"/>
                <w:w w:val="100"/>
                <w:kern w:val="2"/>
                <w:sz w:val="24"/>
                <w:szCs w:val="24"/>
                <w:highlight w:val="none"/>
                <w:lang w:val="en-US" w:eastAsia="zh-CN" w:bidi="ar-SA"/>
              </w:rPr>
              <w:sym w:font="Wingdings" w:char="00A8"/>
            </w:r>
            <w:r>
              <w:rPr>
                <w:rFonts w:hint="eastAsia" w:ascii="仿宋" w:hAnsi="仿宋" w:eastAsia="仿宋" w:cs="仿宋"/>
                <w:color w:val="auto"/>
                <w:w w:val="100"/>
                <w:kern w:val="2"/>
                <w:sz w:val="24"/>
                <w:szCs w:val="24"/>
                <w:highlight w:val="none"/>
                <w:lang w:val="en-US" w:eastAsia="zh-CN" w:bidi="ar-SA"/>
              </w:rPr>
              <w:t xml:space="preserve">是      </w:t>
            </w:r>
            <w:r>
              <w:rPr>
                <w:rFonts w:hint="eastAsia" w:ascii="仿宋" w:hAnsi="仿宋" w:eastAsia="仿宋" w:cs="仿宋"/>
                <w:color w:val="auto"/>
                <w:w w:val="100"/>
                <w:kern w:val="2"/>
                <w:sz w:val="24"/>
                <w:szCs w:val="24"/>
                <w:highlight w:val="none"/>
                <w:lang w:val="en-US" w:eastAsia="zh-CN" w:bidi="ar-SA"/>
              </w:rPr>
              <w:sym w:font="Wingdings" w:char="00A8"/>
            </w:r>
            <w:r>
              <w:rPr>
                <w:rFonts w:hint="eastAsia" w:ascii="仿宋" w:hAnsi="仿宋" w:eastAsia="仿宋" w:cs="仿宋"/>
                <w:color w:val="auto"/>
                <w:w w:val="100"/>
                <w:kern w:val="2"/>
                <w:sz w:val="24"/>
                <w:szCs w:val="24"/>
                <w:highlight w:val="none"/>
                <w:lang w:val="en-US" w:eastAsia="zh-CN" w:bidi="ar-SA"/>
              </w:rPr>
              <w:t>否</w:t>
            </w:r>
          </w:p>
          <w:p w14:paraId="63273ED8">
            <w:pPr>
              <w:numPr>
                <w:ilvl w:val="0"/>
                <w:numId w:val="0"/>
              </w:numPr>
              <w:adjustRightInd w:val="0"/>
              <w:snapToGrid w:val="0"/>
              <w:spacing w:before="0" w:beforeLines="0" w:line="400" w:lineRule="exact"/>
              <w:ind w:left="0" w:leftChars="0" w:firstLine="0" w:firstLineChars="0"/>
              <w:rPr>
                <w:rFonts w:hint="eastAsia" w:ascii="仿宋" w:hAnsi="仿宋" w:eastAsia="仿宋" w:cs="仿宋"/>
                <w:iCs/>
                <w:color w:val="auto"/>
                <w:sz w:val="24"/>
                <w:szCs w:val="24"/>
                <w:highlight w:val="none"/>
              </w:rPr>
            </w:pPr>
            <w:r>
              <w:rPr>
                <w:rFonts w:hint="eastAsia" w:ascii="仿宋" w:hAnsi="仿宋" w:eastAsia="仿宋" w:cs="仿宋"/>
                <w:color w:val="auto"/>
                <w:w w:val="100"/>
                <w:sz w:val="24"/>
                <w:szCs w:val="24"/>
                <w:highlight w:val="none"/>
                <w:lang w:val="en-US" w:eastAsia="zh-CN"/>
              </w:rPr>
              <w:t>本合同</w:t>
            </w:r>
            <w:r>
              <w:rPr>
                <w:rFonts w:hint="eastAsia" w:ascii="仿宋" w:hAnsi="仿宋" w:eastAsia="仿宋" w:cs="仿宋"/>
                <w:color w:val="auto"/>
                <w:w w:val="100"/>
                <w:sz w:val="24"/>
                <w:szCs w:val="24"/>
                <w:highlight w:val="none"/>
              </w:rPr>
              <w:t>是否</w:t>
            </w:r>
            <w:r>
              <w:rPr>
                <w:rFonts w:hint="eastAsia" w:ascii="仿宋" w:hAnsi="仿宋" w:eastAsia="仿宋" w:cs="仿宋"/>
                <w:color w:val="auto"/>
                <w:w w:val="100"/>
                <w:sz w:val="24"/>
                <w:szCs w:val="24"/>
                <w:highlight w:val="none"/>
                <w:lang w:eastAsia="zh-CN"/>
              </w:rPr>
              <w:t>为专门面向</w:t>
            </w:r>
            <w:r>
              <w:rPr>
                <w:rFonts w:hint="eastAsia" w:ascii="仿宋" w:hAnsi="仿宋" w:eastAsia="仿宋" w:cs="仿宋"/>
                <w:color w:val="auto"/>
                <w:w w:val="100"/>
                <w:sz w:val="24"/>
                <w:szCs w:val="24"/>
                <w:highlight w:val="none"/>
              </w:rPr>
              <w:t>中小企业</w:t>
            </w:r>
            <w:r>
              <w:rPr>
                <w:rFonts w:hint="eastAsia" w:ascii="仿宋" w:hAnsi="仿宋" w:eastAsia="仿宋" w:cs="仿宋"/>
                <w:color w:val="auto"/>
                <w:w w:val="100"/>
                <w:sz w:val="24"/>
                <w:szCs w:val="24"/>
                <w:highlight w:val="none"/>
                <w:lang w:eastAsia="zh-CN"/>
              </w:rPr>
              <w:t>的采</w:t>
            </w:r>
            <w:r>
              <w:rPr>
                <w:rFonts w:hint="eastAsia" w:ascii="仿宋" w:hAnsi="仿宋" w:eastAsia="仿宋" w:cs="仿宋"/>
                <w:color w:val="auto"/>
                <w:w w:val="100"/>
                <w:sz w:val="24"/>
                <w:szCs w:val="24"/>
                <w:highlight w:val="none"/>
                <w:shd w:val="clear" w:color="auto" w:fill="auto"/>
                <w:lang w:eastAsia="zh-CN"/>
              </w:rPr>
              <w:t>购</w:t>
            </w:r>
            <w:r>
              <w:rPr>
                <w:rFonts w:hint="eastAsia" w:ascii="仿宋" w:hAnsi="仿宋" w:eastAsia="仿宋" w:cs="仿宋"/>
                <w:color w:val="auto"/>
                <w:w w:val="100"/>
                <w:sz w:val="24"/>
                <w:szCs w:val="24"/>
                <w:highlight w:val="none"/>
                <w:shd w:val="clear" w:color="auto" w:fill="auto"/>
              </w:rPr>
              <w:t>合同</w:t>
            </w:r>
            <w:r>
              <w:rPr>
                <w:rFonts w:hint="eastAsia" w:ascii="仿宋" w:hAnsi="仿宋" w:eastAsia="仿宋" w:cs="仿宋"/>
                <w:color w:val="auto"/>
                <w:w w:val="100"/>
                <w:sz w:val="24"/>
                <w:szCs w:val="24"/>
                <w:highlight w:val="none"/>
                <w:shd w:val="clear" w:color="auto" w:fill="auto"/>
                <w:lang w:eastAsia="zh-CN"/>
              </w:rPr>
              <w:t>（中小企业预留合同）</w:t>
            </w:r>
            <w:r>
              <w:rPr>
                <w:rFonts w:hint="eastAsia" w:ascii="仿宋" w:hAnsi="仿宋" w:eastAsia="仿宋" w:cs="仿宋"/>
                <w:color w:val="auto"/>
                <w:sz w:val="24"/>
                <w:szCs w:val="24"/>
                <w:highlight w:val="none"/>
                <w:shd w:val="clear" w:color="auto" w:fill="auto"/>
              </w:rPr>
              <w:t>：</w:t>
            </w:r>
            <w:r>
              <w:rPr>
                <w:rFonts w:hint="eastAsia" w:ascii="仿宋" w:hAnsi="仿宋" w:eastAsia="仿宋" w:cs="仿宋"/>
                <w:iCs/>
                <w:color w:val="auto"/>
                <w:sz w:val="24"/>
                <w:szCs w:val="24"/>
                <w:highlight w:val="none"/>
              </w:rPr>
              <w:sym w:font="Wingdings" w:char="00FE"/>
            </w:r>
            <w:r>
              <w:rPr>
                <w:rFonts w:hint="eastAsia" w:ascii="仿宋" w:hAnsi="仿宋" w:eastAsia="仿宋" w:cs="仿宋"/>
                <w:iCs/>
                <w:color w:val="auto"/>
                <w:sz w:val="24"/>
                <w:szCs w:val="24"/>
                <w:highlight w:val="none"/>
              </w:rPr>
              <w:t xml:space="preserve">是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否</w:t>
            </w:r>
          </w:p>
          <w:p w14:paraId="59518021">
            <w:pPr>
              <w:numPr>
                <w:ilvl w:val="0"/>
                <w:numId w:val="0"/>
              </w:numPr>
              <w:adjustRightInd w:val="0"/>
              <w:snapToGrid w:val="0"/>
              <w:spacing w:before="0" w:beforeLines="0" w:line="400" w:lineRule="exact"/>
              <w:ind w:firstLine="0" w:firstLineChars="0"/>
              <w:rPr>
                <w:rFonts w:hint="eastAsia" w:ascii="仿宋" w:hAnsi="仿宋" w:eastAsia="仿宋" w:cs="仿宋"/>
                <w:iCs/>
                <w:color w:val="auto"/>
                <w:sz w:val="24"/>
                <w:szCs w:val="24"/>
                <w:highlight w:val="none"/>
              </w:rPr>
            </w:pPr>
            <w:r>
              <w:rPr>
                <w:rFonts w:hint="eastAsia" w:ascii="仿宋" w:hAnsi="仿宋" w:eastAsia="仿宋" w:cs="仿宋"/>
                <w:color w:val="auto"/>
                <w:sz w:val="24"/>
                <w:szCs w:val="24"/>
                <w:highlight w:val="none"/>
                <w:lang w:val="en-US" w:eastAsia="zh-CN"/>
              </w:rPr>
              <w:t>若本项目不专门面向中小企业采购，是否给予小微企业评审优惠：</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 xml:space="preserve">是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否</w:t>
            </w:r>
          </w:p>
          <w:p w14:paraId="786218C7">
            <w:pPr>
              <w:numPr>
                <w:ilvl w:val="0"/>
                <w:numId w:val="0"/>
              </w:numPr>
              <w:adjustRightInd w:val="0"/>
              <w:snapToGrid w:val="0"/>
              <w:spacing w:before="0" w:beforeLines="0" w:line="400" w:lineRule="exact"/>
              <w:ind w:firstLine="0" w:firstLineChars="0"/>
              <w:rPr>
                <w:rFonts w:hint="eastAsia" w:ascii="仿宋" w:hAnsi="仿宋" w:eastAsia="仿宋" w:cs="仿宋"/>
                <w:iCs/>
                <w:color w:val="auto"/>
                <w:sz w:val="24"/>
                <w:szCs w:val="24"/>
                <w:highlight w:val="none"/>
              </w:rPr>
            </w:pPr>
            <w:r>
              <w:rPr>
                <w:rFonts w:hint="eastAsia" w:ascii="仿宋" w:hAnsi="仿宋" w:eastAsia="仿宋" w:cs="仿宋"/>
                <w:color w:val="auto"/>
                <w:sz w:val="24"/>
                <w:szCs w:val="24"/>
                <w:highlight w:val="none"/>
                <w:lang w:val="en-US" w:eastAsia="zh-CN"/>
              </w:rPr>
              <w:t>中标（成交）采购标的制造商是否为残疾人福利性单位：</w:t>
            </w:r>
            <w:r>
              <w:rPr>
                <w:rFonts w:hint="eastAsia" w:ascii="仿宋" w:hAnsi="仿宋" w:eastAsia="仿宋" w:cs="仿宋"/>
                <w:iCs/>
                <w:color w:val="auto"/>
                <w:sz w:val="24"/>
                <w:szCs w:val="24"/>
                <w:highlight w:val="none"/>
              </w:rPr>
              <w:sym w:font="Wingdings" w:char="00FE"/>
            </w:r>
            <w:r>
              <w:rPr>
                <w:rFonts w:hint="eastAsia" w:ascii="仿宋" w:hAnsi="仿宋" w:eastAsia="仿宋" w:cs="仿宋"/>
                <w:iCs/>
                <w:color w:val="auto"/>
                <w:sz w:val="24"/>
                <w:szCs w:val="24"/>
                <w:highlight w:val="none"/>
              </w:rPr>
              <w:t xml:space="preserve">是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否</w:t>
            </w:r>
          </w:p>
          <w:p w14:paraId="3BFA6A58">
            <w:pPr>
              <w:numPr>
                <w:ilvl w:val="0"/>
                <w:numId w:val="0"/>
              </w:numPr>
              <w:snapToGrid w:val="0"/>
              <w:spacing w:beforeLines="0" w:line="400" w:lineRule="exact"/>
              <w:ind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中标（成交）采购标的制造商是否为监狱企业：</w:t>
            </w:r>
            <w:r>
              <w:rPr>
                <w:rFonts w:hint="eastAsia" w:ascii="仿宋" w:hAnsi="仿宋" w:eastAsia="仿宋" w:cs="仿宋"/>
                <w:iCs/>
                <w:color w:val="auto"/>
                <w:sz w:val="24"/>
                <w:szCs w:val="24"/>
                <w:highlight w:val="none"/>
              </w:rPr>
              <w:sym w:font="Wingdings" w:char="00FE"/>
            </w:r>
            <w:r>
              <w:rPr>
                <w:rFonts w:hint="eastAsia" w:ascii="仿宋" w:hAnsi="仿宋" w:eastAsia="仿宋" w:cs="仿宋"/>
                <w:iCs/>
                <w:color w:val="auto"/>
                <w:sz w:val="24"/>
                <w:szCs w:val="24"/>
                <w:highlight w:val="none"/>
              </w:rPr>
              <w:t xml:space="preserve">是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否</w:t>
            </w:r>
          </w:p>
          <w:p w14:paraId="77E6540A">
            <w:pPr>
              <w:adjustRightInd w:val="0"/>
              <w:snapToGrid w:val="0"/>
              <w:spacing w:before="0" w:beforeLines="0"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 w:eastAsia="zh-CN"/>
              </w:rPr>
              <w:t>7</w:t>
            </w:r>
            <w:r>
              <w:rPr>
                <w:rFonts w:hint="eastAsia" w:ascii="仿宋" w:hAnsi="仿宋" w:eastAsia="仿宋" w:cs="仿宋"/>
                <w:color w:val="auto"/>
                <w:sz w:val="24"/>
                <w:szCs w:val="24"/>
                <w:highlight w:val="none"/>
              </w:rPr>
              <w:t>）合同是否分包：</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 xml:space="preserve">是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否</w:t>
            </w:r>
          </w:p>
          <w:p w14:paraId="062270E1">
            <w:pPr>
              <w:adjustRightInd w:val="0"/>
              <w:snapToGrid w:val="0"/>
              <w:spacing w:before="0" w:beforeLines="0" w:line="400" w:lineRule="exact"/>
              <w:ind w:firstLine="960" w:firstLineChars="4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分包主要内容：</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3DFB59D5">
            <w:pPr>
              <w:adjustRightInd w:val="0"/>
              <w:snapToGrid w:val="0"/>
              <w:spacing w:before="0" w:beforeLines="0" w:line="400" w:lineRule="exact"/>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szCs w:val="24"/>
                <w:highlight w:val="none"/>
              </w:rPr>
              <w:t>分包</w:t>
            </w:r>
            <w:r>
              <w:rPr>
                <w:rFonts w:hint="eastAsia" w:ascii="仿宋" w:hAnsi="仿宋" w:eastAsia="仿宋" w:cs="仿宋"/>
                <w:color w:val="auto"/>
                <w:sz w:val="24"/>
                <w:szCs w:val="24"/>
                <w:highlight w:val="none"/>
                <w:lang w:eastAsia="zh-CN"/>
              </w:rPr>
              <w:t>投标人/制造商</w:t>
            </w:r>
            <w:r>
              <w:rPr>
                <w:rFonts w:hint="eastAsia" w:ascii="仿宋" w:hAnsi="仿宋" w:eastAsia="仿宋" w:cs="仿宋"/>
                <w:color w:val="auto"/>
                <w:sz w:val="24"/>
                <w:szCs w:val="24"/>
                <w:highlight w:val="none"/>
              </w:rPr>
              <w:t>名称</w:t>
            </w:r>
            <w:r>
              <w:rPr>
                <w:rFonts w:hint="eastAsia" w:ascii="仿宋" w:hAnsi="仿宋" w:eastAsia="仿宋" w:cs="仿宋"/>
                <w:color w:val="auto"/>
                <w:sz w:val="24"/>
                <w:szCs w:val="24"/>
                <w:highlight w:val="none"/>
                <w:lang w:eastAsia="zh-CN"/>
              </w:rPr>
              <w:t>（如投标人和制造商不同，请分别填写）</w:t>
            </w:r>
            <w:r>
              <w:rPr>
                <w:rFonts w:hint="eastAsia" w:ascii="仿宋" w:hAnsi="仿宋" w:eastAsia="仿宋" w:cs="仿宋"/>
                <w:color w:val="auto"/>
                <w:sz w:val="24"/>
                <w:szCs w:val="24"/>
                <w:highlight w:val="none"/>
              </w:rPr>
              <w:t>：</w:t>
            </w:r>
          </w:p>
          <w:p w14:paraId="0D697BBD">
            <w:pPr>
              <w:adjustRightInd w:val="0"/>
              <w:snapToGrid w:val="0"/>
              <w:spacing w:before="0" w:beforeLines="0" w:line="400" w:lineRule="exact"/>
              <w:ind w:firstLine="960" w:firstLineChars="4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non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p>
          <w:p w14:paraId="2D7EECA9">
            <w:pPr>
              <w:adjustRightInd w:val="0"/>
              <w:snapToGrid w:val="0"/>
              <w:spacing w:before="0" w:beforeLines="0" w:line="400" w:lineRule="exact"/>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分包</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eastAsia="zh-CN"/>
              </w:rPr>
              <w:t>制造商</w:t>
            </w:r>
            <w:r>
              <w:rPr>
                <w:rFonts w:hint="eastAsia" w:ascii="仿宋" w:hAnsi="仿宋" w:eastAsia="仿宋" w:cs="仿宋"/>
                <w:color w:val="auto"/>
                <w:sz w:val="24"/>
                <w:szCs w:val="24"/>
                <w:highlight w:val="none"/>
              </w:rPr>
              <w:t>类型</w:t>
            </w:r>
            <w:r>
              <w:rPr>
                <w:rFonts w:hint="eastAsia" w:ascii="仿宋" w:hAnsi="仿宋" w:eastAsia="仿宋" w:cs="仿宋"/>
                <w:color w:val="auto"/>
                <w:sz w:val="24"/>
                <w:szCs w:val="24"/>
                <w:highlight w:val="none"/>
                <w:lang w:eastAsia="zh-CN"/>
              </w:rPr>
              <w:t>（如果投标人和制造商不同，只填写制造商类型）</w:t>
            </w:r>
            <w:r>
              <w:rPr>
                <w:rFonts w:hint="eastAsia" w:ascii="仿宋" w:hAnsi="仿宋" w:eastAsia="仿宋" w:cs="仿宋"/>
                <w:color w:val="auto"/>
                <w:sz w:val="24"/>
                <w:szCs w:val="24"/>
                <w:highlight w:val="none"/>
              </w:rPr>
              <w:t>：</w:t>
            </w:r>
          </w:p>
          <w:p w14:paraId="79C601FB">
            <w:pPr>
              <w:adjustRightInd w:val="0"/>
              <w:snapToGrid w:val="0"/>
              <w:spacing w:beforeLines="0" w:line="400" w:lineRule="exact"/>
              <w:ind w:firstLine="960" w:firstLineChars="400"/>
              <w:rPr>
                <w:rFonts w:hint="eastAsia" w:ascii="仿宋" w:hAnsi="仿宋" w:eastAsia="仿宋" w:cs="仿宋"/>
                <w:iCs/>
                <w:color w:val="auto"/>
                <w:sz w:val="24"/>
                <w:szCs w:val="24"/>
                <w:highlight w:val="none"/>
                <w:lang w:val="en-US" w:eastAsia="zh-CN"/>
              </w:rPr>
            </w:pPr>
            <w:r>
              <w:rPr>
                <w:rFonts w:hint="eastAsia" w:ascii="仿宋" w:hAnsi="仿宋" w:eastAsia="仿宋" w:cs="仿宋"/>
                <w:iCs/>
                <w:color w:val="auto"/>
                <w:sz w:val="24"/>
                <w:szCs w:val="24"/>
                <w:highlight w:val="none"/>
                <w:lang w:val="en-US" w:eastAsia="zh-CN"/>
              </w:rPr>
              <w:t xml:space="preserve">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 xml:space="preserve">大型企业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 xml:space="preserve">中型企业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小微型企业</w:t>
            </w:r>
            <w:r>
              <w:rPr>
                <w:rFonts w:hint="eastAsia" w:ascii="仿宋" w:hAnsi="仿宋" w:eastAsia="仿宋" w:cs="仿宋"/>
                <w:iCs/>
                <w:color w:val="auto"/>
                <w:sz w:val="24"/>
                <w:szCs w:val="24"/>
                <w:highlight w:val="none"/>
                <w:lang w:val="en-US" w:eastAsia="zh-CN"/>
              </w:rPr>
              <w:t xml:space="preserve">  </w:t>
            </w:r>
          </w:p>
          <w:p w14:paraId="66915C8E">
            <w:pPr>
              <w:adjustRightInd w:val="0"/>
              <w:snapToGrid w:val="0"/>
              <w:spacing w:beforeLines="0" w:line="400" w:lineRule="exact"/>
              <w:ind w:firstLine="960" w:firstLineChars="400"/>
              <w:rPr>
                <w:rFonts w:hint="eastAsia" w:ascii="仿宋" w:hAnsi="仿宋" w:eastAsia="仿宋" w:cs="仿宋"/>
                <w:color w:val="auto"/>
                <w:sz w:val="24"/>
                <w:szCs w:val="24"/>
                <w:highlight w:val="none"/>
                <w:u w:val="none"/>
                <w:lang w:val="en-US" w:eastAsia="zh-CN"/>
              </w:rPr>
            </w:pPr>
            <w:r>
              <w:rPr>
                <w:rFonts w:hint="eastAsia" w:ascii="仿宋" w:hAnsi="仿宋" w:eastAsia="仿宋" w:cs="仿宋"/>
                <w:iCs/>
                <w:color w:val="auto"/>
                <w:sz w:val="24"/>
                <w:szCs w:val="24"/>
                <w:highlight w:val="none"/>
                <w:lang w:val="en-US" w:eastAsia="zh-CN"/>
              </w:rPr>
              <w:t xml:space="preserve">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lang w:eastAsia="zh-CN"/>
              </w:rPr>
              <w:t>残疾人福利性单位</w:t>
            </w:r>
            <w:r>
              <w:rPr>
                <w:rFonts w:hint="eastAsia" w:ascii="仿宋" w:hAnsi="仿宋" w:eastAsia="仿宋" w:cs="仿宋"/>
                <w:iCs/>
                <w:color w:val="auto"/>
                <w:sz w:val="24"/>
                <w:szCs w:val="24"/>
                <w:highlight w:val="none"/>
                <w:lang w:val="en-US" w:eastAsia="zh-CN"/>
              </w:rPr>
              <w:t xml:space="preserve">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lang w:eastAsia="zh-CN"/>
              </w:rPr>
              <w:t>监狱</w:t>
            </w:r>
            <w:r>
              <w:rPr>
                <w:rFonts w:hint="eastAsia" w:ascii="仿宋" w:hAnsi="仿宋" w:eastAsia="仿宋" w:cs="仿宋"/>
                <w:iCs/>
                <w:color w:val="auto"/>
                <w:sz w:val="24"/>
                <w:szCs w:val="24"/>
                <w:highlight w:val="none"/>
              </w:rPr>
              <w:t>企业</w:t>
            </w:r>
            <w:r>
              <w:rPr>
                <w:rFonts w:hint="eastAsia" w:ascii="仿宋" w:hAnsi="仿宋" w:eastAsia="仿宋" w:cs="仿宋"/>
                <w:iCs/>
                <w:color w:val="auto"/>
                <w:sz w:val="24"/>
                <w:szCs w:val="24"/>
                <w:highlight w:val="none"/>
                <w:lang w:val="en-US" w:eastAsia="zh-CN"/>
              </w:rPr>
              <w:t xml:space="preserve">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lang w:eastAsia="zh-CN"/>
              </w:rPr>
              <w:t>其他</w:t>
            </w:r>
          </w:p>
          <w:p w14:paraId="4242AED2">
            <w:pPr>
              <w:numPr>
                <w:ilvl w:val="0"/>
                <w:numId w:val="0"/>
              </w:numPr>
              <w:adjustRightInd w:val="0"/>
              <w:snapToGrid w:val="0"/>
              <w:spacing w:before="0" w:beforeLines="0" w:line="400" w:lineRule="exact"/>
              <w:ind w:left="0" w:leftChars="0" w:firstLine="0" w:firstLineChars="0"/>
              <w:rPr>
                <w:rFonts w:hint="eastAsia" w:ascii="仿宋" w:hAnsi="仿宋" w:eastAsia="仿宋" w:cs="仿宋"/>
                <w:iCs/>
                <w:color w:val="auto"/>
                <w:sz w:val="24"/>
                <w:szCs w:val="24"/>
                <w:highlight w:val="none"/>
              </w:rPr>
            </w:pP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szCs w:val="24"/>
                <w:highlight w:val="none"/>
                <w:u w:val="none"/>
                <w:lang w:val="en" w:eastAsia="zh-CN"/>
              </w:rPr>
              <w:t>8</w:t>
            </w:r>
            <w:r>
              <w:rPr>
                <w:rFonts w:hint="eastAsia" w:ascii="仿宋" w:hAnsi="仿宋" w:eastAsia="仿宋" w:cs="仿宋"/>
                <w:color w:val="auto"/>
                <w:sz w:val="24"/>
                <w:szCs w:val="24"/>
                <w:highlight w:val="none"/>
                <w:u w:val="none"/>
                <w:lang w:val="en-US" w:eastAsia="zh-CN"/>
              </w:rPr>
              <w:t>）中标（成交）投标人是否为外商投资企业：</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 xml:space="preserve">是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否</w:t>
            </w:r>
          </w:p>
          <w:p w14:paraId="5423C459">
            <w:pPr>
              <w:pStyle w:val="247"/>
              <w:tabs>
                <w:tab w:val="left" w:pos="1340"/>
              </w:tabs>
              <w:spacing w:beforeLines="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none"/>
                <w:lang w:val="en-US" w:eastAsia="zh-CN"/>
              </w:rPr>
              <w:t xml:space="preserve">     外商投资企业类型：</w:t>
            </w:r>
            <w:r>
              <w:rPr>
                <w:rFonts w:hint="eastAsia" w:ascii="仿宋" w:hAnsi="仿宋" w:eastAsia="仿宋" w:cs="仿宋"/>
                <w:iCs/>
                <w:color w:val="auto"/>
                <w:sz w:val="24"/>
                <w:szCs w:val="24"/>
                <w:highlight w:val="none"/>
              </w:rPr>
              <w:sym w:font="Wingdings" w:char="00A8"/>
            </w:r>
            <w:r>
              <w:rPr>
                <w:rFonts w:hint="eastAsia" w:ascii="仿宋" w:hAnsi="仿宋" w:eastAsia="仿宋" w:cs="仿宋"/>
                <w:color w:val="auto"/>
                <w:sz w:val="24"/>
                <w:szCs w:val="24"/>
                <w:highlight w:val="none"/>
                <w:u w:val="none"/>
                <w:lang w:val="en-US" w:eastAsia="zh-CN"/>
              </w:rPr>
              <w:t xml:space="preserve">全部由外国投资者投资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lang w:val="en-US" w:eastAsia="zh-CN"/>
              </w:rPr>
              <w:t>部分由外国投资者投资</w:t>
            </w:r>
          </w:p>
          <w:p w14:paraId="5130B36C">
            <w:pPr>
              <w:numPr>
                <w:ilvl w:val="0"/>
                <w:numId w:val="0"/>
              </w:numPr>
              <w:adjustRightInd w:val="0"/>
              <w:snapToGrid w:val="0"/>
              <w:spacing w:before="0" w:beforeLines="0" w:line="400" w:lineRule="exact"/>
              <w:ind w:firstLine="480" w:firstLineChars="200"/>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w:t>
            </w:r>
            <w:r>
              <w:rPr>
                <w:rFonts w:hint="eastAsia" w:ascii="仿宋" w:hAnsi="仿宋" w:eastAsia="仿宋" w:cs="仿宋"/>
                <w:b w:val="0"/>
                <w:bCs w:val="0"/>
                <w:color w:val="auto"/>
                <w:sz w:val="24"/>
                <w:szCs w:val="24"/>
                <w:highlight w:val="none"/>
                <w:u w:val="none"/>
                <w:lang w:val="en" w:eastAsia="zh-CN"/>
              </w:rPr>
              <w:t>9</w:t>
            </w:r>
            <w:r>
              <w:rPr>
                <w:rFonts w:hint="eastAsia" w:ascii="仿宋" w:hAnsi="仿宋" w:eastAsia="仿宋" w:cs="仿宋"/>
                <w:b w:val="0"/>
                <w:bCs w:val="0"/>
                <w:color w:val="auto"/>
                <w:sz w:val="24"/>
                <w:szCs w:val="24"/>
                <w:highlight w:val="none"/>
                <w:u w:val="none"/>
                <w:lang w:val="en-US" w:eastAsia="zh-CN"/>
              </w:rPr>
              <w:t>）是否涉及进口产品：</w:t>
            </w:r>
          </w:p>
          <w:p w14:paraId="01C81122">
            <w:pPr>
              <w:numPr>
                <w:ilvl w:val="0"/>
                <w:numId w:val="0"/>
              </w:numPr>
              <w:adjustRightInd w:val="0"/>
              <w:snapToGrid w:val="0"/>
              <w:spacing w:before="0" w:beforeLines="0" w:line="400" w:lineRule="exact"/>
              <w:ind w:firstLine="960" w:firstLineChars="400"/>
              <w:rPr>
                <w:rFonts w:hint="eastAsia" w:ascii="仿宋" w:hAnsi="仿宋" w:eastAsia="仿宋" w:cs="仿宋"/>
                <w:color w:val="auto"/>
                <w:sz w:val="24"/>
                <w:szCs w:val="24"/>
                <w:highlight w:val="none"/>
                <w:u w:val="single"/>
                <w:lang w:val="en-US" w:eastAsia="zh-CN"/>
              </w:rPr>
            </w:pPr>
            <w:r>
              <w:rPr>
                <w:rFonts w:hint="eastAsia" w:ascii="仿宋" w:hAnsi="仿宋" w:eastAsia="仿宋" w:cs="仿宋"/>
                <w:iCs w:val="0"/>
                <w:color w:val="auto"/>
                <w:sz w:val="24"/>
                <w:szCs w:val="24"/>
                <w:highlight w:val="none"/>
                <w:lang w:val="en-US" w:eastAsia="zh-CN"/>
              </w:rPr>
              <w:t xml:space="preserve"> </w:t>
            </w:r>
            <w:r>
              <w:rPr>
                <w:rFonts w:hint="eastAsia" w:ascii="仿宋" w:hAnsi="仿宋" w:eastAsia="仿宋" w:cs="仿宋"/>
                <w:iCs w:val="0"/>
                <w:color w:val="auto"/>
                <w:sz w:val="24"/>
                <w:szCs w:val="24"/>
                <w:highlight w:val="none"/>
              </w:rPr>
              <w:sym w:font="Wingdings" w:char="00A8"/>
            </w:r>
            <w:r>
              <w:rPr>
                <w:rFonts w:hint="eastAsia" w:ascii="仿宋" w:hAnsi="仿宋" w:eastAsia="仿宋" w:cs="仿宋"/>
                <w:iCs w:val="0"/>
                <w:color w:val="auto"/>
                <w:sz w:val="24"/>
                <w:szCs w:val="24"/>
                <w:highlight w:val="none"/>
              </w:rPr>
              <w:t>是</w:t>
            </w:r>
            <w:r>
              <w:rPr>
                <w:rFonts w:hint="eastAsia" w:ascii="仿宋" w:hAnsi="仿宋" w:eastAsia="仿宋" w:cs="仿宋"/>
                <w:iCs w:val="0"/>
                <w:color w:val="auto"/>
                <w:sz w:val="24"/>
                <w:szCs w:val="24"/>
                <w:highlight w:val="none"/>
                <w:lang w:eastAsia="zh-CN"/>
              </w:rPr>
              <w:t>，《政府采购品目分类目录》底级品目名称</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 xml:space="preserve"> 金额：</w:t>
            </w:r>
            <w:r>
              <w:rPr>
                <w:rFonts w:hint="eastAsia" w:ascii="仿宋" w:hAnsi="仿宋" w:eastAsia="仿宋" w:cs="仿宋"/>
                <w:color w:val="auto"/>
                <w:sz w:val="24"/>
                <w:szCs w:val="24"/>
                <w:highlight w:val="none"/>
                <w:u w:val="single"/>
                <w:lang w:val="en-US" w:eastAsia="zh-CN"/>
              </w:rPr>
              <w:t xml:space="preserve">        </w:t>
            </w:r>
          </w:p>
          <w:p w14:paraId="78BEFCCC">
            <w:pPr>
              <w:numPr>
                <w:ilvl w:val="0"/>
                <w:numId w:val="0"/>
              </w:numPr>
              <w:adjustRightInd w:val="0"/>
              <w:snapToGrid w:val="0"/>
              <w:spacing w:before="0" w:beforeLines="0" w:line="400" w:lineRule="exact"/>
              <w:ind w:firstLine="960" w:firstLineChars="400"/>
              <w:rPr>
                <w:rFonts w:hint="eastAsia" w:ascii="仿宋" w:hAnsi="仿宋" w:eastAsia="仿宋" w:cs="仿宋"/>
                <w:iCs w:val="0"/>
                <w:color w:val="auto"/>
                <w:sz w:val="24"/>
                <w:szCs w:val="24"/>
                <w:highlight w:val="none"/>
              </w:rPr>
            </w:pPr>
            <w:r>
              <w:rPr>
                <w:rFonts w:hint="eastAsia" w:ascii="仿宋" w:hAnsi="仿宋" w:eastAsia="仿宋" w:cs="仿宋"/>
                <w:color w:val="auto"/>
                <w:sz w:val="24"/>
                <w:szCs w:val="24"/>
                <w:highlight w:val="none"/>
                <w:lang w:val="en-US" w:eastAsia="zh-CN"/>
              </w:rPr>
              <w:t xml:space="preserve">        国别：</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 xml:space="preserve"> 品牌：</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 xml:space="preserve"> 规格型号：</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iCs w:val="0"/>
                <w:color w:val="auto"/>
                <w:sz w:val="24"/>
                <w:szCs w:val="24"/>
                <w:highlight w:val="none"/>
              </w:rPr>
              <w:t xml:space="preserve">      </w:t>
            </w:r>
          </w:p>
          <w:p w14:paraId="73CB40AB">
            <w:pPr>
              <w:adjustRightInd w:val="0"/>
              <w:snapToGrid w:val="0"/>
              <w:spacing w:before="0" w:beforeLines="0" w:line="400" w:lineRule="exact"/>
              <w:ind w:firstLine="960" w:firstLineChars="400"/>
              <w:rPr>
                <w:rFonts w:hint="eastAsia" w:ascii="仿宋" w:hAnsi="仿宋" w:eastAsia="仿宋" w:cs="仿宋"/>
                <w:color w:val="auto"/>
                <w:sz w:val="24"/>
                <w:szCs w:val="24"/>
                <w:highlight w:val="none"/>
                <w:u w:val="none"/>
                <w:lang w:val="en-US" w:eastAsia="zh-CN"/>
              </w:rPr>
            </w:pPr>
            <w:r>
              <w:rPr>
                <w:rFonts w:hint="eastAsia" w:ascii="仿宋" w:hAnsi="仿宋" w:eastAsia="仿宋" w:cs="仿宋"/>
                <w:iCs w:val="0"/>
                <w:color w:val="auto"/>
                <w:sz w:val="24"/>
                <w:szCs w:val="24"/>
                <w:highlight w:val="none"/>
                <w:lang w:val="en-US" w:eastAsia="zh-CN"/>
              </w:rPr>
              <w:t xml:space="preserve"> </w:t>
            </w:r>
            <w:r>
              <w:rPr>
                <w:rFonts w:hint="eastAsia" w:ascii="仿宋" w:hAnsi="仿宋" w:eastAsia="仿宋" w:cs="仿宋"/>
                <w:iCs w:val="0"/>
                <w:color w:val="auto"/>
                <w:sz w:val="24"/>
                <w:szCs w:val="24"/>
                <w:highlight w:val="none"/>
              </w:rPr>
              <w:sym w:font="Wingdings" w:char="00A8"/>
            </w:r>
            <w:r>
              <w:rPr>
                <w:rFonts w:hint="eastAsia" w:ascii="仿宋" w:hAnsi="仿宋" w:eastAsia="仿宋" w:cs="仿宋"/>
                <w:iCs w:val="0"/>
                <w:color w:val="auto"/>
                <w:sz w:val="24"/>
                <w:szCs w:val="24"/>
                <w:highlight w:val="none"/>
                <w:lang w:eastAsia="zh-CN"/>
              </w:rPr>
              <w:t>否</w:t>
            </w:r>
          </w:p>
          <w:p w14:paraId="0342C7E2">
            <w:pPr>
              <w:numPr>
                <w:ilvl w:val="0"/>
                <w:numId w:val="0"/>
              </w:numPr>
              <w:tabs>
                <w:tab w:val="left" w:pos="740"/>
              </w:tabs>
              <w:adjustRightInd w:val="0"/>
              <w:snapToGrid w:val="0"/>
              <w:spacing w:before="0" w:beforeLines="0" w:line="400" w:lineRule="exact"/>
              <w:ind w:left="0" w:firstLine="0" w:firstLineChars="0"/>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 xml:space="preserve">    （1</w:t>
            </w:r>
            <w:r>
              <w:rPr>
                <w:rFonts w:hint="eastAsia" w:ascii="仿宋" w:hAnsi="仿宋" w:eastAsia="仿宋" w:cs="仿宋"/>
                <w:b w:val="0"/>
                <w:bCs w:val="0"/>
                <w:color w:val="auto"/>
                <w:sz w:val="24"/>
                <w:szCs w:val="24"/>
                <w:highlight w:val="none"/>
                <w:u w:val="none"/>
                <w:lang w:val="en" w:eastAsia="zh-CN"/>
              </w:rPr>
              <w:t>0</w:t>
            </w:r>
            <w:r>
              <w:rPr>
                <w:rFonts w:hint="eastAsia" w:ascii="仿宋" w:hAnsi="仿宋" w:eastAsia="仿宋" w:cs="仿宋"/>
                <w:b w:val="0"/>
                <w:bCs w:val="0"/>
                <w:color w:val="auto"/>
                <w:sz w:val="24"/>
                <w:szCs w:val="24"/>
                <w:highlight w:val="none"/>
                <w:u w:val="none"/>
                <w:lang w:val="en-US" w:eastAsia="zh-CN"/>
              </w:rPr>
              <w:t>）是否涉及节能产品：</w:t>
            </w:r>
          </w:p>
          <w:p w14:paraId="6D3FF310">
            <w:pPr>
              <w:numPr>
                <w:ilvl w:val="0"/>
                <w:numId w:val="0"/>
              </w:numPr>
              <w:tabs>
                <w:tab w:val="left" w:pos="740"/>
              </w:tabs>
              <w:adjustRightInd w:val="0"/>
              <w:snapToGrid w:val="0"/>
              <w:spacing w:before="0" w:beforeLines="0" w:line="400" w:lineRule="exact"/>
              <w:ind w:firstLine="0" w:firstLineChars="0"/>
              <w:rPr>
                <w:rFonts w:hint="eastAsia" w:ascii="仿宋" w:hAnsi="仿宋" w:eastAsia="仿宋" w:cs="仿宋"/>
                <w:iCs/>
                <w:color w:val="auto"/>
                <w:sz w:val="24"/>
                <w:szCs w:val="24"/>
                <w:highlight w:val="none"/>
                <w:lang w:val="en-US" w:eastAsia="zh-CN"/>
              </w:rPr>
            </w:pPr>
            <w:r>
              <w:rPr>
                <w:rFonts w:hint="eastAsia" w:ascii="仿宋" w:hAnsi="仿宋" w:eastAsia="仿宋" w:cs="仿宋"/>
                <w:b w:val="0"/>
                <w:bCs w:val="0"/>
                <w:color w:val="auto"/>
                <w:sz w:val="24"/>
                <w:szCs w:val="24"/>
                <w:highlight w:val="none"/>
                <w:u w:val="none"/>
                <w:lang w:val="en-US" w:eastAsia="zh-CN"/>
              </w:rPr>
              <w:t xml:space="preserve">         </w:t>
            </w:r>
            <w:r>
              <w:rPr>
                <w:rFonts w:hint="eastAsia" w:ascii="仿宋" w:hAnsi="仿宋" w:eastAsia="仿宋" w:cs="仿宋"/>
                <w:iCs w:val="0"/>
                <w:color w:val="auto"/>
                <w:sz w:val="24"/>
                <w:szCs w:val="24"/>
                <w:highlight w:val="none"/>
              </w:rPr>
              <w:sym w:font="Wingdings" w:char="00A8"/>
            </w:r>
            <w:r>
              <w:rPr>
                <w:rFonts w:hint="eastAsia" w:ascii="仿宋" w:hAnsi="仿宋" w:eastAsia="仿宋" w:cs="仿宋"/>
                <w:iCs w:val="0"/>
                <w:color w:val="auto"/>
                <w:sz w:val="24"/>
                <w:szCs w:val="24"/>
                <w:highlight w:val="none"/>
              </w:rPr>
              <w:t>是</w:t>
            </w:r>
            <w:r>
              <w:rPr>
                <w:rFonts w:hint="eastAsia" w:ascii="仿宋" w:hAnsi="仿宋" w:eastAsia="仿宋" w:cs="仿宋"/>
                <w:iCs w:val="0"/>
                <w:color w:val="auto"/>
                <w:sz w:val="24"/>
                <w:szCs w:val="24"/>
                <w:highlight w:val="none"/>
                <w:lang w:eastAsia="zh-CN"/>
              </w:rPr>
              <w:t>，《节能产品政府采购品目清单》的底级品目名称：</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iCs/>
                <w:color w:val="auto"/>
                <w:sz w:val="24"/>
                <w:szCs w:val="24"/>
                <w:highlight w:val="none"/>
                <w:lang w:val="en-US" w:eastAsia="zh-CN"/>
              </w:rPr>
              <w:t xml:space="preserve">     </w:t>
            </w:r>
          </w:p>
          <w:p w14:paraId="7FBAE560">
            <w:pPr>
              <w:numPr>
                <w:ilvl w:val="0"/>
                <w:numId w:val="0"/>
              </w:numPr>
              <w:tabs>
                <w:tab w:val="left" w:pos="740"/>
              </w:tabs>
              <w:adjustRightInd w:val="0"/>
              <w:snapToGrid w:val="0"/>
              <w:spacing w:before="0" w:beforeLines="0" w:line="400" w:lineRule="exact"/>
              <w:ind w:firstLine="0" w:firstLineChars="0"/>
              <w:rPr>
                <w:rFonts w:hint="eastAsia" w:ascii="仿宋" w:hAnsi="仿宋" w:eastAsia="仿宋" w:cs="仿宋"/>
                <w:iCs/>
                <w:color w:val="auto"/>
                <w:sz w:val="24"/>
                <w:szCs w:val="24"/>
                <w:highlight w:val="none"/>
                <w:lang w:val="en-US" w:eastAsia="zh-CN"/>
              </w:rPr>
            </w:pPr>
            <w:r>
              <w:rPr>
                <w:rFonts w:hint="eastAsia" w:ascii="仿宋" w:hAnsi="仿宋" w:eastAsia="仿宋" w:cs="仿宋"/>
                <w:iCs/>
                <w:color w:val="auto"/>
                <w:sz w:val="24"/>
                <w:szCs w:val="24"/>
                <w:highlight w:val="none"/>
                <w:lang w:val="en-US" w:eastAsia="zh-CN"/>
              </w:rPr>
              <w:t xml:space="preserve">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lang w:eastAsia="zh-CN"/>
              </w:rPr>
              <w:t>强制采购</w:t>
            </w:r>
            <w:r>
              <w:rPr>
                <w:rFonts w:hint="eastAsia" w:ascii="仿宋" w:hAnsi="仿宋" w:eastAsia="仿宋" w:cs="仿宋"/>
                <w:iCs/>
                <w:color w:val="auto"/>
                <w:sz w:val="24"/>
                <w:szCs w:val="24"/>
                <w:highlight w:val="none"/>
                <w:lang w:val="en-US" w:eastAsia="zh-CN"/>
              </w:rPr>
              <w:t xml:space="preserve">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lang w:eastAsia="zh-CN"/>
              </w:rPr>
              <w:t>优先采购</w:t>
            </w:r>
            <w:r>
              <w:rPr>
                <w:rFonts w:hint="eastAsia" w:ascii="仿宋" w:hAnsi="仿宋" w:eastAsia="仿宋" w:cs="仿宋"/>
                <w:iCs/>
                <w:color w:val="auto"/>
                <w:sz w:val="24"/>
                <w:szCs w:val="24"/>
                <w:highlight w:val="none"/>
                <w:lang w:val="en-US" w:eastAsia="zh-CN"/>
              </w:rPr>
              <w:t xml:space="preserve">    </w:t>
            </w:r>
          </w:p>
          <w:p w14:paraId="2EE9BFD3">
            <w:pPr>
              <w:numPr>
                <w:ilvl w:val="0"/>
                <w:numId w:val="0"/>
              </w:numPr>
              <w:tabs>
                <w:tab w:val="left" w:pos="740"/>
              </w:tabs>
              <w:adjustRightInd w:val="0"/>
              <w:snapToGrid w:val="0"/>
              <w:spacing w:before="0" w:beforeLines="0" w:line="400" w:lineRule="exact"/>
              <w:ind w:firstLine="0" w:firstLineChars="0"/>
              <w:rPr>
                <w:rFonts w:hint="eastAsia" w:ascii="仿宋" w:hAnsi="仿宋" w:eastAsia="仿宋" w:cs="仿宋"/>
                <w:iCs w:val="0"/>
                <w:color w:val="auto"/>
                <w:sz w:val="24"/>
                <w:szCs w:val="24"/>
                <w:highlight w:val="none"/>
              </w:rPr>
            </w:pPr>
            <w:r>
              <w:rPr>
                <w:rFonts w:hint="eastAsia" w:ascii="仿宋" w:hAnsi="仿宋" w:eastAsia="仿宋" w:cs="仿宋"/>
                <w:iCs/>
                <w:color w:val="auto"/>
                <w:sz w:val="24"/>
                <w:szCs w:val="24"/>
                <w:highlight w:val="none"/>
                <w:lang w:val="en-US" w:eastAsia="zh-CN"/>
              </w:rPr>
              <w:t xml:space="preserve">         </w:t>
            </w:r>
            <w:r>
              <w:rPr>
                <w:rFonts w:hint="eastAsia" w:ascii="仿宋" w:hAnsi="仿宋" w:eastAsia="仿宋" w:cs="仿宋"/>
                <w:iCs w:val="0"/>
                <w:color w:val="auto"/>
                <w:sz w:val="24"/>
                <w:szCs w:val="24"/>
                <w:highlight w:val="none"/>
              </w:rPr>
              <w:sym w:font="Wingdings" w:char="00A8"/>
            </w:r>
            <w:r>
              <w:rPr>
                <w:rFonts w:hint="eastAsia" w:ascii="仿宋" w:hAnsi="仿宋" w:eastAsia="仿宋" w:cs="仿宋"/>
                <w:iCs w:val="0"/>
                <w:color w:val="auto"/>
                <w:sz w:val="24"/>
                <w:szCs w:val="24"/>
                <w:highlight w:val="none"/>
              </w:rPr>
              <w:t>否</w:t>
            </w:r>
          </w:p>
          <w:p w14:paraId="37B5ED9A">
            <w:pPr>
              <w:numPr>
                <w:ilvl w:val="0"/>
                <w:numId w:val="0"/>
              </w:numPr>
              <w:tabs>
                <w:tab w:val="left" w:pos="740"/>
              </w:tabs>
              <w:adjustRightInd w:val="0"/>
              <w:snapToGrid w:val="0"/>
              <w:spacing w:before="0" w:beforeLines="0" w:line="400" w:lineRule="exact"/>
              <w:ind w:left="0" w:firstLine="0" w:firstLineChars="0"/>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 xml:space="preserve">          是否涉及环境标志产品：</w:t>
            </w:r>
          </w:p>
          <w:p w14:paraId="6647ED94">
            <w:pPr>
              <w:numPr>
                <w:ilvl w:val="0"/>
                <w:numId w:val="0"/>
              </w:numPr>
              <w:tabs>
                <w:tab w:val="left" w:pos="740"/>
              </w:tabs>
              <w:adjustRightInd w:val="0"/>
              <w:snapToGrid w:val="0"/>
              <w:spacing w:before="0" w:beforeLines="0" w:line="400" w:lineRule="exact"/>
              <w:ind w:firstLine="0" w:firstLineChars="0"/>
              <w:rPr>
                <w:rFonts w:hint="eastAsia" w:ascii="仿宋" w:hAnsi="仿宋" w:eastAsia="仿宋" w:cs="仿宋"/>
                <w:iCs w:val="0"/>
                <w:color w:val="auto"/>
                <w:sz w:val="24"/>
                <w:szCs w:val="24"/>
                <w:highlight w:val="none"/>
                <w:lang w:eastAsia="zh-CN"/>
              </w:rPr>
            </w:pPr>
            <w:r>
              <w:rPr>
                <w:rFonts w:hint="eastAsia" w:ascii="仿宋" w:hAnsi="仿宋" w:eastAsia="仿宋" w:cs="仿宋"/>
                <w:b w:val="0"/>
                <w:bCs w:val="0"/>
                <w:color w:val="auto"/>
                <w:sz w:val="24"/>
                <w:szCs w:val="24"/>
                <w:highlight w:val="none"/>
                <w:u w:val="none"/>
                <w:lang w:val="en-US" w:eastAsia="zh-CN"/>
              </w:rPr>
              <w:t xml:space="preserve">         </w:t>
            </w:r>
            <w:r>
              <w:rPr>
                <w:rFonts w:hint="eastAsia" w:ascii="仿宋" w:hAnsi="仿宋" w:eastAsia="仿宋" w:cs="仿宋"/>
                <w:iCs w:val="0"/>
                <w:color w:val="auto"/>
                <w:sz w:val="24"/>
                <w:szCs w:val="24"/>
                <w:highlight w:val="none"/>
              </w:rPr>
              <w:sym w:font="Wingdings" w:char="00A8"/>
            </w:r>
            <w:r>
              <w:rPr>
                <w:rFonts w:hint="eastAsia" w:ascii="仿宋" w:hAnsi="仿宋" w:eastAsia="仿宋" w:cs="仿宋"/>
                <w:iCs w:val="0"/>
                <w:color w:val="auto"/>
                <w:sz w:val="24"/>
                <w:szCs w:val="24"/>
                <w:highlight w:val="none"/>
              </w:rPr>
              <w:t>是</w:t>
            </w:r>
            <w:r>
              <w:rPr>
                <w:rFonts w:hint="eastAsia" w:ascii="仿宋" w:hAnsi="仿宋" w:eastAsia="仿宋" w:cs="仿宋"/>
                <w:iCs w:val="0"/>
                <w:color w:val="auto"/>
                <w:sz w:val="24"/>
                <w:szCs w:val="24"/>
                <w:highlight w:val="none"/>
                <w:lang w:eastAsia="zh-CN"/>
              </w:rPr>
              <w:t>，《环境标志产品政府采购品目清单》的底级品目名称：</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iCs/>
                <w:color w:val="auto"/>
                <w:sz w:val="24"/>
                <w:szCs w:val="24"/>
                <w:highlight w:val="none"/>
                <w:lang w:val="en-US" w:eastAsia="zh-CN"/>
              </w:rPr>
              <w:t xml:space="preserve"> </w:t>
            </w:r>
          </w:p>
          <w:p w14:paraId="44208DE2">
            <w:pPr>
              <w:numPr>
                <w:ilvl w:val="0"/>
                <w:numId w:val="0"/>
              </w:numPr>
              <w:tabs>
                <w:tab w:val="left" w:pos="740"/>
              </w:tabs>
              <w:adjustRightInd w:val="0"/>
              <w:snapToGrid w:val="0"/>
              <w:spacing w:before="0" w:beforeLines="0" w:line="400" w:lineRule="exact"/>
              <w:ind w:firstLine="0" w:firstLineChars="0"/>
              <w:rPr>
                <w:rFonts w:hint="eastAsia" w:ascii="仿宋" w:hAnsi="仿宋" w:eastAsia="仿宋" w:cs="仿宋"/>
                <w:iCs/>
                <w:color w:val="auto"/>
                <w:sz w:val="24"/>
                <w:szCs w:val="24"/>
                <w:highlight w:val="none"/>
                <w:lang w:val="en-US" w:eastAsia="zh-CN"/>
              </w:rPr>
            </w:pPr>
            <w:r>
              <w:rPr>
                <w:rFonts w:hint="eastAsia" w:ascii="仿宋" w:hAnsi="仿宋" w:eastAsia="仿宋" w:cs="仿宋"/>
                <w:iCs/>
                <w:color w:val="auto"/>
                <w:sz w:val="24"/>
                <w:szCs w:val="24"/>
                <w:highlight w:val="none"/>
                <w:lang w:val="en-US" w:eastAsia="zh-CN"/>
              </w:rPr>
              <w:t xml:space="preserve">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lang w:eastAsia="zh-CN"/>
              </w:rPr>
              <w:t>强制采购</w:t>
            </w:r>
            <w:r>
              <w:rPr>
                <w:rFonts w:hint="eastAsia" w:ascii="仿宋" w:hAnsi="仿宋" w:eastAsia="仿宋" w:cs="仿宋"/>
                <w:iCs/>
                <w:color w:val="auto"/>
                <w:sz w:val="24"/>
                <w:szCs w:val="24"/>
                <w:highlight w:val="none"/>
                <w:lang w:val="en-US" w:eastAsia="zh-CN"/>
              </w:rPr>
              <w:t xml:space="preserve">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lang w:eastAsia="zh-CN"/>
              </w:rPr>
              <w:t>优先采购</w:t>
            </w:r>
            <w:r>
              <w:rPr>
                <w:rFonts w:hint="eastAsia" w:ascii="仿宋" w:hAnsi="仿宋" w:eastAsia="仿宋" w:cs="仿宋"/>
                <w:iCs/>
                <w:color w:val="auto"/>
                <w:sz w:val="24"/>
                <w:szCs w:val="24"/>
                <w:highlight w:val="none"/>
                <w:lang w:val="en-US" w:eastAsia="zh-CN"/>
              </w:rPr>
              <w:t xml:space="preserve">    </w:t>
            </w:r>
          </w:p>
          <w:p w14:paraId="675BC0B0">
            <w:pPr>
              <w:numPr>
                <w:ilvl w:val="0"/>
                <w:numId w:val="0"/>
              </w:numPr>
              <w:tabs>
                <w:tab w:val="left" w:pos="740"/>
              </w:tabs>
              <w:adjustRightInd w:val="0"/>
              <w:snapToGrid w:val="0"/>
              <w:spacing w:before="0" w:beforeLines="0" w:line="400" w:lineRule="exact"/>
              <w:ind w:firstLine="0" w:firstLineChars="0"/>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iCs/>
                <w:color w:val="auto"/>
                <w:sz w:val="24"/>
                <w:szCs w:val="24"/>
                <w:highlight w:val="none"/>
                <w:lang w:val="en-US" w:eastAsia="zh-CN"/>
              </w:rPr>
              <w:t xml:space="preserve">         </w:t>
            </w:r>
            <w:r>
              <w:rPr>
                <w:rFonts w:hint="eastAsia" w:ascii="仿宋" w:hAnsi="仿宋" w:eastAsia="仿宋" w:cs="仿宋"/>
                <w:iCs w:val="0"/>
                <w:color w:val="auto"/>
                <w:sz w:val="24"/>
                <w:szCs w:val="24"/>
                <w:highlight w:val="none"/>
              </w:rPr>
              <w:sym w:font="Wingdings" w:char="00A8"/>
            </w:r>
            <w:r>
              <w:rPr>
                <w:rFonts w:hint="eastAsia" w:ascii="仿宋" w:hAnsi="仿宋" w:eastAsia="仿宋" w:cs="仿宋"/>
                <w:iCs w:val="0"/>
                <w:color w:val="auto"/>
                <w:sz w:val="24"/>
                <w:szCs w:val="24"/>
                <w:highlight w:val="none"/>
              </w:rPr>
              <w:t>否</w:t>
            </w:r>
          </w:p>
          <w:p w14:paraId="032C9C90">
            <w:pPr>
              <w:pStyle w:val="247"/>
              <w:numPr>
                <w:ilvl w:val="0"/>
                <w:numId w:val="0"/>
              </w:numPr>
              <w:adjustRightInd w:val="0"/>
              <w:snapToGrid w:val="0"/>
              <w:spacing w:before="0" w:beforeLines="0" w:line="400" w:lineRule="exact"/>
              <w:ind w:firstLine="0" w:firstLineChars="0"/>
              <w:rPr>
                <w:rFonts w:hint="eastAsia" w:ascii="仿宋" w:hAnsi="仿宋" w:eastAsia="仿宋" w:cs="仿宋"/>
                <w:iCs w:val="0"/>
                <w:color w:val="auto"/>
                <w:kern w:val="2"/>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 xml:space="preserve">          </w:t>
            </w:r>
            <w:r>
              <w:rPr>
                <w:rFonts w:hint="eastAsia" w:ascii="仿宋" w:hAnsi="仿宋" w:eastAsia="仿宋" w:cs="仿宋"/>
                <w:b w:val="0"/>
                <w:bCs w:val="0"/>
                <w:color w:val="auto"/>
                <w:kern w:val="2"/>
                <w:sz w:val="24"/>
                <w:szCs w:val="24"/>
                <w:highlight w:val="none"/>
                <w:u w:val="none"/>
                <w:lang w:val="en-US" w:eastAsia="zh-CN"/>
              </w:rPr>
              <w:t>是否涉及绿色产品：</w:t>
            </w:r>
            <w:r>
              <w:rPr>
                <w:rFonts w:hint="eastAsia" w:ascii="仿宋" w:hAnsi="仿宋" w:eastAsia="仿宋" w:cs="仿宋"/>
                <w:iCs w:val="0"/>
                <w:color w:val="auto"/>
                <w:kern w:val="2"/>
                <w:sz w:val="24"/>
                <w:szCs w:val="24"/>
                <w:highlight w:val="none"/>
                <w:u w:val="none"/>
                <w:lang w:val="en-US" w:eastAsia="zh-CN"/>
              </w:rPr>
              <w:t xml:space="preserve"> </w:t>
            </w:r>
          </w:p>
          <w:p w14:paraId="7CAE738C">
            <w:pPr>
              <w:pStyle w:val="247"/>
              <w:spacing w:beforeLines="0"/>
              <w:ind w:firstLine="420" w:firstLineChars="0"/>
              <w:rPr>
                <w:rFonts w:hint="eastAsia" w:ascii="仿宋" w:hAnsi="仿宋" w:eastAsia="仿宋" w:cs="仿宋"/>
                <w:color w:val="auto"/>
                <w:sz w:val="24"/>
                <w:szCs w:val="24"/>
                <w:highlight w:val="none"/>
                <w:u w:val="single"/>
                <w:lang w:val="en-US" w:eastAsia="zh-CN"/>
              </w:rPr>
            </w:pPr>
            <w:r>
              <w:rPr>
                <w:rFonts w:hint="eastAsia" w:ascii="仿宋" w:hAnsi="仿宋" w:eastAsia="仿宋" w:cs="仿宋"/>
                <w:iCs w:val="0"/>
                <w:color w:val="auto"/>
                <w:kern w:val="2"/>
                <w:sz w:val="24"/>
                <w:szCs w:val="24"/>
                <w:highlight w:val="none"/>
                <w:u w:val="none"/>
                <w:lang w:val="en-US" w:eastAsia="zh-CN"/>
              </w:rPr>
              <w:t xml:space="preserve">     </w:t>
            </w:r>
            <w:r>
              <w:rPr>
                <w:rFonts w:hint="eastAsia" w:ascii="仿宋" w:hAnsi="仿宋" w:eastAsia="仿宋" w:cs="仿宋"/>
                <w:iCs w:val="0"/>
                <w:color w:val="auto"/>
                <w:kern w:val="2"/>
                <w:sz w:val="24"/>
                <w:szCs w:val="24"/>
                <w:highlight w:val="none"/>
                <w:u w:val="none"/>
              </w:rPr>
              <w:sym w:font="Wingdings" w:char="00A8"/>
            </w:r>
            <w:r>
              <w:rPr>
                <w:rFonts w:hint="eastAsia" w:ascii="仿宋" w:hAnsi="仿宋" w:eastAsia="仿宋" w:cs="仿宋"/>
                <w:iCs w:val="0"/>
                <w:color w:val="auto"/>
                <w:kern w:val="2"/>
                <w:sz w:val="24"/>
                <w:szCs w:val="24"/>
                <w:highlight w:val="none"/>
                <w:u w:val="none"/>
              </w:rPr>
              <w:t>是</w:t>
            </w:r>
            <w:r>
              <w:rPr>
                <w:rFonts w:hint="eastAsia" w:ascii="仿宋" w:hAnsi="仿宋" w:eastAsia="仿宋" w:cs="仿宋"/>
                <w:iCs w:val="0"/>
                <w:color w:val="auto"/>
                <w:kern w:val="2"/>
                <w:sz w:val="24"/>
                <w:szCs w:val="24"/>
                <w:highlight w:val="none"/>
                <w:u w:val="none"/>
                <w:lang w:eastAsia="zh-CN"/>
              </w:rPr>
              <w:t>，绿色产品政府采购相关政策确定的底级品目名称：</w:t>
            </w:r>
            <w:r>
              <w:rPr>
                <w:rFonts w:hint="eastAsia" w:ascii="仿宋" w:hAnsi="仿宋" w:eastAsia="仿宋" w:cs="仿宋"/>
                <w:color w:val="auto"/>
                <w:sz w:val="24"/>
                <w:szCs w:val="24"/>
                <w:highlight w:val="none"/>
                <w:u w:val="single"/>
                <w:lang w:val="en-US" w:eastAsia="zh-CN"/>
              </w:rPr>
              <w:t xml:space="preserve">         </w:t>
            </w:r>
          </w:p>
          <w:p w14:paraId="5091FB77">
            <w:pPr>
              <w:numPr>
                <w:ilvl w:val="0"/>
                <w:numId w:val="0"/>
              </w:numPr>
              <w:tabs>
                <w:tab w:val="left" w:pos="740"/>
              </w:tabs>
              <w:adjustRightInd w:val="0"/>
              <w:snapToGrid w:val="0"/>
              <w:spacing w:before="0" w:beforeLines="0" w:line="400" w:lineRule="exact"/>
              <w:ind w:firstLine="0" w:firstLineChars="0"/>
              <w:rPr>
                <w:rFonts w:hint="eastAsia" w:ascii="仿宋" w:hAnsi="仿宋" w:eastAsia="仿宋" w:cs="仿宋"/>
                <w:iCs/>
                <w:color w:val="auto"/>
                <w:sz w:val="24"/>
                <w:szCs w:val="24"/>
                <w:highlight w:val="none"/>
                <w:lang w:val="en-US" w:eastAsia="zh-CN"/>
              </w:rPr>
            </w:pPr>
            <w:r>
              <w:rPr>
                <w:rFonts w:hint="eastAsia" w:ascii="仿宋" w:hAnsi="仿宋" w:eastAsia="仿宋" w:cs="仿宋"/>
                <w:iCs/>
                <w:color w:val="auto"/>
                <w:sz w:val="24"/>
                <w:szCs w:val="24"/>
                <w:highlight w:val="none"/>
                <w:lang w:val="en-US" w:eastAsia="zh-CN"/>
              </w:rPr>
              <w:t xml:space="preserve">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lang w:eastAsia="zh-CN"/>
              </w:rPr>
              <w:t>强制采购</w:t>
            </w:r>
            <w:r>
              <w:rPr>
                <w:rFonts w:hint="eastAsia" w:ascii="仿宋" w:hAnsi="仿宋" w:eastAsia="仿宋" w:cs="仿宋"/>
                <w:iCs/>
                <w:color w:val="auto"/>
                <w:sz w:val="24"/>
                <w:szCs w:val="24"/>
                <w:highlight w:val="none"/>
                <w:lang w:val="en-US" w:eastAsia="zh-CN"/>
              </w:rPr>
              <w:t xml:space="preserve">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lang w:eastAsia="zh-CN"/>
              </w:rPr>
              <w:t>优先采购</w:t>
            </w:r>
            <w:r>
              <w:rPr>
                <w:rFonts w:hint="eastAsia" w:ascii="仿宋" w:hAnsi="仿宋" w:eastAsia="仿宋" w:cs="仿宋"/>
                <w:iCs/>
                <w:color w:val="auto"/>
                <w:sz w:val="24"/>
                <w:szCs w:val="24"/>
                <w:highlight w:val="none"/>
                <w:lang w:val="en-US" w:eastAsia="zh-CN"/>
              </w:rPr>
              <w:t xml:space="preserve">    </w:t>
            </w:r>
          </w:p>
          <w:p w14:paraId="73F4B92A">
            <w:pPr>
              <w:pStyle w:val="247"/>
              <w:spacing w:beforeLines="0"/>
              <w:ind w:firstLine="420" w:firstLineChars="0"/>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iCs w:val="0"/>
                <w:color w:val="auto"/>
                <w:kern w:val="2"/>
                <w:sz w:val="24"/>
                <w:szCs w:val="24"/>
                <w:highlight w:val="none"/>
                <w:u w:val="none"/>
                <w:lang w:val="en-US" w:eastAsia="zh-CN"/>
              </w:rPr>
              <w:t xml:space="preserve">     </w:t>
            </w:r>
            <w:r>
              <w:rPr>
                <w:rFonts w:hint="eastAsia" w:ascii="仿宋" w:hAnsi="仿宋" w:eastAsia="仿宋" w:cs="仿宋"/>
                <w:iCs w:val="0"/>
                <w:color w:val="auto"/>
                <w:kern w:val="2"/>
                <w:sz w:val="24"/>
                <w:szCs w:val="24"/>
                <w:highlight w:val="none"/>
                <w:u w:val="none"/>
              </w:rPr>
              <w:sym w:font="Wingdings" w:char="00A8"/>
            </w:r>
            <w:r>
              <w:rPr>
                <w:rFonts w:hint="eastAsia" w:ascii="仿宋" w:hAnsi="仿宋" w:eastAsia="仿宋" w:cs="仿宋"/>
                <w:iCs w:val="0"/>
                <w:color w:val="auto"/>
                <w:kern w:val="2"/>
                <w:sz w:val="24"/>
                <w:szCs w:val="24"/>
                <w:highlight w:val="none"/>
                <w:u w:val="none"/>
              </w:rPr>
              <w:t>否</w:t>
            </w:r>
          </w:p>
          <w:p w14:paraId="16E38C43">
            <w:pPr>
              <w:numPr>
                <w:ilvl w:val="0"/>
                <w:numId w:val="0"/>
              </w:numPr>
              <w:adjustRightInd w:val="0"/>
              <w:snapToGrid w:val="0"/>
              <w:spacing w:before="0" w:beforeLines="0" w:line="400" w:lineRule="exact"/>
              <w:ind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（1</w:t>
            </w:r>
            <w:r>
              <w:rPr>
                <w:rFonts w:hint="eastAsia" w:ascii="仿宋" w:hAnsi="仿宋" w:eastAsia="仿宋" w:cs="仿宋"/>
                <w:color w:val="auto"/>
                <w:sz w:val="24"/>
                <w:szCs w:val="24"/>
                <w:highlight w:val="none"/>
                <w:lang w:val="en" w:eastAsia="zh-CN"/>
              </w:rPr>
              <w:t>1</w:t>
            </w:r>
            <w:r>
              <w:rPr>
                <w:rFonts w:hint="eastAsia" w:ascii="仿宋" w:hAnsi="仿宋" w:eastAsia="仿宋" w:cs="仿宋"/>
                <w:color w:val="auto"/>
                <w:sz w:val="24"/>
                <w:szCs w:val="24"/>
                <w:highlight w:val="none"/>
                <w:lang w:val="en-US" w:eastAsia="zh-CN"/>
              </w:rPr>
              <w:t>）涉及商品包装和快递包装的，是否参考</w:t>
            </w:r>
            <w:r>
              <w:rPr>
                <w:rFonts w:hint="eastAsia" w:ascii="仿宋" w:hAnsi="仿宋" w:eastAsia="仿宋" w:cs="仿宋"/>
                <w:color w:val="auto"/>
                <w:sz w:val="24"/>
                <w:szCs w:val="24"/>
                <w:highlight w:val="none"/>
              </w:rPr>
              <w:t>《商品包装政府</w:t>
            </w:r>
            <w:r>
              <w:rPr>
                <w:rFonts w:hint="eastAsia" w:ascii="仿宋" w:hAnsi="仿宋" w:eastAsia="仿宋" w:cs="仿宋"/>
                <w:color w:val="auto"/>
                <w:sz w:val="24"/>
                <w:szCs w:val="24"/>
                <w:highlight w:val="none"/>
                <w:lang w:eastAsia="zh-CN"/>
              </w:rPr>
              <w:t>技术参数及要求</w:t>
            </w:r>
            <w:r>
              <w:rPr>
                <w:rFonts w:hint="eastAsia" w:ascii="仿宋" w:hAnsi="仿宋" w:eastAsia="仿宋" w:cs="仿宋"/>
                <w:color w:val="auto"/>
                <w:sz w:val="24"/>
                <w:szCs w:val="24"/>
                <w:highlight w:val="none"/>
              </w:rPr>
              <w:t>标准（试行）</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快递包装政府</w:t>
            </w:r>
            <w:r>
              <w:rPr>
                <w:rFonts w:hint="eastAsia" w:ascii="仿宋" w:hAnsi="仿宋" w:eastAsia="仿宋" w:cs="仿宋"/>
                <w:color w:val="auto"/>
                <w:sz w:val="24"/>
                <w:szCs w:val="24"/>
                <w:highlight w:val="none"/>
                <w:lang w:eastAsia="zh-CN"/>
              </w:rPr>
              <w:t>技术参数及要求</w:t>
            </w:r>
            <w:r>
              <w:rPr>
                <w:rFonts w:hint="eastAsia" w:ascii="仿宋" w:hAnsi="仿宋" w:eastAsia="仿宋" w:cs="仿宋"/>
                <w:color w:val="auto"/>
                <w:sz w:val="24"/>
                <w:szCs w:val="24"/>
                <w:highlight w:val="none"/>
              </w:rPr>
              <w:t>标准（试行）》</w:t>
            </w:r>
            <w:r>
              <w:rPr>
                <w:rFonts w:hint="eastAsia" w:ascii="仿宋" w:hAnsi="仿宋" w:eastAsia="仿宋" w:cs="仿宋"/>
                <w:color w:val="auto"/>
                <w:sz w:val="24"/>
                <w:szCs w:val="24"/>
                <w:highlight w:val="none"/>
                <w:lang w:eastAsia="zh-CN"/>
              </w:rPr>
              <w:t>明确产品及相关快递服务的具体包装要求：</w:t>
            </w:r>
          </w:p>
          <w:p w14:paraId="3FD7C924">
            <w:pPr>
              <w:numPr>
                <w:ilvl w:val="0"/>
                <w:numId w:val="0"/>
              </w:numPr>
              <w:adjustRightInd w:val="0"/>
              <w:snapToGrid w:val="0"/>
              <w:spacing w:before="0" w:beforeLines="0" w:line="400" w:lineRule="exact"/>
              <w:ind w:firstLine="960" w:firstLineChars="400"/>
              <w:rPr>
                <w:rFonts w:hint="eastAsia" w:ascii="仿宋" w:hAnsi="仿宋" w:eastAsia="仿宋" w:cs="仿宋"/>
                <w:iCs w:val="0"/>
                <w:color w:val="auto"/>
                <w:sz w:val="24"/>
                <w:szCs w:val="24"/>
                <w:highlight w:val="none"/>
                <w:lang w:val="en-US" w:eastAsia="zh-CN"/>
              </w:rPr>
            </w:pPr>
            <w:r>
              <w:rPr>
                <w:rFonts w:hint="eastAsia" w:ascii="仿宋" w:hAnsi="仿宋" w:eastAsia="仿宋" w:cs="仿宋"/>
                <w:iCs w:val="0"/>
                <w:color w:val="auto"/>
                <w:sz w:val="24"/>
                <w:szCs w:val="24"/>
                <w:highlight w:val="none"/>
              </w:rPr>
              <w:sym w:font="Wingdings" w:char="00A8"/>
            </w:r>
            <w:r>
              <w:rPr>
                <w:rFonts w:hint="eastAsia" w:ascii="仿宋" w:hAnsi="仿宋" w:eastAsia="仿宋" w:cs="仿宋"/>
                <w:iCs w:val="0"/>
                <w:color w:val="auto"/>
                <w:sz w:val="24"/>
                <w:szCs w:val="24"/>
                <w:highlight w:val="none"/>
              </w:rPr>
              <w:t xml:space="preserve">是       </w:t>
            </w:r>
            <w:r>
              <w:rPr>
                <w:rFonts w:hint="eastAsia" w:ascii="仿宋" w:hAnsi="仿宋" w:eastAsia="仿宋" w:cs="仿宋"/>
                <w:iCs w:val="0"/>
                <w:color w:val="auto"/>
                <w:sz w:val="24"/>
                <w:szCs w:val="24"/>
                <w:highlight w:val="none"/>
              </w:rPr>
              <w:sym w:font="Wingdings" w:char="00A8"/>
            </w:r>
            <w:r>
              <w:rPr>
                <w:rFonts w:hint="eastAsia" w:ascii="仿宋" w:hAnsi="仿宋" w:eastAsia="仿宋" w:cs="仿宋"/>
                <w:iCs w:val="0"/>
                <w:color w:val="auto"/>
                <w:sz w:val="24"/>
                <w:szCs w:val="24"/>
                <w:highlight w:val="none"/>
              </w:rPr>
              <w:t>否</w:t>
            </w:r>
            <w:r>
              <w:rPr>
                <w:rFonts w:hint="eastAsia" w:ascii="仿宋" w:hAnsi="仿宋" w:eastAsia="仿宋" w:cs="仿宋"/>
                <w:iCs w:val="0"/>
                <w:color w:val="auto"/>
                <w:sz w:val="24"/>
                <w:szCs w:val="24"/>
                <w:highlight w:val="none"/>
                <w:lang w:val="en-US" w:eastAsia="zh-CN"/>
              </w:rPr>
              <w:t xml:space="preserve">      </w:t>
            </w:r>
            <w:r>
              <w:rPr>
                <w:rFonts w:hint="eastAsia" w:ascii="仿宋" w:hAnsi="仿宋" w:eastAsia="仿宋" w:cs="仿宋"/>
                <w:iCs w:val="0"/>
                <w:color w:val="auto"/>
                <w:sz w:val="24"/>
                <w:szCs w:val="24"/>
                <w:highlight w:val="none"/>
              </w:rPr>
              <w:sym w:font="Wingdings" w:char="00A8"/>
            </w:r>
            <w:r>
              <w:rPr>
                <w:rFonts w:hint="eastAsia" w:ascii="仿宋" w:hAnsi="仿宋" w:eastAsia="仿宋" w:cs="仿宋"/>
                <w:iCs w:val="0"/>
                <w:color w:val="auto"/>
                <w:sz w:val="24"/>
                <w:szCs w:val="24"/>
                <w:highlight w:val="none"/>
                <w:lang w:eastAsia="zh-CN"/>
              </w:rPr>
              <w:t>不涉及</w:t>
            </w:r>
          </w:p>
          <w:p w14:paraId="5BFF4A66">
            <w:pPr>
              <w:numPr>
                <w:ilvl w:val="0"/>
                <w:numId w:val="0"/>
              </w:numPr>
              <w:adjustRightInd w:val="0"/>
              <w:snapToGrid w:val="0"/>
              <w:spacing w:before="0" w:beforeLines="0" w:line="40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2.</w:t>
            </w:r>
            <w:r>
              <w:rPr>
                <w:rFonts w:hint="eastAsia" w:ascii="仿宋" w:hAnsi="仿宋" w:eastAsia="仿宋" w:cs="仿宋"/>
                <w:b/>
                <w:color w:val="auto"/>
                <w:sz w:val="24"/>
                <w:szCs w:val="24"/>
                <w:highlight w:val="none"/>
              </w:rPr>
              <w:t>合同金额</w:t>
            </w:r>
          </w:p>
          <w:p w14:paraId="273BB260">
            <w:pPr>
              <w:adjustRightInd w:val="0"/>
              <w:snapToGrid w:val="0"/>
              <w:spacing w:before="0" w:beforeLines="0"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（1）合同金额小写：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59D9C6E4">
            <w:pPr>
              <w:adjustRightInd w:val="0"/>
              <w:snapToGrid w:val="0"/>
              <w:spacing w:before="0" w:beforeLines="0" w:line="400" w:lineRule="exact"/>
              <w:ind w:left="0" w:firstLine="0" w:firstLineChars="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46FBF686">
            <w:pPr>
              <w:adjustRightInd w:val="0"/>
              <w:snapToGrid w:val="0"/>
              <w:spacing w:before="0" w:beforeLines="0" w:line="40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分包金额</w:t>
            </w:r>
            <w:r>
              <w:rPr>
                <w:rFonts w:hint="eastAsia" w:ascii="仿宋" w:hAnsi="仿宋" w:eastAsia="仿宋" w:cs="仿宋"/>
                <w:color w:val="auto"/>
                <w:sz w:val="24"/>
                <w:szCs w:val="24"/>
                <w:highlight w:val="none"/>
                <w:lang w:eastAsia="zh-CN"/>
              </w:rPr>
              <w:t>（如有）</w:t>
            </w:r>
            <w:r>
              <w:rPr>
                <w:rFonts w:hint="eastAsia" w:ascii="仿宋" w:hAnsi="仿宋" w:eastAsia="仿宋" w:cs="仿宋"/>
                <w:color w:val="auto"/>
                <w:sz w:val="24"/>
                <w:szCs w:val="24"/>
                <w:highlight w:val="none"/>
              </w:rPr>
              <w:t>小写：</w:t>
            </w:r>
            <w:r>
              <w:rPr>
                <w:rFonts w:hint="eastAsia" w:ascii="仿宋" w:hAnsi="仿宋" w:eastAsia="仿宋" w:cs="仿宋"/>
                <w:color w:val="auto"/>
                <w:sz w:val="24"/>
                <w:szCs w:val="24"/>
                <w:highlight w:val="none"/>
                <w:u w:val="single"/>
              </w:rPr>
              <w:t xml:space="preserve">                   </w:t>
            </w:r>
          </w:p>
          <w:p w14:paraId="1CBF9676">
            <w:pPr>
              <w:adjustRightInd w:val="0"/>
              <w:snapToGrid w:val="0"/>
              <w:spacing w:before="0" w:beforeLines="0" w:line="400" w:lineRule="exact"/>
              <w:ind w:firstLine="0" w:firstLineChars="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5686D0DB">
            <w:pPr>
              <w:adjustRightInd w:val="0"/>
              <w:snapToGrid w:val="0"/>
              <w:spacing w:before="0" w:beforeLines="0" w:line="400" w:lineRule="exact"/>
              <w:ind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（注：固定单价合同应填写单价和最高限价）</w:t>
            </w:r>
          </w:p>
          <w:p w14:paraId="30E690E0">
            <w:pPr>
              <w:numPr>
                <w:ilvl w:val="0"/>
                <w:numId w:val="0"/>
              </w:numPr>
              <w:adjustRightInd w:val="0"/>
              <w:snapToGrid w:val="0"/>
              <w:spacing w:before="0" w:beforeLines="0" w:line="40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合同定价方式</w:t>
            </w:r>
            <w:r>
              <w:rPr>
                <w:rFonts w:hint="eastAsia" w:ascii="仿宋" w:hAnsi="仿宋" w:eastAsia="仿宋" w:cs="仿宋"/>
                <w:color w:val="auto"/>
                <w:sz w:val="24"/>
                <w:szCs w:val="24"/>
                <w:highlight w:val="none"/>
                <w:lang w:eastAsia="zh-CN"/>
              </w:rPr>
              <w:t>（采用组合定价方式的，可以勾选多项）</w:t>
            </w:r>
            <w:r>
              <w:rPr>
                <w:rFonts w:hint="eastAsia" w:ascii="仿宋" w:hAnsi="仿宋" w:eastAsia="仿宋" w:cs="仿宋"/>
                <w:color w:val="auto"/>
                <w:sz w:val="24"/>
                <w:szCs w:val="24"/>
                <w:highlight w:val="none"/>
              </w:rPr>
              <w:t>：</w:t>
            </w:r>
          </w:p>
          <w:p w14:paraId="21DD9255">
            <w:pPr>
              <w:adjustRightInd w:val="0"/>
              <w:snapToGrid w:val="0"/>
              <w:spacing w:before="0" w:beforeLines="0" w:line="400" w:lineRule="exact"/>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iCs/>
                <w:color w:val="auto"/>
                <w:sz w:val="24"/>
                <w:szCs w:val="24"/>
                <w:highlight w:val="none"/>
                <w:lang w:val="en-US" w:eastAsia="zh-CN"/>
              </w:rPr>
              <w:t xml:space="preserve">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 xml:space="preserve">固定总价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固定单价</w:t>
            </w:r>
            <w:r>
              <w:rPr>
                <w:rFonts w:hint="eastAsia" w:ascii="仿宋" w:hAnsi="仿宋" w:eastAsia="仿宋" w:cs="仿宋"/>
                <w:iCs/>
                <w:color w:val="auto"/>
                <w:sz w:val="24"/>
                <w:szCs w:val="24"/>
                <w:highlight w:val="none"/>
                <w:lang w:val="en-US" w:eastAsia="zh-CN"/>
              </w:rPr>
              <w:t xml:space="preserve">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lang w:eastAsia="zh-CN"/>
              </w:rPr>
              <w:t>固定费率</w:t>
            </w:r>
            <w:r>
              <w:rPr>
                <w:rFonts w:hint="eastAsia" w:ascii="仿宋" w:hAnsi="仿宋" w:eastAsia="仿宋" w:cs="仿宋"/>
                <w:iCs/>
                <w:color w:val="auto"/>
                <w:sz w:val="24"/>
                <w:szCs w:val="24"/>
                <w:highlight w:val="none"/>
              </w:rPr>
              <w:t xml:space="preserve">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 xml:space="preserve">成本补偿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绩效激励</w:t>
            </w:r>
            <w:r>
              <w:rPr>
                <w:rFonts w:hint="eastAsia" w:ascii="仿宋" w:hAnsi="仿宋" w:eastAsia="仿宋" w:cs="仿宋"/>
                <w:iCs/>
                <w:color w:val="auto"/>
                <w:sz w:val="24"/>
                <w:szCs w:val="24"/>
                <w:highlight w:val="none"/>
                <w:lang w:val="en-US" w:eastAsia="zh-CN"/>
              </w:rPr>
              <w:t xml:space="preserve">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lang w:eastAsia="zh-CN"/>
              </w:rPr>
              <w:t>其他</w:t>
            </w:r>
            <w:r>
              <w:rPr>
                <w:rFonts w:hint="eastAsia" w:ascii="仿宋" w:hAnsi="仿宋" w:eastAsia="仿宋" w:cs="仿宋"/>
                <w:color w:val="auto"/>
                <w:sz w:val="24"/>
                <w:szCs w:val="24"/>
                <w:highlight w:val="none"/>
                <w:u w:val="single"/>
              </w:rPr>
              <w:t xml:space="preserve">       </w:t>
            </w:r>
          </w:p>
          <w:p w14:paraId="75C52F22">
            <w:pPr>
              <w:pStyle w:val="175"/>
              <w:spacing w:beforeLines="0"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）付款方式（按项目实际勾选填写）：</w:t>
            </w:r>
          </w:p>
          <w:p w14:paraId="42EC892B">
            <w:pPr>
              <w:adjustRightInd w:val="0"/>
              <w:snapToGrid w:val="0"/>
              <w:spacing w:before="0" w:beforeLines="0" w:line="400" w:lineRule="exact"/>
              <w:ind w:firstLine="720" w:firstLineChars="3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全额付款：</w:t>
            </w:r>
            <w:r>
              <w:rPr>
                <w:rFonts w:hint="eastAsia" w:ascii="仿宋" w:hAnsi="仿宋" w:eastAsia="仿宋" w:cs="仿宋"/>
                <w:color w:val="auto"/>
                <w:sz w:val="24"/>
                <w:szCs w:val="24"/>
                <w:highlight w:val="none"/>
                <w:u w:val="single"/>
              </w:rPr>
              <w:t xml:space="preserve">     （应</w:t>
            </w:r>
            <w:r>
              <w:rPr>
                <w:rFonts w:hint="eastAsia" w:ascii="仿宋" w:hAnsi="仿宋" w:eastAsia="仿宋" w:cs="仿宋"/>
                <w:color w:val="auto"/>
                <w:sz w:val="24"/>
                <w:szCs w:val="24"/>
                <w:highlight w:val="none"/>
                <w:u w:val="single"/>
                <w:lang w:eastAsia="zh-CN"/>
              </w:rPr>
              <w:t>明确</w:t>
            </w:r>
            <w:r>
              <w:rPr>
                <w:rFonts w:hint="eastAsia" w:ascii="仿宋" w:hAnsi="仿宋" w:eastAsia="仿宋" w:cs="仿宋"/>
                <w:color w:val="auto"/>
                <w:sz w:val="24"/>
                <w:szCs w:val="24"/>
                <w:highlight w:val="none"/>
                <w:u w:val="single"/>
              </w:rPr>
              <w:t>一次性支付合同款项</w:t>
            </w:r>
            <w:r>
              <w:rPr>
                <w:rFonts w:hint="eastAsia" w:ascii="仿宋" w:hAnsi="仿宋" w:eastAsia="仿宋" w:cs="仿宋"/>
                <w:color w:val="auto"/>
                <w:sz w:val="24"/>
                <w:szCs w:val="24"/>
                <w:highlight w:val="none"/>
                <w:u w:val="single"/>
                <w:lang w:eastAsia="zh-CN"/>
              </w:rPr>
              <w:t>的条件</w:t>
            </w:r>
            <w:r>
              <w:rPr>
                <w:rFonts w:hint="eastAsia" w:ascii="仿宋" w:hAnsi="仿宋" w:eastAsia="仿宋" w:cs="仿宋"/>
                <w:color w:val="auto"/>
                <w:sz w:val="24"/>
                <w:szCs w:val="24"/>
                <w:highlight w:val="none"/>
                <w:u w:val="single"/>
              </w:rPr>
              <w:t xml:space="preserve">）                    </w:t>
            </w:r>
          </w:p>
          <w:p w14:paraId="1A86FC07">
            <w:pPr>
              <w:snapToGrid w:val="0"/>
              <w:spacing w:beforeLines="0" w:line="400" w:lineRule="exact"/>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分期付款：</w:t>
            </w:r>
            <w:r>
              <w:rPr>
                <w:rFonts w:hint="eastAsia" w:ascii="仿宋" w:hAnsi="仿宋" w:eastAsia="仿宋" w:cs="仿宋"/>
                <w:color w:val="auto"/>
                <w:sz w:val="24"/>
                <w:szCs w:val="24"/>
                <w:highlight w:val="none"/>
                <w:u w:val="single"/>
              </w:rPr>
              <w:t xml:space="preserve">  （应明确分期支付合同款项的各期比例和支付条件</w:t>
            </w:r>
            <w:r>
              <w:rPr>
                <w:rFonts w:hint="eastAsia" w:ascii="仿宋" w:hAnsi="仿宋" w:eastAsia="仿宋" w:cs="仿宋"/>
                <w:color w:val="auto"/>
                <w:sz w:val="24"/>
                <w:szCs w:val="24"/>
                <w:highlight w:val="none"/>
                <w:u w:val="single"/>
                <w:lang w:eastAsia="zh-CN"/>
              </w:rPr>
              <w:t>，各期支付条件应与分期履约验收情况挂钩</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lang w:eastAsia="zh-CN"/>
              </w:rPr>
              <w:t>其中涉及预付款的</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（应明确预付款的支付比例和支付条件） </w:t>
            </w:r>
          </w:p>
          <w:p w14:paraId="7D681C7E">
            <w:pPr>
              <w:adjustRightInd w:val="0"/>
              <w:snapToGrid w:val="0"/>
              <w:spacing w:before="0" w:beforeLines="0" w:line="400" w:lineRule="exact"/>
              <w:ind w:firstLine="720" w:firstLineChars="3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成本补偿：</w:t>
            </w:r>
            <w:r>
              <w:rPr>
                <w:rFonts w:hint="eastAsia" w:ascii="仿宋" w:hAnsi="仿宋" w:eastAsia="仿宋" w:cs="仿宋"/>
                <w:color w:val="auto"/>
                <w:sz w:val="24"/>
                <w:szCs w:val="24"/>
                <w:highlight w:val="none"/>
                <w:u w:val="single"/>
              </w:rPr>
              <w:t xml:space="preserve">      （应明确按照成本补偿方式的支付方式和支付条件）   </w:t>
            </w:r>
          </w:p>
          <w:p w14:paraId="3B700A0C">
            <w:pPr>
              <w:adjustRightInd w:val="0"/>
              <w:snapToGrid w:val="0"/>
              <w:spacing w:before="0" w:beforeLines="0" w:line="400" w:lineRule="exact"/>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绩效激励：</w:t>
            </w:r>
            <w:r>
              <w:rPr>
                <w:rFonts w:hint="eastAsia" w:ascii="仿宋" w:hAnsi="仿宋" w:eastAsia="仿宋" w:cs="仿宋"/>
                <w:color w:val="auto"/>
                <w:sz w:val="24"/>
                <w:szCs w:val="24"/>
                <w:highlight w:val="none"/>
                <w:u w:val="single"/>
              </w:rPr>
              <w:t xml:space="preserve">      （应明确按照绩效激励方式的支付方式和支付条件）   </w:t>
            </w:r>
          </w:p>
          <w:p w14:paraId="30F34481">
            <w:pPr>
              <w:numPr>
                <w:ilvl w:val="0"/>
                <w:numId w:val="0"/>
              </w:numPr>
              <w:adjustRightInd w:val="0"/>
              <w:snapToGrid w:val="0"/>
              <w:spacing w:before="0" w:beforeLines="0" w:line="400" w:lineRule="exact"/>
              <w:rPr>
                <w:rFonts w:hint="eastAsia" w:ascii="仿宋" w:hAnsi="仿宋" w:eastAsia="仿宋" w:cs="仿宋"/>
                <w:b/>
                <w:bCs w:val="0"/>
                <w:color w:val="auto"/>
                <w:sz w:val="24"/>
                <w:szCs w:val="24"/>
                <w:highlight w:val="none"/>
                <w:u w:val="single"/>
              </w:rPr>
            </w:pPr>
            <w:r>
              <w:rPr>
                <w:rFonts w:hint="eastAsia" w:ascii="仿宋" w:hAnsi="仿宋" w:eastAsia="仿宋" w:cs="仿宋"/>
                <w:b/>
                <w:bCs w:val="0"/>
                <w:color w:val="auto"/>
                <w:sz w:val="24"/>
                <w:szCs w:val="24"/>
                <w:highlight w:val="none"/>
                <w:lang w:val="en-US" w:eastAsia="zh-CN"/>
              </w:rPr>
              <w:t>3.</w:t>
            </w:r>
            <w:r>
              <w:rPr>
                <w:rFonts w:hint="eastAsia" w:ascii="仿宋" w:hAnsi="仿宋" w:eastAsia="仿宋" w:cs="仿宋"/>
                <w:b/>
                <w:bCs w:val="0"/>
                <w:color w:val="auto"/>
                <w:sz w:val="24"/>
                <w:szCs w:val="24"/>
                <w:highlight w:val="none"/>
              </w:rPr>
              <w:t>合同履行</w:t>
            </w:r>
          </w:p>
          <w:p w14:paraId="20AFEB25">
            <w:pPr>
              <w:adjustRightInd w:val="0"/>
              <w:snapToGrid w:val="0"/>
              <w:spacing w:before="0" w:beforeLines="0"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（1）起始日期：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日，完成日期：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758298E9">
            <w:pPr>
              <w:adjustRightInd w:val="0"/>
              <w:snapToGrid w:val="0"/>
              <w:spacing w:before="0" w:beforeLines="0" w:line="40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履约</w:t>
            </w:r>
            <w:r>
              <w:rPr>
                <w:rFonts w:hint="eastAsia" w:ascii="仿宋" w:hAnsi="仿宋" w:eastAsia="仿宋" w:cs="仿宋"/>
                <w:color w:val="auto"/>
                <w:sz w:val="24"/>
                <w:szCs w:val="24"/>
                <w:highlight w:val="none"/>
              </w:rPr>
              <w:t>地点</w:t>
            </w:r>
            <w:r>
              <w:rPr>
                <w:rFonts w:hint="eastAsia" w:ascii="仿宋" w:hAnsi="仿宋" w:eastAsia="仿宋" w:cs="仿宋"/>
                <w:b w:val="0"/>
                <w:bCs/>
                <w:color w:val="auto"/>
                <w:sz w:val="24"/>
                <w:szCs w:val="24"/>
                <w:highlight w:val="none"/>
              </w:rPr>
              <w:t>：</w:t>
            </w:r>
            <w:r>
              <w:rPr>
                <w:rFonts w:hint="eastAsia" w:ascii="仿宋" w:hAnsi="仿宋" w:eastAsia="仿宋" w:cs="仿宋"/>
                <w:color w:val="auto"/>
                <w:sz w:val="24"/>
                <w:szCs w:val="24"/>
                <w:highlight w:val="none"/>
                <w:u w:val="single"/>
              </w:rPr>
              <w:t xml:space="preserve">                             </w:t>
            </w:r>
          </w:p>
          <w:p w14:paraId="1466C11A">
            <w:pPr>
              <w:adjustRightInd w:val="0"/>
              <w:snapToGrid w:val="0"/>
              <w:spacing w:before="0" w:beforeLines="0" w:line="400" w:lineRule="exact"/>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bCs/>
                <w:color w:val="auto"/>
                <w:sz w:val="24"/>
                <w:szCs w:val="24"/>
                <w:highlight w:val="none"/>
              </w:rPr>
              <w:t>（3）履约担保：</w:t>
            </w:r>
            <w:r>
              <w:rPr>
                <w:rFonts w:hint="eastAsia" w:ascii="仿宋" w:hAnsi="仿宋" w:eastAsia="仿宋" w:cs="仿宋"/>
                <w:color w:val="auto"/>
                <w:sz w:val="24"/>
                <w:szCs w:val="24"/>
                <w:highlight w:val="none"/>
                <w:lang w:val="en-US" w:eastAsia="zh-CN"/>
              </w:rPr>
              <w:t>是否收取履约保证金：</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lang w:eastAsia="zh-CN"/>
              </w:rPr>
              <w:t>是</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lang w:eastAsia="zh-CN"/>
              </w:rPr>
              <w:t>否</w:t>
            </w:r>
          </w:p>
          <w:p w14:paraId="64ACD415">
            <w:pPr>
              <w:pStyle w:val="247"/>
              <w:spacing w:beforeLines="0"/>
              <w:rPr>
                <w:rFonts w:hint="eastAsia" w:ascii="仿宋" w:hAnsi="仿宋" w:eastAsia="仿宋" w:cs="仿宋"/>
                <w:color w:val="auto"/>
                <w:sz w:val="24"/>
                <w:szCs w:val="24"/>
                <w:highlight w:val="none"/>
                <w:lang w:val="en-US" w:eastAsia="zh-CN"/>
              </w:rPr>
            </w:pPr>
            <w:r>
              <w:rPr>
                <w:rFonts w:hint="eastAsia" w:ascii="仿宋" w:hAnsi="仿宋" w:eastAsia="仿宋" w:cs="仿宋"/>
                <w:bCs/>
                <w:color w:val="auto"/>
                <w:sz w:val="24"/>
                <w:szCs w:val="24"/>
                <w:highlight w:val="none"/>
                <w:u w:val="none"/>
                <w:lang w:val="en-US" w:eastAsia="zh-CN"/>
              </w:rPr>
              <w:t xml:space="preserve">  </w:t>
            </w:r>
            <w:r>
              <w:rPr>
                <w:rFonts w:hint="eastAsia" w:ascii="仿宋" w:hAnsi="仿宋" w:eastAsia="仿宋" w:cs="仿宋"/>
                <w:color w:val="auto"/>
                <w:sz w:val="24"/>
                <w:szCs w:val="24"/>
                <w:highlight w:val="none"/>
                <w:lang w:val="en-US" w:eastAsia="zh-CN"/>
              </w:rPr>
              <w:t xml:space="preserve">  收取履约保证金形式：</w:t>
            </w:r>
            <w:r>
              <w:rPr>
                <w:rFonts w:hint="eastAsia" w:ascii="仿宋" w:hAnsi="仿宋" w:eastAsia="仿宋" w:cs="仿宋"/>
                <w:bCs/>
                <w:color w:val="auto"/>
                <w:sz w:val="24"/>
                <w:szCs w:val="24"/>
                <w:highlight w:val="none"/>
                <w:u w:val="single"/>
              </w:rPr>
              <w:t xml:space="preserve">                            </w:t>
            </w:r>
          </w:p>
          <w:p w14:paraId="604CCAD7">
            <w:pPr>
              <w:pStyle w:val="247"/>
              <w:spacing w:beforeLine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收取履约保证金金额：</w:t>
            </w:r>
            <w:r>
              <w:rPr>
                <w:rFonts w:hint="eastAsia" w:ascii="仿宋" w:hAnsi="仿宋" w:eastAsia="仿宋" w:cs="仿宋"/>
                <w:bCs/>
                <w:color w:val="auto"/>
                <w:sz w:val="24"/>
                <w:szCs w:val="24"/>
                <w:highlight w:val="none"/>
                <w:u w:val="single"/>
              </w:rPr>
              <w:t xml:space="preserve">                            </w:t>
            </w:r>
          </w:p>
          <w:p w14:paraId="53D49E6F">
            <w:pPr>
              <w:snapToGrid w:val="0"/>
              <w:spacing w:beforeLines="0" w:line="40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bCs/>
                <w:color w:val="auto"/>
                <w:sz w:val="24"/>
                <w:szCs w:val="24"/>
                <w:highlight w:val="none"/>
                <w:u w:val="none"/>
                <w:lang w:val="en-US" w:eastAsia="zh-CN"/>
              </w:rPr>
              <w:t xml:space="preserve">    履约担保期限</w:t>
            </w:r>
            <w:r>
              <w:rPr>
                <w:rFonts w:hint="eastAsia" w:ascii="仿宋" w:hAnsi="仿宋" w:eastAsia="仿宋" w:cs="仿宋"/>
                <w:bCs/>
                <w:color w:val="auto"/>
                <w:sz w:val="24"/>
                <w:szCs w:val="24"/>
                <w:highlight w:val="none"/>
                <w:u w:val="none"/>
                <w:lang w:eastAsia="zh-CN"/>
              </w:rPr>
              <w:t>：</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u w:val="single"/>
              </w:rPr>
              <w:t xml:space="preserve">       </w:t>
            </w:r>
          </w:p>
          <w:p w14:paraId="5DE31643">
            <w:pPr>
              <w:adjustRightInd w:val="0"/>
              <w:snapToGrid w:val="0"/>
              <w:spacing w:before="0" w:beforeLines="0" w:line="4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（4）分期履行要求：</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u w:val="single"/>
              </w:rPr>
              <w:t xml:space="preserve"> </w:t>
            </w:r>
          </w:p>
          <w:p w14:paraId="2CD7CF52">
            <w:pPr>
              <w:adjustRightInd w:val="0"/>
              <w:snapToGrid w:val="0"/>
              <w:spacing w:before="0" w:beforeLines="0" w:line="40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bCs/>
                <w:color w:val="auto"/>
                <w:sz w:val="24"/>
                <w:szCs w:val="24"/>
                <w:highlight w:val="none"/>
              </w:rPr>
              <w:t>（5）</w:t>
            </w:r>
            <w:r>
              <w:rPr>
                <w:rFonts w:hint="eastAsia" w:ascii="仿宋" w:hAnsi="仿宋" w:eastAsia="仿宋" w:cs="仿宋"/>
                <w:bCs/>
                <w:color w:val="auto"/>
                <w:sz w:val="24"/>
                <w:szCs w:val="24"/>
                <w:highlight w:val="none"/>
                <w:lang w:eastAsia="zh-CN"/>
              </w:rPr>
              <w:t>风险处置措施和替代方案</w:t>
            </w:r>
            <w:r>
              <w:rPr>
                <w:rFonts w:hint="eastAsia" w:ascii="仿宋" w:hAnsi="仿宋" w:eastAsia="仿宋" w:cs="仿宋"/>
                <w:bCs/>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6B6F0307">
            <w:pPr>
              <w:numPr>
                <w:ilvl w:val="0"/>
                <w:numId w:val="0"/>
              </w:numPr>
              <w:adjustRightInd w:val="0"/>
              <w:snapToGrid w:val="0"/>
              <w:spacing w:before="0" w:beforeLines="0" w:line="40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4.</w:t>
            </w:r>
            <w:r>
              <w:rPr>
                <w:rFonts w:hint="eastAsia" w:ascii="仿宋" w:hAnsi="仿宋" w:eastAsia="仿宋" w:cs="仿宋"/>
                <w:b/>
                <w:color w:val="auto"/>
                <w:sz w:val="24"/>
                <w:szCs w:val="24"/>
                <w:highlight w:val="none"/>
              </w:rPr>
              <w:t>合同验收</w:t>
            </w:r>
          </w:p>
          <w:p w14:paraId="505C1980">
            <w:pPr>
              <w:numPr>
                <w:ilvl w:val="0"/>
                <w:numId w:val="2"/>
              </w:numPr>
              <w:adjustRightInd w:val="0"/>
              <w:snapToGrid w:val="0"/>
              <w:spacing w:before="0" w:beforeLines="0" w:line="4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验收组织方式：</w:t>
            </w:r>
            <w:r>
              <w:rPr>
                <w:rFonts w:hint="eastAsia" w:ascii="仿宋" w:hAnsi="仿宋" w:eastAsia="仿宋" w:cs="仿宋"/>
                <w:color w:val="auto"/>
                <w:sz w:val="24"/>
                <w:szCs w:val="24"/>
                <w:highlight w:val="none"/>
              </w:rPr>
              <w:sym w:font="Wingdings" w:char="00A8"/>
            </w:r>
            <w:r>
              <w:rPr>
                <w:rFonts w:hint="eastAsia" w:ascii="仿宋" w:hAnsi="仿宋" w:eastAsia="仿宋" w:cs="仿宋"/>
                <w:bCs/>
                <w:color w:val="auto"/>
                <w:sz w:val="24"/>
                <w:szCs w:val="24"/>
                <w:highlight w:val="none"/>
              </w:rPr>
              <w:t xml:space="preserve">自行组织 </w:t>
            </w:r>
            <w:r>
              <w:rPr>
                <w:rFonts w:hint="eastAsia" w:ascii="仿宋" w:hAnsi="仿宋" w:eastAsia="仿宋" w:cs="仿宋"/>
                <w:color w:val="auto"/>
                <w:sz w:val="24"/>
                <w:szCs w:val="24"/>
                <w:highlight w:val="none"/>
              </w:rPr>
              <w:sym w:font="Wingdings" w:char="00A8"/>
            </w:r>
            <w:r>
              <w:rPr>
                <w:rFonts w:hint="eastAsia" w:ascii="仿宋" w:hAnsi="仿宋" w:eastAsia="仿宋" w:cs="仿宋"/>
                <w:bCs/>
                <w:color w:val="auto"/>
                <w:sz w:val="24"/>
                <w:szCs w:val="24"/>
                <w:highlight w:val="none"/>
              </w:rPr>
              <w:t>委托第三方组织</w:t>
            </w:r>
          </w:p>
          <w:p w14:paraId="6448D94D">
            <w:pPr>
              <w:numPr>
                <w:ilvl w:val="0"/>
                <w:numId w:val="0"/>
              </w:numPr>
              <w:adjustRightInd w:val="0"/>
              <w:snapToGrid w:val="0"/>
              <w:spacing w:before="0" w:beforeLines="0" w:line="40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 xml:space="preserve">        </w:t>
            </w:r>
            <w:r>
              <w:rPr>
                <w:rFonts w:hint="eastAsia" w:ascii="仿宋" w:hAnsi="仿宋" w:eastAsia="仿宋" w:cs="仿宋"/>
                <w:bCs/>
                <w:color w:val="auto"/>
                <w:sz w:val="24"/>
                <w:szCs w:val="24"/>
                <w:highlight w:val="none"/>
              </w:rPr>
              <w:t>验收主体：</w:t>
            </w:r>
            <w:r>
              <w:rPr>
                <w:rFonts w:hint="eastAsia" w:ascii="仿宋" w:hAnsi="仿宋" w:eastAsia="仿宋" w:cs="仿宋"/>
                <w:bCs/>
                <w:color w:val="auto"/>
                <w:sz w:val="24"/>
                <w:szCs w:val="24"/>
                <w:highlight w:val="none"/>
                <w:u w:val="single"/>
              </w:rPr>
              <w:t xml:space="preserve">                  </w:t>
            </w:r>
          </w:p>
          <w:p w14:paraId="58791914">
            <w:pPr>
              <w:adjustRightInd w:val="0"/>
              <w:snapToGrid w:val="0"/>
              <w:spacing w:before="0" w:beforeLines="0" w:line="400" w:lineRule="exact"/>
              <w:ind w:firstLine="0"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 xml:space="preserve">        </w:t>
            </w:r>
            <w:r>
              <w:rPr>
                <w:rFonts w:hint="eastAsia" w:ascii="仿宋" w:hAnsi="仿宋" w:eastAsia="仿宋" w:cs="仿宋"/>
                <w:bCs/>
                <w:color w:val="auto"/>
                <w:sz w:val="24"/>
                <w:szCs w:val="24"/>
                <w:highlight w:val="none"/>
              </w:rPr>
              <w:t>是否邀请本项目的其他</w:t>
            </w:r>
            <w:r>
              <w:rPr>
                <w:rFonts w:hint="eastAsia" w:ascii="仿宋" w:hAnsi="仿宋" w:eastAsia="仿宋" w:cs="仿宋"/>
                <w:bCs/>
                <w:color w:val="auto"/>
                <w:sz w:val="24"/>
                <w:szCs w:val="24"/>
                <w:highlight w:val="none"/>
                <w:lang w:eastAsia="zh-CN"/>
              </w:rPr>
              <w:t>投标人参加验收</w:t>
            </w:r>
            <w:r>
              <w:rPr>
                <w:rFonts w:hint="eastAsia" w:ascii="仿宋" w:hAnsi="仿宋" w:eastAsia="仿宋" w:cs="仿宋"/>
                <w:bCs/>
                <w:color w:val="auto"/>
                <w:sz w:val="24"/>
                <w:szCs w:val="24"/>
                <w:highlight w:val="none"/>
              </w:rPr>
              <w:t>：</w:t>
            </w:r>
            <w:r>
              <w:rPr>
                <w:rFonts w:hint="eastAsia" w:ascii="仿宋" w:hAnsi="仿宋" w:eastAsia="仿宋" w:cs="仿宋"/>
                <w:color w:val="auto"/>
                <w:sz w:val="24"/>
                <w:szCs w:val="24"/>
                <w:highlight w:val="none"/>
              </w:rPr>
              <w:sym w:font="Wingdings" w:char="00A8"/>
            </w:r>
            <w:r>
              <w:rPr>
                <w:rFonts w:hint="eastAsia" w:ascii="仿宋" w:hAnsi="仿宋" w:eastAsia="仿宋" w:cs="仿宋"/>
                <w:bCs/>
                <w:color w:val="auto"/>
                <w:sz w:val="24"/>
                <w:szCs w:val="24"/>
                <w:highlight w:val="none"/>
              </w:rPr>
              <w:t xml:space="preserve">是  </w:t>
            </w:r>
            <w:r>
              <w:rPr>
                <w:rFonts w:hint="eastAsia" w:ascii="仿宋" w:hAnsi="仿宋" w:eastAsia="仿宋" w:cs="仿宋"/>
                <w:color w:val="auto"/>
                <w:sz w:val="24"/>
                <w:szCs w:val="24"/>
                <w:highlight w:val="none"/>
              </w:rPr>
              <w:sym w:font="Wingdings" w:char="00A8"/>
            </w:r>
            <w:r>
              <w:rPr>
                <w:rFonts w:hint="eastAsia" w:ascii="仿宋" w:hAnsi="仿宋" w:eastAsia="仿宋" w:cs="仿宋"/>
                <w:bCs/>
                <w:color w:val="auto"/>
                <w:sz w:val="24"/>
                <w:szCs w:val="24"/>
                <w:highlight w:val="none"/>
              </w:rPr>
              <w:t>否</w:t>
            </w:r>
          </w:p>
          <w:p w14:paraId="05811CC1">
            <w:pPr>
              <w:adjustRightInd w:val="0"/>
              <w:snapToGrid w:val="0"/>
              <w:spacing w:before="0" w:beforeLines="0" w:line="400" w:lineRule="exact"/>
              <w:ind w:firstLine="960" w:firstLineChars="4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是否邀请专家</w:t>
            </w:r>
            <w:r>
              <w:rPr>
                <w:rFonts w:hint="eastAsia" w:ascii="仿宋" w:hAnsi="仿宋" w:eastAsia="仿宋" w:cs="仿宋"/>
                <w:bCs/>
                <w:color w:val="auto"/>
                <w:sz w:val="24"/>
                <w:szCs w:val="24"/>
                <w:highlight w:val="none"/>
                <w:lang w:eastAsia="zh-CN"/>
              </w:rPr>
              <w:t>参加验收</w:t>
            </w:r>
            <w:r>
              <w:rPr>
                <w:rFonts w:hint="eastAsia" w:ascii="仿宋" w:hAnsi="仿宋" w:eastAsia="仿宋" w:cs="仿宋"/>
                <w:bCs/>
                <w:color w:val="auto"/>
                <w:sz w:val="24"/>
                <w:szCs w:val="24"/>
                <w:highlight w:val="none"/>
              </w:rPr>
              <w:t>：</w:t>
            </w:r>
            <w:r>
              <w:rPr>
                <w:rFonts w:hint="eastAsia" w:ascii="仿宋" w:hAnsi="仿宋" w:eastAsia="仿宋" w:cs="仿宋"/>
                <w:color w:val="auto"/>
                <w:sz w:val="24"/>
                <w:szCs w:val="24"/>
                <w:highlight w:val="none"/>
              </w:rPr>
              <w:sym w:font="Wingdings" w:char="00A8"/>
            </w:r>
            <w:r>
              <w:rPr>
                <w:rFonts w:hint="eastAsia" w:ascii="仿宋" w:hAnsi="仿宋" w:eastAsia="仿宋" w:cs="仿宋"/>
                <w:bCs/>
                <w:color w:val="auto"/>
                <w:sz w:val="24"/>
                <w:szCs w:val="24"/>
                <w:highlight w:val="none"/>
              </w:rPr>
              <w:t xml:space="preserve">是  </w:t>
            </w:r>
            <w:r>
              <w:rPr>
                <w:rFonts w:hint="eastAsia" w:ascii="仿宋" w:hAnsi="仿宋" w:eastAsia="仿宋" w:cs="仿宋"/>
                <w:color w:val="auto"/>
                <w:sz w:val="24"/>
                <w:szCs w:val="24"/>
                <w:highlight w:val="none"/>
              </w:rPr>
              <w:sym w:font="Wingdings" w:char="00A8"/>
            </w:r>
            <w:r>
              <w:rPr>
                <w:rFonts w:hint="eastAsia" w:ascii="仿宋" w:hAnsi="仿宋" w:eastAsia="仿宋" w:cs="仿宋"/>
                <w:bCs/>
                <w:color w:val="auto"/>
                <w:sz w:val="24"/>
                <w:szCs w:val="24"/>
                <w:highlight w:val="none"/>
              </w:rPr>
              <w:t>否</w:t>
            </w:r>
          </w:p>
          <w:p w14:paraId="3F7A0613">
            <w:pPr>
              <w:adjustRightInd w:val="0"/>
              <w:snapToGrid w:val="0"/>
              <w:spacing w:before="0" w:beforeLines="0" w:line="400" w:lineRule="exact"/>
              <w:ind w:firstLine="960" w:firstLineChars="4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是否邀请服务对象</w:t>
            </w:r>
            <w:r>
              <w:rPr>
                <w:rFonts w:hint="eastAsia" w:ascii="仿宋" w:hAnsi="仿宋" w:eastAsia="仿宋" w:cs="仿宋"/>
                <w:bCs/>
                <w:color w:val="auto"/>
                <w:sz w:val="24"/>
                <w:szCs w:val="24"/>
                <w:highlight w:val="none"/>
                <w:lang w:eastAsia="zh-CN"/>
              </w:rPr>
              <w:t>参加验收</w:t>
            </w:r>
            <w:r>
              <w:rPr>
                <w:rFonts w:hint="eastAsia" w:ascii="仿宋" w:hAnsi="仿宋" w:eastAsia="仿宋" w:cs="仿宋"/>
                <w:bCs/>
                <w:color w:val="auto"/>
                <w:sz w:val="24"/>
                <w:szCs w:val="24"/>
                <w:highlight w:val="none"/>
              </w:rPr>
              <w:t>：</w:t>
            </w:r>
            <w:r>
              <w:rPr>
                <w:rFonts w:hint="eastAsia" w:ascii="仿宋" w:hAnsi="仿宋" w:eastAsia="仿宋" w:cs="仿宋"/>
                <w:color w:val="auto"/>
                <w:sz w:val="24"/>
                <w:szCs w:val="24"/>
                <w:highlight w:val="none"/>
              </w:rPr>
              <w:sym w:font="Wingdings" w:char="00A8"/>
            </w:r>
            <w:r>
              <w:rPr>
                <w:rFonts w:hint="eastAsia" w:ascii="仿宋" w:hAnsi="仿宋" w:eastAsia="仿宋" w:cs="仿宋"/>
                <w:bCs/>
                <w:color w:val="auto"/>
                <w:sz w:val="24"/>
                <w:szCs w:val="24"/>
                <w:highlight w:val="none"/>
              </w:rPr>
              <w:t xml:space="preserve">是  </w:t>
            </w:r>
            <w:r>
              <w:rPr>
                <w:rFonts w:hint="eastAsia" w:ascii="仿宋" w:hAnsi="仿宋" w:eastAsia="仿宋" w:cs="仿宋"/>
                <w:color w:val="auto"/>
                <w:sz w:val="24"/>
                <w:szCs w:val="24"/>
                <w:highlight w:val="none"/>
              </w:rPr>
              <w:sym w:font="Wingdings" w:char="00A8"/>
            </w:r>
            <w:r>
              <w:rPr>
                <w:rFonts w:hint="eastAsia" w:ascii="仿宋" w:hAnsi="仿宋" w:eastAsia="仿宋" w:cs="仿宋"/>
                <w:bCs/>
                <w:color w:val="auto"/>
                <w:sz w:val="24"/>
                <w:szCs w:val="24"/>
                <w:highlight w:val="none"/>
              </w:rPr>
              <w:t>否</w:t>
            </w:r>
          </w:p>
          <w:p w14:paraId="19595D1D">
            <w:pPr>
              <w:adjustRightInd w:val="0"/>
              <w:snapToGrid w:val="0"/>
              <w:spacing w:before="0" w:beforeLines="0" w:line="400" w:lineRule="exact"/>
              <w:ind w:firstLine="960" w:firstLineChars="4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是否邀请第三方检测机构</w:t>
            </w:r>
            <w:r>
              <w:rPr>
                <w:rFonts w:hint="eastAsia" w:ascii="仿宋" w:hAnsi="仿宋" w:eastAsia="仿宋" w:cs="仿宋"/>
                <w:bCs/>
                <w:color w:val="auto"/>
                <w:sz w:val="24"/>
                <w:szCs w:val="24"/>
                <w:highlight w:val="none"/>
                <w:lang w:eastAsia="zh-CN"/>
              </w:rPr>
              <w:t>参加验收</w:t>
            </w:r>
            <w:r>
              <w:rPr>
                <w:rFonts w:hint="eastAsia" w:ascii="仿宋" w:hAnsi="仿宋" w:eastAsia="仿宋" w:cs="仿宋"/>
                <w:bCs/>
                <w:color w:val="auto"/>
                <w:sz w:val="24"/>
                <w:szCs w:val="24"/>
                <w:highlight w:val="none"/>
              </w:rPr>
              <w:t>：</w:t>
            </w:r>
            <w:r>
              <w:rPr>
                <w:rFonts w:hint="eastAsia" w:ascii="仿宋" w:hAnsi="仿宋" w:eastAsia="仿宋" w:cs="仿宋"/>
                <w:color w:val="auto"/>
                <w:sz w:val="24"/>
                <w:szCs w:val="24"/>
                <w:highlight w:val="none"/>
              </w:rPr>
              <w:sym w:font="Wingdings" w:char="00A8"/>
            </w:r>
            <w:r>
              <w:rPr>
                <w:rFonts w:hint="eastAsia" w:ascii="仿宋" w:hAnsi="仿宋" w:eastAsia="仿宋" w:cs="仿宋"/>
                <w:bCs/>
                <w:color w:val="auto"/>
                <w:sz w:val="24"/>
                <w:szCs w:val="24"/>
                <w:highlight w:val="none"/>
              </w:rPr>
              <w:t xml:space="preserve">是  </w:t>
            </w:r>
            <w:r>
              <w:rPr>
                <w:rFonts w:hint="eastAsia" w:ascii="仿宋" w:hAnsi="仿宋" w:eastAsia="仿宋" w:cs="仿宋"/>
                <w:color w:val="auto"/>
                <w:sz w:val="24"/>
                <w:szCs w:val="24"/>
                <w:highlight w:val="none"/>
              </w:rPr>
              <w:sym w:font="Wingdings" w:char="00A8"/>
            </w:r>
            <w:r>
              <w:rPr>
                <w:rFonts w:hint="eastAsia" w:ascii="仿宋" w:hAnsi="仿宋" w:eastAsia="仿宋" w:cs="仿宋"/>
                <w:bCs/>
                <w:color w:val="auto"/>
                <w:sz w:val="24"/>
                <w:szCs w:val="24"/>
                <w:highlight w:val="none"/>
              </w:rPr>
              <w:t>否</w:t>
            </w:r>
          </w:p>
          <w:p w14:paraId="70ADC18A">
            <w:pPr>
              <w:adjustRightInd w:val="0"/>
              <w:snapToGrid w:val="0"/>
              <w:spacing w:before="0" w:beforeLines="0" w:line="400" w:lineRule="exact"/>
              <w:ind w:firstLine="960" w:firstLineChars="4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是否进行抽查检测：</w:t>
            </w:r>
            <w:r>
              <w:rPr>
                <w:rFonts w:hint="eastAsia" w:ascii="仿宋" w:hAnsi="仿宋" w:eastAsia="仿宋" w:cs="仿宋"/>
                <w:color w:val="auto"/>
                <w:sz w:val="24"/>
                <w:szCs w:val="24"/>
                <w:highlight w:val="none"/>
              </w:rPr>
              <w:sym w:font="Wingdings" w:char="00A8"/>
            </w:r>
            <w:r>
              <w:rPr>
                <w:rFonts w:hint="eastAsia" w:ascii="仿宋" w:hAnsi="仿宋" w:eastAsia="仿宋" w:cs="仿宋"/>
                <w:bCs/>
                <w:color w:val="auto"/>
                <w:sz w:val="24"/>
                <w:szCs w:val="24"/>
                <w:highlight w:val="none"/>
              </w:rPr>
              <w:t>是</w:t>
            </w:r>
            <w:r>
              <w:rPr>
                <w:rFonts w:hint="eastAsia" w:ascii="仿宋" w:hAnsi="仿宋" w:eastAsia="仿宋" w:cs="仿宋"/>
                <w:bCs/>
                <w:color w:val="auto"/>
                <w:sz w:val="24"/>
                <w:szCs w:val="24"/>
                <w:highlight w:val="none"/>
                <w:lang w:eastAsia="zh-CN"/>
              </w:rPr>
              <w:t>，抽查比例：</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rPr>
              <w:t xml:space="preserve"> </w:t>
            </w:r>
            <w:r>
              <w:rPr>
                <w:rFonts w:hint="eastAsia" w:ascii="仿宋" w:hAnsi="仿宋" w:eastAsia="仿宋" w:cs="仿宋"/>
                <w:color w:val="auto"/>
                <w:sz w:val="24"/>
                <w:szCs w:val="24"/>
                <w:highlight w:val="none"/>
              </w:rPr>
              <w:sym w:font="Wingdings" w:char="00A8"/>
            </w:r>
            <w:r>
              <w:rPr>
                <w:rFonts w:hint="eastAsia" w:ascii="仿宋" w:hAnsi="仿宋" w:eastAsia="仿宋" w:cs="仿宋"/>
                <w:bCs/>
                <w:color w:val="auto"/>
                <w:sz w:val="24"/>
                <w:szCs w:val="24"/>
                <w:highlight w:val="none"/>
              </w:rPr>
              <w:t>否</w:t>
            </w:r>
          </w:p>
          <w:p w14:paraId="158A357A">
            <w:pPr>
              <w:adjustRightInd w:val="0"/>
              <w:snapToGrid w:val="0"/>
              <w:spacing w:before="0" w:beforeLines="0" w:line="400" w:lineRule="exact"/>
              <w:ind w:firstLine="960" w:firstLineChars="400"/>
              <w:rPr>
                <w:rFonts w:hint="eastAsia" w:ascii="仿宋" w:hAnsi="仿宋" w:eastAsia="仿宋" w:cs="仿宋"/>
                <w:bCs/>
                <w:color w:val="auto"/>
                <w:sz w:val="24"/>
                <w:szCs w:val="24"/>
                <w:highlight w:val="none"/>
                <w:u w:val="single"/>
                <w:lang w:eastAsia="zh-CN"/>
              </w:rPr>
            </w:pPr>
            <w:r>
              <w:rPr>
                <w:rFonts w:hint="eastAsia" w:ascii="仿宋" w:hAnsi="仿宋" w:eastAsia="仿宋" w:cs="仿宋"/>
                <w:bCs/>
                <w:color w:val="auto"/>
                <w:sz w:val="24"/>
                <w:szCs w:val="24"/>
                <w:highlight w:val="none"/>
                <w:lang w:val="en-US" w:eastAsia="zh-CN"/>
              </w:rPr>
              <w:t>是否存在破坏性检测：</w:t>
            </w:r>
            <w:r>
              <w:rPr>
                <w:rFonts w:hint="eastAsia" w:ascii="仿宋" w:hAnsi="仿宋" w:eastAsia="仿宋" w:cs="仿宋"/>
                <w:color w:val="auto"/>
                <w:sz w:val="24"/>
                <w:szCs w:val="24"/>
                <w:highlight w:val="none"/>
              </w:rPr>
              <w:sym w:font="Wingdings" w:char="00A8"/>
            </w:r>
            <w:r>
              <w:rPr>
                <w:rFonts w:hint="eastAsia" w:ascii="仿宋" w:hAnsi="仿宋" w:eastAsia="仿宋" w:cs="仿宋"/>
                <w:bCs/>
                <w:color w:val="auto"/>
                <w:sz w:val="24"/>
                <w:szCs w:val="24"/>
                <w:highlight w:val="none"/>
              </w:rPr>
              <w:t>是</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u w:val="single"/>
                <w:lang w:eastAsia="zh-CN"/>
              </w:rPr>
              <w:t>（应明确对被破坏的检测产品的处理方式）</w:t>
            </w:r>
          </w:p>
          <w:p w14:paraId="55830420">
            <w:pPr>
              <w:adjustRightInd w:val="0"/>
              <w:snapToGrid w:val="0"/>
              <w:spacing w:before="0" w:beforeLines="0" w:line="400" w:lineRule="exact"/>
              <w:ind w:firstLine="960" w:firstLineChars="400"/>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val="en-US" w:eastAsia="zh-CN"/>
              </w:rPr>
              <w:t xml:space="preserve">                    </w:t>
            </w:r>
            <w:r>
              <w:rPr>
                <w:rFonts w:hint="eastAsia" w:ascii="仿宋" w:hAnsi="仿宋" w:eastAsia="仿宋" w:cs="仿宋"/>
                <w:color w:val="auto"/>
                <w:sz w:val="24"/>
                <w:szCs w:val="24"/>
                <w:highlight w:val="none"/>
              </w:rPr>
              <w:sym w:font="Wingdings" w:char="00A8"/>
            </w:r>
            <w:r>
              <w:rPr>
                <w:rFonts w:hint="eastAsia" w:ascii="仿宋" w:hAnsi="仿宋" w:eastAsia="仿宋" w:cs="仿宋"/>
                <w:bCs/>
                <w:color w:val="auto"/>
                <w:sz w:val="24"/>
                <w:szCs w:val="24"/>
                <w:highlight w:val="none"/>
              </w:rPr>
              <w:t>否</w:t>
            </w:r>
          </w:p>
          <w:p w14:paraId="2052A98E">
            <w:pPr>
              <w:adjustRightInd w:val="0"/>
              <w:snapToGrid w:val="0"/>
              <w:spacing w:before="0" w:beforeLines="0" w:line="400" w:lineRule="exact"/>
              <w:ind w:firstLine="960" w:firstLineChars="4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验收组织的其他事项：</w:t>
            </w:r>
            <w:r>
              <w:rPr>
                <w:rFonts w:hint="eastAsia" w:ascii="仿宋" w:hAnsi="仿宋" w:eastAsia="仿宋" w:cs="仿宋"/>
                <w:bCs/>
                <w:color w:val="auto"/>
                <w:sz w:val="24"/>
                <w:szCs w:val="24"/>
                <w:highlight w:val="none"/>
                <w:u w:val="single"/>
              </w:rPr>
              <w:t xml:space="preserve">                </w:t>
            </w:r>
          </w:p>
          <w:p w14:paraId="481939F3">
            <w:pPr>
              <w:adjustRightInd w:val="0"/>
              <w:snapToGrid w:val="0"/>
              <w:spacing w:before="0" w:beforeLines="0" w:line="400" w:lineRule="exact"/>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（2）履约验收时间：</w:t>
            </w:r>
            <w:r>
              <w:rPr>
                <w:rFonts w:hint="eastAsia" w:ascii="仿宋" w:hAnsi="仿宋" w:eastAsia="仿宋" w:cs="仿宋"/>
                <w:bCs/>
                <w:color w:val="auto"/>
                <w:sz w:val="24"/>
                <w:szCs w:val="24"/>
                <w:highlight w:val="none"/>
                <w:u w:val="single"/>
              </w:rPr>
              <w:t>（计划于何时验收/</w:t>
            </w:r>
            <w:r>
              <w:rPr>
                <w:rFonts w:hint="eastAsia" w:ascii="仿宋" w:hAnsi="仿宋" w:eastAsia="仿宋" w:cs="仿宋"/>
                <w:bCs/>
                <w:color w:val="auto"/>
                <w:sz w:val="24"/>
                <w:szCs w:val="24"/>
                <w:highlight w:val="none"/>
                <w:u w:val="single"/>
                <w:lang w:eastAsia="zh-CN"/>
              </w:rPr>
              <w:t>投标人</w:t>
            </w:r>
            <w:r>
              <w:rPr>
                <w:rFonts w:hint="eastAsia" w:ascii="仿宋" w:hAnsi="仿宋" w:eastAsia="仿宋" w:cs="仿宋"/>
                <w:bCs/>
                <w:color w:val="auto"/>
                <w:sz w:val="24"/>
                <w:szCs w:val="24"/>
                <w:highlight w:val="none"/>
                <w:u w:val="single"/>
              </w:rPr>
              <w:t>提出验收申请之日起   日内组织验收）</w:t>
            </w:r>
          </w:p>
          <w:p w14:paraId="5B9AD20D">
            <w:pPr>
              <w:adjustRightInd w:val="0"/>
              <w:snapToGrid w:val="0"/>
              <w:spacing w:before="0" w:beforeLines="0" w:line="4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（3）履约验收方式：</w:t>
            </w:r>
            <w:r>
              <w:rPr>
                <w:rFonts w:hint="eastAsia" w:ascii="仿宋" w:hAnsi="仿宋" w:eastAsia="仿宋" w:cs="仿宋"/>
                <w:color w:val="auto"/>
                <w:sz w:val="24"/>
                <w:szCs w:val="24"/>
                <w:highlight w:val="none"/>
              </w:rPr>
              <w:sym w:font="Wingdings" w:char="00A8"/>
            </w:r>
            <w:r>
              <w:rPr>
                <w:rFonts w:hint="eastAsia" w:ascii="仿宋" w:hAnsi="仿宋" w:eastAsia="仿宋" w:cs="仿宋"/>
                <w:bCs/>
                <w:color w:val="auto"/>
                <w:sz w:val="24"/>
                <w:szCs w:val="24"/>
                <w:highlight w:val="none"/>
              </w:rPr>
              <w:t xml:space="preserve">一次性验收         </w:t>
            </w:r>
          </w:p>
          <w:p w14:paraId="7BAFBBCF">
            <w:pPr>
              <w:adjustRightInd w:val="0"/>
              <w:snapToGrid w:val="0"/>
              <w:spacing w:before="0" w:beforeLines="0" w:line="400" w:lineRule="exact"/>
              <w:ind w:firstLine="0" w:firstLineChars="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 xml:space="preserve">                       </w:t>
            </w:r>
            <w:r>
              <w:rPr>
                <w:rFonts w:hint="eastAsia" w:ascii="仿宋" w:hAnsi="仿宋" w:eastAsia="仿宋" w:cs="仿宋"/>
                <w:color w:val="auto"/>
                <w:sz w:val="24"/>
                <w:szCs w:val="24"/>
                <w:highlight w:val="none"/>
              </w:rPr>
              <w:sym w:font="Wingdings" w:char="00A8"/>
            </w:r>
            <w:r>
              <w:rPr>
                <w:rFonts w:hint="eastAsia" w:ascii="仿宋" w:hAnsi="仿宋" w:eastAsia="仿宋" w:cs="仿宋"/>
                <w:bCs/>
                <w:color w:val="auto"/>
                <w:sz w:val="24"/>
                <w:szCs w:val="24"/>
                <w:highlight w:val="none"/>
              </w:rPr>
              <w:t>分期/分项验收</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eastAsia="zh-CN"/>
              </w:rPr>
              <w:t>（应明确分期</w:t>
            </w:r>
            <w:r>
              <w:rPr>
                <w:rFonts w:hint="eastAsia" w:ascii="仿宋" w:hAnsi="仿宋" w:eastAsia="仿宋" w:cs="仿宋"/>
                <w:bCs/>
                <w:color w:val="auto"/>
                <w:sz w:val="24"/>
                <w:szCs w:val="24"/>
                <w:highlight w:val="none"/>
                <w:u w:val="single"/>
                <w:lang w:val="en" w:eastAsia="zh-CN"/>
              </w:rPr>
              <w:t>/分项验收的工作安排</w:t>
            </w:r>
            <w:r>
              <w:rPr>
                <w:rFonts w:hint="eastAsia" w:ascii="仿宋" w:hAnsi="仿宋" w:eastAsia="仿宋" w:cs="仿宋"/>
                <w:bCs/>
                <w:color w:val="auto"/>
                <w:sz w:val="24"/>
                <w:szCs w:val="24"/>
                <w:highlight w:val="none"/>
                <w:u w:val="single"/>
                <w:lang w:eastAsia="zh-CN"/>
              </w:rPr>
              <w:t>）</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 </w:t>
            </w:r>
          </w:p>
          <w:p w14:paraId="3FFAC989">
            <w:pPr>
              <w:adjustRightInd w:val="0"/>
              <w:snapToGrid w:val="0"/>
              <w:spacing w:before="0" w:beforeLines="0" w:line="4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（4）履约验收程序：</w:t>
            </w:r>
            <w:r>
              <w:rPr>
                <w:rFonts w:hint="eastAsia" w:ascii="仿宋" w:hAnsi="仿宋" w:eastAsia="仿宋" w:cs="仿宋"/>
                <w:bCs/>
                <w:color w:val="auto"/>
                <w:sz w:val="24"/>
                <w:szCs w:val="24"/>
                <w:highlight w:val="none"/>
                <w:u w:val="single"/>
              </w:rPr>
              <w:t xml:space="preserve">                                         </w:t>
            </w:r>
          </w:p>
          <w:p w14:paraId="06CF62BE">
            <w:pPr>
              <w:adjustRightInd w:val="0"/>
              <w:snapToGrid w:val="0"/>
              <w:spacing w:before="0" w:beforeLines="0" w:line="400" w:lineRule="exact"/>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（5）履约验收的内容：</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eastAsia="zh-CN"/>
              </w:rPr>
              <w:t>（应当包括每一项技术和商务要求的履约情况，特别是落实政府采购扶持中小企业，支持绿色发展和乡村振兴等政策情况）</w:t>
            </w:r>
            <w:r>
              <w:rPr>
                <w:rFonts w:hint="eastAsia" w:ascii="仿宋" w:hAnsi="仿宋" w:eastAsia="仿宋" w:cs="仿宋"/>
                <w:bCs/>
                <w:color w:val="auto"/>
                <w:sz w:val="24"/>
                <w:szCs w:val="24"/>
                <w:highlight w:val="none"/>
                <w:u w:val="single"/>
              </w:rPr>
              <w:t xml:space="preserve">            </w:t>
            </w:r>
          </w:p>
          <w:p w14:paraId="1DAF1434">
            <w:pPr>
              <w:adjustRightInd w:val="0"/>
              <w:snapToGrid w:val="0"/>
              <w:spacing w:before="0" w:beforeLines="0" w:line="400" w:lineRule="exact"/>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（6）履约验收标准：</w:t>
            </w:r>
            <w:r>
              <w:rPr>
                <w:rFonts w:hint="eastAsia" w:ascii="仿宋" w:hAnsi="仿宋" w:eastAsia="仿宋" w:cs="仿宋"/>
                <w:bCs/>
                <w:color w:val="auto"/>
                <w:sz w:val="24"/>
                <w:szCs w:val="24"/>
                <w:highlight w:val="none"/>
                <w:u w:val="single"/>
              </w:rPr>
              <w:t xml:space="preserve">                                         </w:t>
            </w:r>
          </w:p>
          <w:p w14:paraId="38A3F753">
            <w:pPr>
              <w:pStyle w:val="247"/>
              <w:spacing w:beforeLines="0"/>
              <w:rPr>
                <w:rFonts w:hint="eastAsia" w:ascii="仿宋" w:hAnsi="仿宋" w:eastAsia="仿宋" w:cs="仿宋"/>
                <w:color w:val="auto"/>
                <w:sz w:val="24"/>
                <w:szCs w:val="24"/>
                <w:highlight w:val="none"/>
                <w:lang w:eastAsia="zh-CN"/>
              </w:rPr>
            </w:pPr>
            <w:r>
              <w:rPr>
                <w:rFonts w:hint="eastAsia" w:ascii="仿宋" w:hAnsi="仿宋" w:eastAsia="仿宋" w:cs="仿宋"/>
                <w:bCs/>
                <w:color w:val="auto"/>
                <w:sz w:val="24"/>
                <w:szCs w:val="24"/>
                <w:highlight w:val="none"/>
                <w:u w:val="none"/>
                <w:lang w:eastAsia="zh-CN"/>
              </w:rPr>
              <w:t>（</w:t>
            </w:r>
            <w:r>
              <w:rPr>
                <w:rFonts w:hint="eastAsia" w:ascii="仿宋" w:hAnsi="仿宋" w:eastAsia="仿宋" w:cs="仿宋"/>
                <w:bCs/>
                <w:color w:val="auto"/>
                <w:sz w:val="24"/>
                <w:szCs w:val="24"/>
                <w:highlight w:val="none"/>
                <w:u w:val="none"/>
                <w:lang w:val="en-US" w:eastAsia="zh-CN"/>
              </w:rPr>
              <w:t>7</w:t>
            </w:r>
            <w:r>
              <w:rPr>
                <w:rFonts w:hint="eastAsia" w:ascii="仿宋" w:hAnsi="仿宋" w:eastAsia="仿宋" w:cs="仿宋"/>
                <w:bCs/>
                <w:color w:val="auto"/>
                <w:sz w:val="24"/>
                <w:szCs w:val="24"/>
                <w:highlight w:val="none"/>
                <w:u w:val="none"/>
                <w:lang w:eastAsia="zh-CN"/>
              </w:rPr>
              <w:t>）是否以采购活动中投标人提供的样品作为参考：</w:t>
            </w:r>
            <w:r>
              <w:rPr>
                <w:rFonts w:hint="eastAsia" w:ascii="仿宋" w:hAnsi="仿宋" w:eastAsia="仿宋" w:cs="仿宋"/>
                <w:color w:val="auto"/>
                <w:sz w:val="24"/>
                <w:szCs w:val="24"/>
                <w:highlight w:val="none"/>
              </w:rPr>
              <w:sym w:font="Wingdings" w:char="00A8"/>
            </w:r>
            <w:r>
              <w:rPr>
                <w:rFonts w:hint="eastAsia" w:ascii="仿宋" w:hAnsi="仿宋" w:eastAsia="仿宋" w:cs="仿宋"/>
                <w:bCs/>
                <w:color w:val="auto"/>
                <w:sz w:val="24"/>
                <w:szCs w:val="24"/>
                <w:highlight w:val="none"/>
              </w:rPr>
              <w:t xml:space="preserve">是  </w:t>
            </w:r>
            <w:r>
              <w:rPr>
                <w:rFonts w:hint="eastAsia" w:ascii="仿宋" w:hAnsi="仿宋" w:eastAsia="仿宋" w:cs="仿宋"/>
                <w:color w:val="auto"/>
                <w:sz w:val="24"/>
                <w:szCs w:val="24"/>
                <w:highlight w:val="none"/>
              </w:rPr>
              <w:sym w:font="Wingdings" w:char="00A8"/>
            </w:r>
            <w:r>
              <w:rPr>
                <w:rFonts w:hint="eastAsia" w:ascii="仿宋" w:hAnsi="仿宋" w:eastAsia="仿宋" w:cs="仿宋"/>
                <w:bCs/>
                <w:color w:val="auto"/>
                <w:sz w:val="24"/>
                <w:szCs w:val="24"/>
                <w:highlight w:val="none"/>
              </w:rPr>
              <w:t>否</w:t>
            </w:r>
          </w:p>
          <w:p w14:paraId="4A8CE78A">
            <w:pPr>
              <w:adjustRightInd w:val="0"/>
              <w:snapToGrid w:val="0"/>
              <w:spacing w:before="0" w:beforeLines="0" w:line="400" w:lineRule="exact"/>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（8）履约验收其他事项：</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i w:val="0"/>
                <w:iCs w:val="0"/>
                <w:color w:val="auto"/>
                <w:sz w:val="24"/>
                <w:szCs w:val="24"/>
                <w:highlight w:val="none"/>
                <w:u w:val="single"/>
              </w:rPr>
              <w:t>（产权过户登记等）</w:t>
            </w:r>
            <w:r>
              <w:rPr>
                <w:rFonts w:hint="eastAsia" w:ascii="仿宋" w:hAnsi="仿宋" w:eastAsia="仿宋" w:cs="仿宋"/>
                <w:bCs/>
                <w:color w:val="auto"/>
                <w:sz w:val="24"/>
                <w:szCs w:val="24"/>
                <w:highlight w:val="none"/>
                <w:u w:val="single"/>
              </w:rPr>
              <w:t xml:space="preserve">          </w:t>
            </w:r>
          </w:p>
          <w:p w14:paraId="2B6B83BC">
            <w:pPr>
              <w:numPr>
                <w:ilvl w:val="0"/>
                <w:numId w:val="0"/>
              </w:numPr>
              <w:adjustRightInd w:val="0"/>
              <w:snapToGrid w:val="0"/>
              <w:spacing w:before="0" w:beforeLines="0" w:line="40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5.</w:t>
            </w:r>
            <w:r>
              <w:rPr>
                <w:rFonts w:hint="eastAsia" w:ascii="仿宋" w:hAnsi="仿宋" w:eastAsia="仿宋" w:cs="仿宋"/>
                <w:b/>
                <w:color w:val="auto"/>
                <w:sz w:val="24"/>
                <w:szCs w:val="24"/>
                <w:highlight w:val="none"/>
              </w:rPr>
              <w:t>组成合同的文件</w:t>
            </w:r>
          </w:p>
          <w:p w14:paraId="171C7D6C">
            <w:pPr>
              <w:adjustRightInd w:val="0"/>
              <w:snapToGrid w:val="0"/>
              <w:spacing w:before="0" w:beforeLines="0"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本协议书与下列文件一起构成合同文件，如下述文件之间有任何抵触、矛盾或歧义，应按以下顺序解释：</w:t>
            </w:r>
          </w:p>
          <w:p w14:paraId="3F69BA3B">
            <w:pPr>
              <w:adjustRightInd w:val="0"/>
              <w:snapToGrid w:val="0"/>
              <w:spacing w:before="0" w:beforeLines="0" w:line="400" w:lineRule="exact"/>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政府采购</w:t>
            </w:r>
            <w:r>
              <w:rPr>
                <w:rFonts w:hint="eastAsia" w:ascii="仿宋" w:hAnsi="仿宋" w:eastAsia="仿宋" w:cs="仿宋"/>
                <w:color w:val="auto"/>
                <w:sz w:val="24"/>
                <w:szCs w:val="24"/>
                <w:highlight w:val="none"/>
              </w:rPr>
              <w:t>合同协议书及其变更、补充</w:t>
            </w:r>
            <w:r>
              <w:rPr>
                <w:rFonts w:hint="eastAsia" w:ascii="仿宋" w:hAnsi="仿宋" w:eastAsia="仿宋" w:cs="仿宋"/>
                <w:color w:val="auto"/>
                <w:sz w:val="24"/>
                <w:szCs w:val="24"/>
                <w:highlight w:val="none"/>
                <w:lang w:eastAsia="zh-CN"/>
              </w:rPr>
              <w:t>协议</w:t>
            </w:r>
          </w:p>
          <w:p w14:paraId="3E5674FB">
            <w:pPr>
              <w:adjustRightInd w:val="0"/>
              <w:snapToGrid w:val="0"/>
              <w:spacing w:before="0" w:beforeLines="0"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）政府采购合同专用条款</w:t>
            </w:r>
          </w:p>
          <w:p w14:paraId="32D64640">
            <w:pPr>
              <w:adjustRightInd w:val="0"/>
              <w:snapToGrid w:val="0"/>
              <w:spacing w:before="0" w:beforeLines="0"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）政府采购合同通用条款</w:t>
            </w:r>
          </w:p>
          <w:p w14:paraId="43A6877C">
            <w:pPr>
              <w:adjustRightInd w:val="0"/>
              <w:snapToGrid w:val="0"/>
              <w:spacing w:before="0" w:beforeLines="0"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）中标</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通知书</w:t>
            </w:r>
          </w:p>
          <w:p w14:paraId="69194D6F">
            <w:pPr>
              <w:adjustRightInd w:val="0"/>
              <w:snapToGrid w:val="0"/>
              <w:spacing w:before="0" w:beforeLines="0"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）投标（响应）文件</w:t>
            </w:r>
          </w:p>
          <w:p w14:paraId="2CF9A335">
            <w:pPr>
              <w:adjustRightInd w:val="0"/>
              <w:snapToGrid w:val="0"/>
              <w:spacing w:before="0" w:beforeLines="0" w:line="400" w:lineRule="exact"/>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（6）</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lang w:eastAsia="zh-CN"/>
              </w:rPr>
              <w:t>文件</w:t>
            </w:r>
          </w:p>
          <w:p w14:paraId="1441AA2B">
            <w:pPr>
              <w:adjustRightInd w:val="0"/>
              <w:snapToGrid w:val="0"/>
              <w:spacing w:before="0" w:beforeLines="0"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（7）有关技术文件，图纸</w:t>
            </w:r>
          </w:p>
          <w:p w14:paraId="3636F95F">
            <w:pPr>
              <w:pStyle w:val="247"/>
              <w:spacing w:beforeLines="0"/>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eastAsia="zh-CN"/>
              </w:rPr>
              <w:t>）</w:t>
            </w:r>
            <w:r>
              <w:rPr>
                <w:rFonts w:hint="eastAsia" w:ascii="仿宋" w:hAnsi="仿宋" w:eastAsia="仿宋" w:cs="仿宋"/>
                <w:bCs w:val="0"/>
                <w:color w:val="auto"/>
                <w:kern w:val="2"/>
                <w:sz w:val="24"/>
                <w:szCs w:val="24"/>
                <w:highlight w:val="none"/>
                <w:lang w:eastAsia="zh-CN"/>
              </w:rPr>
              <w:t>国家法律、行政法规和规章制度规定或合同约定的作为合同组成部分的其他文件</w:t>
            </w:r>
          </w:p>
          <w:p w14:paraId="1EB8E98A">
            <w:pPr>
              <w:numPr>
                <w:ilvl w:val="0"/>
                <w:numId w:val="0"/>
              </w:numPr>
              <w:adjustRightInd w:val="0"/>
              <w:snapToGrid w:val="0"/>
              <w:spacing w:before="0" w:beforeLines="0" w:line="40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6.</w:t>
            </w:r>
            <w:r>
              <w:rPr>
                <w:rFonts w:hint="eastAsia" w:ascii="仿宋" w:hAnsi="仿宋" w:eastAsia="仿宋" w:cs="仿宋"/>
                <w:b/>
                <w:color w:val="auto"/>
                <w:sz w:val="24"/>
                <w:szCs w:val="24"/>
                <w:highlight w:val="none"/>
              </w:rPr>
              <w:t>合同生效</w:t>
            </w:r>
          </w:p>
          <w:p w14:paraId="5A67C73D">
            <w:pPr>
              <w:adjustRightInd w:val="0"/>
              <w:snapToGrid w:val="0"/>
              <w:spacing w:before="0" w:beforeLines="0"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本合同自</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生效。</w:t>
            </w:r>
          </w:p>
          <w:p w14:paraId="3FDC13F8">
            <w:pPr>
              <w:numPr>
                <w:ilvl w:val="0"/>
                <w:numId w:val="0"/>
              </w:numPr>
              <w:adjustRightInd w:val="0"/>
              <w:snapToGrid w:val="0"/>
              <w:spacing w:before="0" w:beforeLines="0" w:line="40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7.</w:t>
            </w:r>
            <w:r>
              <w:rPr>
                <w:rFonts w:hint="eastAsia" w:ascii="仿宋" w:hAnsi="仿宋" w:eastAsia="仿宋" w:cs="仿宋"/>
                <w:b/>
                <w:color w:val="auto"/>
                <w:sz w:val="24"/>
                <w:szCs w:val="24"/>
                <w:highlight w:val="none"/>
              </w:rPr>
              <w:t>合同份数</w:t>
            </w:r>
          </w:p>
          <w:p w14:paraId="32CCA493">
            <w:pPr>
              <w:adjustRightInd w:val="0"/>
              <w:snapToGrid w:val="0"/>
              <w:spacing w:before="0" w:beforeLines="0"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本合同一式</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执</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执</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份，均具有同等法律效力。</w:t>
            </w:r>
          </w:p>
          <w:p w14:paraId="30752C1F">
            <w:pPr>
              <w:adjustRightInd w:val="0"/>
              <w:snapToGrid w:val="0"/>
              <w:spacing w:before="0" w:beforeLines="0"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合同订立时间：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4BCAC87C">
            <w:pPr>
              <w:adjustRightInd w:val="0"/>
              <w:snapToGrid w:val="0"/>
              <w:spacing w:before="0" w:beforeLines="0"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合同订立地点：</w:t>
            </w:r>
            <w:r>
              <w:rPr>
                <w:rFonts w:hint="eastAsia" w:ascii="仿宋" w:hAnsi="仿宋" w:eastAsia="仿宋" w:cs="仿宋"/>
                <w:color w:val="auto"/>
                <w:sz w:val="24"/>
                <w:szCs w:val="24"/>
                <w:highlight w:val="none"/>
                <w:u w:val="single"/>
              </w:rPr>
              <w:t xml:space="preserve">                           </w:t>
            </w:r>
          </w:p>
          <w:p w14:paraId="3D76B54E">
            <w:pPr>
              <w:adjustRightInd w:val="0"/>
              <w:snapToGrid w:val="0"/>
              <w:spacing w:before="0" w:beforeLines="0"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附件：具体标</w:t>
            </w:r>
            <w:r>
              <w:rPr>
                <w:rFonts w:hint="eastAsia" w:ascii="仿宋" w:hAnsi="仿宋" w:eastAsia="仿宋" w:cs="仿宋"/>
                <w:color w:val="auto"/>
                <w:sz w:val="24"/>
                <w:szCs w:val="24"/>
                <w:highlight w:val="none"/>
                <w:lang w:eastAsia="zh-CN"/>
              </w:rPr>
              <w:t>的及其</w:t>
            </w:r>
            <w:r>
              <w:rPr>
                <w:rFonts w:hint="eastAsia" w:ascii="仿宋" w:hAnsi="仿宋" w:eastAsia="仿宋" w:cs="仿宋"/>
                <w:color w:val="auto"/>
                <w:sz w:val="24"/>
                <w:szCs w:val="24"/>
                <w:highlight w:val="none"/>
                <w:u w:val="none"/>
                <w:lang w:val="en-US" w:eastAsia="zh-CN"/>
              </w:rPr>
              <w:t>技术要求和商务要求</w:t>
            </w:r>
            <w:r>
              <w:rPr>
                <w:rFonts w:hint="eastAsia" w:ascii="仿宋" w:hAnsi="仿宋" w:eastAsia="仿宋" w:cs="仿宋"/>
                <w:color w:val="auto"/>
                <w:sz w:val="24"/>
                <w:szCs w:val="24"/>
                <w:highlight w:val="none"/>
              </w:rPr>
              <w:t>、联合协议、分包</w:t>
            </w:r>
            <w:r>
              <w:rPr>
                <w:rFonts w:hint="eastAsia" w:ascii="仿宋" w:hAnsi="仿宋" w:eastAsia="仿宋" w:cs="仿宋"/>
                <w:color w:val="auto"/>
                <w:sz w:val="24"/>
                <w:szCs w:val="24"/>
                <w:highlight w:val="none"/>
                <w:lang w:eastAsia="zh-CN"/>
              </w:rPr>
              <w:t>意向</w:t>
            </w:r>
            <w:r>
              <w:rPr>
                <w:rFonts w:hint="eastAsia" w:ascii="仿宋" w:hAnsi="仿宋" w:eastAsia="仿宋" w:cs="仿宋"/>
                <w:color w:val="auto"/>
                <w:sz w:val="24"/>
                <w:szCs w:val="24"/>
                <w:highlight w:val="none"/>
              </w:rPr>
              <w:t>协议等。</w:t>
            </w:r>
          </w:p>
          <w:p w14:paraId="4A354E3F">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tbl>
            <w:tblPr>
              <w:tblStyle w:val="41"/>
              <w:tblW w:w="49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5"/>
              <w:gridCol w:w="2786"/>
              <w:gridCol w:w="2439"/>
              <w:gridCol w:w="2293"/>
            </w:tblGrid>
            <w:tr w14:paraId="13725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561" w:type="pct"/>
                  <w:gridSpan w:val="2"/>
                  <w:noWrap w:val="0"/>
                  <w:vAlign w:val="center"/>
                </w:tcPr>
                <w:p w14:paraId="4D3841B8">
                  <w:pPr>
                    <w:adjustRightInd w:val="0"/>
                    <w:snapToGrid w:val="0"/>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甲方（采购人）</w:t>
                  </w:r>
                </w:p>
              </w:tc>
              <w:tc>
                <w:tcPr>
                  <w:tcW w:w="2438" w:type="pct"/>
                  <w:gridSpan w:val="2"/>
                  <w:noWrap w:val="0"/>
                  <w:vAlign w:val="center"/>
                </w:tcPr>
                <w:p w14:paraId="74C6A9A1">
                  <w:pPr>
                    <w:adjustRightInd w:val="0"/>
                    <w:snapToGrid w:val="0"/>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w:t>
                  </w:r>
                </w:p>
              </w:tc>
            </w:tr>
            <w:tr w14:paraId="5536D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1125" w:type="pct"/>
                  <w:noWrap w:val="0"/>
                  <w:vAlign w:val="center"/>
                </w:tcPr>
                <w:p w14:paraId="1060DC42">
                  <w:pPr>
                    <w:adjustRightInd w:val="0"/>
                    <w:snapToGrid w:val="0"/>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单位名称（公章</w:t>
                  </w:r>
                  <w:r>
                    <w:rPr>
                      <w:rFonts w:hint="eastAsia" w:ascii="仿宋" w:hAnsi="仿宋" w:eastAsia="仿宋" w:cs="仿宋"/>
                      <w:color w:val="auto"/>
                      <w:sz w:val="24"/>
                      <w:szCs w:val="24"/>
                      <w:highlight w:val="none"/>
                      <w:lang w:eastAsia="zh-CN"/>
                    </w:rPr>
                    <w:t>或合同章</w:t>
                  </w:r>
                  <w:r>
                    <w:rPr>
                      <w:rFonts w:hint="eastAsia" w:ascii="仿宋" w:hAnsi="仿宋" w:eastAsia="仿宋" w:cs="仿宋"/>
                      <w:color w:val="auto"/>
                      <w:sz w:val="24"/>
                      <w:szCs w:val="24"/>
                      <w:highlight w:val="none"/>
                    </w:rPr>
                    <w:t>）</w:t>
                  </w:r>
                </w:p>
              </w:tc>
              <w:tc>
                <w:tcPr>
                  <w:tcW w:w="1435" w:type="pct"/>
                  <w:noWrap w:val="0"/>
                  <w:vAlign w:val="center"/>
                </w:tcPr>
                <w:p w14:paraId="71EB1FFA">
                  <w:pPr>
                    <w:adjustRightInd w:val="0"/>
                    <w:snapToGrid w:val="0"/>
                    <w:spacing w:line="300" w:lineRule="exact"/>
                    <w:jc w:val="center"/>
                    <w:rPr>
                      <w:rFonts w:hint="eastAsia" w:ascii="仿宋" w:hAnsi="仿宋" w:eastAsia="仿宋" w:cs="仿宋"/>
                      <w:color w:val="auto"/>
                      <w:sz w:val="24"/>
                      <w:szCs w:val="24"/>
                      <w:highlight w:val="none"/>
                    </w:rPr>
                  </w:pPr>
                </w:p>
              </w:tc>
              <w:tc>
                <w:tcPr>
                  <w:tcW w:w="1257" w:type="pct"/>
                  <w:noWrap w:val="0"/>
                  <w:vAlign w:val="center"/>
                </w:tcPr>
                <w:p w14:paraId="1E4FA160">
                  <w:pPr>
                    <w:adjustRightInd w:val="0"/>
                    <w:snapToGrid w:val="0"/>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单位名称（公章</w:t>
                  </w:r>
                  <w:r>
                    <w:rPr>
                      <w:rFonts w:hint="eastAsia" w:ascii="仿宋" w:hAnsi="仿宋" w:eastAsia="仿宋" w:cs="仿宋"/>
                      <w:color w:val="auto"/>
                      <w:sz w:val="24"/>
                      <w:szCs w:val="24"/>
                      <w:highlight w:val="none"/>
                      <w:lang w:eastAsia="zh-CN"/>
                    </w:rPr>
                    <w:t>或合同章</w:t>
                  </w:r>
                  <w:r>
                    <w:rPr>
                      <w:rFonts w:hint="eastAsia" w:ascii="仿宋" w:hAnsi="仿宋" w:eastAsia="仿宋" w:cs="仿宋"/>
                      <w:color w:val="auto"/>
                      <w:sz w:val="24"/>
                      <w:szCs w:val="24"/>
                      <w:highlight w:val="none"/>
                    </w:rPr>
                    <w:t>）</w:t>
                  </w:r>
                </w:p>
              </w:tc>
              <w:tc>
                <w:tcPr>
                  <w:tcW w:w="1181" w:type="pct"/>
                  <w:noWrap w:val="0"/>
                  <w:vAlign w:val="center"/>
                </w:tcPr>
                <w:p w14:paraId="345083D1">
                  <w:pPr>
                    <w:adjustRightInd w:val="0"/>
                    <w:snapToGrid w:val="0"/>
                    <w:spacing w:line="300" w:lineRule="exact"/>
                    <w:jc w:val="center"/>
                    <w:rPr>
                      <w:rFonts w:hint="eastAsia" w:ascii="仿宋" w:hAnsi="仿宋" w:eastAsia="仿宋" w:cs="仿宋"/>
                      <w:color w:val="auto"/>
                      <w:spacing w:val="20"/>
                      <w:sz w:val="24"/>
                      <w:szCs w:val="24"/>
                      <w:highlight w:val="none"/>
                    </w:rPr>
                  </w:pPr>
                </w:p>
              </w:tc>
            </w:tr>
            <w:tr w14:paraId="5AB11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1125" w:type="pct"/>
                  <w:vMerge w:val="restart"/>
                  <w:noWrap w:val="0"/>
                  <w:vAlign w:val="center"/>
                </w:tcPr>
                <w:p w14:paraId="7FDF9175">
                  <w:pPr>
                    <w:adjustRightInd w:val="0"/>
                    <w:snapToGrid w:val="0"/>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p>
                <w:p w14:paraId="591FD8F4">
                  <w:pPr>
                    <w:adjustRightInd w:val="0"/>
                    <w:snapToGrid w:val="0"/>
                    <w:spacing w:line="300" w:lineRule="exact"/>
                    <w:ind w:firstLine="115" w:firstLineChars="48"/>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或其委托代理人（签章）</w:t>
                  </w:r>
                </w:p>
              </w:tc>
              <w:tc>
                <w:tcPr>
                  <w:tcW w:w="1435" w:type="pct"/>
                  <w:vMerge w:val="restart"/>
                  <w:noWrap w:val="0"/>
                  <w:vAlign w:val="center"/>
                </w:tcPr>
                <w:p w14:paraId="37094A0D">
                  <w:pPr>
                    <w:adjustRightInd w:val="0"/>
                    <w:snapToGrid w:val="0"/>
                    <w:spacing w:line="300" w:lineRule="exact"/>
                    <w:jc w:val="center"/>
                    <w:rPr>
                      <w:rFonts w:hint="eastAsia" w:ascii="仿宋" w:hAnsi="仿宋" w:eastAsia="仿宋" w:cs="仿宋"/>
                      <w:color w:val="auto"/>
                      <w:sz w:val="24"/>
                      <w:szCs w:val="24"/>
                      <w:highlight w:val="none"/>
                    </w:rPr>
                  </w:pPr>
                </w:p>
              </w:tc>
              <w:tc>
                <w:tcPr>
                  <w:tcW w:w="1257" w:type="pct"/>
                  <w:noWrap w:val="0"/>
                  <w:vAlign w:val="center"/>
                </w:tcPr>
                <w:p w14:paraId="4CA970A9">
                  <w:pPr>
                    <w:adjustRightInd w:val="0"/>
                    <w:snapToGrid w:val="0"/>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p>
                <w:p w14:paraId="125FAE53">
                  <w:pPr>
                    <w:adjustRightInd w:val="0"/>
                    <w:snapToGrid w:val="0"/>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或其委托代理人（签章）</w:t>
                  </w:r>
                </w:p>
              </w:tc>
              <w:tc>
                <w:tcPr>
                  <w:tcW w:w="1181" w:type="pct"/>
                  <w:noWrap w:val="0"/>
                  <w:vAlign w:val="center"/>
                </w:tcPr>
                <w:p w14:paraId="31BAE4B1">
                  <w:pPr>
                    <w:adjustRightInd w:val="0"/>
                    <w:snapToGrid w:val="0"/>
                    <w:spacing w:line="300" w:lineRule="exact"/>
                    <w:jc w:val="center"/>
                    <w:rPr>
                      <w:rFonts w:hint="eastAsia" w:ascii="仿宋" w:hAnsi="仿宋" w:eastAsia="仿宋" w:cs="仿宋"/>
                      <w:color w:val="auto"/>
                      <w:sz w:val="24"/>
                      <w:szCs w:val="24"/>
                      <w:highlight w:val="none"/>
                    </w:rPr>
                  </w:pPr>
                </w:p>
              </w:tc>
            </w:tr>
            <w:tr w14:paraId="51DB7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125" w:type="pct"/>
                  <w:vMerge w:val="continue"/>
                  <w:noWrap w:val="0"/>
                  <w:vAlign w:val="center"/>
                </w:tcPr>
                <w:p w14:paraId="41AF48E8">
                  <w:pPr>
                    <w:adjustRightInd w:val="0"/>
                    <w:snapToGrid w:val="0"/>
                    <w:spacing w:line="300" w:lineRule="exact"/>
                    <w:jc w:val="center"/>
                    <w:rPr>
                      <w:rFonts w:hint="eastAsia" w:ascii="仿宋" w:hAnsi="仿宋" w:eastAsia="仿宋" w:cs="仿宋"/>
                      <w:color w:val="auto"/>
                      <w:sz w:val="24"/>
                      <w:szCs w:val="24"/>
                      <w:highlight w:val="none"/>
                    </w:rPr>
                  </w:pPr>
                </w:p>
              </w:tc>
              <w:tc>
                <w:tcPr>
                  <w:tcW w:w="1435" w:type="pct"/>
                  <w:vMerge w:val="continue"/>
                  <w:noWrap w:val="0"/>
                  <w:vAlign w:val="center"/>
                </w:tcPr>
                <w:p w14:paraId="6E720102">
                  <w:pPr>
                    <w:adjustRightInd w:val="0"/>
                    <w:snapToGrid w:val="0"/>
                    <w:spacing w:line="300" w:lineRule="exact"/>
                    <w:jc w:val="center"/>
                    <w:rPr>
                      <w:rFonts w:hint="eastAsia" w:ascii="仿宋" w:hAnsi="仿宋" w:eastAsia="仿宋" w:cs="仿宋"/>
                      <w:color w:val="auto"/>
                      <w:sz w:val="24"/>
                      <w:szCs w:val="24"/>
                      <w:highlight w:val="none"/>
                    </w:rPr>
                  </w:pPr>
                </w:p>
              </w:tc>
              <w:tc>
                <w:tcPr>
                  <w:tcW w:w="1257" w:type="pct"/>
                  <w:noWrap w:val="0"/>
                  <w:vAlign w:val="center"/>
                </w:tcPr>
                <w:p w14:paraId="746E4DA4">
                  <w:pPr>
                    <w:adjustRightInd w:val="0"/>
                    <w:snapToGrid w:val="0"/>
                    <w:spacing w:line="3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拥有者性别</w:t>
                  </w:r>
                </w:p>
              </w:tc>
              <w:tc>
                <w:tcPr>
                  <w:tcW w:w="1181" w:type="pct"/>
                  <w:noWrap w:val="0"/>
                  <w:vAlign w:val="center"/>
                </w:tcPr>
                <w:p w14:paraId="3C6612AA">
                  <w:pPr>
                    <w:adjustRightInd w:val="0"/>
                    <w:snapToGrid w:val="0"/>
                    <w:spacing w:line="300" w:lineRule="exact"/>
                    <w:jc w:val="center"/>
                    <w:rPr>
                      <w:rFonts w:hint="eastAsia" w:ascii="仿宋" w:hAnsi="仿宋" w:eastAsia="仿宋" w:cs="仿宋"/>
                      <w:color w:val="auto"/>
                      <w:spacing w:val="20"/>
                      <w:sz w:val="24"/>
                      <w:szCs w:val="24"/>
                      <w:highlight w:val="none"/>
                    </w:rPr>
                  </w:pPr>
                </w:p>
              </w:tc>
            </w:tr>
            <w:tr w14:paraId="6445A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125" w:type="pct"/>
                  <w:noWrap w:val="0"/>
                  <w:vAlign w:val="center"/>
                </w:tcPr>
                <w:p w14:paraId="3457AADB">
                  <w:pPr>
                    <w:adjustRightInd w:val="0"/>
                    <w:snapToGrid w:val="0"/>
                    <w:spacing w:line="3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住</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所</w:t>
                  </w:r>
                </w:p>
              </w:tc>
              <w:tc>
                <w:tcPr>
                  <w:tcW w:w="1435" w:type="pct"/>
                  <w:noWrap w:val="0"/>
                  <w:vAlign w:val="center"/>
                </w:tcPr>
                <w:p w14:paraId="698BD6DA">
                  <w:pPr>
                    <w:adjustRightInd w:val="0"/>
                    <w:snapToGrid w:val="0"/>
                    <w:spacing w:line="300" w:lineRule="exact"/>
                    <w:jc w:val="center"/>
                    <w:rPr>
                      <w:rFonts w:hint="eastAsia" w:ascii="仿宋" w:hAnsi="仿宋" w:eastAsia="仿宋" w:cs="仿宋"/>
                      <w:color w:val="auto"/>
                      <w:sz w:val="24"/>
                      <w:szCs w:val="24"/>
                      <w:highlight w:val="none"/>
                    </w:rPr>
                  </w:pPr>
                </w:p>
              </w:tc>
              <w:tc>
                <w:tcPr>
                  <w:tcW w:w="1257" w:type="pct"/>
                  <w:noWrap w:val="0"/>
                  <w:vAlign w:val="center"/>
                </w:tcPr>
                <w:p w14:paraId="3FDB48AB">
                  <w:pPr>
                    <w:adjustRightInd w:val="0"/>
                    <w:snapToGrid w:val="0"/>
                    <w:spacing w:line="3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住</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所</w:t>
                  </w:r>
                </w:p>
              </w:tc>
              <w:tc>
                <w:tcPr>
                  <w:tcW w:w="1181" w:type="pct"/>
                  <w:noWrap w:val="0"/>
                  <w:vAlign w:val="center"/>
                </w:tcPr>
                <w:p w14:paraId="046002B1">
                  <w:pPr>
                    <w:adjustRightInd w:val="0"/>
                    <w:snapToGrid w:val="0"/>
                    <w:spacing w:line="300" w:lineRule="exact"/>
                    <w:jc w:val="center"/>
                    <w:rPr>
                      <w:rFonts w:hint="eastAsia" w:ascii="仿宋" w:hAnsi="仿宋" w:eastAsia="仿宋" w:cs="仿宋"/>
                      <w:color w:val="auto"/>
                      <w:spacing w:val="20"/>
                      <w:sz w:val="24"/>
                      <w:szCs w:val="24"/>
                      <w:highlight w:val="none"/>
                    </w:rPr>
                  </w:pPr>
                </w:p>
              </w:tc>
            </w:tr>
            <w:tr w14:paraId="02319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125" w:type="pct"/>
                  <w:noWrap w:val="0"/>
                  <w:vAlign w:val="center"/>
                </w:tcPr>
                <w:p w14:paraId="59B8195E">
                  <w:pPr>
                    <w:adjustRightInd w:val="0"/>
                    <w:snapToGrid w:val="0"/>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 系 人</w:t>
                  </w:r>
                </w:p>
              </w:tc>
              <w:tc>
                <w:tcPr>
                  <w:tcW w:w="1435" w:type="pct"/>
                  <w:noWrap w:val="0"/>
                  <w:vAlign w:val="center"/>
                </w:tcPr>
                <w:p w14:paraId="40D8F99F">
                  <w:pPr>
                    <w:adjustRightInd w:val="0"/>
                    <w:snapToGrid w:val="0"/>
                    <w:spacing w:line="300" w:lineRule="exact"/>
                    <w:jc w:val="center"/>
                    <w:rPr>
                      <w:rFonts w:hint="eastAsia" w:ascii="仿宋" w:hAnsi="仿宋" w:eastAsia="仿宋" w:cs="仿宋"/>
                      <w:color w:val="auto"/>
                      <w:sz w:val="24"/>
                      <w:szCs w:val="24"/>
                      <w:highlight w:val="none"/>
                    </w:rPr>
                  </w:pPr>
                </w:p>
              </w:tc>
              <w:tc>
                <w:tcPr>
                  <w:tcW w:w="1257" w:type="pct"/>
                  <w:noWrap w:val="0"/>
                  <w:vAlign w:val="center"/>
                </w:tcPr>
                <w:p w14:paraId="333C1371">
                  <w:pPr>
                    <w:adjustRightInd w:val="0"/>
                    <w:snapToGrid w:val="0"/>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 系 人</w:t>
                  </w:r>
                </w:p>
              </w:tc>
              <w:tc>
                <w:tcPr>
                  <w:tcW w:w="1181" w:type="pct"/>
                  <w:noWrap w:val="0"/>
                  <w:vAlign w:val="center"/>
                </w:tcPr>
                <w:p w14:paraId="022A5EA3">
                  <w:pPr>
                    <w:adjustRightInd w:val="0"/>
                    <w:snapToGrid w:val="0"/>
                    <w:spacing w:line="300" w:lineRule="exact"/>
                    <w:jc w:val="center"/>
                    <w:rPr>
                      <w:rFonts w:hint="eastAsia" w:ascii="仿宋" w:hAnsi="仿宋" w:eastAsia="仿宋" w:cs="仿宋"/>
                      <w:color w:val="auto"/>
                      <w:spacing w:val="20"/>
                      <w:sz w:val="24"/>
                      <w:szCs w:val="24"/>
                      <w:highlight w:val="none"/>
                    </w:rPr>
                  </w:pPr>
                </w:p>
              </w:tc>
            </w:tr>
            <w:tr w14:paraId="44FC2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125" w:type="pct"/>
                  <w:noWrap w:val="0"/>
                  <w:vAlign w:val="center"/>
                </w:tcPr>
                <w:p w14:paraId="197200CB">
                  <w:pPr>
                    <w:adjustRightInd w:val="0"/>
                    <w:snapToGrid w:val="0"/>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p>
              </w:tc>
              <w:tc>
                <w:tcPr>
                  <w:tcW w:w="1435" w:type="pct"/>
                  <w:noWrap w:val="0"/>
                  <w:vAlign w:val="center"/>
                </w:tcPr>
                <w:p w14:paraId="734E4C16">
                  <w:pPr>
                    <w:adjustRightInd w:val="0"/>
                    <w:snapToGrid w:val="0"/>
                    <w:spacing w:line="300" w:lineRule="exact"/>
                    <w:jc w:val="center"/>
                    <w:rPr>
                      <w:rFonts w:hint="eastAsia" w:ascii="仿宋" w:hAnsi="仿宋" w:eastAsia="仿宋" w:cs="仿宋"/>
                      <w:color w:val="auto"/>
                      <w:sz w:val="24"/>
                      <w:szCs w:val="24"/>
                      <w:highlight w:val="none"/>
                    </w:rPr>
                  </w:pPr>
                </w:p>
              </w:tc>
              <w:tc>
                <w:tcPr>
                  <w:tcW w:w="1257" w:type="pct"/>
                  <w:noWrap w:val="0"/>
                  <w:vAlign w:val="center"/>
                </w:tcPr>
                <w:p w14:paraId="0BBCB2C7">
                  <w:pPr>
                    <w:adjustRightInd w:val="0"/>
                    <w:snapToGrid w:val="0"/>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p>
              </w:tc>
              <w:tc>
                <w:tcPr>
                  <w:tcW w:w="1181" w:type="pct"/>
                  <w:noWrap w:val="0"/>
                  <w:vAlign w:val="center"/>
                </w:tcPr>
                <w:p w14:paraId="5CFF6E1B">
                  <w:pPr>
                    <w:adjustRightInd w:val="0"/>
                    <w:snapToGrid w:val="0"/>
                    <w:spacing w:line="300" w:lineRule="exact"/>
                    <w:jc w:val="center"/>
                    <w:rPr>
                      <w:rFonts w:hint="eastAsia" w:ascii="仿宋" w:hAnsi="仿宋" w:eastAsia="仿宋" w:cs="仿宋"/>
                      <w:color w:val="auto"/>
                      <w:spacing w:val="20"/>
                      <w:sz w:val="24"/>
                      <w:szCs w:val="24"/>
                      <w:highlight w:val="none"/>
                    </w:rPr>
                  </w:pPr>
                </w:p>
              </w:tc>
            </w:tr>
            <w:tr w14:paraId="614EA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125" w:type="pct"/>
                  <w:noWrap w:val="0"/>
                  <w:vAlign w:val="center"/>
                </w:tcPr>
                <w:p w14:paraId="56B0303E">
                  <w:pPr>
                    <w:adjustRightInd w:val="0"/>
                    <w:snapToGrid w:val="0"/>
                    <w:spacing w:line="3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通信地址</w:t>
                  </w:r>
                </w:p>
              </w:tc>
              <w:tc>
                <w:tcPr>
                  <w:tcW w:w="1435" w:type="pct"/>
                  <w:noWrap w:val="0"/>
                  <w:vAlign w:val="center"/>
                </w:tcPr>
                <w:p w14:paraId="63F5177D">
                  <w:pPr>
                    <w:adjustRightInd w:val="0"/>
                    <w:snapToGrid w:val="0"/>
                    <w:spacing w:line="300" w:lineRule="exact"/>
                    <w:jc w:val="center"/>
                    <w:rPr>
                      <w:rFonts w:hint="eastAsia" w:ascii="仿宋" w:hAnsi="仿宋" w:eastAsia="仿宋" w:cs="仿宋"/>
                      <w:color w:val="auto"/>
                      <w:sz w:val="24"/>
                      <w:szCs w:val="24"/>
                      <w:highlight w:val="none"/>
                    </w:rPr>
                  </w:pPr>
                </w:p>
              </w:tc>
              <w:tc>
                <w:tcPr>
                  <w:tcW w:w="1257" w:type="pct"/>
                  <w:noWrap w:val="0"/>
                  <w:vAlign w:val="center"/>
                </w:tcPr>
                <w:p w14:paraId="68451E44">
                  <w:pPr>
                    <w:adjustRightInd w:val="0"/>
                    <w:snapToGrid w:val="0"/>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通信地址</w:t>
                  </w:r>
                </w:p>
              </w:tc>
              <w:tc>
                <w:tcPr>
                  <w:tcW w:w="1181" w:type="pct"/>
                  <w:noWrap w:val="0"/>
                  <w:vAlign w:val="center"/>
                </w:tcPr>
                <w:p w14:paraId="630A72C0">
                  <w:pPr>
                    <w:adjustRightInd w:val="0"/>
                    <w:snapToGrid w:val="0"/>
                    <w:spacing w:line="300" w:lineRule="exact"/>
                    <w:jc w:val="center"/>
                    <w:rPr>
                      <w:rFonts w:hint="eastAsia" w:ascii="仿宋" w:hAnsi="仿宋" w:eastAsia="仿宋" w:cs="仿宋"/>
                      <w:color w:val="auto"/>
                      <w:spacing w:val="20"/>
                      <w:sz w:val="24"/>
                      <w:szCs w:val="24"/>
                      <w:highlight w:val="none"/>
                    </w:rPr>
                  </w:pPr>
                </w:p>
              </w:tc>
            </w:tr>
            <w:tr w14:paraId="40A4E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125" w:type="pct"/>
                  <w:noWrap w:val="0"/>
                  <w:vAlign w:val="center"/>
                </w:tcPr>
                <w:p w14:paraId="7A3ED6BA">
                  <w:pPr>
                    <w:adjustRightInd w:val="0"/>
                    <w:snapToGrid w:val="0"/>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w:t>
                  </w:r>
                </w:p>
              </w:tc>
              <w:tc>
                <w:tcPr>
                  <w:tcW w:w="1435" w:type="pct"/>
                  <w:noWrap w:val="0"/>
                  <w:vAlign w:val="center"/>
                </w:tcPr>
                <w:p w14:paraId="467DB9E1">
                  <w:pPr>
                    <w:adjustRightInd w:val="0"/>
                    <w:snapToGrid w:val="0"/>
                    <w:spacing w:line="300" w:lineRule="exact"/>
                    <w:jc w:val="center"/>
                    <w:rPr>
                      <w:rFonts w:hint="eastAsia" w:ascii="仿宋" w:hAnsi="仿宋" w:eastAsia="仿宋" w:cs="仿宋"/>
                      <w:color w:val="auto"/>
                      <w:sz w:val="24"/>
                      <w:szCs w:val="24"/>
                      <w:highlight w:val="none"/>
                    </w:rPr>
                  </w:pPr>
                </w:p>
              </w:tc>
              <w:tc>
                <w:tcPr>
                  <w:tcW w:w="1257" w:type="pct"/>
                  <w:noWrap w:val="0"/>
                  <w:vAlign w:val="center"/>
                </w:tcPr>
                <w:p w14:paraId="01ED976B">
                  <w:pPr>
                    <w:adjustRightInd w:val="0"/>
                    <w:snapToGrid w:val="0"/>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w:t>
                  </w:r>
                </w:p>
              </w:tc>
              <w:tc>
                <w:tcPr>
                  <w:tcW w:w="1181" w:type="pct"/>
                  <w:noWrap w:val="0"/>
                  <w:vAlign w:val="center"/>
                </w:tcPr>
                <w:p w14:paraId="291B77F5">
                  <w:pPr>
                    <w:adjustRightInd w:val="0"/>
                    <w:snapToGrid w:val="0"/>
                    <w:spacing w:line="300" w:lineRule="exact"/>
                    <w:jc w:val="center"/>
                    <w:rPr>
                      <w:rFonts w:hint="eastAsia" w:ascii="仿宋" w:hAnsi="仿宋" w:eastAsia="仿宋" w:cs="仿宋"/>
                      <w:color w:val="auto"/>
                      <w:spacing w:val="20"/>
                      <w:sz w:val="24"/>
                      <w:szCs w:val="24"/>
                      <w:highlight w:val="none"/>
                    </w:rPr>
                  </w:pPr>
                </w:p>
              </w:tc>
            </w:tr>
            <w:tr w14:paraId="71CB1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125" w:type="pct"/>
                  <w:noWrap w:val="0"/>
                  <w:vAlign w:val="center"/>
                </w:tcPr>
                <w:p w14:paraId="4492D928">
                  <w:pPr>
                    <w:adjustRightInd w:val="0"/>
                    <w:snapToGrid w:val="0"/>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电子邮箱</w:t>
                  </w:r>
                </w:p>
              </w:tc>
              <w:tc>
                <w:tcPr>
                  <w:tcW w:w="1435" w:type="pct"/>
                  <w:noWrap w:val="0"/>
                  <w:vAlign w:val="center"/>
                </w:tcPr>
                <w:p w14:paraId="0DD282F3">
                  <w:pPr>
                    <w:adjustRightInd w:val="0"/>
                    <w:snapToGrid w:val="0"/>
                    <w:spacing w:line="300" w:lineRule="exact"/>
                    <w:jc w:val="center"/>
                    <w:rPr>
                      <w:rFonts w:hint="eastAsia" w:ascii="仿宋" w:hAnsi="仿宋" w:eastAsia="仿宋" w:cs="仿宋"/>
                      <w:color w:val="auto"/>
                      <w:sz w:val="24"/>
                      <w:szCs w:val="24"/>
                      <w:highlight w:val="none"/>
                    </w:rPr>
                  </w:pPr>
                </w:p>
              </w:tc>
              <w:tc>
                <w:tcPr>
                  <w:tcW w:w="1257" w:type="pct"/>
                  <w:noWrap w:val="0"/>
                  <w:vAlign w:val="center"/>
                </w:tcPr>
                <w:p w14:paraId="3844C198">
                  <w:pPr>
                    <w:adjustRightInd w:val="0"/>
                    <w:snapToGrid w:val="0"/>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电子邮箱</w:t>
                  </w:r>
                </w:p>
              </w:tc>
              <w:tc>
                <w:tcPr>
                  <w:tcW w:w="1181" w:type="pct"/>
                  <w:noWrap w:val="0"/>
                  <w:vAlign w:val="center"/>
                </w:tcPr>
                <w:p w14:paraId="1977AD82">
                  <w:pPr>
                    <w:adjustRightInd w:val="0"/>
                    <w:snapToGrid w:val="0"/>
                    <w:spacing w:line="300" w:lineRule="exact"/>
                    <w:jc w:val="center"/>
                    <w:rPr>
                      <w:rFonts w:hint="eastAsia" w:ascii="仿宋" w:hAnsi="仿宋" w:eastAsia="仿宋" w:cs="仿宋"/>
                      <w:color w:val="auto"/>
                      <w:spacing w:val="20"/>
                      <w:sz w:val="24"/>
                      <w:szCs w:val="24"/>
                      <w:highlight w:val="none"/>
                    </w:rPr>
                  </w:pPr>
                </w:p>
              </w:tc>
            </w:tr>
            <w:tr w14:paraId="25890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125" w:type="pct"/>
                  <w:noWrap w:val="0"/>
                  <w:vAlign w:val="center"/>
                </w:tcPr>
                <w:p w14:paraId="040B585D">
                  <w:pPr>
                    <w:adjustRightInd w:val="0"/>
                    <w:snapToGrid w:val="0"/>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统一社会信用代码</w:t>
                  </w:r>
                </w:p>
              </w:tc>
              <w:tc>
                <w:tcPr>
                  <w:tcW w:w="1435" w:type="pct"/>
                  <w:noWrap w:val="0"/>
                  <w:vAlign w:val="center"/>
                </w:tcPr>
                <w:p w14:paraId="49BAB286">
                  <w:pPr>
                    <w:adjustRightInd w:val="0"/>
                    <w:snapToGrid w:val="0"/>
                    <w:spacing w:line="300" w:lineRule="exact"/>
                    <w:jc w:val="center"/>
                    <w:rPr>
                      <w:rFonts w:hint="eastAsia" w:ascii="仿宋" w:hAnsi="仿宋" w:eastAsia="仿宋" w:cs="仿宋"/>
                      <w:color w:val="auto"/>
                      <w:sz w:val="24"/>
                      <w:szCs w:val="24"/>
                      <w:highlight w:val="none"/>
                    </w:rPr>
                  </w:pPr>
                </w:p>
              </w:tc>
              <w:tc>
                <w:tcPr>
                  <w:tcW w:w="1257" w:type="pct"/>
                  <w:noWrap w:val="0"/>
                  <w:vAlign w:val="center"/>
                </w:tcPr>
                <w:p w14:paraId="315BC434">
                  <w:pPr>
                    <w:adjustRightInd w:val="0"/>
                    <w:snapToGrid w:val="0"/>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统一社会信用代码</w:t>
                  </w:r>
                </w:p>
              </w:tc>
              <w:tc>
                <w:tcPr>
                  <w:tcW w:w="1181" w:type="pct"/>
                  <w:noWrap w:val="0"/>
                  <w:vAlign w:val="center"/>
                </w:tcPr>
                <w:p w14:paraId="61711A2E">
                  <w:pPr>
                    <w:adjustRightInd w:val="0"/>
                    <w:snapToGrid w:val="0"/>
                    <w:spacing w:line="300" w:lineRule="exact"/>
                    <w:jc w:val="center"/>
                    <w:rPr>
                      <w:rFonts w:hint="eastAsia" w:ascii="仿宋" w:hAnsi="仿宋" w:eastAsia="仿宋" w:cs="仿宋"/>
                      <w:color w:val="auto"/>
                      <w:spacing w:val="20"/>
                      <w:sz w:val="24"/>
                      <w:szCs w:val="24"/>
                      <w:highlight w:val="none"/>
                    </w:rPr>
                  </w:pPr>
                </w:p>
              </w:tc>
            </w:tr>
            <w:tr w14:paraId="0AB39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125" w:type="pct"/>
                  <w:noWrap w:val="0"/>
                  <w:vAlign w:val="center"/>
                </w:tcPr>
                <w:p w14:paraId="7B9552F1">
                  <w:pPr>
                    <w:adjustRightInd w:val="0"/>
                    <w:snapToGrid w:val="0"/>
                    <w:spacing w:line="300" w:lineRule="exact"/>
                    <w:jc w:val="center"/>
                    <w:rPr>
                      <w:rFonts w:hint="eastAsia" w:ascii="仿宋" w:hAnsi="仿宋" w:eastAsia="仿宋" w:cs="仿宋"/>
                      <w:color w:val="auto"/>
                      <w:sz w:val="24"/>
                      <w:szCs w:val="24"/>
                      <w:highlight w:val="none"/>
                    </w:rPr>
                  </w:pPr>
                </w:p>
              </w:tc>
              <w:tc>
                <w:tcPr>
                  <w:tcW w:w="1435" w:type="pct"/>
                  <w:noWrap w:val="0"/>
                  <w:vAlign w:val="center"/>
                </w:tcPr>
                <w:p w14:paraId="1ED8C6F7">
                  <w:pPr>
                    <w:adjustRightInd w:val="0"/>
                    <w:snapToGrid w:val="0"/>
                    <w:spacing w:line="300" w:lineRule="exact"/>
                    <w:jc w:val="center"/>
                    <w:rPr>
                      <w:rFonts w:hint="eastAsia" w:ascii="仿宋" w:hAnsi="仿宋" w:eastAsia="仿宋" w:cs="仿宋"/>
                      <w:color w:val="auto"/>
                      <w:sz w:val="24"/>
                      <w:szCs w:val="24"/>
                      <w:highlight w:val="none"/>
                    </w:rPr>
                  </w:pPr>
                </w:p>
              </w:tc>
              <w:tc>
                <w:tcPr>
                  <w:tcW w:w="1257" w:type="pct"/>
                  <w:noWrap w:val="0"/>
                  <w:vAlign w:val="center"/>
                </w:tcPr>
                <w:p w14:paraId="350E99E7">
                  <w:pPr>
                    <w:adjustRightInd w:val="0"/>
                    <w:snapToGrid w:val="0"/>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开户名称</w:t>
                  </w:r>
                </w:p>
              </w:tc>
              <w:tc>
                <w:tcPr>
                  <w:tcW w:w="1181" w:type="pct"/>
                  <w:noWrap w:val="0"/>
                  <w:vAlign w:val="center"/>
                </w:tcPr>
                <w:p w14:paraId="77F10E8C">
                  <w:pPr>
                    <w:adjustRightInd w:val="0"/>
                    <w:snapToGrid w:val="0"/>
                    <w:spacing w:line="300" w:lineRule="exact"/>
                    <w:jc w:val="center"/>
                    <w:rPr>
                      <w:rFonts w:hint="eastAsia" w:ascii="仿宋" w:hAnsi="仿宋" w:eastAsia="仿宋" w:cs="仿宋"/>
                      <w:color w:val="auto"/>
                      <w:spacing w:val="20"/>
                      <w:sz w:val="24"/>
                      <w:szCs w:val="24"/>
                      <w:highlight w:val="none"/>
                    </w:rPr>
                  </w:pPr>
                </w:p>
              </w:tc>
            </w:tr>
            <w:tr w14:paraId="005F1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125" w:type="pct"/>
                  <w:noWrap w:val="0"/>
                  <w:vAlign w:val="center"/>
                </w:tcPr>
                <w:p w14:paraId="3117493C">
                  <w:pPr>
                    <w:adjustRightInd w:val="0"/>
                    <w:snapToGrid w:val="0"/>
                    <w:spacing w:line="300" w:lineRule="exact"/>
                    <w:jc w:val="center"/>
                    <w:rPr>
                      <w:rFonts w:hint="eastAsia" w:ascii="仿宋" w:hAnsi="仿宋" w:eastAsia="仿宋" w:cs="仿宋"/>
                      <w:color w:val="auto"/>
                      <w:sz w:val="24"/>
                      <w:szCs w:val="24"/>
                      <w:highlight w:val="none"/>
                    </w:rPr>
                  </w:pPr>
                </w:p>
              </w:tc>
              <w:tc>
                <w:tcPr>
                  <w:tcW w:w="1435" w:type="pct"/>
                  <w:noWrap w:val="0"/>
                  <w:vAlign w:val="center"/>
                </w:tcPr>
                <w:p w14:paraId="22C6987E">
                  <w:pPr>
                    <w:adjustRightInd w:val="0"/>
                    <w:snapToGrid w:val="0"/>
                    <w:spacing w:line="300" w:lineRule="exact"/>
                    <w:jc w:val="center"/>
                    <w:rPr>
                      <w:rFonts w:hint="eastAsia" w:ascii="仿宋" w:hAnsi="仿宋" w:eastAsia="仿宋" w:cs="仿宋"/>
                      <w:color w:val="auto"/>
                      <w:sz w:val="24"/>
                      <w:szCs w:val="24"/>
                      <w:highlight w:val="none"/>
                    </w:rPr>
                  </w:pPr>
                </w:p>
              </w:tc>
              <w:tc>
                <w:tcPr>
                  <w:tcW w:w="1257" w:type="pct"/>
                  <w:noWrap w:val="0"/>
                  <w:vAlign w:val="center"/>
                </w:tcPr>
                <w:p w14:paraId="7928F724">
                  <w:pPr>
                    <w:adjustRightInd w:val="0"/>
                    <w:snapToGrid w:val="0"/>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p>
              </w:tc>
              <w:tc>
                <w:tcPr>
                  <w:tcW w:w="1181" w:type="pct"/>
                  <w:noWrap w:val="0"/>
                  <w:vAlign w:val="center"/>
                </w:tcPr>
                <w:p w14:paraId="01DDF9FD">
                  <w:pPr>
                    <w:adjustRightInd w:val="0"/>
                    <w:snapToGrid w:val="0"/>
                    <w:spacing w:line="300" w:lineRule="exact"/>
                    <w:jc w:val="center"/>
                    <w:rPr>
                      <w:rFonts w:hint="eastAsia" w:ascii="仿宋" w:hAnsi="仿宋" w:eastAsia="仿宋" w:cs="仿宋"/>
                      <w:color w:val="auto"/>
                      <w:spacing w:val="20"/>
                      <w:sz w:val="24"/>
                      <w:szCs w:val="24"/>
                      <w:highlight w:val="none"/>
                    </w:rPr>
                  </w:pPr>
                </w:p>
              </w:tc>
            </w:tr>
            <w:tr w14:paraId="07FEF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125" w:type="pct"/>
                  <w:noWrap w:val="0"/>
                  <w:vAlign w:val="center"/>
                </w:tcPr>
                <w:p w14:paraId="7A3DD2B0">
                  <w:pPr>
                    <w:adjustRightInd w:val="0"/>
                    <w:snapToGrid w:val="0"/>
                    <w:spacing w:line="300" w:lineRule="exact"/>
                    <w:jc w:val="center"/>
                    <w:rPr>
                      <w:rFonts w:hint="eastAsia" w:ascii="仿宋" w:hAnsi="仿宋" w:eastAsia="仿宋" w:cs="仿宋"/>
                      <w:color w:val="auto"/>
                      <w:sz w:val="24"/>
                      <w:szCs w:val="24"/>
                      <w:highlight w:val="none"/>
                    </w:rPr>
                  </w:pPr>
                </w:p>
              </w:tc>
              <w:tc>
                <w:tcPr>
                  <w:tcW w:w="1435" w:type="pct"/>
                  <w:noWrap w:val="0"/>
                  <w:vAlign w:val="center"/>
                </w:tcPr>
                <w:p w14:paraId="03E17B40">
                  <w:pPr>
                    <w:adjustRightInd w:val="0"/>
                    <w:snapToGrid w:val="0"/>
                    <w:spacing w:line="300" w:lineRule="exact"/>
                    <w:jc w:val="center"/>
                    <w:rPr>
                      <w:rFonts w:hint="eastAsia" w:ascii="仿宋" w:hAnsi="仿宋" w:eastAsia="仿宋" w:cs="仿宋"/>
                      <w:color w:val="auto"/>
                      <w:sz w:val="24"/>
                      <w:szCs w:val="24"/>
                      <w:highlight w:val="none"/>
                    </w:rPr>
                  </w:pPr>
                </w:p>
              </w:tc>
              <w:tc>
                <w:tcPr>
                  <w:tcW w:w="1257" w:type="pct"/>
                  <w:noWrap w:val="0"/>
                  <w:vAlign w:val="center"/>
                </w:tcPr>
                <w:p w14:paraId="28099C59">
                  <w:pPr>
                    <w:adjustRightInd w:val="0"/>
                    <w:snapToGrid w:val="0"/>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银行账号</w:t>
                  </w:r>
                </w:p>
              </w:tc>
              <w:tc>
                <w:tcPr>
                  <w:tcW w:w="1181" w:type="pct"/>
                  <w:noWrap w:val="0"/>
                  <w:vAlign w:val="center"/>
                </w:tcPr>
                <w:p w14:paraId="0FA3394B">
                  <w:pPr>
                    <w:adjustRightInd w:val="0"/>
                    <w:snapToGrid w:val="0"/>
                    <w:spacing w:line="300" w:lineRule="exact"/>
                    <w:jc w:val="center"/>
                    <w:rPr>
                      <w:rFonts w:hint="eastAsia" w:ascii="仿宋" w:hAnsi="仿宋" w:eastAsia="仿宋" w:cs="仿宋"/>
                      <w:color w:val="auto"/>
                      <w:spacing w:val="20"/>
                      <w:sz w:val="24"/>
                      <w:szCs w:val="24"/>
                      <w:highlight w:val="none"/>
                    </w:rPr>
                  </w:pPr>
                </w:p>
              </w:tc>
            </w:tr>
            <w:tr w14:paraId="6E8D5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5000" w:type="pct"/>
                  <w:gridSpan w:val="4"/>
                  <w:noWrap w:val="0"/>
                  <w:vAlign w:val="center"/>
                </w:tcPr>
                <w:p w14:paraId="111125A4">
                  <w:pPr>
                    <w:pStyle w:val="3"/>
                    <w:adjustRightInd w:val="0"/>
                    <w:snapToGrid w:val="0"/>
                    <w:spacing w:before="156" w:beforeLines="50" w:after="0" w:line="360" w:lineRule="auto"/>
                    <w:ind w:left="0" w:leftChars="0"/>
                    <w:jc w:val="left"/>
                    <w:rPr>
                      <w:rFonts w:hint="eastAsia" w:ascii="仿宋" w:hAnsi="仿宋" w:eastAsia="仿宋" w:cs="仿宋"/>
                      <w:color w:val="auto"/>
                      <w:spacing w:val="20"/>
                      <w:sz w:val="24"/>
                      <w:szCs w:val="24"/>
                      <w:highlight w:val="none"/>
                    </w:rPr>
                  </w:pPr>
                  <w:r>
                    <w:rPr>
                      <w:rFonts w:hint="eastAsia" w:ascii="仿宋" w:hAnsi="仿宋" w:eastAsia="仿宋" w:cs="仿宋"/>
                      <w:color w:val="auto"/>
                      <w:sz w:val="24"/>
                      <w:szCs w:val="24"/>
                      <w:highlight w:val="none"/>
                    </w:rPr>
                    <w:t>注：涉及联合体或其他合同主体的信息应按上表格式加列。</w:t>
                  </w:r>
                </w:p>
              </w:tc>
            </w:tr>
          </w:tbl>
          <w:p w14:paraId="63BE0990">
            <w:pPr>
              <w:pStyle w:val="5"/>
              <w:adjustRightInd w:val="0"/>
              <w:snapToGrid w:val="0"/>
              <w:spacing w:before="156" w:beforeLines="5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br w:type="page"/>
            </w:r>
            <w:bookmarkStart w:id="405" w:name="_Toc22091"/>
            <w:bookmarkStart w:id="406" w:name="_Toc32000"/>
            <w:bookmarkStart w:id="407" w:name="_Toc20935"/>
            <w:bookmarkStart w:id="408" w:name="_Toc24428"/>
            <w:bookmarkStart w:id="409" w:name="_Toc27624"/>
            <w:bookmarkStart w:id="410" w:name="_Toc10321"/>
            <w:bookmarkStart w:id="411" w:name="_Toc23722"/>
            <w:bookmarkStart w:id="412" w:name="_Toc6174"/>
            <w:bookmarkStart w:id="413" w:name="_Toc10448"/>
            <w:r>
              <w:rPr>
                <w:rFonts w:hint="eastAsia" w:ascii="仿宋" w:hAnsi="仿宋" w:eastAsia="仿宋" w:cs="仿宋"/>
                <w:b w:val="0"/>
                <w:bCs w:val="0"/>
                <w:color w:val="auto"/>
                <w:sz w:val="24"/>
                <w:szCs w:val="24"/>
                <w:highlight w:val="none"/>
              </w:rPr>
              <w:t>第二节 政府采购合同通用条款</w:t>
            </w:r>
            <w:bookmarkEnd w:id="405"/>
            <w:bookmarkEnd w:id="406"/>
            <w:bookmarkEnd w:id="407"/>
            <w:bookmarkEnd w:id="408"/>
            <w:bookmarkEnd w:id="409"/>
            <w:bookmarkEnd w:id="410"/>
            <w:bookmarkEnd w:id="411"/>
            <w:bookmarkEnd w:id="412"/>
            <w:bookmarkEnd w:id="413"/>
          </w:p>
          <w:p w14:paraId="148F309A">
            <w:pPr>
              <w:tabs>
                <w:tab w:val="left" w:pos="8820"/>
                <w:tab w:val="left" w:pos="9345"/>
                <w:tab w:val="left" w:pos="9765"/>
              </w:tabs>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t>1.</w:t>
            </w:r>
            <w:r>
              <w:rPr>
                <w:rFonts w:hint="eastAsia" w:ascii="仿宋" w:hAnsi="仿宋" w:eastAsia="仿宋" w:cs="仿宋"/>
                <w:b/>
                <w:color w:val="auto"/>
                <w:sz w:val="24"/>
                <w:szCs w:val="24"/>
                <w:highlight w:val="none"/>
                <w:lang w:val="en-US" w:eastAsia="zh-CN"/>
              </w:rPr>
              <w:t xml:space="preserve"> </w:t>
            </w:r>
            <w:r>
              <w:rPr>
                <w:rFonts w:hint="eastAsia" w:ascii="仿宋" w:hAnsi="仿宋" w:eastAsia="仿宋" w:cs="仿宋"/>
                <w:b/>
                <w:bCs/>
                <w:color w:val="auto"/>
                <w:sz w:val="24"/>
                <w:szCs w:val="24"/>
                <w:highlight w:val="none"/>
              </w:rPr>
              <w:t>定义</w:t>
            </w:r>
          </w:p>
          <w:p w14:paraId="51E02D5E">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1.1合同当事人</w:t>
            </w:r>
          </w:p>
          <w:p w14:paraId="7F13DF7C">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（1）采购人（以</w:t>
            </w:r>
            <w:r>
              <w:rPr>
                <w:rFonts w:hint="eastAsia" w:ascii="仿宋" w:hAnsi="仿宋" w:eastAsia="仿宋" w:cs="仿宋"/>
                <w:color w:val="auto"/>
                <w:sz w:val="24"/>
                <w:szCs w:val="24"/>
                <w:highlight w:val="none"/>
                <w:lang w:eastAsia="zh-CN"/>
              </w:rPr>
              <w:t>下简</w:t>
            </w:r>
            <w:r>
              <w:rPr>
                <w:rFonts w:hint="eastAsia" w:ascii="仿宋" w:hAnsi="仿宋" w:eastAsia="仿宋" w:cs="仿宋"/>
                <w:color w:val="auto"/>
                <w:sz w:val="24"/>
                <w:szCs w:val="24"/>
                <w:highlight w:val="none"/>
              </w:rPr>
              <w:t>称甲方）是指使用财政性资金，通过政府采购方式向</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购买货物</w:t>
            </w:r>
            <w:r>
              <w:rPr>
                <w:rFonts w:hint="eastAsia" w:ascii="仿宋" w:hAnsi="仿宋" w:eastAsia="仿宋" w:cs="仿宋"/>
                <w:color w:val="auto"/>
                <w:sz w:val="24"/>
                <w:szCs w:val="24"/>
                <w:highlight w:val="none"/>
                <w:lang w:val="en-US" w:eastAsia="zh-CN"/>
              </w:rPr>
              <w:t>及其相关服务的</w:t>
            </w:r>
            <w:r>
              <w:rPr>
                <w:rFonts w:hint="eastAsia" w:ascii="仿宋" w:hAnsi="仿宋" w:eastAsia="仿宋" w:cs="仿宋"/>
                <w:color w:val="auto"/>
                <w:sz w:val="24"/>
                <w:szCs w:val="24"/>
                <w:highlight w:val="none"/>
              </w:rPr>
              <w:t>国家机关、事业单位、团体组织。</w:t>
            </w:r>
          </w:p>
          <w:p w14:paraId="50A5CB94">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（以</w:t>
            </w:r>
            <w:r>
              <w:rPr>
                <w:rFonts w:hint="eastAsia" w:ascii="仿宋" w:hAnsi="仿宋" w:eastAsia="仿宋" w:cs="仿宋"/>
                <w:color w:val="auto"/>
                <w:sz w:val="24"/>
                <w:szCs w:val="24"/>
                <w:highlight w:val="none"/>
                <w:lang w:eastAsia="zh-CN"/>
              </w:rPr>
              <w:t>下简</w:t>
            </w:r>
            <w:r>
              <w:rPr>
                <w:rFonts w:hint="eastAsia" w:ascii="仿宋" w:hAnsi="仿宋" w:eastAsia="仿宋" w:cs="仿宋"/>
                <w:color w:val="auto"/>
                <w:sz w:val="24"/>
                <w:szCs w:val="24"/>
                <w:highlight w:val="none"/>
              </w:rPr>
              <w:t>称</w:t>
            </w:r>
            <w:r>
              <w:rPr>
                <w:rFonts w:hint="eastAsia" w:ascii="仿宋" w:hAnsi="仿宋" w:eastAsia="仿宋" w:cs="仿宋"/>
                <w:color w:val="auto"/>
                <w:sz w:val="24"/>
                <w:szCs w:val="24"/>
                <w:highlight w:val="none"/>
                <w:lang w:eastAsia="zh-CN"/>
              </w:rPr>
              <w:t>乙</w:t>
            </w:r>
            <w:r>
              <w:rPr>
                <w:rFonts w:hint="eastAsia" w:ascii="仿宋" w:hAnsi="仿宋" w:eastAsia="仿宋" w:cs="仿宋"/>
                <w:color w:val="auto"/>
                <w:sz w:val="24"/>
                <w:szCs w:val="24"/>
                <w:highlight w:val="none"/>
              </w:rPr>
              <w:t>方）是指参加政府采购活动并且中标（成交），向采购人提供</w:t>
            </w:r>
            <w:r>
              <w:rPr>
                <w:rFonts w:hint="eastAsia" w:ascii="仿宋" w:hAnsi="仿宋" w:eastAsia="仿宋" w:cs="仿宋"/>
                <w:color w:val="auto"/>
                <w:sz w:val="24"/>
                <w:szCs w:val="24"/>
                <w:highlight w:val="none"/>
                <w:lang w:val="en-US" w:eastAsia="zh-CN"/>
              </w:rPr>
              <w:t>合同约定的货物及其相关服务的法人、非法人组织或者自然人</w:t>
            </w:r>
            <w:r>
              <w:rPr>
                <w:rFonts w:hint="eastAsia" w:ascii="仿宋" w:hAnsi="仿宋" w:eastAsia="仿宋" w:cs="仿宋"/>
                <w:color w:val="auto"/>
                <w:sz w:val="24"/>
                <w:szCs w:val="24"/>
                <w:highlight w:val="none"/>
              </w:rPr>
              <w:t>。</w:t>
            </w:r>
          </w:p>
          <w:p w14:paraId="10CD40F4">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（3）其他合同主体是指除采购人和</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以外，</w:t>
            </w:r>
            <w:r>
              <w:rPr>
                <w:rFonts w:hint="eastAsia" w:ascii="仿宋" w:hAnsi="仿宋" w:eastAsia="仿宋" w:cs="仿宋"/>
                <w:bCs/>
                <w:color w:val="auto"/>
                <w:sz w:val="24"/>
                <w:szCs w:val="24"/>
                <w:highlight w:val="none"/>
              </w:rPr>
              <w:t>依法参与合同缔结或履行，享有权利、承担义务的合同当事人</w:t>
            </w:r>
            <w:r>
              <w:rPr>
                <w:rFonts w:hint="eastAsia" w:ascii="仿宋" w:hAnsi="仿宋" w:eastAsia="仿宋" w:cs="仿宋"/>
                <w:color w:val="auto"/>
                <w:sz w:val="24"/>
                <w:szCs w:val="24"/>
                <w:highlight w:val="none"/>
              </w:rPr>
              <w:t>。</w:t>
            </w:r>
          </w:p>
          <w:p w14:paraId="4BE7258F">
            <w:pPr>
              <w:tabs>
                <w:tab w:val="left" w:pos="570"/>
                <w:tab w:val="left" w:pos="9240"/>
                <w:tab w:val="left" w:pos="9555"/>
              </w:tabs>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1.2本合同下列术语应解释为：</w:t>
            </w:r>
          </w:p>
          <w:p w14:paraId="66EC04DF">
            <w:pPr>
              <w:adjustRightInd w:val="0"/>
              <w:snapToGrid w:val="0"/>
              <w:spacing w:before="0" w:beforeLines="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（1）“合同”系指</w:t>
            </w:r>
            <w:r>
              <w:rPr>
                <w:rFonts w:hint="eastAsia" w:ascii="仿宋" w:hAnsi="仿宋" w:eastAsia="仿宋" w:cs="仿宋"/>
                <w:bCs/>
                <w:color w:val="auto"/>
                <w:sz w:val="24"/>
                <w:szCs w:val="24"/>
                <w:highlight w:val="none"/>
              </w:rPr>
              <w:t>合同当事人意思表示达成一致的任何协议，包括签署的</w:t>
            </w:r>
            <w:r>
              <w:rPr>
                <w:rFonts w:hint="eastAsia" w:ascii="仿宋" w:hAnsi="仿宋" w:eastAsia="仿宋" w:cs="仿宋"/>
                <w:color w:val="auto"/>
                <w:sz w:val="24"/>
                <w:szCs w:val="24"/>
                <w:highlight w:val="none"/>
                <w:lang w:eastAsia="zh-CN"/>
              </w:rPr>
              <w:t>政府采购</w:t>
            </w:r>
            <w:r>
              <w:rPr>
                <w:rFonts w:hint="eastAsia" w:ascii="仿宋" w:hAnsi="仿宋" w:eastAsia="仿宋" w:cs="仿宋"/>
                <w:color w:val="auto"/>
                <w:sz w:val="24"/>
                <w:szCs w:val="24"/>
                <w:highlight w:val="none"/>
              </w:rPr>
              <w:t>合同协议书及其变更、补充</w:t>
            </w:r>
            <w:r>
              <w:rPr>
                <w:rFonts w:hint="eastAsia" w:ascii="仿宋" w:hAnsi="仿宋" w:eastAsia="仿宋" w:cs="仿宋"/>
                <w:color w:val="auto"/>
                <w:sz w:val="24"/>
                <w:szCs w:val="24"/>
                <w:highlight w:val="none"/>
                <w:lang w:eastAsia="zh-CN"/>
              </w:rPr>
              <w:t>协议，</w:t>
            </w:r>
            <w:r>
              <w:rPr>
                <w:rFonts w:hint="eastAsia" w:ascii="仿宋" w:hAnsi="仿宋" w:eastAsia="仿宋" w:cs="仿宋"/>
                <w:color w:val="auto"/>
                <w:sz w:val="24"/>
                <w:szCs w:val="24"/>
                <w:highlight w:val="none"/>
              </w:rPr>
              <w:t>政府采购合同专用条款</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政府采购合同通用条款</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中标</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通知书</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投标（响应）文件</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有关技术文件</w:t>
            </w:r>
            <w:r>
              <w:rPr>
                <w:rFonts w:hint="eastAsia" w:ascii="仿宋" w:hAnsi="仿宋" w:eastAsia="仿宋" w:cs="仿宋"/>
                <w:color w:val="auto"/>
                <w:sz w:val="24"/>
                <w:szCs w:val="24"/>
                <w:highlight w:val="none"/>
                <w:lang w:eastAsia="zh-CN"/>
              </w:rPr>
              <w:t>和</w:t>
            </w:r>
            <w:r>
              <w:rPr>
                <w:rFonts w:hint="eastAsia" w:ascii="仿宋" w:hAnsi="仿宋" w:eastAsia="仿宋" w:cs="仿宋"/>
                <w:color w:val="auto"/>
                <w:sz w:val="24"/>
                <w:szCs w:val="24"/>
                <w:highlight w:val="none"/>
              </w:rPr>
              <w:t>图纸</w:t>
            </w:r>
            <w:r>
              <w:rPr>
                <w:rFonts w:hint="eastAsia" w:ascii="仿宋" w:hAnsi="仿宋" w:eastAsia="仿宋" w:cs="仿宋"/>
                <w:color w:val="auto"/>
                <w:sz w:val="24"/>
                <w:szCs w:val="24"/>
                <w:highlight w:val="none"/>
                <w:lang w:eastAsia="zh-CN"/>
              </w:rPr>
              <w:t>，以及</w:t>
            </w:r>
            <w:r>
              <w:rPr>
                <w:rFonts w:hint="eastAsia" w:ascii="仿宋" w:hAnsi="仿宋" w:eastAsia="仿宋" w:cs="仿宋"/>
                <w:bCs w:val="0"/>
                <w:color w:val="auto"/>
                <w:kern w:val="2"/>
                <w:sz w:val="24"/>
                <w:szCs w:val="24"/>
                <w:highlight w:val="none"/>
                <w:lang w:eastAsia="zh-CN"/>
              </w:rPr>
              <w:t>国家法律、行政法规和规章制度规定或合同约定的作为合同组成部分的其他文件</w:t>
            </w:r>
            <w:r>
              <w:rPr>
                <w:rFonts w:hint="eastAsia" w:ascii="仿宋" w:hAnsi="仿宋" w:eastAsia="仿宋" w:cs="仿宋"/>
                <w:color w:val="auto"/>
                <w:sz w:val="24"/>
                <w:szCs w:val="24"/>
                <w:highlight w:val="none"/>
              </w:rPr>
              <w:t>。</w:t>
            </w:r>
          </w:p>
          <w:p w14:paraId="4B2BDC0C">
            <w:pPr>
              <w:tabs>
                <w:tab w:val="left" w:pos="570"/>
                <w:tab w:val="left" w:pos="9240"/>
                <w:tab w:val="left" w:pos="9555"/>
              </w:tabs>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）“合同价</w:t>
            </w:r>
            <w:r>
              <w:rPr>
                <w:rFonts w:hint="eastAsia" w:ascii="仿宋" w:hAnsi="仿宋" w:eastAsia="仿宋" w:cs="仿宋"/>
                <w:color w:val="auto"/>
                <w:sz w:val="24"/>
                <w:szCs w:val="24"/>
                <w:highlight w:val="none"/>
                <w:lang w:val="en-US" w:eastAsia="zh-CN"/>
              </w:rPr>
              <w:t>款</w:t>
            </w:r>
            <w:r>
              <w:rPr>
                <w:rFonts w:hint="eastAsia" w:ascii="仿宋" w:hAnsi="仿宋" w:eastAsia="仿宋" w:cs="仿宋"/>
                <w:color w:val="auto"/>
                <w:sz w:val="24"/>
                <w:szCs w:val="24"/>
                <w:highlight w:val="none"/>
              </w:rPr>
              <w:t>”系指根据本合同规定乙方在全面履行合同义务后甲方应支付给乙方的价款。</w:t>
            </w:r>
          </w:p>
          <w:p w14:paraId="1B7A19FB">
            <w:pPr>
              <w:tabs>
                <w:tab w:val="left" w:pos="570"/>
                <w:tab w:val="left" w:pos="9240"/>
                <w:tab w:val="left" w:pos="9555"/>
              </w:tabs>
              <w:adjustRightInd w:val="0"/>
              <w:snapToGrid w:val="0"/>
              <w:spacing w:before="0" w:line="400" w:lineRule="exact"/>
              <w:ind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）“货物”系指乙方根据本合同规定须向甲方提供的各种形态和种类的物品，包括原材料、设备、产品（包括软件）及相关的</w:t>
            </w:r>
            <w:r>
              <w:rPr>
                <w:rFonts w:hint="eastAsia" w:ascii="仿宋" w:hAnsi="仿宋" w:eastAsia="仿宋" w:cs="仿宋"/>
                <w:color w:val="auto"/>
                <w:sz w:val="24"/>
                <w:szCs w:val="24"/>
                <w:highlight w:val="none"/>
                <w:lang w:eastAsia="zh-CN"/>
              </w:rPr>
              <w:t>其他</w:t>
            </w:r>
            <w:r>
              <w:rPr>
                <w:rFonts w:hint="eastAsia" w:ascii="仿宋" w:hAnsi="仿宋" w:eastAsia="仿宋" w:cs="仿宋"/>
                <w:color w:val="auto"/>
                <w:sz w:val="24"/>
                <w:szCs w:val="24"/>
                <w:highlight w:val="none"/>
              </w:rPr>
              <w:t>备品备件、工具、手册及</w:t>
            </w:r>
            <w:r>
              <w:rPr>
                <w:rFonts w:hint="eastAsia" w:ascii="仿宋" w:hAnsi="仿宋" w:eastAsia="仿宋" w:cs="仿宋"/>
                <w:color w:val="auto"/>
                <w:sz w:val="24"/>
                <w:szCs w:val="24"/>
                <w:highlight w:val="none"/>
                <w:lang w:val="en"/>
              </w:rPr>
              <w:t>其他</w:t>
            </w:r>
            <w:r>
              <w:rPr>
                <w:rFonts w:hint="eastAsia" w:ascii="仿宋" w:hAnsi="仿宋" w:eastAsia="仿宋" w:cs="仿宋"/>
                <w:color w:val="auto"/>
                <w:sz w:val="24"/>
                <w:szCs w:val="24"/>
                <w:highlight w:val="none"/>
              </w:rPr>
              <w:t>技术资料和材料</w:t>
            </w:r>
            <w:r>
              <w:rPr>
                <w:rFonts w:hint="eastAsia" w:ascii="仿宋" w:hAnsi="仿宋" w:eastAsia="仿宋" w:cs="仿宋"/>
                <w:color w:val="auto"/>
                <w:sz w:val="24"/>
                <w:szCs w:val="24"/>
                <w:highlight w:val="none"/>
                <w:lang w:eastAsia="zh-CN"/>
              </w:rPr>
              <w:t>等</w:t>
            </w:r>
            <w:r>
              <w:rPr>
                <w:rFonts w:hint="eastAsia" w:ascii="仿宋" w:hAnsi="仿宋" w:eastAsia="仿宋" w:cs="仿宋"/>
                <w:color w:val="auto"/>
                <w:sz w:val="24"/>
                <w:szCs w:val="24"/>
                <w:highlight w:val="none"/>
              </w:rPr>
              <w:t>。</w:t>
            </w:r>
          </w:p>
          <w:p w14:paraId="6AB6C9B8">
            <w:pPr>
              <w:adjustRightInd w:val="0"/>
              <w:snapToGrid w:val="0"/>
              <w:spacing w:before="0" w:line="400" w:lineRule="exact"/>
              <w:ind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相关</w:t>
            </w:r>
            <w:r>
              <w:rPr>
                <w:rFonts w:hint="eastAsia" w:ascii="仿宋" w:hAnsi="仿宋" w:eastAsia="仿宋" w:cs="仿宋"/>
                <w:color w:val="auto"/>
                <w:sz w:val="24"/>
                <w:szCs w:val="24"/>
                <w:highlight w:val="none"/>
              </w:rPr>
              <w:t>服务”系指根据合同规定，乙方应提供的</w:t>
            </w:r>
            <w:r>
              <w:rPr>
                <w:rFonts w:hint="eastAsia" w:ascii="仿宋" w:hAnsi="仿宋" w:eastAsia="仿宋" w:cs="仿宋"/>
                <w:color w:val="auto"/>
                <w:sz w:val="24"/>
                <w:szCs w:val="24"/>
                <w:highlight w:val="none"/>
                <w:lang w:val="en-US" w:eastAsia="zh-CN"/>
              </w:rPr>
              <w:t>与货物有关的</w:t>
            </w:r>
            <w:r>
              <w:rPr>
                <w:rFonts w:hint="eastAsia" w:ascii="仿宋" w:hAnsi="仿宋" w:eastAsia="仿宋" w:cs="仿宋"/>
                <w:color w:val="auto"/>
                <w:sz w:val="24"/>
                <w:szCs w:val="24"/>
                <w:highlight w:val="none"/>
              </w:rPr>
              <w:t>技术、管理和</w:t>
            </w:r>
            <w:r>
              <w:rPr>
                <w:rFonts w:hint="eastAsia" w:ascii="仿宋" w:hAnsi="仿宋" w:eastAsia="仿宋" w:cs="仿宋"/>
                <w:color w:val="auto"/>
                <w:sz w:val="24"/>
                <w:szCs w:val="24"/>
                <w:highlight w:val="none"/>
                <w:lang w:val="en"/>
              </w:rPr>
              <w:t>其他</w:t>
            </w:r>
            <w:r>
              <w:rPr>
                <w:rFonts w:hint="eastAsia" w:ascii="仿宋" w:hAnsi="仿宋" w:eastAsia="仿宋" w:cs="仿宋"/>
                <w:color w:val="auto"/>
                <w:sz w:val="24"/>
                <w:szCs w:val="24"/>
                <w:highlight w:val="none"/>
              </w:rPr>
              <w:t>服务，包括但不限于：管理和质量保证、运输、保险、检验、现场准备、安装、集成、调试、培训、维修、</w:t>
            </w:r>
            <w:r>
              <w:rPr>
                <w:rFonts w:hint="eastAsia" w:ascii="仿宋" w:hAnsi="仿宋" w:eastAsia="仿宋" w:cs="仿宋"/>
                <w:color w:val="auto"/>
                <w:sz w:val="24"/>
                <w:szCs w:val="24"/>
                <w:highlight w:val="none"/>
                <w:lang w:eastAsia="zh-CN"/>
              </w:rPr>
              <w:t>废弃处置、</w:t>
            </w:r>
            <w:r>
              <w:rPr>
                <w:rFonts w:hint="eastAsia" w:ascii="仿宋" w:hAnsi="仿宋" w:eastAsia="仿宋" w:cs="仿宋"/>
                <w:color w:val="auto"/>
                <w:sz w:val="24"/>
                <w:szCs w:val="24"/>
                <w:highlight w:val="none"/>
              </w:rPr>
              <w:t>技术支持等以及合同中规定乙方应承担的</w:t>
            </w:r>
            <w:r>
              <w:rPr>
                <w:rFonts w:hint="eastAsia" w:ascii="仿宋" w:hAnsi="仿宋" w:eastAsia="仿宋" w:cs="仿宋"/>
                <w:color w:val="auto"/>
                <w:sz w:val="24"/>
                <w:szCs w:val="24"/>
                <w:highlight w:val="none"/>
                <w:lang w:val="en"/>
              </w:rPr>
              <w:t>其他</w:t>
            </w:r>
            <w:r>
              <w:rPr>
                <w:rFonts w:hint="eastAsia" w:ascii="仿宋" w:hAnsi="仿宋" w:eastAsia="仿宋" w:cs="仿宋"/>
                <w:color w:val="auto"/>
                <w:sz w:val="24"/>
                <w:szCs w:val="24"/>
                <w:highlight w:val="none"/>
              </w:rPr>
              <w:t>义务。</w:t>
            </w:r>
          </w:p>
          <w:p w14:paraId="5EEE5120">
            <w:pPr>
              <w:adjustRightInd w:val="0"/>
              <w:snapToGrid w:val="0"/>
              <w:spacing w:before="0" w:line="400" w:lineRule="exact"/>
              <w:ind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）“分包”系指中标</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成交</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按</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、投标（响应）文件的规定，根据分包意向协议，将中标</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成交</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项目中的部分履约内容，分给具有相应资质条件的</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履行合同的行为。</w:t>
            </w:r>
          </w:p>
          <w:p w14:paraId="5D30DCE1">
            <w:pPr>
              <w:tabs>
                <w:tab w:val="left" w:pos="570"/>
                <w:tab w:val="left" w:pos="9240"/>
                <w:tab w:val="left" w:pos="9555"/>
              </w:tabs>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）“联合体”系指</w:t>
            </w:r>
            <w:r>
              <w:rPr>
                <w:rFonts w:hint="eastAsia" w:ascii="仿宋" w:hAnsi="仿宋" w:eastAsia="仿宋" w:cs="仿宋"/>
                <w:color w:val="auto"/>
                <w:sz w:val="24"/>
                <w:szCs w:val="24"/>
                <w:highlight w:val="none"/>
                <w:lang w:eastAsia="zh-CN"/>
              </w:rPr>
              <w:t>由</w:t>
            </w:r>
            <w:r>
              <w:rPr>
                <w:rFonts w:hint="eastAsia" w:ascii="仿宋" w:hAnsi="仿宋" w:eastAsia="仿宋" w:cs="仿宋"/>
                <w:color w:val="auto"/>
                <w:sz w:val="24"/>
                <w:szCs w:val="24"/>
                <w:highlight w:val="none"/>
              </w:rPr>
              <w:t>两个以上的自然人、法人或者</w:t>
            </w:r>
            <w:r>
              <w:rPr>
                <w:rFonts w:hint="eastAsia" w:ascii="仿宋" w:hAnsi="仿宋" w:eastAsia="仿宋" w:cs="仿宋"/>
                <w:color w:val="auto"/>
                <w:sz w:val="24"/>
                <w:szCs w:val="24"/>
                <w:highlight w:val="none"/>
                <w:lang w:val="en-US" w:eastAsia="zh-CN"/>
              </w:rPr>
              <w:t>非法人</w:t>
            </w:r>
            <w:r>
              <w:rPr>
                <w:rFonts w:hint="eastAsia" w:ascii="仿宋" w:hAnsi="仿宋" w:eastAsia="仿宋" w:cs="仿宋"/>
                <w:color w:val="auto"/>
                <w:sz w:val="24"/>
                <w:szCs w:val="24"/>
                <w:highlight w:val="none"/>
              </w:rPr>
              <w:t>组织组成，</w:t>
            </w:r>
            <w:r>
              <w:rPr>
                <w:rFonts w:hint="eastAsia" w:ascii="仿宋" w:hAnsi="仿宋" w:eastAsia="仿宋" w:cs="仿宋"/>
                <w:color w:val="auto"/>
                <w:sz w:val="24"/>
                <w:szCs w:val="24"/>
                <w:highlight w:val="none"/>
                <w:lang w:eastAsia="zh-CN"/>
              </w:rPr>
              <w:t>以一个投标人的身份共同参加政府采购的主体。</w:t>
            </w:r>
            <w:r>
              <w:rPr>
                <w:rFonts w:hint="eastAsia" w:ascii="仿宋" w:hAnsi="仿宋" w:eastAsia="仿宋" w:cs="仿宋"/>
                <w:color w:val="auto"/>
                <w:sz w:val="24"/>
                <w:szCs w:val="24"/>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承担连带责任。联合体具体要求见【</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w:t>
            </w:r>
          </w:p>
          <w:p w14:paraId="1EE5EE63">
            <w:pPr>
              <w:tabs>
                <w:tab w:val="left" w:pos="570"/>
                <w:tab w:val="left" w:pos="9240"/>
                <w:tab w:val="left" w:pos="9555"/>
              </w:tabs>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）其他术语解释，见【</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w:t>
            </w:r>
          </w:p>
          <w:p w14:paraId="26D8F67C">
            <w:pPr>
              <w:numPr>
                <w:ilvl w:val="0"/>
                <w:numId w:val="0"/>
              </w:numPr>
              <w:autoSpaceDE w:val="0"/>
              <w:autoSpaceDN w:val="0"/>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color w:val="auto"/>
                <w:sz w:val="24"/>
                <w:szCs w:val="24"/>
                <w:highlight w:val="none"/>
                <w:lang w:val="en-US" w:eastAsia="zh-CN"/>
              </w:rPr>
              <w:t>2.</w:t>
            </w:r>
            <w:r>
              <w:rPr>
                <w:rFonts w:hint="eastAsia" w:ascii="仿宋" w:hAnsi="仿宋" w:eastAsia="仿宋" w:cs="仿宋"/>
                <w:b/>
                <w:color w:val="auto"/>
                <w:sz w:val="24"/>
                <w:szCs w:val="24"/>
                <w:highlight w:val="none"/>
              </w:rPr>
              <w:t>合同标的及金额</w:t>
            </w:r>
          </w:p>
          <w:p w14:paraId="5142B804">
            <w:pPr>
              <w:autoSpaceDE w:val="0"/>
              <w:autoSpaceDN w:val="0"/>
              <w:adjustRightInd w:val="0"/>
              <w:snapToGrid w:val="0"/>
              <w:spacing w:before="0" w:line="400" w:lineRule="exact"/>
              <w:ind w:firstLine="480" w:firstLineChars="200"/>
              <w:jc w:val="left"/>
              <w:rPr>
                <w:rFonts w:hint="eastAsia" w:ascii="仿宋" w:hAnsi="仿宋" w:eastAsia="仿宋" w:cs="仿宋"/>
                <w:b/>
                <w:bCs/>
                <w:i/>
                <w:iCs/>
                <w:color w:val="auto"/>
                <w:sz w:val="24"/>
                <w:szCs w:val="24"/>
                <w:highlight w:val="none"/>
              </w:rPr>
            </w:pPr>
            <w:r>
              <w:rPr>
                <w:rFonts w:hint="eastAsia" w:ascii="仿宋" w:hAnsi="仿宋" w:eastAsia="仿宋" w:cs="仿宋"/>
                <w:color w:val="auto"/>
                <w:sz w:val="24"/>
                <w:szCs w:val="24"/>
                <w:highlight w:val="none"/>
                <w:lang w:eastAsia="zh-CN"/>
              </w:rPr>
              <w:t>2</w:t>
            </w:r>
            <w:r>
              <w:rPr>
                <w:rFonts w:hint="eastAsia" w:ascii="仿宋" w:hAnsi="仿宋" w:eastAsia="仿宋" w:cs="仿宋"/>
                <w:color w:val="auto"/>
                <w:sz w:val="24"/>
                <w:szCs w:val="24"/>
                <w:highlight w:val="none"/>
              </w:rPr>
              <w:t>.1 合同标的及金额应与中标（成交）结果一致。乙方为履行本合同而发生的所有费用均应包含在合同</w:t>
            </w:r>
            <w:r>
              <w:rPr>
                <w:rFonts w:hint="eastAsia" w:ascii="仿宋" w:hAnsi="仿宋" w:eastAsia="仿宋" w:cs="仿宋"/>
                <w:color w:val="auto"/>
                <w:sz w:val="24"/>
                <w:szCs w:val="24"/>
                <w:highlight w:val="none"/>
                <w:lang w:eastAsia="zh-CN"/>
              </w:rPr>
              <w:t>价款</w:t>
            </w:r>
            <w:r>
              <w:rPr>
                <w:rFonts w:hint="eastAsia" w:ascii="仿宋" w:hAnsi="仿宋" w:eastAsia="仿宋" w:cs="仿宋"/>
                <w:color w:val="auto"/>
                <w:sz w:val="24"/>
                <w:szCs w:val="24"/>
                <w:highlight w:val="none"/>
              </w:rPr>
              <w:t>中，甲方不再另行支付</w:t>
            </w:r>
            <w:r>
              <w:rPr>
                <w:rFonts w:hint="eastAsia" w:ascii="仿宋" w:hAnsi="仿宋" w:eastAsia="仿宋" w:cs="仿宋"/>
                <w:color w:val="auto"/>
                <w:sz w:val="24"/>
                <w:szCs w:val="24"/>
                <w:highlight w:val="none"/>
                <w:lang w:val="en"/>
              </w:rPr>
              <w:t>其他</w:t>
            </w:r>
            <w:r>
              <w:rPr>
                <w:rFonts w:hint="eastAsia" w:ascii="仿宋" w:hAnsi="仿宋" w:eastAsia="仿宋" w:cs="仿宋"/>
                <w:color w:val="auto"/>
                <w:sz w:val="24"/>
                <w:szCs w:val="24"/>
                <w:highlight w:val="none"/>
              </w:rPr>
              <w:t>任何费用。</w:t>
            </w:r>
          </w:p>
          <w:p w14:paraId="553C5C1B">
            <w:pPr>
              <w:adjustRightInd w:val="0"/>
              <w:snapToGrid w:val="0"/>
              <w:spacing w:before="0" w:line="400" w:lineRule="exact"/>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eastAsia="zh-CN"/>
              </w:rPr>
              <w:t>3</w:t>
            </w:r>
            <w:r>
              <w:rPr>
                <w:rFonts w:hint="eastAsia" w:ascii="仿宋" w:hAnsi="仿宋" w:eastAsia="仿宋" w:cs="仿宋"/>
                <w:b/>
                <w:color w:val="auto"/>
                <w:sz w:val="24"/>
                <w:szCs w:val="24"/>
                <w:highlight w:val="none"/>
                <w:lang w:val="en-US" w:eastAsia="zh-CN"/>
              </w:rPr>
              <w:t>.</w:t>
            </w:r>
            <w:r>
              <w:rPr>
                <w:rFonts w:hint="eastAsia" w:ascii="仿宋" w:hAnsi="仿宋" w:eastAsia="仿宋" w:cs="仿宋"/>
                <w:b/>
                <w:color w:val="auto"/>
                <w:sz w:val="24"/>
                <w:szCs w:val="24"/>
                <w:highlight w:val="none"/>
              </w:rPr>
              <w:t>履行合同的时间、地点和方式</w:t>
            </w:r>
          </w:p>
          <w:p w14:paraId="353C7533">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3</w:t>
            </w:r>
            <w:r>
              <w:rPr>
                <w:rFonts w:hint="eastAsia" w:ascii="仿宋" w:hAnsi="仿宋" w:eastAsia="仿宋" w:cs="仿宋"/>
                <w:color w:val="auto"/>
                <w:sz w:val="24"/>
                <w:szCs w:val="24"/>
                <w:highlight w:val="none"/>
              </w:rPr>
              <w:t>.1 乙方应当在约定的时间、地点</w:t>
            </w:r>
            <w:r>
              <w:rPr>
                <w:rFonts w:hint="eastAsia" w:ascii="仿宋" w:hAnsi="仿宋" w:eastAsia="仿宋" w:cs="仿宋"/>
                <w:color w:val="auto"/>
                <w:sz w:val="24"/>
                <w:szCs w:val="24"/>
                <w:highlight w:val="none"/>
                <w:lang w:eastAsia="zh-CN"/>
              </w:rPr>
              <w:t>，按照约定</w:t>
            </w:r>
            <w:r>
              <w:rPr>
                <w:rFonts w:hint="eastAsia" w:ascii="仿宋" w:hAnsi="仿宋" w:eastAsia="仿宋" w:cs="仿宋"/>
                <w:color w:val="auto"/>
                <w:sz w:val="24"/>
                <w:szCs w:val="24"/>
                <w:highlight w:val="none"/>
              </w:rPr>
              <w:t>方式履行合同。</w:t>
            </w:r>
          </w:p>
          <w:p w14:paraId="6B71A64A">
            <w:pPr>
              <w:autoSpaceDE w:val="0"/>
              <w:autoSpaceDN w:val="0"/>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4</w:t>
            </w:r>
            <w:r>
              <w:rPr>
                <w:rFonts w:hint="eastAsia" w:ascii="仿宋" w:hAnsi="仿宋" w:eastAsia="仿宋" w:cs="仿宋"/>
                <w:b/>
                <w:bCs/>
                <w:color w:val="auto"/>
                <w:sz w:val="24"/>
                <w:szCs w:val="24"/>
                <w:highlight w:val="none"/>
                <w:lang w:val="en-US" w:eastAsia="zh-CN"/>
              </w:rPr>
              <w:t>.</w:t>
            </w:r>
            <w:r>
              <w:rPr>
                <w:rFonts w:hint="eastAsia" w:ascii="仿宋" w:hAnsi="仿宋" w:eastAsia="仿宋" w:cs="仿宋"/>
                <w:b/>
                <w:bCs/>
                <w:color w:val="auto"/>
                <w:sz w:val="24"/>
                <w:szCs w:val="24"/>
                <w:highlight w:val="none"/>
              </w:rPr>
              <w:t>甲方的权利和义务</w:t>
            </w:r>
          </w:p>
          <w:p w14:paraId="75AB2FE3">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4</w:t>
            </w:r>
            <w:r>
              <w:rPr>
                <w:rFonts w:hint="eastAsia" w:ascii="仿宋" w:hAnsi="仿宋" w:eastAsia="仿宋" w:cs="仿宋"/>
                <w:color w:val="auto"/>
                <w:sz w:val="24"/>
                <w:szCs w:val="24"/>
                <w:highlight w:val="none"/>
              </w:rPr>
              <w:t>.1 签署合同后，甲方</w:t>
            </w:r>
            <w:r>
              <w:rPr>
                <w:rFonts w:hint="eastAsia" w:ascii="仿宋" w:hAnsi="仿宋" w:eastAsia="仿宋" w:cs="仿宋"/>
                <w:color w:val="auto"/>
                <w:sz w:val="24"/>
                <w:szCs w:val="24"/>
                <w:highlight w:val="none"/>
                <w:lang w:eastAsia="zh-CN"/>
              </w:rPr>
              <w:t>应</w:t>
            </w:r>
            <w:r>
              <w:rPr>
                <w:rFonts w:hint="eastAsia" w:ascii="仿宋" w:hAnsi="仿宋" w:eastAsia="仿宋" w:cs="仿宋"/>
                <w:color w:val="auto"/>
                <w:sz w:val="24"/>
                <w:szCs w:val="24"/>
                <w:highlight w:val="none"/>
              </w:rPr>
              <w:t>确定</w:t>
            </w:r>
            <w:r>
              <w:rPr>
                <w:rFonts w:hint="eastAsia" w:ascii="仿宋" w:hAnsi="仿宋" w:eastAsia="仿宋" w:cs="仿宋"/>
                <w:color w:val="auto"/>
                <w:sz w:val="24"/>
                <w:szCs w:val="24"/>
                <w:highlight w:val="none"/>
                <w:lang w:val="en-US" w:eastAsia="zh-CN"/>
              </w:rPr>
              <w:t>项目负责人（或项目联系人）</w:t>
            </w:r>
            <w:r>
              <w:rPr>
                <w:rFonts w:hint="eastAsia" w:ascii="仿宋" w:hAnsi="仿宋" w:eastAsia="仿宋" w:cs="仿宋"/>
                <w:color w:val="auto"/>
                <w:sz w:val="24"/>
                <w:szCs w:val="24"/>
                <w:highlight w:val="none"/>
              </w:rPr>
              <w:t>，负责与本合同有关的事务。甲方有权对乙方的履约行为进行检查，并及时确认乙方提交的事项。甲方应当配合乙方完成相关项目实施工作。</w:t>
            </w:r>
          </w:p>
          <w:p w14:paraId="6577C5B7">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4</w:t>
            </w:r>
            <w:r>
              <w:rPr>
                <w:rFonts w:hint="eastAsia" w:ascii="仿宋" w:hAnsi="仿宋" w:eastAsia="仿宋" w:cs="仿宋"/>
                <w:color w:val="auto"/>
                <w:sz w:val="24"/>
                <w:szCs w:val="24"/>
                <w:highlight w:val="none"/>
              </w:rPr>
              <w:t>.2 甲方有权要求乙方按时提交各阶段有关安排计划，并有权定期核对乙方提供货物数量、规格、质量等内容。甲方有权督促乙方工作并要求乙方更换不符合要求的货物。</w:t>
            </w:r>
          </w:p>
          <w:p w14:paraId="0B3DF75E">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4</w:t>
            </w:r>
            <w:r>
              <w:rPr>
                <w:rFonts w:hint="eastAsia" w:ascii="仿宋" w:hAnsi="仿宋" w:eastAsia="仿宋" w:cs="仿宋"/>
                <w:color w:val="auto"/>
                <w:sz w:val="24"/>
                <w:szCs w:val="24"/>
                <w:highlight w:val="none"/>
              </w:rPr>
              <w:t>.3 甲方有权要求乙方对缺陷部分予以修复，并按合同约定享有货物保修及其他合同约定的权利。</w:t>
            </w:r>
          </w:p>
          <w:p w14:paraId="6E2A9B92">
            <w:pPr>
              <w:snapToGrid w:val="0"/>
              <w:spacing w:line="40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4.4 甲方应当按照合同约定及时对交付的货物进行验收，</w:t>
            </w:r>
            <w:r>
              <w:rPr>
                <w:rFonts w:hint="eastAsia" w:ascii="仿宋" w:hAnsi="仿宋" w:eastAsia="仿宋" w:cs="仿宋"/>
                <w:b w:val="0"/>
                <w:bCs w:val="0"/>
                <w:color w:val="auto"/>
                <w:sz w:val="24"/>
                <w:szCs w:val="24"/>
                <w:highlight w:val="none"/>
                <w:lang w:eastAsia="zh-CN"/>
              </w:rPr>
              <w:t>未</w:t>
            </w:r>
            <w:r>
              <w:rPr>
                <w:rFonts w:hint="eastAsia" w:ascii="仿宋" w:hAnsi="仿宋" w:eastAsia="仿宋" w:cs="仿宋"/>
                <w:color w:val="auto"/>
                <w:sz w:val="24"/>
                <w:szCs w:val="24"/>
                <w:highlight w:val="none"/>
                <w:lang w:val="en-US" w:eastAsia="zh-CN"/>
              </w:rPr>
              <w:t>在</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b w:val="0"/>
                <w:bCs w:val="0"/>
                <w:color w:val="auto"/>
                <w:sz w:val="24"/>
                <w:szCs w:val="24"/>
                <w:highlight w:val="none"/>
                <w:lang w:eastAsia="zh-CN"/>
              </w:rPr>
              <w:t>约定的期限内对乙方履约提出任何异议或者向乙方作出任何说明的，</w:t>
            </w:r>
            <w:r>
              <w:rPr>
                <w:rFonts w:hint="eastAsia" w:ascii="仿宋" w:hAnsi="仿宋" w:eastAsia="仿宋" w:cs="仿宋"/>
                <w:color w:val="auto"/>
                <w:sz w:val="24"/>
                <w:szCs w:val="24"/>
                <w:highlight w:val="none"/>
                <w:lang w:val="en-US" w:eastAsia="zh-CN"/>
              </w:rPr>
              <w:t>视为验收通过。</w:t>
            </w:r>
          </w:p>
          <w:p w14:paraId="75147449">
            <w:pPr>
              <w:autoSpaceDE w:val="0"/>
              <w:autoSpaceDN w:val="0"/>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 xml:space="preserve"> 甲方应当根据合同约定</w:t>
            </w:r>
            <w:r>
              <w:rPr>
                <w:rFonts w:hint="eastAsia" w:ascii="仿宋" w:hAnsi="仿宋" w:eastAsia="仿宋" w:cs="仿宋"/>
                <w:color w:val="auto"/>
                <w:sz w:val="24"/>
                <w:szCs w:val="24"/>
                <w:highlight w:val="none"/>
                <w:lang w:eastAsia="zh-CN"/>
              </w:rPr>
              <w:t>及</w:t>
            </w:r>
            <w:r>
              <w:rPr>
                <w:rFonts w:hint="eastAsia" w:ascii="仿宋" w:hAnsi="仿宋" w:eastAsia="仿宋" w:cs="仿宋"/>
                <w:color w:val="auto"/>
                <w:sz w:val="24"/>
                <w:szCs w:val="24"/>
                <w:highlight w:val="none"/>
              </w:rPr>
              <w:t>时向乙方支付</w:t>
            </w:r>
            <w:r>
              <w:rPr>
                <w:rFonts w:hint="eastAsia" w:ascii="仿宋" w:hAnsi="仿宋" w:eastAsia="仿宋" w:cs="仿宋"/>
                <w:color w:val="auto"/>
                <w:sz w:val="24"/>
                <w:szCs w:val="24"/>
                <w:highlight w:val="none"/>
                <w:lang w:eastAsia="zh-CN"/>
              </w:rPr>
              <w:t>合同价款，不得以内部人员变更、履行内部付款流程等为由，拒绝或迟延支付。</w:t>
            </w:r>
          </w:p>
          <w:p w14:paraId="17058ECF">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 xml:space="preserve"> 国家法律法规规定</w:t>
            </w:r>
            <w:r>
              <w:rPr>
                <w:rFonts w:hint="eastAsia" w:ascii="仿宋" w:hAnsi="仿宋" w:eastAsia="仿宋" w:cs="仿宋"/>
                <w:color w:val="auto"/>
                <w:sz w:val="24"/>
                <w:szCs w:val="24"/>
                <w:highlight w:val="none"/>
                <w:lang w:eastAsia="zh-CN"/>
              </w:rPr>
              <w:t>及</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lang w:eastAsia="zh-CN"/>
              </w:rPr>
              <w:t>约定应</w:t>
            </w:r>
            <w:r>
              <w:rPr>
                <w:rFonts w:hint="eastAsia" w:ascii="仿宋" w:hAnsi="仿宋" w:eastAsia="仿宋" w:cs="仿宋"/>
                <w:color w:val="auto"/>
                <w:sz w:val="24"/>
                <w:szCs w:val="24"/>
                <w:highlight w:val="none"/>
              </w:rPr>
              <w:t>由甲方承担的其他义务和责任。</w:t>
            </w:r>
          </w:p>
          <w:p w14:paraId="789B1334">
            <w:pPr>
              <w:autoSpaceDE w:val="0"/>
              <w:autoSpaceDN w:val="0"/>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5</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乙方的权利和义务</w:t>
            </w:r>
          </w:p>
          <w:p w14:paraId="342B7696">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5</w:t>
            </w:r>
            <w:r>
              <w:rPr>
                <w:rFonts w:hint="eastAsia" w:ascii="仿宋" w:hAnsi="仿宋" w:eastAsia="仿宋" w:cs="仿宋"/>
                <w:color w:val="auto"/>
                <w:sz w:val="24"/>
                <w:szCs w:val="24"/>
                <w:highlight w:val="none"/>
              </w:rPr>
              <w:t>.1 签署合同后，乙方</w:t>
            </w:r>
            <w:r>
              <w:rPr>
                <w:rFonts w:hint="eastAsia" w:ascii="仿宋" w:hAnsi="仿宋" w:eastAsia="仿宋" w:cs="仿宋"/>
                <w:color w:val="auto"/>
                <w:sz w:val="24"/>
                <w:szCs w:val="24"/>
                <w:highlight w:val="none"/>
                <w:lang w:eastAsia="zh-CN"/>
              </w:rPr>
              <w:t>应</w:t>
            </w:r>
            <w:r>
              <w:rPr>
                <w:rFonts w:hint="eastAsia" w:ascii="仿宋" w:hAnsi="仿宋" w:eastAsia="仿宋" w:cs="仿宋"/>
                <w:color w:val="auto"/>
                <w:sz w:val="24"/>
                <w:szCs w:val="24"/>
                <w:highlight w:val="none"/>
              </w:rPr>
              <w:t>确定</w:t>
            </w:r>
            <w:r>
              <w:rPr>
                <w:rFonts w:hint="eastAsia" w:ascii="仿宋" w:hAnsi="仿宋" w:eastAsia="仿宋" w:cs="仿宋"/>
                <w:color w:val="auto"/>
                <w:sz w:val="24"/>
                <w:szCs w:val="24"/>
                <w:highlight w:val="none"/>
                <w:lang w:val="en-US" w:eastAsia="zh-CN"/>
              </w:rPr>
              <w:t>项目负责人（或项目联系人）</w:t>
            </w:r>
            <w:r>
              <w:rPr>
                <w:rFonts w:hint="eastAsia" w:ascii="仿宋" w:hAnsi="仿宋" w:eastAsia="仿宋" w:cs="仿宋"/>
                <w:color w:val="auto"/>
                <w:sz w:val="24"/>
                <w:szCs w:val="24"/>
                <w:highlight w:val="none"/>
              </w:rPr>
              <w:t>，负责与本合同有关的事务。</w:t>
            </w:r>
          </w:p>
          <w:p w14:paraId="54937971">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5</w:t>
            </w:r>
            <w:r>
              <w:rPr>
                <w:rFonts w:hint="eastAsia" w:ascii="仿宋" w:hAnsi="仿宋" w:eastAsia="仿宋" w:cs="仿宋"/>
                <w:color w:val="auto"/>
                <w:sz w:val="24"/>
                <w:szCs w:val="24"/>
                <w:highlight w:val="none"/>
              </w:rPr>
              <w:t>.2 乙方应按照合同要求履约，充分合理安排，确保提供的货物</w:t>
            </w:r>
            <w:r>
              <w:rPr>
                <w:rFonts w:hint="eastAsia" w:ascii="仿宋" w:hAnsi="仿宋" w:eastAsia="仿宋" w:cs="仿宋"/>
                <w:color w:val="auto"/>
                <w:sz w:val="24"/>
                <w:szCs w:val="24"/>
                <w:highlight w:val="none"/>
                <w:lang w:eastAsia="zh-CN"/>
              </w:rPr>
              <w:t>及相关</w:t>
            </w:r>
            <w:r>
              <w:rPr>
                <w:rFonts w:hint="eastAsia" w:ascii="仿宋" w:hAnsi="仿宋" w:eastAsia="仿宋" w:cs="仿宋"/>
                <w:color w:val="auto"/>
                <w:sz w:val="24"/>
                <w:szCs w:val="24"/>
                <w:highlight w:val="none"/>
              </w:rPr>
              <w:t>服务符合合同</w:t>
            </w:r>
            <w:r>
              <w:rPr>
                <w:rFonts w:hint="eastAsia" w:ascii="仿宋" w:hAnsi="仿宋" w:eastAsia="仿宋" w:cs="仿宋"/>
                <w:color w:val="auto"/>
                <w:sz w:val="24"/>
                <w:szCs w:val="24"/>
                <w:highlight w:val="none"/>
                <w:lang w:eastAsia="zh-CN"/>
              </w:rPr>
              <w:t>有关</w:t>
            </w:r>
            <w:r>
              <w:rPr>
                <w:rFonts w:hint="eastAsia" w:ascii="仿宋" w:hAnsi="仿宋" w:eastAsia="仿宋" w:cs="仿宋"/>
                <w:color w:val="auto"/>
                <w:sz w:val="24"/>
                <w:szCs w:val="24"/>
                <w:highlight w:val="none"/>
              </w:rPr>
              <w:t>要求。接受项目行业管理部门及政府有关部门的指导，配合甲方的履约检查</w:t>
            </w:r>
            <w:r>
              <w:rPr>
                <w:rFonts w:hint="eastAsia" w:ascii="仿宋" w:hAnsi="仿宋" w:eastAsia="仿宋" w:cs="仿宋"/>
                <w:color w:val="auto"/>
                <w:sz w:val="24"/>
                <w:szCs w:val="24"/>
                <w:highlight w:val="none"/>
                <w:lang w:eastAsia="zh-CN"/>
              </w:rPr>
              <w:t>及验收</w:t>
            </w:r>
            <w:r>
              <w:rPr>
                <w:rFonts w:hint="eastAsia" w:ascii="仿宋" w:hAnsi="仿宋" w:eastAsia="仿宋" w:cs="仿宋"/>
                <w:color w:val="auto"/>
                <w:sz w:val="24"/>
                <w:szCs w:val="24"/>
                <w:highlight w:val="none"/>
              </w:rPr>
              <w:t>，并负责项目实施过程中的所有协调工作。</w:t>
            </w:r>
          </w:p>
          <w:p w14:paraId="69B977DA">
            <w:pPr>
              <w:pStyle w:val="18"/>
              <w:spacing w:after="0" w:line="400" w:lineRule="exact"/>
              <w:ind w:firstLine="422" w:firstLineChars="17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5</w:t>
            </w:r>
            <w:r>
              <w:rPr>
                <w:rFonts w:hint="eastAsia" w:ascii="仿宋" w:hAnsi="仿宋" w:eastAsia="仿宋" w:cs="仿宋"/>
                <w:color w:val="auto"/>
                <w:sz w:val="24"/>
                <w:szCs w:val="24"/>
                <w:highlight w:val="none"/>
              </w:rPr>
              <w:t>.3乙方有权根据合同约定向甲方收取</w:t>
            </w:r>
            <w:r>
              <w:rPr>
                <w:rFonts w:hint="eastAsia" w:ascii="仿宋" w:hAnsi="仿宋" w:eastAsia="仿宋" w:cs="仿宋"/>
                <w:color w:val="auto"/>
                <w:sz w:val="24"/>
                <w:szCs w:val="24"/>
                <w:highlight w:val="none"/>
                <w:lang w:eastAsia="zh-CN"/>
              </w:rPr>
              <w:t>合同价款</w:t>
            </w:r>
            <w:r>
              <w:rPr>
                <w:rFonts w:hint="eastAsia" w:ascii="仿宋" w:hAnsi="仿宋" w:eastAsia="仿宋" w:cs="仿宋"/>
                <w:color w:val="auto"/>
                <w:sz w:val="24"/>
                <w:szCs w:val="24"/>
                <w:highlight w:val="none"/>
              </w:rPr>
              <w:t>。</w:t>
            </w:r>
          </w:p>
          <w:p w14:paraId="7D16E71D">
            <w:pPr>
              <w:pStyle w:val="18"/>
              <w:spacing w:after="0" w:line="400" w:lineRule="exact"/>
              <w:ind w:firstLine="422" w:firstLineChars="17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5</w:t>
            </w:r>
            <w:r>
              <w:rPr>
                <w:rFonts w:hint="eastAsia" w:ascii="仿宋" w:hAnsi="仿宋" w:eastAsia="仿宋" w:cs="仿宋"/>
                <w:color w:val="auto"/>
                <w:sz w:val="24"/>
                <w:szCs w:val="24"/>
                <w:highlight w:val="none"/>
              </w:rPr>
              <w:t>.4国家法律法规规定</w:t>
            </w:r>
            <w:r>
              <w:rPr>
                <w:rFonts w:hint="eastAsia" w:ascii="仿宋" w:hAnsi="仿宋" w:eastAsia="仿宋" w:cs="仿宋"/>
                <w:bCs w:val="0"/>
                <w:iCs w:val="0"/>
                <w:color w:val="auto"/>
                <w:kern w:val="2"/>
                <w:sz w:val="24"/>
                <w:szCs w:val="24"/>
                <w:highlight w:val="none"/>
                <w:lang w:val="en-US" w:eastAsia="zh-CN" w:bidi="ar-SA"/>
              </w:rPr>
              <w:t>及【政府采购合同专用条款】约定应</w:t>
            </w:r>
            <w:r>
              <w:rPr>
                <w:rFonts w:hint="eastAsia" w:ascii="仿宋" w:hAnsi="仿宋" w:eastAsia="仿宋" w:cs="仿宋"/>
                <w:color w:val="auto"/>
                <w:sz w:val="24"/>
                <w:szCs w:val="24"/>
                <w:highlight w:val="none"/>
              </w:rPr>
              <w:t>由乙方承担的其他义务和责任。</w:t>
            </w:r>
          </w:p>
          <w:p w14:paraId="6D2DF6F0">
            <w:pPr>
              <w:numPr>
                <w:ilvl w:val="0"/>
                <w:numId w:val="3"/>
              </w:numPr>
              <w:autoSpaceDE w:val="0"/>
              <w:autoSpaceDN w:val="0"/>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合同履</w:t>
            </w:r>
            <w:r>
              <w:rPr>
                <w:rFonts w:hint="eastAsia" w:ascii="仿宋" w:hAnsi="仿宋" w:eastAsia="仿宋" w:cs="仿宋"/>
                <w:b/>
                <w:bCs/>
                <w:color w:val="auto"/>
                <w:sz w:val="24"/>
                <w:szCs w:val="24"/>
                <w:highlight w:val="none"/>
                <w:lang w:val="en-US" w:eastAsia="zh-CN"/>
              </w:rPr>
              <w:t>行</w:t>
            </w:r>
          </w:p>
          <w:p w14:paraId="5DF4515E">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6</w:t>
            </w:r>
            <w:r>
              <w:rPr>
                <w:rFonts w:hint="eastAsia" w:ascii="仿宋" w:hAnsi="仿宋" w:eastAsia="仿宋" w:cs="仿宋"/>
                <w:color w:val="auto"/>
                <w:sz w:val="24"/>
                <w:szCs w:val="24"/>
                <w:highlight w:val="none"/>
              </w:rPr>
              <w:t>.1 甲乙双方应当按照</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约定顺序履行合同义务；如果没有先后顺序的，应当同时履行。</w:t>
            </w:r>
          </w:p>
          <w:p w14:paraId="23AB36E7">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6</w:t>
            </w:r>
            <w:r>
              <w:rPr>
                <w:rFonts w:hint="eastAsia" w:ascii="仿宋" w:hAnsi="仿宋" w:eastAsia="仿宋" w:cs="仿宋"/>
                <w:color w:val="auto"/>
                <w:sz w:val="24"/>
                <w:szCs w:val="24"/>
                <w:highlight w:val="none"/>
              </w:rPr>
              <w:t>.2 甲乙双方按照合同约定顺序履行合同义务时，应当先履行一方未履行的，后履行一方有权拒绝其履行请求。先履行一方履行不符合约定的，后履行一方有权拒绝其相应的履行请求。</w:t>
            </w:r>
          </w:p>
          <w:p w14:paraId="71A21AF7">
            <w:pPr>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7</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货物包装、运输</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保险</w:t>
            </w:r>
            <w:r>
              <w:rPr>
                <w:rFonts w:hint="eastAsia" w:ascii="仿宋" w:hAnsi="仿宋" w:eastAsia="仿宋" w:cs="仿宋"/>
                <w:b/>
                <w:bCs/>
                <w:color w:val="auto"/>
                <w:sz w:val="24"/>
                <w:szCs w:val="24"/>
                <w:highlight w:val="none"/>
                <w:lang w:eastAsia="zh-CN"/>
              </w:rPr>
              <w:t>和交付</w:t>
            </w:r>
            <w:r>
              <w:rPr>
                <w:rFonts w:hint="eastAsia" w:ascii="仿宋" w:hAnsi="仿宋" w:eastAsia="仿宋" w:cs="仿宋"/>
                <w:b/>
                <w:bCs/>
                <w:color w:val="auto"/>
                <w:sz w:val="24"/>
                <w:szCs w:val="24"/>
                <w:highlight w:val="none"/>
              </w:rPr>
              <w:t>要求</w:t>
            </w:r>
          </w:p>
          <w:p w14:paraId="304C9A20">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7</w:t>
            </w:r>
            <w:r>
              <w:rPr>
                <w:rFonts w:hint="eastAsia" w:ascii="仿宋" w:hAnsi="仿宋" w:eastAsia="仿宋" w:cs="仿宋"/>
                <w:color w:val="auto"/>
                <w:sz w:val="24"/>
                <w:szCs w:val="24"/>
                <w:highlight w:val="none"/>
              </w:rPr>
              <w:t>.1 本合同</w:t>
            </w:r>
            <w:r>
              <w:rPr>
                <w:rFonts w:hint="eastAsia" w:ascii="仿宋" w:hAnsi="仿宋" w:eastAsia="仿宋" w:cs="仿宋"/>
                <w:bCs/>
                <w:color w:val="auto"/>
                <w:sz w:val="24"/>
                <w:szCs w:val="24"/>
                <w:highlight w:val="none"/>
              </w:rPr>
              <w:t>涉及商品包装</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快递包装的，</w:t>
            </w:r>
            <w:r>
              <w:rPr>
                <w:rFonts w:hint="eastAsia" w:ascii="仿宋" w:hAnsi="仿宋" w:eastAsia="仿宋" w:cs="仿宋"/>
                <w:color w:val="auto"/>
                <w:sz w:val="24"/>
                <w:szCs w:val="24"/>
                <w:highlight w:val="none"/>
              </w:rPr>
              <w:t>除</w:t>
            </w:r>
            <w:r>
              <w:rPr>
                <w:rFonts w:hint="eastAsia" w:ascii="仿宋" w:hAnsi="仿宋" w:eastAsia="仿宋" w:cs="仿宋"/>
                <w:b/>
                <w:color w:val="auto"/>
                <w:sz w:val="24"/>
                <w:szCs w:val="24"/>
                <w:highlight w:val="none"/>
              </w:rPr>
              <w:t>【政府采购合同专用条款】</w:t>
            </w:r>
            <w:r>
              <w:rPr>
                <w:rFonts w:hint="eastAsia" w:ascii="仿宋" w:hAnsi="仿宋" w:eastAsia="仿宋" w:cs="仿宋"/>
                <w:bCs/>
                <w:color w:val="auto"/>
                <w:sz w:val="24"/>
                <w:szCs w:val="24"/>
                <w:highlight w:val="none"/>
              </w:rPr>
              <w:t>另有</w:t>
            </w:r>
            <w:r>
              <w:rPr>
                <w:rFonts w:hint="eastAsia" w:ascii="仿宋" w:hAnsi="仿宋" w:eastAsia="仿宋" w:cs="仿宋"/>
                <w:bCs/>
                <w:color w:val="auto"/>
                <w:sz w:val="24"/>
                <w:szCs w:val="24"/>
                <w:highlight w:val="none"/>
                <w:lang w:eastAsia="zh-CN"/>
              </w:rPr>
              <w:t>约</w:t>
            </w:r>
            <w:r>
              <w:rPr>
                <w:rFonts w:hint="eastAsia" w:ascii="仿宋" w:hAnsi="仿宋" w:eastAsia="仿宋" w:cs="仿宋"/>
                <w:bCs/>
                <w:color w:val="auto"/>
                <w:sz w:val="24"/>
                <w:szCs w:val="24"/>
                <w:highlight w:val="none"/>
              </w:rPr>
              <w:t>定</w:t>
            </w:r>
            <w:r>
              <w:rPr>
                <w:rFonts w:hint="eastAsia" w:ascii="仿宋" w:hAnsi="仿宋" w:eastAsia="仿宋" w:cs="仿宋"/>
                <w:bCs/>
                <w:color w:val="auto"/>
                <w:sz w:val="24"/>
                <w:szCs w:val="24"/>
                <w:highlight w:val="none"/>
                <w:lang w:eastAsia="zh-CN"/>
              </w:rPr>
              <w:t>外</w:t>
            </w:r>
            <w:r>
              <w:rPr>
                <w:rFonts w:hint="eastAsia" w:ascii="仿宋" w:hAnsi="仿宋" w:eastAsia="仿宋" w:cs="仿宋"/>
                <w:bCs/>
                <w:color w:val="auto"/>
                <w:sz w:val="24"/>
                <w:szCs w:val="24"/>
                <w:highlight w:val="none"/>
              </w:rPr>
              <w:t>，</w:t>
            </w:r>
            <w:r>
              <w:rPr>
                <w:rFonts w:hint="eastAsia" w:ascii="仿宋" w:hAnsi="仿宋" w:eastAsia="仿宋" w:cs="仿宋"/>
                <w:color w:val="auto"/>
                <w:sz w:val="24"/>
                <w:szCs w:val="24"/>
                <w:highlight w:val="none"/>
              </w:rPr>
              <w:t>包装应适应远距离运输、防潮、防震、防锈和防野蛮装卸等要求，确保货物安全无损地运抵</w:t>
            </w:r>
            <w:r>
              <w:rPr>
                <w:rFonts w:hint="eastAsia" w:ascii="仿宋" w:hAnsi="仿宋" w:eastAsia="仿宋" w:cs="仿宋"/>
                <w:b/>
                <w:color w:val="auto"/>
                <w:sz w:val="24"/>
                <w:szCs w:val="24"/>
                <w:highlight w:val="none"/>
              </w:rPr>
              <w:t>【政府采购合同专用条款】</w:t>
            </w:r>
            <w:r>
              <w:rPr>
                <w:rFonts w:hint="eastAsia" w:ascii="仿宋" w:hAnsi="仿宋" w:eastAsia="仿宋" w:cs="仿宋"/>
                <w:b w:val="0"/>
                <w:bCs/>
                <w:color w:val="auto"/>
                <w:sz w:val="24"/>
                <w:szCs w:val="24"/>
                <w:highlight w:val="none"/>
                <w:lang w:eastAsia="zh-CN"/>
              </w:rPr>
              <w:t>约定的</w:t>
            </w:r>
            <w:r>
              <w:rPr>
                <w:rFonts w:hint="eastAsia" w:ascii="仿宋" w:hAnsi="仿宋" w:eastAsia="仿宋" w:cs="仿宋"/>
                <w:color w:val="auto"/>
                <w:sz w:val="24"/>
                <w:szCs w:val="24"/>
                <w:highlight w:val="none"/>
              </w:rPr>
              <w:t>指定现场。</w:t>
            </w:r>
          </w:p>
          <w:p w14:paraId="1EE68244">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7</w:t>
            </w:r>
            <w:r>
              <w:rPr>
                <w:rFonts w:hint="eastAsia" w:ascii="仿宋" w:hAnsi="仿宋" w:eastAsia="仿宋" w:cs="仿宋"/>
                <w:color w:val="auto"/>
                <w:sz w:val="24"/>
                <w:szCs w:val="24"/>
                <w:highlight w:val="none"/>
              </w:rPr>
              <w:t>.2 除</w:t>
            </w:r>
            <w:r>
              <w:rPr>
                <w:rFonts w:hint="eastAsia" w:ascii="仿宋" w:hAnsi="仿宋" w:eastAsia="仿宋" w:cs="仿宋"/>
                <w:b/>
                <w:color w:val="auto"/>
                <w:sz w:val="24"/>
                <w:szCs w:val="24"/>
                <w:highlight w:val="none"/>
              </w:rPr>
              <w:t>【政府采购合同专用条款】</w:t>
            </w:r>
            <w:r>
              <w:rPr>
                <w:rFonts w:hint="eastAsia" w:ascii="仿宋" w:hAnsi="仿宋" w:eastAsia="仿宋" w:cs="仿宋"/>
                <w:bCs/>
                <w:color w:val="auto"/>
                <w:sz w:val="24"/>
                <w:szCs w:val="24"/>
                <w:highlight w:val="none"/>
              </w:rPr>
              <w:t>另有</w:t>
            </w:r>
            <w:r>
              <w:rPr>
                <w:rFonts w:hint="eastAsia" w:ascii="仿宋" w:hAnsi="仿宋" w:eastAsia="仿宋" w:cs="仿宋"/>
                <w:bCs/>
                <w:color w:val="auto"/>
                <w:sz w:val="24"/>
                <w:szCs w:val="24"/>
                <w:highlight w:val="none"/>
                <w:lang w:eastAsia="zh-CN"/>
              </w:rPr>
              <w:t>约</w:t>
            </w:r>
            <w:r>
              <w:rPr>
                <w:rFonts w:hint="eastAsia" w:ascii="仿宋" w:hAnsi="仿宋" w:eastAsia="仿宋" w:cs="仿宋"/>
                <w:bCs/>
                <w:color w:val="auto"/>
                <w:sz w:val="24"/>
                <w:szCs w:val="24"/>
                <w:highlight w:val="none"/>
              </w:rPr>
              <w:t>定</w:t>
            </w:r>
            <w:r>
              <w:rPr>
                <w:rFonts w:hint="eastAsia" w:ascii="仿宋" w:hAnsi="仿宋" w:eastAsia="仿宋" w:cs="仿宋"/>
                <w:bCs/>
                <w:color w:val="auto"/>
                <w:sz w:val="24"/>
                <w:szCs w:val="24"/>
                <w:highlight w:val="none"/>
                <w:lang w:eastAsia="zh-CN"/>
              </w:rPr>
              <w:t>外</w:t>
            </w:r>
            <w:r>
              <w:rPr>
                <w:rFonts w:hint="eastAsia" w:ascii="仿宋" w:hAnsi="仿宋" w:eastAsia="仿宋" w:cs="仿宋"/>
                <w:bCs/>
                <w:color w:val="auto"/>
                <w:sz w:val="24"/>
                <w:szCs w:val="24"/>
                <w:highlight w:val="none"/>
              </w:rPr>
              <w:t>，</w:t>
            </w:r>
            <w:r>
              <w:rPr>
                <w:rFonts w:hint="eastAsia" w:ascii="仿宋" w:hAnsi="仿宋" w:eastAsia="仿宋" w:cs="仿宋"/>
                <w:color w:val="auto"/>
                <w:sz w:val="24"/>
                <w:szCs w:val="24"/>
                <w:highlight w:val="none"/>
              </w:rPr>
              <w:t>乙方负责办理将货物运抵本合同规定的交货地点</w:t>
            </w:r>
            <w:r>
              <w:rPr>
                <w:rFonts w:hint="eastAsia" w:ascii="仿宋" w:hAnsi="仿宋" w:eastAsia="仿宋" w:cs="仿宋"/>
                <w:color w:val="auto"/>
                <w:sz w:val="24"/>
                <w:szCs w:val="24"/>
                <w:highlight w:val="none"/>
                <w:lang w:eastAsia="zh-CN"/>
              </w:rPr>
              <w:t>，并装卸、交付至甲方</w:t>
            </w:r>
            <w:r>
              <w:rPr>
                <w:rFonts w:hint="eastAsia" w:ascii="仿宋" w:hAnsi="仿宋" w:eastAsia="仿宋" w:cs="仿宋"/>
                <w:color w:val="auto"/>
                <w:sz w:val="24"/>
                <w:szCs w:val="24"/>
                <w:highlight w:val="none"/>
              </w:rPr>
              <w:t>的一切运输事项，相关费用应</w:t>
            </w:r>
            <w:r>
              <w:rPr>
                <w:rFonts w:hint="eastAsia" w:ascii="仿宋" w:hAnsi="仿宋" w:eastAsia="仿宋" w:cs="仿宋"/>
                <w:color w:val="auto"/>
                <w:sz w:val="24"/>
                <w:szCs w:val="24"/>
                <w:highlight w:val="none"/>
                <w:lang w:eastAsia="zh-CN"/>
              </w:rPr>
              <w:t>包含</w:t>
            </w:r>
            <w:r>
              <w:rPr>
                <w:rFonts w:hint="eastAsia" w:ascii="仿宋" w:hAnsi="仿宋" w:eastAsia="仿宋" w:cs="仿宋"/>
                <w:color w:val="auto"/>
                <w:sz w:val="24"/>
                <w:szCs w:val="24"/>
                <w:highlight w:val="none"/>
              </w:rPr>
              <w:t>在合同</w:t>
            </w:r>
            <w:r>
              <w:rPr>
                <w:rFonts w:hint="eastAsia" w:ascii="仿宋" w:hAnsi="仿宋" w:eastAsia="仿宋" w:cs="仿宋"/>
                <w:color w:val="auto"/>
                <w:sz w:val="24"/>
                <w:szCs w:val="24"/>
                <w:highlight w:val="none"/>
                <w:lang w:eastAsia="zh-CN"/>
              </w:rPr>
              <w:t>价款</w:t>
            </w:r>
            <w:r>
              <w:rPr>
                <w:rFonts w:hint="eastAsia" w:ascii="仿宋" w:hAnsi="仿宋" w:eastAsia="仿宋" w:cs="仿宋"/>
                <w:color w:val="auto"/>
                <w:sz w:val="24"/>
                <w:szCs w:val="24"/>
                <w:highlight w:val="none"/>
              </w:rPr>
              <w:t>中。</w:t>
            </w:r>
          </w:p>
          <w:p w14:paraId="08719E36">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7</w:t>
            </w:r>
            <w:r>
              <w:rPr>
                <w:rFonts w:hint="eastAsia" w:ascii="仿宋" w:hAnsi="仿宋" w:eastAsia="仿宋" w:cs="仿宋"/>
                <w:color w:val="auto"/>
                <w:sz w:val="24"/>
                <w:szCs w:val="24"/>
                <w:highlight w:val="none"/>
              </w:rPr>
              <w:t>.3 货物保险要求按</w:t>
            </w:r>
            <w:r>
              <w:rPr>
                <w:rFonts w:hint="eastAsia" w:ascii="仿宋" w:hAnsi="仿宋" w:eastAsia="仿宋" w:cs="仿宋"/>
                <w:b/>
                <w:color w:val="auto"/>
                <w:sz w:val="24"/>
                <w:szCs w:val="24"/>
                <w:highlight w:val="none"/>
              </w:rPr>
              <w:t>【政府采购合同专用条款】</w:t>
            </w:r>
            <w:r>
              <w:rPr>
                <w:rFonts w:hint="eastAsia" w:ascii="仿宋" w:hAnsi="仿宋" w:eastAsia="仿宋" w:cs="仿宋"/>
                <w:bCs/>
                <w:color w:val="auto"/>
                <w:sz w:val="24"/>
                <w:szCs w:val="24"/>
                <w:highlight w:val="none"/>
              </w:rPr>
              <w:t>规定执行</w:t>
            </w:r>
            <w:r>
              <w:rPr>
                <w:rFonts w:hint="eastAsia" w:ascii="仿宋" w:hAnsi="仿宋" w:eastAsia="仿宋" w:cs="仿宋"/>
                <w:color w:val="auto"/>
                <w:sz w:val="24"/>
                <w:szCs w:val="24"/>
                <w:highlight w:val="none"/>
              </w:rPr>
              <w:t>。</w:t>
            </w:r>
          </w:p>
          <w:p w14:paraId="2A1B9FAC">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7</w:t>
            </w:r>
            <w:r>
              <w:rPr>
                <w:rFonts w:hint="eastAsia" w:ascii="仿宋" w:hAnsi="仿宋" w:eastAsia="仿宋" w:cs="仿宋"/>
                <w:color w:val="auto"/>
                <w:sz w:val="24"/>
                <w:szCs w:val="24"/>
                <w:highlight w:val="none"/>
              </w:rPr>
              <w:t xml:space="preserve">.4 </w:t>
            </w:r>
            <w:r>
              <w:rPr>
                <w:rFonts w:hint="eastAsia" w:ascii="仿宋" w:hAnsi="仿宋" w:eastAsia="仿宋" w:cs="仿宋"/>
                <w:color w:val="auto"/>
                <w:sz w:val="24"/>
                <w:szCs w:val="24"/>
                <w:highlight w:val="none"/>
                <w:lang w:val="en-US" w:eastAsia="zh-CN"/>
              </w:rPr>
              <w:t>除采购活动</w:t>
            </w:r>
            <w:r>
              <w:rPr>
                <w:rFonts w:hint="eastAsia" w:ascii="仿宋" w:hAnsi="仿宋" w:eastAsia="仿宋" w:cs="仿宋"/>
                <w:color w:val="auto"/>
                <w:sz w:val="24"/>
                <w:szCs w:val="24"/>
                <w:highlight w:val="none"/>
              </w:rPr>
              <w:t>对商品包装</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快递包装</w:t>
            </w:r>
            <w:r>
              <w:rPr>
                <w:rFonts w:hint="eastAsia" w:ascii="仿宋" w:hAnsi="仿宋" w:eastAsia="仿宋" w:cs="仿宋"/>
                <w:color w:val="auto"/>
                <w:sz w:val="24"/>
                <w:szCs w:val="24"/>
                <w:highlight w:val="none"/>
                <w:lang w:val="en-US" w:eastAsia="zh-CN"/>
              </w:rPr>
              <w:t>达成具体约定外</w:t>
            </w:r>
            <w:r>
              <w:rPr>
                <w:rFonts w:hint="eastAsia" w:ascii="仿宋" w:hAnsi="仿宋" w:eastAsia="仿宋" w:cs="仿宋"/>
                <w:color w:val="auto"/>
                <w:sz w:val="24"/>
                <w:szCs w:val="24"/>
                <w:highlight w:val="none"/>
              </w:rPr>
              <w:t>，乙方提供产品及相关快递服务</w:t>
            </w:r>
            <w:r>
              <w:rPr>
                <w:rFonts w:hint="eastAsia" w:ascii="仿宋" w:hAnsi="仿宋" w:eastAsia="仿宋" w:cs="仿宋"/>
                <w:color w:val="auto"/>
                <w:sz w:val="24"/>
                <w:szCs w:val="24"/>
                <w:highlight w:val="none"/>
                <w:lang w:eastAsia="zh-CN"/>
              </w:rPr>
              <w:t>涉及</w:t>
            </w:r>
            <w:r>
              <w:rPr>
                <w:rFonts w:hint="eastAsia" w:ascii="仿宋" w:hAnsi="仿宋" w:eastAsia="仿宋" w:cs="仿宋"/>
                <w:color w:val="auto"/>
                <w:sz w:val="24"/>
                <w:szCs w:val="24"/>
                <w:highlight w:val="none"/>
              </w:rPr>
              <w:t>具体包装要求</w:t>
            </w:r>
            <w:r>
              <w:rPr>
                <w:rFonts w:hint="eastAsia" w:ascii="仿宋" w:hAnsi="仿宋" w:eastAsia="仿宋" w:cs="仿宋"/>
                <w:color w:val="auto"/>
                <w:sz w:val="24"/>
                <w:szCs w:val="24"/>
                <w:highlight w:val="none"/>
                <w:lang w:val="en-US" w:eastAsia="zh-CN"/>
              </w:rPr>
              <w:t>的，</w:t>
            </w:r>
            <w:r>
              <w:rPr>
                <w:rFonts w:hint="eastAsia" w:ascii="仿宋" w:hAnsi="仿宋" w:eastAsia="仿宋" w:cs="仿宋"/>
                <w:color w:val="auto"/>
                <w:sz w:val="24"/>
                <w:szCs w:val="24"/>
                <w:highlight w:val="none"/>
              </w:rPr>
              <w:t>应</w:t>
            </w:r>
            <w:r>
              <w:rPr>
                <w:rFonts w:hint="eastAsia" w:ascii="仿宋" w:hAnsi="仿宋" w:eastAsia="仿宋" w:cs="仿宋"/>
                <w:color w:val="auto"/>
                <w:sz w:val="24"/>
                <w:szCs w:val="24"/>
                <w:highlight w:val="none"/>
                <w:lang w:val="en-US" w:eastAsia="zh-CN"/>
              </w:rPr>
              <w:t>不低于</w:t>
            </w:r>
            <w:r>
              <w:rPr>
                <w:rFonts w:hint="eastAsia" w:ascii="仿宋" w:hAnsi="仿宋" w:eastAsia="仿宋" w:cs="仿宋"/>
                <w:color w:val="auto"/>
                <w:sz w:val="24"/>
                <w:szCs w:val="24"/>
                <w:highlight w:val="none"/>
              </w:rPr>
              <w:t>《商品包装政府</w:t>
            </w:r>
            <w:r>
              <w:rPr>
                <w:rFonts w:hint="eastAsia" w:ascii="仿宋" w:hAnsi="仿宋" w:eastAsia="仿宋" w:cs="仿宋"/>
                <w:color w:val="auto"/>
                <w:sz w:val="24"/>
                <w:szCs w:val="24"/>
                <w:highlight w:val="none"/>
                <w:lang w:eastAsia="zh-CN"/>
              </w:rPr>
              <w:t>技术参数及要求</w:t>
            </w:r>
            <w:r>
              <w:rPr>
                <w:rFonts w:hint="eastAsia" w:ascii="仿宋" w:hAnsi="仿宋" w:eastAsia="仿宋" w:cs="仿宋"/>
                <w:color w:val="auto"/>
                <w:sz w:val="24"/>
                <w:szCs w:val="24"/>
                <w:highlight w:val="none"/>
              </w:rPr>
              <w:t>标准（试行）</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快递包装政府</w:t>
            </w:r>
            <w:r>
              <w:rPr>
                <w:rFonts w:hint="eastAsia" w:ascii="仿宋" w:hAnsi="仿宋" w:eastAsia="仿宋" w:cs="仿宋"/>
                <w:color w:val="auto"/>
                <w:sz w:val="24"/>
                <w:szCs w:val="24"/>
                <w:highlight w:val="none"/>
                <w:lang w:eastAsia="zh-CN"/>
              </w:rPr>
              <w:t>技术参数及要求</w:t>
            </w:r>
            <w:r>
              <w:rPr>
                <w:rFonts w:hint="eastAsia" w:ascii="仿宋" w:hAnsi="仿宋" w:eastAsia="仿宋" w:cs="仿宋"/>
                <w:color w:val="auto"/>
                <w:sz w:val="24"/>
                <w:szCs w:val="24"/>
                <w:highlight w:val="none"/>
              </w:rPr>
              <w:t>标准（试行）</w:t>
            </w:r>
            <w:r>
              <w:rPr>
                <w:rFonts w:hint="eastAsia" w:ascii="仿宋" w:hAnsi="仿宋" w:eastAsia="仿宋" w:cs="仿宋"/>
                <w:color w:val="auto"/>
                <w:sz w:val="24"/>
                <w:szCs w:val="24"/>
                <w:highlight w:val="none"/>
                <w:lang w:eastAsia="zh-CN"/>
              </w:rPr>
              <w:t>》等</w:t>
            </w:r>
            <w:r>
              <w:rPr>
                <w:rFonts w:hint="eastAsia" w:ascii="仿宋" w:hAnsi="仿宋" w:eastAsia="仿宋" w:cs="仿宋"/>
                <w:color w:val="auto"/>
                <w:sz w:val="24"/>
                <w:szCs w:val="24"/>
                <w:highlight w:val="none"/>
                <w:lang w:val="en-US" w:eastAsia="zh-CN"/>
              </w:rPr>
              <w:t>标准</w:t>
            </w:r>
            <w:r>
              <w:rPr>
                <w:rFonts w:hint="eastAsia" w:ascii="仿宋" w:hAnsi="仿宋" w:eastAsia="仿宋" w:cs="仿宋"/>
                <w:color w:val="auto"/>
                <w:sz w:val="24"/>
                <w:szCs w:val="24"/>
                <w:highlight w:val="none"/>
              </w:rPr>
              <w:t>，并作为履约验收的内容，必要时甲方可以要求乙方在履约验收环节出具检测报告。</w:t>
            </w:r>
          </w:p>
          <w:p w14:paraId="59A7BC4D">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7.5 </w:t>
            </w:r>
            <w:r>
              <w:rPr>
                <w:rFonts w:hint="eastAsia" w:ascii="仿宋" w:hAnsi="仿宋" w:eastAsia="仿宋" w:cs="仿宋"/>
                <w:color w:val="auto"/>
                <w:sz w:val="24"/>
                <w:szCs w:val="24"/>
                <w:highlight w:val="none"/>
              </w:rPr>
              <w:t>乙方在运输到达之前</w:t>
            </w:r>
            <w:r>
              <w:rPr>
                <w:rFonts w:hint="eastAsia" w:ascii="仿宋" w:hAnsi="仿宋" w:eastAsia="仿宋" w:cs="仿宋"/>
                <w:color w:val="auto"/>
                <w:sz w:val="24"/>
                <w:szCs w:val="24"/>
                <w:highlight w:val="none"/>
                <w:lang w:eastAsia="zh-CN"/>
              </w:rPr>
              <w:t>应</w:t>
            </w:r>
            <w:r>
              <w:rPr>
                <w:rFonts w:hint="eastAsia" w:ascii="仿宋" w:hAnsi="仿宋" w:eastAsia="仿宋" w:cs="仿宋"/>
                <w:color w:val="auto"/>
                <w:sz w:val="24"/>
                <w:szCs w:val="24"/>
                <w:highlight w:val="none"/>
              </w:rPr>
              <w:t>提前通知</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，并提示货物运输装卸的注意事项</w:t>
            </w:r>
            <w:r>
              <w:rPr>
                <w:rFonts w:hint="eastAsia" w:ascii="仿宋" w:hAnsi="仿宋" w:eastAsia="仿宋" w:cs="仿宋"/>
                <w:color w:val="auto"/>
                <w:sz w:val="24"/>
                <w:szCs w:val="24"/>
                <w:highlight w:val="none"/>
                <w:lang w:eastAsia="zh-CN"/>
              </w:rPr>
              <w:t>，甲方配合乙方做好货物的接收工作。</w:t>
            </w:r>
          </w:p>
          <w:p w14:paraId="72232A7A">
            <w:pPr>
              <w:pStyle w:val="247"/>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rPr>
              <w:t xml:space="preserve">7.6 </w:t>
            </w:r>
            <w:r>
              <w:rPr>
                <w:rFonts w:hint="eastAsia" w:ascii="仿宋" w:hAnsi="仿宋" w:eastAsia="仿宋" w:cs="仿宋"/>
                <w:color w:val="auto"/>
                <w:kern w:val="2"/>
                <w:sz w:val="24"/>
                <w:szCs w:val="24"/>
                <w:highlight w:val="none"/>
              </w:rPr>
              <w:t>如因包装</w:t>
            </w:r>
            <w:r>
              <w:rPr>
                <w:rFonts w:hint="eastAsia" w:ascii="仿宋" w:hAnsi="仿宋" w:eastAsia="仿宋" w:cs="仿宋"/>
                <w:color w:val="auto"/>
                <w:kern w:val="2"/>
                <w:sz w:val="24"/>
                <w:szCs w:val="24"/>
                <w:highlight w:val="none"/>
                <w:lang w:eastAsia="zh-CN"/>
              </w:rPr>
              <w:t>、运输</w:t>
            </w:r>
            <w:r>
              <w:rPr>
                <w:rFonts w:hint="eastAsia" w:ascii="仿宋" w:hAnsi="仿宋" w:eastAsia="仿宋" w:cs="仿宋"/>
                <w:color w:val="auto"/>
                <w:kern w:val="2"/>
                <w:sz w:val="24"/>
                <w:szCs w:val="24"/>
                <w:highlight w:val="none"/>
              </w:rPr>
              <w:t>问题导致货物</w:t>
            </w:r>
            <w:r>
              <w:rPr>
                <w:rFonts w:hint="eastAsia" w:ascii="仿宋" w:hAnsi="仿宋" w:eastAsia="仿宋" w:cs="仿宋"/>
                <w:color w:val="auto"/>
                <w:kern w:val="2"/>
                <w:sz w:val="24"/>
                <w:szCs w:val="24"/>
                <w:highlight w:val="none"/>
                <w:lang w:eastAsia="zh-CN"/>
              </w:rPr>
              <w:t>损毁、丢失</w:t>
            </w:r>
            <w:r>
              <w:rPr>
                <w:rFonts w:hint="eastAsia" w:ascii="仿宋" w:hAnsi="仿宋" w:eastAsia="仿宋" w:cs="仿宋"/>
                <w:color w:val="auto"/>
                <w:kern w:val="2"/>
                <w:sz w:val="24"/>
                <w:szCs w:val="24"/>
                <w:highlight w:val="none"/>
              </w:rPr>
              <w:t>或者品质下降，</w:t>
            </w:r>
            <w:r>
              <w:rPr>
                <w:rFonts w:hint="eastAsia" w:ascii="仿宋" w:hAnsi="仿宋" w:eastAsia="仿宋" w:cs="仿宋"/>
                <w:color w:val="auto"/>
                <w:kern w:val="2"/>
                <w:sz w:val="24"/>
                <w:szCs w:val="24"/>
                <w:highlight w:val="none"/>
                <w:lang w:eastAsia="zh-CN"/>
              </w:rPr>
              <w:t>甲方</w:t>
            </w:r>
            <w:r>
              <w:rPr>
                <w:rFonts w:hint="eastAsia" w:ascii="仿宋" w:hAnsi="仿宋" w:eastAsia="仿宋" w:cs="仿宋"/>
                <w:color w:val="auto"/>
                <w:kern w:val="2"/>
                <w:sz w:val="24"/>
                <w:szCs w:val="24"/>
                <w:highlight w:val="none"/>
              </w:rPr>
              <w:t>有权要求降价、换货、拒收部分或整批货物，由此</w:t>
            </w:r>
            <w:r>
              <w:rPr>
                <w:rFonts w:hint="eastAsia" w:ascii="仿宋" w:hAnsi="仿宋" w:eastAsia="仿宋" w:cs="仿宋"/>
                <w:color w:val="auto"/>
                <w:kern w:val="2"/>
                <w:sz w:val="24"/>
                <w:szCs w:val="24"/>
                <w:highlight w:val="none"/>
                <w:lang w:eastAsia="zh-CN"/>
              </w:rPr>
              <w:t>产生</w:t>
            </w:r>
            <w:r>
              <w:rPr>
                <w:rFonts w:hint="eastAsia" w:ascii="仿宋" w:hAnsi="仿宋" w:eastAsia="仿宋" w:cs="仿宋"/>
                <w:color w:val="auto"/>
                <w:kern w:val="2"/>
                <w:sz w:val="24"/>
                <w:szCs w:val="24"/>
                <w:highlight w:val="none"/>
              </w:rPr>
              <w:t>的费用和损失，均由</w:t>
            </w:r>
            <w:r>
              <w:rPr>
                <w:rFonts w:hint="eastAsia" w:ascii="仿宋" w:hAnsi="仿宋" w:eastAsia="仿宋" w:cs="仿宋"/>
                <w:color w:val="auto"/>
                <w:kern w:val="2"/>
                <w:sz w:val="24"/>
                <w:szCs w:val="24"/>
                <w:highlight w:val="none"/>
                <w:lang w:eastAsia="zh-CN"/>
              </w:rPr>
              <w:t>乙方</w:t>
            </w:r>
            <w:r>
              <w:rPr>
                <w:rFonts w:hint="eastAsia" w:ascii="仿宋" w:hAnsi="仿宋" w:eastAsia="仿宋" w:cs="仿宋"/>
                <w:color w:val="auto"/>
                <w:kern w:val="2"/>
                <w:sz w:val="24"/>
                <w:szCs w:val="24"/>
                <w:highlight w:val="none"/>
              </w:rPr>
              <w:t>承担。</w:t>
            </w:r>
          </w:p>
          <w:p w14:paraId="17E8B504">
            <w:pPr>
              <w:adjustRightInd w:val="0"/>
              <w:snapToGrid w:val="0"/>
              <w:spacing w:before="0" w:line="400" w:lineRule="exact"/>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eastAsia="zh-CN"/>
              </w:rPr>
              <w:t>8</w:t>
            </w:r>
            <w:r>
              <w:rPr>
                <w:rFonts w:hint="eastAsia" w:ascii="仿宋" w:hAnsi="仿宋" w:eastAsia="仿宋" w:cs="仿宋"/>
                <w:b/>
                <w:color w:val="auto"/>
                <w:sz w:val="24"/>
                <w:szCs w:val="24"/>
                <w:highlight w:val="none"/>
                <w:lang w:val="en-US" w:eastAsia="zh-CN"/>
              </w:rPr>
              <w:t xml:space="preserve">. </w:t>
            </w:r>
            <w:r>
              <w:rPr>
                <w:rFonts w:hint="eastAsia" w:ascii="仿宋" w:hAnsi="仿宋" w:eastAsia="仿宋" w:cs="仿宋"/>
                <w:b/>
                <w:color w:val="auto"/>
                <w:sz w:val="24"/>
                <w:szCs w:val="24"/>
                <w:highlight w:val="none"/>
              </w:rPr>
              <w:t>质量标准和保证</w:t>
            </w:r>
          </w:p>
          <w:p w14:paraId="35A60B82">
            <w:pPr>
              <w:pStyle w:val="22"/>
              <w:adjustRightInd w:val="0"/>
              <w:snapToGrid w:val="0"/>
              <w:spacing w:before="0" w:line="400" w:lineRule="exact"/>
              <w:ind w:firstLine="480" w:firstLineChars="200"/>
              <w:jc w:val="left"/>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lang w:eastAsia="zh-CN"/>
              </w:rPr>
              <w:t>8</w:t>
            </w:r>
            <w:r>
              <w:rPr>
                <w:rFonts w:hint="eastAsia" w:ascii="仿宋" w:hAnsi="仿宋" w:eastAsia="仿宋" w:cs="仿宋"/>
                <w:color w:val="auto"/>
                <w:sz w:val="24"/>
                <w:szCs w:val="24"/>
                <w:highlight w:val="none"/>
              </w:rPr>
              <w:t>.1 质量标准</w:t>
            </w:r>
          </w:p>
          <w:p w14:paraId="438FD09C">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（1）本合同下</w:t>
            </w:r>
            <w:r>
              <w:rPr>
                <w:rFonts w:hint="eastAsia" w:ascii="仿宋" w:hAnsi="仿宋" w:eastAsia="仿宋" w:cs="仿宋"/>
                <w:color w:val="auto"/>
                <w:sz w:val="24"/>
                <w:szCs w:val="24"/>
                <w:highlight w:val="none"/>
                <w:lang w:eastAsia="zh-CN"/>
              </w:rPr>
              <w:t>提供</w:t>
            </w:r>
            <w:r>
              <w:rPr>
                <w:rFonts w:hint="eastAsia" w:ascii="仿宋" w:hAnsi="仿宋" w:eastAsia="仿宋" w:cs="仿宋"/>
                <w:color w:val="auto"/>
                <w:sz w:val="24"/>
                <w:szCs w:val="24"/>
                <w:highlight w:val="none"/>
              </w:rPr>
              <w:t>的货物应符合</w:t>
            </w:r>
            <w:r>
              <w:rPr>
                <w:rFonts w:hint="eastAsia" w:ascii="仿宋" w:hAnsi="仿宋" w:eastAsia="仿宋" w:cs="仿宋"/>
                <w:color w:val="auto"/>
                <w:sz w:val="24"/>
                <w:szCs w:val="24"/>
                <w:highlight w:val="none"/>
                <w:lang w:eastAsia="zh-CN"/>
              </w:rPr>
              <w:t>合同约</w:t>
            </w:r>
            <w:r>
              <w:rPr>
                <w:rFonts w:hint="eastAsia" w:ascii="仿宋" w:hAnsi="仿宋" w:eastAsia="仿宋" w:cs="仿宋"/>
                <w:color w:val="auto"/>
                <w:sz w:val="24"/>
                <w:szCs w:val="24"/>
                <w:highlight w:val="none"/>
              </w:rPr>
              <w:t>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仿宋" w:hAnsi="仿宋" w:eastAsia="仿宋" w:cs="仿宋"/>
                <w:color w:val="auto"/>
                <w:sz w:val="24"/>
                <w:szCs w:val="24"/>
                <w:highlight w:val="none"/>
                <w:lang w:eastAsia="zh-CN"/>
              </w:rPr>
              <w:t>。</w:t>
            </w:r>
          </w:p>
          <w:p w14:paraId="5AA217FB">
            <w:pPr>
              <w:pStyle w:val="22"/>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（2）采用中华人民共和国法定计量单位。</w:t>
            </w:r>
          </w:p>
          <w:p w14:paraId="1DF64105">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（3）乙方所</w:t>
            </w:r>
            <w:r>
              <w:rPr>
                <w:rFonts w:hint="eastAsia" w:ascii="仿宋" w:hAnsi="仿宋" w:eastAsia="仿宋" w:cs="仿宋"/>
                <w:color w:val="auto"/>
                <w:sz w:val="24"/>
                <w:szCs w:val="24"/>
                <w:highlight w:val="none"/>
                <w:lang w:eastAsia="zh-CN"/>
              </w:rPr>
              <w:t>提供</w:t>
            </w:r>
            <w:r>
              <w:rPr>
                <w:rFonts w:hint="eastAsia" w:ascii="仿宋" w:hAnsi="仿宋" w:eastAsia="仿宋" w:cs="仿宋"/>
                <w:color w:val="auto"/>
                <w:sz w:val="24"/>
                <w:szCs w:val="24"/>
                <w:highlight w:val="none"/>
              </w:rPr>
              <w:t>的货物应符合国家有关安全、环保、卫生</w:t>
            </w:r>
            <w:r>
              <w:rPr>
                <w:rFonts w:hint="eastAsia" w:ascii="仿宋" w:hAnsi="仿宋" w:eastAsia="仿宋" w:cs="仿宋"/>
                <w:color w:val="auto"/>
                <w:sz w:val="24"/>
                <w:szCs w:val="24"/>
                <w:highlight w:val="none"/>
                <w:lang w:eastAsia="zh-CN"/>
              </w:rPr>
              <w:t>的</w:t>
            </w:r>
            <w:r>
              <w:rPr>
                <w:rFonts w:hint="eastAsia" w:ascii="仿宋" w:hAnsi="仿宋" w:eastAsia="仿宋" w:cs="仿宋"/>
                <w:color w:val="auto"/>
                <w:sz w:val="24"/>
                <w:szCs w:val="24"/>
                <w:highlight w:val="none"/>
              </w:rPr>
              <w:t>规定。</w:t>
            </w:r>
          </w:p>
          <w:p w14:paraId="29283365">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（4）乙方应向甲方提交所</w:t>
            </w:r>
            <w:r>
              <w:rPr>
                <w:rFonts w:hint="eastAsia" w:ascii="仿宋" w:hAnsi="仿宋" w:eastAsia="仿宋" w:cs="仿宋"/>
                <w:color w:val="auto"/>
                <w:sz w:val="24"/>
                <w:szCs w:val="24"/>
                <w:highlight w:val="none"/>
                <w:lang w:eastAsia="zh-CN"/>
              </w:rPr>
              <w:t>提供</w:t>
            </w:r>
            <w:r>
              <w:rPr>
                <w:rFonts w:hint="eastAsia" w:ascii="仿宋" w:hAnsi="仿宋" w:eastAsia="仿宋" w:cs="仿宋"/>
                <w:color w:val="auto"/>
                <w:sz w:val="24"/>
                <w:szCs w:val="24"/>
                <w:highlight w:val="none"/>
              </w:rPr>
              <w:t>货物的技术文件，包括相应的中文技术文件，如：产品目录、图纸、操作手册、使用说明、维护手册或服务指南</w:t>
            </w:r>
            <w:r>
              <w:rPr>
                <w:rFonts w:hint="eastAsia" w:ascii="仿宋" w:hAnsi="仿宋" w:eastAsia="仿宋" w:cs="仿宋"/>
                <w:color w:val="auto"/>
                <w:sz w:val="24"/>
                <w:szCs w:val="24"/>
                <w:highlight w:val="none"/>
                <w:lang w:eastAsia="zh-CN"/>
              </w:rPr>
              <w:t>等</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上述</w:t>
            </w:r>
            <w:r>
              <w:rPr>
                <w:rFonts w:hint="eastAsia" w:ascii="仿宋" w:hAnsi="仿宋" w:eastAsia="仿宋" w:cs="仿宋"/>
                <w:color w:val="auto"/>
                <w:sz w:val="24"/>
                <w:szCs w:val="24"/>
                <w:highlight w:val="none"/>
              </w:rPr>
              <w:t>文件应包装好随货物一同发运。</w:t>
            </w:r>
          </w:p>
          <w:p w14:paraId="6B9F0D2A">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8</w:t>
            </w:r>
            <w:r>
              <w:rPr>
                <w:rFonts w:hint="eastAsia" w:ascii="仿宋" w:hAnsi="仿宋" w:eastAsia="仿宋" w:cs="仿宋"/>
                <w:color w:val="auto"/>
                <w:sz w:val="24"/>
                <w:szCs w:val="24"/>
                <w:highlight w:val="none"/>
              </w:rPr>
              <w:t>.2 保证</w:t>
            </w:r>
          </w:p>
          <w:p w14:paraId="7B221138">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（1）乙方应保证</w:t>
            </w:r>
            <w:r>
              <w:rPr>
                <w:rFonts w:hint="eastAsia" w:ascii="仿宋" w:hAnsi="仿宋" w:eastAsia="仿宋" w:cs="仿宋"/>
                <w:color w:val="auto"/>
                <w:sz w:val="24"/>
                <w:szCs w:val="24"/>
                <w:highlight w:val="none"/>
                <w:lang w:eastAsia="zh-CN"/>
              </w:rPr>
              <w:t>提供的货物</w:t>
            </w:r>
            <w:r>
              <w:rPr>
                <w:rFonts w:hint="eastAsia" w:ascii="仿宋" w:hAnsi="仿宋" w:eastAsia="仿宋" w:cs="仿宋"/>
                <w:color w:val="auto"/>
                <w:sz w:val="24"/>
                <w:szCs w:val="24"/>
                <w:highlight w:val="none"/>
              </w:rPr>
              <w:t>完全符合合同规定的质量、规格和性能要求。乙方应保证货物在正确安装、正常使用和保养条件下，在其使用寿命期内具</w:t>
            </w:r>
            <w:r>
              <w:rPr>
                <w:rFonts w:hint="eastAsia" w:ascii="仿宋" w:hAnsi="仿宋" w:eastAsia="仿宋" w:cs="仿宋"/>
                <w:color w:val="auto"/>
                <w:sz w:val="24"/>
                <w:szCs w:val="24"/>
                <w:highlight w:val="none"/>
                <w:lang w:eastAsia="zh-CN"/>
              </w:rPr>
              <w:t>备合同约定</w:t>
            </w:r>
            <w:r>
              <w:rPr>
                <w:rFonts w:hint="eastAsia" w:ascii="仿宋" w:hAnsi="仿宋" w:eastAsia="仿宋" w:cs="仿宋"/>
                <w:color w:val="auto"/>
                <w:sz w:val="24"/>
                <w:szCs w:val="24"/>
                <w:highlight w:val="none"/>
              </w:rPr>
              <w:t>的性能。</w:t>
            </w:r>
            <w:r>
              <w:rPr>
                <w:rFonts w:hint="eastAsia" w:ascii="仿宋" w:hAnsi="仿宋" w:eastAsia="仿宋" w:cs="仿宋"/>
                <w:color w:val="auto"/>
                <w:sz w:val="24"/>
                <w:szCs w:val="24"/>
                <w:highlight w:val="none"/>
                <w:lang w:eastAsia="zh-CN"/>
              </w:rPr>
              <w:t>存在</w:t>
            </w:r>
            <w:r>
              <w:rPr>
                <w:rFonts w:hint="eastAsia" w:ascii="仿宋" w:hAnsi="仿宋" w:eastAsia="仿宋" w:cs="仿宋"/>
                <w:color w:val="auto"/>
                <w:sz w:val="24"/>
                <w:szCs w:val="24"/>
                <w:highlight w:val="none"/>
              </w:rPr>
              <w:t>质量保证期的，货物最终交付验收</w:t>
            </w:r>
            <w:r>
              <w:rPr>
                <w:rFonts w:hint="eastAsia" w:ascii="仿宋" w:hAnsi="仿宋" w:eastAsia="仿宋" w:cs="仿宋"/>
                <w:color w:val="auto"/>
                <w:sz w:val="24"/>
                <w:szCs w:val="24"/>
                <w:highlight w:val="none"/>
                <w:lang w:eastAsia="zh-CN"/>
              </w:rPr>
              <w:t>合格</w:t>
            </w:r>
            <w:r>
              <w:rPr>
                <w:rFonts w:hint="eastAsia" w:ascii="仿宋" w:hAnsi="仿宋" w:eastAsia="仿宋" w:cs="仿宋"/>
                <w:color w:val="auto"/>
                <w:sz w:val="24"/>
                <w:szCs w:val="24"/>
                <w:highlight w:val="none"/>
              </w:rPr>
              <w:t>后</w:t>
            </w:r>
            <w:r>
              <w:rPr>
                <w:rFonts w:hint="eastAsia" w:ascii="仿宋" w:hAnsi="仿宋" w:eastAsia="仿宋" w:cs="仿宋"/>
                <w:color w:val="auto"/>
                <w:sz w:val="24"/>
                <w:szCs w:val="24"/>
                <w:highlight w:val="none"/>
                <w:lang w:eastAsia="zh-CN"/>
              </w:rPr>
              <w:t>在</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规定或乙方</w:t>
            </w:r>
            <w:r>
              <w:rPr>
                <w:rFonts w:hint="eastAsia" w:ascii="仿宋" w:hAnsi="仿宋" w:eastAsia="仿宋" w:cs="仿宋"/>
                <w:color w:val="auto"/>
                <w:sz w:val="24"/>
                <w:szCs w:val="24"/>
                <w:highlight w:val="none"/>
                <w:lang w:eastAsia="zh-CN"/>
              </w:rPr>
              <w:t>书面</w:t>
            </w:r>
            <w:r>
              <w:rPr>
                <w:rFonts w:hint="eastAsia" w:ascii="仿宋" w:hAnsi="仿宋" w:eastAsia="仿宋" w:cs="仿宋"/>
                <w:color w:val="auto"/>
                <w:sz w:val="24"/>
                <w:szCs w:val="24"/>
                <w:highlight w:val="none"/>
              </w:rPr>
              <w:t>承诺（两者以较长的为准）的质量保证期内，本保证保持有效。</w:t>
            </w:r>
          </w:p>
          <w:p w14:paraId="00AE145B">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（2）在质量保证期内所发现的缺陷，甲方应尽快以书面形式通知乙方。</w:t>
            </w:r>
          </w:p>
          <w:p w14:paraId="7AC2D90B">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（3）乙方收到通知后</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应在</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规定的响应时间内以合理的速度免费维修或更换有缺陷的货物或部件。</w:t>
            </w:r>
          </w:p>
          <w:p w14:paraId="7C68CACD">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.1条规定以书面形式</w:t>
            </w:r>
            <w:r>
              <w:rPr>
                <w:rFonts w:hint="eastAsia" w:ascii="仿宋" w:hAnsi="仿宋" w:eastAsia="仿宋" w:cs="仿宋"/>
                <w:color w:val="auto"/>
                <w:sz w:val="24"/>
                <w:szCs w:val="24"/>
                <w:highlight w:val="none"/>
                <w:lang w:eastAsia="zh-CN"/>
              </w:rPr>
              <w:t>追究</w:t>
            </w:r>
            <w:r>
              <w:rPr>
                <w:rFonts w:hint="eastAsia" w:ascii="仿宋" w:hAnsi="仿宋" w:eastAsia="仿宋" w:cs="仿宋"/>
                <w:color w:val="auto"/>
                <w:sz w:val="24"/>
                <w:szCs w:val="24"/>
                <w:highlight w:val="none"/>
              </w:rPr>
              <w:t>乙方</w:t>
            </w:r>
            <w:r>
              <w:rPr>
                <w:rFonts w:hint="eastAsia" w:ascii="仿宋" w:hAnsi="仿宋" w:eastAsia="仿宋" w:cs="仿宋"/>
                <w:color w:val="auto"/>
                <w:sz w:val="24"/>
                <w:szCs w:val="24"/>
                <w:highlight w:val="none"/>
                <w:lang w:eastAsia="zh-CN"/>
              </w:rPr>
              <w:t>的违约责任</w:t>
            </w:r>
            <w:r>
              <w:rPr>
                <w:rFonts w:hint="eastAsia" w:ascii="仿宋" w:hAnsi="仿宋" w:eastAsia="仿宋" w:cs="仿宋"/>
                <w:color w:val="auto"/>
                <w:sz w:val="24"/>
                <w:szCs w:val="24"/>
                <w:highlight w:val="none"/>
              </w:rPr>
              <w:t>。</w:t>
            </w:r>
          </w:p>
          <w:p w14:paraId="4A11C5E4">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（5）乙方在约定的时间内未能弥补缺陷，甲方可采取必要的补救措施，但其风险和费用将由乙方承担，甲方根据合同</w:t>
            </w:r>
            <w:r>
              <w:rPr>
                <w:rFonts w:hint="eastAsia" w:ascii="仿宋" w:hAnsi="仿宋" w:eastAsia="仿宋" w:cs="仿宋"/>
                <w:color w:val="auto"/>
                <w:sz w:val="24"/>
                <w:szCs w:val="24"/>
                <w:highlight w:val="none"/>
                <w:lang w:eastAsia="zh-CN"/>
              </w:rPr>
              <w:t>约定</w:t>
            </w:r>
            <w:r>
              <w:rPr>
                <w:rFonts w:hint="eastAsia" w:ascii="仿宋" w:hAnsi="仿宋" w:eastAsia="仿宋" w:cs="仿宋"/>
                <w:color w:val="auto"/>
                <w:sz w:val="24"/>
                <w:szCs w:val="24"/>
                <w:highlight w:val="none"/>
              </w:rPr>
              <w:t>对乙方行使的其他权利不受影响。</w:t>
            </w:r>
          </w:p>
          <w:p w14:paraId="4AC3EC55">
            <w:pPr>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9</w:t>
            </w:r>
            <w:r>
              <w:rPr>
                <w:rFonts w:hint="eastAsia" w:ascii="仿宋" w:hAnsi="仿宋" w:eastAsia="仿宋" w:cs="仿宋"/>
                <w:b/>
                <w:bCs/>
                <w:color w:val="auto"/>
                <w:sz w:val="24"/>
                <w:szCs w:val="24"/>
                <w:highlight w:val="none"/>
              </w:rPr>
              <w:t>.权利瑕疵担保</w:t>
            </w:r>
          </w:p>
          <w:p w14:paraId="1B4B68B7">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9</w:t>
            </w:r>
            <w:r>
              <w:rPr>
                <w:rFonts w:hint="eastAsia" w:ascii="仿宋" w:hAnsi="仿宋" w:eastAsia="仿宋" w:cs="仿宋"/>
                <w:color w:val="auto"/>
                <w:sz w:val="24"/>
                <w:szCs w:val="24"/>
                <w:highlight w:val="none"/>
              </w:rPr>
              <w:t>.1 乙方保证对其出售的货物享有合法的权利。</w:t>
            </w:r>
          </w:p>
          <w:p w14:paraId="662DA3D2">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9</w:t>
            </w:r>
            <w:r>
              <w:rPr>
                <w:rFonts w:hint="eastAsia" w:ascii="仿宋" w:hAnsi="仿宋" w:eastAsia="仿宋" w:cs="仿宋"/>
                <w:color w:val="auto"/>
                <w:sz w:val="24"/>
                <w:szCs w:val="24"/>
                <w:highlight w:val="none"/>
              </w:rPr>
              <w:t>.2 乙方保证在交付的货物上不存在抵押权等担保物权。</w:t>
            </w:r>
          </w:p>
          <w:p w14:paraId="7D791C06">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9</w:t>
            </w:r>
            <w:r>
              <w:rPr>
                <w:rFonts w:hint="eastAsia" w:ascii="仿宋" w:hAnsi="仿宋" w:eastAsia="仿宋" w:cs="仿宋"/>
                <w:color w:val="auto"/>
                <w:sz w:val="24"/>
                <w:szCs w:val="24"/>
                <w:highlight w:val="none"/>
              </w:rPr>
              <w:t>.3 如甲方使用</w:t>
            </w:r>
            <w:r>
              <w:rPr>
                <w:rFonts w:hint="eastAsia" w:ascii="仿宋" w:hAnsi="仿宋" w:eastAsia="仿宋" w:cs="仿宋"/>
                <w:color w:val="auto"/>
                <w:sz w:val="24"/>
                <w:szCs w:val="24"/>
                <w:highlight w:val="none"/>
                <w:lang w:val="en-US" w:eastAsia="zh-CN"/>
              </w:rPr>
              <w:t>上述</w:t>
            </w:r>
            <w:r>
              <w:rPr>
                <w:rFonts w:hint="eastAsia" w:ascii="仿宋" w:hAnsi="仿宋" w:eastAsia="仿宋" w:cs="仿宋"/>
                <w:color w:val="auto"/>
                <w:sz w:val="24"/>
                <w:szCs w:val="24"/>
                <w:highlight w:val="none"/>
              </w:rPr>
              <w:t>货物构成</w:t>
            </w:r>
            <w:r>
              <w:rPr>
                <w:rFonts w:hint="eastAsia" w:ascii="仿宋" w:hAnsi="仿宋" w:eastAsia="仿宋" w:cs="仿宋"/>
                <w:color w:val="auto"/>
                <w:sz w:val="24"/>
                <w:szCs w:val="24"/>
                <w:highlight w:val="none"/>
                <w:lang w:val="en-US" w:eastAsia="zh-CN"/>
              </w:rPr>
              <w:t>对第三人</w:t>
            </w:r>
            <w:r>
              <w:rPr>
                <w:rFonts w:hint="eastAsia" w:ascii="仿宋" w:hAnsi="仿宋" w:eastAsia="仿宋" w:cs="仿宋"/>
                <w:color w:val="auto"/>
                <w:sz w:val="24"/>
                <w:szCs w:val="24"/>
                <w:highlight w:val="none"/>
              </w:rPr>
              <w:t>侵权的，则由乙方承担全部责任。</w:t>
            </w:r>
          </w:p>
          <w:p w14:paraId="45AF306E">
            <w:pPr>
              <w:autoSpaceDE w:val="0"/>
              <w:autoSpaceDN w:val="0"/>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eastAsia="zh-CN"/>
              </w:rPr>
              <w:t>0</w:t>
            </w:r>
            <w:r>
              <w:rPr>
                <w:rFonts w:hint="eastAsia" w:ascii="仿宋" w:hAnsi="仿宋" w:eastAsia="仿宋" w:cs="仿宋"/>
                <w:b/>
                <w:bCs/>
                <w:color w:val="auto"/>
                <w:sz w:val="24"/>
                <w:szCs w:val="24"/>
                <w:highlight w:val="none"/>
              </w:rPr>
              <w:t>.知识产权保护</w:t>
            </w:r>
          </w:p>
          <w:p w14:paraId="2F2827D0">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0</w:t>
            </w:r>
            <w:r>
              <w:rPr>
                <w:rFonts w:hint="eastAsia" w:ascii="仿宋" w:hAnsi="仿宋" w:eastAsia="仿宋" w:cs="仿宋"/>
                <w:color w:val="auto"/>
                <w:sz w:val="24"/>
                <w:szCs w:val="24"/>
                <w:highlight w:val="none"/>
              </w:rPr>
              <w:t>.1 乙方对其所销售的货物应当享有知识产权或经权利人合法授权，保证没有侵犯任何第三人的知识产权等权利。</w:t>
            </w:r>
            <w:bookmarkStart w:id="414" w:name="_Hlk163047038"/>
            <w:r>
              <w:rPr>
                <w:rFonts w:hint="eastAsia" w:ascii="仿宋" w:hAnsi="仿宋" w:eastAsia="仿宋" w:cs="仿宋"/>
                <w:color w:val="auto"/>
                <w:sz w:val="24"/>
                <w:szCs w:val="24"/>
                <w:highlight w:val="none"/>
              </w:rPr>
              <w:t>因违反前述约定对第三人构成侵权的，应当由乙方向第三人承担法律责任；甲方依法向第三人赔偿后，有权向乙方追偿。甲方有其他损失的，乙方应当赔偿</w:t>
            </w:r>
            <w:bookmarkEnd w:id="414"/>
            <w:r>
              <w:rPr>
                <w:rFonts w:hint="eastAsia" w:ascii="仿宋" w:hAnsi="仿宋" w:eastAsia="仿宋" w:cs="仿宋"/>
                <w:color w:val="auto"/>
                <w:sz w:val="24"/>
                <w:szCs w:val="24"/>
                <w:highlight w:val="none"/>
              </w:rPr>
              <w:t>。</w:t>
            </w:r>
          </w:p>
          <w:p w14:paraId="0A2E51AF">
            <w:pPr>
              <w:autoSpaceDE w:val="0"/>
              <w:autoSpaceDN w:val="0"/>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eastAsia="zh-CN"/>
              </w:rPr>
              <w:t>1</w:t>
            </w:r>
            <w:r>
              <w:rPr>
                <w:rFonts w:hint="eastAsia" w:ascii="仿宋" w:hAnsi="仿宋" w:eastAsia="仿宋" w:cs="仿宋"/>
                <w:b/>
                <w:bCs/>
                <w:color w:val="auto"/>
                <w:sz w:val="24"/>
                <w:szCs w:val="24"/>
                <w:highlight w:val="none"/>
              </w:rPr>
              <w:t>.保密义务</w:t>
            </w:r>
          </w:p>
          <w:p w14:paraId="293C41F7">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11.1 </w:t>
            </w:r>
            <w:r>
              <w:rPr>
                <w:rFonts w:hint="eastAsia" w:ascii="仿宋" w:hAnsi="仿宋" w:eastAsia="仿宋" w:cs="仿宋"/>
                <w:color w:val="auto"/>
                <w:sz w:val="24"/>
                <w:szCs w:val="24"/>
                <w:highlight w:val="none"/>
              </w:rPr>
              <w:t>甲、乙双方</w:t>
            </w:r>
            <w:r>
              <w:rPr>
                <w:rFonts w:hint="eastAsia" w:ascii="仿宋" w:hAnsi="仿宋" w:eastAsia="仿宋" w:cs="仿宋"/>
                <w:color w:val="auto"/>
                <w:sz w:val="24"/>
                <w:szCs w:val="24"/>
                <w:highlight w:val="none"/>
                <w:lang w:eastAsia="zh-CN"/>
              </w:rPr>
              <w:t>对</w:t>
            </w:r>
            <w:r>
              <w:rPr>
                <w:rFonts w:hint="eastAsia" w:ascii="仿宋" w:hAnsi="仿宋" w:eastAsia="仿宋" w:cs="仿宋"/>
                <w:color w:val="auto"/>
                <w:sz w:val="24"/>
                <w:szCs w:val="24"/>
                <w:highlight w:val="none"/>
              </w:rPr>
              <w:t>采购和合同履行过程中所获悉的</w:t>
            </w:r>
            <w:r>
              <w:rPr>
                <w:rFonts w:hint="eastAsia" w:ascii="仿宋" w:hAnsi="仿宋" w:eastAsia="仿宋" w:cs="仿宋"/>
                <w:color w:val="auto"/>
                <w:sz w:val="24"/>
                <w:szCs w:val="24"/>
                <w:highlight w:val="none"/>
                <w:lang w:eastAsia="zh-CN"/>
              </w:rPr>
              <w:t>国家秘密、工作秘密、</w:t>
            </w:r>
            <w:r>
              <w:rPr>
                <w:rFonts w:hint="eastAsia" w:ascii="仿宋" w:hAnsi="仿宋" w:eastAsia="仿宋" w:cs="仿宋"/>
                <w:color w:val="auto"/>
                <w:sz w:val="24"/>
                <w:szCs w:val="24"/>
                <w:highlight w:val="none"/>
              </w:rPr>
              <w:t>商业秘密或者其他应当保密的信息，均有保密义务</w:t>
            </w:r>
            <w:r>
              <w:rPr>
                <w:rFonts w:hint="eastAsia" w:ascii="仿宋" w:hAnsi="仿宋" w:eastAsia="仿宋" w:cs="仿宋"/>
                <w:color w:val="auto"/>
                <w:sz w:val="24"/>
                <w:szCs w:val="24"/>
                <w:highlight w:val="none"/>
                <w:lang w:eastAsia="zh-CN"/>
              </w:rPr>
              <w:t>且不受合同有效期所限，直至该信息成为公开信息</w:t>
            </w:r>
            <w:r>
              <w:rPr>
                <w:rFonts w:hint="eastAsia" w:ascii="仿宋" w:hAnsi="仿宋" w:eastAsia="仿宋" w:cs="仿宋"/>
                <w:color w:val="auto"/>
                <w:sz w:val="24"/>
                <w:szCs w:val="24"/>
                <w:highlight w:val="none"/>
              </w:rPr>
              <w:t>。泄露、不正当地使用</w:t>
            </w:r>
            <w:r>
              <w:rPr>
                <w:rFonts w:hint="eastAsia" w:ascii="仿宋" w:hAnsi="仿宋" w:eastAsia="仿宋" w:cs="仿宋"/>
                <w:color w:val="auto"/>
                <w:sz w:val="24"/>
                <w:szCs w:val="24"/>
                <w:highlight w:val="none"/>
                <w:lang w:eastAsia="zh-CN"/>
              </w:rPr>
              <w:t>国家秘密、工作秘密、</w:t>
            </w:r>
            <w:r>
              <w:rPr>
                <w:rFonts w:hint="eastAsia" w:ascii="仿宋" w:hAnsi="仿宋" w:eastAsia="仿宋" w:cs="仿宋"/>
                <w:color w:val="auto"/>
                <w:sz w:val="24"/>
                <w:szCs w:val="24"/>
                <w:highlight w:val="none"/>
              </w:rPr>
              <w:t>商业秘密或者</w:t>
            </w:r>
            <w:r>
              <w:rPr>
                <w:rFonts w:hint="eastAsia" w:ascii="仿宋" w:hAnsi="仿宋" w:eastAsia="仿宋" w:cs="仿宋"/>
                <w:color w:val="auto"/>
                <w:sz w:val="24"/>
                <w:szCs w:val="24"/>
                <w:highlight w:val="none"/>
                <w:lang w:eastAsia="zh-CN"/>
              </w:rPr>
              <w:t>其他应当保密的</w:t>
            </w:r>
            <w:r>
              <w:rPr>
                <w:rFonts w:hint="eastAsia" w:ascii="仿宋" w:hAnsi="仿宋" w:eastAsia="仿宋" w:cs="仿宋"/>
                <w:color w:val="auto"/>
                <w:sz w:val="24"/>
                <w:szCs w:val="24"/>
                <w:highlight w:val="none"/>
              </w:rPr>
              <w:t>信息，应当承担</w:t>
            </w:r>
            <w:r>
              <w:rPr>
                <w:rFonts w:hint="eastAsia" w:ascii="仿宋" w:hAnsi="仿宋" w:eastAsia="仿宋" w:cs="仿宋"/>
                <w:color w:val="auto"/>
                <w:sz w:val="24"/>
                <w:szCs w:val="24"/>
                <w:highlight w:val="none"/>
                <w:lang w:eastAsia="zh-CN"/>
              </w:rPr>
              <w:t>相应</w:t>
            </w:r>
            <w:r>
              <w:rPr>
                <w:rFonts w:hint="eastAsia" w:ascii="仿宋" w:hAnsi="仿宋" w:eastAsia="仿宋" w:cs="仿宋"/>
                <w:color w:val="auto"/>
                <w:sz w:val="24"/>
                <w:szCs w:val="24"/>
                <w:highlight w:val="none"/>
              </w:rPr>
              <w:t>责任。其他应当保密的信息由双方在</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中约定。</w:t>
            </w:r>
          </w:p>
          <w:p w14:paraId="2A15D283">
            <w:pPr>
              <w:autoSpaceDE w:val="0"/>
              <w:autoSpaceDN w:val="0"/>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eastAsia="zh-CN"/>
              </w:rPr>
              <w:t>2</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合同价款支付</w:t>
            </w:r>
          </w:p>
          <w:p w14:paraId="02492593">
            <w:pPr>
              <w:autoSpaceDE/>
              <w:autoSpaceDN/>
              <w:adjustRightInd w:val="0"/>
              <w:snapToGrid w:val="0"/>
              <w:spacing w:before="0" w:line="400" w:lineRule="exact"/>
              <w:ind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2</w:t>
            </w:r>
            <w:r>
              <w:rPr>
                <w:rFonts w:hint="eastAsia" w:ascii="仿宋" w:hAnsi="仿宋" w:eastAsia="仿宋" w:cs="仿宋"/>
                <w:color w:val="auto"/>
                <w:sz w:val="24"/>
                <w:szCs w:val="24"/>
                <w:highlight w:val="none"/>
              </w:rPr>
              <w:t xml:space="preserve">.1 </w:t>
            </w:r>
            <w:r>
              <w:rPr>
                <w:rFonts w:hint="eastAsia" w:ascii="仿宋" w:hAnsi="仿宋" w:eastAsia="仿宋" w:cs="仿宋"/>
                <w:color w:val="auto"/>
                <w:sz w:val="24"/>
                <w:szCs w:val="24"/>
                <w:highlight w:val="none"/>
                <w:lang w:eastAsia="zh-CN"/>
              </w:rPr>
              <w:t>合同价款支付</w:t>
            </w:r>
            <w:r>
              <w:rPr>
                <w:rFonts w:hint="eastAsia" w:ascii="仿宋" w:hAnsi="仿宋" w:eastAsia="仿宋" w:cs="仿宋"/>
                <w:color w:val="auto"/>
                <w:sz w:val="24"/>
                <w:szCs w:val="24"/>
                <w:highlight w:val="none"/>
              </w:rPr>
              <w:t>按照国库集中支付</w:t>
            </w:r>
            <w:r>
              <w:rPr>
                <w:rFonts w:hint="eastAsia" w:ascii="仿宋" w:hAnsi="仿宋" w:eastAsia="仿宋" w:cs="仿宋"/>
                <w:color w:val="auto"/>
                <w:sz w:val="24"/>
                <w:szCs w:val="24"/>
                <w:highlight w:val="none"/>
                <w:lang w:eastAsia="zh-CN"/>
              </w:rPr>
              <w:t>制度及财政管理相关</w:t>
            </w:r>
            <w:r>
              <w:rPr>
                <w:rFonts w:hint="eastAsia" w:ascii="仿宋" w:hAnsi="仿宋" w:eastAsia="仿宋" w:cs="仿宋"/>
                <w:color w:val="auto"/>
                <w:sz w:val="24"/>
                <w:szCs w:val="24"/>
                <w:highlight w:val="none"/>
              </w:rPr>
              <w:t>规定执行。</w:t>
            </w:r>
          </w:p>
          <w:p w14:paraId="508770B1">
            <w:pPr>
              <w:pStyle w:val="5"/>
              <w:spacing w:line="400" w:lineRule="exact"/>
              <w:jc w:val="both"/>
              <w:rPr>
                <w:rFonts w:hint="eastAsia" w:ascii="仿宋" w:hAnsi="仿宋" w:eastAsia="仿宋" w:cs="仿宋"/>
                <w:b w:val="0"/>
                <w:bCs w:val="0"/>
                <w:color w:val="auto"/>
                <w:kern w:val="2"/>
                <w:sz w:val="24"/>
                <w:szCs w:val="24"/>
                <w:highlight w:val="none"/>
              </w:rPr>
            </w:pPr>
            <w:bookmarkStart w:id="415" w:name="_Toc16909"/>
            <w:bookmarkStart w:id="416" w:name="_Toc6376"/>
            <w:bookmarkStart w:id="417" w:name="_Toc26504"/>
            <w:bookmarkStart w:id="418" w:name="_Toc25108"/>
            <w:bookmarkStart w:id="419" w:name="_Toc1835"/>
            <w:bookmarkStart w:id="420" w:name="_Toc25146"/>
            <w:bookmarkStart w:id="421" w:name="_Toc3451"/>
            <w:bookmarkStart w:id="422" w:name="_Toc11676"/>
            <w:r>
              <w:rPr>
                <w:rFonts w:hint="eastAsia" w:ascii="仿宋" w:hAnsi="仿宋" w:eastAsia="仿宋" w:cs="仿宋"/>
                <w:b w:val="0"/>
                <w:bCs w:val="0"/>
                <w:color w:val="auto"/>
                <w:sz w:val="24"/>
                <w:szCs w:val="24"/>
                <w:highlight w:val="none"/>
                <w:lang w:val="en-US" w:eastAsia="zh-CN"/>
              </w:rPr>
              <w:t xml:space="preserve">12.2 </w:t>
            </w:r>
            <w:r>
              <w:rPr>
                <w:rFonts w:hint="eastAsia" w:ascii="仿宋" w:hAnsi="仿宋" w:eastAsia="仿宋" w:cs="仿宋"/>
                <w:b w:val="0"/>
                <w:bCs w:val="0"/>
                <w:color w:val="auto"/>
                <w:kern w:val="2"/>
                <w:sz w:val="24"/>
                <w:szCs w:val="24"/>
                <w:highlight w:val="none"/>
              </w:rPr>
              <w:t>对于满足合同约定支付条件的，</w:t>
            </w:r>
            <w:r>
              <w:rPr>
                <w:rFonts w:hint="eastAsia" w:ascii="仿宋" w:hAnsi="仿宋" w:eastAsia="仿宋" w:cs="仿宋"/>
                <w:b w:val="0"/>
                <w:bCs w:val="0"/>
                <w:color w:val="auto"/>
                <w:kern w:val="2"/>
                <w:sz w:val="24"/>
                <w:szCs w:val="24"/>
                <w:highlight w:val="none"/>
                <w:lang w:val="en-US" w:eastAsia="zh-CN"/>
              </w:rPr>
              <w:t>甲方</w:t>
            </w:r>
            <w:r>
              <w:rPr>
                <w:rFonts w:hint="eastAsia" w:ascii="仿宋" w:hAnsi="仿宋" w:eastAsia="仿宋" w:cs="仿宋"/>
                <w:b w:val="0"/>
                <w:bCs w:val="0"/>
                <w:i w:val="0"/>
                <w:iCs w:val="0"/>
                <w:caps w:val="0"/>
                <w:color w:val="auto"/>
                <w:spacing w:val="0"/>
                <w:sz w:val="24"/>
                <w:szCs w:val="24"/>
                <w:highlight w:val="none"/>
                <w:shd w:val="clear" w:color="auto" w:fill="auto"/>
                <w:vertAlign w:val="baseline"/>
              </w:rPr>
              <w:t>原则上应当自收到发票后10个工作日内</w:t>
            </w:r>
            <w:r>
              <w:rPr>
                <w:rFonts w:hint="eastAsia" w:ascii="仿宋" w:hAnsi="仿宋" w:eastAsia="仿宋" w:cs="仿宋"/>
                <w:b w:val="0"/>
                <w:bCs w:val="0"/>
                <w:color w:val="auto"/>
                <w:kern w:val="2"/>
                <w:sz w:val="24"/>
                <w:szCs w:val="24"/>
                <w:highlight w:val="none"/>
              </w:rPr>
              <w:t>将资</w:t>
            </w:r>
            <w:bookmarkEnd w:id="415"/>
            <w:bookmarkEnd w:id="416"/>
            <w:bookmarkEnd w:id="417"/>
            <w:bookmarkEnd w:id="418"/>
            <w:bookmarkEnd w:id="419"/>
          </w:p>
          <w:p w14:paraId="63F1F4CB">
            <w:pPr>
              <w:pStyle w:val="5"/>
              <w:spacing w:line="400" w:lineRule="exact"/>
              <w:ind w:left="0" w:leftChars="0" w:firstLine="0" w:firstLineChars="0"/>
              <w:jc w:val="both"/>
              <w:rPr>
                <w:rFonts w:hint="eastAsia" w:ascii="仿宋" w:hAnsi="仿宋" w:eastAsia="仿宋" w:cs="仿宋"/>
                <w:color w:val="auto"/>
                <w:sz w:val="24"/>
                <w:szCs w:val="24"/>
                <w:highlight w:val="none"/>
                <w:lang w:eastAsia="zh-CN"/>
              </w:rPr>
            </w:pPr>
            <w:bookmarkStart w:id="423" w:name="_Toc11161"/>
            <w:bookmarkStart w:id="424" w:name="_Toc9866"/>
            <w:bookmarkStart w:id="425" w:name="_Toc19350"/>
            <w:bookmarkStart w:id="426" w:name="_Toc17247"/>
            <w:bookmarkStart w:id="427" w:name="_Toc3000"/>
            <w:r>
              <w:rPr>
                <w:rFonts w:hint="eastAsia" w:ascii="仿宋" w:hAnsi="仿宋" w:eastAsia="仿宋" w:cs="仿宋"/>
                <w:b w:val="0"/>
                <w:bCs w:val="0"/>
                <w:color w:val="auto"/>
                <w:kern w:val="2"/>
                <w:sz w:val="24"/>
                <w:szCs w:val="24"/>
                <w:highlight w:val="none"/>
              </w:rPr>
              <w:t>金支付到合同约定的</w:t>
            </w:r>
            <w:r>
              <w:rPr>
                <w:rFonts w:hint="eastAsia" w:ascii="仿宋" w:hAnsi="仿宋" w:eastAsia="仿宋" w:cs="仿宋"/>
                <w:b w:val="0"/>
                <w:bCs w:val="0"/>
                <w:color w:val="auto"/>
                <w:kern w:val="2"/>
                <w:sz w:val="24"/>
                <w:szCs w:val="24"/>
                <w:highlight w:val="none"/>
                <w:lang w:eastAsia="zh-CN"/>
              </w:rPr>
              <w:t>乙方</w:t>
            </w:r>
            <w:r>
              <w:rPr>
                <w:rFonts w:hint="eastAsia" w:ascii="仿宋" w:hAnsi="仿宋" w:eastAsia="仿宋" w:cs="仿宋"/>
                <w:b w:val="0"/>
                <w:bCs w:val="0"/>
                <w:color w:val="auto"/>
                <w:kern w:val="2"/>
                <w:sz w:val="24"/>
                <w:szCs w:val="24"/>
                <w:highlight w:val="none"/>
              </w:rPr>
              <w:t>账户，不得以机构变动、人员更替、政策调整等为由迟延付款，不得将</w:t>
            </w:r>
            <w:r>
              <w:rPr>
                <w:rFonts w:hint="eastAsia" w:ascii="仿宋" w:hAnsi="仿宋" w:eastAsia="仿宋" w:cs="仿宋"/>
                <w:b w:val="0"/>
                <w:bCs w:val="0"/>
                <w:color w:val="auto"/>
                <w:kern w:val="2"/>
                <w:sz w:val="24"/>
                <w:szCs w:val="24"/>
                <w:highlight w:val="none"/>
                <w:lang w:val="en-US" w:eastAsia="zh-CN"/>
              </w:rPr>
              <w:t>招标</w:t>
            </w:r>
            <w:r>
              <w:rPr>
                <w:rFonts w:hint="eastAsia" w:ascii="仿宋" w:hAnsi="仿宋" w:eastAsia="仿宋" w:cs="仿宋"/>
                <w:b w:val="0"/>
                <w:bCs w:val="0"/>
                <w:color w:val="auto"/>
                <w:kern w:val="2"/>
                <w:sz w:val="24"/>
                <w:szCs w:val="24"/>
                <w:highlight w:val="none"/>
                <w:lang w:eastAsia="zh-CN"/>
              </w:rPr>
              <w:t>文件</w:t>
            </w:r>
            <w:r>
              <w:rPr>
                <w:rFonts w:hint="eastAsia" w:ascii="仿宋" w:hAnsi="仿宋" w:eastAsia="仿宋" w:cs="仿宋"/>
                <w:b w:val="0"/>
                <w:bCs w:val="0"/>
                <w:color w:val="auto"/>
                <w:kern w:val="2"/>
                <w:sz w:val="24"/>
                <w:szCs w:val="24"/>
                <w:highlight w:val="none"/>
              </w:rPr>
              <w:t>和合同中未规定的义务作为向</w:t>
            </w:r>
            <w:r>
              <w:rPr>
                <w:rFonts w:hint="eastAsia" w:ascii="仿宋" w:hAnsi="仿宋" w:eastAsia="仿宋" w:cs="仿宋"/>
                <w:b w:val="0"/>
                <w:bCs w:val="0"/>
                <w:color w:val="auto"/>
                <w:kern w:val="2"/>
                <w:sz w:val="24"/>
                <w:szCs w:val="24"/>
                <w:highlight w:val="none"/>
                <w:lang w:val="en-US" w:eastAsia="zh-CN"/>
              </w:rPr>
              <w:t>乙方</w:t>
            </w:r>
            <w:r>
              <w:rPr>
                <w:rFonts w:hint="eastAsia" w:ascii="仿宋" w:hAnsi="仿宋" w:eastAsia="仿宋" w:cs="仿宋"/>
                <w:b w:val="0"/>
                <w:bCs w:val="0"/>
                <w:color w:val="auto"/>
                <w:kern w:val="2"/>
                <w:sz w:val="24"/>
                <w:szCs w:val="24"/>
                <w:highlight w:val="none"/>
              </w:rPr>
              <w:t>付款的条件。具体合同价款支付时间在【</w:t>
            </w:r>
            <w:r>
              <w:rPr>
                <w:rFonts w:hint="eastAsia" w:ascii="仿宋" w:hAnsi="仿宋" w:eastAsia="仿宋" w:cs="仿宋"/>
                <w:b/>
                <w:bCs/>
                <w:color w:val="auto"/>
                <w:kern w:val="2"/>
                <w:sz w:val="24"/>
                <w:szCs w:val="24"/>
                <w:highlight w:val="none"/>
              </w:rPr>
              <w:t>政府采购合同专用条款</w:t>
            </w:r>
            <w:r>
              <w:rPr>
                <w:rFonts w:hint="eastAsia" w:ascii="仿宋" w:hAnsi="仿宋" w:eastAsia="仿宋" w:cs="仿宋"/>
                <w:b w:val="0"/>
                <w:bCs w:val="0"/>
                <w:color w:val="auto"/>
                <w:kern w:val="2"/>
                <w:sz w:val="24"/>
                <w:szCs w:val="24"/>
                <w:highlight w:val="none"/>
              </w:rPr>
              <w:t>】中</w:t>
            </w:r>
            <w:r>
              <w:rPr>
                <w:rFonts w:hint="eastAsia" w:ascii="仿宋" w:hAnsi="仿宋" w:eastAsia="仿宋" w:cs="仿宋"/>
                <w:b w:val="0"/>
                <w:bCs w:val="0"/>
                <w:color w:val="auto"/>
                <w:kern w:val="2"/>
                <w:sz w:val="24"/>
                <w:szCs w:val="24"/>
                <w:highlight w:val="none"/>
                <w:lang w:eastAsia="zh-CN"/>
              </w:rPr>
              <w:t>约</w:t>
            </w:r>
            <w:r>
              <w:rPr>
                <w:rFonts w:hint="eastAsia" w:ascii="仿宋" w:hAnsi="仿宋" w:eastAsia="仿宋" w:cs="仿宋"/>
                <w:b w:val="0"/>
                <w:bCs w:val="0"/>
                <w:color w:val="auto"/>
                <w:kern w:val="2"/>
                <w:sz w:val="24"/>
                <w:szCs w:val="24"/>
                <w:highlight w:val="none"/>
              </w:rPr>
              <w:t>定。</w:t>
            </w:r>
            <w:bookmarkEnd w:id="420"/>
            <w:bookmarkEnd w:id="421"/>
            <w:bookmarkEnd w:id="422"/>
            <w:bookmarkEnd w:id="423"/>
            <w:bookmarkEnd w:id="424"/>
            <w:bookmarkEnd w:id="425"/>
            <w:bookmarkEnd w:id="426"/>
            <w:bookmarkEnd w:id="427"/>
          </w:p>
          <w:p w14:paraId="473AA095">
            <w:pPr>
              <w:pStyle w:val="18"/>
              <w:spacing w:after="0" w:line="40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eastAsia="zh-CN"/>
              </w:rPr>
              <w:t>3</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履约保证金</w:t>
            </w:r>
          </w:p>
          <w:p w14:paraId="72C654E9">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3</w:t>
            </w:r>
            <w:r>
              <w:rPr>
                <w:rFonts w:hint="eastAsia" w:ascii="仿宋" w:hAnsi="仿宋" w:eastAsia="仿宋" w:cs="仿宋"/>
                <w:color w:val="auto"/>
                <w:sz w:val="24"/>
                <w:szCs w:val="24"/>
                <w:highlight w:val="none"/>
              </w:rPr>
              <w:t>.1 乙方应当以支票、汇票、本票或者金融机构、担保机构出具的保函等非现金形式提交。</w:t>
            </w:r>
          </w:p>
          <w:p w14:paraId="38235C74">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3</w:t>
            </w:r>
            <w:r>
              <w:rPr>
                <w:rFonts w:hint="eastAsia" w:ascii="仿宋" w:hAnsi="仿宋" w:eastAsia="仿宋" w:cs="仿宋"/>
                <w:color w:val="auto"/>
                <w:sz w:val="24"/>
                <w:szCs w:val="24"/>
                <w:highlight w:val="none"/>
              </w:rPr>
              <w:t>.2 如果乙方</w:t>
            </w:r>
            <w:r>
              <w:rPr>
                <w:rFonts w:hint="eastAsia" w:ascii="仿宋" w:hAnsi="仿宋" w:eastAsia="仿宋" w:cs="仿宋"/>
                <w:color w:val="auto"/>
                <w:sz w:val="24"/>
                <w:szCs w:val="24"/>
                <w:highlight w:val="none"/>
                <w:lang w:eastAsia="zh-CN"/>
              </w:rPr>
              <w:t>出现</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b w:val="0"/>
                <w:bCs w:val="0"/>
                <w:color w:val="auto"/>
                <w:sz w:val="24"/>
                <w:szCs w:val="24"/>
                <w:highlight w:val="none"/>
                <w:lang w:eastAsia="zh-CN"/>
              </w:rPr>
              <w:t>约定情形的</w:t>
            </w:r>
            <w:r>
              <w:rPr>
                <w:rFonts w:hint="eastAsia" w:ascii="仿宋" w:hAnsi="仿宋" w:eastAsia="仿宋" w:cs="仿宋"/>
                <w:color w:val="auto"/>
                <w:sz w:val="24"/>
                <w:szCs w:val="24"/>
                <w:highlight w:val="none"/>
              </w:rPr>
              <w:t>，履约保证金不予退还；如果乙方未能按合同约定全面履行义务，甲方有权从履约保证金中取得补偿或赔偿，</w:t>
            </w:r>
            <w:r>
              <w:rPr>
                <w:rFonts w:hint="eastAsia" w:ascii="仿宋" w:hAnsi="仿宋" w:eastAsia="仿宋" w:cs="仿宋"/>
                <w:color w:val="auto"/>
                <w:sz w:val="24"/>
                <w:szCs w:val="24"/>
                <w:highlight w:val="none"/>
                <w:lang w:eastAsia="zh-CN"/>
              </w:rPr>
              <w:t>且</w:t>
            </w:r>
            <w:r>
              <w:rPr>
                <w:rFonts w:hint="eastAsia" w:ascii="仿宋" w:hAnsi="仿宋" w:eastAsia="仿宋" w:cs="仿宋"/>
                <w:color w:val="auto"/>
                <w:sz w:val="24"/>
                <w:szCs w:val="24"/>
                <w:highlight w:val="none"/>
              </w:rPr>
              <w:t>不影响甲方要求乙方承担合同约定的超过履约保证金的违约责任的权利。</w:t>
            </w:r>
          </w:p>
          <w:p w14:paraId="230BF560">
            <w:pPr>
              <w:spacing w:line="400" w:lineRule="exact"/>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3</w:t>
            </w:r>
            <w:r>
              <w:rPr>
                <w:rFonts w:hint="eastAsia" w:ascii="仿宋" w:hAnsi="仿宋" w:eastAsia="仿宋" w:cs="仿宋"/>
                <w:color w:val="auto"/>
                <w:sz w:val="24"/>
                <w:szCs w:val="24"/>
                <w:highlight w:val="none"/>
              </w:rPr>
              <w:t>.3 甲方在项目通过验收后按照</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规定的时间内将履约保证金退还乙方；逾期退还的，乙方可要求甲方支付违约金，违约金按照</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规定支付。</w:t>
            </w:r>
          </w:p>
          <w:p w14:paraId="60D3D75C">
            <w:pPr>
              <w:autoSpaceDE w:val="0"/>
              <w:autoSpaceDN w:val="0"/>
              <w:adjustRightInd w:val="0"/>
              <w:snapToGrid w:val="0"/>
              <w:spacing w:before="0" w:line="400" w:lineRule="exact"/>
              <w:jc w:val="left"/>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eastAsia="zh-CN"/>
              </w:rPr>
              <w:t>4</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color w:val="auto"/>
                <w:sz w:val="24"/>
                <w:szCs w:val="24"/>
                <w:highlight w:val="none"/>
              </w:rPr>
              <w:t>售后服务</w:t>
            </w:r>
          </w:p>
          <w:p w14:paraId="5D3B7075">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4</w:t>
            </w:r>
            <w:r>
              <w:rPr>
                <w:rFonts w:hint="eastAsia" w:ascii="仿宋" w:hAnsi="仿宋" w:eastAsia="仿宋" w:cs="仿宋"/>
                <w:color w:val="auto"/>
                <w:sz w:val="24"/>
                <w:szCs w:val="24"/>
                <w:highlight w:val="none"/>
              </w:rPr>
              <w:t>.1 除项目不涉及或采购活动中明确约定无须承担外，乙方还应提供下列服务：</w:t>
            </w:r>
          </w:p>
          <w:p w14:paraId="09173998">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（1）货物的现场移动、安装、调试、启动监督及技术支持；</w:t>
            </w:r>
          </w:p>
          <w:p w14:paraId="246D1EAC">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（2）提供货物组装和维修所需的专用工具和辅助材料；</w:t>
            </w:r>
          </w:p>
          <w:p w14:paraId="563067E7">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（3）在</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lang w:eastAsia="zh-CN"/>
              </w:rPr>
              <w:t>约定</w:t>
            </w:r>
            <w:r>
              <w:rPr>
                <w:rFonts w:hint="eastAsia" w:ascii="仿宋" w:hAnsi="仿宋" w:eastAsia="仿宋" w:cs="仿宋"/>
                <w:color w:val="auto"/>
                <w:sz w:val="24"/>
                <w:szCs w:val="24"/>
                <w:highlight w:val="none"/>
              </w:rPr>
              <w:t>的期限内对所有的货物实施运行监督、维修，但前提条件是该服务并不能免除乙方在质量保证期内所承担的义务；</w:t>
            </w:r>
          </w:p>
          <w:p w14:paraId="0F8888B3">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（4）在制造商</w:t>
            </w:r>
            <w:r>
              <w:rPr>
                <w:rFonts w:hint="eastAsia" w:ascii="仿宋" w:hAnsi="仿宋" w:eastAsia="仿宋" w:cs="仿宋"/>
                <w:color w:val="auto"/>
                <w:sz w:val="24"/>
                <w:szCs w:val="24"/>
                <w:highlight w:val="none"/>
                <w:lang w:eastAsia="zh-CN"/>
              </w:rPr>
              <w:t>所在地</w:t>
            </w:r>
            <w:r>
              <w:rPr>
                <w:rFonts w:hint="eastAsia" w:ascii="仿宋" w:hAnsi="仿宋" w:eastAsia="仿宋" w:cs="仿宋"/>
                <w:color w:val="auto"/>
                <w:sz w:val="24"/>
                <w:szCs w:val="24"/>
                <w:highlight w:val="none"/>
              </w:rPr>
              <w:t>或</w:t>
            </w:r>
            <w:r>
              <w:rPr>
                <w:rFonts w:hint="eastAsia" w:ascii="仿宋" w:hAnsi="仿宋" w:eastAsia="仿宋" w:cs="仿宋"/>
                <w:color w:val="auto"/>
                <w:sz w:val="24"/>
                <w:szCs w:val="24"/>
                <w:highlight w:val="none"/>
                <w:lang w:eastAsia="zh-CN"/>
              </w:rPr>
              <w:t>指定</w:t>
            </w:r>
            <w:r>
              <w:rPr>
                <w:rFonts w:hint="eastAsia" w:ascii="仿宋" w:hAnsi="仿宋" w:eastAsia="仿宋" w:cs="仿宋"/>
                <w:color w:val="auto"/>
                <w:sz w:val="24"/>
                <w:szCs w:val="24"/>
                <w:highlight w:val="none"/>
              </w:rPr>
              <w:t>现场就货物的安装、启动、运营、维护</w:t>
            </w:r>
            <w:r>
              <w:rPr>
                <w:rFonts w:hint="eastAsia" w:ascii="仿宋" w:hAnsi="仿宋" w:eastAsia="仿宋" w:cs="仿宋"/>
                <w:color w:val="auto"/>
                <w:sz w:val="24"/>
                <w:szCs w:val="24"/>
                <w:highlight w:val="none"/>
                <w:lang w:eastAsia="zh-CN"/>
              </w:rPr>
              <w:t>、废弃处置等</w:t>
            </w:r>
            <w:r>
              <w:rPr>
                <w:rFonts w:hint="eastAsia" w:ascii="仿宋" w:hAnsi="仿宋" w:eastAsia="仿宋" w:cs="仿宋"/>
                <w:color w:val="auto"/>
                <w:sz w:val="24"/>
                <w:szCs w:val="24"/>
                <w:highlight w:val="none"/>
              </w:rPr>
              <w:t>对甲方操作人员进行培训</w:t>
            </w:r>
            <w:r>
              <w:rPr>
                <w:rFonts w:hint="eastAsia" w:ascii="仿宋" w:hAnsi="仿宋" w:eastAsia="仿宋" w:cs="仿宋"/>
                <w:color w:val="auto"/>
                <w:sz w:val="24"/>
                <w:szCs w:val="24"/>
                <w:highlight w:val="none"/>
                <w:lang w:eastAsia="zh-CN"/>
              </w:rPr>
              <w:t>；</w:t>
            </w:r>
          </w:p>
          <w:p w14:paraId="535107DE">
            <w:pPr>
              <w:pStyle w:val="24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（5）依照法律、行政法规的规定或者按照</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约定，货物在有效使用年限届满后应予回收的，乙方负有自行或者委托第三人对货物予以回收的义务；</w:t>
            </w:r>
          </w:p>
          <w:p w14:paraId="45F019C5">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规定由乙方提供的其他服务。</w:t>
            </w:r>
          </w:p>
          <w:p w14:paraId="3481B86B">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.2 乙方提供的</w:t>
            </w:r>
            <w:r>
              <w:rPr>
                <w:rFonts w:hint="eastAsia" w:ascii="仿宋" w:hAnsi="仿宋" w:eastAsia="仿宋" w:cs="仿宋"/>
                <w:color w:val="auto"/>
                <w:sz w:val="24"/>
                <w:szCs w:val="24"/>
                <w:highlight w:val="none"/>
                <w:lang w:eastAsia="zh-CN"/>
              </w:rPr>
              <w:t>售后</w:t>
            </w:r>
            <w:r>
              <w:rPr>
                <w:rFonts w:hint="eastAsia" w:ascii="仿宋" w:hAnsi="仿宋" w:eastAsia="仿宋" w:cs="仿宋"/>
                <w:color w:val="auto"/>
                <w:sz w:val="24"/>
                <w:szCs w:val="24"/>
                <w:highlight w:val="none"/>
              </w:rPr>
              <w:t>服务的费用</w:t>
            </w:r>
            <w:r>
              <w:rPr>
                <w:rFonts w:hint="eastAsia" w:ascii="仿宋" w:hAnsi="仿宋" w:eastAsia="仿宋" w:cs="仿宋"/>
                <w:color w:val="auto"/>
                <w:sz w:val="24"/>
                <w:szCs w:val="24"/>
                <w:highlight w:val="none"/>
                <w:lang w:val="en-US" w:eastAsia="zh-CN"/>
              </w:rPr>
              <w:t>已</w:t>
            </w:r>
            <w:r>
              <w:rPr>
                <w:rFonts w:hint="eastAsia" w:ascii="仿宋" w:hAnsi="仿宋" w:eastAsia="仿宋" w:cs="仿宋"/>
                <w:color w:val="auto"/>
                <w:sz w:val="24"/>
                <w:szCs w:val="24"/>
                <w:highlight w:val="none"/>
              </w:rPr>
              <w:t>包含在合同价款中，甲方不再另行支付。</w:t>
            </w:r>
          </w:p>
          <w:p w14:paraId="7167A364">
            <w:pPr>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eastAsia="zh-CN"/>
              </w:rPr>
              <w:t>5</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违约责任</w:t>
            </w:r>
          </w:p>
          <w:p w14:paraId="436FDAAD">
            <w:pPr>
              <w:adjustRightInd w:val="0"/>
              <w:snapToGrid w:val="0"/>
              <w:spacing w:before="0" w:line="400" w:lineRule="exact"/>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eastAsia="zh-CN"/>
              </w:rPr>
              <w:t>5</w:t>
            </w:r>
            <w:r>
              <w:rPr>
                <w:rFonts w:hint="eastAsia" w:ascii="仿宋" w:hAnsi="仿宋" w:eastAsia="仿宋" w:cs="仿宋"/>
                <w:bCs/>
                <w:color w:val="auto"/>
                <w:sz w:val="24"/>
                <w:szCs w:val="24"/>
                <w:highlight w:val="none"/>
              </w:rPr>
              <w:t>.1质量瑕疵的</w:t>
            </w:r>
            <w:r>
              <w:rPr>
                <w:rFonts w:hint="eastAsia" w:ascii="仿宋" w:hAnsi="仿宋" w:eastAsia="仿宋" w:cs="仿宋"/>
                <w:bCs/>
                <w:color w:val="auto"/>
                <w:sz w:val="24"/>
                <w:szCs w:val="24"/>
                <w:highlight w:val="none"/>
                <w:lang w:eastAsia="zh-CN"/>
              </w:rPr>
              <w:t>违约责任</w:t>
            </w:r>
          </w:p>
          <w:p w14:paraId="528177C0">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w:t>
            </w:r>
            <w:r>
              <w:rPr>
                <w:rFonts w:hint="eastAsia" w:ascii="仿宋" w:hAnsi="仿宋" w:eastAsia="仿宋" w:cs="仿宋"/>
                <w:color w:val="auto"/>
                <w:sz w:val="24"/>
                <w:szCs w:val="24"/>
                <w:highlight w:val="none"/>
                <w:lang w:eastAsia="zh-CN"/>
              </w:rPr>
              <w:t>提供</w:t>
            </w:r>
            <w:r>
              <w:rPr>
                <w:rFonts w:hint="eastAsia" w:ascii="仿宋" w:hAnsi="仿宋" w:eastAsia="仿宋" w:cs="仿宋"/>
                <w:color w:val="auto"/>
                <w:sz w:val="24"/>
                <w:szCs w:val="24"/>
                <w:highlight w:val="none"/>
              </w:rPr>
              <w:t>的产品不符合</w:t>
            </w:r>
            <w:r>
              <w:rPr>
                <w:rFonts w:hint="eastAsia" w:ascii="仿宋" w:hAnsi="仿宋" w:eastAsia="仿宋" w:cs="仿宋"/>
                <w:color w:val="auto"/>
                <w:sz w:val="24"/>
                <w:szCs w:val="24"/>
                <w:highlight w:val="none"/>
                <w:lang w:eastAsia="zh-CN"/>
              </w:rPr>
              <w:t>合同约定的</w:t>
            </w:r>
            <w:r>
              <w:rPr>
                <w:rFonts w:hint="eastAsia" w:ascii="仿宋" w:hAnsi="仿宋" w:eastAsia="仿宋" w:cs="仿宋"/>
                <w:color w:val="auto"/>
                <w:sz w:val="24"/>
                <w:szCs w:val="24"/>
                <w:highlight w:val="none"/>
              </w:rPr>
              <w:t>质量标准或存在产品质量缺陷，</w:t>
            </w:r>
            <w:r>
              <w:rPr>
                <w:rFonts w:hint="eastAsia" w:ascii="仿宋" w:hAnsi="仿宋" w:eastAsia="仿宋" w:cs="仿宋"/>
                <w:color w:val="auto"/>
                <w:sz w:val="24"/>
                <w:szCs w:val="24"/>
                <w:highlight w:val="none"/>
                <w:lang w:eastAsia="zh-CN"/>
              </w:rPr>
              <w:t>甲方有权要求乙方根据</w:t>
            </w:r>
            <w:r>
              <w:rPr>
                <w:rFonts w:hint="eastAsia" w:ascii="仿宋" w:hAnsi="仿宋" w:eastAsia="仿宋" w:cs="仿宋"/>
                <w:b/>
                <w:color w:val="auto"/>
                <w:sz w:val="24"/>
                <w:szCs w:val="24"/>
                <w:highlight w:val="none"/>
              </w:rPr>
              <w:t>【政府采购合同专用条款】</w:t>
            </w:r>
            <w:r>
              <w:rPr>
                <w:rFonts w:hint="eastAsia" w:ascii="仿宋" w:hAnsi="仿宋" w:eastAsia="仿宋" w:cs="仿宋"/>
                <w:b w:val="0"/>
                <w:bCs/>
                <w:color w:val="auto"/>
                <w:sz w:val="24"/>
                <w:szCs w:val="24"/>
                <w:highlight w:val="none"/>
                <w:lang w:eastAsia="zh-CN"/>
              </w:rPr>
              <w:t>要求</w:t>
            </w:r>
            <w:r>
              <w:rPr>
                <w:rFonts w:hint="eastAsia" w:ascii="仿宋" w:hAnsi="仿宋" w:eastAsia="仿宋" w:cs="仿宋"/>
                <w:color w:val="auto"/>
                <w:sz w:val="24"/>
                <w:szCs w:val="24"/>
                <w:highlight w:val="none"/>
                <w:lang w:eastAsia="zh-CN"/>
              </w:rPr>
              <w:t>及时修理、重作、更换，并承担由此给甲</w:t>
            </w:r>
            <w:r>
              <w:rPr>
                <w:rFonts w:hint="eastAsia" w:ascii="仿宋" w:hAnsi="仿宋" w:eastAsia="仿宋" w:cs="仿宋"/>
                <w:color w:val="auto"/>
                <w:sz w:val="24"/>
                <w:szCs w:val="24"/>
                <w:highlight w:val="none"/>
              </w:rPr>
              <w:t>方</w:t>
            </w:r>
            <w:r>
              <w:rPr>
                <w:rFonts w:hint="eastAsia" w:ascii="仿宋" w:hAnsi="仿宋" w:eastAsia="仿宋" w:cs="仿宋"/>
                <w:color w:val="auto"/>
                <w:sz w:val="24"/>
                <w:szCs w:val="24"/>
                <w:highlight w:val="none"/>
                <w:lang w:eastAsia="zh-CN"/>
              </w:rPr>
              <w:t>造成的损失</w:t>
            </w:r>
            <w:r>
              <w:rPr>
                <w:rFonts w:hint="eastAsia" w:ascii="仿宋" w:hAnsi="仿宋" w:eastAsia="仿宋" w:cs="仿宋"/>
                <w:color w:val="auto"/>
                <w:sz w:val="24"/>
                <w:szCs w:val="24"/>
                <w:highlight w:val="none"/>
              </w:rPr>
              <w:t>。</w:t>
            </w:r>
          </w:p>
          <w:p w14:paraId="471AC7F3">
            <w:pPr>
              <w:autoSpaceDE w:val="0"/>
              <w:autoSpaceDN w:val="0"/>
              <w:adjustRightInd w:val="0"/>
              <w:snapToGrid w:val="0"/>
              <w:spacing w:before="0" w:line="400" w:lineRule="exact"/>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eastAsia="zh-CN"/>
              </w:rPr>
              <w:t>5</w:t>
            </w:r>
            <w:r>
              <w:rPr>
                <w:rFonts w:hint="eastAsia" w:ascii="仿宋" w:hAnsi="仿宋" w:eastAsia="仿宋" w:cs="仿宋"/>
                <w:bCs/>
                <w:color w:val="auto"/>
                <w:sz w:val="24"/>
                <w:szCs w:val="24"/>
                <w:highlight w:val="none"/>
              </w:rPr>
              <w:t>.2 迟延交货的违约责任</w:t>
            </w:r>
          </w:p>
          <w:p w14:paraId="2B0AB14C">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（1）乙方应按照本合同规定的时间、地点交货和提供</w:t>
            </w:r>
            <w:r>
              <w:rPr>
                <w:rFonts w:hint="eastAsia" w:ascii="仿宋" w:hAnsi="仿宋" w:eastAsia="仿宋" w:cs="仿宋"/>
                <w:color w:val="auto"/>
                <w:sz w:val="24"/>
                <w:szCs w:val="24"/>
                <w:highlight w:val="none"/>
                <w:lang w:eastAsia="zh-CN"/>
              </w:rPr>
              <w:t>相关</w:t>
            </w:r>
            <w:r>
              <w:rPr>
                <w:rFonts w:hint="eastAsia" w:ascii="仿宋" w:hAnsi="仿宋" w:eastAsia="仿宋" w:cs="仿宋"/>
                <w:color w:val="auto"/>
                <w:sz w:val="24"/>
                <w:szCs w:val="24"/>
                <w:highlight w:val="none"/>
              </w:rPr>
              <w:t>服务。在履行合同过程中，如果乙方遇到可能</w:t>
            </w:r>
            <w:r>
              <w:rPr>
                <w:rFonts w:hint="eastAsia" w:ascii="仿宋" w:hAnsi="仿宋" w:eastAsia="仿宋" w:cs="仿宋"/>
                <w:color w:val="auto"/>
                <w:sz w:val="24"/>
                <w:szCs w:val="24"/>
                <w:highlight w:val="none"/>
                <w:lang w:eastAsia="zh-CN"/>
              </w:rPr>
              <w:t>影响</w:t>
            </w:r>
            <w:r>
              <w:rPr>
                <w:rFonts w:hint="eastAsia" w:ascii="仿宋" w:hAnsi="仿宋" w:eastAsia="仿宋" w:cs="仿宋"/>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仿宋" w:hAnsi="仿宋" w:eastAsia="仿宋" w:cs="仿宋"/>
                <w:color w:val="auto"/>
                <w:sz w:val="24"/>
                <w:szCs w:val="24"/>
                <w:highlight w:val="none"/>
                <w:lang w:eastAsia="zh-CN"/>
              </w:rPr>
              <w:t>长</w:t>
            </w:r>
            <w:r>
              <w:rPr>
                <w:rFonts w:hint="eastAsia" w:ascii="仿宋" w:hAnsi="仿宋" w:eastAsia="仿宋" w:cs="仿宋"/>
                <w:color w:val="auto"/>
                <w:sz w:val="24"/>
                <w:szCs w:val="24"/>
                <w:highlight w:val="none"/>
              </w:rPr>
              <w:t>交货时间或延期提供服务。</w:t>
            </w:r>
          </w:p>
          <w:p w14:paraId="277823C3">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（2）如果乙方没有按照合同规定的时间交货和提供</w:t>
            </w:r>
            <w:r>
              <w:rPr>
                <w:rFonts w:hint="eastAsia" w:ascii="仿宋" w:hAnsi="仿宋" w:eastAsia="仿宋" w:cs="仿宋"/>
                <w:color w:val="auto"/>
                <w:sz w:val="24"/>
                <w:szCs w:val="24"/>
                <w:highlight w:val="none"/>
                <w:lang w:eastAsia="zh-CN"/>
              </w:rPr>
              <w:t>相关</w:t>
            </w:r>
            <w:r>
              <w:rPr>
                <w:rFonts w:hint="eastAsia" w:ascii="仿宋" w:hAnsi="仿宋" w:eastAsia="仿宋" w:cs="仿宋"/>
                <w:color w:val="auto"/>
                <w:sz w:val="24"/>
                <w:szCs w:val="24"/>
                <w:highlight w:val="none"/>
              </w:rPr>
              <w:t>服务，甲方有权从货款中扣除误期赔偿费而不影响合同项下的其他补救方法，赔偿费按</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规定执行。如果涉及公共利益，且赔偿金额无法弥补公共利益损失，</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可要求继续履行或者</w:t>
            </w:r>
            <w:r>
              <w:rPr>
                <w:rFonts w:hint="eastAsia" w:ascii="仿宋" w:hAnsi="仿宋" w:eastAsia="仿宋" w:cs="仿宋"/>
                <w:color w:val="auto"/>
                <w:sz w:val="24"/>
                <w:szCs w:val="24"/>
                <w:highlight w:val="none"/>
                <w:lang w:eastAsia="zh-CN"/>
              </w:rPr>
              <w:t>采取其他补救措施</w:t>
            </w:r>
            <w:r>
              <w:rPr>
                <w:rFonts w:hint="eastAsia" w:ascii="仿宋" w:hAnsi="仿宋" w:eastAsia="仿宋" w:cs="仿宋"/>
                <w:color w:val="auto"/>
                <w:sz w:val="24"/>
                <w:szCs w:val="24"/>
                <w:highlight w:val="none"/>
              </w:rPr>
              <w:t>。</w:t>
            </w:r>
          </w:p>
          <w:p w14:paraId="59FF9075">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5</w:t>
            </w:r>
            <w:r>
              <w:rPr>
                <w:rFonts w:hint="eastAsia" w:ascii="仿宋" w:hAnsi="仿宋" w:eastAsia="仿宋" w:cs="仿宋"/>
                <w:color w:val="auto"/>
                <w:sz w:val="24"/>
                <w:szCs w:val="24"/>
                <w:highlight w:val="none"/>
              </w:rPr>
              <w:t>.3 迟延支付的违约责任</w:t>
            </w:r>
          </w:p>
          <w:p w14:paraId="43C4E11B">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甲方存在迟延支付乙方合同款项的，应当承担</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规定的逾期付款利息。</w:t>
            </w:r>
          </w:p>
          <w:p w14:paraId="5A8D00F2">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eastAsia="zh-CN"/>
              </w:rPr>
              <w:t>5</w:t>
            </w:r>
            <w:r>
              <w:rPr>
                <w:rFonts w:hint="eastAsia" w:ascii="仿宋" w:hAnsi="仿宋" w:eastAsia="仿宋" w:cs="仿宋"/>
                <w:bCs/>
                <w:color w:val="auto"/>
                <w:sz w:val="24"/>
                <w:szCs w:val="24"/>
                <w:highlight w:val="none"/>
              </w:rPr>
              <w:t>.4其他违约责任根据项目实际需要按</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规定执行。</w:t>
            </w:r>
          </w:p>
          <w:p w14:paraId="798FE9B7">
            <w:pPr>
              <w:numPr>
                <w:ilvl w:val="0"/>
                <w:numId w:val="4"/>
              </w:numPr>
              <w:autoSpaceDE w:val="0"/>
              <w:autoSpaceDN w:val="0"/>
              <w:adjustRightInd w:val="0"/>
              <w:snapToGrid w:val="0"/>
              <w:spacing w:before="0" w:line="400" w:lineRule="exact"/>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合同变更</w:t>
            </w:r>
            <w:r>
              <w:rPr>
                <w:rFonts w:hint="eastAsia" w:ascii="仿宋" w:hAnsi="仿宋" w:eastAsia="仿宋" w:cs="仿宋"/>
                <w:b/>
                <w:color w:val="auto"/>
                <w:sz w:val="24"/>
                <w:szCs w:val="24"/>
                <w:highlight w:val="none"/>
                <w:lang w:eastAsia="zh-CN"/>
              </w:rPr>
              <w:t>、中止与终止</w:t>
            </w:r>
          </w:p>
          <w:p w14:paraId="70CBDE9B">
            <w:pPr>
              <w:autoSpaceDE/>
              <w:autoSpaceDN/>
              <w:adjustRightInd w:val="0"/>
              <w:snapToGrid w:val="0"/>
              <w:spacing w:before="0" w:line="400" w:lineRule="exact"/>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.1合同的</w:t>
            </w:r>
            <w:r>
              <w:rPr>
                <w:rFonts w:hint="eastAsia" w:ascii="仿宋" w:hAnsi="仿宋" w:eastAsia="仿宋" w:cs="仿宋"/>
                <w:color w:val="auto"/>
                <w:sz w:val="24"/>
                <w:szCs w:val="24"/>
                <w:highlight w:val="none"/>
                <w:lang w:eastAsia="zh-CN"/>
              </w:rPr>
              <w:t>变更</w:t>
            </w:r>
          </w:p>
          <w:p w14:paraId="6BB64FD2">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政府采购合同履行中，</w:t>
            </w:r>
            <w:r>
              <w:rPr>
                <w:rFonts w:hint="eastAsia" w:ascii="仿宋" w:hAnsi="仿宋" w:eastAsia="仿宋" w:cs="仿宋"/>
                <w:color w:val="auto"/>
                <w:sz w:val="24"/>
                <w:szCs w:val="24"/>
                <w:highlight w:val="none"/>
              </w:rPr>
              <w:t>在不改变合同其他条款的前提下，甲方可以在合同价款10%的范围内追加与合同标的相同的货物，并就此与乙方协商</w:t>
            </w:r>
            <w:r>
              <w:rPr>
                <w:rFonts w:hint="eastAsia" w:ascii="仿宋" w:hAnsi="仿宋" w:eastAsia="仿宋" w:cs="仿宋"/>
                <w:color w:val="auto"/>
                <w:sz w:val="24"/>
                <w:szCs w:val="24"/>
                <w:highlight w:val="none"/>
                <w:lang w:eastAsia="zh-CN"/>
              </w:rPr>
              <w:t>一致后</w:t>
            </w:r>
            <w:r>
              <w:rPr>
                <w:rFonts w:hint="eastAsia" w:ascii="仿宋" w:hAnsi="仿宋" w:eastAsia="仿宋" w:cs="仿宋"/>
                <w:color w:val="auto"/>
                <w:sz w:val="24"/>
                <w:szCs w:val="24"/>
                <w:highlight w:val="none"/>
              </w:rPr>
              <w:t>签订补充协议。</w:t>
            </w:r>
          </w:p>
          <w:p w14:paraId="3B1E4E94">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合同的中止</w:t>
            </w:r>
          </w:p>
          <w:p w14:paraId="3F683231">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（1）合同履行过程中因</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就</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、采购过程或结果提起投诉的，甲方认为有必要的，</w:t>
            </w:r>
            <w:r>
              <w:rPr>
                <w:rFonts w:hint="eastAsia" w:ascii="仿宋" w:hAnsi="仿宋" w:eastAsia="仿宋" w:cs="仿宋"/>
                <w:color w:val="auto"/>
                <w:sz w:val="24"/>
                <w:szCs w:val="24"/>
                <w:highlight w:val="none"/>
                <w:lang w:eastAsia="zh-CN"/>
              </w:rPr>
              <w:t>可以</w:t>
            </w:r>
            <w:r>
              <w:rPr>
                <w:rFonts w:hint="eastAsia" w:ascii="仿宋" w:hAnsi="仿宋" w:eastAsia="仿宋" w:cs="仿宋"/>
                <w:color w:val="auto"/>
                <w:sz w:val="24"/>
                <w:szCs w:val="24"/>
                <w:highlight w:val="none"/>
              </w:rPr>
              <w:t>中止合同的履行。</w:t>
            </w:r>
          </w:p>
          <w:p w14:paraId="05A545EF">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合同履行过程中，</w:t>
            </w:r>
            <w:r>
              <w:rPr>
                <w:rFonts w:hint="eastAsia" w:ascii="仿宋" w:hAnsi="仿宋" w:eastAsia="仿宋" w:cs="仿宋"/>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仿宋" w:hAnsi="仿宋" w:eastAsia="仿宋" w:cs="仿宋"/>
                <w:color w:val="auto"/>
                <w:sz w:val="24"/>
                <w:szCs w:val="24"/>
                <w:highlight w:val="none"/>
                <w:lang w:eastAsia="zh-CN"/>
              </w:rPr>
              <w:t>，乙方有义务及时告知甲方</w:t>
            </w:r>
            <w:r>
              <w:rPr>
                <w:rFonts w:hint="eastAsia" w:ascii="仿宋" w:hAnsi="仿宋" w:eastAsia="仿宋" w:cs="仿宋"/>
                <w:color w:val="auto"/>
                <w:sz w:val="24"/>
                <w:szCs w:val="24"/>
                <w:highlight w:val="none"/>
              </w:rPr>
              <w:t>。甲方</w:t>
            </w:r>
            <w:r>
              <w:rPr>
                <w:rFonts w:hint="eastAsia" w:ascii="仿宋" w:hAnsi="仿宋" w:eastAsia="仿宋" w:cs="仿宋"/>
                <w:color w:val="auto"/>
                <w:sz w:val="24"/>
                <w:szCs w:val="24"/>
                <w:highlight w:val="none"/>
                <w:lang w:eastAsia="zh-CN"/>
              </w:rPr>
              <w:t>有权</w:t>
            </w:r>
            <w:r>
              <w:rPr>
                <w:rFonts w:hint="eastAsia" w:ascii="仿宋" w:hAnsi="仿宋" w:eastAsia="仿宋" w:cs="仿宋"/>
                <w:color w:val="auto"/>
                <w:sz w:val="24"/>
                <w:szCs w:val="24"/>
                <w:highlight w:val="none"/>
              </w:rPr>
              <w:t>以书面形式通知乙方中止合同</w:t>
            </w:r>
            <w:r>
              <w:rPr>
                <w:rFonts w:hint="eastAsia" w:ascii="仿宋" w:hAnsi="仿宋" w:eastAsia="仿宋" w:cs="仿宋"/>
                <w:color w:val="auto"/>
                <w:sz w:val="24"/>
                <w:szCs w:val="24"/>
                <w:highlight w:val="none"/>
                <w:lang w:eastAsia="zh-CN"/>
              </w:rPr>
              <w:t>并要求乙方在合理期限内消除相关情形或者提供适当担保。</w:t>
            </w:r>
            <w:r>
              <w:rPr>
                <w:rFonts w:hint="eastAsia" w:ascii="仿宋" w:hAnsi="仿宋" w:eastAsia="仿宋" w:cs="仿宋"/>
                <w:color w:val="auto"/>
                <w:sz w:val="24"/>
                <w:szCs w:val="24"/>
                <w:highlight w:val="none"/>
              </w:rPr>
              <w:t>乙方提供适当担保的，</w:t>
            </w:r>
            <w:r>
              <w:rPr>
                <w:rFonts w:hint="eastAsia" w:ascii="仿宋" w:hAnsi="仿宋" w:eastAsia="仿宋" w:cs="仿宋"/>
                <w:color w:val="auto"/>
                <w:sz w:val="24"/>
                <w:szCs w:val="24"/>
                <w:highlight w:val="none"/>
                <w:lang w:eastAsia="zh-CN"/>
              </w:rPr>
              <w:t>合同继续</w:t>
            </w:r>
            <w:r>
              <w:rPr>
                <w:rFonts w:hint="eastAsia" w:ascii="仿宋" w:hAnsi="仿宋" w:eastAsia="仿宋" w:cs="仿宋"/>
                <w:color w:val="auto"/>
                <w:sz w:val="24"/>
                <w:szCs w:val="24"/>
                <w:highlight w:val="none"/>
              </w:rPr>
              <w:t>履行</w:t>
            </w:r>
            <w:r>
              <w:rPr>
                <w:rFonts w:hint="eastAsia" w:ascii="仿宋" w:hAnsi="仿宋" w:eastAsia="仿宋" w:cs="仿宋"/>
                <w:color w:val="auto"/>
                <w:sz w:val="24"/>
                <w:szCs w:val="24"/>
                <w:highlight w:val="none"/>
                <w:lang w:eastAsia="zh-CN"/>
              </w:rPr>
              <w:t>；乙</w:t>
            </w:r>
            <w:r>
              <w:rPr>
                <w:rFonts w:hint="eastAsia" w:ascii="仿宋" w:hAnsi="仿宋" w:eastAsia="仿宋" w:cs="仿宋"/>
                <w:color w:val="auto"/>
                <w:sz w:val="24"/>
                <w:szCs w:val="24"/>
                <w:highlight w:val="none"/>
              </w:rPr>
              <w:t>方在合理期限内未恢复履约能力且未提供适当担保的，视为拒绝</w:t>
            </w:r>
            <w:r>
              <w:rPr>
                <w:rFonts w:hint="eastAsia" w:ascii="仿宋" w:hAnsi="仿宋" w:eastAsia="仿宋" w:cs="仿宋"/>
                <w:color w:val="auto"/>
                <w:sz w:val="24"/>
                <w:szCs w:val="24"/>
                <w:highlight w:val="none"/>
                <w:lang w:eastAsia="zh-CN"/>
              </w:rPr>
              <w:t>继续</w:t>
            </w:r>
            <w:r>
              <w:rPr>
                <w:rFonts w:hint="eastAsia" w:ascii="仿宋" w:hAnsi="仿宋" w:eastAsia="仿宋" w:cs="仿宋"/>
                <w:color w:val="auto"/>
                <w:sz w:val="24"/>
                <w:szCs w:val="24"/>
                <w:highlight w:val="none"/>
              </w:rPr>
              <w:t>履约，甲方</w:t>
            </w:r>
            <w:r>
              <w:rPr>
                <w:rFonts w:hint="eastAsia" w:ascii="仿宋" w:hAnsi="仿宋" w:eastAsia="仿宋" w:cs="仿宋"/>
                <w:color w:val="auto"/>
                <w:sz w:val="24"/>
                <w:szCs w:val="24"/>
                <w:highlight w:val="none"/>
                <w:lang w:eastAsia="zh-CN"/>
              </w:rPr>
              <w:t>有权</w:t>
            </w:r>
            <w:r>
              <w:rPr>
                <w:rFonts w:hint="eastAsia" w:ascii="仿宋" w:hAnsi="仿宋" w:eastAsia="仿宋" w:cs="仿宋"/>
                <w:color w:val="auto"/>
                <w:sz w:val="24"/>
                <w:szCs w:val="24"/>
                <w:highlight w:val="none"/>
              </w:rPr>
              <w:t>解除合同并要求乙方承担</w:t>
            </w:r>
            <w:r>
              <w:rPr>
                <w:rFonts w:hint="eastAsia" w:ascii="仿宋" w:hAnsi="仿宋" w:eastAsia="仿宋" w:cs="仿宋"/>
                <w:color w:val="auto"/>
                <w:sz w:val="24"/>
                <w:szCs w:val="24"/>
                <w:highlight w:val="none"/>
                <w:lang w:eastAsia="zh-CN"/>
              </w:rPr>
              <w:t>由此给甲方造成的损失</w:t>
            </w:r>
            <w:r>
              <w:rPr>
                <w:rFonts w:hint="eastAsia" w:ascii="仿宋" w:hAnsi="仿宋" w:eastAsia="仿宋" w:cs="仿宋"/>
                <w:color w:val="auto"/>
                <w:sz w:val="24"/>
                <w:szCs w:val="24"/>
                <w:highlight w:val="none"/>
              </w:rPr>
              <w:t>。</w:t>
            </w:r>
          </w:p>
          <w:p w14:paraId="3DBC63E6">
            <w:pPr>
              <w:pStyle w:val="247"/>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（3）乙方分立、合并或者变更住所的，应当及时以书面形式告知甲方。乙方没有</w:t>
            </w:r>
            <w:r>
              <w:rPr>
                <w:rFonts w:hint="eastAsia" w:ascii="仿宋" w:hAnsi="仿宋" w:eastAsia="仿宋" w:cs="仿宋"/>
                <w:color w:val="auto"/>
                <w:sz w:val="24"/>
                <w:szCs w:val="24"/>
                <w:highlight w:val="none"/>
                <w:lang w:eastAsia="zh-CN"/>
              </w:rPr>
              <w:t>及时告知</w:t>
            </w:r>
            <w:r>
              <w:rPr>
                <w:rFonts w:hint="eastAsia" w:ascii="仿宋" w:hAnsi="仿宋" w:eastAsia="仿宋" w:cs="仿宋"/>
                <w:color w:val="auto"/>
                <w:sz w:val="24"/>
                <w:szCs w:val="24"/>
                <w:highlight w:val="none"/>
              </w:rPr>
              <w:t>甲方，致使</w:t>
            </w:r>
            <w:r>
              <w:rPr>
                <w:rFonts w:hint="eastAsia" w:ascii="仿宋" w:hAnsi="仿宋" w:eastAsia="仿宋" w:cs="仿宋"/>
                <w:color w:val="auto"/>
                <w:sz w:val="24"/>
                <w:szCs w:val="24"/>
                <w:highlight w:val="none"/>
                <w:lang w:eastAsia="zh-CN"/>
              </w:rPr>
              <w:t>合同</w:t>
            </w:r>
            <w:r>
              <w:rPr>
                <w:rFonts w:hint="eastAsia" w:ascii="仿宋" w:hAnsi="仿宋" w:eastAsia="仿宋" w:cs="仿宋"/>
                <w:color w:val="auto"/>
                <w:sz w:val="24"/>
                <w:szCs w:val="24"/>
                <w:highlight w:val="none"/>
              </w:rPr>
              <w:t>履行发生困难的，甲方可以中止合同履行并要求乙方承担由此给甲方造成的损失。</w:t>
            </w:r>
          </w:p>
          <w:p w14:paraId="5CC0B1C6">
            <w:pPr>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）甲方不得以行政区划调整、政府换届、机构或者职能调整以及相关责任人更替为由中止合同。</w:t>
            </w:r>
          </w:p>
          <w:p w14:paraId="0E990300">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合同的终止</w:t>
            </w:r>
          </w:p>
          <w:p w14:paraId="7A2F1D13">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（1）合同因有效期限届满而终止；</w:t>
            </w:r>
          </w:p>
          <w:p w14:paraId="685CA099">
            <w:pPr>
              <w:snapToGrid w:val="0"/>
              <w:spacing w:line="400" w:lineRule="exact"/>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（2）乙方未</w:t>
            </w:r>
            <w:r>
              <w:rPr>
                <w:rFonts w:hint="eastAsia" w:ascii="仿宋" w:hAnsi="仿宋" w:eastAsia="仿宋" w:cs="仿宋"/>
                <w:color w:val="auto"/>
                <w:sz w:val="24"/>
                <w:szCs w:val="24"/>
                <w:highlight w:val="none"/>
                <w:lang w:eastAsia="zh-CN"/>
              </w:rPr>
              <w:t>按</w:t>
            </w:r>
            <w:r>
              <w:rPr>
                <w:rFonts w:hint="eastAsia" w:ascii="仿宋" w:hAnsi="仿宋" w:eastAsia="仿宋" w:cs="仿宋"/>
                <w:color w:val="auto"/>
                <w:sz w:val="24"/>
                <w:szCs w:val="24"/>
                <w:highlight w:val="none"/>
              </w:rPr>
              <w:t>合同约定履行，构成根本性违约的，甲方有权终止合同</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并追究乙方的违约责</w:t>
            </w:r>
            <w:r>
              <w:rPr>
                <w:rFonts w:hint="eastAsia" w:ascii="仿宋" w:hAnsi="仿宋" w:eastAsia="仿宋" w:cs="仿宋"/>
                <w:color w:val="auto"/>
                <w:sz w:val="24"/>
                <w:szCs w:val="24"/>
                <w:highlight w:val="none"/>
                <w:lang w:val="en-US" w:eastAsia="zh-CN"/>
              </w:rPr>
              <w:t>任</w:t>
            </w:r>
            <w:r>
              <w:rPr>
                <w:rFonts w:hint="eastAsia" w:ascii="仿宋" w:hAnsi="仿宋" w:eastAsia="仿宋" w:cs="仿宋"/>
                <w:color w:val="auto"/>
                <w:sz w:val="24"/>
                <w:szCs w:val="24"/>
                <w:highlight w:val="none"/>
              </w:rPr>
              <w:t>。</w:t>
            </w:r>
          </w:p>
          <w:p w14:paraId="16EB7F78">
            <w:pPr>
              <w:pStyle w:val="247"/>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16.4 </w:t>
            </w:r>
            <w:r>
              <w:rPr>
                <w:rFonts w:hint="eastAsia" w:ascii="仿宋" w:hAnsi="仿宋" w:eastAsia="仿宋" w:cs="仿宋"/>
                <w:color w:val="auto"/>
                <w:kern w:val="2"/>
                <w:sz w:val="24"/>
                <w:szCs w:val="24"/>
                <w:highlight w:val="none"/>
                <w:lang w:val="en-US" w:eastAsia="zh-CN"/>
              </w:rPr>
              <w:t>涉及国家利益、社会公共利益的情形</w:t>
            </w:r>
          </w:p>
          <w:p w14:paraId="46BD725C">
            <w:pPr>
              <w:pStyle w:val="247"/>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政府采购合同继续履行将损害国家利益和社会公共利益的，双方当事人</w:t>
            </w:r>
            <w:r>
              <w:rPr>
                <w:rFonts w:hint="eastAsia" w:ascii="仿宋" w:hAnsi="仿宋" w:eastAsia="仿宋" w:cs="仿宋"/>
                <w:color w:val="auto"/>
                <w:sz w:val="24"/>
                <w:szCs w:val="24"/>
                <w:highlight w:val="none"/>
                <w:lang w:val="en-US" w:eastAsia="zh-CN"/>
              </w:rPr>
              <w:t>应当变更、</w:t>
            </w:r>
            <w:r>
              <w:rPr>
                <w:rFonts w:hint="eastAsia" w:ascii="仿宋" w:hAnsi="仿宋" w:eastAsia="仿宋" w:cs="仿宋"/>
                <w:color w:val="auto"/>
                <w:sz w:val="24"/>
                <w:szCs w:val="24"/>
                <w:highlight w:val="none"/>
              </w:rPr>
              <w:t>中止</w:t>
            </w:r>
            <w:r>
              <w:rPr>
                <w:rFonts w:hint="eastAsia" w:ascii="仿宋" w:hAnsi="仿宋" w:eastAsia="仿宋" w:cs="仿宋"/>
                <w:color w:val="auto"/>
                <w:sz w:val="24"/>
                <w:szCs w:val="24"/>
                <w:highlight w:val="none"/>
                <w:lang w:eastAsia="zh-CN"/>
              </w:rPr>
              <w:t>或者终止</w:t>
            </w:r>
            <w:r>
              <w:rPr>
                <w:rFonts w:hint="eastAsia" w:ascii="仿宋" w:hAnsi="仿宋" w:eastAsia="仿宋" w:cs="仿宋"/>
                <w:color w:val="auto"/>
                <w:sz w:val="24"/>
                <w:szCs w:val="24"/>
                <w:highlight w:val="none"/>
              </w:rPr>
              <w:t>合同。有过错的一方应当承担赔偿责任，双方都有过错的，各自承担相应的责任。</w:t>
            </w:r>
          </w:p>
          <w:p w14:paraId="165DC002">
            <w:pPr>
              <w:autoSpaceDE w:val="0"/>
              <w:autoSpaceDN w:val="0"/>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val="en-US" w:eastAsia="zh-CN"/>
              </w:rPr>
              <w:t>7</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合同分包</w:t>
            </w:r>
          </w:p>
          <w:p w14:paraId="31CDFEAC">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.1 乙方不得</w:t>
            </w:r>
            <w:r>
              <w:rPr>
                <w:rFonts w:hint="eastAsia" w:ascii="仿宋" w:hAnsi="仿宋" w:eastAsia="仿宋" w:cs="仿宋"/>
                <w:color w:val="auto"/>
                <w:sz w:val="24"/>
                <w:szCs w:val="24"/>
                <w:highlight w:val="none"/>
                <w:lang w:eastAsia="zh-CN"/>
              </w:rPr>
              <w:t>将合同转包给其他投标人。涉及合同分包的，乙方</w:t>
            </w:r>
            <w:r>
              <w:rPr>
                <w:rFonts w:hint="eastAsia" w:ascii="仿宋" w:hAnsi="仿宋" w:eastAsia="仿宋" w:cs="仿宋"/>
                <w:color w:val="auto"/>
                <w:sz w:val="24"/>
                <w:szCs w:val="24"/>
                <w:highlight w:val="none"/>
                <w:lang w:val="en-US" w:eastAsia="zh-CN"/>
              </w:rPr>
              <w:t>应</w:t>
            </w:r>
            <w:r>
              <w:rPr>
                <w:rFonts w:hint="eastAsia" w:ascii="仿宋" w:hAnsi="仿宋" w:eastAsia="仿宋" w:cs="仿宋"/>
                <w:color w:val="auto"/>
                <w:sz w:val="24"/>
                <w:szCs w:val="24"/>
                <w:highlight w:val="none"/>
                <w:lang w:eastAsia="zh-CN"/>
              </w:rPr>
              <w:t>根据</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lang w:eastAsia="zh-CN"/>
              </w:rPr>
              <w:t>文件和投标（响应）文件规定进行</w:t>
            </w:r>
            <w:r>
              <w:rPr>
                <w:rFonts w:hint="eastAsia" w:ascii="仿宋" w:hAnsi="仿宋" w:eastAsia="仿宋" w:cs="仿宋"/>
                <w:color w:val="auto"/>
                <w:sz w:val="24"/>
                <w:szCs w:val="24"/>
                <w:highlight w:val="none"/>
              </w:rPr>
              <w:t>合同分包。</w:t>
            </w:r>
          </w:p>
          <w:p w14:paraId="59CED51B">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.2 乙方执行政府采购政策向中小企业依法分包的</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乙方应当按</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lang w:eastAsia="zh-CN"/>
              </w:rPr>
              <w:t>文件和</w:t>
            </w:r>
            <w:r>
              <w:rPr>
                <w:rFonts w:hint="eastAsia" w:ascii="仿宋" w:hAnsi="仿宋" w:eastAsia="仿宋" w:cs="仿宋"/>
                <w:color w:val="auto"/>
                <w:sz w:val="24"/>
                <w:szCs w:val="24"/>
                <w:highlight w:val="none"/>
              </w:rPr>
              <w:t>投标（响应）文件签订分包</w:t>
            </w:r>
            <w:r>
              <w:rPr>
                <w:rFonts w:hint="eastAsia" w:ascii="仿宋" w:hAnsi="仿宋" w:eastAsia="仿宋" w:cs="仿宋"/>
                <w:color w:val="auto"/>
                <w:sz w:val="24"/>
                <w:szCs w:val="24"/>
                <w:highlight w:val="none"/>
                <w:lang w:eastAsia="zh-CN"/>
              </w:rPr>
              <w:t>意向</w:t>
            </w:r>
            <w:r>
              <w:rPr>
                <w:rFonts w:hint="eastAsia" w:ascii="仿宋" w:hAnsi="仿宋" w:eastAsia="仿宋" w:cs="仿宋"/>
                <w:color w:val="auto"/>
                <w:sz w:val="24"/>
                <w:szCs w:val="24"/>
                <w:highlight w:val="none"/>
              </w:rPr>
              <w:t>协议，分包</w:t>
            </w:r>
            <w:r>
              <w:rPr>
                <w:rFonts w:hint="eastAsia" w:ascii="仿宋" w:hAnsi="仿宋" w:eastAsia="仿宋" w:cs="仿宋"/>
                <w:color w:val="auto"/>
                <w:sz w:val="24"/>
                <w:szCs w:val="24"/>
                <w:highlight w:val="none"/>
                <w:lang w:eastAsia="zh-CN"/>
              </w:rPr>
              <w:t>意向</w:t>
            </w:r>
            <w:r>
              <w:rPr>
                <w:rFonts w:hint="eastAsia" w:ascii="仿宋" w:hAnsi="仿宋" w:eastAsia="仿宋" w:cs="仿宋"/>
                <w:color w:val="auto"/>
                <w:sz w:val="24"/>
                <w:szCs w:val="24"/>
                <w:highlight w:val="none"/>
              </w:rPr>
              <w:t>协议属于本合同组成部分。</w:t>
            </w:r>
          </w:p>
          <w:p w14:paraId="5C70092B">
            <w:pPr>
              <w:autoSpaceDE w:val="0"/>
              <w:autoSpaceDN w:val="0"/>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1</w:t>
            </w:r>
            <w:r>
              <w:rPr>
                <w:rFonts w:hint="eastAsia" w:ascii="仿宋" w:hAnsi="仿宋" w:eastAsia="仿宋" w:cs="仿宋"/>
                <w:b/>
                <w:bCs/>
                <w:color w:val="auto"/>
                <w:sz w:val="24"/>
                <w:szCs w:val="24"/>
                <w:highlight w:val="none"/>
                <w:lang w:val="en-US" w:eastAsia="zh-CN"/>
              </w:rPr>
              <w:t>8</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不可抗力</w:t>
            </w:r>
          </w:p>
          <w:p w14:paraId="7601EB20">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.1 不可抗力是指合同双方不能预见、不能避免且不能克服的客观情况。</w:t>
            </w:r>
          </w:p>
          <w:p w14:paraId="14A4E804">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.2 任何一方对由于不可抗力造成的部分或全部不能履行合同不承担违约责任。但迟延履行后发生不可抗力的，不能免除责任。</w:t>
            </w:r>
          </w:p>
          <w:p w14:paraId="7B91D9E5">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.3 遇有不可抗力的一方，应及时将事件情况以书面形式</w:t>
            </w:r>
            <w:r>
              <w:rPr>
                <w:rFonts w:hint="eastAsia" w:ascii="仿宋" w:hAnsi="仿宋" w:eastAsia="仿宋" w:cs="仿宋"/>
                <w:color w:val="auto"/>
                <w:sz w:val="24"/>
                <w:szCs w:val="24"/>
                <w:highlight w:val="none"/>
                <w:lang w:eastAsia="zh-CN"/>
              </w:rPr>
              <w:t>告</w:t>
            </w:r>
            <w:r>
              <w:rPr>
                <w:rFonts w:hint="eastAsia" w:ascii="仿宋" w:hAnsi="仿宋" w:eastAsia="仿宋" w:cs="仿宋"/>
                <w:color w:val="auto"/>
                <w:sz w:val="24"/>
                <w:szCs w:val="24"/>
                <w:highlight w:val="none"/>
              </w:rPr>
              <w:t>知另一方，并在事件发生后及时向另一方提交合同不能履行或部分不能履行或需要延期履行</w:t>
            </w:r>
            <w:r>
              <w:rPr>
                <w:rFonts w:hint="eastAsia" w:ascii="仿宋" w:hAnsi="仿宋" w:eastAsia="仿宋" w:cs="仿宋"/>
                <w:color w:val="auto"/>
                <w:sz w:val="24"/>
                <w:szCs w:val="24"/>
                <w:highlight w:val="none"/>
                <w:lang w:eastAsia="zh-CN"/>
              </w:rPr>
              <w:t>的详细</w:t>
            </w:r>
            <w:r>
              <w:rPr>
                <w:rFonts w:hint="eastAsia" w:ascii="仿宋" w:hAnsi="仿宋" w:eastAsia="仿宋" w:cs="仿宋"/>
                <w:color w:val="auto"/>
                <w:sz w:val="24"/>
                <w:szCs w:val="24"/>
                <w:highlight w:val="none"/>
              </w:rPr>
              <w:t>报告</w:t>
            </w:r>
            <w:r>
              <w:rPr>
                <w:rFonts w:hint="eastAsia" w:ascii="仿宋" w:hAnsi="仿宋" w:eastAsia="仿宋" w:cs="仿宋"/>
                <w:color w:val="auto"/>
                <w:sz w:val="24"/>
                <w:szCs w:val="24"/>
                <w:highlight w:val="none"/>
                <w:lang w:eastAsia="zh-CN"/>
              </w:rPr>
              <w:t>，以</w:t>
            </w:r>
            <w:r>
              <w:rPr>
                <w:rFonts w:hint="eastAsia" w:ascii="仿宋" w:hAnsi="仿宋" w:eastAsia="仿宋" w:cs="仿宋"/>
                <w:color w:val="auto"/>
                <w:sz w:val="24"/>
                <w:szCs w:val="24"/>
                <w:highlight w:val="none"/>
                <w:lang w:val="en-US" w:eastAsia="zh-CN"/>
              </w:rPr>
              <w:t>及证明不可抗力发生及其持续时间的证据</w:t>
            </w:r>
            <w:r>
              <w:rPr>
                <w:rFonts w:hint="eastAsia" w:ascii="仿宋" w:hAnsi="仿宋" w:eastAsia="仿宋" w:cs="仿宋"/>
                <w:color w:val="auto"/>
                <w:sz w:val="24"/>
                <w:szCs w:val="24"/>
                <w:highlight w:val="none"/>
              </w:rPr>
              <w:t>。</w:t>
            </w:r>
          </w:p>
          <w:p w14:paraId="4C062CF3">
            <w:pPr>
              <w:autoSpaceDE w:val="0"/>
              <w:autoSpaceDN w:val="0"/>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19</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解决争议的方法</w:t>
            </w:r>
          </w:p>
          <w:p w14:paraId="3D2BBA8F">
            <w:pPr>
              <w:pStyle w:val="247"/>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19</w:t>
            </w:r>
            <w:r>
              <w:rPr>
                <w:rFonts w:hint="eastAsia" w:ascii="仿宋" w:hAnsi="仿宋" w:eastAsia="仿宋" w:cs="仿宋"/>
                <w:color w:val="auto"/>
                <w:sz w:val="24"/>
                <w:szCs w:val="24"/>
                <w:highlight w:val="none"/>
              </w:rPr>
              <w:t>.1 因本合同及合同有关事项发生的争议，由</w:t>
            </w:r>
            <w:r>
              <w:rPr>
                <w:rFonts w:hint="eastAsia" w:ascii="仿宋" w:hAnsi="仿宋" w:eastAsia="仿宋" w:cs="仿宋"/>
                <w:color w:val="auto"/>
                <w:sz w:val="24"/>
                <w:szCs w:val="24"/>
                <w:highlight w:val="none"/>
                <w:lang w:eastAsia="zh-CN"/>
              </w:rPr>
              <w:t>甲乙双</w:t>
            </w:r>
            <w:r>
              <w:rPr>
                <w:rFonts w:hint="eastAsia" w:ascii="仿宋" w:hAnsi="仿宋" w:eastAsia="仿宋" w:cs="仿宋"/>
                <w:color w:val="auto"/>
                <w:sz w:val="24"/>
                <w:szCs w:val="24"/>
                <w:highlight w:val="none"/>
              </w:rPr>
              <w:t>方友好协商解决。协商不成时，可以</w:t>
            </w:r>
            <w:r>
              <w:rPr>
                <w:rFonts w:hint="eastAsia" w:ascii="仿宋" w:hAnsi="仿宋" w:eastAsia="仿宋" w:cs="仿宋"/>
                <w:color w:val="auto"/>
                <w:sz w:val="24"/>
                <w:szCs w:val="24"/>
                <w:highlight w:val="none"/>
                <w:lang w:eastAsia="zh-CN"/>
              </w:rPr>
              <w:t>向有关组织申请</w:t>
            </w:r>
            <w:r>
              <w:rPr>
                <w:rFonts w:hint="eastAsia" w:ascii="仿宋" w:hAnsi="仿宋" w:eastAsia="仿宋" w:cs="仿宋"/>
                <w:color w:val="auto"/>
                <w:sz w:val="24"/>
                <w:szCs w:val="24"/>
                <w:highlight w:val="none"/>
              </w:rPr>
              <w:t>调解。合同一方或</w:t>
            </w:r>
            <w:r>
              <w:rPr>
                <w:rFonts w:hint="eastAsia" w:ascii="仿宋" w:hAnsi="仿宋" w:eastAsia="仿宋" w:cs="仿宋"/>
                <w:color w:val="auto"/>
                <w:sz w:val="24"/>
                <w:szCs w:val="24"/>
                <w:highlight w:val="none"/>
                <w:lang w:eastAsia="zh-CN"/>
              </w:rPr>
              <w:t>双</w:t>
            </w:r>
            <w:r>
              <w:rPr>
                <w:rFonts w:hint="eastAsia" w:ascii="仿宋" w:hAnsi="仿宋" w:eastAsia="仿宋" w:cs="仿宋"/>
                <w:color w:val="auto"/>
                <w:sz w:val="24"/>
                <w:szCs w:val="24"/>
                <w:highlight w:val="none"/>
              </w:rPr>
              <w:t>方不愿调解或调解不成的，可以通过仲裁或诉讼的方式解决争议。</w:t>
            </w:r>
          </w:p>
          <w:p w14:paraId="55984EF7">
            <w:pPr>
              <w:pStyle w:val="247"/>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19</w:t>
            </w:r>
            <w:r>
              <w:rPr>
                <w:rFonts w:hint="eastAsia" w:ascii="仿宋" w:hAnsi="仿宋" w:eastAsia="仿宋" w:cs="仿宋"/>
                <w:color w:val="auto"/>
                <w:sz w:val="24"/>
                <w:szCs w:val="24"/>
                <w:highlight w:val="none"/>
              </w:rPr>
              <w:t>.2 选择仲裁的，应在</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中明确仲裁机构及仲裁地；通过诉讼方式解决的，可以在</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中进一步约定选择与争议有实际联系的地点的人民法院管辖，但管辖法院的约定不得违反级别管辖和专属管辖的规定。</w:t>
            </w:r>
          </w:p>
          <w:p w14:paraId="4B6B6B4C">
            <w:pPr>
              <w:pStyle w:val="247"/>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19</w:t>
            </w:r>
            <w:r>
              <w:rPr>
                <w:rFonts w:hint="eastAsia" w:ascii="仿宋" w:hAnsi="仿宋" w:eastAsia="仿宋" w:cs="仿宋"/>
                <w:color w:val="auto"/>
                <w:sz w:val="24"/>
                <w:szCs w:val="24"/>
                <w:highlight w:val="none"/>
              </w:rPr>
              <w:t>.3 如</w:t>
            </w:r>
            <w:r>
              <w:rPr>
                <w:rFonts w:hint="eastAsia" w:ascii="仿宋" w:hAnsi="仿宋" w:eastAsia="仿宋" w:cs="仿宋"/>
                <w:color w:val="auto"/>
                <w:sz w:val="24"/>
                <w:szCs w:val="24"/>
                <w:highlight w:val="none"/>
                <w:lang w:eastAsia="zh-CN"/>
              </w:rPr>
              <w:t>甲乙双方</w:t>
            </w:r>
            <w:r>
              <w:rPr>
                <w:rFonts w:hint="eastAsia" w:ascii="仿宋" w:hAnsi="仿宋" w:eastAsia="仿宋" w:cs="仿宋"/>
                <w:color w:val="auto"/>
                <w:sz w:val="24"/>
                <w:szCs w:val="24"/>
                <w:highlight w:val="none"/>
              </w:rPr>
              <w:t>有争议的事项不影响合同其他部分的履行，在争议解决期间，合同其他部分应</w:t>
            </w:r>
            <w:r>
              <w:rPr>
                <w:rFonts w:hint="eastAsia" w:ascii="仿宋" w:hAnsi="仿宋" w:eastAsia="仿宋" w:cs="仿宋"/>
                <w:color w:val="auto"/>
                <w:sz w:val="24"/>
                <w:szCs w:val="24"/>
                <w:highlight w:val="none"/>
                <w:lang w:eastAsia="zh-CN"/>
              </w:rPr>
              <w:t>当</w:t>
            </w:r>
            <w:r>
              <w:rPr>
                <w:rFonts w:hint="eastAsia" w:ascii="仿宋" w:hAnsi="仿宋" w:eastAsia="仿宋" w:cs="仿宋"/>
                <w:color w:val="auto"/>
                <w:sz w:val="24"/>
                <w:szCs w:val="24"/>
                <w:highlight w:val="none"/>
              </w:rPr>
              <w:t>继续履行。</w:t>
            </w:r>
          </w:p>
          <w:p w14:paraId="19035086">
            <w:pPr>
              <w:autoSpaceDE w:val="0"/>
              <w:autoSpaceDN w:val="0"/>
              <w:adjustRightInd w:val="0"/>
              <w:snapToGrid w:val="0"/>
              <w:spacing w:before="0" w:line="400" w:lineRule="exact"/>
              <w:jc w:val="left"/>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lang w:val="en-US" w:eastAsia="zh-CN"/>
              </w:rPr>
              <w:t>20</w:t>
            </w: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val="en-US" w:eastAsia="zh-CN"/>
              </w:rPr>
              <w:t xml:space="preserve"> </w:t>
            </w:r>
            <w:r>
              <w:rPr>
                <w:rFonts w:hint="eastAsia" w:ascii="仿宋" w:hAnsi="仿宋" w:eastAsia="仿宋" w:cs="仿宋"/>
                <w:b/>
                <w:color w:val="auto"/>
                <w:sz w:val="24"/>
                <w:szCs w:val="24"/>
                <w:highlight w:val="none"/>
              </w:rPr>
              <w:t>政府采购政策</w:t>
            </w:r>
          </w:p>
          <w:p w14:paraId="7E00A971">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20.1 </w:t>
            </w:r>
            <w:r>
              <w:rPr>
                <w:rFonts w:hint="eastAsia" w:ascii="仿宋" w:hAnsi="仿宋" w:eastAsia="仿宋" w:cs="仿宋"/>
                <w:color w:val="auto"/>
                <w:sz w:val="24"/>
                <w:szCs w:val="24"/>
                <w:highlight w:val="none"/>
                <w:lang w:val="en-GB"/>
              </w:rPr>
              <w:t>本合同应当按照规定执行政府采购政策。</w:t>
            </w:r>
          </w:p>
          <w:p w14:paraId="03A77C02">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 xml:space="preserve"> 本合同依法执行政府采购政策的方式和内容，属于合同履约验收的范围。</w:t>
            </w:r>
            <w:r>
              <w:rPr>
                <w:rFonts w:hint="eastAsia" w:ascii="仿宋" w:hAnsi="仿宋" w:eastAsia="仿宋" w:cs="仿宋"/>
                <w:color w:val="auto"/>
                <w:sz w:val="24"/>
                <w:szCs w:val="24"/>
                <w:highlight w:val="none"/>
                <w:lang w:eastAsia="zh-CN"/>
              </w:rPr>
              <w:t>甲乙双方</w:t>
            </w:r>
            <w:r>
              <w:rPr>
                <w:rFonts w:hint="eastAsia" w:ascii="仿宋" w:hAnsi="仿宋" w:eastAsia="仿宋" w:cs="仿宋"/>
                <w:color w:val="auto"/>
                <w:sz w:val="24"/>
                <w:szCs w:val="24"/>
                <w:highlight w:val="none"/>
                <w:lang w:val="en-GB"/>
              </w:rPr>
              <w:t>未按规定要求执行政府采购政策造成损失的</w:t>
            </w:r>
            <w:r>
              <w:rPr>
                <w:rFonts w:hint="eastAsia" w:ascii="仿宋" w:hAnsi="仿宋" w:eastAsia="仿宋" w:cs="仿宋"/>
                <w:color w:val="auto"/>
                <w:sz w:val="24"/>
                <w:szCs w:val="24"/>
                <w:highlight w:val="none"/>
              </w:rPr>
              <w:t>，有过错的一方应当承担赔偿责任，双方都有过错的，各自承担相应的责任。</w:t>
            </w:r>
          </w:p>
          <w:p w14:paraId="7C65F420">
            <w:pPr>
              <w:pStyle w:val="18"/>
              <w:spacing w:after="0"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 xml:space="preserve"> 对于</w:t>
            </w:r>
            <w:r>
              <w:rPr>
                <w:rFonts w:hint="eastAsia" w:ascii="仿宋" w:hAnsi="仿宋" w:eastAsia="仿宋" w:cs="仿宋"/>
                <w:color w:val="auto"/>
                <w:sz w:val="24"/>
                <w:szCs w:val="24"/>
                <w:highlight w:val="none"/>
                <w:lang w:eastAsia="zh-CN"/>
              </w:rPr>
              <w:t>为落实中小企业支持政策，</w:t>
            </w:r>
            <w:r>
              <w:rPr>
                <w:rFonts w:hint="eastAsia" w:ascii="仿宋" w:hAnsi="仿宋" w:eastAsia="仿宋" w:cs="仿宋"/>
                <w:color w:val="auto"/>
                <w:sz w:val="24"/>
                <w:szCs w:val="24"/>
                <w:highlight w:val="none"/>
              </w:rPr>
              <w:t>通过采购项目</w:t>
            </w:r>
            <w:r>
              <w:rPr>
                <w:rFonts w:hint="eastAsia" w:ascii="仿宋" w:hAnsi="仿宋" w:eastAsia="仿宋" w:cs="仿宋"/>
                <w:color w:val="auto"/>
                <w:sz w:val="24"/>
                <w:szCs w:val="24"/>
                <w:highlight w:val="none"/>
                <w:lang w:eastAsia="zh-CN"/>
              </w:rPr>
              <w:t>整体</w:t>
            </w:r>
            <w:r>
              <w:rPr>
                <w:rFonts w:hint="eastAsia" w:ascii="仿宋" w:hAnsi="仿宋" w:eastAsia="仿宋" w:cs="仿宋"/>
                <w:color w:val="auto"/>
                <w:sz w:val="24"/>
                <w:szCs w:val="24"/>
                <w:highlight w:val="none"/>
              </w:rPr>
              <w:t>预留、</w:t>
            </w:r>
            <w:r>
              <w:rPr>
                <w:rFonts w:hint="eastAsia" w:ascii="仿宋" w:hAnsi="仿宋" w:eastAsia="仿宋" w:cs="仿宋"/>
                <w:color w:val="auto"/>
                <w:sz w:val="24"/>
                <w:szCs w:val="24"/>
                <w:highlight w:val="none"/>
                <w:lang w:eastAsia="zh-CN"/>
              </w:rPr>
              <w:t>设置</w:t>
            </w:r>
            <w:r>
              <w:rPr>
                <w:rFonts w:hint="eastAsia" w:ascii="仿宋" w:hAnsi="仿宋" w:eastAsia="仿宋" w:cs="仿宋"/>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13FC0665">
            <w:pPr>
              <w:autoSpaceDE w:val="0"/>
              <w:autoSpaceDN w:val="0"/>
              <w:adjustRightInd w:val="0"/>
              <w:snapToGrid w:val="0"/>
              <w:spacing w:before="0" w:line="400" w:lineRule="exact"/>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w:t>
            </w:r>
            <w:r>
              <w:rPr>
                <w:rFonts w:hint="eastAsia" w:ascii="仿宋" w:hAnsi="仿宋" w:eastAsia="仿宋" w:cs="仿宋"/>
                <w:b/>
                <w:color w:val="auto"/>
                <w:sz w:val="24"/>
                <w:szCs w:val="24"/>
                <w:highlight w:val="none"/>
                <w:lang w:val="en-US" w:eastAsia="zh-CN"/>
              </w:rPr>
              <w:t>1</w:t>
            </w: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val="en-US" w:eastAsia="zh-CN"/>
              </w:rPr>
              <w:t xml:space="preserve"> </w:t>
            </w:r>
            <w:r>
              <w:rPr>
                <w:rFonts w:hint="eastAsia" w:ascii="仿宋" w:hAnsi="仿宋" w:eastAsia="仿宋" w:cs="仿宋"/>
                <w:b/>
                <w:color w:val="auto"/>
                <w:sz w:val="24"/>
                <w:szCs w:val="24"/>
                <w:highlight w:val="none"/>
              </w:rPr>
              <w:t>法律适用</w:t>
            </w:r>
          </w:p>
          <w:p w14:paraId="233D59B3">
            <w:pPr>
              <w:pStyle w:val="247"/>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.1 本合同的订立、生效、解释、履行及与本合同有关的争议解决，均适用法律、行政法规。</w:t>
            </w:r>
          </w:p>
          <w:p w14:paraId="7801A792">
            <w:pPr>
              <w:pStyle w:val="247"/>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.2 本合同条款与法律、行政法规的强制性规定不一致的，双方当事人应按照法律、行政法规的强制性规定修改本合同的相关条款。</w:t>
            </w:r>
          </w:p>
          <w:p w14:paraId="1BACAFCF">
            <w:pPr>
              <w:numPr>
                <w:ilvl w:val="0"/>
                <w:numId w:val="0"/>
              </w:numPr>
              <w:autoSpaceDE w:val="0"/>
              <w:autoSpaceDN w:val="0"/>
              <w:adjustRightInd w:val="0"/>
              <w:snapToGrid w:val="0"/>
              <w:spacing w:before="0" w:line="400" w:lineRule="exact"/>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 xml:space="preserve">22. </w:t>
            </w:r>
            <w:r>
              <w:rPr>
                <w:rFonts w:hint="eastAsia" w:ascii="仿宋" w:hAnsi="仿宋" w:eastAsia="仿宋" w:cs="仿宋"/>
                <w:b/>
                <w:color w:val="auto"/>
                <w:sz w:val="24"/>
                <w:szCs w:val="24"/>
                <w:highlight w:val="none"/>
              </w:rPr>
              <w:t>通知</w:t>
            </w:r>
          </w:p>
          <w:p w14:paraId="68B73585">
            <w:pPr>
              <w:pStyle w:val="247"/>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本合同任何一方向对方发出的通知、信件、数据电文等，应当发送至本合同第一部分《政府采购合同协议书》所约定的通讯地址、联系人、联系电话或电子邮箱。</w:t>
            </w:r>
          </w:p>
          <w:p w14:paraId="2355E133">
            <w:pPr>
              <w:pStyle w:val="247"/>
              <w:ind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一方当事人变更名称、</w:t>
            </w:r>
            <w:r>
              <w:rPr>
                <w:rFonts w:hint="eastAsia" w:ascii="仿宋" w:hAnsi="仿宋" w:eastAsia="仿宋" w:cs="仿宋"/>
                <w:color w:val="auto"/>
                <w:sz w:val="24"/>
                <w:szCs w:val="24"/>
                <w:highlight w:val="none"/>
                <w:lang w:eastAsia="zh-CN"/>
              </w:rPr>
              <w:t>住所</w:t>
            </w:r>
            <w:r>
              <w:rPr>
                <w:rFonts w:hint="eastAsia" w:ascii="仿宋" w:hAnsi="仿宋" w:eastAsia="仿宋" w:cs="仿宋"/>
                <w:color w:val="auto"/>
                <w:sz w:val="24"/>
                <w:szCs w:val="24"/>
                <w:highlight w:val="none"/>
              </w:rPr>
              <w:t>、联系人、联系电话或电子邮箱</w:t>
            </w:r>
            <w:r>
              <w:rPr>
                <w:rFonts w:hint="eastAsia" w:ascii="仿宋" w:hAnsi="仿宋" w:eastAsia="仿宋" w:cs="仿宋"/>
                <w:color w:val="auto"/>
                <w:sz w:val="24"/>
                <w:szCs w:val="24"/>
                <w:highlight w:val="none"/>
                <w:lang w:eastAsia="zh-CN"/>
              </w:rPr>
              <w:t>等信息</w:t>
            </w:r>
            <w:r>
              <w:rPr>
                <w:rFonts w:hint="eastAsia" w:ascii="仿宋" w:hAnsi="仿宋" w:eastAsia="仿宋" w:cs="仿宋"/>
                <w:color w:val="auto"/>
                <w:sz w:val="24"/>
                <w:szCs w:val="24"/>
                <w:highlight w:val="none"/>
              </w:rPr>
              <w:t>的，应当在变更后3日内及时书面通知对方，对方实际收到变更通知前的送达仍为有效送达。</w:t>
            </w:r>
          </w:p>
          <w:p w14:paraId="7F166503">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本合同一方给另一方的通知均应采用书面形式，传真或快递送到本合同中规定的对方的地址和办理签收手续。</w:t>
            </w:r>
          </w:p>
          <w:p w14:paraId="1FAFDDA7">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通知以送达之日或通知书中规定的生效之日起生效，两者中以较迟之日为准。</w:t>
            </w:r>
          </w:p>
          <w:p w14:paraId="1586EF1B">
            <w:pPr>
              <w:numPr>
                <w:ilvl w:val="0"/>
                <w:numId w:val="5"/>
              </w:numPr>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合同未尽事项</w:t>
            </w:r>
          </w:p>
          <w:p w14:paraId="0C448AA8">
            <w:pPr>
              <w:adjustRightInd w:val="0"/>
              <w:snapToGrid w:val="0"/>
              <w:spacing w:before="0" w:line="400" w:lineRule="exact"/>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.1合同未尽事项见</w:t>
            </w:r>
            <w:r>
              <w:rPr>
                <w:rFonts w:hint="eastAsia" w:ascii="仿宋" w:hAnsi="仿宋" w:eastAsia="仿宋" w:cs="仿宋"/>
                <w:b/>
                <w:color w:val="auto"/>
                <w:sz w:val="24"/>
                <w:szCs w:val="24"/>
                <w:highlight w:val="none"/>
              </w:rPr>
              <w:t>【政府采购合同专用条款】</w:t>
            </w:r>
            <w:r>
              <w:rPr>
                <w:rFonts w:hint="eastAsia" w:ascii="仿宋" w:hAnsi="仿宋" w:eastAsia="仿宋" w:cs="仿宋"/>
                <w:bCs/>
                <w:color w:val="auto"/>
                <w:sz w:val="24"/>
                <w:szCs w:val="24"/>
                <w:highlight w:val="none"/>
              </w:rPr>
              <w:t>。</w:t>
            </w:r>
          </w:p>
          <w:p w14:paraId="10D3577F">
            <w:pPr>
              <w:adjustRightInd w:val="0"/>
              <w:snapToGrid w:val="0"/>
              <w:spacing w:line="400" w:lineRule="exact"/>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lang w:val="en-US" w:eastAsia="zh-CN"/>
              </w:rPr>
              <w:t xml:space="preserve">    23.2 合同附件与合同正文具有同等的法律效力。</w:t>
            </w:r>
            <w:bookmarkStart w:id="428" w:name="_Toc20313"/>
          </w:p>
          <w:p w14:paraId="62312278">
            <w:pPr>
              <w:adjustRightInd w:val="0"/>
              <w:snapToGrid w:val="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br w:type="page"/>
            </w:r>
          </w:p>
          <w:p w14:paraId="71075D8C">
            <w:pPr>
              <w:pStyle w:val="5"/>
              <w:adjustRightInd w:val="0"/>
              <w:snapToGrid w:val="0"/>
              <w:jc w:val="center"/>
              <w:rPr>
                <w:rFonts w:hint="eastAsia" w:ascii="仿宋" w:hAnsi="仿宋" w:eastAsia="仿宋" w:cs="仿宋"/>
                <w:b w:val="0"/>
                <w:bCs w:val="0"/>
                <w:color w:val="auto"/>
                <w:sz w:val="24"/>
                <w:szCs w:val="24"/>
                <w:highlight w:val="none"/>
              </w:rPr>
            </w:pPr>
            <w:bookmarkStart w:id="429" w:name="_Toc7548"/>
            <w:bookmarkStart w:id="430" w:name="_Toc1916"/>
            <w:bookmarkStart w:id="431" w:name="_Toc16443"/>
            <w:bookmarkStart w:id="432" w:name="_Toc28039"/>
            <w:bookmarkStart w:id="433" w:name="_Toc25068"/>
            <w:bookmarkStart w:id="434" w:name="_Toc21861"/>
            <w:bookmarkStart w:id="435" w:name="_Toc13019"/>
            <w:bookmarkStart w:id="436" w:name="_Toc28007"/>
            <w:r>
              <w:rPr>
                <w:rFonts w:hint="eastAsia" w:ascii="仿宋" w:hAnsi="仿宋" w:eastAsia="仿宋" w:cs="仿宋"/>
                <w:b w:val="0"/>
                <w:bCs w:val="0"/>
                <w:color w:val="auto"/>
                <w:sz w:val="24"/>
                <w:szCs w:val="24"/>
                <w:highlight w:val="none"/>
              </w:rPr>
              <w:t>第三节 政府采购合同专用条款</w:t>
            </w:r>
            <w:bookmarkEnd w:id="428"/>
            <w:bookmarkEnd w:id="429"/>
            <w:bookmarkEnd w:id="430"/>
            <w:bookmarkEnd w:id="431"/>
            <w:bookmarkEnd w:id="432"/>
            <w:bookmarkEnd w:id="433"/>
            <w:bookmarkEnd w:id="434"/>
            <w:bookmarkEnd w:id="435"/>
            <w:bookmarkEnd w:id="436"/>
          </w:p>
          <w:tbl>
            <w:tblPr>
              <w:tblStyle w:val="41"/>
              <w:tblW w:w="9478"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87"/>
              <w:gridCol w:w="3718"/>
              <w:gridCol w:w="3973"/>
            </w:tblGrid>
            <w:tr w14:paraId="2A4EEF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39" w:hRule="atLeast"/>
              </w:trPr>
              <w:tc>
                <w:tcPr>
                  <w:tcW w:w="1787" w:type="dxa"/>
                  <w:noWrap w:val="0"/>
                  <w:vAlign w:val="center"/>
                </w:tcPr>
                <w:p w14:paraId="4F570D01">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748E84C8">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第1.2（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）项</w:t>
                  </w:r>
                </w:p>
              </w:tc>
              <w:tc>
                <w:tcPr>
                  <w:tcW w:w="3718" w:type="dxa"/>
                  <w:noWrap w:val="0"/>
                  <w:vAlign w:val="center"/>
                </w:tcPr>
                <w:p w14:paraId="3F071E98">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联合体具体要求</w:t>
                  </w:r>
                </w:p>
              </w:tc>
              <w:tc>
                <w:tcPr>
                  <w:tcW w:w="3973" w:type="dxa"/>
                  <w:noWrap w:val="0"/>
                  <w:vAlign w:val="center"/>
                </w:tcPr>
                <w:p w14:paraId="52764020">
                  <w:pPr>
                    <w:adjustRightInd w:val="0"/>
                    <w:snapToGrid w:val="0"/>
                    <w:jc w:val="left"/>
                    <w:rPr>
                      <w:rFonts w:hint="eastAsia" w:ascii="仿宋" w:hAnsi="仿宋" w:eastAsia="仿宋" w:cs="仿宋"/>
                      <w:color w:val="auto"/>
                      <w:sz w:val="24"/>
                      <w:szCs w:val="24"/>
                      <w:highlight w:val="none"/>
                    </w:rPr>
                  </w:pPr>
                </w:p>
              </w:tc>
            </w:tr>
            <w:tr w14:paraId="6F84F0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5" w:hRule="atLeast"/>
              </w:trPr>
              <w:tc>
                <w:tcPr>
                  <w:tcW w:w="1787" w:type="dxa"/>
                  <w:noWrap w:val="0"/>
                  <w:vAlign w:val="center"/>
                </w:tcPr>
                <w:p w14:paraId="047DB637">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3418816C">
                  <w:pPr>
                    <w:adjustRightInd w:val="0"/>
                    <w:snapToGrid w:val="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第1.2（</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）项</w:t>
                  </w:r>
                </w:p>
              </w:tc>
              <w:tc>
                <w:tcPr>
                  <w:tcW w:w="3718" w:type="dxa"/>
                  <w:noWrap w:val="0"/>
                  <w:vAlign w:val="center"/>
                </w:tcPr>
                <w:p w14:paraId="27C1EA3C">
                  <w:pPr>
                    <w:adjustRightInd w:val="0"/>
                    <w:snapToGrid w:val="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其他术语解释</w:t>
                  </w:r>
                </w:p>
              </w:tc>
              <w:tc>
                <w:tcPr>
                  <w:tcW w:w="3973" w:type="dxa"/>
                  <w:noWrap w:val="0"/>
                  <w:vAlign w:val="center"/>
                </w:tcPr>
                <w:p w14:paraId="21F15BFC">
                  <w:pPr>
                    <w:adjustRightInd w:val="0"/>
                    <w:snapToGrid w:val="0"/>
                    <w:jc w:val="left"/>
                    <w:rPr>
                      <w:rFonts w:hint="eastAsia" w:ascii="仿宋" w:hAnsi="仿宋" w:eastAsia="仿宋" w:cs="仿宋"/>
                      <w:color w:val="auto"/>
                      <w:kern w:val="2"/>
                      <w:sz w:val="24"/>
                      <w:szCs w:val="24"/>
                      <w:highlight w:val="none"/>
                      <w:lang w:val="en-US" w:eastAsia="zh-CN" w:bidi="ar-SA"/>
                    </w:rPr>
                  </w:pPr>
                </w:p>
              </w:tc>
            </w:tr>
            <w:tr w14:paraId="6B2747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52" w:hRule="atLeast"/>
              </w:trPr>
              <w:tc>
                <w:tcPr>
                  <w:tcW w:w="1787" w:type="dxa"/>
                  <w:noWrap w:val="0"/>
                  <w:vAlign w:val="center"/>
                </w:tcPr>
                <w:p w14:paraId="78EB567B">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2B00D551">
                  <w:pPr>
                    <w:adjustRightInd w:val="0"/>
                    <w:snapToGrid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第</w:t>
                  </w:r>
                  <w:r>
                    <w:rPr>
                      <w:rFonts w:hint="eastAsia" w:ascii="仿宋" w:hAnsi="仿宋" w:eastAsia="仿宋" w:cs="仿宋"/>
                      <w:color w:val="auto"/>
                      <w:sz w:val="24"/>
                      <w:szCs w:val="24"/>
                      <w:highlight w:val="none"/>
                      <w:lang w:val="en-US" w:eastAsia="zh-CN"/>
                    </w:rPr>
                    <w:t>4.4款</w:t>
                  </w:r>
                </w:p>
              </w:tc>
              <w:tc>
                <w:tcPr>
                  <w:tcW w:w="3718" w:type="dxa"/>
                  <w:noWrap w:val="0"/>
                  <w:vAlign w:val="center"/>
                </w:tcPr>
                <w:p w14:paraId="3084595E">
                  <w:pPr>
                    <w:adjustRightInd w:val="0"/>
                    <w:snapToGrid w:val="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履约验收中甲方提出异议或作出说明的期限</w:t>
                  </w:r>
                </w:p>
              </w:tc>
              <w:tc>
                <w:tcPr>
                  <w:tcW w:w="3973" w:type="dxa"/>
                  <w:noWrap w:val="0"/>
                  <w:vAlign w:val="center"/>
                </w:tcPr>
                <w:p w14:paraId="55978B64">
                  <w:pPr>
                    <w:adjustRightInd w:val="0"/>
                    <w:snapToGrid w:val="0"/>
                    <w:jc w:val="left"/>
                    <w:rPr>
                      <w:rFonts w:hint="eastAsia" w:ascii="仿宋" w:hAnsi="仿宋" w:eastAsia="仿宋" w:cs="仿宋"/>
                      <w:color w:val="auto"/>
                      <w:kern w:val="2"/>
                      <w:sz w:val="24"/>
                      <w:szCs w:val="24"/>
                      <w:highlight w:val="none"/>
                      <w:lang w:val="en-US" w:eastAsia="zh-CN" w:bidi="ar-SA"/>
                    </w:rPr>
                  </w:pPr>
                </w:p>
              </w:tc>
            </w:tr>
            <w:tr w14:paraId="652F81F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787" w:type="dxa"/>
                  <w:noWrap w:val="0"/>
                  <w:vAlign w:val="center"/>
                </w:tcPr>
                <w:p w14:paraId="3F297938">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555D238D">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第</w:t>
                  </w:r>
                  <w:r>
                    <w:rPr>
                      <w:rFonts w:hint="eastAsia" w:ascii="仿宋" w:hAnsi="仿宋" w:eastAsia="仿宋" w:cs="仿宋"/>
                      <w:color w:val="auto"/>
                      <w:sz w:val="24"/>
                      <w:szCs w:val="24"/>
                      <w:highlight w:val="none"/>
                      <w:lang w:val="en-US" w:eastAsia="zh-CN"/>
                    </w:rPr>
                    <w:t>4.6款</w:t>
                  </w:r>
                </w:p>
              </w:tc>
              <w:tc>
                <w:tcPr>
                  <w:tcW w:w="3718" w:type="dxa"/>
                  <w:noWrap w:val="0"/>
                  <w:vAlign w:val="center"/>
                </w:tcPr>
                <w:p w14:paraId="057E6467">
                  <w:pPr>
                    <w:adjustRightInd w:val="0"/>
                    <w:snapToGrid w:val="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约定甲方承担的其他义务和责任</w:t>
                  </w:r>
                </w:p>
              </w:tc>
              <w:tc>
                <w:tcPr>
                  <w:tcW w:w="3973" w:type="dxa"/>
                  <w:noWrap w:val="0"/>
                  <w:vAlign w:val="center"/>
                </w:tcPr>
                <w:p w14:paraId="5F66D1A3">
                  <w:pPr>
                    <w:adjustRightInd w:val="0"/>
                    <w:snapToGrid w:val="0"/>
                    <w:jc w:val="left"/>
                    <w:rPr>
                      <w:rFonts w:hint="eastAsia" w:ascii="仿宋" w:hAnsi="仿宋" w:eastAsia="仿宋" w:cs="仿宋"/>
                      <w:color w:val="auto"/>
                      <w:kern w:val="2"/>
                      <w:sz w:val="24"/>
                      <w:szCs w:val="24"/>
                      <w:highlight w:val="none"/>
                      <w:lang w:val="en-US" w:eastAsia="zh-CN" w:bidi="ar-SA"/>
                    </w:rPr>
                  </w:pPr>
                </w:p>
              </w:tc>
            </w:tr>
            <w:tr w14:paraId="342406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11" w:hRule="atLeast"/>
              </w:trPr>
              <w:tc>
                <w:tcPr>
                  <w:tcW w:w="1787" w:type="dxa"/>
                  <w:noWrap w:val="0"/>
                  <w:vAlign w:val="center"/>
                </w:tcPr>
                <w:p w14:paraId="6FB4DB95">
                  <w:pPr>
                    <w:adjustRightInd w:val="0"/>
                    <w:snapToGrid w:val="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第二节</w:t>
                  </w:r>
                </w:p>
                <w:p w14:paraId="6E5D40B5">
                  <w:pPr>
                    <w:snapToGrid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第</w:t>
                  </w:r>
                  <w:r>
                    <w:rPr>
                      <w:rFonts w:hint="eastAsia" w:ascii="仿宋" w:hAnsi="仿宋" w:eastAsia="仿宋" w:cs="仿宋"/>
                      <w:color w:val="auto"/>
                      <w:sz w:val="24"/>
                      <w:szCs w:val="24"/>
                      <w:highlight w:val="none"/>
                      <w:lang w:val="en-US" w:eastAsia="zh-CN"/>
                    </w:rPr>
                    <w:t>5.4款</w:t>
                  </w:r>
                </w:p>
              </w:tc>
              <w:tc>
                <w:tcPr>
                  <w:tcW w:w="3718" w:type="dxa"/>
                  <w:noWrap w:val="0"/>
                  <w:vAlign w:val="center"/>
                </w:tcPr>
                <w:p w14:paraId="6A3AD1CE">
                  <w:pPr>
                    <w:adjustRightInd w:val="0"/>
                    <w:snapToGrid w:val="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约定乙方承担的其他义务和责任</w:t>
                  </w:r>
                </w:p>
              </w:tc>
              <w:tc>
                <w:tcPr>
                  <w:tcW w:w="3973" w:type="dxa"/>
                  <w:noWrap w:val="0"/>
                  <w:vAlign w:val="center"/>
                </w:tcPr>
                <w:p w14:paraId="0E13EFB6">
                  <w:pPr>
                    <w:adjustRightInd w:val="0"/>
                    <w:snapToGrid w:val="0"/>
                    <w:jc w:val="left"/>
                    <w:rPr>
                      <w:rFonts w:hint="eastAsia" w:ascii="仿宋" w:hAnsi="仿宋" w:eastAsia="仿宋" w:cs="仿宋"/>
                      <w:color w:val="auto"/>
                      <w:kern w:val="2"/>
                      <w:sz w:val="24"/>
                      <w:szCs w:val="24"/>
                      <w:highlight w:val="none"/>
                      <w:lang w:val="en-US" w:eastAsia="zh-CN" w:bidi="ar-SA"/>
                    </w:rPr>
                  </w:pPr>
                </w:p>
              </w:tc>
            </w:tr>
            <w:tr w14:paraId="186C4B0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9" w:hRule="atLeast"/>
              </w:trPr>
              <w:tc>
                <w:tcPr>
                  <w:tcW w:w="1787" w:type="dxa"/>
                  <w:noWrap w:val="0"/>
                  <w:vAlign w:val="center"/>
                </w:tcPr>
                <w:p w14:paraId="75BF0515">
                  <w:pPr>
                    <w:adjustRightInd w:val="0"/>
                    <w:snapToGrid w:val="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第二节</w:t>
                  </w:r>
                </w:p>
                <w:p w14:paraId="1F16B359">
                  <w:pPr>
                    <w:snapToGrid w:val="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第</w:t>
                  </w:r>
                  <w:r>
                    <w:rPr>
                      <w:rFonts w:hint="eastAsia" w:ascii="仿宋" w:hAnsi="仿宋" w:eastAsia="仿宋" w:cs="仿宋"/>
                      <w:color w:val="auto"/>
                      <w:sz w:val="24"/>
                      <w:szCs w:val="24"/>
                      <w:highlight w:val="none"/>
                      <w:lang w:val="en-US" w:eastAsia="zh-CN"/>
                    </w:rPr>
                    <w:t>6.1款</w:t>
                  </w:r>
                </w:p>
              </w:tc>
              <w:tc>
                <w:tcPr>
                  <w:tcW w:w="3718" w:type="dxa"/>
                  <w:noWrap w:val="0"/>
                  <w:vAlign w:val="center"/>
                </w:tcPr>
                <w:p w14:paraId="51D1BA35">
                  <w:pPr>
                    <w:adjustRightInd w:val="0"/>
                    <w:snapToGrid w:val="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履行合同义务的顺序</w:t>
                  </w:r>
                </w:p>
              </w:tc>
              <w:tc>
                <w:tcPr>
                  <w:tcW w:w="3973" w:type="dxa"/>
                  <w:noWrap w:val="0"/>
                  <w:vAlign w:val="center"/>
                </w:tcPr>
                <w:p w14:paraId="59E74402">
                  <w:pPr>
                    <w:adjustRightInd w:val="0"/>
                    <w:snapToGrid w:val="0"/>
                    <w:jc w:val="left"/>
                    <w:rPr>
                      <w:rFonts w:hint="eastAsia" w:ascii="仿宋" w:hAnsi="仿宋" w:eastAsia="仿宋" w:cs="仿宋"/>
                      <w:color w:val="auto"/>
                      <w:kern w:val="2"/>
                      <w:sz w:val="24"/>
                      <w:szCs w:val="24"/>
                      <w:highlight w:val="none"/>
                      <w:lang w:val="en-US" w:eastAsia="zh-CN" w:bidi="ar-SA"/>
                    </w:rPr>
                  </w:pPr>
                </w:p>
              </w:tc>
            </w:tr>
            <w:tr w14:paraId="583913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2" w:hRule="atLeast"/>
              </w:trPr>
              <w:tc>
                <w:tcPr>
                  <w:tcW w:w="1787" w:type="dxa"/>
                  <w:vMerge w:val="restart"/>
                  <w:noWrap w:val="0"/>
                  <w:vAlign w:val="center"/>
                </w:tcPr>
                <w:p w14:paraId="60E7CFE8">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73053DEF">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款</w:t>
                  </w:r>
                </w:p>
              </w:tc>
              <w:tc>
                <w:tcPr>
                  <w:tcW w:w="3718" w:type="dxa"/>
                  <w:noWrap w:val="0"/>
                  <w:vAlign w:val="center"/>
                </w:tcPr>
                <w:p w14:paraId="6282A699">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包装</w:t>
                  </w:r>
                  <w:r>
                    <w:rPr>
                      <w:rFonts w:hint="eastAsia" w:ascii="仿宋" w:hAnsi="仿宋" w:eastAsia="仿宋" w:cs="仿宋"/>
                      <w:color w:val="auto"/>
                      <w:sz w:val="24"/>
                      <w:szCs w:val="24"/>
                      <w:highlight w:val="none"/>
                      <w:lang w:eastAsia="zh-CN"/>
                    </w:rPr>
                    <w:t>特殊要求</w:t>
                  </w:r>
                </w:p>
              </w:tc>
              <w:tc>
                <w:tcPr>
                  <w:tcW w:w="3973" w:type="dxa"/>
                  <w:noWrap w:val="0"/>
                  <w:vAlign w:val="center"/>
                </w:tcPr>
                <w:p w14:paraId="7229368F">
                  <w:pPr>
                    <w:rPr>
                      <w:rFonts w:hint="eastAsia" w:ascii="仿宋" w:hAnsi="仿宋" w:eastAsia="仿宋" w:cs="仿宋"/>
                      <w:color w:val="auto"/>
                      <w:sz w:val="24"/>
                      <w:szCs w:val="24"/>
                      <w:highlight w:val="none"/>
                    </w:rPr>
                  </w:pPr>
                </w:p>
              </w:tc>
            </w:tr>
            <w:tr w14:paraId="7622AF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4" w:hRule="atLeast"/>
              </w:trPr>
              <w:tc>
                <w:tcPr>
                  <w:tcW w:w="1787" w:type="dxa"/>
                  <w:vMerge w:val="continue"/>
                  <w:noWrap w:val="0"/>
                  <w:vAlign w:val="center"/>
                </w:tcPr>
                <w:p w14:paraId="773BD909">
                  <w:pPr>
                    <w:adjustRightInd w:val="0"/>
                    <w:snapToGrid w:val="0"/>
                    <w:jc w:val="center"/>
                    <w:rPr>
                      <w:rFonts w:hint="eastAsia" w:ascii="仿宋" w:hAnsi="仿宋" w:eastAsia="仿宋" w:cs="仿宋"/>
                      <w:color w:val="auto"/>
                      <w:sz w:val="24"/>
                      <w:szCs w:val="24"/>
                      <w:highlight w:val="none"/>
                    </w:rPr>
                  </w:pPr>
                </w:p>
              </w:tc>
              <w:tc>
                <w:tcPr>
                  <w:tcW w:w="3718" w:type="dxa"/>
                  <w:noWrap w:val="0"/>
                  <w:vAlign w:val="center"/>
                </w:tcPr>
                <w:p w14:paraId="20FB051B">
                  <w:pPr>
                    <w:adjustRightInd w:val="0"/>
                    <w:snapToGrid w:val="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指定现场</w:t>
                  </w:r>
                </w:p>
              </w:tc>
              <w:tc>
                <w:tcPr>
                  <w:tcW w:w="3973" w:type="dxa"/>
                  <w:noWrap w:val="0"/>
                  <w:vAlign w:val="center"/>
                </w:tcPr>
                <w:p w14:paraId="7AA78A96">
                  <w:pPr>
                    <w:rPr>
                      <w:rFonts w:hint="eastAsia" w:ascii="仿宋" w:hAnsi="仿宋" w:eastAsia="仿宋" w:cs="仿宋"/>
                      <w:color w:val="auto"/>
                      <w:sz w:val="24"/>
                      <w:szCs w:val="24"/>
                      <w:highlight w:val="none"/>
                    </w:rPr>
                  </w:pPr>
                </w:p>
              </w:tc>
            </w:tr>
            <w:tr w14:paraId="66D9F0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787" w:type="dxa"/>
                  <w:noWrap w:val="0"/>
                  <w:vAlign w:val="center"/>
                </w:tcPr>
                <w:p w14:paraId="3FA352CA">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7009EDA6">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款</w:t>
                  </w:r>
                </w:p>
              </w:tc>
              <w:tc>
                <w:tcPr>
                  <w:tcW w:w="3718" w:type="dxa"/>
                  <w:noWrap w:val="0"/>
                  <w:vAlign w:val="center"/>
                </w:tcPr>
                <w:p w14:paraId="205D35F6">
                  <w:pPr>
                    <w:adjustRightInd w:val="0"/>
                    <w:snapToGrid w:val="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运输特殊要求</w:t>
                  </w:r>
                </w:p>
              </w:tc>
              <w:tc>
                <w:tcPr>
                  <w:tcW w:w="3973" w:type="dxa"/>
                  <w:noWrap w:val="0"/>
                  <w:vAlign w:val="center"/>
                </w:tcPr>
                <w:p w14:paraId="33315F15">
                  <w:pPr>
                    <w:rPr>
                      <w:rFonts w:hint="eastAsia" w:ascii="仿宋" w:hAnsi="仿宋" w:eastAsia="仿宋" w:cs="仿宋"/>
                      <w:color w:val="auto"/>
                      <w:sz w:val="24"/>
                      <w:szCs w:val="24"/>
                      <w:highlight w:val="none"/>
                    </w:rPr>
                  </w:pPr>
                </w:p>
              </w:tc>
            </w:tr>
            <w:tr w14:paraId="5F74AB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787" w:type="dxa"/>
                  <w:noWrap w:val="0"/>
                  <w:vAlign w:val="center"/>
                </w:tcPr>
                <w:p w14:paraId="40C90DDF">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2D33F79F">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款</w:t>
                  </w:r>
                </w:p>
              </w:tc>
              <w:tc>
                <w:tcPr>
                  <w:tcW w:w="3718" w:type="dxa"/>
                  <w:noWrap w:val="0"/>
                  <w:vAlign w:val="center"/>
                </w:tcPr>
                <w:p w14:paraId="108AF189">
                  <w:pPr>
                    <w:adjustRightInd w:val="0"/>
                    <w:snapToGrid w:val="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保险要求</w:t>
                  </w:r>
                </w:p>
              </w:tc>
              <w:tc>
                <w:tcPr>
                  <w:tcW w:w="3973" w:type="dxa"/>
                  <w:noWrap w:val="0"/>
                  <w:vAlign w:val="center"/>
                </w:tcPr>
                <w:p w14:paraId="0EAE25A5">
                  <w:pPr>
                    <w:rPr>
                      <w:rFonts w:hint="eastAsia" w:ascii="仿宋" w:hAnsi="仿宋" w:eastAsia="仿宋" w:cs="仿宋"/>
                      <w:color w:val="auto"/>
                      <w:sz w:val="24"/>
                      <w:szCs w:val="24"/>
                      <w:highlight w:val="none"/>
                    </w:rPr>
                  </w:pPr>
                </w:p>
              </w:tc>
            </w:tr>
            <w:tr w14:paraId="50F2A4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787" w:type="dxa"/>
                  <w:noWrap w:val="0"/>
                  <w:vAlign w:val="center"/>
                </w:tcPr>
                <w:p w14:paraId="3517A537">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43B51BF0">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.2（1）项</w:t>
                  </w:r>
                </w:p>
              </w:tc>
              <w:tc>
                <w:tcPr>
                  <w:tcW w:w="3718" w:type="dxa"/>
                  <w:noWrap w:val="0"/>
                  <w:vAlign w:val="center"/>
                </w:tcPr>
                <w:p w14:paraId="587BE8B9">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质量保证期</w:t>
                  </w:r>
                </w:p>
              </w:tc>
              <w:tc>
                <w:tcPr>
                  <w:tcW w:w="3973" w:type="dxa"/>
                  <w:noWrap w:val="0"/>
                  <w:vAlign w:val="center"/>
                </w:tcPr>
                <w:p w14:paraId="7E495D17">
                  <w:pPr>
                    <w:autoSpaceDE w:val="0"/>
                    <w:autoSpaceDN w:val="0"/>
                    <w:adjustRightInd w:val="0"/>
                    <w:snapToGrid w:val="0"/>
                    <w:ind w:firstLine="480" w:firstLineChars="200"/>
                    <w:jc w:val="left"/>
                    <w:rPr>
                      <w:rFonts w:hint="eastAsia" w:ascii="仿宋" w:hAnsi="仿宋" w:eastAsia="仿宋" w:cs="仿宋"/>
                      <w:color w:val="auto"/>
                      <w:sz w:val="24"/>
                      <w:szCs w:val="24"/>
                      <w:highlight w:val="none"/>
                    </w:rPr>
                  </w:pPr>
                </w:p>
              </w:tc>
            </w:tr>
            <w:tr w14:paraId="7F20E3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45" w:hRule="atLeast"/>
              </w:trPr>
              <w:tc>
                <w:tcPr>
                  <w:tcW w:w="1787" w:type="dxa"/>
                  <w:noWrap w:val="0"/>
                  <w:vAlign w:val="center"/>
                </w:tcPr>
                <w:p w14:paraId="732EA26B">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4D01F1C5">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.2（3）项</w:t>
                  </w:r>
                </w:p>
              </w:tc>
              <w:tc>
                <w:tcPr>
                  <w:tcW w:w="3718" w:type="dxa"/>
                  <w:noWrap w:val="0"/>
                  <w:vAlign w:val="center"/>
                </w:tcPr>
                <w:p w14:paraId="42D55DA6">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货物质量缺陷</w:t>
                  </w:r>
                  <w:r>
                    <w:rPr>
                      <w:rFonts w:hint="eastAsia" w:ascii="仿宋" w:hAnsi="仿宋" w:eastAsia="仿宋" w:cs="仿宋"/>
                      <w:color w:val="auto"/>
                      <w:sz w:val="24"/>
                      <w:szCs w:val="24"/>
                      <w:highlight w:val="none"/>
                    </w:rPr>
                    <w:t>响应时间</w:t>
                  </w:r>
                </w:p>
              </w:tc>
              <w:tc>
                <w:tcPr>
                  <w:tcW w:w="3973" w:type="dxa"/>
                  <w:noWrap w:val="0"/>
                  <w:vAlign w:val="center"/>
                </w:tcPr>
                <w:p w14:paraId="3011CABE">
                  <w:pPr>
                    <w:adjustRightInd w:val="0"/>
                    <w:snapToGrid w:val="0"/>
                    <w:jc w:val="left"/>
                    <w:rPr>
                      <w:rFonts w:hint="eastAsia" w:ascii="仿宋" w:hAnsi="仿宋" w:eastAsia="仿宋" w:cs="仿宋"/>
                      <w:color w:val="auto"/>
                      <w:sz w:val="24"/>
                      <w:szCs w:val="24"/>
                      <w:highlight w:val="none"/>
                    </w:rPr>
                  </w:pPr>
                </w:p>
              </w:tc>
            </w:tr>
            <w:tr w14:paraId="1F28EBC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12" w:hRule="atLeast"/>
              </w:trPr>
              <w:tc>
                <w:tcPr>
                  <w:tcW w:w="1787" w:type="dxa"/>
                  <w:noWrap w:val="0"/>
                  <w:vAlign w:val="center"/>
                </w:tcPr>
                <w:p w14:paraId="5D775501">
                  <w:pPr>
                    <w:snapToGrid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第二节</w:t>
                  </w:r>
                </w:p>
                <w:p w14:paraId="2F4444BA">
                  <w:pPr>
                    <w:pStyle w:val="247"/>
                    <w:ind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第11.1款</w:t>
                  </w:r>
                </w:p>
              </w:tc>
              <w:tc>
                <w:tcPr>
                  <w:tcW w:w="3718" w:type="dxa"/>
                  <w:noWrap w:val="0"/>
                  <w:vAlign w:val="center"/>
                </w:tcPr>
                <w:p w14:paraId="091446CE">
                  <w:pPr>
                    <w:adjustRightInd w:val="0"/>
                    <w:snapToGrid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其他应当保密的信息</w:t>
                  </w:r>
                </w:p>
              </w:tc>
              <w:tc>
                <w:tcPr>
                  <w:tcW w:w="3973" w:type="dxa"/>
                  <w:noWrap w:val="0"/>
                  <w:vAlign w:val="center"/>
                </w:tcPr>
                <w:p w14:paraId="22ECC736">
                  <w:pPr>
                    <w:adjustRightInd w:val="0"/>
                    <w:snapToGrid w:val="0"/>
                    <w:jc w:val="left"/>
                    <w:rPr>
                      <w:rFonts w:hint="eastAsia" w:ascii="仿宋" w:hAnsi="仿宋" w:eastAsia="仿宋" w:cs="仿宋"/>
                      <w:color w:val="auto"/>
                      <w:sz w:val="24"/>
                      <w:szCs w:val="24"/>
                      <w:highlight w:val="none"/>
                    </w:rPr>
                  </w:pPr>
                </w:p>
              </w:tc>
            </w:tr>
            <w:tr w14:paraId="1635D1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3" w:hRule="atLeast"/>
              </w:trPr>
              <w:tc>
                <w:tcPr>
                  <w:tcW w:w="1787" w:type="dxa"/>
                  <w:noWrap w:val="0"/>
                  <w:vAlign w:val="center"/>
                </w:tcPr>
                <w:p w14:paraId="60C54D94">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737A630F">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第1</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.2款</w:t>
                  </w:r>
                </w:p>
              </w:tc>
              <w:tc>
                <w:tcPr>
                  <w:tcW w:w="3718" w:type="dxa"/>
                  <w:noWrap w:val="0"/>
                  <w:vAlign w:val="center"/>
                </w:tcPr>
                <w:p w14:paraId="27BFCB6D">
                  <w:pPr>
                    <w:adjustRightInd w:val="0"/>
                    <w:snapToGrid w:val="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合同价款支付</w:t>
                  </w:r>
                  <w:r>
                    <w:rPr>
                      <w:rFonts w:hint="eastAsia" w:ascii="仿宋" w:hAnsi="仿宋" w:eastAsia="仿宋" w:cs="仿宋"/>
                      <w:color w:val="auto"/>
                      <w:sz w:val="24"/>
                      <w:szCs w:val="24"/>
                      <w:highlight w:val="none"/>
                      <w:lang w:eastAsia="zh-CN"/>
                    </w:rPr>
                    <w:t>时间</w:t>
                  </w:r>
                </w:p>
              </w:tc>
              <w:tc>
                <w:tcPr>
                  <w:tcW w:w="3973" w:type="dxa"/>
                  <w:noWrap w:val="0"/>
                  <w:vAlign w:val="center"/>
                </w:tcPr>
                <w:p w14:paraId="369AD189">
                  <w:pPr>
                    <w:adjustRightInd w:val="0"/>
                    <w:snapToGrid w:val="0"/>
                    <w:jc w:val="left"/>
                    <w:rPr>
                      <w:rFonts w:hint="eastAsia" w:ascii="仿宋" w:hAnsi="仿宋" w:eastAsia="仿宋" w:cs="仿宋"/>
                      <w:color w:val="auto"/>
                      <w:sz w:val="24"/>
                      <w:szCs w:val="24"/>
                      <w:highlight w:val="none"/>
                    </w:rPr>
                  </w:pPr>
                </w:p>
              </w:tc>
            </w:tr>
            <w:tr w14:paraId="1A4D77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0" w:hRule="atLeast"/>
              </w:trPr>
              <w:tc>
                <w:tcPr>
                  <w:tcW w:w="1787" w:type="dxa"/>
                  <w:noWrap w:val="0"/>
                  <w:vAlign w:val="center"/>
                </w:tcPr>
                <w:p w14:paraId="466656F1">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7D975AAD">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w:t>
                  </w:r>
                  <w:r>
                    <w:rPr>
                      <w:rFonts w:hint="eastAsia" w:ascii="仿宋" w:hAnsi="仿宋" w:eastAsia="仿宋" w:cs="仿宋"/>
                      <w:color w:val="auto"/>
                      <w:sz w:val="24"/>
                      <w:szCs w:val="24"/>
                      <w:highlight w:val="none"/>
                      <w:lang w:val="en-US" w:eastAsia="zh-CN"/>
                    </w:rPr>
                    <w:t>13.2</w:t>
                  </w:r>
                  <w:r>
                    <w:rPr>
                      <w:rFonts w:hint="eastAsia" w:ascii="仿宋" w:hAnsi="仿宋" w:eastAsia="仿宋" w:cs="仿宋"/>
                      <w:color w:val="auto"/>
                      <w:sz w:val="24"/>
                      <w:szCs w:val="24"/>
                      <w:highlight w:val="none"/>
                    </w:rPr>
                    <w:t>款</w:t>
                  </w:r>
                </w:p>
              </w:tc>
              <w:tc>
                <w:tcPr>
                  <w:tcW w:w="3718" w:type="dxa"/>
                  <w:noWrap w:val="0"/>
                  <w:vAlign w:val="center"/>
                </w:tcPr>
                <w:p w14:paraId="1B020BCA">
                  <w:pPr>
                    <w:adjustRightInd w:val="0"/>
                    <w:snapToGrid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履约保证金不予退还的情形</w:t>
                  </w:r>
                </w:p>
              </w:tc>
              <w:tc>
                <w:tcPr>
                  <w:tcW w:w="3973" w:type="dxa"/>
                  <w:noWrap w:val="0"/>
                  <w:vAlign w:val="center"/>
                </w:tcPr>
                <w:p w14:paraId="66C30FF4">
                  <w:pPr>
                    <w:adjustRightInd w:val="0"/>
                    <w:snapToGrid w:val="0"/>
                    <w:jc w:val="left"/>
                    <w:rPr>
                      <w:rFonts w:hint="eastAsia" w:ascii="仿宋" w:hAnsi="仿宋" w:eastAsia="仿宋" w:cs="仿宋"/>
                      <w:color w:val="auto"/>
                      <w:sz w:val="24"/>
                      <w:szCs w:val="24"/>
                      <w:highlight w:val="none"/>
                    </w:rPr>
                  </w:pPr>
                </w:p>
              </w:tc>
            </w:tr>
            <w:tr w14:paraId="5878B8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9" w:hRule="atLeast"/>
              </w:trPr>
              <w:tc>
                <w:tcPr>
                  <w:tcW w:w="1787" w:type="dxa"/>
                  <w:noWrap w:val="0"/>
                  <w:vAlign w:val="center"/>
                </w:tcPr>
                <w:p w14:paraId="4B55FAA6">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56945233">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w:t>
                  </w:r>
                  <w:r>
                    <w:rPr>
                      <w:rFonts w:hint="eastAsia" w:ascii="仿宋" w:hAnsi="仿宋" w:eastAsia="仿宋" w:cs="仿宋"/>
                      <w:color w:val="auto"/>
                      <w:sz w:val="24"/>
                      <w:szCs w:val="24"/>
                      <w:highlight w:val="none"/>
                      <w:lang w:val="en-US" w:eastAsia="zh-CN"/>
                    </w:rPr>
                    <w:t>13.3</w:t>
                  </w:r>
                  <w:r>
                    <w:rPr>
                      <w:rFonts w:hint="eastAsia" w:ascii="仿宋" w:hAnsi="仿宋" w:eastAsia="仿宋" w:cs="仿宋"/>
                      <w:color w:val="auto"/>
                      <w:sz w:val="24"/>
                      <w:szCs w:val="24"/>
                      <w:highlight w:val="none"/>
                    </w:rPr>
                    <w:t>款</w:t>
                  </w:r>
                </w:p>
              </w:tc>
              <w:tc>
                <w:tcPr>
                  <w:tcW w:w="3718" w:type="dxa"/>
                  <w:noWrap w:val="0"/>
                  <w:vAlign w:val="center"/>
                </w:tcPr>
                <w:p w14:paraId="14AE1127">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履约保证金退还时间及</w:t>
                  </w:r>
                  <w:r>
                    <w:rPr>
                      <w:rFonts w:hint="eastAsia" w:ascii="仿宋" w:hAnsi="仿宋" w:eastAsia="仿宋" w:cs="仿宋"/>
                      <w:color w:val="auto"/>
                      <w:sz w:val="24"/>
                      <w:szCs w:val="24"/>
                      <w:highlight w:val="none"/>
                      <w:lang w:eastAsia="zh-CN"/>
                    </w:rPr>
                    <w:t>逾期退还的</w:t>
                  </w:r>
                  <w:r>
                    <w:rPr>
                      <w:rFonts w:hint="eastAsia" w:ascii="仿宋" w:hAnsi="仿宋" w:eastAsia="仿宋" w:cs="仿宋"/>
                      <w:color w:val="auto"/>
                      <w:sz w:val="24"/>
                      <w:szCs w:val="24"/>
                      <w:highlight w:val="none"/>
                    </w:rPr>
                    <w:t>违约金</w:t>
                  </w:r>
                </w:p>
              </w:tc>
              <w:tc>
                <w:tcPr>
                  <w:tcW w:w="3973" w:type="dxa"/>
                  <w:noWrap w:val="0"/>
                  <w:vAlign w:val="center"/>
                </w:tcPr>
                <w:p w14:paraId="3A52D89A">
                  <w:pPr>
                    <w:adjustRightInd w:val="0"/>
                    <w:snapToGrid w:val="0"/>
                    <w:jc w:val="left"/>
                    <w:rPr>
                      <w:rFonts w:hint="eastAsia" w:ascii="仿宋" w:hAnsi="仿宋" w:eastAsia="仿宋" w:cs="仿宋"/>
                      <w:color w:val="auto"/>
                      <w:sz w:val="24"/>
                      <w:szCs w:val="24"/>
                      <w:highlight w:val="none"/>
                    </w:rPr>
                  </w:pPr>
                </w:p>
              </w:tc>
            </w:tr>
            <w:tr w14:paraId="4F390A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29" w:hRule="atLeast"/>
              </w:trPr>
              <w:tc>
                <w:tcPr>
                  <w:tcW w:w="1787" w:type="dxa"/>
                  <w:noWrap w:val="0"/>
                  <w:vAlign w:val="center"/>
                </w:tcPr>
                <w:p w14:paraId="1DAE5CC8">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12C4002A">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第1</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）项</w:t>
                  </w:r>
                </w:p>
              </w:tc>
              <w:tc>
                <w:tcPr>
                  <w:tcW w:w="3718" w:type="dxa"/>
                  <w:noWrap w:val="0"/>
                  <w:vAlign w:val="center"/>
                </w:tcPr>
                <w:p w14:paraId="224F4E6B">
                  <w:pPr>
                    <w:adjustRightInd w:val="0"/>
                    <w:snapToGrid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运行监督、维修期限</w:t>
                  </w:r>
                </w:p>
              </w:tc>
              <w:tc>
                <w:tcPr>
                  <w:tcW w:w="3973" w:type="dxa"/>
                  <w:noWrap w:val="0"/>
                  <w:vAlign w:val="center"/>
                </w:tcPr>
                <w:p w14:paraId="4D39FA34">
                  <w:pPr>
                    <w:adjustRightInd w:val="0"/>
                    <w:snapToGrid w:val="0"/>
                    <w:jc w:val="left"/>
                    <w:rPr>
                      <w:rFonts w:hint="eastAsia" w:ascii="仿宋" w:hAnsi="仿宋" w:eastAsia="仿宋" w:cs="仿宋"/>
                      <w:color w:val="auto"/>
                      <w:sz w:val="24"/>
                      <w:szCs w:val="24"/>
                      <w:highlight w:val="none"/>
                    </w:rPr>
                  </w:pPr>
                </w:p>
              </w:tc>
            </w:tr>
            <w:tr w14:paraId="5EA5C1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29" w:hRule="atLeast"/>
              </w:trPr>
              <w:tc>
                <w:tcPr>
                  <w:tcW w:w="1787" w:type="dxa"/>
                  <w:noWrap w:val="0"/>
                  <w:vAlign w:val="center"/>
                </w:tcPr>
                <w:p w14:paraId="61337CF8">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6DDFC262">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第1</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）项</w:t>
                  </w:r>
                </w:p>
              </w:tc>
              <w:tc>
                <w:tcPr>
                  <w:tcW w:w="3718" w:type="dxa"/>
                  <w:noWrap w:val="0"/>
                  <w:vAlign w:val="center"/>
                </w:tcPr>
                <w:p w14:paraId="0F0FA439">
                  <w:pPr>
                    <w:adjustRightInd w:val="0"/>
                    <w:snapToGrid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货物回收的约定</w:t>
                  </w:r>
                </w:p>
              </w:tc>
              <w:tc>
                <w:tcPr>
                  <w:tcW w:w="3973" w:type="dxa"/>
                  <w:noWrap w:val="0"/>
                  <w:vAlign w:val="center"/>
                </w:tcPr>
                <w:p w14:paraId="680D1BB2">
                  <w:pPr>
                    <w:adjustRightInd w:val="0"/>
                    <w:snapToGrid w:val="0"/>
                    <w:jc w:val="left"/>
                    <w:rPr>
                      <w:rFonts w:hint="eastAsia" w:ascii="仿宋" w:hAnsi="仿宋" w:eastAsia="仿宋" w:cs="仿宋"/>
                      <w:color w:val="auto"/>
                      <w:sz w:val="24"/>
                      <w:szCs w:val="24"/>
                      <w:highlight w:val="none"/>
                    </w:rPr>
                  </w:pPr>
                </w:p>
              </w:tc>
            </w:tr>
            <w:tr w14:paraId="6F1E1CC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44" w:hRule="atLeast"/>
              </w:trPr>
              <w:tc>
                <w:tcPr>
                  <w:tcW w:w="1787" w:type="dxa"/>
                  <w:noWrap w:val="0"/>
                  <w:vAlign w:val="center"/>
                </w:tcPr>
                <w:p w14:paraId="63859A67">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55F9B9BD">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第1</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）项</w:t>
                  </w:r>
                </w:p>
              </w:tc>
              <w:tc>
                <w:tcPr>
                  <w:tcW w:w="3718" w:type="dxa"/>
                  <w:noWrap w:val="0"/>
                  <w:vAlign w:val="center"/>
                </w:tcPr>
                <w:p w14:paraId="73EC7422">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乙方提供的其他服务</w:t>
                  </w:r>
                </w:p>
              </w:tc>
              <w:tc>
                <w:tcPr>
                  <w:tcW w:w="3973" w:type="dxa"/>
                  <w:noWrap w:val="0"/>
                  <w:vAlign w:val="center"/>
                </w:tcPr>
                <w:p w14:paraId="0F9ED8B7">
                  <w:pPr>
                    <w:adjustRightInd w:val="0"/>
                    <w:snapToGrid w:val="0"/>
                    <w:jc w:val="left"/>
                    <w:rPr>
                      <w:rFonts w:hint="eastAsia" w:ascii="仿宋" w:hAnsi="仿宋" w:eastAsia="仿宋" w:cs="仿宋"/>
                      <w:color w:val="auto"/>
                      <w:sz w:val="24"/>
                      <w:szCs w:val="24"/>
                      <w:highlight w:val="none"/>
                    </w:rPr>
                  </w:pPr>
                </w:p>
              </w:tc>
            </w:tr>
            <w:tr w14:paraId="3919A6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50" w:hRule="atLeast"/>
              </w:trPr>
              <w:tc>
                <w:tcPr>
                  <w:tcW w:w="1787" w:type="dxa"/>
                  <w:noWrap w:val="0"/>
                  <w:vAlign w:val="center"/>
                </w:tcPr>
                <w:p w14:paraId="2EEE79F0">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0EFFA1C5">
                  <w:pPr>
                    <w:adjustRightInd w:val="0"/>
                    <w:snapToGrid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第1</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1款</w:t>
                  </w:r>
                </w:p>
              </w:tc>
              <w:tc>
                <w:tcPr>
                  <w:tcW w:w="3718" w:type="dxa"/>
                  <w:noWrap w:val="0"/>
                  <w:vAlign w:val="center"/>
                </w:tcPr>
                <w:p w14:paraId="2E1BBA6B">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修理、重作、更换相关具体规定</w:t>
                  </w:r>
                </w:p>
              </w:tc>
              <w:tc>
                <w:tcPr>
                  <w:tcW w:w="3973" w:type="dxa"/>
                  <w:noWrap w:val="0"/>
                  <w:vAlign w:val="center"/>
                </w:tcPr>
                <w:p w14:paraId="4233011E">
                  <w:pPr>
                    <w:adjustRightInd w:val="0"/>
                    <w:snapToGrid w:val="0"/>
                    <w:jc w:val="left"/>
                    <w:rPr>
                      <w:rFonts w:hint="eastAsia" w:ascii="仿宋" w:hAnsi="仿宋" w:eastAsia="仿宋" w:cs="仿宋"/>
                      <w:color w:val="auto"/>
                      <w:sz w:val="24"/>
                      <w:szCs w:val="24"/>
                      <w:highlight w:val="none"/>
                    </w:rPr>
                  </w:pPr>
                </w:p>
              </w:tc>
            </w:tr>
            <w:tr w14:paraId="5B0780A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29" w:hRule="atLeast"/>
              </w:trPr>
              <w:tc>
                <w:tcPr>
                  <w:tcW w:w="1787" w:type="dxa"/>
                  <w:noWrap w:val="0"/>
                  <w:vAlign w:val="center"/>
                </w:tcPr>
                <w:p w14:paraId="66345884">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1F348E06">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第1</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.2（2）项</w:t>
                  </w:r>
                </w:p>
              </w:tc>
              <w:tc>
                <w:tcPr>
                  <w:tcW w:w="3718" w:type="dxa"/>
                  <w:noWrap w:val="0"/>
                  <w:vAlign w:val="center"/>
                </w:tcPr>
                <w:p w14:paraId="2A2EF354">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迟延交货赔偿费</w:t>
                  </w:r>
                </w:p>
              </w:tc>
              <w:tc>
                <w:tcPr>
                  <w:tcW w:w="3973" w:type="dxa"/>
                  <w:noWrap w:val="0"/>
                  <w:vAlign w:val="center"/>
                </w:tcPr>
                <w:p w14:paraId="065D7A84">
                  <w:pPr>
                    <w:adjustRightInd w:val="0"/>
                    <w:snapToGrid w:val="0"/>
                    <w:jc w:val="left"/>
                    <w:rPr>
                      <w:rFonts w:hint="eastAsia" w:ascii="仿宋" w:hAnsi="仿宋" w:eastAsia="仿宋" w:cs="仿宋"/>
                      <w:color w:val="auto"/>
                      <w:sz w:val="24"/>
                      <w:szCs w:val="24"/>
                      <w:highlight w:val="none"/>
                      <w:u w:val="single"/>
                    </w:rPr>
                  </w:pPr>
                </w:p>
              </w:tc>
            </w:tr>
            <w:tr w14:paraId="3B7332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787" w:type="dxa"/>
                  <w:noWrap w:val="0"/>
                  <w:vAlign w:val="center"/>
                </w:tcPr>
                <w:p w14:paraId="16951173">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5BB6B1C2">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第1</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3款</w:t>
                  </w:r>
                </w:p>
              </w:tc>
              <w:tc>
                <w:tcPr>
                  <w:tcW w:w="3718" w:type="dxa"/>
                  <w:noWrap w:val="0"/>
                  <w:vAlign w:val="center"/>
                </w:tcPr>
                <w:p w14:paraId="4BA410A9">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逾期付款利息</w:t>
                  </w:r>
                </w:p>
              </w:tc>
              <w:tc>
                <w:tcPr>
                  <w:tcW w:w="3973" w:type="dxa"/>
                  <w:noWrap w:val="0"/>
                  <w:vAlign w:val="center"/>
                </w:tcPr>
                <w:p w14:paraId="66B752F7">
                  <w:pPr>
                    <w:adjustRightInd w:val="0"/>
                    <w:snapToGrid w:val="0"/>
                    <w:jc w:val="left"/>
                    <w:rPr>
                      <w:rFonts w:hint="eastAsia" w:ascii="仿宋" w:hAnsi="仿宋" w:eastAsia="仿宋" w:cs="仿宋"/>
                      <w:color w:val="auto"/>
                      <w:sz w:val="24"/>
                      <w:szCs w:val="24"/>
                      <w:highlight w:val="none"/>
                      <w:u w:val="single"/>
                    </w:rPr>
                  </w:pPr>
                </w:p>
              </w:tc>
            </w:tr>
            <w:tr w14:paraId="392381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3" w:hRule="atLeast"/>
              </w:trPr>
              <w:tc>
                <w:tcPr>
                  <w:tcW w:w="1787" w:type="dxa"/>
                  <w:tcBorders>
                    <w:bottom w:val="single" w:color="auto" w:sz="2" w:space="0"/>
                    <w:right w:val="single" w:color="auto" w:sz="2" w:space="0"/>
                  </w:tcBorders>
                  <w:noWrap w:val="0"/>
                  <w:vAlign w:val="center"/>
                </w:tcPr>
                <w:p w14:paraId="609620F0">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0792589D">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第1</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en-US" w:eastAsia="zh-CN"/>
                    </w:rPr>
                    <w:t>款</w:t>
                  </w:r>
                </w:p>
              </w:tc>
              <w:tc>
                <w:tcPr>
                  <w:tcW w:w="3718" w:type="dxa"/>
                  <w:tcBorders>
                    <w:left w:val="single" w:color="auto" w:sz="2" w:space="0"/>
                    <w:bottom w:val="single" w:color="auto" w:sz="2" w:space="0"/>
                    <w:right w:val="single" w:color="auto" w:sz="2" w:space="0"/>
                  </w:tcBorders>
                  <w:noWrap w:val="0"/>
                  <w:vAlign w:val="center"/>
                </w:tcPr>
                <w:p w14:paraId="257CC68F">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其他违约责任</w:t>
                  </w:r>
                </w:p>
              </w:tc>
              <w:tc>
                <w:tcPr>
                  <w:tcW w:w="3973" w:type="dxa"/>
                  <w:tcBorders>
                    <w:left w:val="single" w:color="auto" w:sz="2" w:space="0"/>
                    <w:bottom w:val="single" w:color="auto" w:sz="2" w:space="0"/>
                  </w:tcBorders>
                  <w:noWrap w:val="0"/>
                  <w:vAlign w:val="center"/>
                </w:tcPr>
                <w:p w14:paraId="5A3E9C6B">
                  <w:pPr>
                    <w:adjustRightInd w:val="0"/>
                    <w:snapToGrid w:val="0"/>
                    <w:jc w:val="left"/>
                    <w:rPr>
                      <w:rFonts w:hint="eastAsia" w:ascii="仿宋" w:hAnsi="仿宋" w:eastAsia="仿宋" w:cs="仿宋"/>
                      <w:color w:val="auto"/>
                      <w:sz w:val="24"/>
                      <w:szCs w:val="24"/>
                      <w:highlight w:val="none"/>
                      <w:u w:val="single"/>
                    </w:rPr>
                  </w:pPr>
                </w:p>
              </w:tc>
            </w:tr>
            <w:tr w14:paraId="59DF80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182" w:hRule="atLeast"/>
              </w:trPr>
              <w:tc>
                <w:tcPr>
                  <w:tcW w:w="1787" w:type="dxa"/>
                  <w:tcBorders>
                    <w:top w:val="single" w:color="auto" w:sz="2" w:space="0"/>
                    <w:right w:val="single" w:color="auto" w:sz="2" w:space="0"/>
                  </w:tcBorders>
                  <w:noWrap w:val="0"/>
                  <w:vAlign w:val="center"/>
                </w:tcPr>
                <w:p w14:paraId="3351C1D5">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3D817E42">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w:t>
                  </w:r>
                  <w:r>
                    <w:rPr>
                      <w:rFonts w:hint="eastAsia" w:ascii="仿宋" w:hAnsi="仿宋" w:eastAsia="仿宋" w:cs="仿宋"/>
                      <w:color w:val="auto"/>
                      <w:sz w:val="24"/>
                      <w:szCs w:val="24"/>
                      <w:highlight w:val="none"/>
                      <w:lang w:val="en-US" w:eastAsia="zh-CN"/>
                    </w:rPr>
                    <w:t>19</w:t>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款</w:t>
                  </w:r>
                </w:p>
              </w:tc>
              <w:tc>
                <w:tcPr>
                  <w:tcW w:w="3718" w:type="dxa"/>
                  <w:tcBorders>
                    <w:top w:val="single" w:color="auto" w:sz="2" w:space="0"/>
                    <w:left w:val="single" w:color="auto" w:sz="2" w:space="0"/>
                    <w:right w:val="single" w:color="auto" w:sz="2" w:space="0"/>
                  </w:tcBorders>
                  <w:noWrap w:val="0"/>
                  <w:vAlign w:val="center"/>
                </w:tcPr>
                <w:p w14:paraId="13CAB8F0">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解决争议的方法</w:t>
                  </w:r>
                </w:p>
              </w:tc>
              <w:tc>
                <w:tcPr>
                  <w:tcW w:w="3973" w:type="dxa"/>
                  <w:tcBorders>
                    <w:top w:val="single" w:color="auto" w:sz="2" w:space="0"/>
                    <w:left w:val="single" w:color="auto" w:sz="2" w:space="0"/>
                  </w:tcBorders>
                  <w:noWrap w:val="0"/>
                  <w:vAlign w:val="center"/>
                </w:tcPr>
                <w:p w14:paraId="2BD87164">
                  <w:pPr>
                    <w:autoSpaceDE w:val="0"/>
                    <w:autoSpaceDN w:val="0"/>
                    <w:adjustRightInd w:val="0"/>
                    <w:snapToGrid w:val="0"/>
                    <w:spacing w:line="400" w:lineRule="exact"/>
                    <w:jc w:val="left"/>
                    <w:rPr>
                      <w:rFonts w:hint="eastAsia" w:ascii="仿宋" w:hAnsi="仿宋" w:eastAsia="仿宋" w:cs="仿宋"/>
                      <w:b w:val="0"/>
                      <w:bCs w:val="0"/>
                      <w:iCs/>
                      <w:color w:val="auto"/>
                      <w:sz w:val="24"/>
                      <w:szCs w:val="24"/>
                      <w:highlight w:val="none"/>
                    </w:rPr>
                  </w:pPr>
                  <w:r>
                    <w:rPr>
                      <w:rFonts w:hint="eastAsia" w:ascii="仿宋" w:hAnsi="仿宋" w:eastAsia="仿宋" w:cs="仿宋"/>
                      <w:b w:val="0"/>
                      <w:bCs w:val="0"/>
                      <w:iCs/>
                      <w:color w:val="auto"/>
                      <w:sz w:val="24"/>
                      <w:szCs w:val="24"/>
                      <w:highlight w:val="none"/>
                    </w:rPr>
                    <w:t>因本合同及合同有关事项发生的争议，按下列第</w:t>
                  </w:r>
                  <w:r>
                    <w:rPr>
                      <w:rFonts w:hint="eastAsia" w:ascii="仿宋" w:hAnsi="仿宋" w:eastAsia="仿宋" w:cs="仿宋"/>
                      <w:b w:val="0"/>
                      <w:bCs w:val="0"/>
                      <w:iCs/>
                      <w:color w:val="auto"/>
                      <w:sz w:val="24"/>
                      <w:szCs w:val="24"/>
                      <w:highlight w:val="none"/>
                      <w:u w:val="single"/>
                    </w:rPr>
                    <w:t xml:space="preserve">   </w:t>
                  </w:r>
                  <w:r>
                    <w:rPr>
                      <w:rFonts w:hint="eastAsia" w:ascii="仿宋" w:hAnsi="仿宋" w:eastAsia="仿宋" w:cs="仿宋"/>
                      <w:b w:val="0"/>
                      <w:bCs w:val="0"/>
                      <w:iCs/>
                      <w:color w:val="auto"/>
                      <w:sz w:val="24"/>
                      <w:szCs w:val="24"/>
                      <w:highlight w:val="none"/>
                    </w:rPr>
                    <w:t>种方式解决：</w:t>
                  </w:r>
                </w:p>
                <w:p w14:paraId="5B58EB82">
                  <w:pPr>
                    <w:autoSpaceDE w:val="0"/>
                    <w:autoSpaceDN w:val="0"/>
                    <w:adjustRightInd w:val="0"/>
                    <w:snapToGrid w:val="0"/>
                    <w:spacing w:line="400" w:lineRule="exact"/>
                    <w:jc w:val="left"/>
                    <w:rPr>
                      <w:rFonts w:hint="eastAsia" w:ascii="仿宋" w:hAnsi="仿宋" w:eastAsia="仿宋" w:cs="仿宋"/>
                      <w:b w:val="0"/>
                      <w:bCs w:val="0"/>
                      <w:iCs/>
                      <w:color w:val="auto"/>
                      <w:sz w:val="24"/>
                      <w:szCs w:val="24"/>
                      <w:highlight w:val="none"/>
                    </w:rPr>
                  </w:pPr>
                  <w:r>
                    <w:rPr>
                      <w:rFonts w:hint="eastAsia" w:ascii="仿宋" w:hAnsi="仿宋" w:eastAsia="仿宋" w:cs="仿宋"/>
                      <w:b w:val="0"/>
                      <w:bCs w:val="0"/>
                      <w:iCs/>
                      <w:color w:val="auto"/>
                      <w:sz w:val="24"/>
                      <w:szCs w:val="24"/>
                      <w:highlight w:val="none"/>
                    </w:rPr>
                    <w:t>（1）向</w:t>
                  </w:r>
                  <w:r>
                    <w:rPr>
                      <w:rFonts w:hint="eastAsia" w:ascii="仿宋" w:hAnsi="仿宋" w:eastAsia="仿宋" w:cs="仿宋"/>
                      <w:b w:val="0"/>
                      <w:bCs w:val="0"/>
                      <w:iCs/>
                      <w:color w:val="auto"/>
                      <w:sz w:val="24"/>
                      <w:szCs w:val="24"/>
                      <w:highlight w:val="none"/>
                      <w:u w:val="single"/>
                    </w:rPr>
                    <w:t xml:space="preserve">         </w:t>
                  </w:r>
                  <w:r>
                    <w:rPr>
                      <w:rFonts w:hint="eastAsia" w:ascii="仿宋" w:hAnsi="仿宋" w:eastAsia="仿宋" w:cs="仿宋"/>
                      <w:b w:val="0"/>
                      <w:bCs w:val="0"/>
                      <w:iCs/>
                      <w:color w:val="auto"/>
                      <w:sz w:val="24"/>
                      <w:szCs w:val="24"/>
                      <w:highlight w:val="none"/>
                    </w:rPr>
                    <w:t>仲裁委员会申请仲裁，仲裁地点为</w:t>
                  </w:r>
                  <w:r>
                    <w:rPr>
                      <w:rFonts w:hint="eastAsia" w:ascii="仿宋" w:hAnsi="仿宋" w:eastAsia="仿宋" w:cs="仿宋"/>
                      <w:b w:val="0"/>
                      <w:bCs w:val="0"/>
                      <w:iCs/>
                      <w:color w:val="auto"/>
                      <w:sz w:val="24"/>
                      <w:szCs w:val="24"/>
                      <w:highlight w:val="none"/>
                      <w:u w:val="single"/>
                    </w:rPr>
                    <w:t xml:space="preserve">  </w:t>
                  </w:r>
                  <w:r>
                    <w:rPr>
                      <w:rFonts w:hint="eastAsia" w:ascii="仿宋" w:hAnsi="仿宋" w:eastAsia="仿宋" w:cs="仿宋"/>
                      <w:b w:val="0"/>
                      <w:bCs w:val="0"/>
                      <w:iCs/>
                      <w:color w:val="auto"/>
                      <w:sz w:val="24"/>
                      <w:szCs w:val="24"/>
                      <w:highlight w:val="none"/>
                      <w:u w:val="single"/>
                      <w:lang w:val="en-US" w:eastAsia="zh-CN"/>
                    </w:rPr>
                    <w:t xml:space="preserve">    </w:t>
                  </w:r>
                  <w:r>
                    <w:rPr>
                      <w:rFonts w:hint="eastAsia" w:ascii="仿宋" w:hAnsi="仿宋" w:eastAsia="仿宋" w:cs="仿宋"/>
                      <w:b w:val="0"/>
                      <w:bCs w:val="0"/>
                      <w:iCs/>
                      <w:color w:val="auto"/>
                      <w:sz w:val="24"/>
                      <w:szCs w:val="24"/>
                      <w:highlight w:val="none"/>
                      <w:u w:val="single"/>
                    </w:rPr>
                    <w:t xml:space="preserve">  </w:t>
                  </w:r>
                  <w:r>
                    <w:rPr>
                      <w:rFonts w:hint="eastAsia" w:ascii="仿宋" w:hAnsi="仿宋" w:eastAsia="仿宋" w:cs="仿宋"/>
                      <w:b w:val="0"/>
                      <w:bCs w:val="0"/>
                      <w:iCs/>
                      <w:color w:val="auto"/>
                      <w:sz w:val="24"/>
                      <w:szCs w:val="24"/>
                      <w:highlight w:val="none"/>
                    </w:rPr>
                    <w:t>；</w:t>
                  </w:r>
                </w:p>
                <w:p w14:paraId="74AB7462">
                  <w:pPr>
                    <w:adjustRightInd w:val="0"/>
                    <w:snapToGrid w:val="0"/>
                    <w:ind w:firstLine="0" w:firstLineChars="0"/>
                    <w:jc w:val="left"/>
                    <w:rPr>
                      <w:rFonts w:hint="eastAsia" w:ascii="仿宋" w:hAnsi="仿宋" w:eastAsia="仿宋" w:cs="仿宋"/>
                      <w:color w:val="auto"/>
                      <w:sz w:val="24"/>
                      <w:szCs w:val="24"/>
                      <w:highlight w:val="none"/>
                      <w:u w:val="single"/>
                    </w:rPr>
                  </w:pPr>
                  <w:r>
                    <w:rPr>
                      <w:rFonts w:hint="eastAsia" w:ascii="仿宋" w:hAnsi="仿宋" w:eastAsia="仿宋" w:cs="仿宋"/>
                      <w:b w:val="0"/>
                      <w:bCs w:val="0"/>
                      <w:iCs/>
                      <w:color w:val="auto"/>
                      <w:sz w:val="24"/>
                      <w:szCs w:val="24"/>
                      <w:highlight w:val="none"/>
                    </w:rPr>
                    <w:t>（2）向</w:t>
                  </w:r>
                  <w:r>
                    <w:rPr>
                      <w:rFonts w:hint="eastAsia" w:ascii="仿宋" w:hAnsi="仿宋" w:eastAsia="仿宋" w:cs="仿宋"/>
                      <w:b w:val="0"/>
                      <w:bCs w:val="0"/>
                      <w:iCs/>
                      <w:color w:val="auto"/>
                      <w:sz w:val="24"/>
                      <w:szCs w:val="24"/>
                      <w:highlight w:val="none"/>
                      <w:u w:val="single"/>
                    </w:rPr>
                    <w:t xml:space="preserve">          </w:t>
                  </w:r>
                  <w:r>
                    <w:rPr>
                      <w:rFonts w:hint="eastAsia" w:ascii="仿宋" w:hAnsi="仿宋" w:eastAsia="仿宋" w:cs="仿宋"/>
                      <w:b w:val="0"/>
                      <w:bCs w:val="0"/>
                      <w:iCs/>
                      <w:color w:val="auto"/>
                      <w:sz w:val="24"/>
                      <w:szCs w:val="24"/>
                      <w:highlight w:val="none"/>
                    </w:rPr>
                    <w:t>人民法院起诉。</w:t>
                  </w:r>
                </w:p>
              </w:tc>
            </w:tr>
            <w:tr w14:paraId="5CC3FD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63" w:hRule="atLeast"/>
              </w:trPr>
              <w:tc>
                <w:tcPr>
                  <w:tcW w:w="1787" w:type="dxa"/>
                  <w:noWrap w:val="0"/>
                  <w:vAlign w:val="center"/>
                </w:tcPr>
                <w:p w14:paraId="36D2504D">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211BFD90">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第2</w:t>
                  </w:r>
                  <w:r>
                    <w:rPr>
                      <w:rFonts w:hint="eastAsia" w:ascii="仿宋" w:hAnsi="仿宋" w:eastAsia="仿宋" w:cs="仿宋"/>
                      <w:color w:val="auto"/>
                      <w:sz w:val="24"/>
                      <w:szCs w:val="24"/>
                      <w:highlight w:val="none"/>
                      <w:lang w:val="en-US" w:eastAsia="zh-CN"/>
                    </w:rPr>
                    <w:t>3.1</w:t>
                  </w:r>
                  <w:r>
                    <w:rPr>
                      <w:rFonts w:hint="eastAsia" w:ascii="仿宋" w:hAnsi="仿宋" w:eastAsia="仿宋" w:cs="仿宋"/>
                      <w:color w:val="auto"/>
                      <w:sz w:val="24"/>
                      <w:szCs w:val="24"/>
                      <w:highlight w:val="none"/>
                      <w:lang w:eastAsia="zh-CN"/>
                    </w:rPr>
                    <w:t>款</w:t>
                  </w:r>
                </w:p>
              </w:tc>
              <w:tc>
                <w:tcPr>
                  <w:tcW w:w="3718" w:type="dxa"/>
                  <w:noWrap w:val="0"/>
                  <w:vAlign w:val="center"/>
                </w:tcPr>
                <w:p w14:paraId="622FAAFC">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lang w:eastAsia="zh-CN"/>
                    </w:rPr>
                    <w:t>其他专用条款</w:t>
                  </w:r>
                </w:p>
              </w:tc>
              <w:tc>
                <w:tcPr>
                  <w:tcW w:w="3973" w:type="dxa"/>
                  <w:noWrap w:val="0"/>
                  <w:vAlign w:val="center"/>
                </w:tcPr>
                <w:p w14:paraId="4A3AFD86">
                  <w:pPr>
                    <w:adjustRightInd w:val="0"/>
                    <w:snapToGrid w:val="0"/>
                    <w:jc w:val="left"/>
                    <w:rPr>
                      <w:rFonts w:hint="eastAsia" w:ascii="仿宋" w:hAnsi="仿宋" w:eastAsia="仿宋" w:cs="仿宋"/>
                      <w:color w:val="auto"/>
                      <w:sz w:val="24"/>
                      <w:szCs w:val="24"/>
                      <w:highlight w:val="none"/>
                      <w:lang w:val="en-US" w:eastAsia="zh-CN"/>
                    </w:rPr>
                  </w:pPr>
                </w:p>
              </w:tc>
            </w:tr>
          </w:tbl>
          <w:p w14:paraId="4476348C">
            <w:pPr>
              <w:widowControl/>
              <w:spacing w:after="240"/>
              <w:jc w:val="left"/>
              <w:rPr>
                <w:rFonts w:hint="eastAsia" w:ascii="仿宋" w:hAnsi="仿宋" w:eastAsia="仿宋" w:cs="仿宋"/>
                <w:color w:val="auto"/>
                <w:kern w:val="0"/>
                <w:sz w:val="24"/>
                <w:szCs w:val="24"/>
                <w:highlight w:val="none"/>
              </w:rPr>
            </w:pPr>
          </w:p>
        </w:tc>
      </w:tr>
    </w:tbl>
    <w:p w14:paraId="54272E2A">
      <w:pPr>
        <w:spacing w:line="360" w:lineRule="auto"/>
        <w:ind w:firstLine="480" w:firstLineChars="200"/>
        <w:rPr>
          <w:rFonts w:ascii="仿宋" w:hAnsi="仿宋" w:eastAsia="仿宋" w:cs="仿宋"/>
          <w:bCs/>
          <w:i w:val="0"/>
          <w:iCs w:val="0"/>
          <w:color w:val="auto"/>
          <w:kern w:val="0"/>
          <w:sz w:val="24"/>
          <w:highlight w:val="none"/>
          <w:lang w:val="zh-CN"/>
        </w:rPr>
      </w:pPr>
    </w:p>
    <w:p w14:paraId="036A776C">
      <w:pPr>
        <w:bidi w:val="0"/>
        <w:rPr>
          <w:rFonts w:hint="eastAsia"/>
          <w:color w:val="auto"/>
          <w:highlight w:val="none"/>
          <w:lang w:val="en-US" w:eastAsia="zh-CN"/>
        </w:rPr>
      </w:pPr>
    </w:p>
    <w:p w14:paraId="4DAC9863">
      <w:pPr>
        <w:bidi w:val="0"/>
        <w:rPr>
          <w:rFonts w:hint="eastAsia"/>
          <w:color w:val="auto"/>
          <w:highlight w:val="none"/>
          <w:lang w:val="en-US" w:eastAsia="zh-CN"/>
        </w:rPr>
      </w:pPr>
    </w:p>
    <w:p w14:paraId="45EE956D">
      <w:pPr>
        <w:bidi w:val="0"/>
        <w:rPr>
          <w:rFonts w:hint="eastAsia"/>
          <w:color w:val="auto"/>
          <w:highlight w:val="none"/>
          <w:lang w:val="en-US" w:eastAsia="zh-CN"/>
        </w:rPr>
      </w:pPr>
    </w:p>
    <w:p w14:paraId="2D901E3C">
      <w:pPr>
        <w:bidi w:val="0"/>
        <w:rPr>
          <w:rFonts w:hint="eastAsia"/>
          <w:color w:val="auto"/>
          <w:highlight w:val="none"/>
          <w:lang w:val="en-US" w:eastAsia="zh-CN"/>
        </w:rPr>
      </w:pPr>
    </w:p>
    <w:p w14:paraId="410F9B44">
      <w:pPr>
        <w:bidi w:val="0"/>
        <w:rPr>
          <w:rFonts w:hint="eastAsia"/>
          <w:color w:val="auto"/>
          <w:highlight w:val="none"/>
          <w:lang w:val="en-US" w:eastAsia="zh-CN"/>
        </w:rPr>
      </w:pPr>
    </w:p>
    <w:p w14:paraId="16DFE620">
      <w:pPr>
        <w:bidi w:val="0"/>
        <w:rPr>
          <w:rFonts w:hint="eastAsia"/>
          <w:color w:val="auto"/>
          <w:highlight w:val="none"/>
          <w:lang w:val="en-US" w:eastAsia="zh-CN"/>
        </w:rPr>
      </w:pPr>
    </w:p>
    <w:p w14:paraId="730FF941">
      <w:pPr>
        <w:bidi w:val="0"/>
        <w:rPr>
          <w:rFonts w:hint="eastAsia"/>
          <w:color w:val="auto"/>
          <w:highlight w:val="none"/>
          <w:lang w:val="en-US" w:eastAsia="zh-CN"/>
        </w:rPr>
      </w:pPr>
    </w:p>
    <w:p w14:paraId="73DCD7AB">
      <w:pPr>
        <w:bidi w:val="0"/>
        <w:rPr>
          <w:rFonts w:hint="eastAsia"/>
          <w:color w:val="auto"/>
          <w:highlight w:val="none"/>
          <w:lang w:val="en-US" w:eastAsia="zh-CN"/>
        </w:rPr>
      </w:pPr>
    </w:p>
    <w:p w14:paraId="1503BE18">
      <w:pPr>
        <w:bidi w:val="0"/>
        <w:rPr>
          <w:rFonts w:hint="eastAsia"/>
          <w:color w:val="auto"/>
          <w:highlight w:val="none"/>
          <w:lang w:val="en-US" w:eastAsia="zh-CN"/>
        </w:rPr>
      </w:pPr>
    </w:p>
    <w:p w14:paraId="0595BBD8">
      <w:pPr>
        <w:bidi w:val="0"/>
        <w:rPr>
          <w:rFonts w:hint="eastAsia"/>
          <w:color w:val="auto"/>
          <w:highlight w:val="none"/>
          <w:lang w:val="en-US" w:eastAsia="zh-CN"/>
        </w:rPr>
      </w:pPr>
    </w:p>
    <w:p w14:paraId="562FCF92">
      <w:pPr>
        <w:bidi w:val="0"/>
        <w:rPr>
          <w:rFonts w:hint="eastAsia"/>
          <w:color w:val="auto"/>
          <w:highlight w:val="none"/>
          <w:lang w:val="en-US" w:eastAsia="zh-CN"/>
        </w:rPr>
      </w:pPr>
    </w:p>
    <w:p w14:paraId="258F0198">
      <w:pPr>
        <w:bidi w:val="0"/>
        <w:rPr>
          <w:rFonts w:hint="eastAsia"/>
          <w:color w:val="auto"/>
          <w:highlight w:val="none"/>
          <w:lang w:val="en-US" w:eastAsia="zh-CN"/>
        </w:rPr>
      </w:pPr>
    </w:p>
    <w:p w14:paraId="5D2BA699">
      <w:pPr>
        <w:bidi w:val="0"/>
        <w:rPr>
          <w:rFonts w:hint="eastAsia"/>
          <w:color w:val="auto"/>
          <w:highlight w:val="none"/>
          <w:lang w:val="en-US" w:eastAsia="zh-CN"/>
        </w:rPr>
      </w:pPr>
    </w:p>
    <w:p w14:paraId="2B08AE13">
      <w:pPr>
        <w:bidi w:val="0"/>
        <w:rPr>
          <w:rFonts w:hint="eastAsia"/>
          <w:color w:val="auto"/>
          <w:highlight w:val="none"/>
          <w:lang w:val="en-US" w:eastAsia="zh-CN"/>
        </w:rPr>
      </w:pPr>
    </w:p>
    <w:p w14:paraId="04DADFFC">
      <w:pPr>
        <w:bidi w:val="0"/>
        <w:rPr>
          <w:rFonts w:hint="eastAsia"/>
          <w:color w:val="auto"/>
          <w:highlight w:val="none"/>
          <w:lang w:val="en-US" w:eastAsia="zh-CN"/>
        </w:rPr>
      </w:pPr>
    </w:p>
    <w:p w14:paraId="1028087E">
      <w:pPr>
        <w:bidi w:val="0"/>
        <w:rPr>
          <w:rFonts w:hint="eastAsia"/>
          <w:color w:val="auto"/>
          <w:highlight w:val="none"/>
          <w:lang w:val="en-US" w:eastAsia="zh-CN"/>
        </w:rPr>
      </w:pPr>
    </w:p>
    <w:p w14:paraId="51E2B767">
      <w:pPr>
        <w:bidi w:val="0"/>
        <w:rPr>
          <w:rFonts w:hint="eastAsia"/>
          <w:color w:val="auto"/>
          <w:highlight w:val="none"/>
          <w:lang w:val="en-US" w:eastAsia="zh-CN"/>
        </w:rPr>
      </w:pPr>
    </w:p>
    <w:p w14:paraId="3658CB39">
      <w:pPr>
        <w:bidi w:val="0"/>
        <w:rPr>
          <w:rFonts w:hint="eastAsia"/>
          <w:color w:val="auto"/>
          <w:highlight w:val="none"/>
          <w:lang w:val="en-US" w:eastAsia="zh-CN"/>
        </w:rPr>
      </w:pPr>
    </w:p>
    <w:p w14:paraId="5B3D11A0">
      <w:pPr>
        <w:bidi w:val="0"/>
        <w:rPr>
          <w:rFonts w:hint="eastAsia"/>
          <w:color w:val="auto"/>
          <w:highlight w:val="none"/>
          <w:lang w:val="en-US" w:eastAsia="zh-CN"/>
        </w:rPr>
      </w:pPr>
    </w:p>
    <w:p w14:paraId="4653319E">
      <w:pPr>
        <w:pStyle w:val="18"/>
        <w:rPr>
          <w:rFonts w:hint="eastAsia"/>
          <w:color w:val="auto"/>
          <w:highlight w:val="none"/>
          <w:lang w:val="en-US" w:eastAsia="zh-CN"/>
        </w:rPr>
      </w:pPr>
    </w:p>
    <w:p w14:paraId="6F4448C6">
      <w:pPr>
        <w:rPr>
          <w:rFonts w:hint="eastAsia"/>
          <w:lang w:val="en-US" w:eastAsia="zh-CN"/>
        </w:rPr>
      </w:pPr>
    </w:p>
    <w:p w14:paraId="5E77DF28">
      <w:pPr>
        <w:bidi w:val="0"/>
        <w:rPr>
          <w:rFonts w:hint="eastAsia"/>
          <w:color w:val="auto"/>
          <w:highlight w:val="none"/>
          <w:lang w:val="en-US" w:eastAsia="zh-CN"/>
        </w:rPr>
      </w:pPr>
    </w:p>
    <w:p w14:paraId="1BCA2513">
      <w:pPr>
        <w:bidi w:val="0"/>
        <w:rPr>
          <w:rFonts w:hint="eastAsia"/>
          <w:color w:val="auto"/>
          <w:highlight w:val="none"/>
          <w:lang w:val="en-US" w:eastAsia="zh-CN"/>
        </w:rPr>
      </w:pPr>
    </w:p>
    <w:p w14:paraId="38962A86">
      <w:pPr>
        <w:bidi w:val="0"/>
        <w:rPr>
          <w:rFonts w:hint="eastAsia"/>
          <w:color w:val="auto"/>
          <w:highlight w:val="none"/>
          <w:lang w:val="en-US" w:eastAsia="zh-CN"/>
        </w:rPr>
      </w:pPr>
    </w:p>
    <w:p w14:paraId="52C39AF8">
      <w:pPr>
        <w:widowControl/>
        <w:spacing w:line="360" w:lineRule="auto"/>
        <w:jc w:val="center"/>
        <w:outlineLvl w:val="0"/>
        <w:rPr>
          <w:rFonts w:hint="eastAsia" w:ascii="宋体" w:hAnsi="宋体" w:eastAsia="宋体" w:cs="楷体"/>
          <w:b/>
          <w:color w:val="auto"/>
          <w:kern w:val="0"/>
          <w:sz w:val="36"/>
          <w:szCs w:val="20"/>
          <w:highlight w:val="none"/>
          <w:lang w:val="en-US" w:eastAsia="zh-CN" w:bidi="ar-SA"/>
        </w:rPr>
      </w:pPr>
      <w:bookmarkStart w:id="437" w:name="_Toc25436"/>
      <w:bookmarkStart w:id="438" w:name="_Toc4575"/>
      <w:bookmarkStart w:id="439" w:name="_Toc13310"/>
      <w:bookmarkStart w:id="440" w:name="_Toc16077"/>
      <w:bookmarkStart w:id="441" w:name="_Toc20423"/>
      <w:r>
        <w:rPr>
          <w:rFonts w:hint="eastAsia" w:ascii="宋体" w:hAnsi="宋体" w:eastAsia="宋体" w:cs="楷体"/>
          <w:b/>
          <w:color w:val="auto"/>
          <w:kern w:val="0"/>
          <w:sz w:val="36"/>
          <w:szCs w:val="20"/>
          <w:highlight w:val="none"/>
          <w:lang w:val="en-US" w:eastAsia="zh-CN" w:bidi="ar-SA"/>
        </w:rPr>
        <w:t>第四章 投标文件格式</w:t>
      </w:r>
      <w:bookmarkEnd w:id="399"/>
      <w:bookmarkEnd w:id="400"/>
      <w:bookmarkEnd w:id="401"/>
      <w:bookmarkEnd w:id="437"/>
      <w:bookmarkEnd w:id="438"/>
      <w:bookmarkEnd w:id="439"/>
      <w:bookmarkEnd w:id="440"/>
      <w:bookmarkEnd w:id="441"/>
    </w:p>
    <w:p w14:paraId="07CCA476">
      <w:pPr>
        <w:pStyle w:val="5"/>
        <w:keepLines w:val="0"/>
        <w:pageBreakBefore w:val="0"/>
        <w:widowControl w:val="0"/>
        <w:kinsoku/>
        <w:overflowPunct/>
        <w:topLinePunct w:val="0"/>
        <w:autoSpaceDE/>
        <w:autoSpaceDN/>
        <w:bidi w:val="0"/>
        <w:snapToGrid/>
        <w:spacing w:before="0" w:line="460" w:lineRule="exact"/>
        <w:ind w:left="0" w:firstLine="0"/>
        <w:jc w:val="center"/>
        <w:rPr>
          <w:rFonts w:hint="eastAsia" w:ascii="仿宋" w:hAnsi="仿宋" w:eastAsia="仿宋" w:cs="仿宋"/>
          <w:color w:val="auto"/>
          <w:sz w:val="36"/>
          <w:szCs w:val="36"/>
          <w:highlight w:val="none"/>
        </w:rPr>
      </w:pPr>
      <w:bookmarkStart w:id="442" w:name="_Toc9277"/>
      <w:bookmarkStart w:id="443" w:name="_Toc363509121"/>
      <w:bookmarkStart w:id="444" w:name="_Toc13009"/>
      <w:bookmarkStart w:id="445" w:name="_Toc11840"/>
      <w:bookmarkStart w:id="446" w:name="_Toc25794"/>
      <w:bookmarkStart w:id="447" w:name="_Toc364392643"/>
      <w:bookmarkStart w:id="448" w:name="_Toc9610"/>
      <w:bookmarkStart w:id="449" w:name="_Toc21010"/>
      <w:bookmarkStart w:id="450" w:name="_Toc29153"/>
      <w:bookmarkStart w:id="451" w:name="_Toc13025"/>
      <w:r>
        <w:rPr>
          <w:rFonts w:hint="eastAsia" w:ascii="仿宋" w:hAnsi="仿宋" w:eastAsia="仿宋" w:cs="仿宋"/>
          <w:color w:val="auto"/>
          <w:sz w:val="36"/>
          <w:szCs w:val="36"/>
          <w:highlight w:val="none"/>
          <w:lang w:val="en-US" w:eastAsia="zh-CN"/>
        </w:rPr>
        <w:t>一、投标文件封面</w:t>
      </w:r>
      <w:bookmarkEnd w:id="442"/>
      <w:bookmarkEnd w:id="443"/>
      <w:bookmarkEnd w:id="444"/>
      <w:bookmarkEnd w:id="445"/>
      <w:bookmarkEnd w:id="446"/>
      <w:bookmarkEnd w:id="447"/>
      <w:bookmarkEnd w:id="448"/>
      <w:bookmarkEnd w:id="449"/>
      <w:r>
        <w:rPr>
          <w:rFonts w:hint="eastAsia" w:ascii="仿宋" w:hAnsi="仿宋" w:eastAsia="仿宋" w:cs="仿宋"/>
          <w:color w:val="auto"/>
          <w:sz w:val="36"/>
          <w:szCs w:val="36"/>
          <w:highlight w:val="none"/>
        </w:rPr>
        <w:tab/>
      </w:r>
    </w:p>
    <w:p w14:paraId="11CA5327">
      <w:pPr>
        <w:bidi w:val="0"/>
        <w:rPr>
          <w:rFonts w:hint="eastAsia"/>
        </w:rPr>
      </w:pPr>
    </w:p>
    <w:p w14:paraId="44065D90">
      <w:pPr>
        <w:pStyle w:val="55"/>
        <w:spacing w:line="360" w:lineRule="auto"/>
        <w:ind w:left="0" w:leftChars="0" w:firstLine="0" w:firstLineChars="0"/>
        <w:jc w:val="center"/>
        <w:rPr>
          <w:rFonts w:hint="eastAsia" w:ascii="仿宋" w:hAnsi="仿宋" w:eastAsia="仿宋" w:cs="仿宋"/>
          <w:color w:val="auto"/>
          <w:sz w:val="22"/>
          <w:szCs w:val="22"/>
          <w:highlight w:val="none"/>
        </w:rPr>
      </w:pPr>
      <w:r>
        <w:rPr>
          <w:rFonts w:hint="eastAsia" w:ascii="仿宋" w:hAnsi="仿宋" w:eastAsia="仿宋" w:cs="仿宋"/>
          <w:b/>
          <w:bCs/>
          <w:color w:val="auto"/>
          <w:kern w:val="0"/>
          <w:sz w:val="40"/>
          <w:szCs w:val="40"/>
          <w:highlight w:val="none"/>
          <w:lang w:eastAsia="zh-CN"/>
        </w:rPr>
        <w:t>大理白族自治州财贸学校职业教育贯通培养试点项目非集采部分（货物）</w:t>
      </w:r>
    </w:p>
    <w:p w14:paraId="5DAE297C">
      <w:pPr>
        <w:pStyle w:val="55"/>
        <w:rPr>
          <w:rFonts w:hint="eastAsia" w:ascii="仿宋" w:hAnsi="仿宋" w:eastAsia="仿宋" w:cs="仿宋"/>
          <w:color w:val="auto"/>
          <w:sz w:val="24"/>
          <w:szCs w:val="24"/>
          <w:highlight w:val="none"/>
        </w:rPr>
      </w:pPr>
    </w:p>
    <w:p w14:paraId="3FE3AE43">
      <w:pPr>
        <w:pStyle w:val="55"/>
        <w:rPr>
          <w:rFonts w:hint="eastAsia" w:ascii="仿宋" w:hAnsi="仿宋" w:eastAsia="仿宋" w:cs="仿宋"/>
          <w:color w:val="auto"/>
          <w:sz w:val="24"/>
          <w:szCs w:val="24"/>
          <w:highlight w:val="none"/>
        </w:rPr>
      </w:pPr>
    </w:p>
    <w:p w14:paraId="57383709">
      <w:pPr>
        <w:pStyle w:val="55"/>
        <w:rPr>
          <w:rFonts w:hint="eastAsia" w:ascii="仿宋" w:hAnsi="仿宋" w:eastAsia="仿宋" w:cs="仿宋"/>
          <w:color w:val="auto"/>
          <w:sz w:val="24"/>
          <w:szCs w:val="24"/>
          <w:highlight w:val="none"/>
        </w:rPr>
      </w:pPr>
    </w:p>
    <w:p w14:paraId="2C2DC128">
      <w:pPr>
        <w:pStyle w:val="55"/>
        <w:rPr>
          <w:rFonts w:hint="eastAsia" w:ascii="仿宋" w:hAnsi="仿宋" w:eastAsia="仿宋" w:cs="仿宋"/>
          <w:color w:val="auto"/>
          <w:sz w:val="24"/>
          <w:szCs w:val="24"/>
          <w:highlight w:val="none"/>
        </w:rPr>
      </w:pPr>
    </w:p>
    <w:p w14:paraId="2C66B027">
      <w:pPr>
        <w:pStyle w:val="55"/>
        <w:rPr>
          <w:rFonts w:hint="eastAsia" w:ascii="仿宋" w:hAnsi="仿宋" w:eastAsia="仿宋" w:cs="仿宋"/>
          <w:color w:val="auto"/>
          <w:sz w:val="24"/>
          <w:szCs w:val="24"/>
          <w:highlight w:val="none"/>
        </w:rPr>
      </w:pPr>
    </w:p>
    <w:p w14:paraId="59D6F51A">
      <w:pPr>
        <w:pStyle w:val="55"/>
        <w:rPr>
          <w:rFonts w:hint="eastAsia" w:ascii="仿宋" w:hAnsi="仿宋" w:eastAsia="仿宋" w:cs="仿宋"/>
          <w:color w:val="auto"/>
          <w:sz w:val="24"/>
          <w:szCs w:val="24"/>
          <w:highlight w:val="none"/>
        </w:rPr>
      </w:pPr>
    </w:p>
    <w:p w14:paraId="4C2AFC47">
      <w:pPr>
        <w:pStyle w:val="55"/>
        <w:rPr>
          <w:rFonts w:hint="eastAsia" w:ascii="仿宋" w:hAnsi="仿宋" w:eastAsia="仿宋" w:cs="仿宋"/>
          <w:color w:val="auto"/>
          <w:sz w:val="24"/>
          <w:szCs w:val="24"/>
          <w:highlight w:val="none"/>
        </w:rPr>
      </w:pPr>
    </w:p>
    <w:p w14:paraId="0B34D788">
      <w:pPr>
        <w:bidi w:val="0"/>
        <w:rPr>
          <w:rFonts w:hint="eastAsia"/>
        </w:rPr>
      </w:pPr>
    </w:p>
    <w:p w14:paraId="37FA50A9">
      <w:pPr>
        <w:pStyle w:val="22"/>
        <w:spacing w:line="240" w:lineRule="auto"/>
        <w:jc w:val="center"/>
        <w:rPr>
          <w:rFonts w:hint="eastAsia" w:ascii="华文楷体" w:hAnsi="华文楷体" w:eastAsia="华文楷体" w:cs="华文楷体"/>
          <w:b/>
          <w:color w:val="auto"/>
          <w:sz w:val="40"/>
          <w:szCs w:val="40"/>
          <w:highlight w:val="none"/>
        </w:rPr>
      </w:pPr>
      <w:r>
        <w:rPr>
          <w:rFonts w:hint="eastAsia" w:ascii="华文楷体" w:hAnsi="华文楷体" w:eastAsia="华文楷体" w:cs="华文楷体"/>
          <w:b/>
          <w:color w:val="auto"/>
          <w:sz w:val="96"/>
          <w:szCs w:val="96"/>
          <w:highlight w:val="none"/>
        </w:rPr>
        <w:t>投 标 文 件</w:t>
      </w:r>
    </w:p>
    <w:p w14:paraId="073DFF67">
      <w:pPr>
        <w:pStyle w:val="22"/>
        <w:spacing w:line="500" w:lineRule="exact"/>
        <w:jc w:val="center"/>
        <w:rPr>
          <w:rFonts w:hint="eastAsia" w:ascii="仿宋" w:hAnsi="仿宋" w:eastAsia="仿宋" w:cs="仿宋"/>
          <w:b/>
          <w:color w:val="auto"/>
          <w:sz w:val="28"/>
          <w:szCs w:val="28"/>
          <w:highlight w:val="none"/>
          <w:u w:val="single"/>
        </w:rPr>
      </w:pPr>
      <w:r>
        <w:rPr>
          <w:rFonts w:hint="eastAsia" w:ascii="仿宋" w:hAnsi="仿宋" w:eastAsia="仿宋" w:cs="仿宋"/>
          <w:b/>
          <w:color w:val="auto"/>
          <w:sz w:val="28"/>
          <w:szCs w:val="28"/>
          <w:highlight w:val="none"/>
          <w:lang w:eastAsia="zh-CN"/>
        </w:rPr>
        <w:t>项目编号</w:t>
      </w:r>
      <w:r>
        <w:rPr>
          <w:rFonts w:hint="eastAsia" w:ascii="仿宋" w:hAnsi="仿宋" w:eastAsia="仿宋" w:cs="仿宋"/>
          <w:b/>
          <w:color w:val="auto"/>
          <w:sz w:val="28"/>
          <w:szCs w:val="28"/>
          <w:highlight w:val="none"/>
        </w:rPr>
        <w:t>：</w:t>
      </w:r>
    </w:p>
    <w:p w14:paraId="34D742E7">
      <w:pPr>
        <w:bidi w:val="0"/>
        <w:rPr>
          <w:rFonts w:hint="eastAsia"/>
        </w:rPr>
      </w:pPr>
    </w:p>
    <w:p w14:paraId="7FCC5EB8">
      <w:pPr>
        <w:bidi w:val="0"/>
        <w:rPr>
          <w:rFonts w:hint="eastAsia"/>
        </w:rPr>
      </w:pPr>
    </w:p>
    <w:p w14:paraId="59866ECD">
      <w:pPr>
        <w:bidi w:val="0"/>
        <w:rPr>
          <w:rFonts w:hint="eastAsia"/>
        </w:rPr>
      </w:pPr>
    </w:p>
    <w:p w14:paraId="17D0873F">
      <w:pPr>
        <w:bidi w:val="0"/>
        <w:rPr>
          <w:rFonts w:hint="eastAsia"/>
        </w:rPr>
      </w:pPr>
    </w:p>
    <w:p w14:paraId="79811CBF">
      <w:pPr>
        <w:bidi w:val="0"/>
        <w:rPr>
          <w:rFonts w:hint="eastAsia"/>
        </w:rPr>
      </w:pPr>
    </w:p>
    <w:p w14:paraId="4575711F">
      <w:pPr>
        <w:bidi w:val="0"/>
        <w:rPr>
          <w:rFonts w:hint="eastAsia"/>
        </w:rPr>
      </w:pPr>
    </w:p>
    <w:p w14:paraId="4065A062">
      <w:pPr>
        <w:bidi w:val="0"/>
        <w:rPr>
          <w:rFonts w:hint="eastAsia"/>
        </w:rPr>
      </w:pPr>
    </w:p>
    <w:p w14:paraId="308C8E7F">
      <w:pPr>
        <w:bidi w:val="0"/>
        <w:rPr>
          <w:rFonts w:hint="eastAsia"/>
        </w:rPr>
      </w:pPr>
    </w:p>
    <w:p w14:paraId="46D6A102">
      <w:pPr>
        <w:bidi w:val="0"/>
        <w:rPr>
          <w:rFonts w:hint="eastAsia"/>
        </w:rPr>
      </w:pPr>
    </w:p>
    <w:p w14:paraId="533E0356">
      <w:pPr>
        <w:bidi w:val="0"/>
        <w:rPr>
          <w:rFonts w:hint="eastAsia"/>
        </w:rPr>
      </w:pPr>
    </w:p>
    <w:p w14:paraId="112A9D89">
      <w:pPr>
        <w:bidi w:val="0"/>
        <w:rPr>
          <w:rFonts w:hint="eastAsia"/>
        </w:rPr>
      </w:pPr>
    </w:p>
    <w:p w14:paraId="60158EC9">
      <w:pPr>
        <w:bidi w:val="0"/>
        <w:rPr>
          <w:rFonts w:hint="eastAsia"/>
        </w:rPr>
      </w:pPr>
    </w:p>
    <w:p w14:paraId="3602813E">
      <w:pPr>
        <w:bidi w:val="0"/>
        <w:rPr>
          <w:rFonts w:hint="eastAsia"/>
        </w:rPr>
      </w:pPr>
    </w:p>
    <w:p w14:paraId="06938675">
      <w:pPr>
        <w:bidi w:val="0"/>
        <w:rPr>
          <w:rFonts w:hint="eastAsia"/>
        </w:rPr>
      </w:pPr>
    </w:p>
    <w:p w14:paraId="6BE545E7">
      <w:pPr>
        <w:bidi w:val="0"/>
        <w:rPr>
          <w:rFonts w:hint="eastAsia"/>
        </w:rPr>
      </w:pPr>
    </w:p>
    <w:p w14:paraId="61C8CC40">
      <w:pPr>
        <w:bidi w:val="0"/>
        <w:rPr>
          <w:rFonts w:hint="eastAsia"/>
        </w:rPr>
      </w:pPr>
    </w:p>
    <w:p w14:paraId="54510245">
      <w:pPr>
        <w:bidi w:val="0"/>
        <w:rPr>
          <w:rFonts w:hint="eastAsia"/>
        </w:rPr>
      </w:pPr>
    </w:p>
    <w:p w14:paraId="5113CC4E">
      <w:pPr>
        <w:spacing w:line="480" w:lineRule="auto"/>
        <w:ind w:firstLine="1470" w:firstLineChars="52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投标人名称(电子签章)：</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p>
    <w:p w14:paraId="11F6A172">
      <w:pPr>
        <w:pStyle w:val="22"/>
        <w:spacing w:line="480" w:lineRule="auto"/>
        <w:ind w:firstLine="1470" w:firstLineChars="52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法定代表人或委托代理人（签字或电子签章）：</w:t>
      </w:r>
      <w:r>
        <w:rPr>
          <w:rFonts w:hint="eastAsia" w:ascii="仿宋" w:hAnsi="仿宋" w:eastAsia="仿宋" w:cs="仿宋"/>
          <w:color w:val="auto"/>
          <w:sz w:val="28"/>
          <w:szCs w:val="28"/>
          <w:highlight w:val="none"/>
          <w:u w:val="single"/>
        </w:rPr>
        <w:t xml:space="preserve">              </w:t>
      </w:r>
    </w:p>
    <w:p w14:paraId="6BDF5DC2">
      <w:pPr>
        <w:pStyle w:val="22"/>
        <w:spacing w:line="480" w:lineRule="auto"/>
        <w:ind w:firstLine="1470" w:firstLineChars="52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      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bookmarkEnd w:id="450"/>
    <w:p w14:paraId="6EB3B5A9">
      <w:pPr>
        <w:pStyle w:val="5"/>
        <w:keepLines w:val="0"/>
        <w:pageBreakBefore w:val="0"/>
        <w:widowControl w:val="0"/>
        <w:kinsoku/>
        <w:overflowPunct/>
        <w:topLinePunct w:val="0"/>
        <w:autoSpaceDE/>
        <w:autoSpaceDN/>
        <w:bidi w:val="0"/>
        <w:snapToGrid/>
        <w:spacing w:before="0" w:line="460" w:lineRule="exact"/>
        <w:ind w:left="0" w:firstLine="0"/>
        <w:jc w:val="center"/>
        <w:rPr>
          <w:rFonts w:hint="eastAsia" w:ascii="仿宋" w:hAnsi="仿宋" w:eastAsia="仿宋" w:cs="仿宋"/>
          <w:color w:val="auto"/>
          <w:sz w:val="36"/>
          <w:szCs w:val="36"/>
          <w:highlight w:val="none"/>
          <w:lang w:val="en-US" w:eastAsia="zh-CN"/>
        </w:rPr>
      </w:pPr>
      <w:bookmarkStart w:id="452" w:name="_Toc675"/>
      <w:bookmarkStart w:id="453" w:name="_Toc30578"/>
      <w:bookmarkStart w:id="454" w:name="_Toc16511"/>
      <w:bookmarkStart w:id="455" w:name="_Toc23649"/>
      <w:bookmarkStart w:id="456" w:name="_Toc17957"/>
      <w:bookmarkStart w:id="457" w:name="_Toc20446"/>
      <w:r>
        <w:rPr>
          <w:rFonts w:hint="eastAsia" w:ascii="仿宋" w:hAnsi="仿宋" w:eastAsia="仿宋" w:cs="仿宋"/>
          <w:color w:val="auto"/>
          <w:sz w:val="36"/>
          <w:szCs w:val="36"/>
          <w:highlight w:val="none"/>
          <w:lang w:val="en-US" w:eastAsia="zh-CN"/>
        </w:rPr>
        <w:t>二、报价一览表</w:t>
      </w:r>
      <w:bookmarkEnd w:id="452"/>
      <w:bookmarkEnd w:id="453"/>
      <w:bookmarkEnd w:id="454"/>
      <w:bookmarkEnd w:id="455"/>
      <w:bookmarkEnd w:id="456"/>
      <w:bookmarkEnd w:id="457"/>
    </w:p>
    <w:p w14:paraId="146AAB4D">
      <w:pPr>
        <w:pStyle w:val="22"/>
        <w:autoSpaceDE w:val="0"/>
        <w:autoSpaceDN w:val="0"/>
        <w:adjustRightInd w:val="0"/>
        <w:rPr>
          <w:rFonts w:hint="eastAsia" w:ascii="仿宋" w:hAnsi="仿宋" w:eastAsia="仿宋" w:cs="仿宋"/>
          <w:b/>
          <w:bCs/>
          <w:color w:val="auto"/>
          <w:kern w:val="0"/>
          <w:sz w:val="24"/>
          <w:szCs w:val="24"/>
          <w:highlight w:val="none"/>
        </w:rPr>
      </w:pPr>
      <w:r>
        <w:rPr>
          <w:rFonts w:hint="eastAsia" w:ascii="仿宋" w:hAnsi="仿宋" w:eastAsia="仿宋" w:cs="仿宋"/>
          <w:color w:val="auto"/>
          <w:sz w:val="24"/>
          <w:szCs w:val="24"/>
          <w:highlight w:val="none"/>
        </w:rPr>
        <w:t>项目名称：</w:t>
      </w:r>
    </w:p>
    <w:p w14:paraId="621BC113">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项目编号</w:t>
      </w:r>
      <w:r>
        <w:rPr>
          <w:rFonts w:hint="eastAsia" w:ascii="仿宋" w:hAnsi="仿宋" w:eastAsia="仿宋" w:cs="仿宋"/>
          <w:color w:val="auto"/>
          <w:sz w:val="24"/>
          <w:szCs w:val="24"/>
          <w:highlight w:val="none"/>
        </w:rPr>
        <w:t xml:space="preserve">： </w:t>
      </w:r>
    </w:p>
    <w:tbl>
      <w:tblPr>
        <w:tblStyle w:val="41"/>
        <w:tblW w:w="0" w:type="auto"/>
        <w:tblInd w:w="0" w:type="dxa"/>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Layout w:type="fixed"/>
        <w:tblCellMar>
          <w:top w:w="0" w:type="dxa"/>
          <w:left w:w="108" w:type="dxa"/>
          <w:bottom w:w="0" w:type="dxa"/>
          <w:right w:w="108" w:type="dxa"/>
        </w:tblCellMar>
      </w:tblPr>
      <w:tblGrid>
        <w:gridCol w:w="2030"/>
        <w:gridCol w:w="7598"/>
      </w:tblGrid>
      <w:tr w14:paraId="3712C8FC">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2030" w:type="dxa"/>
            <w:vAlign w:val="center"/>
          </w:tcPr>
          <w:p w14:paraId="48A95285">
            <w:pPr>
              <w:spacing w:before="120" w:after="120" w:line="240" w:lineRule="atLeast"/>
              <w:jc w:val="center"/>
              <w:rPr>
                <w:rFonts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投标人名称</w:t>
            </w:r>
          </w:p>
        </w:tc>
        <w:tc>
          <w:tcPr>
            <w:tcW w:w="7598" w:type="dxa"/>
            <w:vAlign w:val="center"/>
          </w:tcPr>
          <w:p w14:paraId="32E427A5">
            <w:pPr>
              <w:spacing w:before="120" w:after="120" w:line="240" w:lineRule="atLeast"/>
              <w:rPr>
                <w:rFonts w:ascii="仿宋" w:hAnsi="仿宋" w:eastAsia="仿宋" w:cs="仿宋"/>
                <w:i w:val="0"/>
                <w:iCs w:val="0"/>
                <w:color w:val="auto"/>
                <w:sz w:val="24"/>
                <w:highlight w:val="none"/>
              </w:rPr>
            </w:pPr>
          </w:p>
        </w:tc>
      </w:tr>
      <w:tr w14:paraId="3F9A0DA7">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2030" w:type="dxa"/>
            <w:vAlign w:val="center"/>
          </w:tcPr>
          <w:p w14:paraId="1FC27DFC">
            <w:pPr>
              <w:spacing w:before="120" w:after="120" w:line="240" w:lineRule="atLeast"/>
              <w:jc w:val="center"/>
              <w:rPr>
                <w:rFonts w:hint="eastAsia" w:ascii="仿宋" w:hAnsi="仿宋" w:eastAsia="仿宋" w:cs="仿宋"/>
                <w:i w:val="0"/>
                <w:iCs w:val="0"/>
                <w:color w:val="auto"/>
                <w:sz w:val="24"/>
                <w:highlight w:val="none"/>
                <w:lang w:val="en-US" w:eastAsia="zh-CN"/>
              </w:rPr>
            </w:pPr>
            <w:r>
              <w:rPr>
                <w:rFonts w:hint="eastAsia" w:ascii="仿宋" w:hAnsi="仿宋" w:eastAsia="仿宋" w:cs="仿宋"/>
                <w:i w:val="0"/>
                <w:iCs w:val="0"/>
                <w:color w:val="auto"/>
                <w:sz w:val="24"/>
                <w:highlight w:val="none"/>
              </w:rPr>
              <w:t>投标</w:t>
            </w:r>
            <w:r>
              <w:rPr>
                <w:rFonts w:hint="eastAsia" w:ascii="仿宋" w:hAnsi="仿宋" w:eastAsia="仿宋" w:cs="仿宋"/>
                <w:i w:val="0"/>
                <w:iCs w:val="0"/>
                <w:color w:val="auto"/>
                <w:sz w:val="24"/>
                <w:highlight w:val="none"/>
                <w:lang w:val="en-US" w:eastAsia="zh-CN"/>
              </w:rPr>
              <w:t>报价（元）</w:t>
            </w:r>
          </w:p>
        </w:tc>
        <w:tc>
          <w:tcPr>
            <w:tcW w:w="7598" w:type="dxa"/>
            <w:vAlign w:val="center"/>
          </w:tcPr>
          <w:p w14:paraId="1FA57D18">
            <w:pPr>
              <w:spacing w:before="120" w:after="120" w:line="240" w:lineRule="atLeast"/>
              <w:jc w:val="center"/>
              <w:rPr>
                <w:rFonts w:hint="default" w:ascii="仿宋" w:hAnsi="仿宋" w:eastAsia="仿宋" w:cs="仿宋"/>
                <w:i w:val="0"/>
                <w:iCs w:val="0"/>
                <w:color w:val="auto"/>
                <w:sz w:val="24"/>
                <w:highlight w:val="none"/>
                <w:u w:val="single"/>
                <w:lang w:val="en-US" w:eastAsia="zh-CN"/>
              </w:rPr>
            </w:pPr>
          </w:p>
        </w:tc>
      </w:tr>
      <w:tr w14:paraId="25BE84E4">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2030" w:type="dxa"/>
            <w:vAlign w:val="center"/>
          </w:tcPr>
          <w:p w14:paraId="3B748DAD">
            <w:pPr>
              <w:pageBreakBefore w:val="0"/>
              <w:widowControl w:val="0"/>
              <w:numPr>
                <w:ilvl w:val="0"/>
                <w:numId w:val="0"/>
              </w:numPr>
              <w:kinsoku/>
              <w:overflowPunct/>
              <w:topLinePunct w:val="0"/>
              <w:autoSpaceDE/>
              <w:autoSpaceDN/>
              <w:bidi w:val="0"/>
              <w:adjustRightInd/>
              <w:snapToGrid w:val="0"/>
              <w:spacing w:line="520" w:lineRule="exact"/>
              <w:jc w:val="center"/>
              <w:textAlignment w:val="auto"/>
              <w:rPr>
                <w:rFonts w:hint="default" w:ascii="仿宋" w:hAnsi="仿宋" w:eastAsia="仿宋" w:cs="仿宋"/>
                <w:i w:val="0"/>
                <w:iCs w:val="0"/>
                <w:color w:val="auto"/>
                <w:sz w:val="24"/>
                <w:highlight w:val="none"/>
                <w:lang w:val="en-US"/>
              </w:rPr>
            </w:pPr>
            <w:r>
              <w:rPr>
                <w:rFonts w:hint="eastAsia" w:ascii="仿宋" w:hAnsi="仿宋" w:eastAsia="仿宋" w:cs="仿宋"/>
                <w:i w:val="0"/>
                <w:iCs w:val="0"/>
                <w:color w:val="auto"/>
                <w:sz w:val="24"/>
                <w:highlight w:val="none"/>
                <w:lang w:val="en-US" w:eastAsia="zh-CN"/>
              </w:rPr>
              <w:t>合同履行期限</w:t>
            </w:r>
          </w:p>
        </w:tc>
        <w:tc>
          <w:tcPr>
            <w:tcW w:w="7598" w:type="dxa"/>
            <w:vAlign w:val="center"/>
          </w:tcPr>
          <w:p w14:paraId="7488D62C">
            <w:pPr>
              <w:spacing w:before="120" w:after="120" w:line="240" w:lineRule="atLeast"/>
              <w:jc w:val="center"/>
              <w:rPr>
                <w:rFonts w:ascii="仿宋" w:hAnsi="仿宋" w:eastAsia="仿宋" w:cs="仿宋"/>
                <w:i w:val="0"/>
                <w:iCs w:val="0"/>
                <w:color w:val="auto"/>
                <w:sz w:val="24"/>
                <w:highlight w:val="none"/>
              </w:rPr>
            </w:pPr>
          </w:p>
        </w:tc>
      </w:tr>
      <w:tr w14:paraId="4C08F28A">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1003" w:hRule="atLeast"/>
        </w:trPr>
        <w:tc>
          <w:tcPr>
            <w:tcW w:w="2030" w:type="dxa"/>
            <w:vAlign w:val="center"/>
          </w:tcPr>
          <w:p w14:paraId="66E68925">
            <w:pPr>
              <w:pageBreakBefore w:val="0"/>
              <w:widowControl w:val="0"/>
              <w:numPr>
                <w:ilvl w:val="0"/>
                <w:numId w:val="0"/>
              </w:numPr>
              <w:kinsoku/>
              <w:overflowPunct/>
              <w:topLinePunct w:val="0"/>
              <w:autoSpaceDE/>
              <w:autoSpaceDN/>
              <w:bidi w:val="0"/>
              <w:adjustRightInd/>
              <w:snapToGrid w:val="0"/>
              <w:spacing w:line="520" w:lineRule="exact"/>
              <w:jc w:val="center"/>
              <w:textAlignment w:val="auto"/>
              <w:rPr>
                <w:rFonts w:hint="default" w:ascii="仿宋" w:hAnsi="仿宋" w:eastAsia="仿宋" w:cs="仿宋"/>
                <w:i w:val="0"/>
                <w:iCs w:val="0"/>
                <w:color w:val="auto"/>
                <w:sz w:val="24"/>
                <w:highlight w:val="none"/>
                <w:lang w:val="en-US" w:eastAsia="zh-CN"/>
              </w:rPr>
            </w:pPr>
            <w:r>
              <w:rPr>
                <w:rFonts w:hint="eastAsia" w:ascii="仿宋" w:hAnsi="仿宋" w:eastAsia="仿宋" w:cs="仿宋"/>
                <w:i w:val="0"/>
                <w:iCs w:val="0"/>
                <w:color w:val="auto"/>
                <w:sz w:val="24"/>
                <w:highlight w:val="none"/>
                <w:lang w:val="en-US" w:eastAsia="zh-CN"/>
              </w:rPr>
              <w:t>质量承诺</w:t>
            </w:r>
          </w:p>
        </w:tc>
        <w:tc>
          <w:tcPr>
            <w:tcW w:w="7598" w:type="dxa"/>
            <w:vAlign w:val="center"/>
          </w:tcPr>
          <w:p w14:paraId="7144D09D">
            <w:pPr>
              <w:jc w:val="left"/>
              <w:rPr>
                <w:rFonts w:ascii="仿宋" w:hAnsi="仿宋" w:eastAsia="仿宋" w:cs="仿宋"/>
                <w:i w:val="0"/>
                <w:iCs w:val="0"/>
                <w:color w:val="auto"/>
                <w:sz w:val="24"/>
                <w:highlight w:val="none"/>
              </w:rPr>
            </w:pPr>
          </w:p>
        </w:tc>
      </w:tr>
      <w:tr w14:paraId="5582F3F1">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1003" w:hRule="atLeast"/>
        </w:trPr>
        <w:tc>
          <w:tcPr>
            <w:tcW w:w="2030" w:type="dxa"/>
            <w:vAlign w:val="center"/>
          </w:tcPr>
          <w:p w14:paraId="6C3FFFD1">
            <w:pPr>
              <w:spacing w:before="120" w:after="120" w:line="240" w:lineRule="atLeast"/>
              <w:jc w:val="center"/>
              <w:rPr>
                <w:rFonts w:hint="default" w:ascii="仿宋" w:hAnsi="仿宋" w:eastAsia="仿宋" w:cs="仿宋"/>
                <w:i w:val="0"/>
                <w:iCs w:val="0"/>
                <w:color w:val="auto"/>
                <w:sz w:val="24"/>
                <w:highlight w:val="none"/>
                <w:lang w:val="en-US" w:eastAsia="zh-CN"/>
              </w:rPr>
            </w:pPr>
            <w:r>
              <w:rPr>
                <w:rFonts w:hint="eastAsia" w:ascii="仿宋" w:hAnsi="仿宋" w:eastAsia="仿宋" w:cs="仿宋"/>
                <w:i w:val="0"/>
                <w:iCs w:val="0"/>
                <w:color w:val="auto"/>
                <w:sz w:val="24"/>
                <w:highlight w:val="none"/>
                <w:lang w:val="en-US" w:eastAsia="zh-CN"/>
              </w:rPr>
              <w:t>质保期限</w:t>
            </w:r>
          </w:p>
        </w:tc>
        <w:tc>
          <w:tcPr>
            <w:tcW w:w="7598" w:type="dxa"/>
            <w:vAlign w:val="center"/>
          </w:tcPr>
          <w:p w14:paraId="17F65331">
            <w:pPr>
              <w:jc w:val="left"/>
              <w:rPr>
                <w:rFonts w:ascii="仿宋" w:hAnsi="仿宋" w:eastAsia="仿宋" w:cs="仿宋"/>
                <w:i w:val="0"/>
                <w:iCs w:val="0"/>
                <w:color w:val="auto"/>
                <w:sz w:val="24"/>
                <w:highlight w:val="none"/>
              </w:rPr>
            </w:pPr>
          </w:p>
        </w:tc>
      </w:tr>
      <w:tr w14:paraId="19CAD354">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1138" w:hRule="atLeast"/>
        </w:trPr>
        <w:tc>
          <w:tcPr>
            <w:tcW w:w="9628" w:type="dxa"/>
            <w:gridSpan w:val="2"/>
            <w:vAlign w:val="center"/>
          </w:tcPr>
          <w:p w14:paraId="2A0A3BD7">
            <w:pPr>
              <w:spacing w:before="120" w:after="120" w:line="240" w:lineRule="atLeast"/>
              <w:rPr>
                <w:rFonts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投标人（</w:t>
            </w:r>
            <w:r>
              <w:rPr>
                <w:rFonts w:hint="eastAsia" w:ascii="仿宋" w:hAnsi="仿宋" w:eastAsia="仿宋" w:cs="仿宋"/>
                <w:i w:val="0"/>
                <w:iCs w:val="0"/>
                <w:color w:val="auto"/>
                <w:sz w:val="24"/>
                <w:highlight w:val="none"/>
                <w:lang w:val="en-US" w:eastAsia="zh-CN"/>
              </w:rPr>
              <w:t>电子签章</w:t>
            </w:r>
            <w:r>
              <w:rPr>
                <w:rFonts w:hint="eastAsia" w:ascii="仿宋" w:hAnsi="仿宋" w:eastAsia="仿宋" w:cs="仿宋"/>
                <w:i w:val="0"/>
                <w:iCs w:val="0"/>
                <w:color w:val="auto"/>
                <w:sz w:val="24"/>
                <w:highlight w:val="none"/>
              </w:rPr>
              <w:t>）：</w:t>
            </w:r>
            <w:r>
              <w:rPr>
                <w:rFonts w:hint="eastAsia" w:ascii="仿宋" w:hAnsi="仿宋" w:eastAsia="仿宋" w:cs="仿宋"/>
                <w:i w:val="0"/>
                <w:iCs w:val="0"/>
                <w:color w:val="auto"/>
                <w:sz w:val="24"/>
                <w:highlight w:val="none"/>
                <w:u w:val="single"/>
              </w:rPr>
              <w:t xml:space="preserve">                      </w:t>
            </w:r>
          </w:p>
        </w:tc>
      </w:tr>
      <w:tr w14:paraId="4E676330">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1409" w:hRule="atLeast"/>
        </w:trPr>
        <w:tc>
          <w:tcPr>
            <w:tcW w:w="9628" w:type="dxa"/>
            <w:gridSpan w:val="2"/>
            <w:vAlign w:val="bottom"/>
          </w:tcPr>
          <w:p w14:paraId="12C8313B">
            <w:pPr>
              <w:spacing w:before="120" w:after="120" w:line="240" w:lineRule="atLeast"/>
              <w:ind w:right="480"/>
              <w:rPr>
                <w:rFonts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法定代表人或委托代理人（签字或电子签章）：</w:t>
            </w:r>
            <w:r>
              <w:rPr>
                <w:rFonts w:hint="eastAsia" w:ascii="仿宋" w:hAnsi="仿宋" w:eastAsia="仿宋" w:cs="仿宋"/>
                <w:i w:val="0"/>
                <w:iCs w:val="0"/>
                <w:color w:val="auto"/>
                <w:sz w:val="24"/>
                <w:highlight w:val="none"/>
                <w:u w:val="single"/>
              </w:rPr>
              <w:t xml:space="preserve">                 </w:t>
            </w:r>
          </w:p>
          <w:p w14:paraId="1736A598">
            <w:pPr>
              <w:spacing w:before="120" w:after="120" w:line="240" w:lineRule="atLeast"/>
              <w:jc w:val="right"/>
              <w:rPr>
                <w:rFonts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日期：</w:t>
            </w:r>
            <w:r>
              <w:rPr>
                <w:rFonts w:hint="eastAsia" w:ascii="仿宋" w:hAnsi="仿宋" w:eastAsia="仿宋" w:cs="仿宋"/>
                <w:i w:val="0"/>
                <w:iCs w:val="0"/>
                <w:color w:val="auto"/>
                <w:sz w:val="24"/>
                <w:highlight w:val="none"/>
                <w:u w:val="single"/>
              </w:rPr>
              <w:t xml:space="preserve">    </w:t>
            </w:r>
            <w:r>
              <w:rPr>
                <w:rFonts w:hint="eastAsia" w:ascii="仿宋" w:hAnsi="仿宋" w:eastAsia="仿宋" w:cs="仿宋"/>
                <w:i w:val="0"/>
                <w:iCs w:val="0"/>
                <w:color w:val="auto"/>
                <w:sz w:val="24"/>
                <w:highlight w:val="none"/>
              </w:rPr>
              <w:t xml:space="preserve">年 </w:t>
            </w:r>
            <w:r>
              <w:rPr>
                <w:rFonts w:hint="eastAsia" w:ascii="仿宋" w:hAnsi="仿宋" w:eastAsia="仿宋" w:cs="仿宋"/>
                <w:i w:val="0"/>
                <w:iCs w:val="0"/>
                <w:color w:val="auto"/>
                <w:sz w:val="24"/>
                <w:highlight w:val="none"/>
                <w:u w:val="single"/>
              </w:rPr>
              <w:t xml:space="preserve">   </w:t>
            </w:r>
            <w:r>
              <w:rPr>
                <w:rFonts w:hint="eastAsia" w:ascii="仿宋" w:hAnsi="仿宋" w:eastAsia="仿宋" w:cs="仿宋"/>
                <w:i w:val="0"/>
                <w:iCs w:val="0"/>
                <w:color w:val="auto"/>
                <w:sz w:val="24"/>
                <w:highlight w:val="none"/>
              </w:rPr>
              <w:t xml:space="preserve">月 </w:t>
            </w:r>
            <w:r>
              <w:rPr>
                <w:rFonts w:hint="eastAsia" w:ascii="仿宋" w:hAnsi="仿宋" w:eastAsia="仿宋" w:cs="仿宋"/>
                <w:i w:val="0"/>
                <w:iCs w:val="0"/>
                <w:color w:val="auto"/>
                <w:sz w:val="24"/>
                <w:highlight w:val="none"/>
                <w:u w:val="single"/>
              </w:rPr>
              <w:t xml:space="preserve">   </w:t>
            </w:r>
            <w:r>
              <w:rPr>
                <w:rFonts w:hint="eastAsia" w:ascii="仿宋" w:hAnsi="仿宋" w:eastAsia="仿宋" w:cs="仿宋"/>
                <w:i w:val="0"/>
                <w:iCs w:val="0"/>
                <w:color w:val="auto"/>
                <w:sz w:val="24"/>
                <w:highlight w:val="none"/>
              </w:rPr>
              <w:t>日</w:t>
            </w:r>
          </w:p>
        </w:tc>
      </w:tr>
    </w:tbl>
    <w:p w14:paraId="0E122C88">
      <w:pPr>
        <w:pStyle w:val="22"/>
        <w:rPr>
          <w:i w:val="0"/>
          <w:iCs w:val="0"/>
          <w:color w:val="auto"/>
          <w:highlight w:val="none"/>
        </w:rPr>
      </w:pPr>
    </w:p>
    <w:p w14:paraId="385D4284">
      <w:pPr>
        <w:pStyle w:val="22"/>
        <w:spacing w:line="360" w:lineRule="auto"/>
        <w:rPr>
          <w:i w:val="0"/>
          <w:iCs w:val="0"/>
          <w:color w:val="auto"/>
          <w:highlight w:val="none"/>
        </w:rPr>
      </w:pPr>
      <w:r>
        <w:rPr>
          <w:rFonts w:hint="eastAsia"/>
          <w:b/>
          <w:i w:val="0"/>
          <w:iCs w:val="0"/>
          <w:color w:val="auto"/>
          <w:highlight w:val="none"/>
        </w:rPr>
        <w:t>注：</w:t>
      </w:r>
    </w:p>
    <w:p w14:paraId="63545EEB">
      <w:pPr>
        <w:pStyle w:val="22"/>
        <w:numPr>
          <w:ilvl w:val="0"/>
          <w:numId w:val="0"/>
        </w:num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1.此表应放于投标文件封面后第一页。</w:t>
      </w:r>
    </w:p>
    <w:p w14:paraId="79B103E6">
      <w:pPr>
        <w:bidi w:val="0"/>
        <w:spacing w:line="360" w:lineRule="auto"/>
        <w:ind w:firstLine="422" w:firstLineChars="200"/>
        <w:rPr>
          <w:rFonts w:hint="eastAsia" w:ascii="仿宋" w:hAnsi="仿宋" w:eastAsia="仿宋" w:cs="仿宋"/>
          <w:b/>
          <w:color w:val="auto"/>
          <w:kern w:val="2"/>
          <w:sz w:val="21"/>
          <w:szCs w:val="21"/>
          <w:highlight w:val="none"/>
          <w:lang w:val="en-US" w:eastAsia="zh-CN" w:bidi="ar-SA"/>
        </w:rPr>
      </w:pPr>
      <w:bookmarkStart w:id="458" w:name="_Toc18161"/>
      <w:r>
        <w:rPr>
          <w:rFonts w:hint="eastAsia" w:ascii="仿宋" w:hAnsi="仿宋" w:eastAsia="仿宋" w:cs="仿宋"/>
          <w:b/>
          <w:color w:val="auto"/>
          <w:kern w:val="2"/>
          <w:sz w:val="21"/>
          <w:szCs w:val="21"/>
          <w:highlight w:val="none"/>
          <w:lang w:val="en-US" w:eastAsia="zh-CN" w:bidi="ar-SA"/>
        </w:rPr>
        <w:t>2.投标报价包括履行合同所需的全部工作费用。</w:t>
      </w:r>
      <w:bookmarkEnd w:id="458"/>
    </w:p>
    <w:p w14:paraId="6FDE4D05">
      <w:pPr>
        <w:pStyle w:val="22"/>
        <w:numPr>
          <w:ilvl w:val="0"/>
          <w:numId w:val="0"/>
        </w:numPr>
        <w:spacing w:line="360" w:lineRule="auto"/>
        <w:ind w:firstLine="422" w:firstLineChars="200"/>
        <w:rPr>
          <w:rFonts w:hint="eastAsia" w:ascii="仿宋" w:hAnsi="仿宋" w:eastAsia="仿宋" w:cs="仿宋"/>
          <w:b/>
          <w:color w:val="auto"/>
          <w:sz w:val="22"/>
          <w:szCs w:val="22"/>
          <w:highlight w:val="none"/>
        </w:rPr>
      </w:pPr>
      <w:r>
        <w:rPr>
          <w:rFonts w:hint="eastAsia" w:ascii="仿宋" w:hAnsi="仿宋" w:eastAsia="仿宋" w:cs="仿宋"/>
          <w:b/>
          <w:color w:val="auto"/>
          <w:sz w:val="21"/>
          <w:szCs w:val="21"/>
          <w:highlight w:val="none"/>
          <w:lang w:val="en-US" w:eastAsia="zh-CN"/>
        </w:rPr>
        <w:t>3.</w:t>
      </w:r>
      <w:r>
        <w:rPr>
          <w:rFonts w:hint="eastAsia" w:ascii="仿宋" w:hAnsi="仿宋" w:eastAsia="仿宋" w:cs="仿宋"/>
          <w:b/>
          <w:color w:val="auto"/>
          <w:sz w:val="21"/>
          <w:szCs w:val="21"/>
          <w:highlight w:val="none"/>
        </w:rPr>
        <w:t>开标时，投标文件中开标一览表(报价表)内容与投标文件中明细表内容不一致的，以开标一览表(报价表)为准。投标文件的大写金额和小写金额不一致的，以大写金额为准；总价金额与按单价汇总金额不一致的，以单价金额计算结果为准；单价金额小数点有明显错位的，应以总价为</w:t>
      </w:r>
      <w:r>
        <w:rPr>
          <w:rFonts w:hint="eastAsia" w:ascii="仿宋" w:hAnsi="仿宋" w:eastAsia="仿宋" w:cs="仿宋"/>
          <w:b/>
          <w:color w:val="auto"/>
          <w:sz w:val="24"/>
          <w:szCs w:val="24"/>
          <w:highlight w:val="none"/>
        </w:rPr>
        <w:t>准，</w:t>
      </w:r>
      <w:r>
        <w:rPr>
          <w:rFonts w:hint="eastAsia" w:ascii="仿宋" w:hAnsi="仿宋" w:eastAsia="仿宋" w:cs="仿宋"/>
          <w:b/>
          <w:color w:val="auto"/>
          <w:sz w:val="22"/>
          <w:szCs w:val="22"/>
          <w:highlight w:val="none"/>
        </w:rPr>
        <w:t>并修改单价；对不同文字文本投标文件的解释发生异议的，以中文文本为准。</w:t>
      </w:r>
    </w:p>
    <w:bookmarkEnd w:id="451"/>
    <w:p w14:paraId="7C8F40CE">
      <w:pPr>
        <w:rPr>
          <w:rFonts w:hint="eastAsia"/>
          <w:color w:val="auto"/>
          <w:highlight w:val="none"/>
        </w:rPr>
      </w:pPr>
      <w:bookmarkStart w:id="459" w:name="_Toc21681"/>
      <w:bookmarkStart w:id="460" w:name="_Toc3547"/>
    </w:p>
    <w:p w14:paraId="22D019C7">
      <w:pPr>
        <w:rPr>
          <w:rFonts w:hint="eastAsia"/>
          <w:color w:val="auto"/>
          <w:highlight w:val="none"/>
        </w:rPr>
      </w:pPr>
    </w:p>
    <w:p w14:paraId="30B0982D">
      <w:pPr>
        <w:rPr>
          <w:rFonts w:hint="eastAsia"/>
          <w:color w:val="auto"/>
          <w:highlight w:val="none"/>
        </w:rPr>
      </w:pPr>
    </w:p>
    <w:p w14:paraId="0C782671">
      <w:pPr>
        <w:pStyle w:val="18"/>
        <w:rPr>
          <w:rFonts w:hint="eastAsia"/>
          <w:color w:val="auto"/>
          <w:highlight w:val="none"/>
        </w:rPr>
      </w:pPr>
    </w:p>
    <w:p w14:paraId="67116E94">
      <w:pPr>
        <w:rPr>
          <w:rFonts w:hint="eastAsia"/>
        </w:rPr>
      </w:pPr>
    </w:p>
    <w:bookmarkEnd w:id="459"/>
    <w:bookmarkEnd w:id="460"/>
    <w:p w14:paraId="4FDE1BDC">
      <w:pPr>
        <w:pStyle w:val="55"/>
        <w:ind w:left="0" w:leftChars="0" w:firstLine="0" w:firstLineChars="0"/>
        <w:rPr>
          <w:rFonts w:hint="eastAsia"/>
          <w:color w:val="auto"/>
          <w:highlight w:val="none"/>
          <w:lang w:eastAsia="zh-CN"/>
        </w:rPr>
      </w:pPr>
      <w:bookmarkStart w:id="461" w:name="_Toc104"/>
      <w:bookmarkStart w:id="462" w:name="_Toc20637"/>
    </w:p>
    <w:p w14:paraId="1B3FA0AC">
      <w:pPr>
        <w:jc w:val="center"/>
        <w:rPr>
          <w:rFonts w:hint="eastAsia" w:ascii="Times New Roman" w:hAnsi="Times New Roman" w:eastAsia="楷体" w:cs="Times New Roman"/>
          <w:b/>
          <w:color w:val="auto"/>
          <w:kern w:val="0"/>
          <w:sz w:val="36"/>
          <w:szCs w:val="32"/>
          <w:highlight w:val="none"/>
          <w:lang w:val="en-US" w:eastAsia="zh-CN" w:bidi="ar-SA"/>
        </w:rPr>
      </w:pPr>
      <w:r>
        <w:rPr>
          <w:rFonts w:hint="eastAsia" w:ascii="Times New Roman" w:hAnsi="Times New Roman" w:eastAsia="楷体" w:cs="Times New Roman"/>
          <w:b/>
          <w:color w:val="auto"/>
          <w:kern w:val="0"/>
          <w:sz w:val="36"/>
          <w:szCs w:val="32"/>
          <w:highlight w:val="none"/>
          <w:lang w:val="en-US" w:eastAsia="zh-CN" w:bidi="ar-SA"/>
        </w:rPr>
        <w:t>分项报价表</w:t>
      </w:r>
    </w:p>
    <w:p w14:paraId="0914AB05">
      <w:pPr>
        <w:pStyle w:val="22"/>
        <w:autoSpaceDE w:val="0"/>
        <w:autoSpaceDN w:val="0"/>
        <w:adjustRightInd w:val="0"/>
        <w:rPr>
          <w:rFonts w:hint="eastAsia" w:ascii="仿宋" w:hAnsi="仿宋" w:eastAsia="仿宋" w:cs="仿宋"/>
          <w:b/>
          <w:bCs/>
          <w:color w:val="auto"/>
          <w:kern w:val="0"/>
          <w:sz w:val="24"/>
          <w:szCs w:val="24"/>
          <w:highlight w:val="none"/>
        </w:rPr>
      </w:pPr>
      <w:r>
        <w:rPr>
          <w:rFonts w:hint="eastAsia" w:ascii="仿宋" w:hAnsi="仿宋" w:eastAsia="仿宋" w:cs="仿宋"/>
          <w:color w:val="auto"/>
          <w:sz w:val="24"/>
          <w:szCs w:val="24"/>
          <w:highlight w:val="none"/>
        </w:rPr>
        <w:t>项目名称：</w:t>
      </w:r>
    </w:p>
    <w:p w14:paraId="5BECC9B5">
      <w:pPr>
        <w:spacing w:line="360" w:lineRule="exact"/>
        <w:rPr>
          <w:rFonts w:hint="eastAsia"/>
          <w:lang w:val="en-US" w:eastAsia="zh-CN"/>
        </w:rPr>
      </w:pPr>
      <w:r>
        <w:rPr>
          <w:rFonts w:hint="eastAsia" w:ascii="仿宋" w:hAnsi="仿宋" w:eastAsia="仿宋" w:cs="仿宋"/>
          <w:color w:val="auto"/>
          <w:sz w:val="24"/>
          <w:szCs w:val="24"/>
          <w:highlight w:val="none"/>
          <w:lang w:eastAsia="zh-CN"/>
        </w:rPr>
        <w:t>项目编号</w:t>
      </w:r>
      <w:r>
        <w:rPr>
          <w:rFonts w:hint="eastAsia" w:ascii="仿宋" w:hAnsi="仿宋" w:eastAsia="仿宋" w:cs="仿宋"/>
          <w:color w:val="auto"/>
          <w:sz w:val="24"/>
          <w:szCs w:val="24"/>
          <w:highlight w:val="none"/>
        </w:rPr>
        <w:t xml:space="preserve">： </w:t>
      </w:r>
    </w:p>
    <w:tbl>
      <w:tblPr>
        <w:tblStyle w:val="41"/>
        <w:tblpPr w:leftFromText="180" w:rightFromText="180" w:vertAnchor="text" w:horzAnchor="page" w:tblpX="1083" w:tblpY="331"/>
        <w:tblOverlap w:val="never"/>
        <w:tblW w:w="493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93"/>
        <w:gridCol w:w="2404"/>
        <w:gridCol w:w="923"/>
        <w:gridCol w:w="1235"/>
        <w:gridCol w:w="1141"/>
        <w:gridCol w:w="1169"/>
        <w:gridCol w:w="2071"/>
      </w:tblGrid>
      <w:tr w14:paraId="66DB4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exact"/>
          <w:tblHeader/>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53D1C">
            <w:pPr>
              <w:keepNext w:val="0"/>
              <w:keepLines w:val="0"/>
              <w:pageBreakBefore w:val="0"/>
              <w:kinsoku/>
              <w:overflowPunct/>
              <w:topLinePunct w:val="0"/>
              <w:autoSpaceDE/>
              <w:autoSpaceDN/>
              <w:bidi w:val="0"/>
              <w:spacing w:line="240" w:lineRule="auto"/>
              <w:contextualSpacing/>
              <w:jc w:val="center"/>
              <w:textAlignment w:val="auto"/>
              <w:rPr>
                <w:rFonts w:hint="eastAsia" w:ascii="仿宋" w:hAnsi="仿宋" w:eastAsia="仿宋" w:cs="Times New Roman"/>
                <w:b/>
                <w:bCs/>
                <w:color w:val="auto"/>
                <w:sz w:val="24"/>
                <w:szCs w:val="24"/>
                <w:highlight w:val="none"/>
                <w:vertAlign w:val="baseline"/>
                <w:lang w:val="en-US" w:eastAsia="zh-CN"/>
              </w:rPr>
            </w:pPr>
            <w:r>
              <w:rPr>
                <w:rFonts w:hint="eastAsia" w:ascii="仿宋" w:hAnsi="仿宋" w:eastAsia="仿宋" w:cs="Times New Roman"/>
                <w:b/>
                <w:bCs/>
                <w:color w:val="auto"/>
                <w:sz w:val="24"/>
                <w:szCs w:val="24"/>
                <w:highlight w:val="none"/>
                <w:vertAlign w:val="baseline"/>
                <w:lang w:val="en-US" w:eastAsia="zh-CN"/>
              </w:rPr>
              <w:t>序号</w:t>
            </w:r>
          </w:p>
        </w:tc>
        <w:tc>
          <w:tcPr>
            <w:tcW w:w="1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07F8E">
            <w:pPr>
              <w:keepNext w:val="0"/>
              <w:keepLines w:val="0"/>
              <w:pageBreakBefore w:val="0"/>
              <w:kinsoku/>
              <w:overflowPunct/>
              <w:topLinePunct w:val="0"/>
              <w:autoSpaceDE/>
              <w:autoSpaceDN/>
              <w:bidi w:val="0"/>
              <w:spacing w:line="240" w:lineRule="auto"/>
              <w:contextualSpacing/>
              <w:jc w:val="center"/>
              <w:textAlignment w:val="auto"/>
              <w:rPr>
                <w:rFonts w:hint="eastAsia" w:ascii="仿宋" w:hAnsi="仿宋" w:eastAsia="仿宋" w:cs="Times New Roman"/>
                <w:b/>
                <w:bCs/>
                <w:color w:val="auto"/>
                <w:sz w:val="24"/>
                <w:szCs w:val="24"/>
                <w:highlight w:val="none"/>
                <w:vertAlign w:val="baseline"/>
                <w:lang w:val="en-US" w:eastAsia="zh-CN"/>
              </w:rPr>
            </w:pPr>
            <w:r>
              <w:rPr>
                <w:rFonts w:hint="eastAsia" w:ascii="仿宋" w:hAnsi="仿宋" w:eastAsia="仿宋" w:cs="Times New Roman"/>
                <w:b/>
                <w:bCs/>
                <w:color w:val="auto"/>
                <w:sz w:val="24"/>
                <w:szCs w:val="24"/>
                <w:highlight w:val="none"/>
                <w:vertAlign w:val="baseline"/>
                <w:lang w:val="en-US" w:eastAsia="zh-CN"/>
              </w:rPr>
              <w:t>货物（产品）名称</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DD85F">
            <w:pPr>
              <w:keepNext w:val="0"/>
              <w:keepLines w:val="0"/>
              <w:pageBreakBefore w:val="0"/>
              <w:kinsoku/>
              <w:overflowPunct/>
              <w:topLinePunct w:val="0"/>
              <w:autoSpaceDE/>
              <w:autoSpaceDN/>
              <w:bidi w:val="0"/>
              <w:spacing w:line="240" w:lineRule="auto"/>
              <w:contextualSpacing/>
              <w:jc w:val="center"/>
              <w:textAlignment w:val="auto"/>
              <w:rPr>
                <w:rFonts w:hint="eastAsia" w:ascii="仿宋" w:hAnsi="仿宋" w:eastAsia="仿宋" w:cs="Times New Roman"/>
                <w:b/>
                <w:bCs/>
                <w:color w:val="auto"/>
                <w:sz w:val="24"/>
                <w:szCs w:val="24"/>
                <w:highlight w:val="none"/>
                <w:vertAlign w:val="baseline"/>
                <w:lang w:val="en-US" w:eastAsia="zh-CN"/>
              </w:rPr>
            </w:pPr>
            <w:r>
              <w:rPr>
                <w:rFonts w:hint="eastAsia" w:ascii="仿宋" w:hAnsi="仿宋" w:eastAsia="仿宋" w:cs="Times New Roman"/>
                <w:b/>
                <w:bCs/>
                <w:color w:val="auto"/>
                <w:sz w:val="24"/>
                <w:szCs w:val="24"/>
                <w:highlight w:val="none"/>
                <w:vertAlign w:val="baseline"/>
                <w:lang w:val="en-US" w:eastAsia="zh-CN"/>
              </w:rPr>
              <w:t>数量</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842FD">
            <w:pPr>
              <w:keepNext w:val="0"/>
              <w:keepLines w:val="0"/>
              <w:pageBreakBefore w:val="0"/>
              <w:kinsoku/>
              <w:overflowPunct/>
              <w:topLinePunct w:val="0"/>
              <w:autoSpaceDE/>
              <w:autoSpaceDN/>
              <w:bidi w:val="0"/>
              <w:spacing w:line="240" w:lineRule="auto"/>
              <w:contextualSpacing/>
              <w:jc w:val="center"/>
              <w:textAlignment w:val="auto"/>
              <w:rPr>
                <w:rFonts w:hint="eastAsia" w:ascii="仿宋" w:hAnsi="仿宋" w:eastAsia="仿宋" w:cs="Times New Roman"/>
                <w:b/>
                <w:bCs/>
                <w:color w:val="auto"/>
                <w:sz w:val="24"/>
                <w:szCs w:val="24"/>
                <w:highlight w:val="none"/>
                <w:vertAlign w:val="baseline"/>
                <w:lang w:val="en-US" w:eastAsia="zh-CN"/>
              </w:rPr>
            </w:pPr>
            <w:r>
              <w:rPr>
                <w:rFonts w:hint="eastAsia" w:ascii="仿宋" w:hAnsi="仿宋" w:eastAsia="仿宋" w:cs="Times New Roman"/>
                <w:b/>
                <w:bCs/>
                <w:color w:val="auto"/>
                <w:sz w:val="24"/>
                <w:szCs w:val="24"/>
                <w:highlight w:val="none"/>
                <w:vertAlign w:val="baseline"/>
                <w:lang w:val="en-US" w:eastAsia="zh-CN"/>
              </w:rPr>
              <w:t>计量</w:t>
            </w:r>
          </w:p>
          <w:p w14:paraId="302F39EF">
            <w:pPr>
              <w:keepNext w:val="0"/>
              <w:keepLines w:val="0"/>
              <w:pageBreakBefore w:val="0"/>
              <w:kinsoku/>
              <w:overflowPunct/>
              <w:topLinePunct w:val="0"/>
              <w:autoSpaceDE/>
              <w:autoSpaceDN/>
              <w:bidi w:val="0"/>
              <w:spacing w:line="240" w:lineRule="auto"/>
              <w:contextualSpacing/>
              <w:jc w:val="center"/>
              <w:textAlignment w:val="auto"/>
              <w:rPr>
                <w:rFonts w:hint="eastAsia" w:ascii="仿宋" w:hAnsi="仿宋" w:eastAsia="仿宋" w:cs="Times New Roman"/>
                <w:b/>
                <w:bCs/>
                <w:color w:val="auto"/>
                <w:sz w:val="24"/>
                <w:szCs w:val="24"/>
                <w:highlight w:val="none"/>
                <w:vertAlign w:val="baseline"/>
                <w:lang w:val="en-US" w:eastAsia="zh-CN"/>
              </w:rPr>
            </w:pPr>
            <w:r>
              <w:rPr>
                <w:rFonts w:hint="eastAsia" w:ascii="仿宋" w:hAnsi="仿宋" w:eastAsia="仿宋" w:cs="Times New Roman"/>
                <w:b/>
                <w:bCs/>
                <w:color w:val="auto"/>
                <w:sz w:val="24"/>
                <w:szCs w:val="24"/>
                <w:highlight w:val="none"/>
                <w:vertAlign w:val="baseline"/>
                <w:lang w:val="en-US" w:eastAsia="zh-CN"/>
              </w:rPr>
              <w:t>单位</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89BF4">
            <w:pPr>
              <w:keepNext w:val="0"/>
              <w:keepLines w:val="0"/>
              <w:pageBreakBefore w:val="0"/>
              <w:kinsoku/>
              <w:overflowPunct/>
              <w:topLinePunct w:val="0"/>
              <w:autoSpaceDE/>
              <w:autoSpaceDN/>
              <w:bidi w:val="0"/>
              <w:spacing w:line="240" w:lineRule="auto"/>
              <w:contextualSpacing/>
              <w:jc w:val="center"/>
              <w:textAlignment w:val="auto"/>
              <w:rPr>
                <w:rFonts w:hint="eastAsia" w:ascii="仿宋" w:hAnsi="仿宋" w:eastAsia="仿宋" w:cs="Times New Roman"/>
                <w:b/>
                <w:bCs/>
                <w:color w:val="auto"/>
                <w:sz w:val="24"/>
                <w:szCs w:val="24"/>
                <w:highlight w:val="none"/>
                <w:vertAlign w:val="baseline"/>
                <w:lang w:val="en-US" w:eastAsia="zh-CN"/>
              </w:rPr>
            </w:pPr>
            <w:r>
              <w:rPr>
                <w:rFonts w:hint="eastAsia" w:ascii="仿宋" w:hAnsi="仿宋" w:eastAsia="仿宋" w:cs="Times New Roman"/>
                <w:b/>
                <w:bCs/>
                <w:color w:val="auto"/>
                <w:sz w:val="24"/>
                <w:szCs w:val="24"/>
                <w:highlight w:val="none"/>
                <w:vertAlign w:val="baseline"/>
                <w:lang w:val="en-US" w:eastAsia="zh-CN"/>
              </w:rPr>
              <w:t>单价</w:t>
            </w:r>
          </w:p>
          <w:p w14:paraId="45631886">
            <w:pPr>
              <w:keepNext w:val="0"/>
              <w:keepLines w:val="0"/>
              <w:pageBreakBefore w:val="0"/>
              <w:kinsoku/>
              <w:overflowPunct/>
              <w:topLinePunct w:val="0"/>
              <w:autoSpaceDE/>
              <w:autoSpaceDN/>
              <w:bidi w:val="0"/>
              <w:spacing w:line="240" w:lineRule="auto"/>
              <w:contextualSpacing/>
              <w:jc w:val="center"/>
              <w:textAlignment w:val="auto"/>
              <w:rPr>
                <w:rFonts w:hint="eastAsia" w:ascii="仿宋" w:hAnsi="仿宋" w:eastAsia="仿宋" w:cs="Times New Roman"/>
                <w:b/>
                <w:bCs/>
                <w:color w:val="auto"/>
                <w:sz w:val="24"/>
                <w:szCs w:val="24"/>
                <w:highlight w:val="none"/>
                <w:vertAlign w:val="baseline"/>
                <w:lang w:val="en-US" w:eastAsia="zh-CN"/>
              </w:rPr>
            </w:pPr>
            <w:r>
              <w:rPr>
                <w:rFonts w:hint="eastAsia" w:ascii="仿宋" w:hAnsi="仿宋" w:eastAsia="仿宋" w:cs="Times New Roman"/>
                <w:b/>
                <w:bCs/>
                <w:color w:val="auto"/>
                <w:sz w:val="24"/>
                <w:szCs w:val="24"/>
                <w:highlight w:val="none"/>
                <w:vertAlign w:val="baseline"/>
                <w:lang w:val="en-US" w:eastAsia="zh-CN"/>
              </w:rPr>
              <w:t>（元）</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8C11A">
            <w:pPr>
              <w:keepNext w:val="0"/>
              <w:keepLines w:val="0"/>
              <w:pageBreakBefore w:val="0"/>
              <w:kinsoku/>
              <w:overflowPunct/>
              <w:topLinePunct w:val="0"/>
              <w:autoSpaceDE/>
              <w:autoSpaceDN/>
              <w:bidi w:val="0"/>
              <w:spacing w:line="240" w:lineRule="auto"/>
              <w:contextualSpacing/>
              <w:jc w:val="center"/>
              <w:textAlignment w:val="auto"/>
              <w:rPr>
                <w:rFonts w:hint="eastAsia" w:ascii="仿宋" w:hAnsi="仿宋" w:eastAsia="仿宋" w:cs="Times New Roman"/>
                <w:b/>
                <w:bCs/>
                <w:color w:val="auto"/>
                <w:sz w:val="24"/>
                <w:szCs w:val="24"/>
                <w:highlight w:val="none"/>
                <w:vertAlign w:val="baseline"/>
                <w:lang w:val="en-US" w:eastAsia="zh-CN"/>
              </w:rPr>
            </w:pPr>
            <w:r>
              <w:rPr>
                <w:rFonts w:hint="eastAsia" w:ascii="仿宋" w:hAnsi="仿宋" w:eastAsia="仿宋" w:cs="Times New Roman"/>
                <w:b/>
                <w:bCs/>
                <w:color w:val="auto"/>
                <w:sz w:val="24"/>
                <w:szCs w:val="24"/>
                <w:highlight w:val="none"/>
                <w:vertAlign w:val="baseline"/>
                <w:lang w:val="en-US" w:eastAsia="zh-CN"/>
              </w:rPr>
              <w:t>总价</w:t>
            </w:r>
          </w:p>
          <w:p w14:paraId="483E75DB">
            <w:pPr>
              <w:keepNext w:val="0"/>
              <w:keepLines w:val="0"/>
              <w:pageBreakBefore w:val="0"/>
              <w:kinsoku/>
              <w:overflowPunct/>
              <w:topLinePunct w:val="0"/>
              <w:autoSpaceDE/>
              <w:autoSpaceDN/>
              <w:bidi w:val="0"/>
              <w:spacing w:line="240" w:lineRule="auto"/>
              <w:contextualSpacing/>
              <w:jc w:val="center"/>
              <w:textAlignment w:val="auto"/>
              <w:rPr>
                <w:rFonts w:hint="eastAsia" w:ascii="仿宋" w:hAnsi="仿宋" w:eastAsia="仿宋" w:cs="Times New Roman"/>
                <w:b/>
                <w:bCs/>
                <w:color w:val="auto"/>
                <w:sz w:val="24"/>
                <w:szCs w:val="24"/>
                <w:highlight w:val="none"/>
                <w:vertAlign w:val="baseline"/>
                <w:lang w:val="en-US" w:eastAsia="zh-CN"/>
              </w:rPr>
            </w:pPr>
            <w:r>
              <w:rPr>
                <w:rFonts w:hint="eastAsia" w:ascii="仿宋" w:hAnsi="仿宋" w:eastAsia="仿宋" w:cs="Times New Roman"/>
                <w:b/>
                <w:bCs/>
                <w:color w:val="auto"/>
                <w:sz w:val="24"/>
                <w:szCs w:val="24"/>
                <w:highlight w:val="none"/>
                <w:vertAlign w:val="baseline"/>
                <w:lang w:val="en-US" w:eastAsia="zh-CN"/>
              </w:rPr>
              <w:t>（元）元）</w:t>
            </w: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6871D">
            <w:pPr>
              <w:keepNext w:val="0"/>
              <w:keepLines w:val="0"/>
              <w:pageBreakBefore w:val="0"/>
              <w:kinsoku/>
              <w:overflowPunct/>
              <w:topLinePunct w:val="0"/>
              <w:autoSpaceDE/>
              <w:autoSpaceDN/>
              <w:bidi w:val="0"/>
              <w:spacing w:line="240" w:lineRule="auto"/>
              <w:contextualSpacing/>
              <w:jc w:val="center"/>
              <w:textAlignment w:val="auto"/>
              <w:rPr>
                <w:rFonts w:hint="default" w:ascii="仿宋" w:hAnsi="仿宋" w:eastAsia="仿宋" w:cs="Times New Roman"/>
                <w:b/>
                <w:bCs/>
                <w:color w:val="auto"/>
                <w:sz w:val="24"/>
                <w:szCs w:val="24"/>
                <w:highlight w:val="none"/>
                <w:vertAlign w:val="baseline"/>
                <w:lang w:val="en-US" w:eastAsia="zh-CN"/>
              </w:rPr>
            </w:pPr>
            <w:r>
              <w:rPr>
                <w:rFonts w:hint="eastAsia" w:ascii="仿宋" w:hAnsi="仿宋" w:eastAsia="仿宋" w:cs="Times New Roman"/>
                <w:b/>
                <w:bCs/>
                <w:color w:val="auto"/>
                <w:sz w:val="24"/>
                <w:szCs w:val="24"/>
                <w:highlight w:val="none"/>
                <w:vertAlign w:val="baseline"/>
                <w:lang w:val="en-US" w:eastAsia="zh-CN"/>
              </w:rPr>
              <w:t>品牌、型号、规格</w:t>
            </w:r>
          </w:p>
        </w:tc>
      </w:tr>
      <w:tr w14:paraId="105D4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exact"/>
          <w:tblHeader/>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20DE9">
            <w:pPr>
              <w:keepNext w:val="0"/>
              <w:keepLines w:val="0"/>
              <w:widowControl/>
              <w:suppressLineNumbers w:val="0"/>
              <w:jc w:val="center"/>
              <w:textAlignment w:val="center"/>
              <w:rPr>
                <w:rFonts w:hint="default"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w:t>
            </w:r>
          </w:p>
        </w:tc>
        <w:tc>
          <w:tcPr>
            <w:tcW w:w="1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63481">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bdr w:val="single" w:color="000000" w:sz="4" w:space="0"/>
                <w:lang w:val="en-US" w:eastAsia="zh-CN" w:bidi="ar"/>
              </w:rPr>
            </w:pPr>
            <w:r>
              <w:rPr>
                <w:rFonts w:hint="eastAsia" w:ascii="仿宋" w:hAnsi="仿宋" w:eastAsia="仿宋"/>
                <w:color w:val="auto"/>
                <w:sz w:val="24"/>
                <w:szCs w:val="24"/>
                <w:highlight w:val="none"/>
                <w:vertAlign w:val="baseline"/>
                <w:lang w:val="en-US" w:eastAsia="zh-CN"/>
              </w:rPr>
              <w:t>中控主机</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B7239">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仿宋" w:hAnsi="仿宋" w:eastAsia="仿宋"/>
                <w:color w:val="auto"/>
                <w:sz w:val="24"/>
                <w:szCs w:val="24"/>
                <w:highlight w:val="none"/>
                <w:vertAlign w:val="baseline"/>
                <w:lang w:val="en-US" w:eastAsia="zh-CN"/>
              </w:rPr>
              <w:t>1</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49F79">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仿宋" w:hAnsi="仿宋" w:eastAsia="仿宋"/>
                <w:color w:val="auto"/>
                <w:sz w:val="24"/>
                <w:szCs w:val="24"/>
                <w:highlight w:val="none"/>
                <w:vertAlign w:val="baseline"/>
                <w:lang w:val="en-US" w:eastAsia="zh-CN"/>
              </w:rPr>
              <w:t>台</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40162">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59D87">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A4609">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highlight w:val="none"/>
                <w:u w:val="none"/>
                <w:lang w:val="en-US" w:eastAsia="zh-CN" w:bidi="ar"/>
              </w:rPr>
            </w:pPr>
          </w:p>
        </w:tc>
      </w:tr>
      <w:tr w14:paraId="6700F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exact"/>
          <w:tblHeader/>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D618A">
            <w:pPr>
              <w:keepNext w:val="0"/>
              <w:keepLines w:val="0"/>
              <w:widowControl/>
              <w:suppressLineNumbers w:val="0"/>
              <w:jc w:val="center"/>
              <w:textAlignment w:val="center"/>
              <w:rPr>
                <w:rFonts w:hint="default"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2</w:t>
            </w:r>
          </w:p>
        </w:tc>
        <w:tc>
          <w:tcPr>
            <w:tcW w:w="1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1238B">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bdr w:val="single" w:color="000000" w:sz="4" w:space="0"/>
                <w:lang w:val="en-US" w:eastAsia="zh-CN" w:bidi="ar"/>
              </w:rPr>
            </w:pPr>
            <w:r>
              <w:rPr>
                <w:rFonts w:hint="eastAsia" w:ascii="仿宋" w:hAnsi="仿宋" w:eastAsia="仿宋"/>
                <w:color w:val="auto"/>
                <w:sz w:val="24"/>
                <w:szCs w:val="24"/>
                <w:highlight w:val="none"/>
                <w:vertAlign w:val="baseline"/>
                <w:lang w:val="en-US" w:eastAsia="zh-CN"/>
              </w:rPr>
              <w:t>中控面板</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2A794">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仿宋" w:hAnsi="仿宋" w:eastAsia="仿宋"/>
                <w:color w:val="auto"/>
                <w:sz w:val="24"/>
                <w:szCs w:val="24"/>
                <w:highlight w:val="none"/>
                <w:vertAlign w:val="baseline"/>
                <w:lang w:val="en-US" w:eastAsia="zh-CN"/>
              </w:rPr>
              <w:t>1</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B72E0">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仿宋" w:hAnsi="仿宋" w:eastAsia="仿宋"/>
                <w:color w:val="auto"/>
                <w:sz w:val="24"/>
                <w:szCs w:val="24"/>
                <w:highlight w:val="none"/>
                <w:vertAlign w:val="baseline"/>
                <w:lang w:val="en-US" w:eastAsia="zh-CN"/>
              </w:rPr>
              <w:t>台</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ADD88">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6DA96">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71DB0">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highlight w:val="none"/>
                <w:u w:val="none"/>
                <w:lang w:val="en-US" w:eastAsia="zh-CN" w:bidi="ar"/>
              </w:rPr>
            </w:pPr>
          </w:p>
        </w:tc>
      </w:tr>
      <w:tr w14:paraId="30BC6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exact"/>
          <w:tblHeader/>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5CE38">
            <w:pPr>
              <w:keepNext w:val="0"/>
              <w:keepLines w:val="0"/>
              <w:widowControl/>
              <w:suppressLineNumbers w:val="0"/>
              <w:jc w:val="center"/>
              <w:textAlignment w:val="center"/>
              <w:rPr>
                <w:rFonts w:hint="default"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3</w:t>
            </w:r>
          </w:p>
        </w:tc>
        <w:tc>
          <w:tcPr>
            <w:tcW w:w="1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AEF6F">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bdr w:val="single" w:color="000000" w:sz="4" w:space="0"/>
                <w:lang w:val="en-US" w:eastAsia="zh-CN" w:bidi="ar"/>
              </w:rPr>
            </w:pPr>
            <w:r>
              <w:rPr>
                <w:rFonts w:hint="eastAsia" w:ascii="仿宋" w:hAnsi="仿宋" w:eastAsia="仿宋"/>
                <w:color w:val="auto"/>
                <w:sz w:val="24"/>
                <w:szCs w:val="24"/>
                <w:highlight w:val="none"/>
                <w:vertAlign w:val="baseline"/>
                <w:lang w:val="en-US" w:eastAsia="zh-CN"/>
              </w:rPr>
              <w:t>精品录播主机</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EF612">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仿宋" w:hAnsi="仿宋" w:eastAsia="仿宋"/>
                <w:color w:val="auto"/>
                <w:sz w:val="24"/>
                <w:szCs w:val="24"/>
                <w:highlight w:val="none"/>
                <w:vertAlign w:val="baseline"/>
                <w:lang w:val="en-US" w:eastAsia="zh-CN"/>
              </w:rPr>
              <w:t>1</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D70C6">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仿宋" w:hAnsi="仿宋" w:eastAsia="仿宋"/>
                <w:color w:val="auto"/>
                <w:sz w:val="24"/>
                <w:szCs w:val="24"/>
                <w:highlight w:val="none"/>
                <w:vertAlign w:val="baseline"/>
                <w:lang w:val="en-US" w:eastAsia="zh-CN"/>
              </w:rPr>
              <w:t>套</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6B853">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78C49">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5A81C">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highlight w:val="none"/>
                <w:u w:val="none"/>
                <w:lang w:val="en-US" w:eastAsia="zh-CN" w:bidi="ar"/>
              </w:rPr>
            </w:pPr>
          </w:p>
        </w:tc>
      </w:tr>
      <w:tr w14:paraId="23454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exact"/>
          <w:tblHeader/>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BD4E8">
            <w:pPr>
              <w:keepNext w:val="0"/>
              <w:keepLines w:val="0"/>
              <w:widowControl/>
              <w:suppressLineNumbers w:val="0"/>
              <w:jc w:val="center"/>
              <w:textAlignment w:val="center"/>
              <w:rPr>
                <w:rFonts w:hint="default"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4</w:t>
            </w:r>
          </w:p>
        </w:tc>
        <w:tc>
          <w:tcPr>
            <w:tcW w:w="1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1CFBB">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bdr w:val="single" w:color="000000" w:sz="4" w:space="0"/>
                <w:lang w:val="en-US" w:eastAsia="zh-CN" w:bidi="ar"/>
              </w:rPr>
            </w:pPr>
            <w:r>
              <w:rPr>
                <w:rFonts w:hint="eastAsia" w:ascii="仿宋" w:hAnsi="仿宋" w:eastAsia="仿宋"/>
                <w:color w:val="auto"/>
                <w:sz w:val="24"/>
                <w:szCs w:val="24"/>
                <w:highlight w:val="none"/>
                <w:vertAlign w:val="baseline"/>
                <w:lang w:val="en-US" w:eastAsia="zh-CN"/>
              </w:rPr>
              <w:t>精品录播流媒体控制处理系统</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39649">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仿宋" w:hAnsi="仿宋" w:eastAsia="仿宋"/>
                <w:color w:val="auto"/>
                <w:sz w:val="24"/>
                <w:szCs w:val="24"/>
                <w:highlight w:val="none"/>
                <w:vertAlign w:val="baseline"/>
                <w:lang w:val="en-US" w:eastAsia="zh-CN"/>
              </w:rPr>
              <w:t>1</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37117">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仿宋" w:hAnsi="仿宋" w:eastAsia="仿宋"/>
                <w:color w:val="auto"/>
                <w:sz w:val="24"/>
                <w:szCs w:val="24"/>
                <w:highlight w:val="none"/>
                <w:vertAlign w:val="baseline"/>
                <w:lang w:val="en-US" w:eastAsia="zh-CN"/>
              </w:rPr>
              <w:t>台</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6728F">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CD6FE">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4CEB4">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highlight w:val="none"/>
                <w:u w:val="none"/>
                <w:lang w:val="en-US" w:eastAsia="zh-CN" w:bidi="ar"/>
              </w:rPr>
            </w:pPr>
          </w:p>
        </w:tc>
      </w:tr>
      <w:tr w14:paraId="6FE7B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exact"/>
          <w:tblHeader/>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59F53">
            <w:pPr>
              <w:keepNext w:val="0"/>
              <w:keepLines w:val="0"/>
              <w:widowControl/>
              <w:suppressLineNumbers w:val="0"/>
              <w:jc w:val="center"/>
              <w:textAlignment w:val="center"/>
              <w:rPr>
                <w:rFonts w:hint="default"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5</w:t>
            </w:r>
          </w:p>
        </w:tc>
        <w:tc>
          <w:tcPr>
            <w:tcW w:w="1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ED1BA">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bdr w:val="single" w:color="000000" w:sz="4" w:space="0"/>
                <w:lang w:val="en-US" w:eastAsia="zh-CN" w:bidi="ar"/>
              </w:rPr>
            </w:pPr>
            <w:r>
              <w:rPr>
                <w:rFonts w:hint="eastAsia" w:ascii="仿宋" w:hAnsi="仿宋" w:eastAsia="仿宋"/>
                <w:color w:val="auto"/>
                <w:sz w:val="24"/>
                <w:szCs w:val="24"/>
                <w:highlight w:val="none"/>
                <w:vertAlign w:val="baseline"/>
                <w:lang w:val="en-US" w:eastAsia="zh-CN"/>
              </w:rPr>
              <w:t>精品录播导播管理控制系统</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472DC">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仿宋" w:hAnsi="仿宋" w:eastAsia="仿宋"/>
                <w:color w:val="auto"/>
                <w:sz w:val="24"/>
                <w:szCs w:val="24"/>
                <w:highlight w:val="none"/>
                <w:vertAlign w:val="baseline"/>
                <w:lang w:val="en-US" w:eastAsia="zh-CN"/>
              </w:rPr>
              <w:t>1</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6771D">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仿宋" w:hAnsi="仿宋" w:eastAsia="仿宋"/>
                <w:color w:val="auto"/>
                <w:sz w:val="24"/>
                <w:szCs w:val="24"/>
                <w:highlight w:val="none"/>
                <w:vertAlign w:val="baseline"/>
                <w:lang w:val="en-US" w:eastAsia="zh-CN"/>
              </w:rPr>
              <w:t>套</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6E153">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517FB">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0EBFE">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highlight w:val="none"/>
                <w:u w:val="none"/>
                <w:lang w:val="en-US" w:eastAsia="zh-CN" w:bidi="ar"/>
              </w:rPr>
            </w:pPr>
          </w:p>
        </w:tc>
      </w:tr>
      <w:tr w14:paraId="1964D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exact"/>
          <w:tblHeader/>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A6F08">
            <w:pPr>
              <w:keepNext w:val="0"/>
              <w:keepLines w:val="0"/>
              <w:widowControl/>
              <w:suppressLineNumbers w:val="0"/>
              <w:jc w:val="center"/>
              <w:textAlignment w:val="center"/>
              <w:rPr>
                <w:rFonts w:hint="default"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6</w:t>
            </w:r>
          </w:p>
        </w:tc>
        <w:tc>
          <w:tcPr>
            <w:tcW w:w="1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49BDE">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bdr w:val="single" w:color="000000" w:sz="4" w:space="0"/>
                <w:lang w:val="en-US" w:eastAsia="zh-CN" w:bidi="ar"/>
              </w:rPr>
            </w:pPr>
            <w:r>
              <w:rPr>
                <w:rFonts w:hint="eastAsia" w:ascii="仿宋" w:hAnsi="仿宋" w:eastAsia="仿宋"/>
                <w:color w:val="auto"/>
                <w:sz w:val="24"/>
                <w:szCs w:val="24"/>
                <w:highlight w:val="none"/>
                <w:vertAlign w:val="baseline"/>
                <w:lang w:val="en-US" w:eastAsia="zh-CN"/>
              </w:rPr>
              <w:t>学生定位摄像机</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526D3">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仿宋" w:hAnsi="仿宋" w:eastAsia="仿宋"/>
                <w:color w:val="auto"/>
                <w:sz w:val="24"/>
                <w:szCs w:val="24"/>
                <w:highlight w:val="none"/>
                <w:vertAlign w:val="baseline"/>
                <w:lang w:val="en-US" w:eastAsia="zh-CN"/>
              </w:rPr>
              <w:t>1</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63CAA">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仿宋" w:hAnsi="仿宋" w:eastAsia="仿宋"/>
                <w:color w:val="auto"/>
                <w:sz w:val="24"/>
                <w:szCs w:val="24"/>
                <w:highlight w:val="none"/>
                <w:vertAlign w:val="baseline"/>
                <w:lang w:val="en-US" w:eastAsia="zh-CN"/>
              </w:rPr>
              <w:t>套</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3BD1B">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650EB">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26EE9">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highlight w:val="none"/>
                <w:u w:val="none"/>
                <w:lang w:val="en-US" w:eastAsia="zh-CN" w:bidi="ar"/>
              </w:rPr>
            </w:pPr>
          </w:p>
        </w:tc>
      </w:tr>
      <w:tr w14:paraId="7D03E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exact"/>
          <w:tblHeader/>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F1036">
            <w:pPr>
              <w:keepNext w:val="0"/>
              <w:keepLines w:val="0"/>
              <w:widowControl/>
              <w:suppressLineNumbers w:val="0"/>
              <w:jc w:val="center"/>
              <w:textAlignment w:val="center"/>
              <w:rPr>
                <w:rFonts w:hint="default"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7</w:t>
            </w:r>
          </w:p>
        </w:tc>
        <w:tc>
          <w:tcPr>
            <w:tcW w:w="1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0AB25">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bdr w:val="single" w:color="000000" w:sz="4" w:space="0"/>
                <w:lang w:val="en-US" w:eastAsia="zh-CN" w:bidi="ar"/>
              </w:rPr>
            </w:pPr>
            <w:r>
              <w:rPr>
                <w:rFonts w:hint="eastAsia" w:ascii="仿宋" w:hAnsi="仿宋" w:eastAsia="仿宋"/>
                <w:color w:val="auto"/>
                <w:sz w:val="24"/>
                <w:szCs w:val="24"/>
                <w:highlight w:val="none"/>
                <w:vertAlign w:val="baseline"/>
                <w:lang w:val="en-US" w:eastAsia="zh-CN"/>
              </w:rPr>
              <w:t>学生摄像机图像处理系统</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793BB">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仿宋" w:hAnsi="仿宋" w:eastAsia="仿宋"/>
                <w:color w:val="auto"/>
                <w:sz w:val="24"/>
                <w:szCs w:val="24"/>
                <w:highlight w:val="none"/>
                <w:vertAlign w:val="baseline"/>
                <w:lang w:val="en-US" w:eastAsia="zh-CN"/>
              </w:rPr>
              <w:t>1</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36AC9">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仿宋" w:hAnsi="仿宋" w:eastAsia="仿宋"/>
                <w:color w:val="auto"/>
                <w:sz w:val="24"/>
                <w:szCs w:val="24"/>
                <w:highlight w:val="none"/>
                <w:vertAlign w:val="baseline"/>
                <w:lang w:val="en-US" w:eastAsia="zh-CN"/>
              </w:rPr>
              <w:t>台</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C1F0C">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259F0">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F74D9">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highlight w:val="none"/>
                <w:u w:val="none"/>
                <w:lang w:val="en-US" w:eastAsia="zh-CN" w:bidi="ar"/>
              </w:rPr>
            </w:pPr>
          </w:p>
        </w:tc>
      </w:tr>
      <w:tr w14:paraId="5D378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exact"/>
          <w:tblHeader/>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86279">
            <w:pPr>
              <w:keepNext w:val="0"/>
              <w:keepLines w:val="0"/>
              <w:widowControl/>
              <w:suppressLineNumbers w:val="0"/>
              <w:jc w:val="center"/>
              <w:textAlignment w:val="center"/>
              <w:rPr>
                <w:rFonts w:hint="default"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8</w:t>
            </w:r>
          </w:p>
        </w:tc>
        <w:tc>
          <w:tcPr>
            <w:tcW w:w="1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E377D">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bdr w:val="single" w:color="000000" w:sz="4" w:space="0"/>
                <w:lang w:val="en-US" w:eastAsia="zh-CN" w:bidi="ar"/>
              </w:rPr>
            </w:pPr>
            <w:r>
              <w:rPr>
                <w:rFonts w:hint="eastAsia" w:ascii="仿宋" w:hAnsi="仿宋" w:eastAsia="仿宋"/>
                <w:color w:val="auto"/>
                <w:sz w:val="24"/>
                <w:szCs w:val="24"/>
                <w:highlight w:val="none"/>
                <w:vertAlign w:val="baseline"/>
                <w:lang w:val="en-US" w:eastAsia="zh-CN"/>
              </w:rPr>
              <w:t>机械云台摄像机</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4EEB8">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仿宋" w:hAnsi="仿宋" w:eastAsia="仿宋"/>
                <w:color w:val="auto"/>
                <w:sz w:val="24"/>
                <w:szCs w:val="24"/>
                <w:highlight w:val="none"/>
                <w:vertAlign w:val="baseline"/>
                <w:lang w:val="en-US" w:eastAsia="zh-CN"/>
              </w:rPr>
              <w:t>4</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F60E4">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仿宋" w:hAnsi="仿宋" w:eastAsia="仿宋"/>
                <w:color w:val="auto"/>
                <w:sz w:val="24"/>
                <w:szCs w:val="24"/>
                <w:highlight w:val="none"/>
                <w:vertAlign w:val="baseline"/>
                <w:lang w:val="en-US" w:eastAsia="zh-CN"/>
              </w:rPr>
              <w:t>台</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9960C">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CA2DB">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4D154">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highlight w:val="none"/>
                <w:u w:val="none"/>
                <w:lang w:val="en-US" w:eastAsia="zh-CN" w:bidi="ar"/>
              </w:rPr>
            </w:pPr>
          </w:p>
        </w:tc>
      </w:tr>
      <w:tr w14:paraId="0B02E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exact"/>
          <w:tblHeader/>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2F986">
            <w:pPr>
              <w:keepNext w:val="0"/>
              <w:keepLines w:val="0"/>
              <w:widowControl/>
              <w:suppressLineNumbers w:val="0"/>
              <w:jc w:val="center"/>
              <w:textAlignment w:val="center"/>
              <w:rPr>
                <w:rFonts w:hint="default"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9</w:t>
            </w:r>
          </w:p>
        </w:tc>
        <w:tc>
          <w:tcPr>
            <w:tcW w:w="1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57F28">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bdr w:val="single" w:color="000000" w:sz="4" w:space="0"/>
                <w:lang w:val="en-US" w:eastAsia="zh-CN" w:bidi="ar"/>
              </w:rPr>
            </w:pPr>
            <w:r>
              <w:rPr>
                <w:rFonts w:hint="eastAsia" w:ascii="仿宋" w:hAnsi="仿宋" w:eastAsia="仿宋"/>
                <w:color w:val="auto"/>
                <w:sz w:val="24"/>
                <w:szCs w:val="24"/>
                <w:highlight w:val="none"/>
                <w:vertAlign w:val="baseline"/>
                <w:lang w:val="en-US" w:eastAsia="zh-CN"/>
              </w:rPr>
              <w:t>跟踪云台摄像机图像处理系统</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3B6AF">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仿宋" w:hAnsi="仿宋" w:eastAsia="仿宋"/>
                <w:color w:val="auto"/>
                <w:sz w:val="24"/>
                <w:szCs w:val="24"/>
                <w:highlight w:val="none"/>
                <w:vertAlign w:val="baseline"/>
                <w:lang w:val="en-US" w:eastAsia="zh-CN"/>
              </w:rPr>
              <w:t>4</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2C39A">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仿宋" w:hAnsi="仿宋" w:eastAsia="仿宋"/>
                <w:color w:val="auto"/>
                <w:sz w:val="24"/>
                <w:szCs w:val="24"/>
                <w:highlight w:val="none"/>
                <w:vertAlign w:val="baseline"/>
                <w:lang w:val="en-US" w:eastAsia="zh-CN"/>
              </w:rPr>
              <w:t>套</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D4D25">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2833F">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B19B4">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highlight w:val="none"/>
                <w:u w:val="none"/>
                <w:lang w:val="en-US" w:eastAsia="zh-CN" w:bidi="ar"/>
              </w:rPr>
            </w:pPr>
          </w:p>
        </w:tc>
      </w:tr>
      <w:tr w14:paraId="6239D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exact"/>
          <w:tblHeader/>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EDFDD">
            <w:pPr>
              <w:keepNext w:val="0"/>
              <w:keepLines w:val="0"/>
              <w:widowControl/>
              <w:suppressLineNumbers w:val="0"/>
              <w:jc w:val="center"/>
              <w:textAlignment w:val="center"/>
              <w:rPr>
                <w:rFonts w:hint="default"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10</w:t>
            </w:r>
          </w:p>
        </w:tc>
        <w:tc>
          <w:tcPr>
            <w:tcW w:w="1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A5971">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bdr w:val="single" w:color="000000" w:sz="4" w:space="0"/>
                <w:lang w:val="en-US" w:eastAsia="zh-CN" w:bidi="ar"/>
              </w:rPr>
            </w:pPr>
            <w:r>
              <w:rPr>
                <w:rFonts w:hint="eastAsia" w:ascii="仿宋" w:hAnsi="仿宋" w:eastAsia="仿宋"/>
                <w:color w:val="auto"/>
                <w:sz w:val="24"/>
                <w:szCs w:val="24"/>
                <w:highlight w:val="none"/>
                <w:vertAlign w:val="baseline"/>
                <w:lang w:val="en-US" w:eastAsia="zh-CN"/>
              </w:rPr>
              <w:t>拾音麦</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2FE72">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仿宋" w:hAnsi="仿宋" w:eastAsia="仿宋"/>
                <w:color w:val="auto"/>
                <w:sz w:val="24"/>
                <w:szCs w:val="24"/>
                <w:highlight w:val="none"/>
                <w:vertAlign w:val="baseline"/>
                <w:lang w:val="en-US" w:eastAsia="zh-CN"/>
              </w:rPr>
              <w:t>2</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B5772">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仿宋" w:hAnsi="仿宋" w:eastAsia="仿宋"/>
                <w:color w:val="auto"/>
                <w:sz w:val="24"/>
                <w:szCs w:val="24"/>
                <w:highlight w:val="none"/>
                <w:vertAlign w:val="baseline"/>
                <w:lang w:val="en-US" w:eastAsia="zh-CN"/>
              </w:rPr>
              <w:t>套</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7C2F2">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E5BD7">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8B3D6">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highlight w:val="none"/>
                <w:u w:val="none"/>
                <w:lang w:val="en-US" w:eastAsia="zh-CN" w:bidi="ar"/>
              </w:rPr>
            </w:pPr>
          </w:p>
        </w:tc>
      </w:tr>
      <w:tr w14:paraId="18E2E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exact"/>
          <w:tblHeader/>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BC090">
            <w:pPr>
              <w:keepNext w:val="0"/>
              <w:keepLines w:val="0"/>
              <w:widowControl/>
              <w:suppressLineNumbers w:val="0"/>
              <w:jc w:val="center"/>
              <w:textAlignment w:val="center"/>
              <w:rPr>
                <w:rFonts w:hint="default"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11</w:t>
            </w:r>
          </w:p>
        </w:tc>
        <w:tc>
          <w:tcPr>
            <w:tcW w:w="1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BEEE7">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bdr w:val="single" w:color="000000" w:sz="4" w:space="0"/>
                <w:lang w:val="en-US" w:eastAsia="zh-CN" w:bidi="ar"/>
              </w:rPr>
            </w:pPr>
            <w:r>
              <w:rPr>
                <w:rFonts w:hint="eastAsia" w:ascii="仿宋" w:hAnsi="仿宋" w:eastAsia="仿宋"/>
                <w:color w:val="auto"/>
                <w:sz w:val="24"/>
                <w:szCs w:val="24"/>
                <w:highlight w:val="none"/>
                <w:vertAlign w:val="baseline"/>
                <w:lang w:val="en-US" w:eastAsia="zh-CN"/>
              </w:rPr>
              <w:t>有线麦克风音频处理系统</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5963F">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仿宋" w:hAnsi="仿宋" w:eastAsia="仿宋"/>
                <w:color w:val="auto"/>
                <w:sz w:val="24"/>
                <w:szCs w:val="24"/>
                <w:highlight w:val="none"/>
                <w:vertAlign w:val="baseline"/>
                <w:lang w:val="en-US" w:eastAsia="zh-CN"/>
              </w:rPr>
              <w:t>2</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3D187">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仿宋" w:hAnsi="仿宋" w:eastAsia="仿宋"/>
                <w:color w:val="auto"/>
                <w:sz w:val="24"/>
                <w:szCs w:val="24"/>
                <w:highlight w:val="none"/>
                <w:vertAlign w:val="baseline"/>
                <w:lang w:val="en-US" w:eastAsia="zh-CN"/>
              </w:rPr>
              <w:t>套</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0352">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6EBCA">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B4D62">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highlight w:val="none"/>
                <w:u w:val="none"/>
                <w:lang w:val="en-US" w:eastAsia="zh-CN" w:bidi="ar"/>
              </w:rPr>
            </w:pPr>
          </w:p>
        </w:tc>
      </w:tr>
      <w:tr w14:paraId="3DD33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exact"/>
          <w:tblHeader/>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2B97A">
            <w:pPr>
              <w:keepNext w:val="0"/>
              <w:keepLines w:val="0"/>
              <w:widowControl/>
              <w:suppressLineNumbers w:val="0"/>
              <w:jc w:val="center"/>
              <w:textAlignment w:val="center"/>
              <w:rPr>
                <w:rFonts w:hint="default"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12</w:t>
            </w:r>
          </w:p>
        </w:tc>
        <w:tc>
          <w:tcPr>
            <w:tcW w:w="1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65D06">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bdr w:val="single" w:color="000000" w:sz="4" w:space="0"/>
                <w:lang w:val="en-US" w:eastAsia="zh-CN" w:bidi="ar"/>
              </w:rPr>
            </w:pPr>
            <w:r>
              <w:rPr>
                <w:rFonts w:hint="eastAsia" w:ascii="仿宋" w:hAnsi="仿宋" w:eastAsia="仿宋"/>
                <w:color w:val="auto"/>
                <w:sz w:val="24"/>
                <w:szCs w:val="24"/>
                <w:highlight w:val="none"/>
                <w:vertAlign w:val="baseline"/>
                <w:lang w:val="en-US" w:eastAsia="zh-CN"/>
              </w:rPr>
              <w:t>远程互动课堂系统</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2993B">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仿宋" w:hAnsi="仿宋" w:eastAsia="仿宋"/>
                <w:color w:val="auto"/>
                <w:sz w:val="24"/>
                <w:szCs w:val="24"/>
                <w:highlight w:val="none"/>
                <w:vertAlign w:val="baseline"/>
                <w:lang w:val="en-US" w:eastAsia="zh-CN"/>
              </w:rPr>
              <w:t>1</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BC451">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仿宋" w:hAnsi="仿宋" w:eastAsia="仿宋"/>
                <w:color w:val="auto"/>
                <w:sz w:val="24"/>
                <w:szCs w:val="24"/>
                <w:highlight w:val="none"/>
                <w:vertAlign w:val="baseline"/>
                <w:lang w:val="en-US" w:eastAsia="zh-CN"/>
              </w:rPr>
              <w:t>套</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1BC4C">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614CF">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BD85C">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highlight w:val="none"/>
                <w:u w:val="none"/>
                <w:lang w:val="en-US" w:eastAsia="zh-CN" w:bidi="ar"/>
              </w:rPr>
            </w:pPr>
          </w:p>
        </w:tc>
      </w:tr>
      <w:tr w14:paraId="7E624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exact"/>
          <w:tblHeader/>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24385">
            <w:pPr>
              <w:keepNext w:val="0"/>
              <w:keepLines w:val="0"/>
              <w:widowControl/>
              <w:suppressLineNumbers w:val="0"/>
              <w:jc w:val="center"/>
              <w:textAlignment w:val="center"/>
              <w:rPr>
                <w:rFonts w:hint="default"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13</w:t>
            </w:r>
          </w:p>
        </w:tc>
        <w:tc>
          <w:tcPr>
            <w:tcW w:w="1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24C5E">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bdr w:val="single" w:color="000000" w:sz="4" w:space="0"/>
                <w:lang w:val="en-US" w:eastAsia="zh-CN" w:bidi="ar"/>
              </w:rPr>
            </w:pPr>
            <w:r>
              <w:rPr>
                <w:rFonts w:hint="eastAsia" w:ascii="仿宋" w:hAnsi="仿宋" w:eastAsia="仿宋"/>
                <w:color w:val="auto"/>
                <w:sz w:val="24"/>
                <w:szCs w:val="24"/>
                <w:highlight w:val="none"/>
                <w:vertAlign w:val="baseline"/>
                <w:lang w:val="en-US" w:eastAsia="zh-CN"/>
              </w:rPr>
              <w:t>音频主机</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FF997">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仿宋" w:hAnsi="仿宋" w:eastAsia="仿宋"/>
                <w:color w:val="auto"/>
                <w:sz w:val="24"/>
                <w:szCs w:val="24"/>
                <w:highlight w:val="none"/>
                <w:vertAlign w:val="baseline"/>
                <w:lang w:val="en-US" w:eastAsia="zh-CN"/>
              </w:rPr>
              <w:t>1</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9DA47">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仿宋" w:hAnsi="仿宋" w:eastAsia="仿宋"/>
                <w:color w:val="auto"/>
                <w:sz w:val="24"/>
                <w:szCs w:val="24"/>
                <w:highlight w:val="none"/>
                <w:vertAlign w:val="baseline"/>
                <w:lang w:val="en-US" w:eastAsia="zh-CN"/>
              </w:rPr>
              <w:t>台</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32B5B">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4C7C3">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004CA">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highlight w:val="none"/>
                <w:u w:val="none"/>
                <w:lang w:val="en-US" w:eastAsia="zh-CN" w:bidi="ar"/>
              </w:rPr>
            </w:pPr>
          </w:p>
        </w:tc>
      </w:tr>
      <w:tr w14:paraId="5AFD9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exact"/>
          <w:tblHeader/>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33758">
            <w:pPr>
              <w:keepNext w:val="0"/>
              <w:keepLines w:val="0"/>
              <w:widowControl/>
              <w:suppressLineNumbers w:val="0"/>
              <w:jc w:val="center"/>
              <w:textAlignment w:val="center"/>
              <w:rPr>
                <w:rFonts w:hint="default"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14</w:t>
            </w:r>
          </w:p>
        </w:tc>
        <w:tc>
          <w:tcPr>
            <w:tcW w:w="1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C743E">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bdr w:val="single" w:color="000000" w:sz="4" w:space="0"/>
                <w:lang w:val="en-US" w:eastAsia="zh-CN" w:bidi="ar"/>
              </w:rPr>
            </w:pPr>
            <w:r>
              <w:rPr>
                <w:rFonts w:hint="eastAsia" w:ascii="仿宋" w:hAnsi="仿宋" w:eastAsia="仿宋"/>
                <w:color w:val="auto"/>
                <w:sz w:val="24"/>
                <w:szCs w:val="24"/>
                <w:highlight w:val="none"/>
                <w:vertAlign w:val="baseline"/>
                <w:lang w:val="en-US" w:eastAsia="zh-CN"/>
              </w:rPr>
              <w:t>无感扩声阵列麦</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A88B6">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仿宋" w:hAnsi="仿宋" w:eastAsia="仿宋"/>
                <w:color w:val="auto"/>
                <w:sz w:val="24"/>
                <w:szCs w:val="24"/>
                <w:highlight w:val="none"/>
                <w:vertAlign w:val="baseline"/>
                <w:lang w:val="en-US" w:eastAsia="zh-CN"/>
              </w:rPr>
              <w:t>1</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4DCD5">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仿宋" w:hAnsi="仿宋" w:eastAsia="仿宋"/>
                <w:color w:val="auto"/>
                <w:sz w:val="24"/>
                <w:szCs w:val="24"/>
                <w:highlight w:val="none"/>
                <w:vertAlign w:val="baseline"/>
                <w:lang w:val="en-US" w:eastAsia="zh-CN"/>
              </w:rPr>
              <w:t>只</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BC318">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676AA">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DC1B7">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highlight w:val="none"/>
                <w:u w:val="none"/>
                <w:lang w:val="en-US" w:eastAsia="zh-CN" w:bidi="ar"/>
              </w:rPr>
            </w:pPr>
          </w:p>
        </w:tc>
      </w:tr>
      <w:tr w14:paraId="6C7CA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exact"/>
          <w:tblHeader/>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3D7B5">
            <w:pPr>
              <w:keepNext w:val="0"/>
              <w:keepLines w:val="0"/>
              <w:widowControl/>
              <w:suppressLineNumbers w:val="0"/>
              <w:jc w:val="center"/>
              <w:textAlignment w:val="center"/>
              <w:rPr>
                <w:rFonts w:hint="default"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15</w:t>
            </w:r>
          </w:p>
        </w:tc>
        <w:tc>
          <w:tcPr>
            <w:tcW w:w="1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BA66B">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bdr w:val="single" w:color="000000" w:sz="4" w:space="0"/>
                <w:lang w:val="en-US" w:eastAsia="zh-CN" w:bidi="ar"/>
              </w:rPr>
            </w:pPr>
            <w:r>
              <w:rPr>
                <w:rFonts w:hint="eastAsia" w:ascii="仿宋" w:hAnsi="仿宋" w:eastAsia="仿宋"/>
                <w:color w:val="auto"/>
                <w:sz w:val="24"/>
                <w:szCs w:val="24"/>
                <w:highlight w:val="none"/>
                <w:vertAlign w:val="baseline"/>
                <w:lang w:val="en-US" w:eastAsia="zh-CN"/>
              </w:rPr>
              <w:t>无源音箱</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6B8F0">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仿宋" w:hAnsi="仿宋" w:eastAsia="仿宋"/>
                <w:color w:val="auto"/>
                <w:sz w:val="24"/>
                <w:szCs w:val="24"/>
                <w:highlight w:val="none"/>
                <w:vertAlign w:val="baseline"/>
                <w:lang w:val="en-US" w:eastAsia="zh-CN"/>
              </w:rPr>
              <w:t>2</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3A44D">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仿宋" w:hAnsi="仿宋" w:eastAsia="仿宋"/>
                <w:color w:val="auto"/>
                <w:sz w:val="24"/>
                <w:szCs w:val="24"/>
                <w:highlight w:val="none"/>
                <w:vertAlign w:val="baseline"/>
                <w:lang w:val="en-US" w:eastAsia="zh-CN"/>
              </w:rPr>
              <w:t>对</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53C0F">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B2F51">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75744">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highlight w:val="none"/>
                <w:u w:val="none"/>
                <w:lang w:val="en-US" w:eastAsia="zh-CN" w:bidi="ar"/>
              </w:rPr>
            </w:pPr>
          </w:p>
        </w:tc>
      </w:tr>
      <w:tr w14:paraId="2CA57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exact"/>
          <w:tblHeader/>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C9190">
            <w:pPr>
              <w:keepNext w:val="0"/>
              <w:keepLines w:val="0"/>
              <w:widowControl/>
              <w:suppressLineNumbers w:val="0"/>
              <w:jc w:val="center"/>
              <w:textAlignment w:val="center"/>
              <w:rPr>
                <w:rFonts w:hint="default"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16</w:t>
            </w:r>
          </w:p>
        </w:tc>
        <w:tc>
          <w:tcPr>
            <w:tcW w:w="1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548D9">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bdr w:val="single" w:color="000000" w:sz="4" w:space="0"/>
                <w:lang w:val="en-US" w:eastAsia="zh-CN" w:bidi="ar"/>
              </w:rPr>
            </w:pPr>
            <w:r>
              <w:rPr>
                <w:rFonts w:hint="eastAsia" w:ascii="仿宋" w:hAnsi="仿宋" w:eastAsia="仿宋"/>
                <w:color w:val="auto"/>
                <w:sz w:val="24"/>
                <w:szCs w:val="24"/>
                <w:highlight w:val="none"/>
                <w:vertAlign w:val="baseline"/>
                <w:lang w:val="en-US" w:eastAsia="zh-CN"/>
              </w:rPr>
              <w:t>红外无线麦克风套件</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5D611">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仿宋" w:hAnsi="仿宋" w:eastAsia="仿宋"/>
                <w:color w:val="auto"/>
                <w:sz w:val="24"/>
                <w:szCs w:val="24"/>
                <w:highlight w:val="none"/>
                <w:vertAlign w:val="baseline"/>
                <w:lang w:val="en-US" w:eastAsia="zh-CN"/>
              </w:rPr>
              <w:t>1</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2F268">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仿宋" w:hAnsi="仿宋" w:eastAsia="仿宋"/>
                <w:color w:val="auto"/>
                <w:sz w:val="24"/>
                <w:szCs w:val="24"/>
                <w:highlight w:val="none"/>
                <w:vertAlign w:val="baseline"/>
                <w:lang w:val="en-US" w:eastAsia="zh-CN"/>
              </w:rPr>
              <w:t>套</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39D6D">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916AC">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18E79">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highlight w:val="none"/>
                <w:u w:val="none"/>
                <w:lang w:val="en-US" w:eastAsia="zh-CN" w:bidi="ar"/>
              </w:rPr>
            </w:pPr>
          </w:p>
        </w:tc>
      </w:tr>
      <w:tr w14:paraId="2DF86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exact"/>
          <w:tblHeader/>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EF7D7">
            <w:pPr>
              <w:keepNext w:val="0"/>
              <w:keepLines w:val="0"/>
              <w:widowControl/>
              <w:suppressLineNumbers w:val="0"/>
              <w:jc w:val="center"/>
              <w:textAlignment w:val="center"/>
              <w:rPr>
                <w:rFonts w:hint="default"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17</w:t>
            </w:r>
          </w:p>
        </w:tc>
        <w:tc>
          <w:tcPr>
            <w:tcW w:w="1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8C27B">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bdr w:val="single" w:color="000000" w:sz="4" w:space="0"/>
                <w:lang w:val="en-US" w:eastAsia="zh-CN" w:bidi="ar"/>
              </w:rPr>
            </w:pPr>
            <w:r>
              <w:rPr>
                <w:rFonts w:hint="eastAsia" w:ascii="仿宋" w:hAnsi="仿宋" w:eastAsia="仿宋"/>
                <w:color w:val="auto"/>
                <w:sz w:val="24"/>
                <w:szCs w:val="24"/>
                <w:highlight w:val="none"/>
                <w:vertAlign w:val="baseline"/>
                <w:lang w:val="en-US" w:eastAsia="zh-CN"/>
              </w:rPr>
              <w:t>鹅颈麦</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228DE">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仿宋" w:hAnsi="仿宋" w:eastAsia="仿宋"/>
                <w:color w:val="auto"/>
                <w:sz w:val="24"/>
                <w:szCs w:val="24"/>
                <w:highlight w:val="none"/>
                <w:vertAlign w:val="baseline"/>
                <w:lang w:val="en-US" w:eastAsia="zh-CN"/>
              </w:rPr>
              <w:t>1</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A879E">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仿宋" w:hAnsi="仿宋" w:eastAsia="仿宋"/>
                <w:color w:val="auto"/>
                <w:sz w:val="24"/>
                <w:szCs w:val="24"/>
                <w:highlight w:val="none"/>
                <w:vertAlign w:val="baseline"/>
                <w:lang w:val="en-US" w:eastAsia="zh-CN"/>
              </w:rPr>
              <w:t>只</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83CBE">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BE579">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85FE2">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highlight w:val="none"/>
                <w:u w:val="none"/>
                <w:lang w:val="en-US" w:eastAsia="zh-CN" w:bidi="ar"/>
              </w:rPr>
            </w:pPr>
          </w:p>
        </w:tc>
      </w:tr>
      <w:tr w14:paraId="3A85C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exact"/>
          <w:tblHeader/>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400F9">
            <w:pPr>
              <w:keepNext w:val="0"/>
              <w:keepLines w:val="0"/>
              <w:widowControl/>
              <w:suppressLineNumbers w:val="0"/>
              <w:jc w:val="center"/>
              <w:textAlignment w:val="center"/>
              <w:rPr>
                <w:rFonts w:hint="default"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18</w:t>
            </w:r>
          </w:p>
        </w:tc>
        <w:tc>
          <w:tcPr>
            <w:tcW w:w="1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88207">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bdr w:val="single" w:color="000000" w:sz="4" w:space="0"/>
                <w:lang w:val="en-US" w:eastAsia="zh-CN" w:bidi="ar"/>
              </w:rPr>
            </w:pPr>
            <w:r>
              <w:rPr>
                <w:rFonts w:hint="eastAsia" w:ascii="仿宋" w:hAnsi="仿宋" w:eastAsia="仿宋"/>
                <w:color w:val="auto"/>
                <w:sz w:val="24"/>
                <w:szCs w:val="24"/>
                <w:highlight w:val="none"/>
                <w:vertAlign w:val="baseline"/>
                <w:lang w:val="en-US" w:eastAsia="zh-CN"/>
              </w:rPr>
              <w:t>终端互动教学系统</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D08EA">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仿宋" w:hAnsi="仿宋" w:eastAsia="仿宋"/>
                <w:color w:val="auto"/>
                <w:sz w:val="24"/>
                <w:szCs w:val="24"/>
                <w:highlight w:val="none"/>
                <w:vertAlign w:val="baseline"/>
                <w:lang w:val="en-US" w:eastAsia="zh-CN"/>
              </w:rPr>
              <w:t>50</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21C13">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仿宋" w:hAnsi="仿宋" w:eastAsia="仿宋"/>
                <w:color w:val="auto"/>
                <w:sz w:val="24"/>
                <w:szCs w:val="24"/>
                <w:highlight w:val="none"/>
                <w:vertAlign w:val="baseline"/>
                <w:lang w:val="en-US" w:eastAsia="zh-CN"/>
              </w:rPr>
              <w:t>点</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BE9B9">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4A90B">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CF987">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highlight w:val="none"/>
                <w:u w:val="none"/>
                <w:lang w:val="en-US" w:eastAsia="zh-CN" w:bidi="ar"/>
              </w:rPr>
            </w:pPr>
          </w:p>
        </w:tc>
      </w:tr>
      <w:tr w14:paraId="5A20C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exact"/>
          <w:tblHeader/>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83703">
            <w:pPr>
              <w:keepNext w:val="0"/>
              <w:keepLines w:val="0"/>
              <w:widowControl/>
              <w:suppressLineNumbers w:val="0"/>
              <w:jc w:val="center"/>
              <w:textAlignment w:val="center"/>
              <w:rPr>
                <w:rFonts w:hint="default"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19</w:t>
            </w:r>
          </w:p>
        </w:tc>
        <w:tc>
          <w:tcPr>
            <w:tcW w:w="1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D46F7">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bdr w:val="single" w:color="000000" w:sz="4" w:space="0"/>
                <w:lang w:val="en-US" w:eastAsia="zh-CN" w:bidi="ar"/>
              </w:rPr>
            </w:pPr>
            <w:r>
              <w:rPr>
                <w:rFonts w:hint="eastAsia" w:ascii="仿宋" w:hAnsi="仿宋" w:eastAsia="仿宋"/>
                <w:color w:val="auto"/>
                <w:sz w:val="24"/>
                <w:szCs w:val="24"/>
                <w:highlight w:val="none"/>
                <w:vertAlign w:val="baseline"/>
                <w:lang w:val="en-US" w:eastAsia="zh-CN"/>
              </w:rPr>
              <w:t>无线AC管理器</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700AB">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仿宋" w:hAnsi="仿宋" w:eastAsia="仿宋"/>
                <w:color w:val="auto"/>
                <w:sz w:val="24"/>
                <w:szCs w:val="24"/>
                <w:highlight w:val="none"/>
                <w:vertAlign w:val="baseline"/>
                <w:lang w:val="en-US" w:eastAsia="zh-CN"/>
              </w:rPr>
              <w:t>1</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3B20A">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仿宋" w:hAnsi="仿宋" w:eastAsia="仿宋"/>
                <w:color w:val="auto"/>
                <w:sz w:val="24"/>
                <w:szCs w:val="24"/>
                <w:highlight w:val="none"/>
                <w:vertAlign w:val="baseline"/>
                <w:lang w:val="en-US" w:eastAsia="zh-CN"/>
              </w:rPr>
              <w:t>台</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43CC2">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3F6B2">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7A237">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highlight w:val="none"/>
                <w:u w:val="none"/>
                <w:lang w:val="en-US" w:eastAsia="zh-CN" w:bidi="ar"/>
              </w:rPr>
            </w:pPr>
          </w:p>
        </w:tc>
      </w:tr>
      <w:tr w14:paraId="1A6B9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exact"/>
          <w:tblHeader/>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5E80D">
            <w:pPr>
              <w:keepNext w:val="0"/>
              <w:keepLines w:val="0"/>
              <w:widowControl/>
              <w:suppressLineNumbers w:val="0"/>
              <w:jc w:val="center"/>
              <w:textAlignment w:val="center"/>
              <w:rPr>
                <w:rFonts w:hint="default"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20</w:t>
            </w:r>
          </w:p>
        </w:tc>
        <w:tc>
          <w:tcPr>
            <w:tcW w:w="1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4C4BD">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bdr w:val="single" w:color="000000" w:sz="4" w:space="0"/>
                <w:lang w:val="en-US" w:eastAsia="zh-CN" w:bidi="ar"/>
              </w:rPr>
            </w:pPr>
            <w:r>
              <w:rPr>
                <w:rFonts w:hint="eastAsia" w:ascii="仿宋" w:hAnsi="仿宋" w:eastAsia="仿宋"/>
                <w:color w:val="auto"/>
                <w:sz w:val="24"/>
                <w:szCs w:val="24"/>
                <w:highlight w:val="none"/>
                <w:vertAlign w:val="baseline"/>
                <w:lang w:val="en-US" w:eastAsia="zh-CN"/>
              </w:rPr>
              <w:t>无线AP</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265CF">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仿宋" w:hAnsi="仿宋" w:eastAsia="仿宋"/>
                <w:color w:val="auto"/>
                <w:sz w:val="24"/>
                <w:szCs w:val="24"/>
                <w:highlight w:val="none"/>
                <w:vertAlign w:val="baseline"/>
                <w:lang w:val="en-US" w:eastAsia="zh-CN"/>
              </w:rPr>
              <w:t>4</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F89FB">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仿宋" w:hAnsi="仿宋" w:eastAsia="仿宋"/>
                <w:color w:val="auto"/>
                <w:sz w:val="24"/>
                <w:szCs w:val="24"/>
                <w:highlight w:val="none"/>
                <w:vertAlign w:val="baseline"/>
                <w:lang w:val="en-US" w:eastAsia="zh-CN"/>
              </w:rPr>
              <w:t>台</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3E943">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EBE9E">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410FB">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highlight w:val="none"/>
                <w:u w:val="none"/>
                <w:lang w:val="en-US" w:eastAsia="zh-CN" w:bidi="ar"/>
              </w:rPr>
            </w:pPr>
          </w:p>
        </w:tc>
      </w:tr>
      <w:tr w14:paraId="1C3B8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exact"/>
          <w:tblHeader/>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8F870">
            <w:pPr>
              <w:keepNext w:val="0"/>
              <w:keepLines w:val="0"/>
              <w:widowControl/>
              <w:suppressLineNumbers w:val="0"/>
              <w:jc w:val="center"/>
              <w:textAlignment w:val="center"/>
              <w:rPr>
                <w:rFonts w:hint="default"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21</w:t>
            </w:r>
          </w:p>
        </w:tc>
        <w:tc>
          <w:tcPr>
            <w:tcW w:w="1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68463">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bdr w:val="single" w:color="000000" w:sz="4" w:space="0"/>
                <w:lang w:val="en-US" w:eastAsia="zh-CN" w:bidi="ar"/>
              </w:rPr>
            </w:pPr>
            <w:r>
              <w:rPr>
                <w:rFonts w:hint="eastAsia" w:ascii="仿宋" w:hAnsi="仿宋" w:eastAsia="仿宋"/>
                <w:color w:val="auto"/>
                <w:sz w:val="24"/>
                <w:szCs w:val="24"/>
                <w:highlight w:val="none"/>
                <w:vertAlign w:val="baseline"/>
                <w:lang w:val="en-US" w:eastAsia="zh-CN"/>
              </w:rPr>
              <w:t>电源时序器</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9EFF2">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仿宋" w:hAnsi="仿宋" w:eastAsia="仿宋"/>
                <w:color w:val="auto"/>
                <w:sz w:val="24"/>
                <w:szCs w:val="24"/>
                <w:highlight w:val="none"/>
                <w:vertAlign w:val="baseline"/>
                <w:lang w:val="en-US" w:eastAsia="zh-CN"/>
              </w:rPr>
              <w:t>1</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611CB">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仿宋" w:hAnsi="仿宋" w:eastAsia="仿宋"/>
                <w:color w:val="auto"/>
                <w:sz w:val="24"/>
                <w:szCs w:val="24"/>
                <w:highlight w:val="none"/>
                <w:vertAlign w:val="baseline"/>
                <w:lang w:val="en-US" w:eastAsia="zh-CN"/>
              </w:rPr>
              <w:t>个</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6CB32">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AC50A">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04DC1">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highlight w:val="none"/>
                <w:u w:val="none"/>
                <w:lang w:val="en-US" w:eastAsia="zh-CN" w:bidi="ar"/>
              </w:rPr>
            </w:pPr>
          </w:p>
        </w:tc>
      </w:tr>
      <w:tr w14:paraId="2EFF1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exact"/>
          <w:tblHeader/>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50A5F">
            <w:pPr>
              <w:keepNext w:val="0"/>
              <w:keepLines w:val="0"/>
              <w:widowControl/>
              <w:suppressLineNumbers w:val="0"/>
              <w:jc w:val="center"/>
              <w:textAlignment w:val="center"/>
              <w:rPr>
                <w:rFonts w:hint="default"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22</w:t>
            </w:r>
          </w:p>
        </w:tc>
        <w:tc>
          <w:tcPr>
            <w:tcW w:w="1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FE880">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bdr w:val="single" w:color="000000" w:sz="4" w:space="0"/>
                <w:lang w:val="en-US" w:eastAsia="zh-CN" w:bidi="ar"/>
              </w:rPr>
            </w:pPr>
            <w:r>
              <w:rPr>
                <w:rFonts w:hint="eastAsia" w:ascii="仿宋" w:hAnsi="仿宋" w:eastAsia="仿宋"/>
                <w:color w:val="auto"/>
                <w:sz w:val="24"/>
                <w:szCs w:val="24"/>
                <w:highlight w:val="none"/>
                <w:vertAlign w:val="baseline"/>
                <w:lang w:val="en-US" w:eastAsia="zh-CN"/>
              </w:rPr>
              <w:t>PDU（电源分配单元）</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9E4B3">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仿宋" w:hAnsi="仿宋" w:eastAsia="仿宋"/>
                <w:color w:val="auto"/>
                <w:sz w:val="24"/>
                <w:szCs w:val="24"/>
                <w:highlight w:val="none"/>
                <w:vertAlign w:val="baseline"/>
                <w:lang w:val="en-US" w:eastAsia="zh-CN"/>
              </w:rPr>
              <w:t>1</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71F57">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仿宋" w:hAnsi="仿宋" w:eastAsia="仿宋"/>
                <w:color w:val="auto"/>
                <w:sz w:val="24"/>
                <w:szCs w:val="24"/>
                <w:highlight w:val="none"/>
                <w:vertAlign w:val="baseline"/>
                <w:lang w:val="en-US" w:eastAsia="zh-CN"/>
              </w:rPr>
              <w:t>个</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0D8B5">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8983B">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C34F2">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highlight w:val="none"/>
                <w:u w:val="none"/>
                <w:lang w:val="en-US" w:eastAsia="zh-CN" w:bidi="ar"/>
              </w:rPr>
            </w:pPr>
          </w:p>
        </w:tc>
      </w:tr>
      <w:tr w14:paraId="08A0F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exact"/>
          <w:tblHeader/>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D3C71">
            <w:pPr>
              <w:keepNext w:val="0"/>
              <w:keepLines w:val="0"/>
              <w:widowControl/>
              <w:suppressLineNumbers w:val="0"/>
              <w:jc w:val="center"/>
              <w:textAlignment w:val="center"/>
              <w:rPr>
                <w:rFonts w:hint="default"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23</w:t>
            </w:r>
          </w:p>
        </w:tc>
        <w:tc>
          <w:tcPr>
            <w:tcW w:w="1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9F1B1">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bdr w:val="single" w:color="000000" w:sz="4" w:space="0"/>
                <w:lang w:val="en-US" w:eastAsia="zh-CN" w:bidi="ar"/>
              </w:rPr>
            </w:pPr>
            <w:r>
              <w:rPr>
                <w:rFonts w:hint="eastAsia" w:ascii="仿宋" w:hAnsi="仿宋" w:eastAsia="仿宋"/>
                <w:color w:val="auto"/>
                <w:sz w:val="24"/>
                <w:szCs w:val="24"/>
                <w:highlight w:val="none"/>
                <w:vertAlign w:val="baseline"/>
                <w:lang w:val="en-US" w:eastAsia="zh-CN"/>
              </w:rPr>
              <w:t>智能终端充电柜</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A4DF5">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仿宋" w:hAnsi="仿宋" w:eastAsia="仿宋"/>
                <w:color w:val="auto"/>
                <w:sz w:val="24"/>
                <w:szCs w:val="24"/>
                <w:highlight w:val="none"/>
                <w:vertAlign w:val="baseline"/>
                <w:lang w:val="en-US" w:eastAsia="zh-CN"/>
              </w:rPr>
              <w:t>1</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5C097">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仿宋" w:hAnsi="仿宋" w:eastAsia="仿宋"/>
                <w:color w:val="auto"/>
                <w:sz w:val="24"/>
                <w:szCs w:val="24"/>
                <w:highlight w:val="none"/>
                <w:vertAlign w:val="baseline"/>
                <w:lang w:val="en-US" w:eastAsia="zh-CN"/>
              </w:rPr>
              <w:t>台</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750AF">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EA3A2">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9491F">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highlight w:val="none"/>
                <w:u w:val="none"/>
                <w:lang w:val="en-US" w:eastAsia="zh-CN" w:bidi="ar"/>
              </w:rPr>
            </w:pPr>
          </w:p>
        </w:tc>
      </w:tr>
      <w:tr w14:paraId="36EE2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exact"/>
          <w:tblHeader/>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D7736">
            <w:pPr>
              <w:keepNext w:val="0"/>
              <w:keepLines w:val="0"/>
              <w:widowControl/>
              <w:suppressLineNumbers w:val="0"/>
              <w:jc w:val="center"/>
              <w:textAlignment w:val="center"/>
              <w:rPr>
                <w:rFonts w:hint="default"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24</w:t>
            </w:r>
          </w:p>
        </w:tc>
        <w:tc>
          <w:tcPr>
            <w:tcW w:w="1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8EA64">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bdr w:val="single" w:color="000000" w:sz="4" w:space="0"/>
                <w:lang w:val="en-US" w:eastAsia="zh-CN" w:bidi="ar"/>
              </w:rPr>
            </w:pPr>
            <w:r>
              <w:rPr>
                <w:rFonts w:hint="eastAsia" w:ascii="仿宋" w:hAnsi="仿宋" w:eastAsia="仿宋"/>
                <w:color w:val="auto"/>
                <w:sz w:val="24"/>
                <w:szCs w:val="24"/>
                <w:highlight w:val="none"/>
                <w:vertAlign w:val="baseline"/>
                <w:lang w:val="en-US" w:eastAsia="zh-CN"/>
              </w:rPr>
              <w:t>电子班牌</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B986C">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仿宋" w:hAnsi="仿宋" w:eastAsia="仿宋"/>
                <w:color w:val="auto"/>
                <w:sz w:val="24"/>
                <w:szCs w:val="24"/>
                <w:highlight w:val="none"/>
                <w:vertAlign w:val="baseline"/>
                <w:lang w:val="en-US" w:eastAsia="zh-CN"/>
              </w:rPr>
              <w:t>1</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D454E">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仿宋" w:hAnsi="仿宋" w:eastAsia="仿宋"/>
                <w:color w:val="auto"/>
                <w:sz w:val="24"/>
                <w:szCs w:val="24"/>
                <w:highlight w:val="none"/>
                <w:vertAlign w:val="baseline"/>
                <w:lang w:val="en-US" w:eastAsia="zh-CN"/>
              </w:rPr>
              <w:t>台</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A97D6">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AD3EB">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3AE99">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highlight w:val="none"/>
                <w:u w:val="none"/>
                <w:lang w:val="en-US" w:eastAsia="zh-CN" w:bidi="ar"/>
              </w:rPr>
            </w:pPr>
          </w:p>
        </w:tc>
      </w:tr>
      <w:tr w14:paraId="23D3F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exact"/>
          <w:tblHeader/>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7D525">
            <w:pPr>
              <w:keepNext w:val="0"/>
              <w:keepLines w:val="0"/>
              <w:widowControl/>
              <w:suppressLineNumbers w:val="0"/>
              <w:jc w:val="center"/>
              <w:textAlignment w:val="center"/>
              <w:rPr>
                <w:rFonts w:hint="default"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25</w:t>
            </w:r>
          </w:p>
        </w:tc>
        <w:tc>
          <w:tcPr>
            <w:tcW w:w="1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1D9D9">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bdr w:val="single" w:color="000000" w:sz="4" w:space="0"/>
                <w:lang w:val="en-US" w:eastAsia="zh-CN" w:bidi="ar"/>
              </w:rPr>
            </w:pPr>
            <w:r>
              <w:rPr>
                <w:rFonts w:hint="eastAsia" w:ascii="仿宋" w:hAnsi="仿宋" w:eastAsia="仿宋"/>
                <w:color w:val="auto"/>
                <w:sz w:val="24"/>
                <w:szCs w:val="24"/>
                <w:highlight w:val="none"/>
                <w:vertAlign w:val="baseline"/>
                <w:lang w:val="en-US" w:eastAsia="zh-CN"/>
              </w:rPr>
              <w:t>拆除</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21D30">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仿宋" w:hAnsi="仿宋" w:eastAsia="仿宋"/>
                <w:color w:val="auto"/>
                <w:sz w:val="24"/>
                <w:szCs w:val="24"/>
                <w:highlight w:val="none"/>
                <w:vertAlign w:val="baseline"/>
                <w:lang w:val="en-US" w:eastAsia="zh-CN"/>
              </w:rPr>
              <w:t>1</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44D4C">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仿宋" w:hAnsi="仿宋" w:eastAsia="仿宋"/>
                <w:color w:val="auto"/>
                <w:sz w:val="24"/>
                <w:szCs w:val="24"/>
                <w:highlight w:val="none"/>
                <w:vertAlign w:val="baseline"/>
                <w:lang w:val="en-US" w:eastAsia="zh-CN"/>
              </w:rPr>
              <w:t>项</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33CDA">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1F19D">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167F7">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highlight w:val="none"/>
                <w:u w:val="none"/>
                <w:lang w:val="en-US" w:eastAsia="zh-CN" w:bidi="ar"/>
              </w:rPr>
            </w:pPr>
          </w:p>
        </w:tc>
      </w:tr>
      <w:tr w14:paraId="77BA7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exact"/>
          <w:tblHeader/>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B7A88">
            <w:pPr>
              <w:keepNext w:val="0"/>
              <w:keepLines w:val="0"/>
              <w:widowControl/>
              <w:suppressLineNumbers w:val="0"/>
              <w:jc w:val="center"/>
              <w:textAlignment w:val="center"/>
              <w:rPr>
                <w:rFonts w:hint="default"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26</w:t>
            </w:r>
          </w:p>
        </w:tc>
        <w:tc>
          <w:tcPr>
            <w:tcW w:w="1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0EA8C">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bdr w:val="single" w:color="000000" w:sz="4" w:space="0"/>
                <w:lang w:val="en-US" w:eastAsia="zh-CN" w:bidi="ar"/>
              </w:rPr>
            </w:pPr>
            <w:r>
              <w:rPr>
                <w:rFonts w:hint="eastAsia" w:ascii="仿宋" w:hAnsi="仿宋" w:eastAsia="仿宋"/>
                <w:color w:val="auto"/>
                <w:sz w:val="24"/>
                <w:szCs w:val="24"/>
                <w:highlight w:val="none"/>
                <w:vertAlign w:val="baseline"/>
                <w:lang w:val="en-US" w:eastAsia="zh-CN"/>
              </w:rPr>
              <w:t>垃圾外运</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FE451">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仿宋" w:hAnsi="仿宋" w:eastAsia="仿宋"/>
                <w:color w:val="auto"/>
                <w:sz w:val="24"/>
                <w:szCs w:val="24"/>
                <w:highlight w:val="none"/>
                <w:vertAlign w:val="baseline"/>
                <w:lang w:val="en-US" w:eastAsia="zh-CN"/>
              </w:rPr>
              <w:t>1</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9F925">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仿宋" w:hAnsi="仿宋" w:eastAsia="仿宋"/>
                <w:color w:val="auto"/>
                <w:sz w:val="24"/>
                <w:szCs w:val="24"/>
                <w:highlight w:val="none"/>
                <w:vertAlign w:val="baseline"/>
                <w:lang w:val="en-US" w:eastAsia="zh-CN"/>
              </w:rPr>
              <w:t>项</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35319">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07E43">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726B0">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highlight w:val="none"/>
                <w:u w:val="none"/>
                <w:lang w:val="en-US" w:eastAsia="zh-CN" w:bidi="ar"/>
              </w:rPr>
            </w:pPr>
          </w:p>
        </w:tc>
      </w:tr>
      <w:tr w14:paraId="7B969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exact"/>
          <w:tblHeader/>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802F2">
            <w:pPr>
              <w:keepNext w:val="0"/>
              <w:keepLines w:val="0"/>
              <w:widowControl/>
              <w:suppressLineNumbers w:val="0"/>
              <w:jc w:val="center"/>
              <w:textAlignment w:val="center"/>
              <w:rPr>
                <w:rFonts w:hint="default"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27</w:t>
            </w:r>
          </w:p>
        </w:tc>
        <w:tc>
          <w:tcPr>
            <w:tcW w:w="1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A0A69">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bdr w:val="single" w:color="000000" w:sz="4" w:space="0"/>
                <w:lang w:val="en-US" w:eastAsia="zh-CN" w:bidi="ar"/>
              </w:rPr>
            </w:pPr>
            <w:r>
              <w:rPr>
                <w:rFonts w:hint="eastAsia" w:ascii="仿宋" w:hAnsi="仿宋" w:eastAsia="仿宋"/>
                <w:color w:val="auto"/>
                <w:sz w:val="24"/>
                <w:szCs w:val="24"/>
                <w:highlight w:val="none"/>
                <w:vertAlign w:val="baseline"/>
                <w:lang w:val="en-US" w:eastAsia="zh-CN"/>
              </w:rPr>
              <w:t>顶面处理</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0BA1D">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仿宋" w:hAnsi="仿宋" w:eastAsia="仿宋"/>
                <w:color w:val="auto"/>
                <w:sz w:val="24"/>
                <w:szCs w:val="24"/>
                <w:highlight w:val="none"/>
                <w:vertAlign w:val="baseline"/>
                <w:lang w:val="en-US" w:eastAsia="zh-CN"/>
              </w:rPr>
              <w:t>73</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A883B">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仿宋" w:hAnsi="仿宋" w:eastAsia="仿宋"/>
                <w:color w:val="auto"/>
                <w:sz w:val="24"/>
                <w:szCs w:val="24"/>
                <w:highlight w:val="none"/>
                <w:vertAlign w:val="baseline"/>
                <w:lang w:val="en-US" w:eastAsia="zh-CN"/>
              </w:rPr>
              <w:t>平方米</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A4616">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C9398">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EB232">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highlight w:val="none"/>
                <w:u w:val="none"/>
                <w:lang w:val="en-US" w:eastAsia="zh-CN" w:bidi="ar"/>
              </w:rPr>
            </w:pPr>
          </w:p>
        </w:tc>
      </w:tr>
      <w:tr w14:paraId="1507E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exact"/>
          <w:tblHeader/>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271F7">
            <w:pPr>
              <w:keepNext w:val="0"/>
              <w:keepLines w:val="0"/>
              <w:widowControl/>
              <w:suppressLineNumbers w:val="0"/>
              <w:jc w:val="center"/>
              <w:textAlignment w:val="center"/>
              <w:rPr>
                <w:rFonts w:hint="default"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28</w:t>
            </w:r>
          </w:p>
        </w:tc>
        <w:tc>
          <w:tcPr>
            <w:tcW w:w="1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B457F">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bdr w:val="single" w:color="000000" w:sz="4" w:space="0"/>
                <w:lang w:val="en-US" w:eastAsia="zh-CN" w:bidi="ar"/>
              </w:rPr>
            </w:pPr>
            <w:r>
              <w:rPr>
                <w:rFonts w:hint="eastAsia" w:ascii="仿宋" w:hAnsi="仿宋" w:eastAsia="仿宋"/>
                <w:color w:val="auto"/>
                <w:sz w:val="24"/>
                <w:szCs w:val="24"/>
                <w:highlight w:val="none"/>
                <w:vertAlign w:val="baseline"/>
                <w:lang w:val="en-US" w:eastAsia="zh-CN"/>
              </w:rPr>
              <w:t>前墙处理</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71458">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仿宋" w:hAnsi="仿宋" w:eastAsia="仿宋"/>
                <w:color w:val="auto"/>
                <w:sz w:val="24"/>
                <w:szCs w:val="24"/>
                <w:highlight w:val="none"/>
                <w:vertAlign w:val="baseline"/>
                <w:lang w:val="en-US" w:eastAsia="zh-CN"/>
              </w:rPr>
              <w:t>21</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14DD2">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仿宋" w:hAnsi="仿宋" w:eastAsia="仿宋"/>
                <w:color w:val="auto"/>
                <w:sz w:val="24"/>
                <w:szCs w:val="24"/>
                <w:highlight w:val="none"/>
                <w:vertAlign w:val="baseline"/>
                <w:lang w:val="en-US" w:eastAsia="zh-CN"/>
              </w:rPr>
              <w:t>平方米</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42B7A">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FBA1F">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3A4D5">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highlight w:val="none"/>
                <w:u w:val="none"/>
                <w:lang w:val="en-US" w:eastAsia="zh-CN" w:bidi="ar"/>
              </w:rPr>
            </w:pPr>
          </w:p>
        </w:tc>
      </w:tr>
      <w:tr w14:paraId="77956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exact"/>
          <w:tblHeader/>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BEB5B">
            <w:pPr>
              <w:keepNext w:val="0"/>
              <w:keepLines w:val="0"/>
              <w:widowControl/>
              <w:suppressLineNumbers w:val="0"/>
              <w:jc w:val="center"/>
              <w:textAlignment w:val="center"/>
              <w:rPr>
                <w:rFonts w:hint="default"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29</w:t>
            </w:r>
          </w:p>
        </w:tc>
        <w:tc>
          <w:tcPr>
            <w:tcW w:w="1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C9BE0">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bdr w:val="single" w:color="000000" w:sz="4" w:space="0"/>
                <w:lang w:val="en-US" w:eastAsia="zh-CN" w:bidi="ar"/>
              </w:rPr>
            </w:pPr>
            <w:r>
              <w:rPr>
                <w:rFonts w:hint="eastAsia" w:ascii="仿宋" w:hAnsi="仿宋" w:eastAsia="仿宋"/>
                <w:color w:val="auto"/>
                <w:sz w:val="24"/>
                <w:szCs w:val="24"/>
                <w:highlight w:val="none"/>
                <w:vertAlign w:val="baseline"/>
                <w:lang w:val="en-US" w:eastAsia="zh-CN"/>
              </w:rPr>
              <w:t>墙面处理</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F9B8F">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仿宋" w:hAnsi="仿宋" w:eastAsia="仿宋"/>
                <w:color w:val="auto"/>
                <w:sz w:val="24"/>
                <w:szCs w:val="24"/>
                <w:highlight w:val="none"/>
                <w:vertAlign w:val="baseline"/>
                <w:lang w:val="en-US" w:eastAsia="zh-CN"/>
              </w:rPr>
              <w:t>40</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C02DC">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仿宋" w:hAnsi="仿宋" w:eastAsia="仿宋"/>
                <w:color w:val="auto"/>
                <w:sz w:val="24"/>
                <w:szCs w:val="24"/>
                <w:highlight w:val="none"/>
                <w:vertAlign w:val="baseline"/>
                <w:lang w:val="en-US" w:eastAsia="zh-CN"/>
              </w:rPr>
              <w:t>平方米</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BBA19">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2CBA6">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54787">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highlight w:val="none"/>
                <w:u w:val="none"/>
                <w:lang w:val="en-US" w:eastAsia="zh-CN" w:bidi="ar"/>
              </w:rPr>
            </w:pPr>
          </w:p>
        </w:tc>
      </w:tr>
      <w:tr w14:paraId="61FA2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exact"/>
          <w:tblHeader/>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7DD37">
            <w:pPr>
              <w:keepNext w:val="0"/>
              <w:keepLines w:val="0"/>
              <w:widowControl/>
              <w:suppressLineNumbers w:val="0"/>
              <w:jc w:val="center"/>
              <w:textAlignment w:val="center"/>
              <w:rPr>
                <w:rFonts w:hint="default"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30</w:t>
            </w:r>
          </w:p>
        </w:tc>
        <w:tc>
          <w:tcPr>
            <w:tcW w:w="1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61EE8">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bdr w:val="single" w:color="000000" w:sz="4" w:space="0"/>
                <w:lang w:val="en-US" w:eastAsia="zh-CN" w:bidi="ar"/>
              </w:rPr>
            </w:pPr>
            <w:r>
              <w:rPr>
                <w:rFonts w:hint="eastAsia" w:ascii="仿宋" w:hAnsi="仿宋" w:eastAsia="仿宋"/>
                <w:color w:val="auto"/>
                <w:sz w:val="24"/>
                <w:szCs w:val="24"/>
                <w:highlight w:val="none"/>
                <w:vertAlign w:val="baseline"/>
                <w:lang w:val="en-US" w:eastAsia="zh-CN"/>
              </w:rPr>
              <w:t>照明灯具</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A5D94">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仿宋" w:hAnsi="仿宋" w:eastAsia="仿宋"/>
                <w:color w:val="auto"/>
                <w:sz w:val="24"/>
                <w:szCs w:val="24"/>
                <w:highlight w:val="none"/>
                <w:vertAlign w:val="baseline"/>
                <w:lang w:val="en-US" w:eastAsia="zh-CN"/>
              </w:rPr>
              <w:t>1</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6F9E6">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仿宋" w:hAnsi="仿宋" w:eastAsia="仿宋"/>
                <w:color w:val="auto"/>
                <w:sz w:val="24"/>
                <w:szCs w:val="24"/>
                <w:highlight w:val="none"/>
                <w:vertAlign w:val="baseline"/>
                <w:lang w:val="en-US" w:eastAsia="zh-CN"/>
              </w:rPr>
              <w:t>项</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24AF9">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D83F7">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425A3">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highlight w:val="none"/>
                <w:u w:val="none"/>
                <w:lang w:val="en-US" w:eastAsia="zh-CN" w:bidi="ar"/>
              </w:rPr>
            </w:pPr>
          </w:p>
        </w:tc>
      </w:tr>
      <w:tr w14:paraId="0F33E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exact"/>
          <w:tblHeader/>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14C50">
            <w:pPr>
              <w:keepNext w:val="0"/>
              <w:keepLines w:val="0"/>
              <w:widowControl/>
              <w:suppressLineNumbers w:val="0"/>
              <w:jc w:val="center"/>
              <w:textAlignment w:val="center"/>
              <w:rPr>
                <w:rFonts w:hint="default"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31</w:t>
            </w:r>
          </w:p>
        </w:tc>
        <w:tc>
          <w:tcPr>
            <w:tcW w:w="1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50472">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bdr w:val="single" w:color="000000" w:sz="4" w:space="0"/>
                <w:lang w:val="en-US" w:eastAsia="zh-CN" w:bidi="ar"/>
              </w:rPr>
            </w:pPr>
            <w:r>
              <w:rPr>
                <w:rFonts w:hint="eastAsia" w:ascii="仿宋" w:hAnsi="仿宋" w:eastAsia="仿宋"/>
                <w:color w:val="auto"/>
                <w:sz w:val="24"/>
                <w:szCs w:val="24"/>
                <w:highlight w:val="none"/>
                <w:vertAlign w:val="baseline"/>
                <w:lang w:val="en-US" w:eastAsia="zh-CN"/>
              </w:rPr>
              <w:t>窗帘</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711E7">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仿宋" w:hAnsi="仿宋" w:eastAsia="仿宋"/>
                <w:color w:val="auto"/>
                <w:sz w:val="24"/>
                <w:szCs w:val="24"/>
                <w:highlight w:val="none"/>
                <w:vertAlign w:val="baseline"/>
                <w:lang w:val="en-US" w:eastAsia="zh-CN"/>
              </w:rPr>
              <w:t>14</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54C6E">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仿宋" w:hAnsi="仿宋" w:eastAsia="仿宋"/>
                <w:color w:val="auto"/>
                <w:sz w:val="24"/>
                <w:szCs w:val="24"/>
                <w:highlight w:val="none"/>
                <w:vertAlign w:val="baseline"/>
                <w:lang w:val="en-US" w:eastAsia="zh-CN"/>
              </w:rPr>
              <w:t>米</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4214E">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8E679">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1F0B0">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highlight w:val="none"/>
                <w:u w:val="none"/>
                <w:lang w:val="en-US" w:eastAsia="zh-CN" w:bidi="ar"/>
              </w:rPr>
            </w:pPr>
          </w:p>
        </w:tc>
      </w:tr>
      <w:tr w14:paraId="6E91E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exact"/>
          <w:tblHeader/>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F02BF">
            <w:pPr>
              <w:keepNext w:val="0"/>
              <w:keepLines w:val="0"/>
              <w:widowControl/>
              <w:suppressLineNumbers w:val="0"/>
              <w:jc w:val="center"/>
              <w:textAlignment w:val="center"/>
              <w:rPr>
                <w:rFonts w:hint="default"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32</w:t>
            </w:r>
          </w:p>
        </w:tc>
        <w:tc>
          <w:tcPr>
            <w:tcW w:w="1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3C8D9">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bdr w:val="single" w:color="000000" w:sz="4" w:space="0"/>
                <w:lang w:val="en-US" w:eastAsia="zh-CN" w:bidi="ar"/>
              </w:rPr>
            </w:pPr>
            <w:r>
              <w:rPr>
                <w:rFonts w:hint="eastAsia" w:ascii="仿宋" w:hAnsi="仿宋" w:eastAsia="仿宋"/>
                <w:color w:val="auto"/>
                <w:sz w:val="24"/>
                <w:szCs w:val="24"/>
                <w:highlight w:val="none"/>
                <w:vertAlign w:val="baseline"/>
                <w:lang w:val="en-US" w:eastAsia="zh-CN"/>
              </w:rPr>
              <w:t>文化建设</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74AFE">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仿宋" w:hAnsi="仿宋" w:eastAsia="仿宋"/>
                <w:color w:val="auto"/>
                <w:sz w:val="24"/>
                <w:szCs w:val="24"/>
                <w:highlight w:val="none"/>
                <w:vertAlign w:val="baseline"/>
                <w:lang w:val="en-US" w:eastAsia="zh-CN"/>
              </w:rPr>
              <w:t>1</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B649E">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仿宋" w:hAnsi="仿宋" w:eastAsia="仿宋"/>
                <w:color w:val="auto"/>
                <w:sz w:val="24"/>
                <w:szCs w:val="24"/>
                <w:highlight w:val="none"/>
                <w:vertAlign w:val="baseline"/>
                <w:lang w:val="en-US" w:eastAsia="zh-CN"/>
              </w:rPr>
              <w:t>项</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4BEDA">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92AAA">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EBC61">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highlight w:val="none"/>
                <w:u w:val="none"/>
                <w:lang w:val="en-US" w:eastAsia="zh-CN" w:bidi="ar"/>
              </w:rPr>
            </w:pPr>
          </w:p>
        </w:tc>
      </w:tr>
      <w:tr w14:paraId="30F74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exact"/>
          <w:tblHeader/>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C0522">
            <w:pPr>
              <w:keepNext w:val="0"/>
              <w:keepLines w:val="0"/>
              <w:widowControl/>
              <w:suppressLineNumbers w:val="0"/>
              <w:jc w:val="center"/>
              <w:textAlignment w:val="center"/>
              <w:rPr>
                <w:rFonts w:hint="default"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33</w:t>
            </w:r>
          </w:p>
        </w:tc>
        <w:tc>
          <w:tcPr>
            <w:tcW w:w="1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31201">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bdr w:val="single" w:color="000000" w:sz="4" w:space="0"/>
                <w:lang w:val="en-US" w:eastAsia="zh-CN" w:bidi="ar"/>
              </w:rPr>
            </w:pPr>
            <w:r>
              <w:rPr>
                <w:rFonts w:hint="eastAsia" w:ascii="仿宋" w:hAnsi="仿宋" w:eastAsia="仿宋"/>
                <w:color w:val="auto"/>
                <w:sz w:val="24"/>
                <w:szCs w:val="24"/>
                <w:highlight w:val="none"/>
                <w:vertAlign w:val="baseline"/>
                <w:lang w:val="en-US" w:eastAsia="zh-CN"/>
              </w:rPr>
              <w:t>综合布线</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65095">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仿宋" w:hAnsi="仿宋" w:eastAsia="仿宋"/>
                <w:color w:val="auto"/>
                <w:sz w:val="24"/>
                <w:szCs w:val="24"/>
                <w:highlight w:val="none"/>
                <w:vertAlign w:val="baseline"/>
                <w:lang w:val="en-US" w:eastAsia="zh-CN"/>
              </w:rPr>
              <w:t>1</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0044F">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仿宋" w:hAnsi="仿宋" w:eastAsia="仿宋"/>
                <w:color w:val="auto"/>
                <w:sz w:val="24"/>
                <w:szCs w:val="24"/>
                <w:highlight w:val="none"/>
                <w:vertAlign w:val="baseline"/>
                <w:lang w:val="en-US" w:eastAsia="zh-CN"/>
              </w:rPr>
              <w:t>项</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AD94B">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2B077">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3BCF6">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highlight w:val="none"/>
                <w:u w:val="none"/>
                <w:lang w:val="en-US" w:eastAsia="zh-CN" w:bidi="ar"/>
              </w:rPr>
            </w:pPr>
          </w:p>
        </w:tc>
      </w:tr>
      <w:tr w14:paraId="69FD3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exact"/>
          <w:tblHeader/>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7903341">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highlight w:val="none"/>
                <w:u w:val="none"/>
                <w:lang w:val="en-US" w:eastAsia="zh-CN" w:bidi="ar"/>
              </w:rPr>
            </w:pPr>
            <w:r>
              <w:rPr>
                <w:rFonts w:hint="eastAsia" w:ascii="仿宋" w:hAnsi="仿宋" w:eastAsia="仿宋" w:cs="Times New Roman"/>
                <w:b/>
                <w:bCs/>
                <w:color w:val="auto"/>
                <w:sz w:val="24"/>
                <w:szCs w:val="24"/>
                <w:highlight w:val="none"/>
                <w:vertAlign w:val="baseline"/>
                <w:lang w:val="en-US" w:eastAsia="zh-CN"/>
              </w:rPr>
              <w:t>合计金额（元）：</w:t>
            </w:r>
          </w:p>
        </w:tc>
      </w:tr>
    </w:tbl>
    <w:p w14:paraId="497D1B74">
      <w:pPr>
        <w:rPr>
          <w:rFonts w:hint="eastAsia" w:ascii="仿宋" w:hAnsi="仿宋" w:eastAsia="仿宋"/>
          <w:b/>
          <w:bCs/>
          <w:color w:val="auto"/>
          <w:sz w:val="28"/>
          <w:szCs w:val="28"/>
          <w:highlight w:val="none"/>
        </w:rPr>
      </w:pPr>
    </w:p>
    <w:p w14:paraId="03B00383">
      <w:pPr>
        <w:pStyle w:val="18"/>
        <w:rPr>
          <w:rFonts w:hint="eastAsia" w:ascii="仿宋" w:hAnsi="仿宋" w:eastAsia="仿宋"/>
          <w:b/>
          <w:bCs/>
          <w:color w:val="auto"/>
          <w:sz w:val="28"/>
          <w:szCs w:val="28"/>
          <w:highlight w:val="none"/>
        </w:rPr>
      </w:pPr>
    </w:p>
    <w:p w14:paraId="14DAF9C5">
      <w:pPr>
        <w:rPr>
          <w:rFonts w:hint="eastAsia" w:ascii="仿宋" w:hAnsi="仿宋" w:eastAsia="仿宋"/>
          <w:b/>
          <w:bCs/>
          <w:color w:val="auto"/>
          <w:sz w:val="28"/>
          <w:szCs w:val="28"/>
          <w:highlight w:val="none"/>
        </w:rPr>
      </w:pPr>
    </w:p>
    <w:p w14:paraId="7146C23E">
      <w:pPr>
        <w:pStyle w:val="18"/>
        <w:rPr>
          <w:rFonts w:hint="eastAsia" w:ascii="仿宋" w:hAnsi="仿宋" w:eastAsia="仿宋"/>
          <w:b/>
          <w:bCs/>
          <w:color w:val="auto"/>
          <w:sz w:val="28"/>
          <w:szCs w:val="28"/>
          <w:highlight w:val="none"/>
        </w:rPr>
      </w:pPr>
    </w:p>
    <w:p w14:paraId="50919AD7">
      <w:pPr>
        <w:rPr>
          <w:rFonts w:hint="eastAsia" w:ascii="仿宋" w:hAnsi="仿宋" w:eastAsia="仿宋"/>
          <w:b/>
          <w:bCs/>
          <w:color w:val="auto"/>
          <w:sz w:val="28"/>
          <w:szCs w:val="28"/>
          <w:highlight w:val="none"/>
        </w:rPr>
      </w:pPr>
    </w:p>
    <w:p w14:paraId="35606F5C">
      <w:pPr>
        <w:pStyle w:val="18"/>
        <w:rPr>
          <w:rFonts w:hint="eastAsia" w:ascii="仿宋" w:hAnsi="仿宋" w:eastAsia="仿宋"/>
          <w:b/>
          <w:bCs/>
          <w:color w:val="auto"/>
          <w:sz w:val="28"/>
          <w:szCs w:val="28"/>
          <w:highlight w:val="none"/>
        </w:rPr>
      </w:pPr>
    </w:p>
    <w:p w14:paraId="066FBBEA">
      <w:pPr>
        <w:rPr>
          <w:rFonts w:hint="eastAsia"/>
        </w:rPr>
      </w:pPr>
    </w:p>
    <w:p w14:paraId="0E34DD96">
      <w:pPr>
        <w:rPr>
          <w:rFonts w:hint="eastAsia"/>
        </w:rPr>
      </w:pPr>
      <w:r>
        <w:rPr>
          <w:rFonts w:hint="eastAsia"/>
        </w:rPr>
        <w:br w:type="page"/>
      </w:r>
    </w:p>
    <w:p w14:paraId="50FDCD27">
      <w:pPr>
        <w:pStyle w:val="5"/>
        <w:keepLines w:val="0"/>
        <w:pageBreakBefore w:val="0"/>
        <w:widowControl w:val="0"/>
        <w:kinsoku/>
        <w:overflowPunct/>
        <w:topLinePunct w:val="0"/>
        <w:autoSpaceDE/>
        <w:autoSpaceDN/>
        <w:bidi w:val="0"/>
        <w:snapToGrid/>
        <w:spacing w:before="0" w:line="460" w:lineRule="exact"/>
        <w:ind w:left="0" w:firstLine="0"/>
        <w:jc w:val="center"/>
        <w:rPr>
          <w:rFonts w:hint="eastAsia" w:ascii="仿宋" w:hAnsi="仿宋" w:eastAsia="仿宋" w:cs="仿宋"/>
          <w:color w:val="auto"/>
          <w:sz w:val="28"/>
          <w:szCs w:val="28"/>
          <w:highlight w:val="none"/>
          <w:lang w:val="en-US" w:eastAsia="zh-CN"/>
        </w:rPr>
      </w:pPr>
      <w:bookmarkStart w:id="463" w:name="_Toc6209"/>
      <w:bookmarkStart w:id="464" w:name="_Toc29287"/>
      <w:bookmarkStart w:id="465" w:name="_Toc26241"/>
      <w:bookmarkStart w:id="466" w:name="_Toc15953"/>
      <w:bookmarkStart w:id="467" w:name="_Toc1442"/>
      <w:r>
        <w:rPr>
          <w:rFonts w:hint="eastAsia" w:ascii="仿宋" w:hAnsi="仿宋" w:eastAsia="仿宋" w:cs="仿宋"/>
          <w:color w:val="auto"/>
          <w:sz w:val="36"/>
          <w:szCs w:val="36"/>
          <w:highlight w:val="none"/>
          <w:lang w:val="en-US" w:eastAsia="zh-CN"/>
        </w:rPr>
        <w:t>三、资格审查文件部分</w:t>
      </w:r>
      <w:bookmarkEnd w:id="463"/>
      <w:bookmarkEnd w:id="464"/>
      <w:bookmarkEnd w:id="465"/>
      <w:bookmarkEnd w:id="466"/>
      <w:bookmarkEnd w:id="467"/>
    </w:p>
    <w:p w14:paraId="3B679038">
      <w:pPr>
        <w:pStyle w:val="6"/>
        <w:ind w:left="0" w:leftChars="0" w:firstLine="0" w:firstLineChars="0"/>
        <w:jc w:val="center"/>
        <w:rPr>
          <w:rFonts w:hint="eastAsia" w:ascii="仿宋" w:hAnsi="仿宋" w:eastAsia="仿宋"/>
          <w:b/>
          <w:bCs/>
          <w:color w:val="auto"/>
          <w:sz w:val="28"/>
          <w:szCs w:val="28"/>
          <w:highlight w:val="none"/>
        </w:rPr>
      </w:pPr>
      <w:bookmarkStart w:id="468" w:name="_Toc30997"/>
      <w:bookmarkStart w:id="469" w:name="_Toc2580"/>
      <w:bookmarkStart w:id="470" w:name="_Toc25929"/>
      <w:bookmarkStart w:id="471" w:name="_Toc11464"/>
      <w:bookmarkStart w:id="472" w:name="_Toc18927"/>
      <w:bookmarkStart w:id="473" w:name="_Toc25460"/>
      <w:bookmarkStart w:id="474" w:name="_Toc24398"/>
      <w:bookmarkStart w:id="475" w:name="_Toc383636414"/>
      <w:bookmarkStart w:id="476" w:name="_Toc416253669"/>
      <w:bookmarkStart w:id="477" w:name="_Toc391301873"/>
      <w:bookmarkStart w:id="478" w:name="_Toc406162619"/>
      <w:r>
        <w:rPr>
          <w:rFonts w:hint="eastAsia" w:ascii="仿宋" w:hAnsi="仿宋" w:eastAsia="仿宋"/>
          <w:b/>
          <w:bCs/>
          <w:color w:val="auto"/>
          <w:sz w:val="28"/>
          <w:szCs w:val="28"/>
          <w:highlight w:val="none"/>
        </w:rPr>
        <w:t>格式1、投标人基本情况表</w:t>
      </w:r>
      <w:bookmarkEnd w:id="468"/>
      <w:bookmarkEnd w:id="469"/>
      <w:bookmarkEnd w:id="470"/>
      <w:bookmarkEnd w:id="471"/>
      <w:bookmarkEnd w:id="472"/>
      <w:bookmarkEnd w:id="473"/>
      <w:bookmarkEnd w:id="474"/>
    </w:p>
    <w:tbl>
      <w:tblPr>
        <w:tblStyle w:val="41"/>
        <w:tblpPr w:leftFromText="180" w:rightFromText="180" w:vertAnchor="text" w:horzAnchor="margin" w:tblpXSpec="center" w:tblpY="158"/>
        <w:tblW w:w="10259" w:type="dxa"/>
        <w:tblInd w:w="0" w:type="dxa"/>
        <w:tblLayout w:type="fixed"/>
        <w:tblCellMar>
          <w:top w:w="0" w:type="dxa"/>
          <w:left w:w="108" w:type="dxa"/>
          <w:bottom w:w="0" w:type="dxa"/>
          <w:right w:w="108" w:type="dxa"/>
        </w:tblCellMar>
      </w:tblPr>
      <w:tblGrid>
        <w:gridCol w:w="2291"/>
        <w:gridCol w:w="3211"/>
        <w:gridCol w:w="1628"/>
        <w:gridCol w:w="3129"/>
      </w:tblGrid>
      <w:tr w14:paraId="7E8B416A">
        <w:tblPrEx>
          <w:tblCellMar>
            <w:top w:w="0" w:type="dxa"/>
            <w:left w:w="108" w:type="dxa"/>
            <w:bottom w:w="0" w:type="dxa"/>
            <w:right w:w="108" w:type="dxa"/>
          </w:tblCellMar>
        </w:tblPrEx>
        <w:trPr>
          <w:trHeight w:val="621" w:hRule="atLeast"/>
        </w:trPr>
        <w:tc>
          <w:tcPr>
            <w:tcW w:w="2291" w:type="dxa"/>
            <w:tcBorders>
              <w:top w:val="single" w:color="auto" w:sz="6" w:space="0"/>
              <w:left w:val="single" w:color="auto" w:sz="6" w:space="0"/>
              <w:bottom w:val="single" w:color="auto" w:sz="6" w:space="0"/>
              <w:right w:val="single" w:color="auto" w:sz="6" w:space="0"/>
            </w:tcBorders>
            <w:shd w:val="clear" w:color="auto" w:fill="D9D9D9"/>
            <w:vAlign w:val="center"/>
          </w:tcPr>
          <w:p w14:paraId="000A0E02">
            <w:pPr>
              <w:spacing w:line="440" w:lineRule="exact"/>
              <w:jc w:val="center"/>
              <w:rPr>
                <w:rFonts w:ascii="仿宋" w:hAnsi="仿宋" w:eastAsia="仿宋"/>
                <w:color w:val="auto"/>
                <w:sz w:val="24"/>
                <w:szCs w:val="24"/>
                <w:highlight w:val="none"/>
                <w:shd w:val="clear" w:color="FFFFFF" w:fill="D9D9D9"/>
              </w:rPr>
            </w:pPr>
            <w:r>
              <w:rPr>
                <w:rFonts w:hint="eastAsia" w:ascii="仿宋" w:hAnsi="仿宋" w:eastAsia="仿宋"/>
                <w:color w:val="auto"/>
                <w:sz w:val="24"/>
                <w:szCs w:val="24"/>
                <w:highlight w:val="none"/>
                <w:shd w:val="clear" w:color="FFFFFF" w:fill="D9D9D9"/>
              </w:rPr>
              <w:t>企业名称</w:t>
            </w:r>
          </w:p>
        </w:tc>
        <w:tc>
          <w:tcPr>
            <w:tcW w:w="7968" w:type="dxa"/>
            <w:gridSpan w:val="3"/>
            <w:tcBorders>
              <w:top w:val="single" w:color="auto" w:sz="6" w:space="0"/>
              <w:left w:val="single" w:color="auto" w:sz="6" w:space="0"/>
              <w:bottom w:val="single" w:color="auto" w:sz="6" w:space="0"/>
              <w:right w:val="single" w:color="auto" w:sz="6" w:space="0"/>
            </w:tcBorders>
            <w:vAlign w:val="center"/>
          </w:tcPr>
          <w:p w14:paraId="52836AC6">
            <w:pPr>
              <w:spacing w:line="440" w:lineRule="exact"/>
              <w:ind w:firstLine="200"/>
              <w:rPr>
                <w:rFonts w:ascii="仿宋" w:hAnsi="仿宋" w:eastAsia="仿宋"/>
                <w:color w:val="auto"/>
                <w:sz w:val="24"/>
                <w:szCs w:val="24"/>
                <w:highlight w:val="none"/>
              </w:rPr>
            </w:pPr>
          </w:p>
        </w:tc>
      </w:tr>
      <w:tr w14:paraId="41DDE592">
        <w:tblPrEx>
          <w:tblCellMar>
            <w:top w:w="0" w:type="dxa"/>
            <w:left w:w="108" w:type="dxa"/>
            <w:bottom w:w="0" w:type="dxa"/>
            <w:right w:w="108" w:type="dxa"/>
          </w:tblCellMar>
        </w:tblPrEx>
        <w:trPr>
          <w:trHeight w:val="621" w:hRule="atLeast"/>
        </w:trPr>
        <w:tc>
          <w:tcPr>
            <w:tcW w:w="2291" w:type="dxa"/>
            <w:tcBorders>
              <w:top w:val="single" w:color="auto" w:sz="6" w:space="0"/>
              <w:left w:val="single" w:color="auto" w:sz="6" w:space="0"/>
              <w:bottom w:val="single" w:color="auto" w:sz="6" w:space="0"/>
              <w:right w:val="single" w:color="auto" w:sz="6" w:space="0"/>
            </w:tcBorders>
            <w:shd w:val="clear" w:color="auto" w:fill="D9D9D9"/>
            <w:vAlign w:val="center"/>
          </w:tcPr>
          <w:p w14:paraId="699E075F">
            <w:pPr>
              <w:spacing w:line="440" w:lineRule="exact"/>
              <w:jc w:val="center"/>
              <w:rPr>
                <w:rFonts w:ascii="仿宋" w:hAnsi="仿宋" w:eastAsia="仿宋"/>
                <w:color w:val="auto"/>
                <w:sz w:val="24"/>
                <w:szCs w:val="24"/>
                <w:highlight w:val="none"/>
                <w:shd w:val="clear" w:color="FFFFFF" w:fill="D9D9D9"/>
              </w:rPr>
            </w:pPr>
            <w:r>
              <w:rPr>
                <w:rFonts w:hint="eastAsia" w:ascii="仿宋" w:hAnsi="仿宋" w:eastAsia="仿宋"/>
                <w:color w:val="auto"/>
                <w:sz w:val="24"/>
                <w:szCs w:val="24"/>
                <w:highlight w:val="none"/>
                <w:shd w:val="clear" w:color="FFFFFF" w:fill="D9D9D9"/>
              </w:rPr>
              <w:t>经济类型</w:t>
            </w:r>
          </w:p>
        </w:tc>
        <w:tc>
          <w:tcPr>
            <w:tcW w:w="3211" w:type="dxa"/>
            <w:tcBorders>
              <w:top w:val="single" w:color="auto" w:sz="6" w:space="0"/>
              <w:left w:val="single" w:color="auto" w:sz="6" w:space="0"/>
              <w:bottom w:val="single" w:color="auto" w:sz="6" w:space="0"/>
              <w:right w:val="single" w:color="auto" w:sz="6" w:space="0"/>
            </w:tcBorders>
            <w:vAlign w:val="center"/>
          </w:tcPr>
          <w:p w14:paraId="6DD90497">
            <w:pPr>
              <w:spacing w:line="440" w:lineRule="exact"/>
              <w:ind w:firstLine="200"/>
              <w:rPr>
                <w:rFonts w:ascii="仿宋" w:hAnsi="仿宋" w:eastAsia="仿宋"/>
                <w:color w:val="auto"/>
                <w:sz w:val="24"/>
                <w:szCs w:val="24"/>
                <w:highlight w:val="none"/>
              </w:rPr>
            </w:pPr>
          </w:p>
        </w:tc>
        <w:tc>
          <w:tcPr>
            <w:tcW w:w="1628" w:type="dxa"/>
            <w:tcBorders>
              <w:top w:val="single" w:color="auto" w:sz="6" w:space="0"/>
              <w:left w:val="single" w:color="auto" w:sz="6" w:space="0"/>
              <w:bottom w:val="single" w:color="auto" w:sz="6" w:space="0"/>
              <w:right w:val="single" w:color="auto" w:sz="6" w:space="0"/>
            </w:tcBorders>
            <w:vAlign w:val="center"/>
          </w:tcPr>
          <w:p w14:paraId="3A3383FE">
            <w:pPr>
              <w:spacing w:line="440" w:lineRule="exact"/>
              <w:ind w:left="34" w:leftChars="16"/>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成立时间</w:t>
            </w:r>
          </w:p>
        </w:tc>
        <w:tc>
          <w:tcPr>
            <w:tcW w:w="3129" w:type="dxa"/>
            <w:tcBorders>
              <w:top w:val="single" w:color="auto" w:sz="6" w:space="0"/>
              <w:left w:val="single" w:color="auto" w:sz="6" w:space="0"/>
              <w:bottom w:val="single" w:color="auto" w:sz="6" w:space="0"/>
              <w:right w:val="single" w:color="auto" w:sz="6" w:space="0"/>
            </w:tcBorders>
            <w:vAlign w:val="center"/>
          </w:tcPr>
          <w:p w14:paraId="2E925C80">
            <w:pPr>
              <w:spacing w:line="440" w:lineRule="exact"/>
              <w:ind w:firstLine="200"/>
              <w:rPr>
                <w:rFonts w:ascii="仿宋" w:hAnsi="仿宋" w:eastAsia="仿宋"/>
                <w:color w:val="auto"/>
                <w:sz w:val="24"/>
                <w:szCs w:val="24"/>
                <w:highlight w:val="none"/>
              </w:rPr>
            </w:pPr>
          </w:p>
        </w:tc>
      </w:tr>
      <w:tr w14:paraId="4061023E">
        <w:tblPrEx>
          <w:tblCellMar>
            <w:top w:w="0" w:type="dxa"/>
            <w:left w:w="108" w:type="dxa"/>
            <w:bottom w:w="0" w:type="dxa"/>
            <w:right w:w="108" w:type="dxa"/>
          </w:tblCellMar>
        </w:tblPrEx>
        <w:trPr>
          <w:trHeight w:val="636" w:hRule="atLeast"/>
        </w:trPr>
        <w:tc>
          <w:tcPr>
            <w:tcW w:w="2291" w:type="dxa"/>
            <w:tcBorders>
              <w:top w:val="single" w:color="auto" w:sz="6" w:space="0"/>
              <w:left w:val="single" w:color="auto" w:sz="6" w:space="0"/>
              <w:bottom w:val="single" w:color="auto" w:sz="6" w:space="0"/>
              <w:right w:val="single" w:color="auto" w:sz="6" w:space="0"/>
            </w:tcBorders>
            <w:shd w:val="clear" w:color="auto" w:fill="D9D9D9"/>
            <w:vAlign w:val="center"/>
          </w:tcPr>
          <w:p w14:paraId="333BD290">
            <w:pPr>
              <w:spacing w:line="440" w:lineRule="exact"/>
              <w:jc w:val="center"/>
              <w:rPr>
                <w:rFonts w:ascii="仿宋" w:hAnsi="仿宋" w:eastAsia="仿宋"/>
                <w:color w:val="auto"/>
                <w:sz w:val="24"/>
                <w:szCs w:val="24"/>
                <w:highlight w:val="none"/>
                <w:shd w:val="clear" w:color="FFFFFF" w:fill="D9D9D9"/>
              </w:rPr>
            </w:pPr>
            <w:r>
              <w:rPr>
                <w:rFonts w:hint="eastAsia" w:ascii="仿宋" w:hAnsi="仿宋" w:eastAsia="仿宋"/>
                <w:color w:val="auto"/>
                <w:sz w:val="24"/>
                <w:szCs w:val="24"/>
                <w:highlight w:val="none"/>
                <w:shd w:val="clear" w:color="FFFFFF" w:fill="D9D9D9"/>
              </w:rPr>
              <w:t>法定代表人</w:t>
            </w:r>
          </w:p>
        </w:tc>
        <w:tc>
          <w:tcPr>
            <w:tcW w:w="3211" w:type="dxa"/>
            <w:tcBorders>
              <w:top w:val="single" w:color="auto" w:sz="6" w:space="0"/>
              <w:left w:val="single" w:color="auto" w:sz="6" w:space="0"/>
              <w:bottom w:val="single" w:color="auto" w:sz="6" w:space="0"/>
              <w:right w:val="single" w:color="auto" w:sz="6" w:space="0"/>
            </w:tcBorders>
            <w:vAlign w:val="center"/>
          </w:tcPr>
          <w:p w14:paraId="0A9449A9">
            <w:pPr>
              <w:spacing w:line="440" w:lineRule="exact"/>
              <w:ind w:firstLine="200"/>
              <w:rPr>
                <w:rFonts w:ascii="仿宋" w:hAnsi="仿宋" w:eastAsia="仿宋"/>
                <w:color w:val="auto"/>
                <w:sz w:val="24"/>
                <w:szCs w:val="24"/>
                <w:highlight w:val="none"/>
              </w:rPr>
            </w:pPr>
          </w:p>
        </w:tc>
        <w:tc>
          <w:tcPr>
            <w:tcW w:w="1628" w:type="dxa"/>
            <w:tcBorders>
              <w:top w:val="single" w:color="auto" w:sz="6" w:space="0"/>
              <w:left w:val="single" w:color="auto" w:sz="6" w:space="0"/>
              <w:bottom w:val="single" w:color="auto" w:sz="6" w:space="0"/>
              <w:right w:val="single" w:color="auto" w:sz="6" w:space="0"/>
            </w:tcBorders>
            <w:vAlign w:val="center"/>
          </w:tcPr>
          <w:p w14:paraId="534C5A52">
            <w:pPr>
              <w:spacing w:line="440" w:lineRule="exact"/>
              <w:ind w:left="34" w:leftChars="16"/>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职务</w:t>
            </w:r>
          </w:p>
        </w:tc>
        <w:tc>
          <w:tcPr>
            <w:tcW w:w="3129" w:type="dxa"/>
            <w:tcBorders>
              <w:top w:val="single" w:color="auto" w:sz="6" w:space="0"/>
              <w:left w:val="single" w:color="auto" w:sz="6" w:space="0"/>
              <w:bottom w:val="single" w:color="auto" w:sz="6" w:space="0"/>
              <w:right w:val="single" w:color="auto" w:sz="6" w:space="0"/>
            </w:tcBorders>
            <w:vAlign w:val="center"/>
          </w:tcPr>
          <w:p w14:paraId="38AB1BDB">
            <w:pPr>
              <w:spacing w:line="440" w:lineRule="exact"/>
              <w:ind w:firstLine="200"/>
              <w:rPr>
                <w:rFonts w:ascii="仿宋" w:hAnsi="仿宋" w:eastAsia="仿宋"/>
                <w:color w:val="auto"/>
                <w:sz w:val="24"/>
                <w:szCs w:val="24"/>
                <w:highlight w:val="none"/>
              </w:rPr>
            </w:pPr>
          </w:p>
        </w:tc>
      </w:tr>
      <w:tr w14:paraId="1152F18F">
        <w:tblPrEx>
          <w:tblCellMar>
            <w:top w:w="0" w:type="dxa"/>
            <w:left w:w="108" w:type="dxa"/>
            <w:bottom w:w="0" w:type="dxa"/>
            <w:right w:w="108" w:type="dxa"/>
          </w:tblCellMar>
        </w:tblPrEx>
        <w:trPr>
          <w:trHeight w:val="636" w:hRule="atLeast"/>
        </w:trPr>
        <w:tc>
          <w:tcPr>
            <w:tcW w:w="2291" w:type="dxa"/>
            <w:vMerge w:val="restart"/>
            <w:tcBorders>
              <w:top w:val="single" w:color="auto" w:sz="6" w:space="0"/>
              <w:left w:val="single" w:color="auto" w:sz="6" w:space="0"/>
              <w:bottom w:val="single" w:color="auto" w:sz="6" w:space="0"/>
              <w:right w:val="single" w:color="auto" w:sz="6" w:space="0"/>
            </w:tcBorders>
            <w:shd w:val="clear" w:color="auto" w:fill="D9D9D9"/>
            <w:vAlign w:val="center"/>
          </w:tcPr>
          <w:p w14:paraId="263A664E">
            <w:pPr>
              <w:spacing w:line="440" w:lineRule="exact"/>
              <w:jc w:val="center"/>
              <w:rPr>
                <w:rFonts w:ascii="仿宋" w:hAnsi="仿宋" w:eastAsia="仿宋"/>
                <w:color w:val="auto"/>
                <w:sz w:val="24"/>
                <w:szCs w:val="24"/>
                <w:highlight w:val="none"/>
                <w:shd w:val="clear" w:color="FFFFFF" w:fill="D9D9D9"/>
              </w:rPr>
            </w:pPr>
            <w:r>
              <w:rPr>
                <w:rFonts w:hint="eastAsia" w:ascii="仿宋" w:hAnsi="仿宋" w:eastAsia="仿宋"/>
                <w:color w:val="auto"/>
                <w:sz w:val="24"/>
                <w:szCs w:val="24"/>
                <w:highlight w:val="none"/>
                <w:shd w:val="clear" w:color="FFFFFF" w:fill="D9D9D9"/>
              </w:rPr>
              <w:t>工商登记</w:t>
            </w:r>
          </w:p>
        </w:tc>
        <w:tc>
          <w:tcPr>
            <w:tcW w:w="7968" w:type="dxa"/>
            <w:gridSpan w:val="3"/>
            <w:tcBorders>
              <w:top w:val="single" w:color="auto" w:sz="6" w:space="0"/>
              <w:left w:val="single" w:color="auto" w:sz="6" w:space="0"/>
              <w:bottom w:val="single" w:color="auto" w:sz="6" w:space="0"/>
              <w:right w:val="single" w:color="auto" w:sz="6" w:space="0"/>
            </w:tcBorders>
            <w:vAlign w:val="center"/>
          </w:tcPr>
          <w:p w14:paraId="43AFF18E">
            <w:pPr>
              <w:spacing w:line="440" w:lineRule="exact"/>
              <w:ind w:firstLine="200"/>
              <w:rPr>
                <w:rFonts w:ascii="仿宋" w:hAnsi="仿宋" w:eastAsia="仿宋"/>
                <w:color w:val="auto"/>
                <w:sz w:val="24"/>
                <w:szCs w:val="24"/>
                <w:highlight w:val="none"/>
              </w:rPr>
            </w:pPr>
            <w:r>
              <w:rPr>
                <w:rFonts w:hint="eastAsia" w:ascii="仿宋" w:hAnsi="仿宋" w:eastAsia="仿宋"/>
                <w:color w:val="auto"/>
                <w:sz w:val="24"/>
                <w:szCs w:val="24"/>
                <w:highlight w:val="none"/>
              </w:rPr>
              <w:t>登记机关：</w:t>
            </w:r>
            <w:r>
              <w:rPr>
                <w:rFonts w:hint="eastAsia" w:ascii="仿宋" w:hAnsi="仿宋" w:eastAsia="仿宋"/>
                <w:color w:val="auto"/>
                <w:sz w:val="24"/>
                <w:szCs w:val="24"/>
                <w:highlight w:val="none"/>
                <w:lang w:val="en-US" w:eastAsia="zh-CN"/>
              </w:rPr>
              <w:t xml:space="preserve">                </w:t>
            </w:r>
            <w:r>
              <w:rPr>
                <w:rFonts w:hint="eastAsia" w:ascii="仿宋" w:hAnsi="仿宋" w:eastAsia="仿宋"/>
                <w:color w:val="auto"/>
                <w:sz w:val="24"/>
                <w:szCs w:val="24"/>
                <w:highlight w:val="none"/>
              </w:rPr>
              <w:t>注册资本金:</w:t>
            </w:r>
          </w:p>
        </w:tc>
      </w:tr>
      <w:tr w14:paraId="65EEB326">
        <w:tblPrEx>
          <w:tblCellMar>
            <w:top w:w="0" w:type="dxa"/>
            <w:left w:w="108" w:type="dxa"/>
            <w:bottom w:w="0" w:type="dxa"/>
            <w:right w:w="108" w:type="dxa"/>
          </w:tblCellMar>
        </w:tblPrEx>
        <w:trPr>
          <w:trHeight w:val="682" w:hRule="atLeast"/>
        </w:trPr>
        <w:tc>
          <w:tcPr>
            <w:tcW w:w="2291" w:type="dxa"/>
            <w:vMerge w:val="continue"/>
            <w:tcBorders>
              <w:top w:val="single" w:color="auto" w:sz="6" w:space="0"/>
              <w:left w:val="single" w:color="auto" w:sz="6" w:space="0"/>
              <w:bottom w:val="single" w:color="auto" w:sz="6" w:space="0"/>
              <w:right w:val="single" w:color="auto" w:sz="6" w:space="0"/>
            </w:tcBorders>
            <w:shd w:val="clear" w:color="auto" w:fill="D9D9D9"/>
            <w:vAlign w:val="center"/>
          </w:tcPr>
          <w:p w14:paraId="43C7C3D4">
            <w:pPr>
              <w:spacing w:line="440" w:lineRule="exact"/>
              <w:jc w:val="center"/>
              <w:rPr>
                <w:rFonts w:ascii="仿宋" w:hAnsi="仿宋" w:eastAsia="仿宋"/>
                <w:color w:val="auto"/>
                <w:sz w:val="24"/>
                <w:szCs w:val="24"/>
                <w:highlight w:val="none"/>
                <w:shd w:val="clear" w:color="FFFFFF" w:fill="D9D9D9"/>
              </w:rPr>
            </w:pPr>
          </w:p>
        </w:tc>
        <w:tc>
          <w:tcPr>
            <w:tcW w:w="7968" w:type="dxa"/>
            <w:gridSpan w:val="3"/>
            <w:tcBorders>
              <w:top w:val="single" w:color="auto" w:sz="6" w:space="0"/>
              <w:left w:val="single" w:color="auto" w:sz="6" w:space="0"/>
              <w:bottom w:val="single" w:color="auto" w:sz="6" w:space="0"/>
              <w:right w:val="single" w:color="auto" w:sz="6" w:space="0"/>
            </w:tcBorders>
            <w:vAlign w:val="center"/>
          </w:tcPr>
          <w:p w14:paraId="7B18B8EB">
            <w:pPr>
              <w:spacing w:line="440" w:lineRule="exact"/>
              <w:ind w:firstLine="200"/>
              <w:rPr>
                <w:rFonts w:ascii="仿宋" w:hAnsi="仿宋" w:eastAsia="仿宋"/>
                <w:color w:val="auto"/>
                <w:sz w:val="24"/>
                <w:szCs w:val="24"/>
                <w:highlight w:val="none"/>
              </w:rPr>
            </w:pPr>
            <w:r>
              <w:rPr>
                <w:rFonts w:hint="eastAsia" w:ascii="仿宋" w:hAnsi="仿宋" w:eastAsia="仿宋"/>
                <w:color w:val="auto"/>
                <w:sz w:val="24"/>
                <w:szCs w:val="24"/>
                <w:highlight w:val="none"/>
              </w:rPr>
              <w:t>执照号：</w:t>
            </w:r>
          </w:p>
        </w:tc>
      </w:tr>
      <w:tr w14:paraId="27B65D76">
        <w:tblPrEx>
          <w:tblCellMar>
            <w:top w:w="0" w:type="dxa"/>
            <w:left w:w="108" w:type="dxa"/>
            <w:bottom w:w="0" w:type="dxa"/>
            <w:right w:w="108" w:type="dxa"/>
          </w:tblCellMar>
        </w:tblPrEx>
        <w:trPr>
          <w:trHeight w:val="698" w:hRule="atLeast"/>
        </w:trPr>
        <w:tc>
          <w:tcPr>
            <w:tcW w:w="2291" w:type="dxa"/>
            <w:tcBorders>
              <w:top w:val="single" w:color="auto" w:sz="6" w:space="0"/>
              <w:left w:val="single" w:color="auto" w:sz="6" w:space="0"/>
              <w:bottom w:val="single" w:color="auto" w:sz="6" w:space="0"/>
              <w:right w:val="single" w:color="auto" w:sz="6" w:space="0"/>
            </w:tcBorders>
            <w:shd w:val="clear" w:color="auto" w:fill="D9D9D9"/>
            <w:vAlign w:val="center"/>
          </w:tcPr>
          <w:p w14:paraId="1F1304CD">
            <w:pPr>
              <w:spacing w:line="440" w:lineRule="exact"/>
              <w:jc w:val="center"/>
              <w:rPr>
                <w:rFonts w:ascii="仿宋" w:hAnsi="仿宋" w:eastAsia="仿宋"/>
                <w:color w:val="auto"/>
                <w:sz w:val="24"/>
                <w:szCs w:val="24"/>
                <w:highlight w:val="none"/>
                <w:shd w:val="clear" w:color="FFFFFF" w:fill="D9D9D9"/>
              </w:rPr>
            </w:pPr>
            <w:r>
              <w:rPr>
                <w:rFonts w:hint="eastAsia" w:ascii="仿宋" w:hAnsi="仿宋" w:eastAsia="仿宋"/>
                <w:color w:val="auto"/>
                <w:sz w:val="24"/>
                <w:szCs w:val="24"/>
                <w:highlight w:val="none"/>
                <w:shd w:val="clear" w:color="FFFFFF" w:fill="D9D9D9"/>
              </w:rPr>
              <w:t>税务登记</w:t>
            </w:r>
          </w:p>
        </w:tc>
        <w:tc>
          <w:tcPr>
            <w:tcW w:w="7968" w:type="dxa"/>
            <w:gridSpan w:val="3"/>
            <w:tcBorders>
              <w:top w:val="single" w:color="auto" w:sz="6" w:space="0"/>
              <w:left w:val="single" w:color="auto" w:sz="6" w:space="0"/>
              <w:bottom w:val="single" w:color="auto" w:sz="6" w:space="0"/>
              <w:right w:val="single" w:color="auto" w:sz="6" w:space="0"/>
            </w:tcBorders>
            <w:vAlign w:val="center"/>
          </w:tcPr>
          <w:p w14:paraId="68F8315E">
            <w:pPr>
              <w:spacing w:line="440" w:lineRule="exact"/>
              <w:ind w:firstLine="200"/>
              <w:rPr>
                <w:rFonts w:ascii="仿宋" w:hAnsi="仿宋" w:eastAsia="仿宋"/>
                <w:color w:val="auto"/>
                <w:sz w:val="24"/>
                <w:szCs w:val="24"/>
                <w:highlight w:val="none"/>
              </w:rPr>
            </w:pPr>
            <w:r>
              <w:rPr>
                <w:rFonts w:hint="eastAsia" w:ascii="仿宋" w:hAnsi="仿宋" w:eastAsia="仿宋"/>
                <w:color w:val="auto"/>
                <w:sz w:val="24"/>
                <w:szCs w:val="24"/>
                <w:highlight w:val="none"/>
              </w:rPr>
              <w:t>登记机关：</w:t>
            </w:r>
            <w:r>
              <w:rPr>
                <w:rFonts w:hint="eastAsia" w:ascii="仿宋" w:hAnsi="仿宋" w:eastAsia="仿宋"/>
                <w:color w:val="auto"/>
                <w:sz w:val="24"/>
                <w:szCs w:val="24"/>
                <w:highlight w:val="none"/>
                <w:lang w:val="en-US" w:eastAsia="zh-CN"/>
              </w:rPr>
              <w:t xml:space="preserve">                   </w:t>
            </w:r>
            <w:r>
              <w:rPr>
                <w:rFonts w:hint="eastAsia" w:ascii="仿宋" w:hAnsi="仿宋" w:eastAsia="仿宋"/>
                <w:color w:val="auto"/>
                <w:sz w:val="24"/>
                <w:szCs w:val="24"/>
                <w:highlight w:val="none"/>
              </w:rPr>
              <w:t>税务号：</w:t>
            </w:r>
          </w:p>
        </w:tc>
      </w:tr>
      <w:tr w14:paraId="2CEF25B9">
        <w:tblPrEx>
          <w:tblCellMar>
            <w:top w:w="0" w:type="dxa"/>
            <w:left w:w="108" w:type="dxa"/>
            <w:bottom w:w="0" w:type="dxa"/>
            <w:right w:w="108" w:type="dxa"/>
          </w:tblCellMar>
        </w:tblPrEx>
        <w:trPr>
          <w:trHeight w:val="1422" w:hRule="atLeast"/>
        </w:trPr>
        <w:tc>
          <w:tcPr>
            <w:tcW w:w="2291" w:type="dxa"/>
            <w:tcBorders>
              <w:top w:val="single" w:color="auto" w:sz="6" w:space="0"/>
              <w:left w:val="single" w:color="auto" w:sz="6" w:space="0"/>
              <w:bottom w:val="single" w:color="auto" w:sz="6" w:space="0"/>
              <w:right w:val="single" w:color="auto" w:sz="6" w:space="0"/>
            </w:tcBorders>
            <w:shd w:val="clear" w:color="auto" w:fill="D9D9D9"/>
            <w:vAlign w:val="center"/>
          </w:tcPr>
          <w:p w14:paraId="03A6193D">
            <w:pPr>
              <w:spacing w:line="440" w:lineRule="exact"/>
              <w:jc w:val="center"/>
              <w:rPr>
                <w:rFonts w:ascii="仿宋" w:hAnsi="仿宋" w:eastAsia="仿宋"/>
                <w:color w:val="auto"/>
                <w:sz w:val="24"/>
                <w:szCs w:val="24"/>
                <w:highlight w:val="none"/>
                <w:shd w:val="clear" w:color="FFFFFF" w:fill="D9D9D9"/>
              </w:rPr>
            </w:pPr>
            <w:r>
              <w:rPr>
                <w:rFonts w:hint="eastAsia" w:ascii="仿宋" w:hAnsi="仿宋" w:eastAsia="仿宋"/>
                <w:color w:val="auto"/>
                <w:sz w:val="24"/>
                <w:szCs w:val="24"/>
                <w:highlight w:val="none"/>
                <w:shd w:val="clear" w:color="FFFFFF" w:fill="D9D9D9"/>
              </w:rPr>
              <w:t>经营范围</w:t>
            </w:r>
          </w:p>
        </w:tc>
        <w:tc>
          <w:tcPr>
            <w:tcW w:w="7968" w:type="dxa"/>
            <w:gridSpan w:val="3"/>
            <w:tcBorders>
              <w:top w:val="single" w:color="auto" w:sz="6" w:space="0"/>
              <w:left w:val="single" w:color="auto" w:sz="6" w:space="0"/>
              <w:right w:val="single" w:color="auto" w:sz="6" w:space="0"/>
            </w:tcBorders>
            <w:vAlign w:val="center"/>
          </w:tcPr>
          <w:p w14:paraId="2A48BDA7">
            <w:pPr>
              <w:spacing w:line="440" w:lineRule="exact"/>
              <w:ind w:firstLine="200"/>
              <w:rPr>
                <w:rFonts w:ascii="仿宋" w:hAnsi="仿宋" w:eastAsia="仿宋"/>
                <w:color w:val="auto"/>
                <w:sz w:val="24"/>
                <w:szCs w:val="24"/>
                <w:highlight w:val="none"/>
              </w:rPr>
            </w:pPr>
          </w:p>
        </w:tc>
      </w:tr>
      <w:tr w14:paraId="67262F04">
        <w:tblPrEx>
          <w:tblCellMar>
            <w:top w:w="0" w:type="dxa"/>
            <w:left w:w="108" w:type="dxa"/>
            <w:bottom w:w="0" w:type="dxa"/>
            <w:right w:w="108" w:type="dxa"/>
          </w:tblCellMar>
        </w:tblPrEx>
        <w:trPr>
          <w:trHeight w:val="713" w:hRule="atLeast"/>
        </w:trPr>
        <w:tc>
          <w:tcPr>
            <w:tcW w:w="2291" w:type="dxa"/>
            <w:tcBorders>
              <w:top w:val="single" w:color="auto" w:sz="6" w:space="0"/>
              <w:left w:val="single" w:color="auto" w:sz="6" w:space="0"/>
              <w:bottom w:val="single" w:color="auto" w:sz="6" w:space="0"/>
              <w:right w:val="single" w:color="auto" w:sz="6" w:space="0"/>
            </w:tcBorders>
            <w:shd w:val="clear" w:color="auto" w:fill="D9D9D9"/>
            <w:vAlign w:val="center"/>
          </w:tcPr>
          <w:p w14:paraId="755D8228">
            <w:pPr>
              <w:spacing w:line="440" w:lineRule="exact"/>
              <w:jc w:val="center"/>
              <w:rPr>
                <w:rFonts w:ascii="仿宋" w:hAnsi="仿宋" w:eastAsia="仿宋"/>
                <w:color w:val="auto"/>
                <w:sz w:val="24"/>
                <w:szCs w:val="24"/>
                <w:highlight w:val="none"/>
                <w:shd w:val="clear" w:color="FFFFFF" w:fill="D9D9D9"/>
              </w:rPr>
            </w:pPr>
            <w:r>
              <w:rPr>
                <w:rFonts w:hint="eastAsia" w:ascii="仿宋" w:hAnsi="仿宋" w:eastAsia="仿宋"/>
                <w:color w:val="auto"/>
                <w:sz w:val="24"/>
                <w:szCs w:val="24"/>
                <w:highlight w:val="none"/>
                <w:shd w:val="clear" w:color="FFFFFF" w:fill="D9D9D9"/>
              </w:rPr>
              <w:t>企业详细地址</w:t>
            </w:r>
          </w:p>
        </w:tc>
        <w:tc>
          <w:tcPr>
            <w:tcW w:w="7968" w:type="dxa"/>
            <w:gridSpan w:val="3"/>
            <w:tcBorders>
              <w:top w:val="single" w:color="auto" w:sz="6" w:space="0"/>
              <w:left w:val="single" w:color="auto" w:sz="6" w:space="0"/>
              <w:bottom w:val="single" w:color="auto" w:sz="6" w:space="0"/>
              <w:right w:val="single" w:color="auto" w:sz="6" w:space="0"/>
            </w:tcBorders>
            <w:vAlign w:val="center"/>
          </w:tcPr>
          <w:p w14:paraId="0F329761">
            <w:pPr>
              <w:spacing w:line="440" w:lineRule="exact"/>
              <w:ind w:firstLine="200"/>
              <w:rPr>
                <w:rFonts w:ascii="仿宋" w:hAnsi="仿宋" w:eastAsia="仿宋"/>
                <w:color w:val="auto"/>
                <w:sz w:val="24"/>
                <w:szCs w:val="24"/>
                <w:highlight w:val="none"/>
              </w:rPr>
            </w:pPr>
          </w:p>
        </w:tc>
      </w:tr>
      <w:tr w14:paraId="431EAF6C">
        <w:tblPrEx>
          <w:tblCellMar>
            <w:top w:w="0" w:type="dxa"/>
            <w:left w:w="108" w:type="dxa"/>
            <w:bottom w:w="0" w:type="dxa"/>
            <w:right w:w="108" w:type="dxa"/>
          </w:tblCellMar>
        </w:tblPrEx>
        <w:trPr>
          <w:trHeight w:val="806" w:hRule="atLeast"/>
        </w:trPr>
        <w:tc>
          <w:tcPr>
            <w:tcW w:w="2291" w:type="dxa"/>
            <w:vMerge w:val="restart"/>
            <w:tcBorders>
              <w:top w:val="single" w:color="auto" w:sz="6" w:space="0"/>
              <w:left w:val="single" w:color="auto" w:sz="6" w:space="0"/>
              <w:bottom w:val="single" w:color="auto" w:sz="6" w:space="0"/>
              <w:right w:val="single" w:color="auto" w:sz="6" w:space="0"/>
            </w:tcBorders>
            <w:shd w:val="clear" w:color="auto" w:fill="D9D9D9"/>
            <w:vAlign w:val="center"/>
          </w:tcPr>
          <w:p w14:paraId="42B30229">
            <w:pPr>
              <w:spacing w:line="440" w:lineRule="exact"/>
              <w:jc w:val="center"/>
              <w:rPr>
                <w:rFonts w:ascii="仿宋" w:hAnsi="仿宋" w:eastAsia="仿宋"/>
                <w:color w:val="auto"/>
                <w:sz w:val="24"/>
                <w:szCs w:val="24"/>
                <w:highlight w:val="none"/>
                <w:shd w:val="clear" w:color="FFFFFF" w:fill="D9D9D9"/>
              </w:rPr>
            </w:pPr>
            <w:r>
              <w:rPr>
                <w:rFonts w:hint="eastAsia" w:ascii="仿宋" w:hAnsi="仿宋" w:eastAsia="仿宋"/>
                <w:color w:val="auto"/>
                <w:sz w:val="24"/>
                <w:szCs w:val="24"/>
                <w:highlight w:val="none"/>
                <w:shd w:val="clear" w:color="FFFFFF" w:fill="D9D9D9"/>
              </w:rPr>
              <w:t>通信联系</w:t>
            </w:r>
          </w:p>
        </w:tc>
        <w:tc>
          <w:tcPr>
            <w:tcW w:w="7968" w:type="dxa"/>
            <w:gridSpan w:val="3"/>
            <w:tcBorders>
              <w:top w:val="single" w:color="auto" w:sz="6" w:space="0"/>
              <w:left w:val="single" w:color="auto" w:sz="6" w:space="0"/>
              <w:bottom w:val="single" w:color="auto" w:sz="6" w:space="0"/>
              <w:right w:val="single" w:color="auto" w:sz="6" w:space="0"/>
            </w:tcBorders>
            <w:vAlign w:val="center"/>
          </w:tcPr>
          <w:p w14:paraId="4B97D253">
            <w:pPr>
              <w:spacing w:line="440" w:lineRule="exact"/>
              <w:ind w:firstLine="200"/>
              <w:rPr>
                <w:rFonts w:ascii="仿宋" w:hAnsi="仿宋" w:eastAsia="仿宋"/>
                <w:color w:val="auto"/>
                <w:sz w:val="24"/>
                <w:szCs w:val="24"/>
                <w:highlight w:val="none"/>
              </w:rPr>
            </w:pPr>
            <w:r>
              <w:rPr>
                <w:rFonts w:hint="eastAsia" w:ascii="仿宋" w:hAnsi="仿宋" w:eastAsia="仿宋"/>
                <w:color w:val="auto"/>
                <w:sz w:val="24"/>
                <w:szCs w:val="24"/>
                <w:highlight w:val="none"/>
              </w:rPr>
              <w:t>企业联系电话：</w:t>
            </w:r>
            <w:r>
              <w:rPr>
                <w:rFonts w:hint="eastAsia" w:ascii="仿宋" w:hAnsi="仿宋" w:eastAsia="仿宋"/>
                <w:color w:val="auto"/>
                <w:sz w:val="24"/>
                <w:szCs w:val="24"/>
                <w:highlight w:val="none"/>
                <w:lang w:val="en-US" w:eastAsia="zh-CN"/>
              </w:rPr>
              <w:t xml:space="preserve">                   </w:t>
            </w:r>
            <w:r>
              <w:rPr>
                <w:rFonts w:hint="eastAsia" w:ascii="仿宋" w:hAnsi="仿宋" w:eastAsia="仿宋"/>
                <w:color w:val="auto"/>
                <w:sz w:val="24"/>
                <w:szCs w:val="24"/>
                <w:highlight w:val="none"/>
              </w:rPr>
              <w:t>传真：</w:t>
            </w:r>
          </w:p>
        </w:tc>
      </w:tr>
      <w:tr w14:paraId="200E0917">
        <w:tblPrEx>
          <w:tblCellMar>
            <w:top w:w="0" w:type="dxa"/>
            <w:left w:w="108" w:type="dxa"/>
            <w:bottom w:w="0" w:type="dxa"/>
            <w:right w:w="108" w:type="dxa"/>
          </w:tblCellMar>
        </w:tblPrEx>
        <w:trPr>
          <w:trHeight w:val="816" w:hRule="atLeast"/>
        </w:trPr>
        <w:tc>
          <w:tcPr>
            <w:tcW w:w="2291" w:type="dxa"/>
            <w:vMerge w:val="continue"/>
            <w:tcBorders>
              <w:top w:val="single" w:color="auto" w:sz="6" w:space="0"/>
              <w:left w:val="single" w:color="auto" w:sz="6" w:space="0"/>
              <w:bottom w:val="single" w:color="auto" w:sz="6" w:space="0"/>
              <w:right w:val="single" w:color="auto" w:sz="6" w:space="0"/>
            </w:tcBorders>
            <w:shd w:val="clear" w:color="auto" w:fill="D9D9D9"/>
            <w:vAlign w:val="center"/>
          </w:tcPr>
          <w:p w14:paraId="44970712">
            <w:pPr>
              <w:spacing w:line="440" w:lineRule="exact"/>
              <w:ind w:firstLine="200"/>
              <w:rPr>
                <w:rFonts w:ascii="仿宋" w:hAnsi="仿宋" w:eastAsia="仿宋"/>
                <w:color w:val="auto"/>
                <w:sz w:val="24"/>
                <w:szCs w:val="24"/>
                <w:highlight w:val="none"/>
              </w:rPr>
            </w:pPr>
          </w:p>
        </w:tc>
        <w:tc>
          <w:tcPr>
            <w:tcW w:w="7968" w:type="dxa"/>
            <w:gridSpan w:val="3"/>
            <w:tcBorders>
              <w:top w:val="single" w:color="auto" w:sz="6" w:space="0"/>
              <w:left w:val="single" w:color="auto" w:sz="6" w:space="0"/>
              <w:bottom w:val="single" w:color="auto" w:sz="4" w:space="0"/>
              <w:right w:val="single" w:color="auto" w:sz="6" w:space="0"/>
            </w:tcBorders>
            <w:vAlign w:val="center"/>
          </w:tcPr>
          <w:p w14:paraId="71499BBC">
            <w:pPr>
              <w:spacing w:line="440" w:lineRule="exact"/>
              <w:ind w:firstLine="200"/>
              <w:rPr>
                <w:rFonts w:ascii="仿宋" w:hAnsi="仿宋" w:eastAsia="仿宋"/>
                <w:color w:val="auto"/>
                <w:sz w:val="24"/>
                <w:szCs w:val="24"/>
                <w:highlight w:val="none"/>
              </w:rPr>
            </w:pPr>
            <w:r>
              <w:rPr>
                <w:rFonts w:hint="eastAsia" w:ascii="仿宋" w:hAnsi="仿宋" w:eastAsia="仿宋"/>
                <w:color w:val="auto"/>
                <w:sz w:val="24"/>
                <w:szCs w:val="24"/>
                <w:highlight w:val="none"/>
              </w:rPr>
              <w:t>业务联系人：</w:t>
            </w:r>
            <w:r>
              <w:rPr>
                <w:rFonts w:hint="eastAsia" w:ascii="仿宋" w:hAnsi="仿宋" w:eastAsia="仿宋"/>
                <w:color w:val="auto"/>
                <w:sz w:val="24"/>
                <w:szCs w:val="24"/>
                <w:highlight w:val="none"/>
                <w:lang w:val="en-US" w:eastAsia="zh-CN"/>
              </w:rPr>
              <w:t xml:space="preserve">                     </w:t>
            </w:r>
            <w:r>
              <w:rPr>
                <w:rFonts w:hint="eastAsia" w:ascii="仿宋" w:hAnsi="仿宋" w:eastAsia="仿宋"/>
                <w:color w:val="auto"/>
                <w:sz w:val="24"/>
                <w:szCs w:val="24"/>
                <w:highlight w:val="none"/>
              </w:rPr>
              <w:t>电话：</w:t>
            </w:r>
          </w:p>
        </w:tc>
      </w:tr>
    </w:tbl>
    <w:p w14:paraId="11F36DDD">
      <w:pPr>
        <w:spacing w:line="360" w:lineRule="auto"/>
        <w:rPr>
          <w:rFonts w:ascii="仿宋" w:hAnsi="仿宋" w:eastAsia="仿宋"/>
          <w:color w:val="auto"/>
          <w:sz w:val="28"/>
          <w:szCs w:val="28"/>
          <w:highlight w:val="none"/>
        </w:rPr>
      </w:pPr>
    </w:p>
    <w:p w14:paraId="1E18DDDD">
      <w:pPr>
        <w:widowControl/>
        <w:jc w:val="left"/>
        <w:rPr>
          <w:rFonts w:ascii="仿宋" w:hAnsi="仿宋" w:eastAsia="仿宋"/>
          <w:color w:val="auto"/>
          <w:sz w:val="24"/>
          <w:szCs w:val="24"/>
          <w:highlight w:val="none"/>
        </w:rPr>
      </w:pPr>
    </w:p>
    <w:p w14:paraId="2F29ED46">
      <w:pPr>
        <w:bidi w:val="0"/>
        <w:rPr>
          <w:rFonts w:hint="eastAsia"/>
          <w:color w:val="auto"/>
          <w:highlight w:val="none"/>
        </w:rPr>
      </w:pPr>
      <w:bookmarkStart w:id="479" w:name="_Toc22972"/>
      <w:bookmarkStart w:id="480" w:name="_Toc16264"/>
    </w:p>
    <w:p w14:paraId="5EBEB32C">
      <w:pPr>
        <w:bidi w:val="0"/>
        <w:rPr>
          <w:rFonts w:hint="eastAsia"/>
          <w:color w:val="auto"/>
          <w:highlight w:val="none"/>
        </w:rPr>
      </w:pPr>
    </w:p>
    <w:p w14:paraId="7A0B1173">
      <w:pPr>
        <w:bidi w:val="0"/>
        <w:rPr>
          <w:rFonts w:hint="eastAsia"/>
          <w:color w:val="auto"/>
          <w:highlight w:val="none"/>
        </w:rPr>
      </w:pPr>
    </w:p>
    <w:p w14:paraId="67302D04">
      <w:pPr>
        <w:bidi w:val="0"/>
        <w:rPr>
          <w:rFonts w:hint="eastAsia"/>
          <w:color w:val="auto"/>
          <w:highlight w:val="none"/>
        </w:rPr>
      </w:pPr>
    </w:p>
    <w:p w14:paraId="44F98227">
      <w:pPr>
        <w:rPr>
          <w:rFonts w:hint="eastAsia" w:ascii="仿宋" w:hAnsi="仿宋" w:eastAsia="仿宋"/>
          <w:b/>
          <w:bCs/>
          <w:color w:val="auto"/>
          <w:sz w:val="28"/>
          <w:szCs w:val="28"/>
          <w:highlight w:val="none"/>
        </w:rPr>
      </w:pPr>
    </w:p>
    <w:p w14:paraId="13AD01D8">
      <w:pPr>
        <w:pStyle w:val="18"/>
        <w:rPr>
          <w:rFonts w:hint="eastAsia" w:ascii="仿宋" w:hAnsi="仿宋" w:eastAsia="仿宋"/>
          <w:b/>
          <w:bCs/>
          <w:color w:val="auto"/>
          <w:sz w:val="28"/>
          <w:szCs w:val="28"/>
          <w:highlight w:val="none"/>
        </w:rPr>
      </w:pPr>
    </w:p>
    <w:p w14:paraId="1800ED3F">
      <w:pPr>
        <w:rPr>
          <w:rFonts w:hint="eastAsia"/>
          <w:color w:val="auto"/>
          <w:highlight w:val="none"/>
        </w:rPr>
      </w:pPr>
    </w:p>
    <w:p w14:paraId="7EBE062F">
      <w:pPr>
        <w:bidi w:val="0"/>
        <w:rPr>
          <w:rFonts w:hint="eastAsia"/>
          <w:color w:val="auto"/>
          <w:highlight w:val="none"/>
        </w:rPr>
      </w:pPr>
    </w:p>
    <w:p w14:paraId="6E8EF8E8">
      <w:pPr>
        <w:bidi w:val="0"/>
        <w:rPr>
          <w:rFonts w:hint="eastAsia"/>
          <w:color w:val="auto"/>
          <w:highlight w:val="none"/>
        </w:rPr>
      </w:pPr>
    </w:p>
    <w:p w14:paraId="419414A9">
      <w:pPr>
        <w:bidi w:val="0"/>
        <w:rPr>
          <w:rFonts w:hint="eastAsia"/>
          <w:color w:val="auto"/>
          <w:highlight w:val="none"/>
        </w:rPr>
      </w:pPr>
    </w:p>
    <w:p w14:paraId="4F140859">
      <w:pPr>
        <w:bidi w:val="0"/>
        <w:rPr>
          <w:rFonts w:hint="eastAsia"/>
          <w:color w:val="auto"/>
          <w:highlight w:val="none"/>
        </w:rPr>
      </w:pPr>
      <w:bookmarkStart w:id="853" w:name="_GoBack"/>
    </w:p>
    <w:bookmarkEnd w:id="853"/>
    <w:p w14:paraId="201F4CF2">
      <w:pPr>
        <w:bidi w:val="0"/>
        <w:rPr>
          <w:rFonts w:hint="eastAsia"/>
          <w:color w:val="auto"/>
          <w:highlight w:val="none"/>
        </w:rPr>
      </w:pPr>
    </w:p>
    <w:p w14:paraId="4A7FD759">
      <w:pPr>
        <w:bidi w:val="0"/>
        <w:rPr>
          <w:rFonts w:hint="eastAsia"/>
          <w:color w:val="auto"/>
          <w:highlight w:val="none"/>
        </w:rPr>
      </w:pPr>
    </w:p>
    <w:p w14:paraId="37EB8068">
      <w:pPr>
        <w:bidi w:val="0"/>
        <w:rPr>
          <w:rFonts w:hint="eastAsia"/>
          <w:color w:val="auto"/>
          <w:highlight w:val="none"/>
        </w:rPr>
      </w:pPr>
    </w:p>
    <w:p w14:paraId="33A8560B">
      <w:pPr>
        <w:pStyle w:val="6"/>
        <w:ind w:left="0" w:leftChars="0" w:firstLine="0" w:firstLineChars="0"/>
        <w:jc w:val="center"/>
        <w:rPr>
          <w:rFonts w:ascii="仿宋" w:hAnsi="仿宋" w:eastAsia="仿宋"/>
          <w:color w:val="auto"/>
          <w:sz w:val="28"/>
          <w:szCs w:val="28"/>
          <w:highlight w:val="none"/>
        </w:rPr>
      </w:pPr>
      <w:bookmarkStart w:id="481" w:name="_Toc5847"/>
      <w:bookmarkStart w:id="482" w:name="_Toc3209"/>
      <w:bookmarkStart w:id="483" w:name="_Toc1390"/>
      <w:bookmarkStart w:id="484" w:name="_Toc24917"/>
      <w:bookmarkStart w:id="485" w:name="_Toc2061"/>
      <w:r>
        <w:rPr>
          <w:rFonts w:hint="eastAsia" w:ascii="仿宋" w:hAnsi="仿宋" w:eastAsia="仿宋"/>
          <w:b/>
          <w:bCs/>
          <w:color w:val="auto"/>
          <w:sz w:val="28"/>
          <w:szCs w:val="28"/>
          <w:highlight w:val="none"/>
        </w:rPr>
        <w:t>格式2、资格证明文件</w:t>
      </w:r>
      <w:bookmarkEnd w:id="479"/>
      <w:bookmarkEnd w:id="480"/>
      <w:bookmarkEnd w:id="481"/>
      <w:bookmarkEnd w:id="482"/>
      <w:bookmarkEnd w:id="483"/>
      <w:bookmarkEnd w:id="484"/>
      <w:bookmarkEnd w:id="485"/>
    </w:p>
    <w:bookmarkEnd w:id="475"/>
    <w:bookmarkEnd w:id="476"/>
    <w:bookmarkEnd w:id="477"/>
    <w:bookmarkEnd w:id="478"/>
    <w:p w14:paraId="07F478F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auto"/>
          <w:sz w:val="24"/>
          <w:szCs w:val="22"/>
          <w:highlight w:val="none"/>
          <w:lang w:val="en-US" w:eastAsia="zh-CN"/>
        </w:rPr>
      </w:pPr>
      <w:bookmarkStart w:id="486" w:name="_Toc29634"/>
      <w:bookmarkStart w:id="487" w:name="_Toc383636415"/>
      <w:bookmarkStart w:id="488" w:name="_Toc406162620"/>
      <w:bookmarkStart w:id="489" w:name="_Toc391301874"/>
      <w:r>
        <w:rPr>
          <w:rFonts w:hint="eastAsia" w:ascii="仿宋" w:hAnsi="仿宋" w:eastAsia="仿宋" w:cs="仿宋"/>
          <w:b/>
          <w:bCs/>
          <w:color w:val="auto"/>
          <w:kern w:val="2"/>
          <w:sz w:val="24"/>
          <w:szCs w:val="22"/>
          <w:highlight w:val="none"/>
          <w:lang w:val="en-US" w:eastAsia="zh-CN" w:bidi="ar-SA"/>
        </w:rPr>
        <w:t>1.</w:t>
      </w:r>
      <w:r>
        <w:rPr>
          <w:rFonts w:hint="eastAsia" w:ascii="仿宋" w:hAnsi="仿宋" w:eastAsia="仿宋" w:cs="仿宋"/>
          <w:b/>
          <w:bCs/>
          <w:color w:val="auto"/>
          <w:sz w:val="24"/>
          <w:szCs w:val="22"/>
          <w:highlight w:val="none"/>
          <w:lang w:val="en-US" w:eastAsia="zh-CN"/>
        </w:rPr>
        <w:t>投标人应按所附格式要求填写并提交。</w:t>
      </w:r>
    </w:p>
    <w:p w14:paraId="6EA6A92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2" w:firstLineChars="200"/>
        <w:textAlignment w:val="auto"/>
        <w:rPr>
          <w:rFonts w:hint="eastAsia" w:ascii="仿宋" w:hAnsi="仿宋" w:eastAsia="仿宋" w:cs="仿宋"/>
          <w:b/>
          <w:bCs/>
          <w:color w:val="auto"/>
          <w:sz w:val="24"/>
          <w:szCs w:val="22"/>
          <w:highlight w:val="none"/>
          <w:lang w:val="en-US" w:eastAsia="zh-CN"/>
        </w:rPr>
      </w:pPr>
      <w:r>
        <w:rPr>
          <w:rFonts w:hint="eastAsia" w:ascii="仿宋" w:hAnsi="仿宋" w:eastAsia="仿宋" w:cs="仿宋"/>
          <w:b/>
          <w:bCs/>
          <w:color w:val="auto"/>
          <w:kern w:val="2"/>
          <w:sz w:val="24"/>
          <w:szCs w:val="22"/>
          <w:highlight w:val="none"/>
          <w:lang w:val="en-US" w:eastAsia="zh-CN" w:bidi="ar-SA"/>
        </w:rPr>
        <w:t>2.</w:t>
      </w:r>
      <w:r>
        <w:rPr>
          <w:rFonts w:hint="eastAsia" w:ascii="仿宋" w:hAnsi="仿宋" w:eastAsia="仿宋" w:cs="仿宋"/>
          <w:b/>
          <w:bCs/>
          <w:color w:val="auto"/>
          <w:sz w:val="24"/>
          <w:szCs w:val="22"/>
          <w:highlight w:val="none"/>
          <w:lang w:val="en-US" w:eastAsia="zh-CN"/>
        </w:rPr>
        <w:t>资格声明中的签字人应保证全部声明和填写的内容是真实的和正确的。</w:t>
      </w:r>
    </w:p>
    <w:p w14:paraId="48B22CB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2" w:firstLineChars="200"/>
        <w:textAlignment w:val="auto"/>
        <w:rPr>
          <w:rFonts w:hint="eastAsia" w:ascii="华文仿宋" w:hAnsi="华文仿宋" w:eastAsia="华文仿宋" w:cs="华文仿宋"/>
          <w:b/>
          <w:bCs/>
          <w:color w:val="auto"/>
          <w:sz w:val="24"/>
          <w:szCs w:val="22"/>
          <w:highlight w:val="none"/>
          <w:lang w:val="en-US" w:eastAsia="zh-CN"/>
        </w:rPr>
      </w:pPr>
      <w:r>
        <w:rPr>
          <w:rFonts w:hint="eastAsia" w:ascii="仿宋" w:hAnsi="仿宋" w:eastAsia="仿宋" w:cs="仿宋"/>
          <w:b/>
          <w:bCs/>
          <w:color w:val="auto"/>
          <w:sz w:val="24"/>
          <w:szCs w:val="22"/>
          <w:highlight w:val="none"/>
          <w:lang w:val="en-US" w:eastAsia="zh-CN"/>
        </w:rPr>
        <w:t>3.投标人提交的材料将被保密，但不退还。</w:t>
      </w:r>
    </w:p>
    <w:p w14:paraId="5F5AFE7C">
      <w:pPr>
        <w:pageBreakBefore w:val="0"/>
        <w:widowControl w:val="0"/>
        <w:kinsoku/>
        <w:overflowPunct/>
        <w:topLinePunct w:val="0"/>
        <w:autoSpaceDE/>
        <w:autoSpaceDN/>
        <w:bidi w:val="0"/>
        <w:snapToGrid/>
        <w:spacing w:line="500" w:lineRule="exact"/>
        <w:ind w:firstLine="482" w:firstLineChars="200"/>
        <w:textAlignment w:val="auto"/>
        <w:rPr>
          <w:rFonts w:hint="eastAsia" w:ascii="仿宋" w:hAnsi="仿宋" w:eastAsia="仿宋"/>
          <w:b/>
          <w:bCs/>
          <w:color w:val="auto"/>
          <w:sz w:val="24"/>
          <w:szCs w:val="24"/>
          <w:highlight w:val="none"/>
          <w:lang w:eastAsia="zh-CN"/>
        </w:rPr>
      </w:pPr>
    </w:p>
    <w:p w14:paraId="4277790F">
      <w:pPr>
        <w:pageBreakBefore w:val="0"/>
        <w:widowControl w:val="0"/>
        <w:kinsoku/>
        <w:overflowPunct/>
        <w:topLinePunct w:val="0"/>
        <w:autoSpaceDE/>
        <w:autoSpaceDN/>
        <w:bidi w:val="0"/>
        <w:snapToGrid/>
        <w:spacing w:line="500" w:lineRule="exact"/>
        <w:ind w:firstLine="482" w:firstLineChars="200"/>
        <w:textAlignment w:val="auto"/>
        <w:rPr>
          <w:rFonts w:hint="eastAsia" w:ascii="仿宋" w:hAnsi="仿宋" w:eastAsia="仿宋" w:cs="仿宋"/>
          <w:b/>
          <w:bCs/>
          <w:color w:val="auto"/>
          <w:sz w:val="24"/>
          <w:szCs w:val="24"/>
          <w:highlight w:val="none"/>
          <w:lang w:eastAsia="zh-CN"/>
        </w:rPr>
      </w:pPr>
      <w:r>
        <w:rPr>
          <w:rFonts w:hint="eastAsia" w:ascii="仿宋" w:hAnsi="仿宋" w:eastAsia="仿宋"/>
          <w:b/>
          <w:bCs/>
          <w:color w:val="auto"/>
          <w:sz w:val="24"/>
          <w:szCs w:val="24"/>
          <w:highlight w:val="none"/>
          <w:lang w:eastAsia="zh-CN"/>
        </w:rPr>
        <w:t>格式</w:t>
      </w:r>
      <w:r>
        <w:rPr>
          <w:rFonts w:hint="eastAsia" w:ascii="仿宋" w:hAnsi="仿宋" w:eastAsia="仿宋"/>
          <w:b/>
          <w:bCs/>
          <w:color w:val="auto"/>
          <w:sz w:val="24"/>
          <w:szCs w:val="24"/>
          <w:highlight w:val="none"/>
          <w:lang w:val="en-US" w:eastAsia="zh-CN"/>
        </w:rPr>
        <w:t>2-1：</w:t>
      </w:r>
      <w:r>
        <w:rPr>
          <w:rFonts w:hint="eastAsia" w:ascii="仿宋" w:hAnsi="仿宋" w:eastAsia="仿宋" w:cs="仿宋"/>
          <w:b/>
          <w:bCs/>
          <w:color w:val="auto"/>
          <w:sz w:val="24"/>
          <w:szCs w:val="24"/>
          <w:highlight w:val="none"/>
          <w:lang w:eastAsia="zh-CN"/>
        </w:rPr>
        <w:t>具有独立承担民事责任的能力：</w:t>
      </w:r>
    </w:p>
    <w:p w14:paraId="55A7C30D">
      <w:pPr>
        <w:pageBreakBefore w:val="0"/>
        <w:widowControl w:val="0"/>
        <w:kinsoku/>
        <w:overflowPunct/>
        <w:topLinePunct w:val="0"/>
        <w:autoSpaceDE/>
        <w:autoSpaceDN/>
        <w:bidi w:val="0"/>
        <w:snapToGrid/>
        <w:spacing w:line="500" w:lineRule="exact"/>
        <w:ind w:firstLine="480" w:firstLineChars="200"/>
        <w:textAlignment w:val="auto"/>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提供企业有效的法人营业执照、社团组织法人营业执照、事业单位法人证书或自然人证明材料；</w:t>
      </w:r>
    </w:p>
    <w:p w14:paraId="1DEA560E">
      <w:pPr>
        <w:pageBreakBefore w:val="0"/>
        <w:widowControl w:val="0"/>
        <w:kinsoku/>
        <w:overflowPunct/>
        <w:topLinePunct w:val="0"/>
        <w:autoSpaceDE/>
        <w:autoSpaceDN/>
        <w:bidi w:val="0"/>
        <w:snapToGrid/>
        <w:spacing w:line="500" w:lineRule="exact"/>
        <w:ind w:firstLine="480" w:firstLineChars="200"/>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1）投标人为企业的提供营业执照；（扫描件）</w:t>
      </w:r>
    </w:p>
    <w:p w14:paraId="680AE2DD">
      <w:pPr>
        <w:pageBreakBefore w:val="0"/>
        <w:widowControl w:val="0"/>
        <w:kinsoku/>
        <w:overflowPunct/>
        <w:topLinePunct w:val="0"/>
        <w:autoSpaceDE/>
        <w:autoSpaceDN/>
        <w:bidi w:val="0"/>
        <w:snapToGrid/>
        <w:spacing w:line="500" w:lineRule="exact"/>
        <w:ind w:firstLine="480" w:firstLineChars="200"/>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（2）投标人是事业单位的，应提供其有效的“事业单位法人证书”；（扫描件）</w:t>
      </w:r>
    </w:p>
    <w:p w14:paraId="5B130FB2">
      <w:pPr>
        <w:pageBreakBefore w:val="0"/>
        <w:widowControl w:val="0"/>
        <w:kinsoku/>
        <w:overflowPunct/>
        <w:topLinePunct w:val="0"/>
        <w:autoSpaceDE/>
        <w:autoSpaceDN/>
        <w:bidi w:val="0"/>
        <w:snapToGrid/>
        <w:spacing w:line="500" w:lineRule="exact"/>
        <w:ind w:firstLine="480" w:firstLineChars="200"/>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（3）投标人是个体工商户的，应提供其有效的“个体工商户营业执照”；（扫描件）</w:t>
      </w:r>
    </w:p>
    <w:p w14:paraId="20897A67">
      <w:pPr>
        <w:pageBreakBefore w:val="0"/>
        <w:widowControl w:val="0"/>
        <w:kinsoku/>
        <w:overflowPunct/>
        <w:topLinePunct w:val="0"/>
        <w:autoSpaceDE/>
        <w:autoSpaceDN/>
        <w:bidi w:val="0"/>
        <w:snapToGrid/>
        <w:spacing w:line="500" w:lineRule="exact"/>
        <w:ind w:firstLine="480" w:firstLineChars="200"/>
        <w:textAlignment w:val="auto"/>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val="en-US" w:eastAsia="zh-CN"/>
        </w:rPr>
        <w:t>（4）投标人是自然人的，应提供其有效的自然人身份证明。（扫描件）</w:t>
      </w:r>
    </w:p>
    <w:p w14:paraId="78D06763">
      <w:pPr>
        <w:pStyle w:val="247"/>
        <w:ind w:left="0" w:leftChars="0" w:firstLine="0" w:firstLineChars="0"/>
        <w:rPr>
          <w:color w:val="auto"/>
          <w:highlight w:val="none"/>
        </w:rPr>
      </w:pPr>
    </w:p>
    <w:p w14:paraId="6F3E9C85">
      <w:pPr>
        <w:pStyle w:val="22"/>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b/>
          <w:bCs/>
          <w:color w:val="auto"/>
          <w:sz w:val="24"/>
          <w:szCs w:val="24"/>
          <w:highlight w:val="none"/>
          <w:lang w:eastAsia="zh-CN"/>
        </w:rPr>
        <w:t>格式</w:t>
      </w:r>
      <w:r>
        <w:rPr>
          <w:rFonts w:hint="eastAsia" w:ascii="仿宋" w:hAnsi="仿宋" w:eastAsia="仿宋"/>
          <w:b/>
          <w:bCs/>
          <w:color w:val="auto"/>
          <w:sz w:val="24"/>
          <w:szCs w:val="24"/>
          <w:highlight w:val="none"/>
          <w:lang w:val="en-US" w:eastAsia="zh-CN"/>
        </w:rPr>
        <w:t>2-2：</w:t>
      </w:r>
      <w:r>
        <w:rPr>
          <w:rFonts w:hint="eastAsia" w:ascii="仿宋" w:hAnsi="仿宋" w:eastAsia="仿宋" w:cs="仿宋"/>
          <w:b/>
          <w:bCs/>
          <w:color w:val="auto"/>
          <w:sz w:val="24"/>
          <w:szCs w:val="24"/>
          <w:highlight w:val="none"/>
        </w:rPr>
        <w:t>具有良好的商业信誉和健全的财务会计制度；</w:t>
      </w:r>
    </w:p>
    <w:p w14:paraId="6556367D">
      <w:pPr>
        <w:pStyle w:val="22"/>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①提供202</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年至今任意一年经第三方审计的审计报告</w:t>
      </w:r>
      <w:r>
        <w:rPr>
          <w:rFonts w:hint="eastAsia" w:ascii="仿宋" w:hAnsi="仿宋" w:eastAsia="仿宋" w:cs="仿宋"/>
          <w:bCs/>
          <w:color w:val="auto"/>
          <w:sz w:val="24"/>
          <w:szCs w:val="24"/>
          <w:highlight w:val="none"/>
          <w:lang w:val="en-US" w:eastAsia="zh-CN"/>
        </w:rPr>
        <w:t>或</w:t>
      </w:r>
      <w:r>
        <w:rPr>
          <w:rFonts w:hint="eastAsia" w:ascii="仿宋" w:hAnsi="仿宋" w:eastAsia="仿宋" w:cs="仿宋"/>
          <w:bCs/>
          <w:color w:val="auto"/>
          <w:sz w:val="24"/>
          <w:szCs w:val="24"/>
          <w:highlight w:val="none"/>
        </w:rPr>
        <w:t>财务报表（包括资产负债表、利润表、现金流量表），成立不满1年的，提供自成立至今财务报表（包括资产负债表、利润表、现金流量表）；</w:t>
      </w:r>
    </w:p>
    <w:p w14:paraId="525A4F2E">
      <w:pPr>
        <w:pStyle w:val="22"/>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②提供</w:t>
      </w:r>
      <w:r>
        <w:rPr>
          <w:rFonts w:hint="eastAsia" w:ascii="仿宋" w:hAnsi="仿宋" w:eastAsia="仿宋" w:cs="仿宋"/>
          <w:bCs/>
          <w:color w:val="auto"/>
          <w:sz w:val="24"/>
          <w:szCs w:val="24"/>
          <w:highlight w:val="none"/>
          <w:lang w:eastAsia="zh-CN"/>
        </w:rPr>
        <w:t>投标文件</w:t>
      </w:r>
      <w:r>
        <w:rPr>
          <w:rFonts w:hint="eastAsia" w:ascii="仿宋" w:hAnsi="仿宋" w:eastAsia="仿宋" w:cs="仿宋"/>
          <w:bCs/>
          <w:color w:val="auto"/>
          <w:sz w:val="24"/>
          <w:szCs w:val="24"/>
          <w:highlight w:val="none"/>
        </w:rPr>
        <w:t>提交截止时间前三个月内基本开户银行出具的资信证明文件（复印件加盖公章）；</w:t>
      </w:r>
    </w:p>
    <w:p w14:paraId="4CCA29B3">
      <w:pPr>
        <w:pStyle w:val="22"/>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③非营利性单位或者社会团体或者其他机关事业单位以符合财务会计制度为准或者提供承诺函；</w:t>
      </w:r>
    </w:p>
    <w:p w14:paraId="65F6C4CE">
      <w:pPr>
        <w:pStyle w:val="22"/>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④</w:t>
      </w:r>
      <w:r>
        <w:rPr>
          <w:rFonts w:hint="eastAsia" w:ascii="仿宋" w:hAnsi="仿宋" w:eastAsia="仿宋" w:cs="仿宋"/>
          <w:bCs/>
          <w:color w:val="auto"/>
          <w:sz w:val="24"/>
          <w:szCs w:val="24"/>
          <w:highlight w:val="none"/>
          <w:lang w:eastAsia="zh-CN"/>
        </w:rPr>
        <w:t>投标人</w:t>
      </w:r>
      <w:r>
        <w:rPr>
          <w:rFonts w:hint="eastAsia" w:ascii="仿宋" w:hAnsi="仿宋" w:eastAsia="仿宋" w:cs="仿宋"/>
          <w:bCs/>
          <w:color w:val="auto"/>
          <w:sz w:val="24"/>
          <w:szCs w:val="24"/>
          <w:highlight w:val="none"/>
        </w:rPr>
        <w:t>为自然人的提供承诺函（格式自拟）；</w:t>
      </w:r>
    </w:p>
    <w:p w14:paraId="53EADF81">
      <w:pPr>
        <w:pStyle w:val="22"/>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⑤财政部门认可的政府采购专业担保机构出具的投标担保函（需同时提供专业担保机构经财政部门认可的证明文件）。</w:t>
      </w:r>
    </w:p>
    <w:p w14:paraId="1A57ADB5">
      <w:pPr>
        <w:pStyle w:val="22"/>
        <w:spacing w:line="360" w:lineRule="auto"/>
        <w:ind w:firstLine="482" w:firstLineChars="200"/>
        <w:rPr>
          <w:rFonts w:hint="eastAsia" w:ascii="仿宋" w:hAnsi="仿宋" w:eastAsia="仿宋"/>
          <w:b/>
          <w:bCs/>
          <w:color w:val="auto"/>
          <w:sz w:val="24"/>
          <w:szCs w:val="24"/>
          <w:highlight w:val="none"/>
          <w:lang w:eastAsia="zh-CN"/>
        </w:rPr>
      </w:pPr>
      <w:r>
        <w:rPr>
          <w:rFonts w:hint="eastAsia" w:ascii="仿宋" w:hAnsi="仿宋" w:eastAsia="仿宋"/>
          <w:b/>
          <w:bCs/>
          <w:color w:val="auto"/>
          <w:sz w:val="24"/>
          <w:szCs w:val="24"/>
          <w:highlight w:val="none"/>
          <w:lang w:eastAsia="zh-CN"/>
        </w:rPr>
        <w:t>注：（</w:t>
      </w:r>
      <w:r>
        <w:rPr>
          <w:rFonts w:hint="eastAsia" w:ascii="仿宋" w:hAnsi="仿宋" w:eastAsia="仿宋"/>
          <w:b/>
          <w:bCs/>
          <w:color w:val="auto"/>
          <w:sz w:val="24"/>
          <w:szCs w:val="24"/>
          <w:highlight w:val="none"/>
          <w:lang w:val="en-US" w:eastAsia="zh-CN"/>
        </w:rPr>
        <w:t>1</w:t>
      </w:r>
      <w:r>
        <w:rPr>
          <w:rFonts w:hint="eastAsia" w:ascii="仿宋" w:hAnsi="仿宋" w:eastAsia="仿宋"/>
          <w:b/>
          <w:bCs/>
          <w:color w:val="auto"/>
          <w:sz w:val="24"/>
          <w:szCs w:val="24"/>
          <w:highlight w:val="none"/>
          <w:lang w:eastAsia="zh-CN"/>
        </w:rPr>
        <w:t>）投标人可根据自身情况提供上述任意一种证明材料。</w:t>
      </w:r>
    </w:p>
    <w:p w14:paraId="120B92CC">
      <w:pPr>
        <w:pStyle w:val="22"/>
        <w:spacing w:line="360" w:lineRule="auto"/>
        <w:ind w:firstLine="482" w:firstLineChars="200"/>
        <w:rPr>
          <w:rFonts w:hint="eastAsia" w:ascii="仿宋" w:hAnsi="仿宋" w:eastAsia="仿宋"/>
          <w:b w:val="0"/>
          <w:bCs w:val="0"/>
          <w:color w:val="auto"/>
          <w:sz w:val="24"/>
          <w:szCs w:val="24"/>
          <w:highlight w:val="none"/>
          <w:lang w:eastAsia="zh-CN"/>
        </w:rPr>
      </w:pPr>
      <w:r>
        <w:rPr>
          <w:rFonts w:hint="eastAsia" w:ascii="仿宋" w:hAnsi="仿宋" w:eastAsia="仿宋"/>
          <w:b/>
          <w:bCs/>
          <w:color w:val="auto"/>
          <w:sz w:val="24"/>
          <w:szCs w:val="24"/>
          <w:highlight w:val="none"/>
          <w:lang w:val="en-US" w:eastAsia="zh-CN"/>
        </w:rPr>
        <w:t xml:space="preserve">   （2）注：根据《关于加强审计报告查验工作的通知》（财会〔2023〕15号）规定，在2022年10月以后出具的审计报告须在注册会计师行业统一监管平台（网址：http：//acc.mof.gov.cn）取得赋码，未取得赋码的财务报告视为无效；投标人若为事业单位的，则不需提供利润表/损益表。</w:t>
      </w:r>
    </w:p>
    <w:p w14:paraId="78331233">
      <w:pPr>
        <w:pageBreakBefore w:val="0"/>
        <w:widowControl w:val="0"/>
        <w:kinsoku/>
        <w:overflowPunct/>
        <w:topLinePunct w:val="0"/>
        <w:autoSpaceDE/>
        <w:autoSpaceDN/>
        <w:bidi w:val="0"/>
        <w:snapToGrid/>
        <w:spacing w:line="500" w:lineRule="exact"/>
        <w:ind w:firstLine="482" w:firstLineChars="200"/>
        <w:contextualSpacing/>
        <w:textAlignment w:val="auto"/>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lang w:eastAsia="zh-CN"/>
        </w:rPr>
        <w:t>格式</w:t>
      </w:r>
      <w:r>
        <w:rPr>
          <w:rFonts w:hint="eastAsia" w:ascii="仿宋" w:hAnsi="仿宋" w:eastAsia="仿宋"/>
          <w:b/>
          <w:bCs/>
          <w:color w:val="auto"/>
          <w:sz w:val="24"/>
          <w:szCs w:val="24"/>
          <w:highlight w:val="none"/>
          <w:lang w:val="en-US" w:eastAsia="zh-CN"/>
        </w:rPr>
        <w:t>2-3：</w:t>
      </w:r>
      <w:r>
        <w:rPr>
          <w:rFonts w:hint="eastAsia" w:ascii="仿宋" w:hAnsi="仿宋" w:eastAsia="仿宋"/>
          <w:b/>
          <w:bCs/>
          <w:color w:val="auto"/>
          <w:sz w:val="24"/>
          <w:szCs w:val="24"/>
          <w:highlight w:val="none"/>
        </w:rPr>
        <w:t>具有履行合同所必需的设备和专业技术能力；</w:t>
      </w:r>
    </w:p>
    <w:p w14:paraId="2E1ABBE0">
      <w:pPr>
        <w:pageBreakBefore w:val="0"/>
        <w:widowControl w:val="0"/>
        <w:kinsoku/>
        <w:overflowPunct/>
        <w:topLinePunct w:val="0"/>
        <w:autoSpaceDE/>
        <w:autoSpaceDN/>
        <w:bidi w:val="0"/>
        <w:snapToGrid/>
        <w:spacing w:line="500" w:lineRule="exact"/>
        <w:ind w:firstLine="480" w:firstLineChars="200"/>
        <w:contextualSpacing/>
        <w:textAlignment w:val="auto"/>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w:t>
      </w:r>
      <w:r>
        <w:rPr>
          <w:rFonts w:hint="eastAsia" w:ascii="仿宋" w:hAnsi="仿宋" w:eastAsia="仿宋"/>
          <w:color w:val="auto"/>
          <w:sz w:val="24"/>
          <w:szCs w:val="24"/>
          <w:highlight w:val="none"/>
        </w:rPr>
        <w:t>提供具备履行合同所必需的设备和专业技术能力的证明材料或提供书面承诺</w:t>
      </w:r>
      <w:r>
        <w:rPr>
          <w:rFonts w:hint="eastAsia" w:ascii="仿宋" w:hAnsi="仿宋" w:eastAsia="仿宋"/>
          <w:color w:val="auto"/>
          <w:sz w:val="24"/>
          <w:szCs w:val="24"/>
          <w:highlight w:val="none"/>
          <w:lang w:eastAsia="zh-CN"/>
        </w:rPr>
        <w:t>）</w:t>
      </w:r>
    </w:p>
    <w:p w14:paraId="35745144">
      <w:pPr>
        <w:bidi w:val="0"/>
        <w:rPr>
          <w:rFonts w:hint="eastAsia"/>
          <w:color w:val="auto"/>
          <w:highlight w:val="none"/>
          <w:lang w:eastAsia="zh-CN"/>
        </w:rPr>
      </w:pPr>
    </w:p>
    <w:p w14:paraId="03BE4F0A">
      <w:pPr>
        <w:pageBreakBefore w:val="0"/>
        <w:widowControl w:val="0"/>
        <w:kinsoku/>
        <w:overflowPunct/>
        <w:topLinePunct w:val="0"/>
        <w:autoSpaceDE/>
        <w:autoSpaceDN/>
        <w:bidi w:val="0"/>
        <w:snapToGrid/>
        <w:spacing w:line="500" w:lineRule="exact"/>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b/>
          <w:bCs/>
          <w:color w:val="auto"/>
          <w:sz w:val="24"/>
          <w:szCs w:val="24"/>
          <w:highlight w:val="none"/>
          <w:lang w:eastAsia="zh-CN"/>
        </w:rPr>
        <w:t>格式</w:t>
      </w:r>
      <w:r>
        <w:rPr>
          <w:rFonts w:hint="eastAsia" w:ascii="仿宋" w:hAnsi="仿宋" w:eastAsia="仿宋"/>
          <w:b/>
          <w:bCs/>
          <w:color w:val="auto"/>
          <w:sz w:val="24"/>
          <w:szCs w:val="24"/>
          <w:highlight w:val="none"/>
          <w:lang w:val="en-US" w:eastAsia="zh-CN"/>
        </w:rPr>
        <w:t>2-4：</w:t>
      </w:r>
      <w:r>
        <w:rPr>
          <w:rFonts w:hint="eastAsia" w:ascii="仿宋" w:hAnsi="仿宋" w:eastAsia="仿宋" w:cs="仿宋"/>
          <w:b/>
          <w:bCs/>
          <w:color w:val="auto"/>
          <w:sz w:val="24"/>
          <w:szCs w:val="24"/>
          <w:highlight w:val="none"/>
        </w:rPr>
        <w:t>有依法缴纳税收和社会保障资金的良好记录；</w:t>
      </w:r>
    </w:p>
    <w:p w14:paraId="6799DDAB">
      <w:pPr>
        <w:pageBreakBefore w:val="0"/>
        <w:widowControl w:val="0"/>
        <w:kinsoku/>
        <w:overflowPunct/>
        <w:topLinePunct w:val="0"/>
        <w:autoSpaceDE/>
        <w:autoSpaceDN/>
        <w:bidi w:val="0"/>
        <w:snapToGrid/>
        <w:spacing w:line="500" w:lineRule="exact"/>
        <w:ind w:firstLine="480" w:firstLineChars="200"/>
        <w:textAlignment w:val="auto"/>
        <w:rPr>
          <w:rFonts w:hint="eastAsia" w:ascii="仿宋" w:hAnsi="仿宋" w:eastAsia="仿宋" w:cs="宋体"/>
          <w:color w:val="auto"/>
          <w:sz w:val="24"/>
          <w:szCs w:val="24"/>
          <w:highlight w:val="none"/>
          <w:lang w:val="en-US" w:eastAsia="zh-CN"/>
        </w:rPr>
      </w:pPr>
      <w:r>
        <w:rPr>
          <w:rFonts w:hint="eastAsia" w:ascii="仿宋" w:hAnsi="仿宋" w:eastAsia="仿宋"/>
          <w:color w:val="auto"/>
          <w:sz w:val="24"/>
          <w:szCs w:val="24"/>
          <w:highlight w:val="none"/>
          <w:lang w:eastAsia="zh-CN"/>
        </w:rPr>
        <w:t>（</w:t>
      </w:r>
      <w:r>
        <w:rPr>
          <w:rFonts w:hint="eastAsia" w:ascii="仿宋" w:hAnsi="仿宋" w:eastAsia="仿宋"/>
          <w:color w:val="auto"/>
          <w:sz w:val="24"/>
          <w:szCs w:val="24"/>
          <w:highlight w:val="none"/>
          <w:lang w:val="en-US" w:eastAsia="zh-CN"/>
        </w:rPr>
        <w:t>1</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须提供在202</w:t>
      </w:r>
      <w:r>
        <w:rPr>
          <w:rFonts w:hint="eastAsia" w:ascii="仿宋" w:hAnsi="仿宋" w:eastAsia="仿宋"/>
          <w:color w:val="auto"/>
          <w:sz w:val="24"/>
          <w:szCs w:val="24"/>
          <w:highlight w:val="none"/>
          <w:lang w:val="en-US" w:eastAsia="zh-CN"/>
        </w:rPr>
        <w:t>5</w:t>
      </w:r>
      <w:r>
        <w:rPr>
          <w:rFonts w:hint="eastAsia" w:ascii="仿宋" w:hAnsi="仿宋" w:eastAsia="仿宋"/>
          <w:color w:val="auto"/>
          <w:sz w:val="24"/>
          <w:szCs w:val="24"/>
          <w:highlight w:val="none"/>
        </w:rPr>
        <w:t>年1月至本项目</w:t>
      </w:r>
      <w:r>
        <w:rPr>
          <w:rFonts w:hint="eastAsia" w:ascii="仿宋" w:hAnsi="仿宋" w:eastAsia="仿宋"/>
          <w:color w:val="auto"/>
          <w:sz w:val="24"/>
          <w:szCs w:val="24"/>
          <w:highlight w:val="none"/>
          <w:lang w:eastAsia="zh-CN"/>
        </w:rPr>
        <w:t>投标文件</w:t>
      </w:r>
      <w:r>
        <w:rPr>
          <w:rFonts w:hint="eastAsia" w:ascii="仿宋" w:hAnsi="仿宋" w:eastAsia="仿宋"/>
          <w:color w:val="auto"/>
          <w:sz w:val="24"/>
          <w:szCs w:val="24"/>
          <w:highlight w:val="none"/>
        </w:rPr>
        <w:t>提交截止时间前任意1个月的税务局税收通用缴款书复印件或银行电子缴税（费）凭证复印件或税务局出具纳税情况的相关证明；（新成立不满1个月的公司，提供相关证明材料；依法免税的提供相应证明材料。）</w:t>
      </w:r>
    </w:p>
    <w:p w14:paraId="280C5519">
      <w:pPr>
        <w:pageBreakBefore w:val="0"/>
        <w:widowControl w:val="0"/>
        <w:numPr>
          <w:ilvl w:val="0"/>
          <w:numId w:val="0"/>
        </w:numPr>
        <w:kinsoku/>
        <w:overflowPunct/>
        <w:topLinePunct w:val="0"/>
        <w:autoSpaceDE/>
        <w:autoSpaceDN/>
        <w:bidi w:val="0"/>
        <w:snapToGrid/>
        <w:spacing w:line="500" w:lineRule="exact"/>
        <w:ind w:firstLine="480" w:firstLineChars="200"/>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须提供在202</w:t>
      </w:r>
      <w:r>
        <w:rPr>
          <w:rFonts w:hint="eastAsia" w:ascii="仿宋" w:hAnsi="仿宋" w:eastAsia="仿宋"/>
          <w:color w:val="auto"/>
          <w:sz w:val="24"/>
          <w:szCs w:val="24"/>
          <w:highlight w:val="none"/>
          <w:lang w:val="en-US" w:eastAsia="zh-CN"/>
        </w:rPr>
        <w:t>5</w:t>
      </w:r>
      <w:r>
        <w:rPr>
          <w:rFonts w:hint="eastAsia" w:ascii="仿宋" w:hAnsi="仿宋" w:eastAsia="仿宋"/>
          <w:color w:val="auto"/>
          <w:sz w:val="24"/>
          <w:szCs w:val="24"/>
          <w:highlight w:val="none"/>
        </w:rPr>
        <w:t>年1月至本项目</w:t>
      </w:r>
      <w:r>
        <w:rPr>
          <w:rFonts w:hint="eastAsia" w:ascii="仿宋" w:hAnsi="仿宋" w:eastAsia="仿宋"/>
          <w:color w:val="auto"/>
          <w:sz w:val="24"/>
          <w:szCs w:val="24"/>
          <w:highlight w:val="none"/>
          <w:lang w:eastAsia="zh-CN"/>
        </w:rPr>
        <w:t>投标文件</w:t>
      </w:r>
      <w:r>
        <w:rPr>
          <w:rFonts w:hint="eastAsia" w:ascii="仿宋" w:hAnsi="仿宋" w:eastAsia="仿宋"/>
          <w:color w:val="auto"/>
          <w:sz w:val="24"/>
          <w:szCs w:val="24"/>
          <w:highlight w:val="none"/>
        </w:rPr>
        <w:t>提交截止时间前任意1个月的社会保险费缴款书复印件或银行电子缴税（费）凭证复印件或社保管理部门出具的有效的缴款证明；（新成立不满1个月的公司，提供相关证明材料；依法免缴的提供相应证明材料。）</w:t>
      </w:r>
    </w:p>
    <w:p w14:paraId="4A8A895B">
      <w:pPr>
        <w:pStyle w:val="247"/>
        <w:rPr>
          <w:rFonts w:hint="default"/>
          <w:color w:val="auto"/>
          <w:highlight w:val="none"/>
          <w:lang w:val="en-US" w:eastAsia="zh-CN"/>
        </w:rPr>
      </w:pPr>
    </w:p>
    <w:p w14:paraId="7E75EA26">
      <w:pPr>
        <w:pageBreakBefore w:val="0"/>
        <w:widowControl w:val="0"/>
        <w:kinsoku/>
        <w:overflowPunct/>
        <w:topLinePunct w:val="0"/>
        <w:autoSpaceDE/>
        <w:autoSpaceDN/>
        <w:bidi w:val="0"/>
        <w:snapToGrid/>
        <w:spacing w:line="500" w:lineRule="exact"/>
        <w:ind w:firstLine="480"/>
        <w:textAlignment w:val="auto"/>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lang w:eastAsia="zh-CN"/>
        </w:rPr>
        <w:t>格式</w:t>
      </w:r>
      <w:r>
        <w:rPr>
          <w:rFonts w:hint="eastAsia" w:ascii="仿宋" w:hAnsi="仿宋" w:eastAsia="仿宋"/>
          <w:b/>
          <w:bCs/>
          <w:color w:val="auto"/>
          <w:sz w:val="24"/>
          <w:szCs w:val="24"/>
          <w:highlight w:val="none"/>
          <w:lang w:val="en-US" w:eastAsia="zh-CN"/>
        </w:rPr>
        <w:t>2-5：</w:t>
      </w:r>
      <w:r>
        <w:rPr>
          <w:rFonts w:hint="eastAsia" w:ascii="仿宋" w:hAnsi="仿宋" w:eastAsia="仿宋"/>
          <w:b/>
          <w:bCs/>
          <w:color w:val="auto"/>
          <w:sz w:val="24"/>
          <w:szCs w:val="24"/>
          <w:highlight w:val="none"/>
        </w:rPr>
        <w:t>参加政府采购活动前三年内，在经营活动中没有重大违法记录：</w:t>
      </w:r>
    </w:p>
    <w:p w14:paraId="752425F9">
      <w:pPr>
        <w:pageBreakBefore w:val="0"/>
        <w:widowControl w:val="0"/>
        <w:kinsoku/>
        <w:overflowPunct/>
        <w:topLinePunct w:val="0"/>
        <w:autoSpaceDE/>
        <w:autoSpaceDN/>
        <w:bidi w:val="0"/>
        <w:snapToGrid/>
        <w:spacing w:line="500" w:lineRule="exact"/>
        <w:ind w:firstLine="480"/>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提供</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参加政府采购活动前三年内，在经营活动中没有重大违法记录（重大违法记录是指</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因违法经营受到刑事处罚或者责令停产停业、吊销许可证或者执照、较大数额罚款等行政处罚）的书面声明；</w:t>
      </w:r>
    </w:p>
    <w:p w14:paraId="25E5ADC3">
      <w:pPr>
        <w:pStyle w:val="247"/>
        <w:rPr>
          <w:color w:val="auto"/>
          <w:highlight w:val="none"/>
        </w:rPr>
      </w:pPr>
    </w:p>
    <w:p w14:paraId="0FD24364">
      <w:pPr>
        <w:pageBreakBefore w:val="0"/>
        <w:widowControl w:val="0"/>
        <w:kinsoku/>
        <w:overflowPunct/>
        <w:topLinePunct w:val="0"/>
        <w:autoSpaceDE/>
        <w:autoSpaceDN/>
        <w:bidi w:val="0"/>
        <w:snapToGrid/>
        <w:spacing w:line="500" w:lineRule="exact"/>
        <w:ind w:firstLine="480"/>
        <w:jc w:val="both"/>
        <w:textAlignment w:val="auto"/>
        <w:rPr>
          <w:rFonts w:ascii="仿宋" w:hAnsi="仿宋" w:eastAsia="仿宋"/>
          <w:b/>
          <w:bCs/>
          <w:color w:val="auto"/>
          <w:sz w:val="24"/>
          <w:szCs w:val="24"/>
          <w:highlight w:val="none"/>
        </w:rPr>
      </w:pPr>
      <w:r>
        <w:rPr>
          <w:rFonts w:hint="eastAsia" w:ascii="仿宋" w:hAnsi="仿宋" w:eastAsia="仿宋"/>
          <w:b/>
          <w:bCs/>
          <w:color w:val="auto"/>
          <w:sz w:val="24"/>
          <w:szCs w:val="24"/>
          <w:highlight w:val="none"/>
          <w:lang w:eastAsia="zh-CN"/>
        </w:rPr>
        <w:t>格式</w:t>
      </w:r>
      <w:r>
        <w:rPr>
          <w:rFonts w:hint="eastAsia" w:ascii="仿宋" w:hAnsi="仿宋" w:eastAsia="仿宋"/>
          <w:b/>
          <w:bCs/>
          <w:color w:val="auto"/>
          <w:sz w:val="24"/>
          <w:szCs w:val="24"/>
          <w:highlight w:val="none"/>
          <w:lang w:val="en-US" w:eastAsia="zh-CN"/>
        </w:rPr>
        <w:t>2-6：</w:t>
      </w:r>
      <w:r>
        <w:rPr>
          <w:rFonts w:hint="eastAsia" w:ascii="仿宋" w:hAnsi="仿宋" w:eastAsia="仿宋"/>
          <w:b/>
          <w:bCs/>
          <w:color w:val="auto"/>
          <w:sz w:val="24"/>
          <w:szCs w:val="24"/>
          <w:highlight w:val="none"/>
        </w:rPr>
        <w:t>法律、行政法规规定的其他条件；</w:t>
      </w:r>
    </w:p>
    <w:p w14:paraId="353CCC01">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在本项目</w:t>
      </w:r>
      <w:r>
        <w:rPr>
          <w:rFonts w:hint="eastAsia" w:ascii="仿宋" w:hAnsi="仿宋" w:eastAsia="仿宋"/>
          <w:color w:val="auto"/>
          <w:sz w:val="24"/>
          <w:szCs w:val="24"/>
          <w:highlight w:val="none"/>
          <w:lang w:eastAsia="zh-CN"/>
        </w:rPr>
        <w:t>投标文件</w:t>
      </w:r>
      <w:r>
        <w:rPr>
          <w:rFonts w:hint="eastAsia" w:ascii="仿宋" w:hAnsi="仿宋" w:eastAsia="仿宋"/>
          <w:color w:val="auto"/>
          <w:sz w:val="24"/>
          <w:szCs w:val="24"/>
          <w:highlight w:val="none"/>
        </w:rPr>
        <w:t>提交截止时间前在信用中国网站（www.creditchina.gov.cn）“信用信息”查询栏中查询下载的信用报告或“信用服务”查询栏中查询的信息记录（包括失信被执行人查询、重大税收违法案件查询、政府采购严重违法失信名单）未出现不良信用信息查询记录</w:t>
      </w:r>
      <w:r>
        <w:rPr>
          <w:rFonts w:hint="eastAsia" w:ascii="仿宋" w:hAnsi="仿宋" w:eastAsia="仿宋"/>
          <w:color w:val="auto"/>
          <w:sz w:val="24"/>
          <w:szCs w:val="24"/>
          <w:highlight w:val="none"/>
          <w:lang w:val="en-US" w:eastAsia="zh-CN"/>
        </w:rPr>
        <w:t>（以采购人或采购代理机构于开标当日查询结果为准，并由采购人在查询打印件上签字后随档案一同保存）</w:t>
      </w:r>
      <w:r>
        <w:rPr>
          <w:rFonts w:hint="eastAsia" w:ascii="仿宋" w:hAnsi="仿宋" w:eastAsia="仿宋"/>
          <w:color w:val="auto"/>
          <w:sz w:val="24"/>
          <w:szCs w:val="24"/>
          <w:highlight w:val="none"/>
        </w:rPr>
        <w:t>；</w:t>
      </w:r>
    </w:p>
    <w:p w14:paraId="22934C20">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both"/>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rPr>
        <w:t>（2）</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在本项目</w:t>
      </w:r>
      <w:r>
        <w:rPr>
          <w:rFonts w:hint="eastAsia" w:ascii="仿宋" w:hAnsi="仿宋" w:eastAsia="仿宋"/>
          <w:color w:val="auto"/>
          <w:sz w:val="24"/>
          <w:szCs w:val="24"/>
          <w:highlight w:val="none"/>
          <w:lang w:eastAsia="zh-CN"/>
        </w:rPr>
        <w:t>投标文件</w:t>
      </w:r>
      <w:r>
        <w:rPr>
          <w:rFonts w:hint="eastAsia" w:ascii="仿宋" w:hAnsi="仿宋" w:eastAsia="仿宋"/>
          <w:color w:val="auto"/>
          <w:sz w:val="24"/>
          <w:szCs w:val="24"/>
          <w:highlight w:val="none"/>
        </w:rPr>
        <w:t>提交截止时间前在中国政府采购网（www.ccgp.gov.cn）政府采购严重违法失信行为记录名单内无不良信息记录（被禁止在一定期限内参加政府采购活动但期限届满的除外）</w:t>
      </w:r>
      <w:r>
        <w:rPr>
          <w:rFonts w:hint="eastAsia" w:ascii="仿宋" w:hAnsi="仿宋" w:eastAsia="仿宋"/>
          <w:color w:val="auto"/>
          <w:sz w:val="24"/>
          <w:szCs w:val="24"/>
          <w:highlight w:val="none"/>
          <w:lang w:val="en-US" w:eastAsia="zh-CN"/>
        </w:rPr>
        <w:t>（以采购人或采购代理机构于开标当日查询结果为准，并由采购人在查询打印件上签字后随档案一同保存）</w:t>
      </w:r>
      <w:r>
        <w:rPr>
          <w:rFonts w:hint="eastAsia" w:ascii="仿宋" w:hAnsi="仿宋" w:eastAsia="仿宋"/>
          <w:color w:val="auto"/>
          <w:sz w:val="24"/>
          <w:szCs w:val="24"/>
          <w:highlight w:val="none"/>
        </w:rPr>
        <w:t>；</w:t>
      </w:r>
    </w:p>
    <w:p w14:paraId="0881A621">
      <w:pPr>
        <w:pStyle w:val="247"/>
        <w:spacing w:line="360" w:lineRule="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w:t>
      </w:r>
      <w:r>
        <w:rPr>
          <w:rFonts w:hint="eastAsia" w:ascii="仿宋" w:hAnsi="仿宋" w:eastAsia="仿宋"/>
          <w:color w:val="auto"/>
          <w:sz w:val="24"/>
          <w:szCs w:val="24"/>
          <w:highlight w:val="none"/>
          <w:lang w:val="en-US" w:eastAsia="zh-CN"/>
        </w:rPr>
        <w:t>单位负责人为同一人或者存在直接控股、管理关系的不同单位，不得参加同一标段投标或者未划分标段的同一招标项目投标。（提供投标文件加盖公章书面声明）</w:t>
      </w:r>
      <w:r>
        <w:rPr>
          <w:rFonts w:hint="eastAsia" w:ascii="仿宋" w:hAnsi="仿宋" w:eastAsia="仿宋"/>
          <w:color w:val="auto"/>
          <w:sz w:val="24"/>
          <w:szCs w:val="24"/>
          <w:highlight w:val="none"/>
        </w:rPr>
        <w:t>；</w:t>
      </w:r>
    </w:p>
    <w:p w14:paraId="0045D107">
      <w:pPr>
        <w:keepNext w:val="0"/>
        <w:keepLines w:val="0"/>
        <w:pageBreakBefore w:val="0"/>
        <w:widowControl w:val="0"/>
        <w:kinsoku/>
        <w:wordWrap w:val="0"/>
        <w:overflowPunct/>
        <w:topLinePunct w:val="0"/>
        <w:autoSpaceDE/>
        <w:autoSpaceDN/>
        <w:bidi w:val="0"/>
        <w:adjustRightInd/>
        <w:snapToGrid/>
        <w:spacing w:line="360" w:lineRule="auto"/>
        <w:ind w:firstLine="482"/>
        <w:jc w:val="both"/>
        <w:textAlignment w:val="auto"/>
        <w:rPr>
          <w:rFonts w:hint="eastAsia" w:ascii="仿宋" w:hAnsi="仿宋" w:eastAsia="仿宋"/>
          <w:color w:val="auto"/>
          <w:sz w:val="24"/>
          <w:szCs w:val="24"/>
          <w:highlight w:val="none"/>
        </w:rPr>
      </w:pPr>
      <w:r>
        <w:rPr>
          <w:rFonts w:hint="eastAsia" w:ascii="仿宋" w:hAnsi="仿宋" w:eastAsia="仿宋" w:cs="Times New Roman"/>
          <w:color w:val="auto"/>
          <w:sz w:val="24"/>
          <w:szCs w:val="24"/>
          <w:highlight w:val="none"/>
          <w:lang w:val="en-US" w:eastAsia="zh-CN"/>
        </w:rPr>
        <w:t>（4）投标人</w:t>
      </w:r>
      <w:r>
        <w:rPr>
          <w:rFonts w:hint="eastAsia" w:ascii="仿宋" w:hAnsi="仿宋" w:eastAsia="仿宋" w:cs="Times New Roman"/>
          <w:color w:val="auto"/>
          <w:sz w:val="24"/>
          <w:szCs w:val="24"/>
          <w:highlight w:val="none"/>
          <w:lang w:eastAsia="zh-CN"/>
        </w:rPr>
        <w:t>为采购项目提供整体设计、规范编制或者项目管理、监理、检测等服务的投标人，不得再参加该采购项目的其他采购活动。（</w:t>
      </w:r>
      <w:r>
        <w:rPr>
          <w:rFonts w:hint="eastAsia" w:ascii="仿宋" w:hAnsi="仿宋" w:eastAsia="仿宋" w:cs="Times New Roman"/>
          <w:color w:val="auto"/>
          <w:sz w:val="24"/>
          <w:szCs w:val="24"/>
          <w:highlight w:val="none"/>
          <w:lang w:val="en-US" w:eastAsia="zh-CN"/>
        </w:rPr>
        <w:t>提供声明</w:t>
      </w:r>
      <w:r>
        <w:rPr>
          <w:rFonts w:hint="eastAsia" w:ascii="仿宋" w:hAnsi="仿宋" w:eastAsia="仿宋" w:cs="Times New Roman"/>
          <w:color w:val="auto"/>
          <w:sz w:val="24"/>
          <w:szCs w:val="24"/>
          <w:highlight w:val="none"/>
          <w:lang w:eastAsia="zh-CN"/>
        </w:rPr>
        <w:t>）</w:t>
      </w:r>
    </w:p>
    <w:p w14:paraId="04E6CD48">
      <w:pPr>
        <w:bidi w:val="0"/>
        <w:rPr>
          <w:rFonts w:hint="eastAsia" w:ascii="仿宋" w:hAnsi="仿宋" w:eastAsia="仿宋"/>
          <w:b/>
          <w:bCs/>
          <w:color w:val="auto"/>
          <w:sz w:val="24"/>
          <w:szCs w:val="24"/>
          <w:highlight w:val="none"/>
          <w:lang w:eastAsia="zh-CN"/>
        </w:rPr>
      </w:pPr>
    </w:p>
    <w:p w14:paraId="763C9CB1">
      <w:pPr>
        <w:numPr>
          <w:ilvl w:val="0"/>
          <w:numId w:val="0"/>
        </w:numPr>
        <w:spacing w:line="360" w:lineRule="auto"/>
        <w:ind w:firstLine="482" w:firstLineChars="200"/>
        <w:rPr>
          <w:rFonts w:hint="eastAsia" w:ascii="仿宋" w:hAnsi="仿宋" w:eastAsia="仿宋" w:cs="Times New Roman"/>
          <w:b/>
          <w:bCs/>
          <w:color w:val="auto"/>
          <w:sz w:val="24"/>
          <w:szCs w:val="24"/>
          <w:highlight w:val="none"/>
          <w:lang w:val="en-US" w:eastAsia="zh-CN"/>
        </w:rPr>
      </w:pPr>
      <w:r>
        <w:rPr>
          <w:rFonts w:hint="eastAsia" w:ascii="仿宋" w:hAnsi="仿宋" w:eastAsia="仿宋" w:cs="Times New Roman"/>
          <w:b/>
          <w:bCs/>
          <w:color w:val="auto"/>
          <w:sz w:val="24"/>
          <w:szCs w:val="24"/>
          <w:highlight w:val="none"/>
          <w:lang w:val="en-US" w:eastAsia="zh-CN"/>
        </w:rPr>
        <w:t>格式2-7：</w:t>
      </w:r>
      <w:r>
        <w:rPr>
          <w:rFonts w:hint="eastAsia" w:ascii="仿宋" w:hAnsi="仿宋" w:eastAsia="仿宋" w:cs="Times New Roman"/>
          <w:b w:val="0"/>
          <w:bCs w:val="0"/>
          <w:color w:val="auto"/>
          <w:sz w:val="24"/>
          <w:szCs w:val="24"/>
          <w:highlight w:val="none"/>
          <w:lang w:val="en-US" w:eastAsia="zh-CN"/>
        </w:rPr>
        <w:t>本项目不接受联合体投标。（提供加盖公章书面声明）</w:t>
      </w:r>
    </w:p>
    <w:p w14:paraId="77D3B102">
      <w:pPr>
        <w:bidi w:val="0"/>
        <w:rPr>
          <w:rFonts w:hint="eastAsia"/>
          <w:color w:val="auto"/>
          <w:highlight w:val="none"/>
          <w:lang w:val="en-US" w:eastAsia="zh-CN"/>
        </w:rPr>
      </w:pPr>
    </w:p>
    <w:p w14:paraId="4C88B220">
      <w:pPr>
        <w:bidi w:val="0"/>
        <w:rPr>
          <w:rFonts w:hint="eastAsia"/>
          <w:color w:val="auto"/>
          <w:highlight w:val="none"/>
          <w:lang w:val="en-US" w:eastAsia="zh-CN"/>
        </w:rPr>
      </w:pPr>
    </w:p>
    <w:p w14:paraId="607A833F">
      <w:pPr>
        <w:rPr>
          <w:rFonts w:hint="eastAsia" w:ascii="仿宋" w:hAnsi="仿宋" w:eastAsia="仿宋"/>
          <w:color w:val="auto"/>
          <w:sz w:val="28"/>
          <w:szCs w:val="28"/>
          <w:highlight w:val="none"/>
          <w:lang w:val="en-US" w:eastAsia="zh-CN"/>
        </w:rPr>
      </w:pPr>
      <w:r>
        <w:rPr>
          <w:rFonts w:hint="eastAsia" w:ascii="仿宋" w:hAnsi="仿宋" w:eastAsia="仿宋" w:cs="仿宋"/>
          <w:b w:val="0"/>
          <w:bCs/>
          <w:color w:val="auto"/>
          <w:szCs w:val="24"/>
          <w:highlight w:val="none"/>
          <w:lang w:eastAsia="zh-CN"/>
        </w:rPr>
        <w:br w:type="page"/>
      </w:r>
    </w:p>
    <w:p w14:paraId="57835484">
      <w:pPr>
        <w:pStyle w:val="6"/>
        <w:tabs>
          <w:tab w:val="left" w:pos="481"/>
          <w:tab w:val="clear" w:pos="900"/>
          <w:tab w:val="clear" w:pos="1588"/>
        </w:tabs>
        <w:ind w:left="0" w:leftChars="0" w:firstLine="0" w:firstLineChars="0"/>
        <w:jc w:val="center"/>
        <w:rPr>
          <w:rFonts w:hint="eastAsia" w:ascii="仿宋" w:hAnsi="仿宋" w:eastAsia="仿宋"/>
          <w:b/>
          <w:bCs/>
          <w:color w:val="auto"/>
          <w:sz w:val="28"/>
          <w:szCs w:val="28"/>
          <w:highlight w:val="none"/>
        </w:rPr>
      </w:pPr>
      <w:bookmarkStart w:id="490" w:name="_Toc8036"/>
      <w:bookmarkStart w:id="491" w:name="_Toc12933"/>
      <w:bookmarkStart w:id="492" w:name="_Toc14794"/>
      <w:bookmarkStart w:id="493" w:name="_Toc11456"/>
      <w:bookmarkStart w:id="494" w:name="_Toc7053"/>
      <w:bookmarkStart w:id="495" w:name="_Toc14457"/>
      <w:r>
        <w:rPr>
          <w:rFonts w:hint="eastAsia" w:ascii="仿宋" w:hAnsi="仿宋" w:eastAsia="仿宋"/>
          <w:b/>
          <w:bCs/>
          <w:color w:val="auto"/>
          <w:sz w:val="28"/>
          <w:szCs w:val="28"/>
          <w:highlight w:val="none"/>
        </w:rPr>
        <w:t>格式3、法定代表人身份证明书</w:t>
      </w:r>
      <w:bookmarkEnd w:id="486"/>
      <w:bookmarkEnd w:id="487"/>
      <w:bookmarkEnd w:id="488"/>
      <w:bookmarkEnd w:id="489"/>
      <w:bookmarkEnd w:id="490"/>
      <w:bookmarkEnd w:id="491"/>
      <w:bookmarkEnd w:id="492"/>
      <w:bookmarkEnd w:id="493"/>
      <w:bookmarkEnd w:id="494"/>
      <w:bookmarkEnd w:id="495"/>
    </w:p>
    <w:p w14:paraId="23C09CA6">
      <w:pPr>
        <w:pStyle w:val="13"/>
        <w:spacing w:before="0" w:after="0" w:line="420" w:lineRule="exact"/>
        <w:jc w:val="both"/>
        <w:outlineLvl w:val="9"/>
        <w:rPr>
          <w:rFonts w:ascii="仿宋" w:hAnsi="仿宋" w:eastAsia="仿宋"/>
          <w:color w:val="auto"/>
          <w:sz w:val="28"/>
          <w:szCs w:val="28"/>
          <w:highlight w:val="none"/>
        </w:rPr>
      </w:pPr>
    </w:p>
    <w:p w14:paraId="01E18712">
      <w:pPr>
        <w:spacing w:line="360" w:lineRule="auto"/>
        <w:rPr>
          <w:rFonts w:ascii="仿宋" w:hAnsi="仿宋" w:eastAsia="仿宋"/>
          <w:color w:val="auto"/>
          <w:sz w:val="24"/>
          <w:szCs w:val="24"/>
          <w:highlight w:val="none"/>
        </w:rPr>
      </w:pPr>
      <w:r>
        <w:rPr>
          <w:rFonts w:hint="eastAsia" w:ascii="仿宋" w:hAnsi="仿宋" w:eastAsia="仿宋"/>
          <w:color w:val="auto"/>
          <w:sz w:val="24"/>
          <w:szCs w:val="24"/>
          <w:highlight w:val="none"/>
        </w:rPr>
        <w:t>单位名称：</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 xml:space="preserve"> </w:t>
      </w:r>
    </w:p>
    <w:p w14:paraId="7CA8AA2C">
      <w:pPr>
        <w:spacing w:line="360" w:lineRule="auto"/>
        <w:rPr>
          <w:rFonts w:ascii="仿宋" w:hAnsi="仿宋" w:eastAsia="仿宋"/>
          <w:color w:val="auto"/>
          <w:sz w:val="24"/>
          <w:szCs w:val="24"/>
          <w:highlight w:val="none"/>
        </w:rPr>
      </w:pPr>
      <w:r>
        <w:rPr>
          <w:rFonts w:hint="eastAsia" w:ascii="仿宋" w:hAnsi="仿宋" w:eastAsia="仿宋"/>
          <w:color w:val="auto"/>
          <w:sz w:val="24"/>
          <w:szCs w:val="24"/>
          <w:highlight w:val="none"/>
        </w:rPr>
        <w:t>单位性质：</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 xml:space="preserve"> </w:t>
      </w:r>
    </w:p>
    <w:p w14:paraId="57B5E2AD">
      <w:pPr>
        <w:spacing w:line="360" w:lineRule="auto"/>
        <w:rPr>
          <w:rFonts w:ascii="仿宋" w:hAnsi="仿宋" w:eastAsia="仿宋"/>
          <w:color w:val="auto"/>
          <w:sz w:val="24"/>
          <w:szCs w:val="24"/>
          <w:highlight w:val="none"/>
        </w:rPr>
      </w:pPr>
      <w:r>
        <w:rPr>
          <w:rFonts w:hint="eastAsia" w:ascii="仿宋" w:hAnsi="仿宋" w:eastAsia="仿宋"/>
          <w:color w:val="auto"/>
          <w:sz w:val="24"/>
          <w:szCs w:val="24"/>
          <w:highlight w:val="none"/>
        </w:rPr>
        <w:t>注册资金：</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 xml:space="preserve"> </w:t>
      </w:r>
    </w:p>
    <w:p w14:paraId="44A06542">
      <w:pPr>
        <w:spacing w:line="360" w:lineRule="auto"/>
        <w:rPr>
          <w:rFonts w:ascii="仿宋" w:hAnsi="仿宋" w:eastAsia="仿宋"/>
          <w:color w:val="auto"/>
          <w:sz w:val="24"/>
          <w:szCs w:val="24"/>
          <w:highlight w:val="none"/>
        </w:rPr>
      </w:pPr>
      <w:r>
        <w:rPr>
          <w:rFonts w:hint="eastAsia" w:ascii="仿宋" w:hAnsi="仿宋" w:eastAsia="仿宋"/>
          <w:color w:val="auto"/>
          <w:sz w:val="24"/>
          <w:szCs w:val="24"/>
          <w:highlight w:val="none"/>
        </w:rPr>
        <w:t>地    址：</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 xml:space="preserve"> </w:t>
      </w:r>
    </w:p>
    <w:p w14:paraId="73AA7A2F">
      <w:pPr>
        <w:spacing w:line="360" w:lineRule="auto"/>
        <w:rPr>
          <w:rFonts w:ascii="仿宋" w:hAnsi="仿宋" w:eastAsia="仿宋"/>
          <w:color w:val="auto"/>
          <w:sz w:val="24"/>
          <w:szCs w:val="24"/>
          <w:highlight w:val="none"/>
        </w:rPr>
      </w:pPr>
      <w:r>
        <w:rPr>
          <w:rFonts w:hint="eastAsia" w:ascii="仿宋" w:hAnsi="仿宋" w:eastAsia="仿宋"/>
          <w:color w:val="auto"/>
          <w:sz w:val="24"/>
          <w:szCs w:val="24"/>
          <w:highlight w:val="none"/>
        </w:rPr>
        <w:t>成立时间：</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 xml:space="preserve"> </w:t>
      </w:r>
    </w:p>
    <w:p w14:paraId="6C5D6575">
      <w:pPr>
        <w:spacing w:line="360" w:lineRule="auto"/>
        <w:rPr>
          <w:rFonts w:ascii="仿宋" w:hAnsi="仿宋" w:eastAsia="仿宋"/>
          <w:color w:val="auto"/>
          <w:sz w:val="24"/>
          <w:szCs w:val="24"/>
          <w:highlight w:val="none"/>
        </w:rPr>
      </w:pPr>
      <w:r>
        <w:rPr>
          <w:rFonts w:hint="eastAsia" w:ascii="仿宋" w:hAnsi="仿宋" w:eastAsia="仿宋"/>
          <w:color w:val="auto"/>
          <w:sz w:val="24"/>
          <w:szCs w:val="24"/>
          <w:highlight w:val="none"/>
        </w:rPr>
        <w:t>经营期限：</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 xml:space="preserve"> </w:t>
      </w:r>
    </w:p>
    <w:p w14:paraId="68D8EAF1">
      <w:pPr>
        <w:spacing w:line="360" w:lineRule="auto"/>
        <w:rPr>
          <w:rFonts w:ascii="仿宋" w:hAnsi="仿宋" w:eastAsia="仿宋"/>
          <w:color w:val="auto"/>
          <w:sz w:val="24"/>
          <w:szCs w:val="24"/>
          <w:highlight w:val="none"/>
        </w:rPr>
      </w:pPr>
      <w:r>
        <w:rPr>
          <w:rFonts w:hint="eastAsia" w:ascii="仿宋" w:hAnsi="仿宋" w:eastAsia="仿宋"/>
          <w:color w:val="auto"/>
          <w:sz w:val="24"/>
          <w:szCs w:val="24"/>
          <w:highlight w:val="none"/>
        </w:rPr>
        <w:t>姓名：</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性别：</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年龄：</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职务：</w:t>
      </w:r>
      <w:r>
        <w:rPr>
          <w:rFonts w:hint="eastAsia" w:ascii="仿宋" w:hAnsi="仿宋" w:eastAsia="仿宋"/>
          <w:color w:val="auto"/>
          <w:sz w:val="24"/>
          <w:szCs w:val="24"/>
          <w:highlight w:val="none"/>
          <w:u w:val="single"/>
        </w:rPr>
        <w:t xml:space="preserve">         </w:t>
      </w:r>
    </w:p>
    <w:p w14:paraId="6BDC9E54">
      <w:pPr>
        <w:spacing w:line="360" w:lineRule="auto"/>
        <w:rPr>
          <w:rFonts w:ascii="仿宋" w:hAnsi="仿宋" w:eastAsia="仿宋"/>
          <w:color w:val="auto"/>
          <w:sz w:val="24"/>
          <w:szCs w:val="24"/>
          <w:highlight w:val="none"/>
        </w:rPr>
      </w:pPr>
      <w:r>
        <w:rPr>
          <w:rFonts w:hint="eastAsia" w:ascii="仿宋" w:hAnsi="仿宋" w:eastAsia="仿宋"/>
          <w:color w:val="auto"/>
          <w:sz w:val="24"/>
          <w:szCs w:val="24"/>
          <w:highlight w:val="none"/>
        </w:rPr>
        <w:t xml:space="preserve">系 </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 xml:space="preserve"> 的法定代表人</w:t>
      </w:r>
    </w:p>
    <w:p w14:paraId="2FC54248">
      <w:pPr>
        <w:spacing w:line="360" w:lineRule="auto"/>
        <w:rPr>
          <w:rFonts w:hint="eastAsia" w:ascii="仿宋" w:hAnsi="仿宋" w:eastAsia="仿宋"/>
          <w:color w:val="auto"/>
          <w:sz w:val="24"/>
          <w:szCs w:val="24"/>
          <w:highlight w:val="none"/>
        </w:rPr>
      </w:pPr>
    </w:p>
    <w:p w14:paraId="5282E406">
      <w:pPr>
        <w:spacing w:line="360" w:lineRule="auto"/>
        <w:rPr>
          <w:rFonts w:ascii="仿宋" w:hAnsi="仿宋" w:eastAsia="仿宋"/>
          <w:color w:val="auto"/>
          <w:sz w:val="24"/>
          <w:szCs w:val="24"/>
          <w:highlight w:val="none"/>
        </w:rPr>
      </w:pPr>
      <w:r>
        <w:rPr>
          <w:rFonts w:hint="eastAsia" w:ascii="仿宋" w:hAnsi="仿宋" w:eastAsia="仿宋"/>
          <w:color w:val="auto"/>
          <w:sz w:val="24"/>
          <w:szCs w:val="24"/>
          <w:highlight w:val="none"/>
        </w:rPr>
        <w:t>特此证明</w:t>
      </w:r>
    </w:p>
    <w:p w14:paraId="46FA9E1D">
      <w:pPr>
        <w:spacing w:line="360" w:lineRule="auto"/>
        <w:rPr>
          <w:rFonts w:ascii="仿宋" w:hAnsi="仿宋" w:eastAsia="仿宋"/>
          <w:color w:val="auto"/>
          <w:sz w:val="24"/>
          <w:szCs w:val="24"/>
          <w:highlight w:val="none"/>
        </w:rPr>
      </w:pPr>
      <w:r>
        <w:rPr>
          <w:rFonts w:hint="eastAsia" w:ascii="仿宋" w:hAnsi="仿宋" w:eastAsia="仿宋"/>
          <w:color w:val="auto"/>
          <w:sz w:val="24"/>
          <w:szCs w:val="24"/>
          <w:highlight w:val="none"/>
        </w:rPr>
        <w:t>投标人（</w:t>
      </w:r>
      <w:r>
        <w:rPr>
          <w:rFonts w:hint="eastAsia" w:ascii="仿宋" w:hAnsi="仿宋" w:eastAsia="仿宋"/>
          <w:color w:val="auto"/>
          <w:sz w:val="24"/>
          <w:szCs w:val="20"/>
          <w:highlight w:val="none"/>
          <w:lang w:eastAsia="zh-CN"/>
        </w:rPr>
        <w:t>电子签章</w:t>
      </w:r>
      <w:r>
        <w:rPr>
          <w:rFonts w:hint="eastAsia" w:ascii="仿宋" w:hAnsi="仿宋" w:eastAsia="仿宋"/>
          <w:color w:val="auto"/>
          <w:sz w:val="24"/>
          <w:szCs w:val="24"/>
          <w:highlight w:val="none"/>
        </w:rPr>
        <w:t>）：</w:t>
      </w:r>
      <w:r>
        <w:rPr>
          <w:rFonts w:hint="eastAsia" w:ascii="仿宋" w:hAnsi="仿宋" w:eastAsia="仿宋"/>
          <w:color w:val="auto"/>
          <w:sz w:val="24"/>
          <w:szCs w:val="24"/>
          <w:highlight w:val="none"/>
          <w:u w:val="single"/>
        </w:rPr>
        <w:t xml:space="preserve">                             </w:t>
      </w:r>
    </w:p>
    <w:p w14:paraId="33B0673C">
      <w:pPr>
        <w:spacing w:line="360" w:lineRule="auto"/>
        <w:rPr>
          <w:rFonts w:ascii="仿宋" w:hAnsi="仿宋" w:eastAsia="仿宋"/>
          <w:color w:val="auto"/>
          <w:sz w:val="24"/>
          <w:szCs w:val="24"/>
          <w:highlight w:val="none"/>
        </w:rPr>
      </w:pPr>
      <w:r>
        <w:rPr>
          <w:rFonts w:hint="eastAsia" w:ascii="仿宋" w:hAnsi="仿宋" w:eastAsia="仿宋"/>
          <w:color w:val="auto"/>
          <w:sz w:val="24"/>
          <w:szCs w:val="24"/>
          <w:highlight w:val="none"/>
        </w:rPr>
        <w:t>日期：</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年</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月</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日</w:t>
      </w:r>
    </w:p>
    <w:p w14:paraId="7BA30B13">
      <w:pPr>
        <w:spacing w:line="420" w:lineRule="exact"/>
        <w:rPr>
          <w:rFonts w:ascii="仿宋" w:hAnsi="仿宋" w:eastAsia="仿宋"/>
          <w:color w:val="auto"/>
          <w:sz w:val="24"/>
          <w:szCs w:val="24"/>
          <w:highlight w:val="none"/>
        </w:rPr>
      </w:pPr>
      <w:r>
        <w:rPr>
          <w:rFonts w:ascii="仿宋" w:hAnsi="仿宋" w:eastAsia="仿宋"/>
          <w:color w:val="auto"/>
          <w:highlight w:val="none"/>
        </w:rPr>
        <mc:AlternateContent>
          <mc:Choice Requires="wps">
            <w:drawing>
              <wp:anchor distT="0" distB="0" distL="114300" distR="114300" simplePos="0" relativeHeight="251661312" behindDoc="1" locked="0" layoutInCell="1" allowOverlap="1">
                <wp:simplePos x="0" y="0"/>
                <wp:positionH relativeFrom="column">
                  <wp:posOffset>470535</wp:posOffset>
                </wp:positionH>
                <wp:positionV relativeFrom="paragraph">
                  <wp:posOffset>168910</wp:posOffset>
                </wp:positionV>
                <wp:extent cx="4981575" cy="2080260"/>
                <wp:effectExtent l="4445" t="4445" r="5080" b="10795"/>
                <wp:wrapNone/>
                <wp:docPr id="10" name="圆角矩形 10"/>
                <wp:cNvGraphicFramePr/>
                <a:graphic xmlns:a="http://schemas.openxmlformats.org/drawingml/2006/main">
                  <a:graphicData uri="http://schemas.microsoft.com/office/word/2010/wordprocessingShape">
                    <wps:wsp>
                      <wps:cNvSpPr/>
                      <wps:spPr>
                        <a:xfrm>
                          <a:off x="0" y="0"/>
                          <a:ext cx="4981575" cy="208026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79F34164"/>
                        </w:txbxContent>
                      </wps:txbx>
                      <wps:bodyPr upright="1"/>
                    </wps:wsp>
                  </a:graphicData>
                </a:graphic>
              </wp:anchor>
            </w:drawing>
          </mc:Choice>
          <mc:Fallback>
            <w:pict>
              <v:roundrect id="_x0000_s1026" o:spid="_x0000_s1026" o:spt="2" style="position:absolute;left:0pt;margin-left:37.05pt;margin-top:13.3pt;height:163.8pt;width:392.25pt;z-index:-251655168;mso-width-relative:page;mso-height-relative:page;" fillcolor="#FFFFFF" filled="t" stroked="t" coordsize="21600,21600" arcsize="0.166666666666667" o:gfxdata="UEsDBAoAAAAAAIdO4kAAAAAAAAAAAAAAAAAEAAAAZHJzL1BLAwQUAAAACACHTuJAAI2uTtcAAAAJ&#10;AQAADwAAAGRycy9kb3ducmV2LnhtbE2PQU+EMBCF7yb+h2ZMvLktuCCylD2Y6NXIevBYaBeIdMq2&#10;hV399Y4nvb3Je3nvm2p/sRNbjQ+jQwnJRgAz2Dk9Yi/h/fB8VwALUaFWk0Mj4csE2NfXV5UqtTvj&#10;m1mb2DMqwVAqCUOMc8l56AZjVdi42SB5R+etinT6nmuvzlRuJ54KkXOrRqSFQc3maTDdZ7NYCZ0W&#10;i/Af6+tjm8Xme11OyF9OUt7eJGIHLJpL/AvDLz6hQ01MrVtQBzZJeNgmlJSQ5jkw8ousINFKuM+2&#10;KfC64v8/qH8AUEsDBBQAAAAIAIdO4kBoAjHbJAIAAFkEAAAOAAAAZHJzL2Uyb0RvYy54bWytVEuO&#10;EzEQ3SNxB8t70p2IZDKtdGZBCBsEI4Y5gONPt5F/sp105wIcgDUSEhs0h+A4IzjGlJ0m84FFFnjh&#10;LttVz69elXtx0WuFdtwHaU2Nx6MSI26oZdI0Nb7+uH4xxyhEYhhR1vAa73nAF8vnzxadq/jEtlYx&#10;7hGAmFB1rsZtjK4qikBbrkkYWccNHArrNYmw9E3BPOkAXatiUpazorOeOW8pDwF2V4dDPCD6UwCt&#10;EJLylaVbzU08oHquSISUQitdwMvMVghO43shAo9I1RgyjXmGS8DepLlYLkjVeOJaSQcK5BQKT3LS&#10;RBq49Ai1IpGgrZd/QWlJvQ1WxBG1ujgkkhWBLMblE22uWuJ4zgWkDu4oevh/sPTd7tIjyaATQBJD&#10;NFT89uvn3z++/Pp2c/vzO4Jt0KhzoQLXK3fph1UAMyXcC6/TF1JBfdZ1f9SV9xFR2Hx5Ph9Pz6YY&#10;UTiblPNyMsuoxX248yG+4VajZNTY261hH6B6WVSyextiVpcNFAn7hJHQCmq1IwqNZ7PZWeIJiIMz&#10;WH8wU2SwSrK1VCovfLN5pTyC0Bqv8xiCH7kpg7oan08niTmBVhfQYmBqB3IF02RujyLCQ+Ayj38B&#10;J2IrEtoDgYyQ3EjVcsJeG4bi3kEdDLw/nChozjBSHJ5rsrJnJFKd4gkyKAO6pAIeSpas2G/6oY4b&#10;y/bQAVvnZdOC8uNMODlBx2VBh9eRWvrhOoPe/xGW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ACN&#10;rk7XAAAACQEAAA8AAAAAAAAAAQAgAAAAIgAAAGRycy9kb3ducmV2LnhtbFBLAQIUABQAAAAIAIdO&#10;4kBoAjHbJAIAAFkEAAAOAAAAAAAAAAEAIAAAACYBAABkcnMvZTJvRG9jLnhtbFBLBQYAAAAABgAG&#10;AFkBAAC8BQAAAAA=&#10;">
                <v:fill on="t" focussize="0,0"/>
                <v:stroke color="#000000" joinstyle="round"/>
                <v:imagedata o:title=""/>
                <o:lock v:ext="edit" aspectratio="f"/>
                <v:textbox>
                  <w:txbxContent>
                    <w:p w14:paraId="79F34164"/>
                  </w:txbxContent>
                </v:textbox>
              </v:roundrect>
            </w:pict>
          </mc:Fallback>
        </mc:AlternateContent>
      </w:r>
    </w:p>
    <w:p w14:paraId="2E00990A">
      <w:pPr>
        <w:spacing w:line="420" w:lineRule="exact"/>
        <w:rPr>
          <w:rFonts w:ascii="仿宋" w:hAnsi="仿宋" w:eastAsia="仿宋"/>
          <w:color w:val="auto"/>
          <w:sz w:val="24"/>
          <w:szCs w:val="24"/>
          <w:highlight w:val="none"/>
        </w:rPr>
      </w:pPr>
    </w:p>
    <w:p w14:paraId="3F60B185">
      <w:pPr>
        <w:spacing w:line="420" w:lineRule="exact"/>
        <w:jc w:val="center"/>
        <w:rPr>
          <w:rFonts w:ascii="仿宋" w:hAnsi="仿宋" w:eastAsia="仿宋"/>
          <w:color w:val="auto"/>
          <w:sz w:val="24"/>
          <w:szCs w:val="24"/>
          <w:highlight w:val="none"/>
        </w:rPr>
      </w:pPr>
      <w:r>
        <w:rPr>
          <w:rFonts w:hint="eastAsia" w:ascii="仿宋" w:hAnsi="仿宋" w:eastAsia="仿宋"/>
          <w:b/>
          <w:color w:val="auto"/>
          <w:sz w:val="24"/>
          <w:szCs w:val="24"/>
          <w:highlight w:val="none"/>
        </w:rPr>
        <w:t>法定代表人有效的身份证复印件</w:t>
      </w:r>
    </w:p>
    <w:p w14:paraId="33EFE74B">
      <w:pPr>
        <w:pStyle w:val="18"/>
        <w:rPr>
          <w:rFonts w:ascii="仿宋" w:hAnsi="仿宋" w:eastAsia="仿宋"/>
          <w:color w:val="auto"/>
          <w:sz w:val="24"/>
          <w:szCs w:val="24"/>
          <w:highlight w:val="none"/>
        </w:rPr>
      </w:pPr>
    </w:p>
    <w:p w14:paraId="2ED34310">
      <w:pPr>
        <w:bidi w:val="0"/>
        <w:rPr>
          <w:rFonts w:hint="eastAsia"/>
          <w:color w:val="auto"/>
          <w:highlight w:val="none"/>
        </w:rPr>
      </w:pPr>
      <w:bookmarkStart w:id="496" w:name="_Toc430214793"/>
      <w:bookmarkStart w:id="497" w:name="_Toc9191"/>
      <w:bookmarkStart w:id="498" w:name="_Toc14898"/>
      <w:bookmarkStart w:id="499" w:name="_Toc406162622"/>
      <w:bookmarkStart w:id="500" w:name="_Toc391301876"/>
      <w:bookmarkStart w:id="501" w:name="_Toc383636418"/>
    </w:p>
    <w:p w14:paraId="4264442C">
      <w:pPr>
        <w:bidi w:val="0"/>
        <w:rPr>
          <w:rFonts w:hint="eastAsia"/>
          <w:color w:val="auto"/>
          <w:highlight w:val="none"/>
        </w:rPr>
      </w:pPr>
    </w:p>
    <w:p w14:paraId="441B72F7">
      <w:pPr>
        <w:bidi w:val="0"/>
        <w:rPr>
          <w:rFonts w:hint="eastAsia"/>
          <w:color w:val="auto"/>
          <w:highlight w:val="none"/>
        </w:rPr>
      </w:pPr>
    </w:p>
    <w:p w14:paraId="0D1A4EB1">
      <w:pPr>
        <w:rPr>
          <w:rFonts w:hint="eastAsia" w:ascii="仿宋" w:hAnsi="仿宋" w:eastAsia="仿宋"/>
          <w:b/>
          <w:bCs/>
          <w:color w:val="auto"/>
          <w:sz w:val="28"/>
          <w:szCs w:val="28"/>
          <w:highlight w:val="none"/>
        </w:rPr>
      </w:pPr>
    </w:p>
    <w:p w14:paraId="2D92370E">
      <w:pPr>
        <w:pStyle w:val="18"/>
        <w:rPr>
          <w:rFonts w:hint="eastAsia" w:ascii="仿宋" w:hAnsi="仿宋" w:eastAsia="仿宋"/>
          <w:b/>
          <w:bCs/>
          <w:color w:val="auto"/>
          <w:sz w:val="28"/>
          <w:szCs w:val="28"/>
          <w:highlight w:val="none"/>
        </w:rPr>
      </w:pPr>
    </w:p>
    <w:p w14:paraId="5F876905">
      <w:pPr>
        <w:rPr>
          <w:rFonts w:hint="eastAsia" w:ascii="仿宋" w:hAnsi="仿宋" w:eastAsia="仿宋"/>
          <w:b/>
          <w:bCs/>
          <w:color w:val="auto"/>
          <w:sz w:val="28"/>
          <w:szCs w:val="28"/>
          <w:highlight w:val="none"/>
        </w:rPr>
      </w:pPr>
    </w:p>
    <w:p w14:paraId="440E310F">
      <w:pPr>
        <w:pStyle w:val="18"/>
        <w:rPr>
          <w:rFonts w:hint="eastAsia" w:ascii="仿宋" w:hAnsi="仿宋" w:eastAsia="仿宋"/>
          <w:b/>
          <w:bCs/>
          <w:color w:val="auto"/>
          <w:sz w:val="28"/>
          <w:szCs w:val="28"/>
          <w:highlight w:val="none"/>
        </w:rPr>
      </w:pPr>
    </w:p>
    <w:p w14:paraId="730FE8DA">
      <w:pPr>
        <w:pStyle w:val="18"/>
        <w:rPr>
          <w:rFonts w:hint="eastAsia"/>
          <w:color w:val="auto"/>
          <w:highlight w:val="none"/>
        </w:rPr>
      </w:pPr>
    </w:p>
    <w:p w14:paraId="75FC6CC1">
      <w:pPr>
        <w:pStyle w:val="18"/>
        <w:rPr>
          <w:rFonts w:hint="eastAsia"/>
          <w:color w:val="auto"/>
          <w:highlight w:val="none"/>
        </w:rPr>
      </w:pPr>
    </w:p>
    <w:p w14:paraId="13E3E8CC">
      <w:pPr>
        <w:pStyle w:val="18"/>
        <w:rPr>
          <w:rFonts w:hint="eastAsia"/>
          <w:color w:val="auto"/>
          <w:highlight w:val="none"/>
        </w:rPr>
      </w:pPr>
    </w:p>
    <w:p w14:paraId="42F7165E">
      <w:pPr>
        <w:rPr>
          <w:rFonts w:hint="eastAsia"/>
          <w:color w:val="auto"/>
          <w:highlight w:val="none"/>
        </w:rPr>
      </w:pPr>
    </w:p>
    <w:p w14:paraId="45F68ECF">
      <w:pPr>
        <w:pStyle w:val="18"/>
        <w:rPr>
          <w:rFonts w:hint="eastAsia"/>
          <w:color w:val="auto"/>
          <w:highlight w:val="none"/>
        </w:rPr>
      </w:pPr>
    </w:p>
    <w:p w14:paraId="31210CF7">
      <w:pPr>
        <w:rPr>
          <w:rFonts w:hint="eastAsia"/>
          <w:color w:val="auto"/>
          <w:highlight w:val="none"/>
        </w:rPr>
      </w:pPr>
    </w:p>
    <w:p w14:paraId="2BEE8045">
      <w:pPr>
        <w:bidi w:val="0"/>
        <w:rPr>
          <w:rFonts w:hint="eastAsia"/>
          <w:color w:val="auto"/>
          <w:highlight w:val="none"/>
        </w:rPr>
      </w:pPr>
    </w:p>
    <w:p w14:paraId="7E478AB8">
      <w:pPr>
        <w:rPr>
          <w:rFonts w:hint="eastAsia"/>
          <w:color w:val="auto"/>
          <w:highlight w:val="none"/>
        </w:rPr>
      </w:pPr>
    </w:p>
    <w:p w14:paraId="357FA3DC">
      <w:pPr>
        <w:rPr>
          <w:rFonts w:hint="eastAsia"/>
          <w:color w:val="auto"/>
          <w:highlight w:val="none"/>
        </w:rPr>
      </w:pPr>
    </w:p>
    <w:p w14:paraId="2A9C7BA3">
      <w:pPr>
        <w:bidi w:val="0"/>
        <w:rPr>
          <w:rFonts w:hint="eastAsia"/>
          <w:color w:val="auto"/>
          <w:highlight w:val="none"/>
        </w:rPr>
      </w:pPr>
    </w:p>
    <w:p w14:paraId="12653246">
      <w:pPr>
        <w:pStyle w:val="6"/>
        <w:ind w:left="0" w:leftChars="0" w:firstLine="0" w:firstLineChars="0"/>
        <w:jc w:val="center"/>
        <w:rPr>
          <w:rFonts w:ascii="仿宋" w:hAnsi="仿宋" w:eastAsia="仿宋"/>
          <w:b/>
          <w:bCs/>
          <w:color w:val="auto"/>
          <w:sz w:val="28"/>
          <w:szCs w:val="21"/>
          <w:highlight w:val="none"/>
        </w:rPr>
      </w:pPr>
      <w:bookmarkStart w:id="502" w:name="_Toc29723"/>
      <w:bookmarkStart w:id="503" w:name="_Toc25958"/>
      <w:bookmarkStart w:id="504" w:name="_Toc18412"/>
      <w:bookmarkStart w:id="505" w:name="_Toc7704"/>
      <w:bookmarkStart w:id="506" w:name="_Toc874"/>
      <w:r>
        <w:rPr>
          <w:rFonts w:hint="eastAsia" w:ascii="仿宋" w:hAnsi="仿宋" w:eastAsia="仿宋"/>
          <w:b/>
          <w:bCs/>
          <w:color w:val="auto"/>
          <w:sz w:val="28"/>
          <w:szCs w:val="28"/>
          <w:highlight w:val="none"/>
        </w:rPr>
        <w:t>格式4、法定代表人授权委托书（授权代表是法定代表人时，不必提供）</w:t>
      </w:r>
      <w:bookmarkEnd w:id="496"/>
      <w:bookmarkEnd w:id="497"/>
      <w:bookmarkEnd w:id="498"/>
      <w:bookmarkEnd w:id="502"/>
      <w:bookmarkEnd w:id="503"/>
      <w:bookmarkEnd w:id="504"/>
      <w:bookmarkEnd w:id="505"/>
      <w:bookmarkEnd w:id="506"/>
    </w:p>
    <w:p w14:paraId="13582679">
      <w:pPr>
        <w:spacing w:line="360" w:lineRule="auto"/>
        <w:ind w:firstLine="480" w:firstLineChars="200"/>
        <w:jc w:val="left"/>
        <w:rPr>
          <w:rFonts w:ascii="仿宋" w:hAnsi="仿宋" w:eastAsia="仿宋"/>
          <w:color w:val="auto"/>
          <w:sz w:val="24"/>
          <w:szCs w:val="24"/>
          <w:highlight w:val="none"/>
        </w:rPr>
      </w:pPr>
      <w:r>
        <w:rPr>
          <w:rFonts w:hint="eastAsia" w:ascii="仿宋" w:hAnsi="仿宋" w:eastAsia="仿宋"/>
          <w:color w:val="auto"/>
          <w:sz w:val="24"/>
          <w:szCs w:val="24"/>
          <w:highlight w:val="none"/>
        </w:rPr>
        <w:t>本授权委托书声明：我</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（姓名）系</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 xml:space="preserve">（投标人名称）的法定代表人，现授权委托 </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 xml:space="preserve"> （单位名称）的 </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（姓名）为我公司代理人，以公司名义参加</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（采购人）的</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项目的投标活动。代理人在开标、评标及合同谈判过程中所签署的一切文件和处理与之有关的一切事务，我均</w:t>
      </w:r>
      <w:r>
        <w:rPr>
          <w:rFonts w:hint="eastAsia" w:ascii="仿宋" w:hAnsi="仿宋" w:eastAsia="仿宋"/>
          <w:color w:val="auto"/>
          <w:sz w:val="24"/>
          <w:szCs w:val="24"/>
          <w:highlight w:val="none"/>
          <w:lang w:eastAsia="zh-CN"/>
        </w:rPr>
        <w:t>予以</w:t>
      </w:r>
      <w:r>
        <w:rPr>
          <w:rFonts w:hint="eastAsia" w:ascii="仿宋" w:hAnsi="仿宋" w:eastAsia="仿宋"/>
          <w:color w:val="auto"/>
          <w:sz w:val="24"/>
          <w:szCs w:val="24"/>
          <w:highlight w:val="none"/>
        </w:rPr>
        <w:t>承认。</w:t>
      </w:r>
    </w:p>
    <w:p w14:paraId="3B37E636">
      <w:pPr>
        <w:spacing w:line="360" w:lineRule="auto"/>
        <w:ind w:firstLine="480" w:firstLineChars="200"/>
        <w:rPr>
          <w:rFonts w:ascii="仿宋" w:hAnsi="仿宋" w:eastAsia="仿宋"/>
          <w:color w:val="auto"/>
          <w:sz w:val="24"/>
          <w:szCs w:val="24"/>
          <w:highlight w:val="none"/>
          <w:u w:val="single"/>
        </w:rPr>
      </w:pPr>
      <w:r>
        <w:rPr>
          <w:rFonts w:hint="eastAsia" w:ascii="仿宋" w:hAnsi="仿宋" w:eastAsia="仿宋"/>
          <w:color w:val="auto"/>
          <w:sz w:val="24"/>
          <w:szCs w:val="24"/>
          <w:highlight w:val="none"/>
        </w:rPr>
        <w:t>代理人：</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u w:val="none"/>
          <w:lang w:eastAsia="zh-CN"/>
        </w:rPr>
        <w:t>（</w:t>
      </w:r>
      <w:r>
        <w:rPr>
          <w:rFonts w:hint="eastAsia" w:ascii="仿宋" w:hAnsi="仿宋" w:eastAsia="仿宋"/>
          <w:color w:val="auto"/>
          <w:sz w:val="24"/>
          <w:szCs w:val="24"/>
          <w:highlight w:val="none"/>
          <w:u w:val="none"/>
          <w:lang w:val="en-US" w:eastAsia="zh-CN"/>
        </w:rPr>
        <w:t>签字</w:t>
      </w:r>
      <w:r>
        <w:rPr>
          <w:rFonts w:hint="eastAsia" w:ascii="仿宋" w:hAnsi="仿宋" w:eastAsia="仿宋"/>
          <w:color w:val="auto"/>
          <w:sz w:val="24"/>
          <w:szCs w:val="24"/>
          <w:highlight w:val="none"/>
          <w:u w:val="none"/>
          <w:lang w:eastAsia="zh-CN"/>
        </w:rPr>
        <w:t>）</w:t>
      </w:r>
      <w:r>
        <w:rPr>
          <w:rFonts w:hint="eastAsia" w:ascii="仿宋" w:hAnsi="仿宋" w:eastAsia="仿宋"/>
          <w:color w:val="FF0000"/>
          <w:sz w:val="24"/>
          <w:szCs w:val="24"/>
          <w:highlight w:val="none"/>
        </w:rPr>
        <w:t xml:space="preserve">  </w:t>
      </w:r>
      <w:r>
        <w:rPr>
          <w:rFonts w:hint="eastAsia" w:ascii="仿宋" w:hAnsi="仿宋" w:eastAsia="仿宋"/>
          <w:color w:val="auto"/>
          <w:sz w:val="24"/>
          <w:szCs w:val="24"/>
          <w:highlight w:val="none"/>
        </w:rPr>
        <w:t>性别：</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 xml:space="preserve"> 年龄：</w:t>
      </w:r>
      <w:r>
        <w:rPr>
          <w:rFonts w:hint="eastAsia" w:ascii="仿宋" w:hAnsi="仿宋" w:eastAsia="仿宋"/>
          <w:color w:val="auto"/>
          <w:sz w:val="24"/>
          <w:szCs w:val="24"/>
          <w:highlight w:val="none"/>
          <w:u w:val="single"/>
        </w:rPr>
        <w:t xml:space="preserve">           </w:t>
      </w:r>
    </w:p>
    <w:p w14:paraId="2F8EE996">
      <w:pPr>
        <w:spacing w:line="360" w:lineRule="auto"/>
        <w:ind w:firstLine="480" w:firstLineChars="200"/>
        <w:rPr>
          <w:rFonts w:ascii="仿宋" w:hAnsi="仿宋" w:eastAsia="仿宋"/>
          <w:color w:val="auto"/>
          <w:sz w:val="24"/>
          <w:szCs w:val="24"/>
          <w:highlight w:val="none"/>
          <w:u w:val="single"/>
        </w:rPr>
      </w:pPr>
      <w:r>
        <w:rPr>
          <w:rFonts w:hint="eastAsia" w:ascii="仿宋" w:hAnsi="仿宋" w:eastAsia="仿宋"/>
          <w:color w:val="auto"/>
          <w:sz w:val="24"/>
          <w:szCs w:val="24"/>
          <w:highlight w:val="none"/>
        </w:rPr>
        <w:t>部门：</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 xml:space="preserve">  职务：</w:t>
      </w:r>
      <w:r>
        <w:rPr>
          <w:rFonts w:hint="eastAsia" w:ascii="仿宋" w:hAnsi="仿宋" w:eastAsia="仿宋"/>
          <w:color w:val="auto"/>
          <w:sz w:val="24"/>
          <w:szCs w:val="24"/>
          <w:highlight w:val="none"/>
          <w:u w:val="single"/>
        </w:rPr>
        <w:t xml:space="preserve">                 </w:t>
      </w:r>
    </w:p>
    <w:p w14:paraId="07FBB934">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代理人无转委权。特此委托。</w:t>
      </w:r>
    </w:p>
    <w:p w14:paraId="2AEF1EFD">
      <w:pPr>
        <w:spacing w:line="360" w:lineRule="auto"/>
        <w:ind w:firstLine="480" w:firstLineChars="200"/>
        <w:rPr>
          <w:rFonts w:ascii="仿宋" w:hAnsi="仿宋" w:eastAsia="仿宋"/>
          <w:color w:val="auto"/>
          <w:sz w:val="24"/>
          <w:szCs w:val="24"/>
          <w:highlight w:val="none"/>
          <w:u w:val="single"/>
        </w:rPr>
      </w:pPr>
      <w:r>
        <w:rPr>
          <w:rFonts w:hint="eastAsia" w:ascii="仿宋" w:hAnsi="仿宋" w:eastAsia="仿宋"/>
          <w:color w:val="auto"/>
          <w:sz w:val="24"/>
          <w:szCs w:val="24"/>
          <w:highlight w:val="none"/>
        </w:rPr>
        <w:t>投标人（</w:t>
      </w:r>
      <w:r>
        <w:rPr>
          <w:rFonts w:hint="eastAsia" w:ascii="仿宋" w:hAnsi="仿宋" w:eastAsia="仿宋"/>
          <w:color w:val="auto"/>
          <w:sz w:val="24"/>
          <w:szCs w:val="20"/>
          <w:highlight w:val="none"/>
          <w:lang w:eastAsia="zh-CN"/>
        </w:rPr>
        <w:t>电子签章</w:t>
      </w:r>
      <w:r>
        <w:rPr>
          <w:rFonts w:hint="eastAsia" w:ascii="仿宋" w:hAnsi="仿宋" w:eastAsia="仿宋"/>
          <w:color w:val="auto"/>
          <w:sz w:val="24"/>
          <w:szCs w:val="24"/>
          <w:highlight w:val="none"/>
        </w:rPr>
        <w:t>）：</w:t>
      </w:r>
      <w:r>
        <w:rPr>
          <w:rFonts w:hint="eastAsia" w:ascii="仿宋" w:hAnsi="仿宋" w:eastAsia="仿宋"/>
          <w:color w:val="auto"/>
          <w:sz w:val="24"/>
          <w:szCs w:val="24"/>
          <w:highlight w:val="none"/>
          <w:u w:val="single"/>
        </w:rPr>
        <w:t xml:space="preserve">                                               </w:t>
      </w:r>
    </w:p>
    <w:p w14:paraId="76A00F1C">
      <w:pPr>
        <w:spacing w:line="360" w:lineRule="auto"/>
        <w:ind w:firstLine="480" w:firstLineChars="200"/>
        <w:rPr>
          <w:rFonts w:ascii="仿宋" w:hAnsi="仿宋" w:eastAsia="仿宋"/>
          <w:color w:val="auto"/>
          <w:sz w:val="24"/>
          <w:szCs w:val="24"/>
          <w:highlight w:val="none"/>
          <w:u w:val="single"/>
        </w:rPr>
      </w:pPr>
      <w:r>
        <w:rPr>
          <w:rFonts w:hint="eastAsia" w:ascii="仿宋" w:hAnsi="仿宋" w:eastAsia="仿宋"/>
          <w:color w:val="auto"/>
          <w:sz w:val="24"/>
          <w:szCs w:val="24"/>
          <w:highlight w:val="none"/>
        </w:rPr>
        <w:t>法定代表人或单位负责人（</w:t>
      </w:r>
      <w:r>
        <w:rPr>
          <w:rFonts w:hint="eastAsia" w:ascii="仿宋" w:hAnsi="仿宋" w:eastAsia="仿宋" w:cs="仿宋"/>
          <w:color w:val="auto"/>
          <w:sz w:val="24"/>
          <w:szCs w:val="24"/>
          <w:highlight w:val="none"/>
        </w:rPr>
        <w:t>签字或电子签章</w:t>
      </w:r>
      <w:r>
        <w:rPr>
          <w:rFonts w:hint="eastAsia" w:ascii="仿宋" w:hAnsi="仿宋" w:eastAsia="仿宋"/>
          <w:color w:val="auto"/>
          <w:sz w:val="24"/>
          <w:szCs w:val="24"/>
          <w:highlight w:val="none"/>
        </w:rPr>
        <w:t>）：</w:t>
      </w:r>
      <w:r>
        <w:rPr>
          <w:rFonts w:hint="eastAsia" w:ascii="仿宋" w:hAnsi="仿宋" w:eastAsia="仿宋"/>
          <w:color w:val="auto"/>
          <w:sz w:val="24"/>
          <w:szCs w:val="24"/>
          <w:highlight w:val="none"/>
          <w:u w:val="single"/>
        </w:rPr>
        <w:t xml:space="preserve">                               </w:t>
      </w:r>
    </w:p>
    <w:p w14:paraId="6C575388">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日期：</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年</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月</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日</w:t>
      </w:r>
    </w:p>
    <w:p w14:paraId="06694D40">
      <w:pPr>
        <w:spacing w:line="360" w:lineRule="auto"/>
        <w:ind w:firstLine="482" w:firstLineChars="200"/>
        <w:rPr>
          <w:rFonts w:hint="eastAsia" w:ascii="仿宋" w:hAnsi="仿宋" w:eastAsia="仿宋"/>
          <w:b/>
          <w:color w:val="auto"/>
          <w:sz w:val="24"/>
          <w:szCs w:val="24"/>
          <w:highlight w:val="none"/>
        </w:rPr>
      </w:pPr>
    </w:p>
    <w:p w14:paraId="3A823A81">
      <w:pPr>
        <w:spacing w:line="360" w:lineRule="auto"/>
        <w:ind w:firstLine="360" w:firstLineChars="200"/>
        <w:rPr>
          <w:rFonts w:ascii="仿宋" w:hAnsi="仿宋" w:eastAsia="仿宋"/>
          <w:b/>
          <w:color w:val="auto"/>
          <w:sz w:val="22"/>
          <w:szCs w:val="22"/>
          <w:highlight w:val="none"/>
        </w:rPr>
      </w:pPr>
      <w:r>
        <w:rPr>
          <w:rFonts w:ascii="仿宋" w:hAnsi="仿宋" w:eastAsia="仿宋"/>
          <w:color w:val="auto"/>
          <w:sz w:val="18"/>
          <w:szCs w:val="16"/>
          <w:highlight w:val="none"/>
        </w:rPr>
        <mc:AlternateContent>
          <mc:Choice Requires="wps">
            <w:drawing>
              <wp:anchor distT="0" distB="0" distL="114300" distR="114300" simplePos="0" relativeHeight="251660288" behindDoc="1" locked="0" layoutInCell="1" allowOverlap="1">
                <wp:simplePos x="0" y="0"/>
                <wp:positionH relativeFrom="column">
                  <wp:posOffset>457200</wp:posOffset>
                </wp:positionH>
                <wp:positionV relativeFrom="paragraph">
                  <wp:posOffset>1003935</wp:posOffset>
                </wp:positionV>
                <wp:extent cx="5245100" cy="2165985"/>
                <wp:effectExtent l="4445" t="4445" r="8255" b="20320"/>
                <wp:wrapNone/>
                <wp:docPr id="11" name="圆角矩形 11"/>
                <wp:cNvGraphicFramePr/>
                <a:graphic xmlns:a="http://schemas.openxmlformats.org/drawingml/2006/main">
                  <a:graphicData uri="http://schemas.microsoft.com/office/word/2010/wordprocessingShape">
                    <wps:wsp>
                      <wps:cNvSpPr/>
                      <wps:spPr>
                        <a:xfrm>
                          <a:off x="0" y="0"/>
                          <a:ext cx="5245100" cy="216598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319A2651"/>
                        </w:txbxContent>
                      </wps:txbx>
                      <wps:bodyPr upright="1"/>
                    </wps:wsp>
                  </a:graphicData>
                </a:graphic>
              </wp:anchor>
            </w:drawing>
          </mc:Choice>
          <mc:Fallback>
            <w:pict>
              <v:roundrect id="_x0000_s1026" o:spid="_x0000_s1026" o:spt="2" style="position:absolute;left:0pt;margin-left:36pt;margin-top:79.05pt;height:170.55pt;width:413pt;z-index:-251656192;mso-width-relative:page;mso-height-relative:page;" fillcolor="#FFFFFF" filled="t" stroked="t" coordsize="21600,21600" arcsize="0.166666666666667" o:gfxdata="UEsDBAoAAAAAAIdO4kAAAAAAAAAAAAAAAAAEAAAAZHJzL1BLAwQUAAAACACHTuJA+BWD9tYAAAAK&#10;AQAADwAAAGRycy9kb3ducmV2LnhtbE2PQU+EMBCF7yb+h2Y28ea2EFcBKXsw0asR9+Cx0BHI0ilL&#10;C7v66x1Pepw3L+99r9xf3ChWnMPgSUOyVSCQWm8H6jQc3p9vMxAhGrJm9IQavjDAvrq+Kk1h/Zne&#10;cK1jJziEQmE09DFOhZSh7dGZsPUTEv8+/exM5HPupJ3NmcPdKFOl7qUzA3FDbyZ86rE91ovT0Fq1&#10;qPljfc2bXay/1+VE8uWk9c0mUY8gIl7inxl+8RkdKmZq/EI2iFHDQ8pTIuu7LAHBhizPWGk03OV5&#10;CrIq5f8J1Q9QSwMEFAAAAAgAh07iQI1AE1QjAgAAWQQAAA4AAABkcnMvZTJvRG9jLnhtbK1Uy47T&#10;MBTdI/EPlvdMkoqUmajpLChlg2DEwAe4fiRGfsl2m/QH+ADWSEhsEB/B54zgM7h2Q+cBiy7IIr22&#10;7z0595zrLi5HrdCO+yCtaXF1VmLEDbVMmq7F79+tn5xjFCIxjChreIv3PODL5eNHi8E1fGZ7qxj3&#10;CEBMaAbX4j5G1xRFoD3XJJxZxw0cCus1ibD0XcE8GQBdq2JWlvNisJ45bykPAXZXh0M8IfpTAK0Q&#10;kvKVpVvNTTygeq5IhJZCL13Ay8xWCE7jGyECj0i1GDqN+Q0fgXiT3sVyQZrOE9dLOlEgp1B40JMm&#10;0sBHj1ArEgnaevkXlJbU22BFPKNWF4dGsiLQRVU+0Oa6J47nXkDq4I6ih/8HS1/vrjySDCahwsgQ&#10;DY7ffP7469unn1++3/z4imAbNBpcaCD12l35aRUgTA2Pwuv0C62gMeu6P+rKx4gobNazp3VVguQU&#10;zmbVvL44rxNqcVvufIgvudUoBS32dmvYW3Avi0p2r0LM6rKJImEfMBJagVc7olA1n8+fTYhTMmD/&#10;wUyVwSrJ1lKpvPDd5rnyCEpbvM7PVHwvTRk0tPiintXAnMCoCxgxCLUDuYLpMrd7FeEucJmffwEn&#10;YisS+gOBjJDSSNNzwl4YhuLegQ8G7h9OFDRnGCkO1zVFOTMSqU7JBBmUAaWTgQfLUhTHzTj5uLFs&#10;DxOwdV52PSif7c7pMHHZoul2pJG+u86gt/8Iy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4FYP2&#10;1gAAAAoBAAAPAAAAAAAAAAEAIAAAACIAAABkcnMvZG93bnJldi54bWxQSwECFAAUAAAACACHTuJA&#10;jUATVCMCAABZBAAADgAAAAAAAAABACAAAAAlAQAAZHJzL2Uyb0RvYy54bWxQSwUGAAAAAAYABgBZ&#10;AQAAugUAAAAA&#10;">
                <v:fill on="t" focussize="0,0"/>
                <v:stroke color="#000000" joinstyle="round"/>
                <v:imagedata o:title=""/>
                <o:lock v:ext="edit" aspectratio="f"/>
                <v:textbox>
                  <w:txbxContent>
                    <w:p w14:paraId="319A2651"/>
                  </w:txbxContent>
                </v:textbox>
              </v:roundrect>
            </w:pict>
          </mc:Fallback>
        </mc:AlternateContent>
      </w:r>
      <w:r>
        <w:rPr>
          <w:rFonts w:hint="eastAsia" w:ascii="仿宋" w:hAnsi="仿宋" w:eastAsia="仿宋"/>
          <w:b/>
          <w:color w:val="auto"/>
          <w:sz w:val="22"/>
          <w:szCs w:val="22"/>
          <w:highlight w:val="none"/>
        </w:rPr>
        <w:t>注：附授权委托代理人身份证复印件，如投标人由法定代表人亲自签署</w:t>
      </w:r>
      <w:r>
        <w:rPr>
          <w:rFonts w:hint="eastAsia" w:ascii="仿宋" w:hAnsi="仿宋" w:eastAsia="仿宋"/>
          <w:b/>
          <w:bCs/>
          <w:color w:val="auto"/>
          <w:sz w:val="22"/>
          <w:szCs w:val="22"/>
          <w:highlight w:val="none"/>
        </w:rPr>
        <w:t>投标文件</w:t>
      </w:r>
      <w:r>
        <w:rPr>
          <w:rFonts w:hint="eastAsia" w:ascii="仿宋" w:hAnsi="仿宋" w:eastAsia="仿宋"/>
          <w:b/>
          <w:color w:val="auto"/>
          <w:sz w:val="22"/>
          <w:szCs w:val="22"/>
          <w:highlight w:val="none"/>
        </w:rPr>
        <w:t>并参与相关活动，则不需要办理授权。如有被授权的代理人签署上述文件，则必须按本格式规定填报并提交授权书，否则被授权的代理人将不被认可。</w:t>
      </w:r>
    </w:p>
    <w:p w14:paraId="14986DDE">
      <w:pPr>
        <w:spacing w:line="360" w:lineRule="auto"/>
        <w:rPr>
          <w:rFonts w:ascii="仿宋" w:hAnsi="仿宋" w:eastAsia="仿宋"/>
          <w:b/>
          <w:color w:val="auto"/>
          <w:sz w:val="24"/>
          <w:szCs w:val="24"/>
          <w:highlight w:val="none"/>
        </w:rPr>
      </w:pPr>
    </w:p>
    <w:p w14:paraId="59953BAD">
      <w:pPr>
        <w:spacing w:line="360" w:lineRule="auto"/>
        <w:ind w:firstLine="482"/>
        <w:jc w:val="center"/>
        <w:rPr>
          <w:rFonts w:hint="eastAsia" w:ascii="仿宋" w:hAnsi="仿宋" w:eastAsia="仿宋"/>
          <w:b/>
          <w:color w:val="auto"/>
          <w:sz w:val="24"/>
          <w:szCs w:val="24"/>
          <w:highlight w:val="none"/>
        </w:rPr>
      </w:pPr>
    </w:p>
    <w:p w14:paraId="1BEDA51F">
      <w:pPr>
        <w:spacing w:line="360" w:lineRule="auto"/>
        <w:ind w:firstLine="482"/>
        <w:jc w:val="center"/>
        <w:rPr>
          <w:rFonts w:ascii="仿宋" w:hAnsi="仿宋" w:eastAsia="仿宋"/>
          <w:b/>
          <w:color w:val="auto"/>
          <w:sz w:val="24"/>
          <w:szCs w:val="24"/>
          <w:highlight w:val="none"/>
        </w:rPr>
      </w:pPr>
      <w:r>
        <w:rPr>
          <w:rFonts w:hint="eastAsia" w:ascii="仿宋" w:hAnsi="仿宋" w:eastAsia="仿宋"/>
          <w:b/>
          <w:color w:val="auto"/>
          <w:sz w:val="24"/>
          <w:szCs w:val="24"/>
          <w:highlight w:val="none"/>
        </w:rPr>
        <w:t>委托代理人有效的身份证复印件</w:t>
      </w:r>
    </w:p>
    <w:p w14:paraId="4BB8162A">
      <w:pPr>
        <w:bidi w:val="0"/>
        <w:rPr>
          <w:rFonts w:hint="eastAsia"/>
          <w:color w:val="auto"/>
          <w:highlight w:val="none"/>
        </w:rPr>
      </w:pPr>
      <w:bookmarkStart w:id="507" w:name="_Toc4031"/>
      <w:bookmarkStart w:id="508" w:name="_Toc31339"/>
    </w:p>
    <w:p w14:paraId="4978B43D">
      <w:pPr>
        <w:rPr>
          <w:rFonts w:hint="eastAsia" w:ascii="仿宋" w:hAnsi="仿宋" w:eastAsia="仿宋"/>
          <w:b/>
          <w:bCs/>
          <w:color w:val="auto"/>
          <w:sz w:val="28"/>
          <w:szCs w:val="28"/>
          <w:highlight w:val="none"/>
        </w:rPr>
      </w:pPr>
    </w:p>
    <w:p w14:paraId="0F21E6A9">
      <w:pPr>
        <w:pStyle w:val="18"/>
        <w:rPr>
          <w:rFonts w:hint="eastAsia"/>
          <w:color w:val="auto"/>
          <w:highlight w:val="none"/>
        </w:rPr>
      </w:pPr>
    </w:p>
    <w:p w14:paraId="3826791A">
      <w:pPr>
        <w:bidi w:val="0"/>
        <w:rPr>
          <w:rFonts w:hint="eastAsia"/>
          <w:color w:val="auto"/>
          <w:highlight w:val="none"/>
        </w:rPr>
      </w:pPr>
    </w:p>
    <w:p w14:paraId="2E3F12F0">
      <w:pPr>
        <w:bidi w:val="0"/>
        <w:rPr>
          <w:rFonts w:hint="eastAsia"/>
          <w:color w:val="auto"/>
          <w:highlight w:val="none"/>
        </w:rPr>
      </w:pPr>
    </w:p>
    <w:p w14:paraId="693C4722">
      <w:pPr>
        <w:rPr>
          <w:rFonts w:hint="eastAsia" w:ascii="仿宋" w:hAnsi="仿宋" w:eastAsia="仿宋"/>
          <w:b/>
          <w:bCs/>
          <w:color w:val="auto"/>
          <w:sz w:val="28"/>
          <w:szCs w:val="28"/>
          <w:highlight w:val="none"/>
        </w:rPr>
      </w:pPr>
    </w:p>
    <w:p w14:paraId="7E0CF606">
      <w:pPr>
        <w:pStyle w:val="18"/>
        <w:rPr>
          <w:rFonts w:hint="eastAsia"/>
          <w:color w:val="auto"/>
          <w:highlight w:val="none"/>
        </w:rPr>
      </w:pPr>
    </w:p>
    <w:p w14:paraId="6E1162FD">
      <w:pPr>
        <w:rPr>
          <w:rFonts w:hint="eastAsia"/>
          <w:color w:val="auto"/>
          <w:highlight w:val="none"/>
        </w:rPr>
      </w:pPr>
    </w:p>
    <w:p w14:paraId="44A19A2B">
      <w:pPr>
        <w:bidi w:val="0"/>
        <w:rPr>
          <w:rFonts w:hint="eastAsia"/>
          <w:color w:val="auto"/>
          <w:highlight w:val="none"/>
        </w:rPr>
      </w:pPr>
    </w:p>
    <w:p w14:paraId="53ABCBE5">
      <w:pPr>
        <w:rPr>
          <w:rFonts w:hint="eastAsia"/>
          <w:color w:val="auto"/>
          <w:highlight w:val="none"/>
        </w:rPr>
      </w:pPr>
    </w:p>
    <w:p w14:paraId="3D72C284">
      <w:pPr>
        <w:rPr>
          <w:rFonts w:hint="eastAsia"/>
          <w:color w:val="auto"/>
          <w:highlight w:val="none"/>
        </w:rPr>
      </w:pPr>
    </w:p>
    <w:p w14:paraId="41E511F4">
      <w:pPr>
        <w:bidi w:val="0"/>
        <w:rPr>
          <w:rFonts w:hint="eastAsia"/>
          <w:color w:val="auto"/>
          <w:highlight w:val="none"/>
        </w:rPr>
      </w:pPr>
    </w:p>
    <w:p w14:paraId="62795403">
      <w:pPr>
        <w:bidi w:val="0"/>
        <w:rPr>
          <w:rFonts w:hint="eastAsia"/>
          <w:color w:val="auto"/>
          <w:highlight w:val="none"/>
        </w:rPr>
      </w:pPr>
    </w:p>
    <w:p w14:paraId="3BCF6A14">
      <w:pPr>
        <w:bidi w:val="0"/>
        <w:rPr>
          <w:rFonts w:hint="eastAsia"/>
          <w:color w:val="auto"/>
          <w:highlight w:val="none"/>
        </w:rPr>
      </w:pPr>
    </w:p>
    <w:p w14:paraId="3121B310">
      <w:pPr>
        <w:rPr>
          <w:rFonts w:hint="eastAsia"/>
          <w:color w:val="auto"/>
          <w:highlight w:val="none"/>
        </w:rPr>
      </w:pPr>
    </w:p>
    <w:p w14:paraId="7A14A673">
      <w:pPr>
        <w:rPr>
          <w:rFonts w:hint="eastAsia"/>
          <w:color w:val="auto"/>
          <w:highlight w:val="none"/>
        </w:rPr>
      </w:pPr>
    </w:p>
    <w:p w14:paraId="72041158">
      <w:pPr>
        <w:bidi w:val="0"/>
        <w:rPr>
          <w:rFonts w:hint="eastAsia"/>
          <w:color w:val="auto"/>
          <w:highlight w:val="none"/>
        </w:rPr>
      </w:pPr>
    </w:p>
    <w:p w14:paraId="587AB798">
      <w:pPr>
        <w:bidi w:val="0"/>
        <w:rPr>
          <w:rFonts w:hint="eastAsia"/>
          <w:color w:val="auto"/>
          <w:highlight w:val="none"/>
        </w:rPr>
      </w:pPr>
    </w:p>
    <w:p w14:paraId="0CFD6D37">
      <w:pPr>
        <w:bidi w:val="0"/>
        <w:rPr>
          <w:rFonts w:hint="eastAsia"/>
          <w:color w:val="auto"/>
          <w:highlight w:val="none"/>
        </w:rPr>
      </w:pPr>
    </w:p>
    <w:p w14:paraId="46DB27C8">
      <w:pPr>
        <w:bidi w:val="0"/>
        <w:rPr>
          <w:rFonts w:hint="eastAsia"/>
          <w:color w:val="auto"/>
          <w:highlight w:val="none"/>
        </w:rPr>
      </w:pPr>
    </w:p>
    <w:p w14:paraId="1CE8B78A">
      <w:pPr>
        <w:pStyle w:val="6"/>
        <w:spacing w:line="360" w:lineRule="auto"/>
        <w:ind w:left="0" w:leftChars="0" w:firstLine="0" w:firstLineChars="0"/>
        <w:jc w:val="center"/>
        <w:rPr>
          <w:rFonts w:ascii="仿宋" w:hAnsi="仿宋" w:eastAsia="仿宋"/>
          <w:b/>
          <w:bCs/>
          <w:color w:val="auto"/>
          <w:sz w:val="28"/>
          <w:szCs w:val="28"/>
          <w:highlight w:val="none"/>
        </w:rPr>
      </w:pPr>
      <w:bookmarkStart w:id="509" w:name="_Toc12115"/>
      <w:bookmarkStart w:id="510" w:name="_Toc5283"/>
      <w:bookmarkStart w:id="511" w:name="_Toc11153"/>
      <w:bookmarkStart w:id="512" w:name="_Toc5167"/>
      <w:bookmarkStart w:id="513" w:name="_Toc14700"/>
      <w:r>
        <w:rPr>
          <w:rFonts w:hint="eastAsia" w:ascii="仿宋" w:hAnsi="仿宋" w:eastAsia="仿宋"/>
          <w:b/>
          <w:bCs/>
          <w:color w:val="auto"/>
          <w:sz w:val="28"/>
          <w:szCs w:val="28"/>
          <w:highlight w:val="none"/>
        </w:rPr>
        <w:t>格式5、</w:t>
      </w:r>
      <w:r>
        <w:rPr>
          <w:rFonts w:hint="eastAsia" w:ascii="仿宋" w:hAnsi="仿宋" w:eastAsia="仿宋"/>
          <w:b/>
          <w:bCs/>
          <w:color w:val="auto"/>
          <w:sz w:val="28"/>
          <w:szCs w:val="28"/>
          <w:highlight w:val="none"/>
          <w:lang w:eastAsia="zh-CN"/>
        </w:rPr>
        <w:t>投标人</w:t>
      </w:r>
      <w:r>
        <w:rPr>
          <w:rFonts w:hint="eastAsia" w:ascii="仿宋" w:hAnsi="仿宋" w:eastAsia="仿宋"/>
          <w:b/>
          <w:bCs/>
          <w:color w:val="auto"/>
          <w:sz w:val="28"/>
          <w:szCs w:val="28"/>
          <w:highlight w:val="none"/>
        </w:rPr>
        <w:t>具备参加政府采购活动条件承诺函</w:t>
      </w:r>
      <w:bookmarkEnd w:id="499"/>
      <w:bookmarkEnd w:id="500"/>
      <w:bookmarkEnd w:id="501"/>
      <w:bookmarkEnd w:id="507"/>
      <w:bookmarkEnd w:id="508"/>
      <w:bookmarkEnd w:id="509"/>
      <w:bookmarkEnd w:id="510"/>
      <w:bookmarkEnd w:id="511"/>
      <w:bookmarkEnd w:id="512"/>
      <w:bookmarkEnd w:id="513"/>
    </w:p>
    <w:p w14:paraId="46A710F0">
      <w:pPr>
        <w:spacing w:line="360" w:lineRule="auto"/>
        <w:jc w:val="both"/>
        <w:rPr>
          <w:rFonts w:hint="eastAsia" w:ascii="仿宋" w:hAnsi="仿宋" w:eastAsia="仿宋"/>
          <w:b/>
          <w:bCs/>
          <w:color w:val="auto"/>
          <w:sz w:val="28"/>
          <w:szCs w:val="28"/>
          <w:highlight w:val="none"/>
        </w:rPr>
      </w:pPr>
    </w:p>
    <w:p w14:paraId="5199C8C0">
      <w:pPr>
        <w:spacing w:line="360" w:lineRule="auto"/>
        <w:rPr>
          <w:rFonts w:hint="eastAsia" w:ascii="仿宋" w:hAnsi="仿宋" w:eastAsia="仿宋"/>
          <w:bCs/>
          <w:color w:val="auto"/>
          <w:sz w:val="28"/>
          <w:szCs w:val="28"/>
          <w:highlight w:val="none"/>
        </w:rPr>
      </w:pPr>
    </w:p>
    <w:p w14:paraId="56146374">
      <w:pPr>
        <w:spacing w:line="360" w:lineRule="auto"/>
        <w:rPr>
          <w:rFonts w:ascii="仿宋" w:hAnsi="仿宋" w:eastAsia="仿宋"/>
          <w:bCs/>
          <w:color w:val="auto"/>
          <w:sz w:val="24"/>
          <w:szCs w:val="24"/>
          <w:highlight w:val="none"/>
        </w:rPr>
      </w:pPr>
      <w:r>
        <w:rPr>
          <w:rFonts w:hint="eastAsia" w:ascii="仿宋" w:hAnsi="仿宋" w:eastAsia="仿宋"/>
          <w:bCs/>
          <w:color w:val="auto"/>
          <w:sz w:val="24"/>
          <w:szCs w:val="24"/>
          <w:highlight w:val="none"/>
        </w:rPr>
        <w:t>致：</w:t>
      </w:r>
      <w:r>
        <w:rPr>
          <w:rFonts w:hint="eastAsia" w:ascii="仿宋" w:hAnsi="仿宋" w:eastAsia="仿宋"/>
          <w:bCs/>
          <w:color w:val="auto"/>
          <w:sz w:val="24"/>
          <w:szCs w:val="24"/>
          <w:highlight w:val="none"/>
          <w:u w:val="single"/>
        </w:rPr>
        <w:t xml:space="preserve">                        </w:t>
      </w:r>
      <w:r>
        <w:rPr>
          <w:rFonts w:hint="eastAsia" w:ascii="仿宋" w:hAnsi="仿宋" w:eastAsia="仿宋"/>
          <w:bCs/>
          <w:color w:val="auto"/>
          <w:sz w:val="24"/>
          <w:szCs w:val="24"/>
          <w:highlight w:val="none"/>
        </w:rPr>
        <w:t>（采购人）：</w:t>
      </w:r>
    </w:p>
    <w:p w14:paraId="2AD6F8CE">
      <w:pPr>
        <w:bidi w:val="0"/>
      </w:pPr>
    </w:p>
    <w:p w14:paraId="201ECEB7">
      <w:pPr>
        <w:bidi w:val="0"/>
      </w:pPr>
    </w:p>
    <w:p w14:paraId="06C0E9F3">
      <w:pPr>
        <w:spacing w:line="360" w:lineRule="auto"/>
        <w:jc w:val="center"/>
        <w:rPr>
          <w:rFonts w:ascii="仿宋" w:hAnsi="仿宋" w:eastAsia="仿宋"/>
          <w:b/>
          <w:bCs/>
          <w:color w:val="auto"/>
          <w:sz w:val="22"/>
          <w:szCs w:val="22"/>
          <w:highlight w:val="none"/>
        </w:rPr>
      </w:pPr>
      <w:r>
        <w:rPr>
          <w:rFonts w:hint="eastAsia" w:ascii="仿宋" w:hAnsi="仿宋" w:eastAsia="仿宋"/>
          <w:b/>
          <w:bCs/>
          <w:color w:val="auto"/>
          <w:sz w:val="22"/>
          <w:szCs w:val="22"/>
          <w:highlight w:val="none"/>
        </w:rPr>
        <w:t>（投标自行承诺及说明具备《中华人民共和国政府采购法》第二十二条规定的条件，内容自拟）</w:t>
      </w:r>
    </w:p>
    <w:p w14:paraId="3869259C">
      <w:pPr>
        <w:bidi w:val="0"/>
      </w:pPr>
    </w:p>
    <w:p w14:paraId="54B216D2">
      <w:pPr>
        <w:bidi w:val="0"/>
      </w:pPr>
    </w:p>
    <w:p w14:paraId="6F3D7E17">
      <w:pPr>
        <w:bidi w:val="0"/>
      </w:pPr>
    </w:p>
    <w:p w14:paraId="3FB3BCF4">
      <w:pPr>
        <w:adjustRightInd w:val="0"/>
        <w:snapToGrid w:val="0"/>
        <w:spacing w:line="360" w:lineRule="auto"/>
        <w:jc w:val="left"/>
        <w:rPr>
          <w:rFonts w:ascii="仿宋" w:hAnsi="仿宋" w:eastAsia="仿宋"/>
          <w:color w:val="auto"/>
          <w:sz w:val="24"/>
          <w:szCs w:val="20"/>
          <w:highlight w:val="none"/>
          <w:u w:val="single"/>
        </w:rPr>
      </w:pPr>
      <w:r>
        <w:rPr>
          <w:rFonts w:hint="eastAsia" w:ascii="仿宋" w:hAnsi="仿宋" w:eastAsia="仿宋"/>
          <w:color w:val="auto"/>
          <w:sz w:val="24"/>
          <w:szCs w:val="20"/>
          <w:highlight w:val="none"/>
        </w:rPr>
        <w:t>投标人（</w:t>
      </w:r>
      <w:r>
        <w:rPr>
          <w:rFonts w:hint="eastAsia" w:ascii="仿宋" w:hAnsi="仿宋" w:eastAsia="仿宋"/>
          <w:color w:val="auto"/>
          <w:sz w:val="24"/>
          <w:szCs w:val="20"/>
          <w:highlight w:val="none"/>
          <w:lang w:eastAsia="zh-CN"/>
        </w:rPr>
        <w:t>电子签章</w:t>
      </w:r>
      <w:r>
        <w:rPr>
          <w:rFonts w:hint="eastAsia" w:ascii="仿宋" w:hAnsi="仿宋" w:eastAsia="仿宋"/>
          <w:color w:val="auto"/>
          <w:sz w:val="24"/>
          <w:szCs w:val="20"/>
          <w:highlight w:val="none"/>
        </w:rPr>
        <w:t>）：</w:t>
      </w:r>
      <w:r>
        <w:rPr>
          <w:rFonts w:hint="eastAsia" w:ascii="仿宋" w:hAnsi="仿宋" w:eastAsia="仿宋"/>
          <w:color w:val="auto"/>
          <w:sz w:val="24"/>
          <w:szCs w:val="20"/>
          <w:highlight w:val="none"/>
          <w:u w:val="single"/>
        </w:rPr>
        <w:t xml:space="preserve">                                          </w:t>
      </w:r>
    </w:p>
    <w:p w14:paraId="172E6CBC">
      <w:pPr>
        <w:adjustRightInd w:val="0"/>
        <w:snapToGrid w:val="0"/>
        <w:spacing w:line="360" w:lineRule="auto"/>
        <w:jc w:val="left"/>
        <w:rPr>
          <w:rFonts w:ascii="仿宋" w:hAnsi="仿宋" w:eastAsia="仿宋"/>
          <w:color w:val="auto"/>
          <w:sz w:val="24"/>
          <w:szCs w:val="20"/>
          <w:highlight w:val="none"/>
        </w:rPr>
      </w:pPr>
      <w:r>
        <w:rPr>
          <w:rFonts w:hint="eastAsia" w:ascii="仿宋" w:hAnsi="仿宋" w:eastAsia="仿宋"/>
          <w:color w:val="auto"/>
          <w:sz w:val="24"/>
          <w:szCs w:val="24"/>
          <w:highlight w:val="none"/>
        </w:rPr>
        <w:t>法定代表人或委托代理人（</w:t>
      </w:r>
      <w:r>
        <w:rPr>
          <w:rFonts w:hint="eastAsia" w:ascii="仿宋" w:hAnsi="仿宋" w:eastAsia="仿宋" w:cs="仿宋"/>
          <w:color w:val="auto"/>
          <w:sz w:val="24"/>
          <w:szCs w:val="24"/>
          <w:highlight w:val="none"/>
        </w:rPr>
        <w:t>签字或电子签章</w:t>
      </w:r>
      <w:r>
        <w:rPr>
          <w:rFonts w:hint="eastAsia" w:ascii="仿宋" w:hAnsi="仿宋" w:eastAsia="仿宋"/>
          <w:color w:val="auto"/>
          <w:sz w:val="24"/>
          <w:szCs w:val="24"/>
          <w:highlight w:val="none"/>
        </w:rPr>
        <w:t>）：</w:t>
      </w:r>
      <w:r>
        <w:rPr>
          <w:rFonts w:hint="eastAsia" w:ascii="仿宋" w:hAnsi="仿宋" w:eastAsia="仿宋"/>
          <w:color w:val="auto"/>
          <w:sz w:val="24"/>
          <w:szCs w:val="24"/>
          <w:highlight w:val="none"/>
          <w:u w:val="single"/>
        </w:rPr>
        <w:t xml:space="preserve">                          </w:t>
      </w:r>
    </w:p>
    <w:p w14:paraId="6E00B599">
      <w:pPr>
        <w:adjustRightInd w:val="0"/>
        <w:snapToGrid w:val="0"/>
        <w:spacing w:line="360" w:lineRule="auto"/>
        <w:jc w:val="left"/>
        <w:rPr>
          <w:rFonts w:ascii="仿宋" w:hAnsi="仿宋" w:eastAsia="仿宋"/>
          <w:color w:val="auto"/>
          <w:sz w:val="24"/>
          <w:szCs w:val="20"/>
          <w:highlight w:val="none"/>
          <w:u w:val="single"/>
        </w:rPr>
      </w:pPr>
      <w:r>
        <w:rPr>
          <w:rFonts w:hint="eastAsia" w:ascii="仿宋" w:hAnsi="仿宋" w:eastAsia="仿宋"/>
          <w:color w:val="auto"/>
          <w:sz w:val="24"/>
          <w:szCs w:val="20"/>
          <w:highlight w:val="none"/>
        </w:rPr>
        <w:t>日  期：</w:t>
      </w:r>
      <w:r>
        <w:rPr>
          <w:rFonts w:hint="eastAsia" w:ascii="仿宋" w:hAnsi="仿宋" w:eastAsia="仿宋"/>
          <w:color w:val="auto"/>
          <w:sz w:val="24"/>
          <w:szCs w:val="20"/>
          <w:highlight w:val="none"/>
          <w:u w:val="single"/>
        </w:rPr>
        <w:t xml:space="preserve">       </w:t>
      </w:r>
      <w:r>
        <w:rPr>
          <w:rFonts w:hint="eastAsia" w:ascii="仿宋" w:hAnsi="仿宋" w:eastAsia="仿宋"/>
          <w:color w:val="auto"/>
          <w:sz w:val="24"/>
          <w:szCs w:val="20"/>
          <w:highlight w:val="none"/>
        </w:rPr>
        <w:t>年</w:t>
      </w:r>
      <w:r>
        <w:rPr>
          <w:rFonts w:hint="eastAsia" w:ascii="仿宋" w:hAnsi="仿宋" w:eastAsia="仿宋"/>
          <w:color w:val="auto"/>
          <w:sz w:val="24"/>
          <w:szCs w:val="20"/>
          <w:highlight w:val="none"/>
          <w:u w:val="single"/>
        </w:rPr>
        <w:t xml:space="preserve">    </w:t>
      </w:r>
      <w:r>
        <w:rPr>
          <w:rFonts w:hint="eastAsia" w:ascii="仿宋" w:hAnsi="仿宋" w:eastAsia="仿宋"/>
          <w:color w:val="auto"/>
          <w:sz w:val="24"/>
          <w:szCs w:val="20"/>
          <w:highlight w:val="none"/>
        </w:rPr>
        <w:t>月</w:t>
      </w:r>
      <w:r>
        <w:rPr>
          <w:rFonts w:hint="eastAsia" w:ascii="仿宋" w:hAnsi="仿宋" w:eastAsia="仿宋"/>
          <w:color w:val="auto"/>
          <w:sz w:val="24"/>
          <w:szCs w:val="20"/>
          <w:highlight w:val="none"/>
          <w:u w:val="single"/>
        </w:rPr>
        <w:t xml:space="preserve">    </w:t>
      </w:r>
      <w:r>
        <w:rPr>
          <w:rFonts w:hint="eastAsia" w:ascii="仿宋" w:hAnsi="仿宋" w:eastAsia="仿宋"/>
          <w:color w:val="auto"/>
          <w:sz w:val="24"/>
          <w:szCs w:val="20"/>
          <w:highlight w:val="none"/>
        </w:rPr>
        <w:t>日</w:t>
      </w:r>
    </w:p>
    <w:p w14:paraId="3BD2026A">
      <w:pPr>
        <w:pStyle w:val="18"/>
        <w:rPr>
          <w:color w:val="auto"/>
          <w:highlight w:val="none"/>
        </w:rPr>
      </w:pPr>
    </w:p>
    <w:p w14:paraId="684727B3">
      <w:pPr>
        <w:bidi w:val="0"/>
      </w:pPr>
    </w:p>
    <w:p w14:paraId="08A78C5B">
      <w:pPr>
        <w:bidi w:val="0"/>
      </w:pPr>
    </w:p>
    <w:p w14:paraId="6AC92E4E">
      <w:pPr>
        <w:bidi w:val="0"/>
      </w:pPr>
    </w:p>
    <w:p w14:paraId="7F8A601F">
      <w:pPr>
        <w:bidi w:val="0"/>
      </w:pPr>
    </w:p>
    <w:p w14:paraId="00B8ADC0">
      <w:pPr>
        <w:bidi w:val="0"/>
      </w:pPr>
    </w:p>
    <w:p w14:paraId="78A0DA54">
      <w:pPr>
        <w:bidi w:val="0"/>
      </w:pPr>
    </w:p>
    <w:p w14:paraId="3469AEDD">
      <w:pPr>
        <w:bidi w:val="0"/>
      </w:pPr>
    </w:p>
    <w:p w14:paraId="29965489">
      <w:pPr>
        <w:bidi w:val="0"/>
      </w:pPr>
    </w:p>
    <w:p w14:paraId="45A0E3A2">
      <w:pPr>
        <w:bidi w:val="0"/>
      </w:pPr>
    </w:p>
    <w:p w14:paraId="165F05FA">
      <w:pPr>
        <w:bidi w:val="0"/>
      </w:pPr>
    </w:p>
    <w:p w14:paraId="36CBE5A0">
      <w:pPr>
        <w:bidi w:val="0"/>
      </w:pPr>
    </w:p>
    <w:p w14:paraId="1BD1EEBF">
      <w:pPr>
        <w:bidi w:val="0"/>
      </w:pPr>
    </w:p>
    <w:p w14:paraId="0E99AF9A">
      <w:pPr>
        <w:bidi w:val="0"/>
      </w:pPr>
    </w:p>
    <w:p w14:paraId="404012AD">
      <w:pPr>
        <w:bidi w:val="0"/>
      </w:pPr>
    </w:p>
    <w:p w14:paraId="3CDE2212">
      <w:pPr>
        <w:bidi w:val="0"/>
      </w:pPr>
    </w:p>
    <w:p w14:paraId="58568A19">
      <w:pPr>
        <w:bidi w:val="0"/>
      </w:pPr>
    </w:p>
    <w:p w14:paraId="6106FC5F">
      <w:pPr>
        <w:bidi w:val="0"/>
      </w:pPr>
    </w:p>
    <w:p w14:paraId="34D4F305">
      <w:pPr>
        <w:bidi w:val="0"/>
      </w:pPr>
    </w:p>
    <w:p w14:paraId="6A8CF53A">
      <w:pPr>
        <w:bidi w:val="0"/>
      </w:pPr>
    </w:p>
    <w:p w14:paraId="7E4476CA">
      <w:pPr>
        <w:bidi w:val="0"/>
      </w:pPr>
    </w:p>
    <w:p w14:paraId="446EF93F">
      <w:pPr>
        <w:bidi w:val="0"/>
      </w:pPr>
    </w:p>
    <w:p w14:paraId="4EC045D3">
      <w:pPr>
        <w:bidi w:val="0"/>
      </w:pPr>
    </w:p>
    <w:p w14:paraId="1474C8F3">
      <w:pPr>
        <w:bidi w:val="0"/>
      </w:pPr>
    </w:p>
    <w:p w14:paraId="48C5CC84">
      <w:pPr>
        <w:bidi w:val="0"/>
      </w:pPr>
    </w:p>
    <w:p w14:paraId="6484F765">
      <w:pPr>
        <w:bidi w:val="0"/>
      </w:pPr>
    </w:p>
    <w:p w14:paraId="790557B8">
      <w:pPr>
        <w:pStyle w:val="2"/>
      </w:pPr>
    </w:p>
    <w:p w14:paraId="7013E31D">
      <w:pPr>
        <w:pStyle w:val="2"/>
      </w:pPr>
    </w:p>
    <w:p w14:paraId="7D0FEC03">
      <w:pPr>
        <w:pStyle w:val="2"/>
      </w:pPr>
    </w:p>
    <w:p w14:paraId="736A18DD">
      <w:pPr>
        <w:pStyle w:val="2"/>
      </w:pPr>
    </w:p>
    <w:p w14:paraId="7ED85974">
      <w:pPr>
        <w:bidi w:val="0"/>
      </w:pPr>
    </w:p>
    <w:p w14:paraId="29ECF7CE">
      <w:pPr>
        <w:bidi w:val="0"/>
      </w:pPr>
    </w:p>
    <w:p w14:paraId="53FE91F0">
      <w:pPr>
        <w:bidi w:val="0"/>
      </w:pPr>
    </w:p>
    <w:p w14:paraId="02F6128E">
      <w:pPr>
        <w:pStyle w:val="6"/>
        <w:spacing w:line="360" w:lineRule="auto"/>
        <w:ind w:left="0" w:leftChars="0" w:firstLine="0" w:firstLineChars="0"/>
        <w:jc w:val="center"/>
        <w:rPr>
          <w:rFonts w:ascii="仿宋" w:hAnsi="仿宋" w:eastAsia="仿宋"/>
          <w:color w:val="auto"/>
          <w:sz w:val="24"/>
          <w:szCs w:val="24"/>
          <w:highlight w:val="none"/>
        </w:rPr>
      </w:pPr>
      <w:bookmarkStart w:id="514" w:name="_Toc2508"/>
      <w:bookmarkStart w:id="515" w:name="_Toc391301879"/>
      <w:bookmarkStart w:id="516" w:name="_Toc6585"/>
      <w:bookmarkStart w:id="517" w:name="_Toc383636420"/>
      <w:bookmarkStart w:id="518" w:name="_Toc8520"/>
      <w:bookmarkStart w:id="519" w:name="_Toc28164"/>
      <w:bookmarkStart w:id="520" w:name="_Toc406162625"/>
      <w:bookmarkStart w:id="521" w:name="_Toc25196"/>
      <w:bookmarkStart w:id="522" w:name="_Toc8831"/>
      <w:bookmarkStart w:id="523" w:name="_Toc4250"/>
      <w:r>
        <w:rPr>
          <w:rFonts w:hint="eastAsia" w:ascii="仿宋" w:hAnsi="仿宋" w:eastAsia="仿宋"/>
          <w:b/>
          <w:bCs/>
          <w:color w:val="auto"/>
          <w:sz w:val="28"/>
          <w:szCs w:val="28"/>
          <w:highlight w:val="none"/>
        </w:rPr>
        <w:t>格式6</w:t>
      </w:r>
      <w:bookmarkEnd w:id="514"/>
      <w:bookmarkEnd w:id="515"/>
      <w:bookmarkEnd w:id="516"/>
      <w:bookmarkEnd w:id="517"/>
      <w:bookmarkEnd w:id="518"/>
      <w:bookmarkEnd w:id="519"/>
      <w:bookmarkEnd w:id="520"/>
      <w:bookmarkEnd w:id="521"/>
      <w:bookmarkStart w:id="524" w:name="_Toc29028"/>
      <w:bookmarkStart w:id="525" w:name="_Toc28238"/>
      <w:bookmarkStart w:id="526" w:name="_Toc3120"/>
      <w:bookmarkStart w:id="527" w:name="_Toc26110"/>
      <w:bookmarkStart w:id="528" w:name="_Toc31233"/>
      <w:r>
        <w:rPr>
          <w:rFonts w:hint="eastAsia" w:ascii="仿宋" w:hAnsi="仿宋" w:eastAsia="仿宋"/>
          <w:b/>
          <w:bCs/>
          <w:color w:val="auto"/>
          <w:sz w:val="28"/>
          <w:szCs w:val="28"/>
          <w:highlight w:val="none"/>
        </w:rPr>
        <w:t>、投标人认为如果满足招标文件要求还需要提供的资格证明文件</w:t>
      </w:r>
      <w:bookmarkEnd w:id="522"/>
      <w:bookmarkEnd w:id="523"/>
      <w:bookmarkEnd w:id="524"/>
      <w:bookmarkEnd w:id="525"/>
      <w:bookmarkEnd w:id="526"/>
      <w:bookmarkEnd w:id="527"/>
      <w:bookmarkEnd w:id="528"/>
    </w:p>
    <w:p w14:paraId="7ADB5B23">
      <w:pPr>
        <w:rPr>
          <w:color w:val="auto"/>
          <w:highlight w:val="none"/>
        </w:rPr>
      </w:pPr>
    </w:p>
    <w:p w14:paraId="293287E6">
      <w:pPr>
        <w:bidi w:val="0"/>
        <w:rPr>
          <w:rFonts w:hint="eastAsia"/>
          <w:color w:val="auto"/>
          <w:highlight w:val="none"/>
          <w:lang w:eastAsia="zh-CN"/>
        </w:rPr>
      </w:pPr>
      <w:bookmarkStart w:id="529" w:name="_Toc6606"/>
      <w:bookmarkStart w:id="530" w:name="_Toc22736"/>
    </w:p>
    <w:p w14:paraId="02F78C1F">
      <w:pPr>
        <w:rPr>
          <w:rFonts w:hint="eastAsia" w:ascii="楷体" w:hAnsi="楷体" w:eastAsia="楷体" w:cs="楷体"/>
          <w:color w:val="auto"/>
          <w:highlight w:val="none"/>
          <w:lang w:eastAsia="zh-CN"/>
        </w:rPr>
      </w:pPr>
    </w:p>
    <w:p w14:paraId="2611AA81">
      <w:pPr>
        <w:rPr>
          <w:rFonts w:hint="eastAsia"/>
          <w:color w:val="auto"/>
          <w:highlight w:val="none"/>
          <w:lang w:eastAsia="zh-CN"/>
        </w:rPr>
      </w:pPr>
      <w:r>
        <w:rPr>
          <w:rFonts w:hint="eastAsia"/>
          <w:color w:val="auto"/>
          <w:highlight w:val="none"/>
          <w:lang w:eastAsia="zh-CN"/>
        </w:rPr>
        <w:br w:type="page"/>
      </w:r>
    </w:p>
    <w:p w14:paraId="557CFAA1">
      <w:pPr>
        <w:pStyle w:val="5"/>
        <w:bidi w:val="0"/>
        <w:jc w:val="center"/>
        <w:rPr>
          <w:rFonts w:hint="eastAsia" w:ascii="仿宋" w:hAnsi="仿宋" w:eastAsia="仿宋" w:cs="Times New Roman"/>
          <w:b/>
          <w:bCs/>
          <w:color w:val="auto"/>
          <w:sz w:val="36"/>
          <w:szCs w:val="36"/>
          <w:highlight w:val="none"/>
          <w:lang w:eastAsia="zh-CN"/>
        </w:rPr>
      </w:pPr>
      <w:bookmarkStart w:id="531" w:name="_Toc15790"/>
      <w:bookmarkStart w:id="532" w:name="_Toc24986"/>
      <w:bookmarkStart w:id="533" w:name="_Toc30969"/>
      <w:bookmarkStart w:id="534" w:name="_Toc9432"/>
      <w:bookmarkStart w:id="535" w:name="_Toc9826"/>
      <w:r>
        <w:rPr>
          <w:rFonts w:hint="eastAsia" w:ascii="仿宋" w:hAnsi="仿宋" w:eastAsia="仿宋" w:cs="仿宋"/>
          <w:color w:val="auto"/>
          <w:sz w:val="36"/>
          <w:szCs w:val="36"/>
          <w:highlight w:val="none"/>
          <w:lang w:val="en-US" w:eastAsia="zh-CN"/>
        </w:rPr>
        <w:t>四、商务标部分</w:t>
      </w:r>
      <w:bookmarkEnd w:id="529"/>
      <w:bookmarkEnd w:id="530"/>
      <w:bookmarkEnd w:id="531"/>
      <w:bookmarkEnd w:id="532"/>
      <w:bookmarkEnd w:id="533"/>
      <w:bookmarkEnd w:id="534"/>
      <w:bookmarkEnd w:id="535"/>
    </w:p>
    <w:p w14:paraId="04C455A1">
      <w:pPr>
        <w:pStyle w:val="6"/>
        <w:ind w:left="0" w:leftChars="0" w:firstLine="0" w:firstLineChars="0"/>
        <w:jc w:val="center"/>
        <w:rPr>
          <w:rFonts w:hint="eastAsia" w:ascii="仿宋" w:hAnsi="仿宋" w:eastAsia="仿宋" w:cs="宋体"/>
          <w:b/>
          <w:bCs/>
          <w:color w:val="auto"/>
          <w:sz w:val="28"/>
          <w:szCs w:val="28"/>
          <w:highlight w:val="none"/>
          <w:lang w:val="en-US" w:eastAsia="zh-CN"/>
        </w:rPr>
      </w:pPr>
      <w:bookmarkStart w:id="536" w:name="_Toc383636422"/>
      <w:bookmarkStart w:id="537" w:name="_Toc8506"/>
      <w:bookmarkStart w:id="538" w:name="_Toc1873"/>
      <w:bookmarkStart w:id="539" w:name="_Toc391301881"/>
      <w:bookmarkStart w:id="540" w:name="_Toc22854"/>
      <w:bookmarkStart w:id="541" w:name="_Toc10417"/>
      <w:bookmarkStart w:id="542" w:name="_Toc406162627"/>
      <w:bookmarkStart w:id="543" w:name="_Toc16676"/>
      <w:bookmarkStart w:id="544" w:name="_Toc108"/>
      <w:bookmarkStart w:id="545" w:name="_Toc15942"/>
      <w:r>
        <w:rPr>
          <w:rFonts w:hint="eastAsia" w:ascii="仿宋" w:hAnsi="仿宋" w:eastAsia="仿宋" w:cs="宋体"/>
          <w:b/>
          <w:bCs/>
          <w:color w:val="auto"/>
          <w:sz w:val="28"/>
          <w:szCs w:val="28"/>
          <w:highlight w:val="none"/>
        </w:rPr>
        <w:t>格式1、投标书</w:t>
      </w:r>
      <w:bookmarkEnd w:id="536"/>
      <w:bookmarkEnd w:id="537"/>
      <w:bookmarkEnd w:id="538"/>
      <w:bookmarkEnd w:id="539"/>
      <w:bookmarkEnd w:id="540"/>
      <w:bookmarkEnd w:id="541"/>
      <w:bookmarkEnd w:id="542"/>
      <w:bookmarkEnd w:id="543"/>
      <w:bookmarkEnd w:id="544"/>
      <w:bookmarkEnd w:id="545"/>
    </w:p>
    <w:p w14:paraId="36270E3E">
      <w:pPr>
        <w:spacing w:line="360" w:lineRule="auto"/>
        <w:jc w:val="both"/>
        <w:rPr>
          <w:rFonts w:hint="eastAsia" w:ascii="仿宋" w:hAnsi="仿宋" w:eastAsia="仿宋" w:cs="仿宋"/>
          <w:b/>
          <w:bCs/>
          <w:color w:val="auto"/>
          <w:kern w:val="0"/>
          <w:sz w:val="28"/>
          <w:szCs w:val="28"/>
          <w:highlight w:val="none"/>
          <w:u w:val="single"/>
          <w:lang w:val="en-US" w:eastAsia="zh-CN" w:bidi="ar-SA"/>
        </w:rPr>
      </w:pPr>
      <w:r>
        <w:rPr>
          <w:rFonts w:hint="eastAsia" w:ascii="仿宋" w:hAnsi="仿宋" w:eastAsia="仿宋" w:cs="仿宋"/>
          <w:b/>
          <w:bCs/>
          <w:color w:val="auto"/>
          <w:kern w:val="0"/>
          <w:sz w:val="28"/>
          <w:szCs w:val="28"/>
          <w:highlight w:val="none"/>
          <w:lang w:val="en-US" w:eastAsia="zh-CN" w:bidi="ar-SA"/>
        </w:rPr>
        <w:t>致：</w:t>
      </w:r>
      <w:r>
        <w:rPr>
          <w:rFonts w:hint="eastAsia" w:ascii="仿宋" w:hAnsi="仿宋" w:eastAsia="仿宋" w:cs="仿宋"/>
          <w:b/>
          <w:bCs/>
          <w:color w:val="auto"/>
          <w:kern w:val="0"/>
          <w:sz w:val="28"/>
          <w:szCs w:val="28"/>
          <w:highlight w:val="none"/>
          <w:u w:val="single"/>
          <w:lang w:val="en-US" w:eastAsia="zh-CN" w:bidi="ar-SA"/>
        </w:rPr>
        <w:t xml:space="preserve">              </w:t>
      </w:r>
      <w:r>
        <w:rPr>
          <w:rFonts w:hint="eastAsia" w:ascii="仿宋" w:hAnsi="仿宋" w:eastAsia="仿宋"/>
          <w:b/>
          <w:bCs/>
          <w:color w:val="auto"/>
          <w:sz w:val="24"/>
          <w:szCs w:val="24"/>
          <w:highlight w:val="none"/>
        </w:rPr>
        <w:t>（采购人）</w:t>
      </w:r>
    </w:p>
    <w:p w14:paraId="0E439D62">
      <w:pPr>
        <w:spacing w:line="360" w:lineRule="auto"/>
        <w:jc w:val="both"/>
        <w:rPr>
          <w:rFonts w:ascii="仿宋" w:hAnsi="仿宋" w:eastAsia="仿宋"/>
          <w:color w:val="auto"/>
          <w:sz w:val="24"/>
          <w:szCs w:val="20"/>
          <w:highlight w:val="none"/>
        </w:rPr>
      </w:pPr>
      <w:r>
        <w:rPr>
          <w:rFonts w:hint="eastAsia" w:ascii="仿宋" w:hAnsi="仿宋" w:eastAsia="仿宋"/>
          <w:b/>
          <w:color w:val="auto"/>
          <w:sz w:val="24"/>
          <w:szCs w:val="20"/>
          <w:highlight w:val="none"/>
        </w:rPr>
        <w:t xml:space="preserve">    </w:t>
      </w:r>
      <w:r>
        <w:rPr>
          <w:rFonts w:hint="eastAsia" w:ascii="仿宋" w:hAnsi="仿宋" w:eastAsia="仿宋"/>
          <w:color w:val="auto"/>
          <w:sz w:val="24"/>
          <w:szCs w:val="20"/>
          <w:highlight w:val="none"/>
        </w:rPr>
        <w:t>根据贵方的</w:t>
      </w:r>
      <w:r>
        <w:rPr>
          <w:rFonts w:hint="eastAsia" w:ascii="仿宋" w:hAnsi="仿宋" w:eastAsia="仿宋"/>
          <w:b w:val="0"/>
          <w:bCs/>
          <w:color w:val="auto"/>
          <w:sz w:val="24"/>
          <w:szCs w:val="20"/>
          <w:highlight w:val="none"/>
          <w:u w:val="single"/>
          <w:lang w:val="en-US" w:eastAsia="zh-CN"/>
        </w:rPr>
        <w:t xml:space="preserve">                           </w:t>
      </w:r>
      <w:r>
        <w:rPr>
          <w:rFonts w:hint="eastAsia" w:ascii="仿宋" w:hAnsi="仿宋" w:eastAsia="仿宋"/>
          <w:color w:val="auto"/>
          <w:sz w:val="24"/>
          <w:szCs w:val="20"/>
          <w:highlight w:val="none"/>
        </w:rPr>
        <w:t>的招标文件。我单位（公司）决定参加投标，由</w:t>
      </w:r>
      <w:r>
        <w:rPr>
          <w:rFonts w:hint="eastAsia" w:ascii="仿宋" w:hAnsi="仿宋" w:eastAsia="仿宋"/>
          <w:color w:val="auto"/>
          <w:sz w:val="24"/>
          <w:szCs w:val="20"/>
          <w:highlight w:val="none"/>
          <w:u w:val="single"/>
        </w:rPr>
        <w:t xml:space="preserve">          </w:t>
      </w:r>
      <w:r>
        <w:rPr>
          <w:rFonts w:hint="eastAsia" w:ascii="仿宋" w:hAnsi="仿宋" w:eastAsia="仿宋"/>
          <w:color w:val="auto"/>
          <w:sz w:val="24"/>
          <w:szCs w:val="20"/>
          <w:highlight w:val="none"/>
        </w:rPr>
        <w:t>（法定代表人或委托代理人）代表我单位办理投标相关事宜。为此，我单位（公司）谨郑重声明以下诸点，并对之负法律责任。</w:t>
      </w:r>
    </w:p>
    <w:p w14:paraId="0C07FCDB">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rPr>
          <w:rFonts w:ascii="仿宋" w:hAnsi="仿宋" w:eastAsia="仿宋"/>
          <w:color w:val="auto"/>
          <w:sz w:val="24"/>
          <w:szCs w:val="20"/>
          <w:highlight w:val="none"/>
        </w:rPr>
      </w:pPr>
      <w:r>
        <w:rPr>
          <w:rFonts w:hint="eastAsia" w:ascii="仿宋" w:hAnsi="仿宋" w:eastAsia="仿宋"/>
          <w:color w:val="auto"/>
          <w:sz w:val="24"/>
          <w:szCs w:val="20"/>
          <w:highlight w:val="none"/>
          <w:lang w:eastAsia="zh-CN"/>
        </w:rPr>
        <w:t>1.</w:t>
      </w:r>
      <w:r>
        <w:rPr>
          <w:rFonts w:hint="eastAsia" w:ascii="仿宋" w:hAnsi="仿宋" w:eastAsia="仿宋"/>
          <w:color w:val="auto"/>
          <w:sz w:val="24"/>
          <w:szCs w:val="20"/>
          <w:highlight w:val="none"/>
        </w:rPr>
        <w:t>本次投标</w:t>
      </w:r>
      <w:r>
        <w:rPr>
          <w:rFonts w:hint="eastAsia" w:ascii="仿宋" w:hAnsi="仿宋" w:eastAsia="仿宋"/>
          <w:color w:val="auto"/>
          <w:sz w:val="24"/>
          <w:szCs w:val="20"/>
          <w:highlight w:val="none"/>
          <w:lang w:val="en-US" w:eastAsia="zh-CN"/>
        </w:rPr>
        <w:t>报价</w:t>
      </w:r>
      <w:r>
        <w:rPr>
          <w:rFonts w:hint="eastAsia" w:ascii="仿宋" w:hAnsi="仿宋" w:eastAsia="仿宋"/>
          <w:color w:val="auto"/>
          <w:sz w:val="24"/>
          <w:szCs w:val="20"/>
          <w:highlight w:val="none"/>
        </w:rPr>
        <w:t>为</w:t>
      </w:r>
      <w:r>
        <w:rPr>
          <w:rFonts w:hint="eastAsia" w:ascii="仿宋" w:hAnsi="仿宋" w:eastAsia="仿宋"/>
          <w:color w:val="auto"/>
          <w:sz w:val="24"/>
          <w:szCs w:val="20"/>
          <w:highlight w:val="none"/>
          <w:lang w:eastAsia="zh-CN"/>
        </w:rPr>
        <w:t>：</w:t>
      </w:r>
      <w:r>
        <w:rPr>
          <w:rFonts w:hint="eastAsia" w:ascii="仿宋" w:hAnsi="仿宋" w:eastAsia="仿宋"/>
          <w:color w:val="auto"/>
          <w:sz w:val="24"/>
          <w:szCs w:val="20"/>
          <w:highlight w:val="none"/>
          <w:u w:val="single"/>
        </w:rPr>
        <w:t xml:space="preserve">  </w:t>
      </w:r>
      <w:r>
        <w:rPr>
          <w:rFonts w:hint="eastAsia" w:ascii="仿宋" w:hAnsi="仿宋" w:eastAsia="仿宋"/>
          <w:color w:val="auto"/>
          <w:sz w:val="24"/>
          <w:szCs w:val="20"/>
          <w:highlight w:val="none"/>
          <w:u w:val="single"/>
          <w:lang w:val="en-US" w:eastAsia="zh-CN"/>
        </w:rPr>
        <w:t xml:space="preserve">     </w:t>
      </w:r>
      <w:r>
        <w:rPr>
          <w:rFonts w:hint="eastAsia" w:ascii="仿宋" w:hAnsi="仿宋" w:eastAsia="仿宋"/>
          <w:color w:val="auto"/>
          <w:sz w:val="24"/>
          <w:szCs w:val="20"/>
          <w:highlight w:val="none"/>
          <w:u w:val="single"/>
        </w:rPr>
        <w:t xml:space="preserve">     </w:t>
      </w:r>
      <w:r>
        <w:rPr>
          <w:rFonts w:hint="eastAsia" w:ascii="仿宋" w:hAnsi="仿宋" w:eastAsia="仿宋"/>
          <w:color w:val="auto"/>
          <w:sz w:val="24"/>
          <w:szCs w:val="20"/>
          <w:highlight w:val="none"/>
          <w:u w:val="single"/>
          <w:lang w:val="en-US" w:eastAsia="zh-CN"/>
        </w:rPr>
        <w:t xml:space="preserve">     </w:t>
      </w:r>
      <w:r>
        <w:rPr>
          <w:rFonts w:hint="eastAsia" w:ascii="仿宋" w:hAnsi="仿宋" w:eastAsia="仿宋"/>
          <w:color w:val="auto"/>
          <w:sz w:val="24"/>
          <w:szCs w:val="20"/>
          <w:highlight w:val="none"/>
        </w:rPr>
        <w:t>；</w:t>
      </w:r>
    </w:p>
    <w:p w14:paraId="491F83E5">
      <w:pPr>
        <w:spacing w:line="360" w:lineRule="auto"/>
        <w:ind w:firstLine="480" w:firstLineChars="200"/>
        <w:jc w:val="both"/>
        <w:rPr>
          <w:rFonts w:ascii="仿宋" w:hAnsi="仿宋" w:eastAsia="仿宋"/>
          <w:color w:val="auto"/>
          <w:sz w:val="24"/>
          <w:szCs w:val="20"/>
          <w:highlight w:val="none"/>
        </w:rPr>
      </w:pPr>
      <w:r>
        <w:rPr>
          <w:rFonts w:hint="eastAsia" w:ascii="仿宋" w:hAnsi="仿宋" w:eastAsia="仿宋"/>
          <w:color w:val="auto"/>
          <w:sz w:val="24"/>
          <w:szCs w:val="20"/>
          <w:highlight w:val="none"/>
          <w:lang w:eastAsia="zh-CN"/>
        </w:rPr>
        <w:t>2.</w:t>
      </w:r>
      <w:r>
        <w:rPr>
          <w:rFonts w:hint="eastAsia" w:ascii="仿宋" w:hAnsi="仿宋" w:eastAsia="仿宋"/>
          <w:color w:val="auto"/>
          <w:sz w:val="24"/>
          <w:szCs w:val="20"/>
          <w:highlight w:val="none"/>
        </w:rPr>
        <w:t>遵守招标文件的各项条款及一切有关规定；</w:t>
      </w:r>
    </w:p>
    <w:p w14:paraId="3FE71F02">
      <w:pPr>
        <w:spacing w:line="360" w:lineRule="auto"/>
        <w:ind w:firstLine="480" w:firstLineChars="200"/>
        <w:jc w:val="both"/>
        <w:rPr>
          <w:rFonts w:ascii="仿宋" w:hAnsi="仿宋" w:eastAsia="仿宋"/>
          <w:color w:val="auto"/>
          <w:sz w:val="24"/>
          <w:szCs w:val="20"/>
          <w:highlight w:val="none"/>
        </w:rPr>
      </w:pPr>
      <w:r>
        <w:rPr>
          <w:rFonts w:hint="eastAsia" w:ascii="仿宋" w:hAnsi="仿宋" w:eastAsia="仿宋"/>
          <w:color w:val="auto"/>
          <w:sz w:val="24"/>
          <w:szCs w:val="20"/>
          <w:highlight w:val="none"/>
          <w:lang w:eastAsia="zh-CN"/>
        </w:rPr>
        <w:t>3.</w:t>
      </w:r>
      <w:r>
        <w:rPr>
          <w:rFonts w:hint="eastAsia" w:ascii="仿宋" w:hAnsi="仿宋" w:eastAsia="仿宋"/>
          <w:color w:val="auto"/>
          <w:sz w:val="24"/>
          <w:szCs w:val="20"/>
          <w:highlight w:val="none"/>
        </w:rPr>
        <w:t>向贵方提供所有与投标项有关的真实有效的数据、情况和技术资料；</w:t>
      </w:r>
    </w:p>
    <w:p w14:paraId="09586BD1">
      <w:pPr>
        <w:spacing w:line="360" w:lineRule="auto"/>
        <w:ind w:firstLine="480" w:firstLineChars="200"/>
        <w:jc w:val="both"/>
        <w:rPr>
          <w:rFonts w:ascii="仿宋" w:hAnsi="仿宋" w:eastAsia="仿宋"/>
          <w:color w:val="auto"/>
          <w:sz w:val="24"/>
          <w:szCs w:val="20"/>
          <w:highlight w:val="none"/>
        </w:rPr>
      </w:pPr>
      <w:r>
        <w:rPr>
          <w:rFonts w:hint="eastAsia" w:ascii="仿宋" w:hAnsi="仿宋" w:eastAsia="仿宋"/>
          <w:color w:val="auto"/>
          <w:sz w:val="24"/>
          <w:szCs w:val="20"/>
          <w:highlight w:val="none"/>
          <w:lang w:eastAsia="zh-CN"/>
        </w:rPr>
        <w:t>4.</w:t>
      </w:r>
      <w:r>
        <w:rPr>
          <w:rFonts w:hint="eastAsia" w:ascii="仿宋" w:hAnsi="仿宋" w:eastAsia="仿宋"/>
          <w:color w:val="auto"/>
          <w:sz w:val="24"/>
          <w:szCs w:val="20"/>
          <w:highlight w:val="none"/>
        </w:rPr>
        <w:t>如我方投标被接受，我方将按招标文件的规定履行合同责任和义务。</w:t>
      </w:r>
    </w:p>
    <w:p w14:paraId="5EBEE222">
      <w:pPr>
        <w:spacing w:line="360" w:lineRule="auto"/>
        <w:ind w:firstLine="480" w:firstLineChars="200"/>
        <w:jc w:val="both"/>
        <w:rPr>
          <w:rFonts w:ascii="仿宋" w:hAnsi="仿宋" w:eastAsia="仿宋"/>
          <w:color w:val="auto"/>
          <w:sz w:val="24"/>
          <w:szCs w:val="20"/>
          <w:highlight w:val="none"/>
        </w:rPr>
      </w:pPr>
      <w:r>
        <w:rPr>
          <w:rFonts w:hint="eastAsia" w:ascii="仿宋" w:hAnsi="仿宋" w:eastAsia="仿宋"/>
          <w:color w:val="auto"/>
          <w:sz w:val="24"/>
          <w:szCs w:val="20"/>
          <w:highlight w:val="none"/>
          <w:lang w:eastAsia="zh-CN"/>
        </w:rPr>
        <w:t>5.</w:t>
      </w:r>
      <w:r>
        <w:rPr>
          <w:rFonts w:hint="eastAsia" w:ascii="仿宋" w:hAnsi="仿宋" w:eastAsia="仿宋"/>
          <w:color w:val="auto"/>
          <w:sz w:val="24"/>
          <w:szCs w:val="20"/>
          <w:highlight w:val="none"/>
        </w:rPr>
        <w:t>本投标书自贵方收到之</w:t>
      </w:r>
      <w:r>
        <w:rPr>
          <w:rFonts w:hint="eastAsia" w:ascii="仿宋" w:hAnsi="仿宋" w:eastAsia="仿宋"/>
          <w:color w:val="auto"/>
          <w:sz w:val="24"/>
          <w:szCs w:val="20"/>
          <w:highlight w:val="none"/>
          <w:lang w:eastAsia="zh-CN"/>
        </w:rPr>
        <w:t>日起</w:t>
      </w:r>
      <w:r>
        <w:rPr>
          <w:rFonts w:hint="eastAsia" w:ascii="仿宋" w:hAnsi="仿宋" w:eastAsia="仿宋"/>
          <w:color w:val="auto"/>
          <w:sz w:val="24"/>
          <w:szCs w:val="20"/>
          <w:highlight w:val="none"/>
        </w:rPr>
        <w:t>生效，有效期至开标后90日，在此期间本投标书之规定对我方具有约束力；</w:t>
      </w:r>
    </w:p>
    <w:p w14:paraId="1BBAF1E9">
      <w:pPr>
        <w:spacing w:line="360" w:lineRule="auto"/>
        <w:ind w:firstLine="480" w:firstLineChars="200"/>
        <w:jc w:val="both"/>
        <w:rPr>
          <w:rFonts w:ascii="仿宋" w:hAnsi="仿宋" w:eastAsia="仿宋"/>
          <w:color w:val="auto"/>
          <w:sz w:val="24"/>
          <w:szCs w:val="20"/>
          <w:highlight w:val="none"/>
        </w:rPr>
      </w:pPr>
      <w:r>
        <w:rPr>
          <w:rFonts w:hint="eastAsia" w:ascii="仿宋" w:hAnsi="仿宋" w:eastAsia="仿宋"/>
          <w:color w:val="auto"/>
          <w:sz w:val="24"/>
          <w:szCs w:val="20"/>
          <w:highlight w:val="none"/>
          <w:lang w:eastAsia="zh-CN"/>
        </w:rPr>
        <w:t>6.</w:t>
      </w:r>
      <w:r>
        <w:rPr>
          <w:rFonts w:hint="eastAsia" w:ascii="仿宋" w:hAnsi="仿宋" w:eastAsia="仿宋"/>
          <w:color w:val="auto"/>
          <w:sz w:val="24"/>
          <w:szCs w:val="20"/>
          <w:highlight w:val="none"/>
        </w:rPr>
        <w:t>如果我方投标被接受，则至合同履行完成和质量保证期满为止，本投标书保持有效。</w:t>
      </w:r>
    </w:p>
    <w:p w14:paraId="2E40E35F">
      <w:pPr>
        <w:spacing w:line="360" w:lineRule="auto"/>
        <w:ind w:firstLine="480" w:firstLineChars="200"/>
        <w:rPr>
          <w:rFonts w:ascii="仿宋" w:hAnsi="仿宋" w:eastAsia="仿宋"/>
          <w:color w:val="auto"/>
          <w:sz w:val="24"/>
          <w:szCs w:val="20"/>
          <w:highlight w:val="none"/>
        </w:rPr>
      </w:pPr>
    </w:p>
    <w:p w14:paraId="168FE1DF">
      <w:pPr>
        <w:spacing w:line="360" w:lineRule="auto"/>
        <w:ind w:firstLine="480" w:firstLineChars="200"/>
        <w:rPr>
          <w:rFonts w:ascii="仿宋" w:hAnsi="仿宋" w:eastAsia="仿宋"/>
          <w:color w:val="auto"/>
          <w:sz w:val="24"/>
          <w:szCs w:val="20"/>
          <w:highlight w:val="none"/>
        </w:rPr>
      </w:pPr>
    </w:p>
    <w:p w14:paraId="4C2C33D1">
      <w:pPr>
        <w:spacing w:line="360" w:lineRule="auto"/>
        <w:ind w:firstLine="480" w:firstLineChars="200"/>
        <w:rPr>
          <w:rFonts w:ascii="仿宋" w:hAnsi="仿宋" w:eastAsia="仿宋"/>
          <w:color w:val="auto"/>
          <w:sz w:val="24"/>
          <w:szCs w:val="20"/>
          <w:highlight w:val="none"/>
          <w:u w:val="single"/>
        </w:rPr>
      </w:pPr>
      <w:r>
        <w:rPr>
          <w:rFonts w:hint="eastAsia" w:ascii="仿宋" w:hAnsi="仿宋" w:eastAsia="仿宋"/>
          <w:color w:val="auto"/>
          <w:sz w:val="24"/>
          <w:szCs w:val="20"/>
          <w:highlight w:val="none"/>
        </w:rPr>
        <w:t>投标人（</w:t>
      </w:r>
      <w:r>
        <w:rPr>
          <w:rFonts w:hint="eastAsia" w:ascii="仿宋" w:hAnsi="仿宋" w:eastAsia="仿宋"/>
          <w:color w:val="auto"/>
          <w:sz w:val="24"/>
          <w:szCs w:val="20"/>
          <w:highlight w:val="none"/>
          <w:lang w:eastAsia="zh-CN"/>
        </w:rPr>
        <w:t>电子签章</w:t>
      </w:r>
      <w:r>
        <w:rPr>
          <w:rFonts w:hint="eastAsia" w:ascii="仿宋" w:hAnsi="仿宋" w:eastAsia="仿宋"/>
          <w:color w:val="auto"/>
          <w:sz w:val="24"/>
          <w:szCs w:val="20"/>
          <w:highlight w:val="none"/>
        </w:rPr>
        <w:t>）：</w:t>
      </w:r>
      <w:r>
        <w:rPr>
          <w:rFonts w:hint="eastAsia" w:ascii="仿宋" w:hAnsi="仿宋" w:eastAsia="仿宋"/>
          <w:color w:val="auto"/>
          <w:sz w:val="24"/>
          <w:szCs w:val="20"/>
          <w:highlight w:val="none"/>
          <w:u w:val="single"/>
        </w:rPr>
        <w:t xml:space="preserve">                                          </w:t>
      </w:r>
      <w:r>
        <w:rPr>
          <w:rFonts w:hint="eastAsia" w:ascii="仿宋" w:hAnsi="仿宋" w:eastAsia="仿宋"/>
          <w:color w:val="auto"/>
          <w:sz w:val="24"/>
          <w:szCs w:val="20"/>
          <w:highlight w:val="none"/>
          <w:u w:val="single"/>
          <w:lang w:val="en-US" w:eastAsia="zh-CN"/>
        </w:rPr>
        <w:t xml:space="preserve">   </w:t>
      </w:r>
      <w:r>
        <w:rPr>
          <w:rFonts w:hint="eastAsia" w:ascii="仿宋" w:hAnsi="仿宋" w:eastAsia="仿宋"/>
          <w:color w:val="auto"/>
          <w:sz w:val="24"/>
          <w:szCs w:val="20"/>
          <w:highlight w:val="none"/>
          <w:u w:val="single"/>
        </w:rPr>
        <w:t xml:space="preserve">    </w:t>
      </w:r>
    </w:p>
    <w:p w14:paraId="588C984E">
      <w:pPr>
        <w:spacing w:line="360" w:lineRule="auto"/>
        <w:ind w:firstLine="480" w:firstLineChars="200"/>
        <w:rPr>
          <w:rFonts w:ascii="仿宋" w:hAnsi="仿宋" w:eastAsia="仿宋"/>
          <w:color w:val="auto"/>
          <w:sz w:val="24"/>
          <w:szCs w:val="20"/>
          <w:highlight w:val="none"/>
          <w:u w:val="single"/>
        </w:rPr>
      </w:pPr>
      <w:r>
        <w:rPr>
          <w:rFonts w:hint="eastAsia" w:ascii="仿宋" w:hAnsi="仿宋" w:eastAsia="仿宋"/>
          <w:color w:val="auto"/>
          <w:sz w:val="24"/>
          <w:szCs w:val="20"/>
          <w:highlight w:val="none"/>
        </w:rPr>
        <w:t>地  址：</w:t>
      </w:r>
      <w:r>
        <w:rPr>
          <w:rFonts w:hint="eastAsia" w:ascii="仿宋" w:hAnsi="仿宋" w:eastAsia="仿宋"/>
          <w:color w:val="auto"/>
          <w:sz w:val="24"/>
          <w:szCs w:val="20"/>
          <w:highlight w:val="none"/>
          <w:u w:val="single"/>
        </w:rPr>
        <w:t xml:space="preserve">                              </w:t>
      </w:r>
      <w:r>
        <w:rPr>
          <w:rFonts w:hint="eastAsia" w:ascii="仿宋" w:hAnsi="仿宋" w:eastAsia="仿宋"/>
          <w:color w:val="auto"/>
          <w:sz w:val="24"/>
          <w:szCs w:val="20"/>
          <w:highlight w:val="none"/>
        </w:rPr>
        <w:t>电  话：</w:t>
      </w:r>
      <w:r>
        <w:rPr>
          <w:rFonts w:hint="eastAsia" w:ascii="仿宋" w:hAnsi="仿宋" w:eastAsia="仿宋"/>
          <w:color w:val="auto"/>
          <w:sz w:val="24"/>
          <w:szCs w:val="20"/>
          <w:highlight w:val="none"/>
          <w:u w:val="single"/>
        </w:rPr>
        <w:t xml:space="preserve">                </w:t>
      </w:r>
      <w:r>
        <w:rPr>
          <w:rFonts w:hint="eastAsia" w:ascii="仿宋" w:hAnsi="仿宋" w:eastAsia="仿宋"/>
          <w:color w:val="auto"/>
          <w:sz w:val="24"/>
          <w:szCs w:val="20"/>
          <w:highlight w:val="none"/>
          <w:u w:val="single"/>
          <w:lang w:val="en-US" w:eastAsia="zh-CN"/>
        </w:rPr>
        <w:t xml:space="preserve">     </w:t>
      </w:r>
      <w:r>
        <w:rPr>
          <w:rFonts w:hint="eastAsia" w:ascii="仿宋" w:hAnsi="仿宋" w:eastAsia="仿宋"/>
          <w:color w:val="auto"/>
          <w:sz w:val="24"/>
          <w:szCs w:val="20"/>
          <w:highlight w:val="none"/>
          <w:u w:val="single"/>
        </w:rPr>
        <w:t xml:space="preserve">  </w:t>
      </w:r>
    </w:p>
    <w:p w14:paraId="69B8C106">
      <w:pPr>
        <w:spacing w:line="360" w:lineRule="auto"/>
        <w:ind w:firstLine="480" w:firstLineChars="200"/>
        <w:rPr>
          <w:rFonts w:ascii="仿宋" w:hAnsi="仿宋" w:eastAsia="仿宋"/>
          <w:color w:val="auto"/>
          <w:sz w:val="24"/>
          <w:szCs w:val="20"/>
          <w:highlight w:val="none"/>
          <w:u w:val="single"/>
        </w:rPr>
      </w:pPr>
      <w:r>
        <w:rPr>
          <w:rFonts w:hint="eastAsia" w:ascii="仿宋" w:hAnsi="仿宋" w:eastAsia="仿宋"/>
          <w:color w:val="auto"/>
          <w:sz w:val="24"/>
          <w:szCs w:val="20"/>
          <w:highlight w:val="none"/>
        </w:rPr>
        <w:t>邮  编：</w:t>
      </w:r>
      <w:r>
        <w:rPr>
          <w:rFonts w:hint="eastAsia" w:ascii="仿宋" w:hAnsi="仿宋" w:eastAsia="仿宋"/>
          <w:color w:val="auto"/>
          <w:sz w:val="24"/>
          <w:szCs w:val="20"/>
          <w:highlight w:val="none"/>
          <w:u w:val="single"/>
        </w:rPr>
        <w:t xml:space="preserve">                              </w:t>
      </w:r>
      <w:r>
        <w:rPr>
          <w:rFonts w:hint="eastAsia" w:ascii="仿宋" w:hAnsi="仿宋" w:eastAsia="仿宋"/>
          <w:color w:val="auto"/>
          <w:sz w:val="24"/>
          <w:szCs w:val="20"/>
          <w:highlight w:val="none"/>
        </w:rPr>
        <w:t>传  真：</w:t>
      </w:r>
      <w:r>
        <w:rPr>
          <w:rFonts w:hint="eastAsia" w:ascii="仿宋" w:hAnsi="仿宋" w:eastAsia="仿宋"/>
          <w:color w:val="auto"/>
          <w:sz w:val="24"/>
          <w:szCs w:val="20"/>
          <w:highlight w:val="none"/>
          <w:u w:val="single"/>
        </w:rPr>
        <w:t xml:space="preserve">                </w:t>
      </w:r>
      <w:r>
        <w:rPr>
          <w:rFonts w:hint="eastAsia" w:ascii="仿宋" w:hAnsi="仿宋" w:eastAsia="仿宋"/>
          <w:color w:val="auto"/>
          <w:sz w:val="24"/>
          <w:szCs w:val="20"/>
          <w:highlight w:val="none"/>
          <w:u w:val="single"/>
          <w:lang w:val="en-US" w:eastAsia="zh-CN"/>
        </w:rPr>
        <w:t xml:space="preserve">     </w:t>
      </w:r>
      <w:r>
        <w:rPr>
          <w:rFonts w:hint="eastAsia" w:ascii="仿宋" w:hAnsi="仿宋" w:eastAsia="仿宋"/>
          <w:color w:val="auto"/>
          <w:sz w:val="24"/>
          <w:szCs w:val="20"/>
          <w:highlight w:val="none"/>
          <w:u w:val="single"/>
        </w:rPr>
        <w:t xml:space="preserve">  </w:t>
      </w:r>
    </w:p>
    <w:p w14:paraId="38C10916">
      <w:pPr>
        <w:spacing w:line="360" w:lineRule="auto"/>
        <w:ind w:firstLine="480" w:firstLineChars="200"/>
        <w:rPr>
          <w:rFonts w:ascii="仿宋" w:hAnsi="仿宋" w:eastAsia="仿宋"/>
          <w:color w:val="auto"/>
          <w:sz w:val="24"/>
          <w:szCs w:val="20"/>
          <w:highlight w:val="none"/>
        </w:rPr>
      </w:pPr>
      <w:r>
        <w:rPr>
          <w:rFonts w:hint="eastAsia" w:ascii="仿宋" w:hAnsi="仿宋" w:eastAsia="仿宋"/>
          <w:color w:val="auto"/>
          <w:sz w:val="24"/>
          <w:szCs w:val="24"/>
          <w:highlight w:val="none"/>
        </w:rPr>
        <w:t>法定代表人或委托代理人（</w:t>
      </w:r>
      <w:r>
        <w:rPr>
          <w:rFonts w:hint="eastAsia" w:ascii="仿宋" w:hAnsi="仿宋" w:eastAsia="仿宋" w:cs="仿宋"/>
          <w:color w:val="auto"/>
          <w:sz w:val="24"/>
          <w:szCs w:val="24"/>
          <w:highlight w:val="none"/>
        </w:rPr>
        <w:t>签字或电子签章</w:t>
      </w:r>
      <w:r>
        <w:rPr>
          <w:rFonts w:hint="eastAsia" w:ascii="仿宋" w:hAnsi="仿宋" w:eastAsia="仿宋"/>
          <w:color w:val="auto"/>
          <w:sz w:val="24"/>
          <w:szCs w:val="24"/>
          <w:highlight w:val="none"/>
        </w:rPr>
        <w:t>）：</w:t>
      </w:r>
      <w:r>
        <w:rPr>
          <w:rFonts w:hint="eastAsia" w:ascii="仿宋" w:hAnsi="仿宋" w:eastAsia="仿宋"/>
          <w:color w:val="auto"/>
          <w:sz w:val="24"/>
          <w:szCs w:val="24"/>
          <w:highlight w:val="none"/>
          <w:u w:val="single"/>
        </w:rPr>
        <w:t xml:space="preserve">                           </w:t>
      </w:r>
    </w:p>
    <w:p w14:paraId="4008694F">
      <w:pPr>
        <w:spacing w:line="360" w:lineRule="auto"/>
        <w:ind w:firstLine="480" w:firstLineChars="200"/>
        <w:rPr>
          <w:rFonts w:hint="eastAsia" w:ascii="仿宋" w:hAnsi="仿宋" w:eastAsia="仿宋"/>
          <w:b/>
          <w:bCs/>
          <w:color w:val="auto"/>
          <w:sz w:val="24"/>
          <w:szCs w:val="24"/>
          <w:highlight w:val="none"/>
        </w:rPr>
      </w:pPr>
      <w:r>
        <w:rPr>
          <w:rFonts w:hint="eastAsia" w:ascii="仿宋" w:hAnsi="仿宋" w:eastAsia="仿宋"/>
          <w:color w:val="auto"/>
          <w:sz w:val="24"/>
          <w:szCs w:val="20"/>
          <w:highlight w:val="none"/>
        </w:rPr>
        <w:t>日  期：</w:t>
      </w:r>
      <w:r>
        <w:rPr>
          <w:rFonts w:hint="eastAsia" w:ascii="仿宋" w:hAnsi="仿宋" w:eastAsia="仿宋"/>
          <w:color w:val="auto"/>
          <w:sz w:val="24"/>
          <w:szCs w:val="20"/>
          <w:highlight w:val="none"/>
          <w:u w:val="single"/>
        </w:rPr>
        <w:t xml:space="preserve">       </w:t>
      </w:r>
      <w:r>
        <w:rPr>
          <w:rFonts w:hint="eastAsia" w:ascii="仿宋" w:hAnsi="仿宋" w:eastAsia="仿宋"/>
          <w:color w:val="auto"/>
          <w:sz w:val="24"/>
          <w:szCs w:val="20"/>
          <w:highlight w:val="none"/>
        </w:rPr>
        <w:t>年</w:t>
      </w:r>
      <w:r>
        <w:rPr>
          <w:rFonts w:hint="eastAsia" w:ascii="仿宋" w:hAnsi="仿宋" w:eastAsia="仿宋"/>
          <w:color w:val="auto"/>
          <w:sz w:val="24"/>
          <w:szCs w:val="20"/>
          <w:highlight w:val="none"/>
          <w:u w:val="single"/>
        </w:rPr>
        <w:t xml:space="preserve">    </w:t>
      </w:r>
      <w:r>
        <w:rPr>
          <w:rFonts w:hint="eastAsia" w:ascii="仿宋" w:hAnsi="仿宋" w:eastAsia="仿宋"/>
          <w:color w:val="auto"/>
          <w:sz w:val="24"/>
          <w:szCs w:val="20"/>
          <w:highlight w:val="none"/>
        </w:rPr>
        <w:t>月</w:t>
      </w:r>
      <w:r>
        <w:rPr>
          <w:rFonts w:hint="eastAsia" w:ascii="仿宋" w:hAnsi="仿宋" w:eastAsia="仿宋"/>
          <w:color w:val="auto"/>
          <w:sz w:val="24"/>
          <w:szCs w:val="20"/>
          <w:highlight w:val="none"/>
          <w:u w:val="single"/>
        </w:rPr>
        <w:t xml:space="preserve">    </w:t>
      </w:r>
      <w:r>
        <w:rPr>
          <w:rFonts w:hint="eastAsia" w:ascii="仿宋" w:hAnsi="仿宋" w:eastAsia="仿宋"/>
          <w:color w:val="auto"/>
          <w:sz w:val="24"/>
          <w:szCs w:val="20"/>
          <w:highlight w:val="none"/>
        </w:rPr>
        <w:t>日</w:t>
      </w:r>
      <w:bookmarkStart w:id="546" w:name="_Toc6769"/>
    </w:p>
    <w:bookmarkEnd w:id="546"/>
    <w:p w14:paraId="01123535">
      <w:pPr>
        <w:pStyle w:val="246"/>
        <w:tabs>
          <w:tab w:val="left" w:pos="2831"/>
        </w:tabs>
        <w:ind w:left="0" w:leftChars="0" w:firstLine="0" w:firstLineChars="0"/>
        <w:rPr>
          <w:rFonts w:hint="eastAsia" w:eastAsia="宋体"/>
          <w:color w:val="auto"/>
          <w:highlight w:val="none"/>
          <w:lang w:eastAsia="zh-CN"/>
        </w:rPr>
      </w:pPr>
      <w:bookmarkStart w:id="547" w:name="_Toc46259248"/>
    </w:p>
    <w:p w14:paraId="7A3BE1BC">
      <w:pPr>
        <w:pStyle w:val="246"/>
        <w:tabs>
          <w:tab w:val="left" w:pos="2831"/>
        </w:tabs>
        <w:ind w:left="0" w:leftChars="0" w:firstLine="0" w:firstLineChars="0"/>
        <w:rPr>
          <w:rFonts w:hint="eastAsia" w:eastAsia="宋体"/>
          <w:color w:val="auto"/>
          <w:highlight w:val="none"/>
          <w:lang w:eastAsia="zh-CN"/>
        </w:rPr>
      </w:pPr>
    </w:p>
    <w:p w14:paraId="1ECA375B">
      <w:pPr>
        <w:pStyle w:val="246"/>
        <w:tabs>
          <w:tab w:val="left" w:pos="2831"/>
        </w:tabs>
        <w:ind w:left="0" w:leftChars="0" w:firstLine="0" w:firstLineChars="0"/>
        <w:rPr>
          <w:rFonts w:hint="eastAsia" w:eastAsia="宋体"/>
          <w:color w:val="auto"/>
          <w:highlight w:val="none"/>
          <w:lang w:eastAsia="zh-CN"/>
        </w:rPr>
      </w:pPr>
    </w:p>
    <w:p w14:paraId="6C520E14">
      <w:pPr>
        <w:pStyle w:val="246"/>
        <w:tabs>
          <w:tab w:val="left" w:pos="2831"/>
        </w:tabs>
        <w:ind w:left="0" w:leftChars="0" w:firstLine="0" w:firstLineChars="0"/>
        <w:rPr>
          <w:rFonts w:hint="eastAsia" w:eastAsia="宋体"/>
          <w:color w:val="auto"/>
          <w:highlight w:val="none"/>
          <w:lang w:eastAsia="zh-CN"/>
        </w:rPr>
      </w:pPr>
    </w:p>
    <w:p w14:paraId="3BC93BC4">
      <w:pPr>
        <w:pStyle w:val="246"/>
        <w:tabs>
          <w:tab w:val="left" w:pos="2831"/>
        </w:tabs>
        <w:ind w:left="0" w:leftChars="0" w:firstLine="0" w:firstLineChars="0"/>
        <w:rPr>
          <w:rFonts w:hint="eastAsia" w:eastAsia="宋体"/>
          <w:color w:val="auto"/>
          <w:highlight w:val="none"/>
          <w:lang w:eastAsia="zh-CN"/>
        </w:rPr>
      </w:pPr>
    </w:p>
    <w:p w14:paraId="4EC80571">
      <w:pPr>
        <w:pStyle w:val="246"/>
        <w:tabs>
          <w:tab w:val="left" w:pos="2831"/>
        </w:tabs>
        <w:ind w:left="0" w:leftChars="0" w:firstLine="0" w:firstLineChars="0"/>
        <w:rPr>
          <w:rFonts w:hint="eastAsia" w:eastAsia="宋体"/>
          <w:color w:val="auto"/>
          <w:highlight w:val="none"/>
          <w:lang w:eastAsia="zh-CN"/>
        </w:rPr>
      </w:pPr>
    </w:p>
    <w:p w14:paraId="6CF4F66B">
      <w:pPr>
        <w:pStyle w:val="6"/>
        <w:ind w:left="0" w:leftChars="0" w:firstLine="0" w:firstLineChars="0"/>
        <w:jc w:val="center"/>
        <w:rPr>
          <w:rFonts w:ascii="仿宋" w:hAnsi="仿宋" w:eastAsia="仿宋"/>
          <w:color w:val="auto"/>
          <w:kern w:val="0"/>
          <w:sz w:val="24"/>
          <w:szCs w:val="24"/>
          <w:highlight w:val="none"/>
        </w:rPr>
      </w:pPr>
      <w:bookmarkStart w:id="548" w:name="_Toc18833"/>
      <w:bookmarkStart w:id="549" w:name="_Toc22756"/>
      <w:bookmarkStart w:id="550" w:name="_Toc30992"/>
      <w:bookmarkStart w:id="551" w:name="_Toc8117"/>
      <w:bookmarkStart w:id="552" w:name="_Toc23567"/>
      <w:bookmarkStart w:id="553" w:name="_Toc21915"/>
      <w:bookmarkStart w:id="554" w:name="_Toc10578"/>
      <w:r>
        <w:rPr>
          <w:rFonts w:hint="eastAsia" w:ascii="仿宋" w:hAnsi="仿宋" w:eastAsia="仿宋"/>
          <w:b/>
          <w:bCs/>
          <w:color w:val="auto"/>
          <w:sz w:val="28"/>
          <w:szCs w:val="28"/>
          <w:highlight w:val="none"/>
        </w:rPr>
        <w:t>格式</w:t>
      </w:r>
      <w:r>
        <w:rPr>
          <w:rFonts w:hint="eastAsia" w:ascii="仿宋" w:hAnsi="仿宋" w:eastAsia="仿宋"/>
          <w:b/>
          <w:bCs/>
          <w:color w:val="auto"/>
          <w:sz w:val="28"/>
          <w:szCs w:val="28"/>
          <w:highlight w:val="none"/>
          <w:lang w:val="en-US" w:eastAsia="zh-CN"/>
        </w:rPr>
        <w:t>2</w:t>
      </w:r>
      <w:r>
        <w:rPr>
          <w:rFonts w:hint="eastAsia" w:ascii="仿宋" w:hAnsi="仿宋" w:eastAsia="仿宋"/>
          <w:b/>
          <w:bCs/>
          <w:color w:val="auto"/>
          <w:sz w:val="28"/>
          <w:szCs w:val="28"/>
          <w:highlight w:val="none"/>
        </w:rPr>
        <w:t>、承诺书（投标人）</w:t>
      </w:r>
      <w:bookmarkEnd w:id="547"/>
      <w:bookmarkEnd w:id="548"/>
      <w:bookmarkEnd w:id="549"/>
      <w:bookmarkEnd w:id="550"/>
      <w:bookmarkEnd w:id="551"/>
      <w:bookmarkEnd w:id="552"/>
      <w:bookmarkEnd w:id="553"/>
      <w:bookmarkEnd w:id="554"/>
    </w:p>
    <w:p w14:paraId="0CE7136B">
      <w:pPr>
        <w:widowControl/>
        <w:spacing w:line="360" w:lineRule="auto"/>
        <w:ind w:firstLine="475" w:firstLineChars="198"/>
        <w:jc w:val="left"/>
        <w:rPr>
          <w:rFonts w:hint="eastAsia" w:ascii="仿宋" w:hAnsi="仿宋" w:eastAsia="仿宋"/>
          <w:color w:val="auto"/>
          <w:kern w:val="0"/>
          <w:sz w:val="24"/>
          <w:szCs w:val="24"/>
          <w:highlight w:val="none"/>
        </w:rPr>
      </w:pPr>
    </w:p>
    <w:p w14:paraId="1E75C6BC">
      <w:pPr>
        <w:spacing w:line="360" w:lineRule="auto"/>
        <w:ind w:firstLine="562" w:firstLineChars="200"/>
        <w:jc w:val="both"/>
        <w:rPr>
          <w:rFonts w:hint="eastAsia" w:ascii="仿宋" w:hAnsi="仿宋" w:eastAsia="仿宋"/>
          <w:color w:val="auto"/>
          <w:kern w:val="0"/>
          <w:sz w:val="24"/>
          <w:szCs w:val="24"/>
          <w:highlight w:val="none"/>
        </w:rPr>
      </w:pPr>
      <w:r>
        <w:rPr>
          <w:rFonts w:hint="eastAsia" w:ascii="仿宋" w:hAnsi="仿宋" w:eastAsia="仿宋" w:cs="仿宋"/>
          <w:b/>
          <w:bCs/>
          <w:color w:val="auto"/>
          <w:kern w:val="0"/>
          <w:sz w:val="28"/>
          <w:szCs w:val="28"/>
          <w:highlight w:val="none"/>
          <w:lang w:val="en-US" w:eastAsia="zh-CN" w:bidi="ar-SA"/>
        </w:rPr>
        <w:t>致：</w:t>
      </w:r>
      <w:r>
        <w:rPr>
          <w:rFonts w:hint="eastAsia" w:ascii="仿宋" w:hAnsi="仿宋" w:eastAsia="仿宋" w:cs="仿宋"/>
          <w:b/>
          <w:bCs/>
          <w:color w:val="auto"/>
          <w:kern w:val="0"/>
          <w:sz w:val="28"/>
          <w:szCs w:val="28"/>
          <w:highlight w:val="none"/>
          <w:u w:val="single"/>
          <w:lang w:val="en-US" w:eastAsia="zh-CN" w:bidi="ar-SA"/>
        </w:rPr>
        <w:t xml:space="preserve">              </w:t>
      </w:r>
      <w:r>
        <w:rPr>
          <w:rFonts w:hint="eastAsia" w:ascii="仿宋" w:hAnsi="仿宋" w:eastAsia="仿宋"/>
          <w:b/>
          <w:bCs/>
          <w:color w:val="auto"/>
          <w:sz w:val="24"/>
          <w:szCs w:val="24"/>
          <w:highlight w:val="none"/>
        </w:rPr>
        <w:t>（采购人）</w:t>
      </w:r>
    </w:p>
    <w:p w14:paraId="1109B293">
      <w:pPr>
        <w:widowControl/>
        <w:spacing w:line="360" w:lineRule="auto"/>
        <w:ind w:firstLine="475" w:firstLineChars="198"/>
        <w:jc w:val="left"/>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rPr>
        <w:t>本企业作为</w:t>
      </w:r>
      <w:r>
        <w:rPr>
          <w:rFonts w:hint="eastAsia" w:ascii="仿宋" w:hAnsi="仿宋" w:eastAsia="仿宋"/>
          <w:color w:val="auto"/>
          <w:sz w:val="24"/>
          <w:szCs w:val="24"/>
          <w:highlight w:val="none"/>
          <w:u w:val="single"/>
          <w:lang w:val="en-US" w:eastAsia="zh-CN"/>
        </w:rPr>
        <w:t xml:space="preserve">                         </w:t>
      </w:r>
      <w:r>
        <w:rPr>
          <w:rFonts w:hint="eastAsia" w:ascii="仿宋" w:hAnsi="仿宋" w:eastAsia="仿宋"/>
          <w:color w:val="auto"/>
          <w:kern w:val="0"/>
          <w:sz w:val="24"/>
          <w:szCs w:val="24"/>
          <w:highlight w:val="none"/>
        </w:rPr>
        <w:t>的投标人，现作如下承诺：</w:t>
      </w:r>
    </w:p>
    <w:p w14:paraId="7ACDA518">
      <w:pPr>
        <w:widowControl/>
        <w:spacing w:line="360" w:lineRule="auto"/>
        <w:ind w:firstLine="480" w:firstLineChars="200"/>
        <w:jc w:val="both"/>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lang w:eastAsia="zh-CN"/>
        </w:rPr>
        <w:t>1.</w:t>
      </w:r>
      <w:r>
        <w:rPr>
          <w:rFonts w:hint="eastAsia" w:ascii="仿宋" w:hAnsi="仿宋" w:eastAsia="仿宋"/>
          <w:color w:val="auto"/>
          <w:kern w:val="0"/>
          <w:sz w:val="24"/>
          <w:szCs w:val="24"/>
          <w:highlight w:val="none"/>
        </w:rPr>
        <w:t>所提供的一切材料都是真实、有效、合法的。</w:t>
      </w:r>
    </w:p>
    <w:p w14:paraId="3C526F17">
      <w:pPr>
        <w:widowControl/>
        <w:spacing w:line="360" w:lineRule="auto"/>
        <w:ind w:firstLine="480" w:firstLineChars="200"/>
        <w:jc w:val="both"/>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lang w:eastAsia="zh-CN"/>
        </w:rPr>
        <w:t>2.</w:t>
      </w:r>
      <w:r>
        <w:rPr>
          <w:rFonts w:hint="eastAsia" w:ascii="仿宋" w:hAnsi="仿宋" w:eastAsia="仿宋"/>
          <w:color w:val="auto"/>
          <w:kern w:val="0"/>
          <w:sz w:val="24"/>
          <w:szCs w:val="24"/>
          <w:highlight w:val="none"/>
        </w:rPr>
        <w:t>不与其他投标人串通投标，不损害采购人或其他投标人的合法权益。</w:t>
      </w:r>
    </w:p>
    <w:p w14:paraId="1BDDD2E0">
      <w:pPr>
        <w:widowControl/>
        <w:spacing w:line="360" w:lineRule="auto"/>
        <w:ind w:firstLine="480" w:firstLineChars="200"/>
        <w:jc w:val="both"/>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lang w:eastAsia="zh-CN"/>
        </w:rPr>
        <w:t>3.</w:t>
      </w:r>
      <w:r>
        <w:rPr>
          <w:rFonts w:hint="eastAsia" w:ascii="仿宋" w:hAnsi="仿宋" w:eastAsia="仿宋"/>
          <w:color w:val="auto"/>
          <w:kern w:val="0"/>
          <w:sz w:val="24"/>
          <w:szCs w:val="24"/>
          <w:highlight w:val="none"/>
        </w:rPr>
        <w:t>不转让、出租、出借资质证书、人员岗位证书或以其他方式允许他人以本企业名义参与投标。</w:t>
      </w:r>
    </w:p>
    <w:p w14:paraId="02051C27">
      <w:pPr>
        <w:widowControl/>
        <w:spacing w:line="360" w:lineRule="auto"/>
        <w:ind w:firstLine="480" w:firstLineChars="200"/>
        <w:jc w:val="both"/>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lang w:eastAsia="zh-CN"/>
        </w:rPr>
        <w:t>4.</w:t>
      </w:r>
      <w:r>
        <w:rPr>
          <w:rFonts w:hint="eastAsia" w:ascii="仿宋" w:hAnsi="仿宋" w:eastAsia="仿宋"/>
          <w:color w:val="auto"/>
          <w:kern w:val="0"/>
          <w:sz w:val="24"/>
          <w:szCs w:val="24"/>
          <w:highlight w:val="none"/>
        </w:rPr>
        <w:t>不与采购人或</w:t>
      </w:r>
      <w:r>
        <w:rPr>
          <w:rFonts w:hint="eastAsia" w:ascii="仿宋" w:hAnsi="仿宋" w:eastAsia="仿宋"/>
          <w:color w:val="auto"/>
          <w:kern w:val="0"/>
          <w:sz w:val="24"/>
          <w:szCs w:val="24"/>
          <w:highlight w:val="none"/>
          <w:lang w:eastAsia="zh-CN"/>
        </w:rPr>
        <w:t>采购代理机构</w:t>
      </w:r>
      <w:r>
        <w:rPr>
          <w:rFonts w:hint="eastAsia" w:ascii="仿宋" w:hAnsi="仿宋" w:eastAsia="仿宋"/>
          <w:color w:val="auto"/>
          <w:kern w:val="0"/>
          <w:sz w:val="24"/>
          <w:szCs w:val="24"/>
          <w:highlight w:val="none"/>
        </w:rPr>
        <w:t>串通投标，损害国家利益、社会公共利益或者他人的合法权益。</w:t>
      </w:r>
    </w:p>
    <w:p w14:paraId="608DE109">
      <w:pPr>
        <w:widowControl/>
        <w:spacing w:line="360" w:lineRule="auto"/>
        <w:ind w:firstLine="480" w:firstLineChars="200"/>
        <w:jc w:val="both"/>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lang w:eastAsia="zh-CN"/>
        </w:rPr>
        <w:t>5.</w:t>
      </w:r>
      <w:r>
        <w:rPr>
          <w:rFonts w:hint="eastAsia" w:ascii="仿宋" w:hAnsi="仿宋" w:eastAsia="仿宋"/>
          <w:color w:val="auto"/>
          <w:kern w:val="0"/>
          <w:sz w:val="24"/>
          <w:szCs w:val="24"/>
          <w:highlight w:val="none"/>
        </w:rPr>
        <w:t>不向采购人、评标小组成员、监督人员行贿。</w:t>
      </w:r>
    </w:p>
    <w:p w14:paraId="6147B53B">
      <w:pPr>
        <w:widowControl/>
        <w:spacing w:line="360" w:lineRule="auto"/>
        <w:ind w:firstLine="480" w:firstLineChars="200"/>
        <w:jc w:val="both"/>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lang w:eastAsia="zh-CN"/>
        </w:rPr>
        <w:t>6.</w:t>
      </w:r>
      <w:r>
        <w:rPr>
          <w:rFonts w:hint="eastAsia" w:ascii="仿宋" w:hAnsi="仿宋" w:eastAsia="仿宋"/>
          <w:color w:val="auto"/>
          <w:kern w:val="0"/>
          <w:sz w:val="24"/>
          <w:szCs w:val="24"/>
          <w:highlight w:val="none"/>
        </w:rPr>
        <w:t>不扰乱招标投标活动正常秩序。</w:t>
      </w:r>
    </w:p>
    <w:p w14:paraId="737D71CD">
      <w:pPr>
        <w:widowControl/>
        <w:spacing w:line="360" w:lineRule="auto"/>
        <w:ind w:firstLine="480" w:firstLineChars="200"/>
        <w:jc w:val="both"/>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lang w:eastAsia="zh-CN"/>
        </w:rPr>
        <w:t>7.</w:t>
      </w:r>
      <w:r>
        <w:rPr>
          <w:rFonts w:hint="eastAsia" w:ascii="仿宋" w:hAnsi="仿宋" w:eastAsia="仿宋"/>
          <w:color w:val="auto"/>
          <w:kern w:val="0"/>
          <w:sz w:val="24"/>
          <w:szCs w:val="24"/>
          <w:highlight w:val="none"/>
        </w:rPr>
        <w:t>不进行虚假恶意投诉。</w:t>
      </w:r>
    </w:p>
    <w:p w14:paraId="6D26F2CF">
      <w:pPr>
        <w:widowControl/>
        <w:spacing w:line="360" w:lineRule="auto"/>
        <w:ind w:firstLine="480" w:firstLineChars="200"/>
        <w:jc w:val="both"/>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lang w:eastAsia="zh-CN"/>
        </w:rPr>
        <w:t>8.</w:t>
      </w:r>
      <w:r>
        <w:rPr>
          <w:rFonts w:hint="eastAsia" w:ascii="仿宋" w:hAnsi="仿宋" w:eastAsia="仿宋"/>
          <w:color w:val="auto"/>
          <w:kern w:val="0"/>
          <w:sz w:val="24"/>
          <w:szCs w:val="24"/>
          <w:highlight w:val="none"/>
        </w:rPr>
        <w:t>因违反法律、法规、规章被查处的，不干预案件查处。</w:t>
      </w:r>
    </w:p>
    <w:p w14:paraId="2D33CDB9">
      <w:pPr>
        <w:widowControl/>
        <w:spacing w:line="360" w:lineRule="auto"/>
        <w:ind w:firstLine="480" w:firstLineChars="200"/>
        <w:jc w:val="both"/>
        <w:rPr>
          <w:rFonts w:ascii="仿宋" w:hAnsi="仿宋" w:eastAsia="仿宋"/>
          <w:color w:val="auto"/>
          <w:sz w:val="24"/>
          <w:szCs w:val="24"/>
          <w:highlight w:val="none"/>
        </w:rPr>
      </w:pPr>
      <w:r>
        <w:rPr>
          <w:rFonts w:hint="eastAsia" w:ascii="仿宋" w:hAnsi="仿宋" w:eastAsia="仿宋"/>
          <w:color w:val="auto"/>
          <w:sz w:val="24"/>
          <w:szCs w:val="24"/>
          <w:highlight w:val="none"/>
        </w:rPr>
        <w:t>如出现上述行为，本投标人自愿承担相关责任，接受招标投标监督管理部门、纪检监察部门或司法机关调查处理。</w:t>
      </w:r>
      <w:r>
        <w:rPr>
          <w:rFonts w:hint="eastAsia" w:ascii="仿宋" w:hAnsi="仿宋" w:eastAsia="仿宋"/>
          <w:color w:val="auto"/>
          <w:kern w:val="0"/>
          <w:sz w:val="24"/>
          <w:szCs w:val="24"/>
          <w:highlight w:val="none"/>
        </w:rPr>
        <w:t>给采购人造成损失的，依法承担赔偿责任。</w:t>
      </w:r>
    </w:p>
    <w:p w14:paraId="2706A217">
      <w:pPr>
        <w:spacing w:line="360" w:lineRule="auto"/>
        <w:ind w:firstLine="480" w:firstLineChars="200"/>
        <w:rPr>
          <w:rFonts w:hint="eastAsia" w:ascii="仿宋" w:hAnsi="仿宋" w:eastAsia="仿宋"/>
          <w:color w:val="auto"/>
          <w:sz w:val="24"/>
          <w:szCs w:val="20"/>
          <w:highlight w:val="none"/>
        </w:rPr>
      </w:pPr>
    </w:p>
    <w:p w14:paraId="7EFCEE86">
      <w:pPr>
        <w:spacing w:line="360" w:lineRule="auto"/>
        <w:ind w:firstLine="480" w:firstLineChars="200"/>
        <w:rPr>
          <w:rFonts w:ascii="仿宋" w:hAnsi="仿宋" w:eastAsia="仿宋"/>
          <w:color w:val="auto"/>
          <w:sz w:val="24"/>
          <w:szCs w:val="20"/>
          <w:highlight w:val="none"/>
          <w:u w:val="single"/>
        </w:rPr>
      </w:pPr>
      <w:r>
        <w:rPr>
          <w:rFonts w:hint="eastAsia" w:ascii="仿宋" w:hAnsi="仿宋" w:eastAsia="仿宋"/>
          <w:color w:val="auto"/>
          <w:sz w:val="24"/>
          <w:szCs w:val="20"/>
          <w:highlight w:val="none"/>
        </w:rPr>
        <w:t>投标人（</w:t>
      </w:r>
      <w:r>
        <w:rPr>
          <w:rFonts w:hint="eastAsia" w:ascii="仿宋" w:hAnsi="仿宋" w:eastAsia="仿宋"/>
          <w:color w:val="auto"/>
          <w:sz w:val="24"/>
          <w:szCs w:val="20"/>
          <w:highlight w:val="none"/>
          <w:lang w:eastAsia="zh-CN"/>
        </w:rPr>
        <w:t>电子签章</w:t>
      </w:r>
      <w:r>
        <w:rPr>
          <w:rFonts w:hint="eastAsia" w:ascii="仿宋" w:hAnsi="仿宋" w:eastAsia="仿宋"/>
          <w:color w:val="auto"/>
          <w:sz w:val="24"/>
          <w:szCs w:val="20"/>
          <w:highlight w:val="none"/>
        </w:rPr>
        <w:t>）：</w:t>
      </w:r>
      <w:r>
        <w:rPr>
          <w:rFonts w:hint="eastAsia" w:ascii="仿宋" w:hAnsi="仿宋" w:eastAsia="仿宋"/>
          <w:color w:val="auto"/>
          <w:sz w:val="24"/>
          <w:szCs w:val="20"/>
          <w:highlight w:val="none"/>
          <w:u w:val="single"/>
        </w:rPr>
        <w:t xml:space="preserve">                                           </w:t>
      </w:r>
    </w:p>
    <w:p w14:paraId="529F8F5E">
      <w:pPr>
        <w:spacing w:line="360" w:lineRule="auto"/>
        <w:ind w:firstLine="480" w:firstLineChars="200"/>
        <w:rPr>
          <w:rFonts w:ascii="仿宋" w:hAnsi="仿宋" w:eastAsia="仿宋"/>
          <w:color w:val="auto"/>
          <w:sz w:val="24"/>
          <w:szCs w:val="20"/>
          <w:highlight w:val="none"/>
        </w:rPr>
      </w:pPr>
      <w:r>
        <w:rPr>
          <w:rFonts w:hint="eastAsia" w:ascii="仿宋" w:hAnsi="仿宋" w:eastAsia="仿宋"/>
          <w:color w:val="auto"/>
          <w:sz w:val="24"/>
          <w:szCs w:val="24"/>
          <w:highlight w:val="none"/>
        </w:rPr>
        <w:t>法定代表人或委托代理人（</w:t>
      </w:r>
      <w:r>
        <w:rPr>
          <w:rFonts w:hint="eastAsia" w:ascii="仿宋" w:hAnsi="仿宋" w:eastAsia="仿宋" w:cs="仿宋"/>
          <w:color w:val="auto"/>
          <w:sz w:val="24"/>
          <w:szCs w:val="24"/>
          <w:highlight w:val="none"/>
        </w:rPr>
        <w:t>签字或电子签章</w:t>
      </w:r>
      <w:r>
        <w:rPr>
          <w:rFonts w:hint="eastAsia" w:ascii="仿宋" w:hAnsi="仿宋" w:eastAsia="仿宋"/>
          <w:color w:val="auto"/>
          <w:sz w:val="24"/>
          <w:szCs w:val="24"/>
          <w:highlight w:val="none"/>
        </w:rPr>
        <w:t>）：</w:t>
      </w:r>
      <w:r>
        <w:rPr>
          <w:rFonts w:hint="eastAsia" w:ascii="仿宋" w:hAnsi="仿宋" w:eastAsia="仿宋"/>
          <w:color w:val="auto"/>
          <w:sz w:val="24"/>
          <w:szCs w:val="24"/>
          <w:highlight w:val="none"/>
          <w:u w:val="single"/>
        </w:rPr>
        <w:t xml:space="preserve">                           </w:t>
      </w:r>
    </w:p>
    <w:p w14:paraId="043F1C09">
      <w:pPr>
        <w:spacing w:line="360" w:lineRule="auto"/>
        <w:ind w:firstLine="480" w:firstLineChars="200"/>
        <w:rPr>
          <w:rFonts w:ascii="仿宋" w:hAnsi="仿宋" w:eastAsia="仿宋"/>
          <w:color w:val="auto"/>
          <w:sz w:val="24"/>
          <w:szCs w:val="20"/>
          <w:highlight w:val="none"/>
          <w:u w:val="single"/>
        </w:rPr>
      </w:pPr>
      <w:r>
        <w:rPr>
          <w:rFonts w:hint="eastAsia" w:ascii="仿宋" w:hAnsi="仿宋" w:eastAsia="仿宋"/>
          <w:color w:val="auto"/>
          <w:sz w:val="24"/>
          <w:szCs w:val="20"/>
          <w:highlight w:val="none"/>
        </w:rPr>
        <w:t>日  期：</w:t>
      </w:r>
      <w:r>
        <w:rPr>
          <w:rFonts w:hint="eastAsia" w:ascii="仿宋" w:hAnsi="仿宋" w:eastAsia="仿宋"/>
          <w:color w:val="auto"/>
          <w:sz w:val="24"/>
          <w:szCs w:val="20"/>
          <w:highlight w:val="none"/>
          <w:u w:val="single"/>
        </w:rPr>
        <w:t xml:space="preserve">       </w:t>
      </w:r>
      <w:r>
        <w:rPr>
          <w:rFonts w:hint="eastAsia" w:ascii="仿宋" w:hAnsi="仿宋" w:eastAsia="仿宋"/>
          <w:color w:val="auto"/>
          <w:sz w:val="24"/>
          <w:szCs w:val="20"/>
          <w:highlight w:val="none"/>
        </w:rPr>
        <w:t>年</w:t>
      </w:r>
      <w:r>
        <w:rPr>
          <w:rFonts w:hint="eastAsia" w:ascii="仿宋" w:hAnsi="仿宋" w:eastAsia="仿宋"/>
          <w:color w:val="auto"/>
          <w:sz w:val="24"/>
          <w:szCs w:val="20"/>
          <w:highlight w:val="none"/>
          <w:u w:val="single"/>
        </w:rPr>
        <w:t xml:space="preserve">    </w:t>
      </w:r>
      <w:r>
        <w:rPr>
          <w:rFonts w:hint="eastAsia" w:ascii="仿宋" w:hAnsi="仿宋" w:eastAsia="仿宋"/>
          <w:color w:val="auto"/>
          <w:sz w:val="24"/>
          <w:szCs w:val="20"/>
          <w:highlight w:val="none"/>
        </w:rPr>
        <w:t>月</w:t>
      </w:r>
      <w:r>
        <w:rPr>
          <w:rFonts w:hint="eastAsia" w:ascii="仿宋" w:hAnsi="仿宋" w:eastAsia="仿宋"/>
          <w:color w:val="auto"/>
          <w:sz w:val="24"/>
          <w:szCs w:val="20"/>
          <w:highlight w:val="none"/>
          <w:u w:val="single"/>
        </w:rPr>
        <w:t xml:space="preserve">    </w:t>
      </w:r>
      <w:r>
        <w:rPr>
          <w:rFonts w:hint="eastAsia" w:ascii="仿宋" w:hAnsi="仿宋" w:eastAsia="仿宋"/>
          <w:color w:val="auto"/>
          <w:sz w:val="24"/>
          <w:szCs w:val="20"/>
          <w:highlight w:val="none"/>
        </w:rPr>
        <w:t>日</w:t>
      </w:r>
    </w:p>
    <w:p w14:paraId="6FC913C3">
      <w:pPr>
        <w:bidi w:val="0"/>
        <w:rPr>
          <w:rFonts w:hint="eastAsia"/>
          <w:color w:val="auto"/>
          <w:highlight w:val="none"/>
        </w:rPr>
      </w:pPr>
      <w:bookmarkStart w:id="555" w:name="_Toc46259249"/>
      <w:bookmarkStart w:id="556" w:name="_Toc25466"/>
      <w:bookmarkStart w:id="557" w:name="_Toc2643"/>
      <w:bookmarkStart w:id="558" w:name="_Toc383636427"/>
      <w:bookmarkStart w:id="559" w:name="_Toc391301886"/>
      <w:bookmarkStart w:id="560" w:name="_Toc406162632"/>
    </w:p>
    <w:p w14:paraId="4498CC87">
      <w:pPr>
        <w:rPr>
          <w:rFonts w:hint="eastAsia" w:ascii="仿宋" w:hAnsi="仿宋" w:eastAsia="仿宋"/>
          <w:b/>
          <w:bCs/>
          <w:color w:val="auto"/>
          <w:sz w:val="28"/>
          <w:szCs w:val="28"/>
          <w:highlight w:val="none"/>
        </w:rPr>
      </w:pPr>
    </w:p>
    <w:p w14:paraId="2469E96D">
      <w:pPr>
        <w:pStyle w:val="18"/>
        <w:rPr>
          <w:rFonts w:hint="eastAsia" w:ascii="仿宋" w:hAnsi="仿宋" w:eastAsia="仿宋"/>
          <w:b/>
          <w:bCs/>
          <w:color w:val="auto"/>
          <w:sz w:val="28"/>
          <w:szCs w:val="28"/>
          <w:highlight w:val="none"/>
        </w:rPr>
      </w:pPr>
    </w:p>
    <w:p w14:paraId="167E9CA6">
      <w:pPr>
        <w:rPr>
          <w:rFonts w:hint="eastAsia" w:ascii="仿宋" w:hAnsi="仿宋" w:eastAsia="仿宋"/>
          <w:b/>
          <w:bCs/>
          <w:color w:val="auto"/>
          <w:sz w:val="28"/>
          <w:szCs w:val="28"/>
          <w:highlight w:val="none"/>
        </w:rPr>
      </w:pPr>
    </w:p>
    <w:p w14:paraId="6031748B">
      <w:pPr>
        <w:bidi w:val="0"/>
        <w:rPr>
          <w:rFonts w:hint="eastAsia"/>
          <w:color w:val="auto"/>
          <w:highlight w:val="none"/>
        </w:rPr>
      </w:pPr>
    </w:p>
    <w:p w14:paraId="048C743A">
      <w:pPr>
        <w:bidi w:val="0"/>
        <w:rPr>
          <w:rFonts w:hint="eastAsia"/>
          <w:color w:val="auto"/>
          <w:highlight w:val="none"/>
        </w:rPr>
      </w:pPr>
    </w:p>
    <w:p w14:paraId="5432FD83">
      <w:pPr>
        <w:bidi w:val="0"/>
        <w:rPr>
          <w:rFonts w:hint="eastAsia"/>
          <w:color w:val="auto"/>
          <w:highlight w:val="none"/>
        </w:rPr>
      </w:pPr>
    </w:p>
    <w:p w14:paraId="5689065A">
      <w:pPr>
        <w:bidi w:val="0"/>
        <w:rPr>
          <w:rFonts w:hint="eastAsia"/>
          <w:color w:val="auto"/>
          <w:highlight w:val="none"/>
        </w:rPr>
      </w:pPr>
    </w:p>
    <w:p w14:paraId="577EBF5C">
      <w:pPr>
        <w:bidi w:val="0"/>
        <w:rPr>
          <w:rFonts w:hint="eastAsia"/>
          <w:color w:val="auto"/>
          <w:highlight w:val="none"/>
        </w:rPr>
      </w:pPr>
    </w:p>
    <w:p w14:paraId="19C20B81">
      <w:pPr>
        <w:bidi w:val="0"/>
        <w:rPr>
          <w:rFonts w:hint="eastAsia"/>
          <w:color w:val="auto"/>
          <w:highlight w:val="none"/>
        </w:rPr>
      </w:pPr>
    </w:p>
    <w:p w14:paraId="59258AC1">
      <w:pPr>
        <w:bidi w:val="0"/>
        <w:rPr>
          <w:rFonts w:hint="eastAsia"/>
          <w:color w:val="auto"/>
          <w:highlight w:val="none"/>
        </w:rPr>
      </w:pPr>
    </w:p>
    <w:p w14:paraId="16A748B9">
      <w:pPr>
        <w:bidi w:val="0"/>
        <w:rPr>
          <w:rFonts w:hint="eastAsia"/>
          <w:color w:val="auto"/>
          <w:highlight w:val="none"/>
        </w:rPr>
      </w:pPr>
    </w:p>
    <w:p w14:paraId="3DC1DB09">
      <w:pPr>
        <w:bidi w:val="0"/>
        <w:rPr>
          <w:rFonts w:hint="eastAsia"/>
          <w:color w:val="auto"/>
          <w:highlight w:val="none"/>
        </w:rPr>
      </w:pPr>
    </w:p>
    <w:p w14:paraId="6605B9C3">
      <w:pPr>
        <w:bidi w:val="0"/>
        <w:rPr>
          <w:rFonts w:hint="eastAsia"/>
          <w:color w:val="auto"/>
          <w:highlight w:val="none"/>
        </w:rPr>
      </w:pPr>
    </w:p>
    <w:p w14:paraId="50D91A4D">
      <w:pPr>
        <w:bidi w:val="0"/>
        <w:rPr>
          <w:rFonts w:hint="eastAsia"/>
          <w:color w:val="auto"/>
          <w:highlight w:val="none"/>
        </w:rPr>
      </w:pPr>
    </w:p>
    <w:bookmarkEnd w:id="555"/>
    <w:bookmarkEnd w:id="556"/>
    <w:bookmarkEnd w:id="557"/>
    <w:bookmarkEnd w:id="558"/>
    <w:bookmarkEnd w:id="559"/>
    <w:bookmarkEnd w:id="560"/>
    <w:p w14:paraId="6EB68769">
      <w:pPr>
        <w:rPr>
          <w:rFonts w:hint="eastAsia"/>
          <w:color w:val="auto"/>
          <w:highlight w:val="none"/>
          <w:lang w:val="en-US" w:eastAsia="zh-CN"/>
        </w:rPr>
      </w:pPr>
      <w:bookmarkStart w:id="561" w:name="_Toc23586"/>
      <w:bookmarkStart w:id="562" w:name="_Toc383636432"/>
      <w:bookmarkStart w:id="563" w:name="_Toc391301891"/>
      <w:bookmarkStart w:id="564" w:name="_Toc406162637"/>
    </w:p>
    <w:p w14:paraId="73F68277">
      <w:pPr>
        <w:pStyle w:val="6"/>
        <w:pageBreakBefore w:val="0"/>
        <w:kinsoku/>
        <w:wordWrap/>
        <w:overflowPunct/>
        <w:topLinePunct w:val="0"/>
        <w:autoSpaceDE/>
        <w:autoSpaceDN/>
        <w:bidi w:val="0"/>
        <w:adjustRightInd/>
        <w:snapToGrid/>
        <w:spacing w:line="360" w:lineRule="auto"/>
        <w:ind w:firstLine="0"/>
        <w:jc w:val="center"/>
        <w:textAlignment w:val="auto"/>
        <w:rPr>
          <w:rFonts w:hint="default" w:ascii="仿宋" w:hAnsi="仿宋" w:eastAsia="仿宋"/>
          <w:b/>
          <w:bCs/>
          <w:color w:val="auto"/>
          <w:sz w:val="32"/>
          <w:szCs w:val="21"/>
          <w:highlight w:val="none"/>
          <w:lang w:val="en-US" w:eastAsia="zh-CN"/>
        </w:rPr>
      </w:pPr>
      <w:bookmarkStart w:id="565" w:name="_Toc3249"/>
      <w:bookmarkStart w:id="566" w:name="_Toc20454"/>
      <w:bookmarkStart w:id="567" w:name="_Toc6122"/>
      <w:bookmarkStart w:id="568" w:name="_Toc31117"/>
      <w:bookmarkStart w:id="569" w:name="_Toc21683"/>
      <w:r>
        <w:rPr>
          <w:rFonts w:hint="eastAsia" w:ascii="仿宋" w:hAnsi="仿宋" w:eastAsia="仿宋"/>
          <w:b/>
          <w:bCs/>
          <w:color w:val="auto"/>
          <w:sz w:val="30"/>
          <w:szCs w:val="21"/>
          <w:highlight w:val="none"/>
          <w:lang w:val="en-US" w:eastAsia="zh-CN"/>
        </w:rPr>
        <w:t>格式3、商务条款偏离表</w:t>
      </w:r>
      <w:bookmarkEnd w:id="565"/>
      <w:bookmarkEnd w:id="566"/>
      <w:bookmarkEnd w:id="567"/>
      <w:bookmarkEnd w:id="568"/>
      <w:bookmarkEnd w:id="569"/>
    </w:p>
    <w:p w14:paraId="0D73A789">
      <w:pPr>
        <w:widowControl/>
        <w:spacing w:line="360" w:lineRule="auto"/>
        <w:ind w:left="-134" w:leftChars="-64"/>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须逐条对应</w:t>
      </w:r>
      <w:r>
        <w:rPr>
          <w:rFonts w:hint="eastAsia" w:ascii="仿宋" w:hAnsi="仿宋" w:eastAsia="仿宋" w:cs="仿宋"/>
          <w:color w:val="auto"/>
          <w:sz w:val="24"/>
          <w:highlight w:val="none"/>
          <w:lang w:eastAsia="zh-CN"/>
        </w:rPr>
        <w:t>招标文件</w:t>
      </w:r>
      <w:r>
        <w:rPr>
          <w:rFonts w:hint="eastAsia" w:ascii="仿宋" w:hAnsi="仿宋" w:eastAsia="仿宋" w:cs="仿宋"/>
          <w:color w:val="auto"/>
          <w:sz w:val="24"/>
          <w:highlight w:val="none"/>
        </w:rPr>
        <w:t>中要求的商务条款认真填写该表；</w:t>
      </w:r>
    </w:p>
    <w:p w14:paraId="28EEF60F">
      <w:pPr>
        <w:widowControl/>
        <w:spacing w:line="360" w:lineRule="auto"/>
        <w:ind w:left="-134" w:leftChars="-64"/>
        <w:rPr>
          <w:rFonts w:hint="eastAsia" w:ascii="仿宋" w:hAnsi="仿宋" w:eastAsia="仿宋" w:cs="仿宋"/>
          <w:color w:val="auto"/>
          <w:sz w:val="24"/>
          <w:highlight w:val="none"/>
        </w:rPr>
      </w:pPr>
      <w:r>
        <w:rPr>
          <w:rFonts w:hint="eastAsia" w:ascii="仿宋" w:hAnsi="仿宋" w:eastAsia="仿宋" w:cs="仿宋"/>
          <w:color w:val="auto"/>
          <w:sz w:val="24"/>
          <w:highlight w:val="none"/>
        </w:rPr>
        <w:t>2.商务条款是指：</w:t>
      </w:r>
      <w:r>
        <w:rPr>
          <w:rFonts w:hint="eastAsia" w:ascii="仿宋" w:hAnsi="仿宋" w:eastAsia="仿宋" w:cs="仿宋"/>
          <w:color w:val="auto"/>
          <w:sz w:val="24"/>
          <w:highlight w:val="none"/>
          <w:lang w:eastAsia="zh-CN"/>
        </w:rPr>
        <w:t>招标文件</w:t>
      </w:r>
      <w:r>
        <w:rPr>
          <w:rFonts w:hint="eastAsia" w:ascii="仿宋" w:hAnsi="仿宋" w:eastAsia="仿宋" w:cs="仿宋"/>
          <w:color w:val="auto"/>
          <w:sz w:val="24"/>
          <w:highlight w:val="none"/>
        </w:rPr>
        <w:t>中要求的合</w:t>
      </w:r>
      <w:r>
        <w:rPr>
          <w:rFonts w:hint="eastAsia" w:ascii="仿宋" w:hAnsi="仿宋" w:eastAsia="仿宋" w:cs="仿宋"/>
          <w:b/>
          <w:bCs/>
          <w:color w:val="auto"/>
          <w:sz w:val="24"/>
          <w:highlight w:val="none"/>
        </w:rPr>
        <w:t>同履行期限、质量要求、质保期限</w:t>
      </w:r>
      <w:r>
        <w:rPr>
          <w:rFonts w:hint="eastAsia" w:ascii="仿宋" w:hAnsi="仿宋" w:eastAsia="仿宋" w:cs="仿宋"/>
          <w:b/>
          <w:bCs/>
          <w:color w:val="auto"/>
          <w:sz w:val="24"/>
          <w:highlight w:val="none"/>
          <w:lang w:eastAsia="zh-CN"/>
        </w:rPr>
        <w:t>、备品备件要求、</w:t>
      </w:r>
      <w:r>
        <w:rPr>
          <w:rFonts w:hint="eastAsia" w:ascii="仿宋" w:hAnsi="仿宋" w:eastAsia="仿宋" w:cs="Times New Roman"/>
          <w:b/>
          <w:bCs/>
          <w:color w:val="auto"/>
          <w:sz w:val="24"/>
          <w:szCs w:val="24"/>
          <w:highlight w:val="none"/>
          <w:vertAlign w:val="baseline"/>
          <w:lang w:val="en-US" w:eastAsia="zh-CN"/>
        </w:rPr>
        <w:t>其他相关要求</w:t>
      </w:r>
      <w:r>
        <w:rPr>
          <w:rFonts w:hint="eastAsia" w:ascii="仿宋" w:hAnsi="仿宋" w:eastAsia="仿宋" w:cs="仿宋"/>
          <w:color w:val="auto"/>
          <w:sz w:val="24"/>
          <w:highlight w:val="none"/>
        </w:rPr>
        <w:t>等要求。</w:t>
      </w:r>
    </w:p>
    <w:p w14:paraId="72625545">
      <w:pPr>
        <w:widowControl/>
        <w:spacing w:line="360" w:lineRule="auto"/>
        <w:ind w:left="-134" w:leftChars="-64"/>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★未填写本表格的</w:t>
      </w:r>
      <w:r>
        <w:rPr>
          <w:rFonts w:hint="eastAsia" w:ascii="仿宋" w:hAnsi="仿宋" w:eastAsia="仿宋" w:cs="仿宋"/>
          <w:b/>
          <w:bCs/>
          <w:color w:val="auto"/>
          <w:sz w:val="24"/>
          <w:highlight w:val="none"/>
          <w:lang w:eastAsia="zh-CN"/>
        </w:rPr>
        <w:t>投标人</w:t>
      </w:r>
      <w:r>
        <w:rPr>
          <w:rFonts w:hint="eastAsia" w:ascii="仿宋" w:hAnsi="仿宋" w:eastAsia="仿宋" w:cs="仿宋"/>
          <w:b/>
          <w:bCs/>
          <w:color w:val="auto"/>
          <w:sz w:val="24"/>
          <w:highlight w:val="none"/>
        </w:rPr>
        <w:t>将不能通过</w:t>
      </w:r>
      <w:r>
        <w:rPr>
          <w:rFonts w:hint="eastAsia" w:ascii="仿宋" w:hAnsi="仿宋" w:eastAsia="仿宋" w:cs="仿宋"/>
          <w:b/>
          <w:bCs/>
          <w:color w:val="auto"/>
          <w:sz w:val="24"/>
          <w:highlight w:val="none"/>
          <w:lang w:val="en-US" w:eastAsia="zh-CN"/>
        </w:rPr>
        <w:t>符合性评审</w:t>
      </w:r>
      <w:r>
        <w:rPr>
          <w:rFonts w:hint="eastAsia" w:ascii="仿宋" w:hAnsi="仿宋" w:eastAsia="仿宋" w:cs="仿宋"/>
          <w:b/>
          <w:bCs/>
          <w:color w:val="auto"/>
          <w:sz w:val="24"/>
          <w:highlight w:val="none"/>
        </w:rPr>
        <w:t>。</w:t>
      </w:r>
    </w:p>
    <w:p w14:paraId="416E1E45">
      <w:pPr>
        <w:widowControl/>
        <w:spacing w:line="360" w:lineRule="auto"/>
        <w:ind w:left="-134" w:leftChars="-64"/>
        <w:rPr>
          <w:rFonts w:hint="eastAsia" w:ascii="仿宋" w:hAnsi="仿宋" w:eastAsia="仿宋" w:cs="仿宋"/>
          <w:color w:val="auto"/>
          <w:sz w:val="24"/>
          <w:highlight w:val="none"/>
        </w:rPr>
      </w:pPr>
      <w:r>
        <w:rPr>
          <w:rFonts w:hint="eastAsia" w:ascii="仿宋" w:hAnsi="仿宋" w:eastAsia="仿宋" w:cs="仿宋"/>
          <w:color w:val="auto"/>
          <w:sz w:val="24"/>
          <w:highlight w:val="none"/>
        </w:rPr>
        <w:t>A、</w:t>
      </w:r>
      <w:r>
        <w:rPr>
          <w:rFonts w:hint="eastAsia" w:ascii="仿宋" w:hAnsi="仿宋" w:eastAsia="仿宋" w:cs="仿宋"/>
          <w:color w:val="auto"/>
          <w:sz w:val="24"/>
          <w:highlight w:val="none"/>
        </w:rPr>
        <w:sym w:font="Wingdings 2" w:char="F0A3"/>
      </w:r>
      <w:r>
        <w:rPr>
          <w:rFonts w:hint="eastAsia" w:ascii="仿宋" w:hAnsi="仿宋" w:eastAsia="仿宋" w:cs="仿宋"/>
          <w:color w:val="auto"/>
          <w:sz w:val="24"/>
          <w:highlight w:val="none"/>
        </w:rPr>
        <w:t>我公司已详细阅读</w:t>
      </w:r>
      <w:r>
        <w:rPr>
          <w:rFonts w:hint="eastAsia" w:ascii="仿宋" w:hAnsi="仿宋" w:eastAsia="仿宋" w:cs="仿宋"/>
          <w:color w:val="auto"/>
          <w:sz w:val="24"/>
          <w:highlight w:val="none"/>
          <w:lang w:eastAsia="zh-CN"/>
        </w:rPr>
        <w:t>招标文件</w:t>
      </w:r>
      <w:r>
        <w:rPr>
          <w:rFonts w:hint="eastAsia" w:ascii="仿宋" w:hAnsi="仿宋" w:eastAsia="仿宋" w:cs="仿宋"/>
          <w:color w:val="auto"/>
          <w:sz w:val="24"/>
          <w:highlight w:val="none"/>
        </w:rPr>
        <w:t>中各项商务要求，所有商务要求均无偏离，成交后我公司将严格遵照执行。</w:t>
      </w:r>
    </w:p>
    <w:p w14:paraId="388C0D9D">
      <w:pPr>
        <w:widowControl/>
        <w:spacing w:line="360" w:lineRule="auto"/>
        <w:ind w:left="-134" w:leftChars="-64"/>
        <w:rPr>
          <w:rFonts w:hint="eastAsia" w:ascii="仿宋" w:hAnsi="仿宋" w:eastAsia="仿宋" w:cs="仿宋"/>
          <w:color w:val="auto"/>
          <w:sz w:val="24"/>
          <w:highlight w:val="none"/>
        </w:rPr>
      </w:pPr>
      <w:r>
        <w:rPr>
          <w:rFonts w:hint="eastAsia" w:ascii="仿宋" w:hAnsi="仿宋" w:eastAsia="仿宋" w:cs="仿宋"/>
          <w:color w:val="auto"/>
          <w:sz w:val="24"/>
          <w:highlight w:val="none"/>
        </w:rPr>
        <w:t>B、</w:t>
      </w:r>
      <w:r>
        <w:rPr>
          <w:rFonts w:hint="eastAsia" w:ascii="仿宋" w:hAnsi="仿宋" w:eastAsia="仿宋" w:cs="仿宋"/>
          <w:color w:val="auto"/>
          <w:sz w:val="24"/>
          <w:highlight w:val="none"/>
        </w:rPr>
        <w:sym w:font="Wingdings 2" w:char="F0A3"/>
      </w:r>
      <w:r>
        <w:rPr>
          <w:rFonts w:hint="eastAsia" w:ascii="仿宋" w:hAnsi="仿宋" w:eastAsia="仿宋" w:cs="仿宋"/>
          <w:color w:val="auto"/>
          <w:sz w:val="24"/>
          <w:highlight w:val="none"/>
        </w:rPr>
        <w:t>我公司已详细阅读</w:t>
      </w:r>
      <w:r>
        <w:rPr>
          <w:rFonts w:hint="eastAsia" w:ascii="仿宋" w:hAnsi="仿宋" w:eastAsia="仿宋" w:cs="仿宋"/>
          <w:color w:val="auto"/>
          <w:sz w:val="24"/>
          <w:highlight w:val="none"/>
          <w:lang w:eastAsia="zh-CN"/>
        </w:rPr>
        <w:t>招标文件</w:t>
      </w:r>
      <w:r>
        <w:rPr>
          <w:rFonts w:hint="eastAsia" w:ascii="仿宋" w:hAnsi="仿宋" w:eastAsia="仿宋" w:cs="仿宋"/>
          <w:color w:val="auto"/>
          <w:sz w:val="24"/>
          <w:highlight w:val="none"/>
        </w:rPr>
        <w:t>中各项商务要求，除下述条款有偏离外，其余条款我公司均予以认可，成交后将严格遵照执行。</w:t>
      </w:r>
    </w:p>
    <w:p w14:paraId="6FF323FD">
      <w:pPr>
        <w:widowControl/>
        <w:spacing w:line="360" w:lineRule="auto"/>
        <w:ind w:left="-134" w:leftChars="-64"/>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14:paraId="5DB88696">
      <w:pPr>
        <w:widowControl/>
        <w:spacing w:line="360" w:lineRule="auto"/>
        <w:ind w:left="-134" w:leftChars="-64"/>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val="en-US" w:eastAsia="zh-CN"/>
        </w:rPr>
        <w:t>项目</w:t>
      </w:r>
      <w:r>
        <w:rPr>
          <w:rFonts w:hint="eastAsia" w:ascii="仿宋" w:hAnsi="仿宋" w:eastAsia="仿宋" w:cs="仿宋"/>
          <w:color w:val="auto"/>
          <w:sz w:val="24"/>
          <w:highlight w:val="none"/>
          <w:lang w:eastAsia="zh-CN"/>
        </w:rPr>
        <w:t>编号</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tbl>
      <w:tblPr>
        <w:tblStyle w:val="41"/>
        <w:tblW w:w="99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3212"/>
        <w:gridCol w:w="2705"/>
        <w:gridCol w:w="1842"/>
        <w:gridCol w:w="1450"/>
      </w:tblGrid>
      <w:tr w14:paraId="3EFD3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755" w:type="dxa"/>
            <w:shd w:val="clear" w:color="auto" w:fill="F7CAAC" w:themeFill="accent2" w:themeFillTint="66"/>
            <w:vAlign w:val="center"/>
          </w:tcPr>
          <w:p w14:paraId="0B101511">
            <w:pPr>
              <w:widowControl/>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3212" w:type="dxa"/>
            <w:shd w:val="clear" w:color="auto" w:fill="F7CAAC" w:themeFill="accent2" w:themeFillTint="66"/>
            <w:vAlign w:val="center"/>
          </w:tcPr>
          <w:p w14:paraId="0304E839">
            <w:pPr>
              <w:widowControl/>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招标文件</w:t>
            </w:r>
            <w:r>
              <w:rPr>
                <w:rFonts w:hint="eastAsia" w:ascii="仿宋" w:hAnsi="仿宋" w:eastAsia="仿宋" w:cs="仿宋"/>
                <w:color w:val="auto"/>
                <w:sz w:val="24"/>
                <w:highlight w:val="none"/>
              </w:rPr>
              <w:t>中的商务条款</w:t>
            </w:r>
          </w:p>
        </w:tc>
        <w:tc>
          <w:tcPr>
            <w:tcW w:w="2705" w:type="dxa"/>
            <w:shd w:val="clear" w:color="auto" w:fill="F7CAAC" w:themeFill="accent2" w:themeFillTint="66"/>
            <w:vAlign w:val="center"/>
          </w:tcPr>
          <w:p w14:paraId="6E4D8B47">
            <w:pPr>
              <w:widowControl/>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投标文件</w:t>
            </w:r>
            <w:r>
              <w:rPr>
                <w:rFonts w:hint="eastAsia" w:ascii="仿宋" w:hAnsi="仿宋" w:eastAsia="仿宋" w:cs="仿宋"/>
                <w:color w:val="auto"/>
                <w:sz w:val="24"/>
                <w:highlight w:val="none"/>
              </w:rPr>
              <w:t>中的商务条款</w:t>
            </w:r>
          </w:p>
        </w:tc>
        <w:tc>
          <w:tcPr>
            <w:tcW w:w="1842" w:type="dxa"/>
            <w:shd w:val="clear" w:color="auto" w:fill="F7CAAC" w:themeFill="accent2" w:themeFillTint="66"/>
            <w:vAlign w:val="center"/>
          </w:tcPr>
          <w:p w14:paraId="2FE501F5">
            <w:pPr>
              <w:widowControl/>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响应情况说明</w:t>
            </w:r>
          </w:p>
        </w:tc>
        <w:tc>
          <w:tcPr>
            <w:tcW w:w="1450" w:type="dxa"/>
            <w:shd w:val="clear" w:color="auto" w:fill="F7CAAC" w:themeFill="accent2" w:themeFillTint="66"/>
            <w:vAlign w:val="center"/>
          </w:tcPr>
          <w:p w14:paraId="7F88D26A">
            <w:pPr>
              <w:widowControl/>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r>
      <w:tr w14:paraId="45281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55" w:type="dxa"/>
            <w:vAlign w:val="center"/>
          </w:tcPr>
          <w:p w14:paraId="136C5F7D">
            <w:pPr>
              <w:widowControl/>
              <w:spacing w:line="360" w:lineRule="auto"/>
              <w:jc w:val="center"/>
              <w:rPr>
                <w:rFonts w:hint="eastAsia" w:ascii="仿宋" w:hAnsi="仿宋" w:eastAsia="仿宋" w:cs="仿宋"/>
                <w:color w:val="auto"/>
                <w:sz w:val="24"/>
                <w:highlight w:val="none"/>
              </w:rPr>
            </w:pPr>
          </w:p>
        </w:tc>
        <w:tc>
          <w:tcPr>
            <w:tcW w:w="3212" w:type="dxa"/>
            <w:vAlign w:val="center"/>
          </w:tcPr>
          <w:p w14:paraId="3F97F69B">
            <w:pPr>
              <w:widowControl/>
              <w:spacing w:line="360" w:lineRule="auto"/>
              <w:jc w:val="center"/>
              <w:rPr>
                <w:rFonts w:hint="eastAsia" w:ascii="仿宋" w:hAnsi="仿宋" w:eastAsia="仿宋" w:cs="仿宋"/>
                <w:color w:val="auto"/>
                <w:sz w:val="24"/>
                <w:highlight w:val="none"/>
              </w:rPr>
            </w:pPr>
          </w:p>
        </w:tc>
        <w:tc>
          <w:tcPr>
            <w:tcW w:w="2705" w:type="dxa"/>
            <w:vAlign w:val="center"/>
          </w:tcPr>
          <w:p w14:paraId="43DC7AFD">
            <w:pPr>
              <w:widowControl/>
              <w:spacing w:line="360" w:lineRule="auto"/>
              <w:jc w:val="center"/>
              <w:rPr>
                <w:rFonts w:hint="eastAsia" w:ascii="仿宋" w:hAnsi="仿宋" w:eastAsia="仿宋" w:cs="仿宋"/>
                <w:color w:val="auto"/>
                <w:sz w:val="24"/>
                <w:highlight w:val="none"/>
              </w:rPr>
            </w:pPr>
          </w:p>
        </w:tc>
        <w:tc>
          <w:tcPr>
            <w:tcW w:w="1842" w:type="dxa"/>
            <w:vAlign w:val="center"/>
          </w:tcPr>
          <w:p w14:paraId="7C671E36">
            <w:pPr>
              <w:widowControl/>
              <w:spacing w:line="360" w:lineRule="auto"/>
              <w:jc w:val="center"/>
              <w:rPr>
                <w:rFonts w:hint="eastAsia" w:ascii="仿宋" w:hAnsi="仿宋" w:eastAsia="仿宋" w:cs="仿宋"/>
                <w:color w:val="auto"/>
                <w:sz w:val="24"/>
                <w:highlight w:val="none"/>
              </w:rPr>
            </w:pPr>
          </w:p>
        </w:tc>
        <w:tc>
          <w:tcPr>
            <w:tcW w:w="1450" w:type="dxa"/>
            <w:vAlign w:val="center"/>
          </w:tcPr>
          <w:p w14:paraId="1AFF09D0">
            <w:pPr>
              <w:widowControl/>
              <w:spacing w:line="360" w:lineRule="auto"/>
              <w:jc w:val="center"/>
              <w:rPr>
                <w:rFonts w:hint="eastAsia" w:ascii="仿宋" w:hAnsi="仿宋" w:eastAsia="仿宋" w:cs="仿宋"/>
                <w:color w:val="auto"/>
                <w:sz w:val="24"/>
                <w:highlight w:val="none"/>
              </w:rPr>
            </w:pPr>
          </w:p>
        </w:tc>
      </w:tr>
      <w:tr w14:paraId="310FA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55" w:type="dxa"/>
            <w:vAlign w:val="center"/>
          </w:tcPr>
          <w:p w14:paraId="2F20EF23">
            <w:pPr>
              <w:widowControl/>
              <w:spacing w:line="360" w:lineRule="auto"/>
              <w:jc w:val="center"/>
              <w:rPr>
                <w:rFonts w:hint="eastAsia" w:ascii="仿宋" w:hAnsi="仿宋" w:eastAsia="仿宋" w:cs="仿宋"/>
                <w:color w:val="auto"/>
                <w:sz w:val="24"/>
                <w:highlight w:val="none"/>
              </w:rPr>
            </w:pPr>
          </w:p>
        </w:tc>
        <w:tc>
          <w:tcPr>
            <w:tcW w:w="3212" w:type="dxa"/>
            <w:vAlign w:val="center"/>
          </w:tcPr>
          <w:p w14:paraId="1D82CB0A">
            <w:pPr>
              <w:widowControl/>
              <w:spacing w:line="360" w:lineRule="auto"/>
              <w:jc w:val="center"/>
              <w:rPr>
                <w:rFonts w:hint="eastAsia" w:ascii="仿宋" w:hAnsi="仿宋" w:eastAsia="仿宋" w:cs="仿宋"/>
                <w:color w:val="auto"/>
                <w:sz w:val="24"/>
                <w:highlight w:val="none"/>
              </w:rPr>
            </w:pPr>
          </w:p>
        </w:tc>
        <w:tc>
          <w:tcPr>
            <w:tcW w:w="2705" w:type="dxa"/>
            <w:vAlign w:val="center"/>
          </w:tcPr>
          <w:p w14:paraId="3DB3F063">
            <w:pPr>
              <w:widowControl/>
              <w:spacing w:line="360" w:lineRule="auto"/>
              <w:jc w:val="center"/>
              <w:rPr>
                <w:rFonts w:hint="eastAsia" w:ascii="仿宋" w:hAnsi="仿宋" w:eastAsia="仿宋" w:cs="仿宋"/>
                <w:color w:val="auto"/>
                <w:sz w:val="24"/>
                <w:highlight w:val="none"/>
              </w:rPr>
            </w:pPr>
          </w:p>
        </w:tc>
        <w:tc>
          <w:tcPr>
            <w:tcW w:w="1842" w:type="dxa"/>
            <w:vAlign w:val="center"/>
          </w:tcPr>
          <w:p w14:paraId="3B19D0D2">
            <w:pPr>
              <w:widowControl/>
              <w:spacing w:line="360" w:lineRule="auto"/>
              <w:jc w:val="center"/>
              <w:rPr>
                <w:rFonts w:hint="eastAsia" w:ascii="仿宋" w:hAnsi="仿宋" w:eastAsia="仿宋" w:cs="仿宋"/>
                <w:color w:val="auto"/>
                <w:sz w:val="24"/>
                <w:highlight w:val="none"/>
              </w:rPr>
            </w:pPr>
          </w:p>
        </w:tc>
        <w:tc>
          <w:tcPr>
            <w:tcW w:w="1450" w:type="dxa"/>
            <w:vAlign w:val="center"/>
          </w:tcPr>
          <w:p w14:paraId="686CCD5F">
            <w:pPr>
              <w:widowControl/>
              <w:spacing w:line="360" w:lineRule="auto"/>
              <w:jc w:val="center"/>
              <w:rPr>
                <w:rFonts w:hint="eastAsia" w:ascii="仿宋" w:hAnsi="仿宋" w:eastAsia="仿宋" w:cs="仿宋"/>
                <w:color w:val="auto"/>
                <w:sz w:val="24"/>
                <w:highlight w:val="none"/>
              </w:rPr>
            </w:pPr>
          </w:p>
        </w:tc>
      </w:tr>
      <w:tr w14:paraId="2633A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55" w:type="dxa"/>
            <w:vAlign w:val="center"/>
          </w:tcPr>
          <w:p w14:paraId="3FB2E212">
            <w:pPr>
              <w:widowControl/>
              <w:spacing w:line="360" w:lineRule="auto"/>
              <w:jc w:val="center"/>
              <w:rPr>
                <w:rFonts w:hint="eastAsia" w:ascii="仿宋" w:hAnsi="仿宋" w:eastAsia="仿宋" w:cs="仿宋"/>
                <w:color w:val="auto"/>
                <w:sz w:val="24"/>
                <w:highlight w:val="none"/>
              </w:rPr>
            </w:pPr>
          </w:p>
        </w:tc>
        <w:tc>
          <w:tcPr>
            <w:tcW w:w="3212" w:type="dxa"/>
            <w:vAlign w:val="center"/>
          </w:tcPr>
          <w:p w14:paraId="4C97A614">
            <w:pPr>
              <w:widowControl/>
              <w:spacing w:line="360" w:lineRule="auto"/>
              <w:jc w:val="center"/>
              <w:rPr>
                <w:rFonts w:hint="eastAsia" w:ascii="仿宋" w:hAnsi="仿宋" w:eastAsia="仿宋" w:cs="仿宋"/>
                <w:color w:val="auto"/>
                <w:sz w:val="24"/>
                <w:highlight w:val="none"/>
              </w:rPr>
            </w:pPr>
          </w:p>
        </w:tc>
        <w:tc>
          <w:tcPr>
            <w:tcW w:w="2705" w:type="dxa"/>
            <w:vAlign w:val="center"/>
          </w:tcPr>
          <w:p w14:paraId="70CB296D">
            <w:pPr>
              <w:widowControl/>
              <w:spacing w:line="360" w:lineRule="auto"/>
              <w:jc w:val="center"/>
              <w:rPr>
                <w:rFonts w:hint="eastAsia" w:ascii="仿宋" w:hAnsi="仿宋" w:eastAsia="仿宋" w:cs="仿宋"/>
                <w:color w:val="auto"/>
                <w:sz w:val="24"/>
                <w:highlight w:val="none"/>
              </w:rPr>
            </w:pPr>
          </w:p>
        </w:tc>
        <w:tc>
          <w:tcPr>
            <w:tcW w:w="1842" w:type="dxa"/>
            <w:vAlign w:val="center"/>
          </w:tcPr>
          <w:p w14:paraId="3D012479">
            <w:pPr>
              <w:widowControl/>
              <w:spacing w:line="360" w:lineRule="auto"/>
              <w:jc w:val="center"/>
              <w:rPr>
                <w:rFonts w:hint="eastAsia" w:ascii="仿宋" w:hAnsi="仿宋" w:eastAsia="仿宋" w:cs="仿宋"/>
                <w:color w:val="auto"/>
                <w:sz w:val="24"/>
                <w:highlight w:val="none"/>
              </w:rPr>
            </w:pPr>
          </w:p>
        </w:tc>
        <w:tc>
          <w:tcPr>
            <w:tcW w:w="1450" w:type="dxa"/>
            <w:vAlign w:val="center"/>
          </w:tcPr>
          <w:p w14:paraId="6FE102C2">
            <w:pPr>
              <w:widowControl/>
              <w:spacing w:line="360" w:lineRule="auto"/>
              <w:jc w:val="center"/>
              <w:rPr>
                <w:rFonts w:hint="eastAsia" w:ascii="仿宋" w:hAnsi="仿宋" w:eastAsia="仿宋" w:cs="仿宋"/>
                <w:color w:val="auto"/>
                <w:sz w:val="24"/>
                <w:highlight w:val="none"/>
              </w:rPr>
            </w:pPr>
          </w:p>
        </w:tc>
      </w:tr>
      <w:tr w14:paraId="089EF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55" w:type="dxa"/>
            <w:vAlign w:val="center"/>
          </w:tcPr>
          <w:p w14:paraId="278B9712">
            <w:pPr>
              <w:widowControl/>
              <w:spacing w:line="360" w:lineRule="auto"/>
              <w:jc w:val="center"/>
              <w:rPr>
                <w:rFonts w:hint="eastAsia" w:ascii="仿宋" w:hAnsi="仿宋" w:eastAsia="仿宋" w:cs="仿宋"/>
                <w:color w:val="auto"/>
                <w:sz w:val="24"/>
                <w:highlight w:val="none"/>
              </w:rPr>
            </w:pPr>
          </w:p>
        </w:tc>
        <w:tc>
          <w:tcPr>
            <w:tcW w:w="3212" w:type="dxa"/>
            <w:vAlign w:val="center"/>
          </w:tcPr>
          <w:p w14:paraId="312F674E">
            <w:pPr>
              <w:widowControl/>
              <w:spacing w:line="360" w:lineRule="auto"/>
              <w:jc w:val="center"/>
              <w:rPr>
                <w:rFonts w:hint="eastAsia" w:ascii="仿宋" w:hAnsi="仿宋" w:eastAsia="仿宋" w:cs="仿宋"/>
                <w:color w:val="auto"/>
                <w:sz w:val="24"/>
                <w:highlight w:val="none"/>
              </w:rPr>
            </w:pPr>
          </w:p>
        </w:tc>
        <w:tc>
          <w:tcPr>
            <w:tcW w:w="2705" w:type="dxa"/>
            <w:vAlign w:val="center"/>
          </w:tcPr>
          <w:p w14:paraId="029AE60B">
            <w:pPr>
              <w:widowControl/>
              <w:spacing w:line="360" w:lineRule="auto"/>
              <w:jc w:val="center"/>
              <w:rPr>
                <w:rFonts w:hint="eastAsia" w:ascii="仿宋" w:hAnsi="仿宋" w:eastAsia="仿宋" w:cs="仿宋"/>
                <w:color w:val="auto"/>
                <w:sz w:val="24"/>
                <w:highlight w:val="none"/>
              </w:rPr>
            </w:pPr>
          </w:p>
        </w:tc>
        <w:tc>
          <w:tcPr>
            <w:tcW w:w="1842" w:type="dxa"/>
            <w:vAlign w:val="center"/>
          </w:tcPr>
          <w:p w14:paraId="0B77EB26">
            <w:pPr>
              <w:widowControl/>
              <w:spacing w:line="360" w:lineRule="auto"/>
              <w:jc w:val="center"/>
              <w:rPr>
                <w:rFonts w:hint="eastAsia" w:ascii="仿宋" w:hAnsi="仿宋" w:eastAsia="仿宋" w:cs="仿宋"/>
                <w:color w:val="auto"/>
                <w:sz w:val="24"/>
                <w:highlight w:val="none"/>
              </w:rPr>
            </w:pPr>
          </w:p>
        </w:tc>
        <w:tc>
          <w:tcPr>
            <w:tcW w:w="1450" w:type="dxa"/>
            <w:vAlign w:val="center"/>
          </w:tcPr>
          <w:p w14:paraId="1284B84C">
            <w:pPr>
              <w:widowControl/>
              <w:spacing w:line="360" w:lineRule="auto"/>
              <w:jc w:val="center"/>
              <w:rPr>
                <w:rFonts w:hint="eastAsia" w:ascii="仿宋" w:hAnsi="仿宋" w:eastAsia="仿宋" w:cs="仿宋"/>
                <w:color w:val="auto"/>
                <w:sz w:val="24"/>
                <w:highlight w:val="none"/>
              </w:rPr>
            </w:pPr>
          </w:p>
        </w:tc>
      </w:tr>
      <w:tr w14:paraId="4B80E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5" w:type="dxa"/>
            <w:vAlign w:val="center"/>
          </w:tcPr>
          <w:p w14:paraId="5623BF38">
            <w:pPr>
              <w:widowControl/>
              <w:spacing w:line="360" w:lineRule="auto"/>
              <w:jc w:val="center"/>
              <w:rPr>
                <w:rFonts w:hint="eastAsia" w:ascii="仿宋" w:hAnsi="仿宋" w:eastAsia="仿宋" w:cs="仿宋"/>
                <w:color w:val="auto"/>
                <w:sz w:val="24"/>
                <w:highlight w:val="none"/>
              </w:rPr>
            </w:pPr>
          </w:p>
        </w:tc>
        <w:tc>
          <w:tcPr>
            <w:tcW w:w="3212" w:type="dxa"/>
            <w:vAlign w:val="center"/>
          </w:tcPr>
          <w:p w14:paraId="346BBBBF">
            <w:pPr>
              <w:widowControl/>
              <w:spacing w:line="360" w:lineRule="auto"/>
              <w:jc w:val="center"/>
              <w:rPr>
                <w:rFonts w:hint="eastAsia" w:ascii="仿宋" w:hAnsi="仿宋" w:eastAsia="仿宋" w:cs="仿宋"/>
                <w:color w:val="auto"/>
                <w:sz w:val="24"/>
                <w:highlight w:val="none"/>
              </w:rPr>
            </w:pPr>
          </w:p>
        </w:tc>
        <w:tc>
          <w:tcPr>
            <w:tcW w:w="2705" w:type="dxa"/>
            <w:vAlign w:val="center"/>
          </w:tcPr>
          <w:p w14:paraId="240E5BDD">
            <w:pPr>
              <w:widowControl/>
              <w:spacing w:line="360" w:lineRule="auto"/>
              <w:jc w:val="center"/>
              <w:rPr>
                <w:rFonts w:hint="eastAsia" w:ascii="仿宋" w:hAnsi="仿宋" w:eastAsia="仿宋" w:cs="仿宋"/>
                <w:color w:val="auto"/>
                <w:sz w:val="24"/>
                <w:highlight w:val="none"/>
              </w:rPr>
            </w:pPr>
          </w:p>
        </w:tc>
        <w:tc>
          <w:tcPr>
            <w:tcW w:w="1842" w:type="dxa"/>
            <w:vAlign w:val="center"/>
          </w:tcPr>
          <w:p w14:paraId="55E70014">
            <w:pPr>
              <w:widowControl/>
              <w:spacing w:line="360" w:lineRule="auto"/>
              <w:jc w:val="center"/>
              <w:rPr>
                <w:rFonts w:hint="eastAsia" w:ascii="仿宋" w:hAnsi="仿宋" w:eastAsia="仿宋" w:cs="仿宋"/>
                <w:color w:val="auto"/>
                <w:sz w:val="24"/>
                <w:highlight w:val="none"/>
              </w:rPr>
            </w:pPr>
          </w:p>
        </w:tc>
        <w:tc>
          <w:tcPr>
            <w:tcW w:w="1450" w:type="dxa"/>
            <w:vAlign w:val="center"/>
          </w:tcPr>
          <w:p w14:paraId="19FAF475">
            <w:pPr>
              <w:widowControl/>
              <w:spacing w:line="360" w:lineRule="auto"/>
              <w:jc w:val="center"/>
              <w:rPr>
                <w:rFonts w:hint="eastAsia" w:ascii="仿宋" w:hAnsi="仿宋" w:eastAsia="仿宋" w:cs="仿宋"/>
                <w:color w:val="auto"/>
                <w:sz w:val="24"/>
                <w:highlight w:val="none"/>
              </w:rPr>
            </w:pPr>
          </w:p>
        </w:tc>
      </w:tr>
    </w:tbl>
    <w:p w14:paraId="56192480">
      <w:pPr>
        <w:widowControl/>
        <w:spacing w:line="360" w:lineRule="auto"/>
        <w:rPr>
          <w:rFonts w:hint="eastAsia" w:ascii="仿宋" w:hAnsi="仿宋" w:eastAsia="仿宋" w:cs="仿宋"/>
          <w:b/>
          <w:bCs/>
          <w:color w:val="auto"/>
          <w:sz w:val="22"/>
          <w:szCs w:val="28"/>
          <w:highlight w:val="none"/>
        </w:rPr>
      </w:pPr>
      <w:r>
        <w:rPr>
          <w:rFonts w:hint="eastAsia" w:ascii="仿宋" w:hAnsi="仿宋" w:eastAsia="仿宋" w:cs="仿宋"/>
          <w:b/>
          <w:bCs/>
          <w:color w:val="auto"/>
          <w:sz w:val="22"/>
          <w:szCs w:val="28"/>
          <w:highlight w:val="none"/>
        </w:rPr>
        <w:t>表格填写说明：</w:t>
      </w:r>
    </w:p>
    <w:p w14:paraId="1D9A3897">
      <w:pPr>
        <w:widowControl/>
        <w:numPr>
          <w:ilvl w:val="0"/>
          <w:numId w:val="0"/>
        </w:numPr>
        <w:spacing w:line="360" w:lineRule="auto"/>
        <w:ind w:firstLine="480" w:firstLineChars="200"/>
        <w:rPr>
          <w:rFonts w:hint="eastAsia" w:ascii="仿宋" w:hAnsi="仿宋" w:eastAsia="仿宋" w:cs="仿宋"/>
          <w:color w:val="auto"/>
          <w:sz w:val="24"/>
          <w:szCs w:val="32"/>
          <w:highlight w:val="none"/>
        </w:rPr>
      </w:pPr>
      <w:r>
        <w:rPr>
          <w:rFonts w:hint="eastAsia" w:ascii="仿宋" w:hAnsi="仿宋" w:eastAsia="仿宋" w:cs="仿宋"/>
          <w:color w:val="auto"/>
          <w:kern w:val="2"/>
          <w:sz w:val="24"/>
          <w:szCs w:val="32"/>
          <w:highlight w:val="none"/>
          <w:lang w:val="en-US" w:eastAsia="zh-CN" w:bidi="ar-SA"/>
        </w:rPr>
        <w:t>1.</w:t>
      </w:r>
      <w:r>
        <w:rPr>
          <w:rFonts w:hint="eastAsia" w:ascii="仿宋" w:hAnsi="仿宋" w:eastAsia="仿宋" w:cs="仿宋"/>
          <w:color w:val="auto"/>
          <w:sz w:val="22"/>
          <w:szCs w:val="28"/>
          <w:highlight w:val="none"/>
          <w:lang w:eastAsia="zh-CN"/>
        </w:rPr>
        <w:t>投标人</w:t>
      </w:r>
      <w:r>
        <w:rPr>
          <w:rFonts w:hint="eastAsia" w:ascii="仿宋" w:hAnsi="仿宋" w:eastAsia="仿宋" w:cs="仿宋"/>
          <w:color w:val="auto"/>
          <w:sz w:val="22"/>
          <w:szCs w:val="28"/>
          <w:highlight w:val="none"/>
        </w:rPr>
        <w:t>应根据实际情况，填写本表格，若无偏离，则勾选A项，签字盖章即可。若有偏离，则勾选B项，按表格要求及实际情况填写后，签字盖章。2、表格中“</w:t>
      </w:r>
      <w:r>
        <w:rPr>
          <w:rFonts w:hint="eastAsia" w:ascii="仿宋" w:hAnsi="仿宋" w:eastAsia="仿宋" w:cs="仿宋"/>
          <w:color w:val="auto"/>
          <w:sz w:val="22"/>
          <w:szCs w:val="28"/>
          <w:highlight w:val="none"/>
          <w:lang w:eastAsia="zh-CN"/>
        </w:rPr>
        <w:t>招标文件</w:t>
      </w:r>
      <w:r>
        <w:rPr>
          <w:rFonts w:hint="eastAsia" w:ascii="仿宋" w:hAnsi="仿宋" w:eastAsia="仿宋" w:cs="仿宋"/>
          <w:color w:val="auto"/>
          <w:sz w:val="22"/>
          <w:szCs w:val="28"/>
          <w:highlight w:val="none"/>
        </w:rPr>
        <w:t>的商务条款要求”在填写时应注明该条款在</w:t>
      </w:r>
      <w:r>
        <w:rPr>
          <w:rFonts w:hint="eastAsia" w:ascii="仿宋" w:hAnsi="仿宋" w:eastAsia="仿宋" w:cs="仿宋"/>
          <w:color w:val="auto"/>
          <w:sz w:val="22"/>
          <w:szCs w:val="28"/>
          <w:highlight w:val="none"/>
          <w:lang w:eastAsia="zh-CN"/>
        </w:rPr>
        <w:t>招标文件</w:t>
      </w:r>
      <w:r>
        <w:rPr>
          <w:rFonts w:hint="eastAsia" w:ascii="仿宋" w:hAnsi="仿宋" w:eastAsia="仿宋" w:cs="仿宋"/>
          <w:color w:val="auto"/>
          <w:sz w:val="22"/>
          <w:szCs w:val="28"/>
          <w:highlight w:val="none"/>
        </w:rPr>
        <w:t>中的页码及条款号。3、表格中“</w:t>
      </w:r>
      <w:r>
        <w:rPr>
          <w:rFonts w:hint="eastAsia" w:ascii="仿宋" w:hAnsi="仿宋" w:eastAsia="仿宋" w:cs="仿宋"/>
          <w:color w:val="auto"/>
          <w:sz w:val="22"/>
          <w:szCs w:val="28"/>
          <w:highlight w:val="none"/>
          <w:lang w:eastAsia="zh-CN"/>
        </w:rPr>
        <w:t>招标文件</w:t>
      </w:r>
      <w:r>
        <w:rPr>
          <w:rFonts w:hint="eastAsia" w:ascii="仿宋" w:hAnsi="仿宋" w:eastAsia="仿宋" w:cs="仿宋"/>
          <w:color w:val="auto"/>
          <w:sz w:val="22"/>
          <w:szCs w:val="28"/>
          <w:highlight w:val="none"/>
        </w:rPr>
        <w:t>的商务条款”请根据实际响应情况如实、完整、准确的填写。4、本表格中内容与</w:t>
      </w:r>
      <w:r>
        <w:rPr>
          <w:rFonts w:hint="eastAsia" w:ascii="仿宋" w:hAnsi="仿宋" w:eastAsia="仿宋" w:cs="仿宋"/>
          <w:color w:val="auto"/>
          <w:sz w:val="22"/>
          <w:szCs w:val="28"/>
          <w:highlight w:val="none"/>
          <w:lang w:eastAsia="zh-CN"/>
        </w:rPr>
        <w:t>招标文件</w:t>
      </w:r>
      <w:r>
        <w:rPr>
          <w:rFonts w:hint="eastAsia" w:ascii="仿宋" w:hAnsi="仿宋" w:eastAsia="仿宋" w:cs="仿宋"/>
          <w:color w:val="auto"/>
          <w:sz w:val="22"/>
          <w:szCs w:val="28"/>
          <w:highlight w:val="none"/>
        </w:rPr>
        <w:t>其余部分不一致的，以不利于</w:t>
      </w:r>
      <w:r>
        <w:rPr>
          <w:rFonts w:hint="eastAsia" w:ascii="仿宋" w:hAnsi="仿宋" w:eastAsia="仿宋" w:cs="仿宋"/>
          <w:color w:val="auto"/>
          <w:sz w:val="22"/>
          <w:szCs w:val="28"/>
          <w:highlight w:val="none"/>
          <w:lang w:eastAsia="zh-CN"/>
        </w:rPr>
        <w:t>投标人</w:t>
      </w:r>
      <w:r>
        <w:rPr>
          <w:rFonts w:hint="eastAsia" w:ascii="仿宋" w:hAnsi="仿宋" w:eastAsia="仿宋" w:cs="仿宋"/>
          <w:color w:val="auto"/>
          <w:sz w:val="22"/>
          <w:szCs w:val="28"/>
          <w:highlight w:val="none"/>
        </w:rPr>
        <w:t>的位置为准。</w:t>
      </w:r>
    </w:p>
    <w:p w14:paraId="37076E1D">
      <w:pPr>
        <w:bidi w:val="0"/>
        <w:rPr>
          <w:rFonts w:hint="eastAsia"/>
          <w:color w:val="auto"/>
          <w:highlight w:val="none"/>
          <w:lang w:eastAsia="zh-CN"/>
        </w:rPr>
      </w:pPr>
    </w:p>
    <w:p w14:paraId="5ABB3052">
      <w:pPr>
        <w:bidi w:val="0"/>
        <w:rPr>
          <w:rFonts w:hint="eastAsia"/>
          <w:color w:val="auto"/>
          <w:highlight w:val="none"/>
          <w:lang w:val="en-US" w:eastAsia="zh-CN"/>
        </w:rPr>
      </w:pPr>
    </w:p>
    <w:p w14:paraId="0721EC26">
      <w:pPr>
        <w:spacing w:line="360" w:lineRule="auto"/>
        <w:ind w:firstLine="510"/>
        <w:rPr>
          <w:rFonts w:ascii="仿宋" w:hAnsi="仿宋" w:eastAsia="仿宋"/>
          <w:color w:val="auto"/>
          <w:sz w:val="24"/>
          <w:szCs w:val="20"/>
          <w:highlight w:val="none"/>
        </w:rPr>
      </w:pPr>
      <w:r>
        <w:rPr>
          <w:rFonts w:hint="eastAsia" w:ascii="仿宋" w:hAnsi="仿宋" w:eastAsia="仿宋"/>
          <w:color w:val="auto"/>
          <w:sz w:val="24"/>
          <w:szCs w:val="20"/>
          <w:highlight w:val="none"/>
        </w:rPr>
        <w:t>投标人（</w:t>
      </w:r>
      <w:r>
        <w:rPr>
          <w:rFonts w:hint="eastAsia" w:ascii="仿宋" w:hAnsi="仿宋" w:eastAsia="仿宋"/>
          <w:color w:val="auto"/>
          <w:sz w:val="24"/>
          <w:szCs w:val="20"/>
          <w:highlight w:val="none"/>
          <w:lang w:eastAsia="zh-CN"/>
        </w:rPr>
        <w:t>电子签章</w:t>
      </w:r>
      <w:r>
        <w:rPr>
          <w:rFonts w:hint="eastAsia" w:ascii="仿宋" w:hAnsi="仿宋" w:eastAsia="仿宋"/>
          <w:color w:val="auto"/>
          <w:sz w:val="24"/>
          <w:szCs w:val="20"/>
          <w:highlight w:val="none"/>
        </w:rPr>
        <w:t>）：</w:t>
      </w:r>
      <w:r>
        <w:rPr>
          <w:rFonts w:hint="eastAsia" w:ascii="仿宋" w:hAnsi="仿宋" w:eastAsia="仿宋"/>
          <w:color w:val="auto"/>
          <w:sz w:val="24"/>
          <w:szCs w:val="20"/>
          <w:highlight w:val="none"/>
          <w:u w:val="single"/>
        </w:rPr>
        <w:t xml:space="preserve">                                        </w:t>
      </w:r>
    </w:p>
    <w:p w14:paraId="6E6457E5">
      <w:pPr>
        <w:spacing w:line="360" w:lineRule="auto"/>
        <w:ind w:firstLine="510"/>
        <w:rPr>
          <w:rFonts w:ascii="仿宋" w:hAnsi="仿宋" w:eastAsia="仿宋"/>
          <w:color w:val="auto"/>
          <w:sz w:val="24"/>
          <w:szCs w:val="20"/>
          <w:highlight w:val="none"/>
        </w:rPr>
      </w:pPr>
      <w:r>
        <w:rPr>
          <w:rFonts w:hint="eastAsia" w:ascii="仿宋" w:hAnsi="仿宋" w:eastAsia="仿宋"/>
          <w:color w:val="auto"/>
          <w:sz w:val="24"/>
          <w:szCs w:val="24"/>
          <w:highlight w:val="none"/>
        </w:rPr>
        <w:t>法定代表人或委托代理人（</w:t>
      </w:r>
      <w:r>
        <w:rPr>
          <w:rFonts w:hint="eastAsia" w:ascii="仿宋" w:hAnsi="仿宋" w:eastAsia="仿宋" w:cs="仿宋"/>
          <w:color w:val="auto"/>
          <w:sz w:val="24"/>
          <w:szCs w:val="24"/>
          <w:highlight w:val="none"/>
        </w:rPr>
        <w:t>签字或电子签章</w:t>
      </w:r>
      <w:r>
        <w:rPr>
          <w:rFonts w:hint="eastAsia" w:ascii="仿宋" w:hAnsi="仿宋" w:eastAsia="仿宋"/>
          <w:color w:val="auto"/>
          <w:sz w:val="24"/>
          <w:szCs w:val="24"/>
          <w:highlight w:val="none"/>
        </w:rPr>
        <w:t>）</w:t>
      </w:r>
      <w:r>
        <w:rPr>
          <w:rFonts w:hint="eastAsia" w:ascii="仿宋" w:hAnsi="仿宋" w:eastAsia="仿宋"/>
          <w:color w:val="auto"/>
          <w:sz w:val="24"/>
          <w:szCs w:val="20"/>
          <w:highlight w:val="none"/>
        </w:rPr>
        <w:t>：</w:t>
      </w:r>
      <w:r>
        <w:rPr>
          <w:rFonts w:hint="eastAsia" w:ascii="仿宋" w:hAnsi="仿宋" w:eastAsia="仿宋"/>
          <w:color w:val="auto"/>
          <w:sz w:val="24"/>
          <w:szCs w:val="20"/>
          <w:highlight w:val="none"/>
          <w:u w:val="single"/>
        </w:rPr>
        <w:t xml:space="preserve">                        </w:t>
      </w:r>
    </w:p>
    <w:p w14:paraId="5C904B0D">
      <w:pPr>
        <w:spacing w:line="360" w:lineRule="auto"/>
        <w:ind w:firstLine="480" w:firstLineChars="200"/>
        <w:rPr>
          <w:rFonts w:ascii="仿宋" w:hAnsi="仿宋" w:eastAsia="仿宋"/>
          <w:color w:val="auto"/>
          <w:sz w:val="28"/>
          <w:szCs w:val="21"/>
          <w:highlight w:val="none"/>
        </w:rPr>
      </w:pPr>
      <w:r>
        <w:rPr>
          <w:rFonts w:hint="eastAsia" w:ascii="仿宋" w:hAnsi="仿宋" w:eastAsia="仿宋"/>
          <w:color w:val="auto"/>
          <w:sz w:val="24"/>
          <w:szCs w:val="20"/>
          <w:highlight w:val="none"/>
        </w:rPr>
        <w:t>日  期：</w:t>
      </w:r>
      <w:r>
        <w:rPr>
          <w:rFonts w:hint="eastAsia" w:ascii="仿宋" w:hAnsi="仿宋" w:eastAsia="仿宋"/>
          <w:color w:val="auto"/>
          <w:sz w:val="24"/>
          <w:szCs w:val="20"/>
          <w:highlight w:val="none"/>
          <w:u w:val="single"/>
        </w:rPr>
        <w:t xml:space="preserve">       </w:t>
      </w:r>
      <w:r>
        <w:rPr>
          <w:rFonts w:hint="eastAsia" w:ascii="仿宋" w:hAnsi="仿宋" w:eastAsia="仿宋"/>
          <w:color w:val="auto"/>
          <w:sz w:val="24"/>
          <w:szCs w:val="20"/>
          <w:highlight w:val="none"/>
        </w:rPr>
        <w:t>年</w:t>
      </w:r>
      <w:r>
        <w:rPr>
          <w:rFonts w:hint="eastAsia" w:ascii="仿宋" w:hAnsi="仿宋" w:eastAsia="仿宋"/>
          <w:color w:val="auto"/>
          <w:sz w:val="24"/>
          <w:szCs w:val="20"/>
          <w:highlight w:val="none"/>
          <w:u w:val="single"/>
        </w:rPr>
        <w:t xml:space="preserve">    </w:t>
      </w:r>
      <w:r>
        <w:rPr>
          <w:rFonts w:hint="eastAsia" w:ascii="仿宋" w:hAnsi="仿宋" w:eastAsia="仿宋"/>
          <w:color w:val="auto"/>
          <w:sz w:val="24"/>
          <w:szCs w:val="20"/>
          <w:highlight w:val="none"/>
        </w:rPr>
        <w:t>月</w:t>
      </w:r>
      <w:r>
        <w:rPr>
          <w:rFonts w:hint="eastAsia" w:ascii="仿宋" w:hAnsi="仿宋" w:eastAsia="仿宋"/>
          <w:color w:val="auto"/>
          <w:sz w:val="24"/>
          <w:szCs w:val="20"/>
          <w:highlight w:val="none"/>
          <w:u w:val="single"/>
        </w:rPr>
        <w:t xml:space="preserve">    </w:t>
      </w:r>
      <w:r>
        <w:rPr>
          <w:rFonts w:hint="eastAsia" w:ascii="仿宋" w:hAnsi="仿宋" w:eastAsia="仿宋"/>
          <w:color w:val="auto"/>
          <w:sz w:val="24"/>
          <w:szCs w:val="20"/>
          <w:highlight w:val="none"/>
        </w:rPr>
        <w:t>日</w:t>
      </w:r>
    </w:p>
    <w:p w14:paraId="755D5CCB">
      <w:pPr>
        <w:bidi w:val="0"/>
        <w:rPr>
          <w:rFonts w:hint="eastAsia"/>
          <w:color w:val="auto"/>
          <w:highlight w:val="none"/>
          <w:lang w:val="en-US" w:eastAsia="zh-CN"/>
        </w:rPr>
      </w:pPr>
    </w:p>
    <w:p w14:paraId="5FDC53AC">
      <w:pPr>
        <w:bidi w:val="0"/>
        <w:rPr>
          <w:rFonts w:hint="eastAsia"/>
          <w:color w:val="auto"/>
          <w:highlight w:val="none"/>
          <w:lang w:val="en-US" w:eastAsia="zh-CN"/>
        </w:rPr>
      </w:pPr>
    </w:p>
    <w:p w14:paraId="4E9C8764">
      <w:pPr>
        <w:bidi w:val="0"/>
        <w:rPr>
          <w:rFonts w:hint="eastAsia"/>
          <w:color w:val="auto"/>
          <w:highlight w:val="none"/>
          <w:lang w:val="en-US" w:eastAsia="zh-CN"/>
        </w:rPr>
      </w:pPr>
    </w:p>
    <w:p w14:paraId="0F466287">
      <w:pPr>
        <w:bidi w:val="0"/>
        <w:rPr>
          <w:rFonts w:hint="eastAsia"/>
          <w:color w:val="auto"/>
          <w:highlight w:val="none"/>
          <w:lang w:val="en-US" w:eastAsia="zh-CN"/>
        </w:rPr>
      </w:pPr>
    </w:p>
    <w:p w14:paraId="6FE2E669">
      <w:pPr>
        <w:pStyle w:val="6"/>
        <w:bidi w:val="0"/>
        <w:ind w:left="0" w:leftChars="0" w:firstLine="0" w:firstLineChars="0"/>
        <w:jc w:val="center"/>
        <w:rPr>
          <w:rFonts w:hint="default" w:ascii="仿宋" w:hAnsi="仿宋" w:eastAsia="仿宋" w:cs="仿宋"/>
          <w:color w:val="auto"/>
          <w:highlight w:val="none"/>
          <w:lang w:val="en-US" w:eastAsia="zh-CN"/>
        </w:rPr>
      </w:pPr>
      <w:bookmarkStart w:id="570" w:name="_Toc14229"/>
      <w:bookmarkStart w:id="571" w:name="_Toc28788"/>
      <w:bookmarkStart w:id="572" w:name="_Toc3995"/>
      <w:bookmarkStart w:id="573" w:name="_Toc11321"/>
      <w:bookmarkStart w:id="574" w:name="_Toc16116"/>
      <w:r>
        <w:rPr>
          <w:rFonts w:hint="eastAsia" w:ascii="仿宋" w:hAnsi="仿宋" w:eastAsia="仿宋" w:cs="仿宋"/>
          <w:color w:val="auto"/>
          <w:highlight w:val="none"/>
          <w:lang w:val="en-US" w:eastAsia="zh-CN"/>
        </w:rPr>
        <w:t>格式</w:t>
      </w:r>
      <w:bookmarkEnd w:id="561"/>
      <w:bookmarkEnd w:id="570"/>
      <w:bookmarkEnd w:id="571"/>
      <w:bookmarkEnd w:id="572"/>
      <w:bookmarkStart w:id="575" w:name="_Toc32330"/>
      <w:bookmarkStart w:id="576" w:name="_Toc22897"/>
      <w:bookmarkStart w:id="577" w:name="_Toc30469"/>
      <w:bookmarkStart w:id="578" w:name="_Toc5730"/>
      <w:bookmarkStart w:id="579" w:name="_Toc11531"/>
      <w:bookmarkStart w:id="580" w:name="_Toc26936"/>
      <w:bookmarkStart w:id="581" w:name="_Toc46259251"/>
      <w:bookmarkStart w:id="582" w:name="_Toc27701"/>
      <w:bookmarkStart w:id="583" w:name="_Toc17358"/>
      <w:r>
        <w:rPr>
          <w:rFonts w:hint="eastAsia" w:ascii="仿宋" w:hAnsi="仿宋" w:eastAsia="仿宋" w:cs="仿宋"/>
          <w:color w:val="auto"/>
          <w:highlight w:val="none"/>
          <w:lang w:val="en-US" w:eastAsia="zh-CN"/>
        </w:rPr>
        <w:t>4、售后服务方案</w:t>
      </w:r>
      <w:bookmarkEnd w:id="573"/>
      <w:bookmarkEnd w:id="574"/>
      <w:bookmarkEnd w:id="575"/>
      <w:bookmarkEnd w:id="576"/>
      <w:bookmarkEnd w:id="577"/>
    </w:p>
    <w:p w14:paraId="68DABF49">
      <w:pPr>
        <w:jc w:val="center"/>
        <w:rPr>
          <w:rFonts w:hint="eastAsia" w:ascii="仿宋" w:hAnsi="仿宋" w:eastAsia="仿宋"/>
          <w:color w:val="auto"/>
          <w:sz w:val="24"/>
          <w:szCs w:val="20"/>
          <w:highlight w:val="none"/>
        </w:rPr>
      </w:pPr>
      <w:r>
        <w:rPr>
          <w:rFonts w:hint="eastAsia" w:ascii="仿宋" w:hAnsi="仿宋" w:eastAsia="仿宋"/>
          <w:color w:val="auto"/>
          <w:sz w:val="24"/>
          <w:szCs w:val="20"/>
          <w:highlight w:val="none"/>
        </w:rPr>
        <w:t>【根据评标办法内容提供相关证明材料】</w:t>
      </w:r>
    </w:p>
    <w:p w14:paraId="4CF640E3">
      <w:pPr>
        <w:bidi w:val="0"/>
        <w:rPr>
          <w:rFonts w:hint="eastAsia"/>
        </w:rPr>
      </w:pPr>
    </w:p>
    <w:p w14:paraId="7E103E46">
      <w:pPr>
        <w:bidi w:val="0"/>
        <w:rPr>
          <w:rFonts w:hint="eastAsia"/>
        </w:rPr>
      </w:pPr>
    </w:p>
    <w:p w14:paraId="7E86AD6C">
      <w:pPr>
        <w:pStyle w:val="6"/>
        <w:ind w:left="0" w:leftChars="0" w:firstLine="0" w:firstLineChars="0"/>
        <w:jc w:val="center"/>
        <w:rPr>
          <w:rFonts w:ascii="仿宋" w:hAnsi="仿宋" w:eastAsia="仿宋"/>
          <w:b/>
          <w:color w:val="auto"/>
          <w:sz w:val="28"/>
          <w:szCs w:val="28"/>
          <w:highlight w:val="none"/>
        </w:rPr>
      </w:pPr>
      <w:bookmarkStart w:id="584" w:name="_Toc22962"/>
      <w:bookmarkStart w:id="585" w:name="_Toc25907"/>
      <w:r>
        <w:rPr>
          <w:rFonts w:hint="eastAsia" w:ascii="仿宋" w:hAnsi="仿宋" w:eastAsia="仿宋"/>
          <w:b/>
          <w:bCs/>
          <w:color w:val="auto"/>
          <w:sz w:val="28"/>
          <w:szCs w:val="28"/>
          <w:highlight w:val="none"/>
        </w:rPr>
        <w:t>格式</w:t>
      </w:r>
      <w:r>
        <w:rPr>
          <w:rFonts w:hint="eastAsia" w:ascii="仿宋" w:hAnsi="仿宋" w:eastAsia="仿宋"/>
          <w:b/>
          <w:bCs/>
          <w:color w:val="auto"/>
          <w:sz w:val="28"/>
          <w:szCs w:val="28"/>
          <w:highlight w:val="none"/>
          <w:lang w:val="en-US" w:eastAsia="zh-CN"/>
        </w:rPr>
        <w:t>5</w:t>
      </w:r>
      <w:r>
        <w:rPr>
          <w:rFonts w:hint="eastAsia" w:ascii="仿宋" w:hAnsi="仿宋" w:eastAsia="仿宋"/>
          <w:b/>
          <w:bCs/>
          <w:color w:val="auto"/>
          <w:sz w:val="28"/>
          <w:szCs w:val="28"/>
          <w:highlight w:val="none"/>
        </w:rPr>
        <w:t>、中小企业声明函</w:t>
      </w:r>
      <w:bookmarkEnd w:id="578"/>
      <w:bookmarkEnd w:id="579"/>
      <w:bookmarkEnd w:id="580"/>
      <w:bookmarkEnd w:id="581"/>
      <w:bookmarkEnd w:id="582"/>
      <w:bookmarkEnd w:id="583"/>
      <w:bookmarkEnd w:id="584"/>
      <w:bookmarkEnd w:id="585"/>
    </w:p>
    <w:p w14:paraId="738BF5E4">
      <w:pPr>
        <w:tabs>
          <w:tab w:val="left" w:pos="5580"/>
        </w:tabs>
        <w:spacing w:line="240" w:lineRule="atLeast"/>
        <w:jc w:val="center"/>
        <w:rPr>
          <w:rFonts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《中小企业声明函》（符合《政府采购促进中小企业发展管理办法》（财库[2020]46 号）价格扣减条件的投标人需提交）</w:t>
      </w:r>
    </w:p>
    <w:p w14:paraId="143EE48D">
      <w:pPr>
        <w:spacing w:line="360" w:lineRule="auto"/>
        <w:ind w:firstLine="600" w:firstLineChars="200"/>
        <w:jc w:val="center"/>
        <w:rPr>
          <w:rFonts w:ascii="仿宋" w:hAnsi="仿宋" w:eastAsia="仿宋" w:cs="仿宋"/>
          <w:bCs/>
          <w:i w:val="0"/>
          <w:iCs w:val="0"/>
          <w:color w:val="auto"/>
          <w:sz w:val="30"/>
          <w:szCs w:val="30"/>
          <w:highlight w:val="none"/>
        </w:rPr>
      </w:pPr>
    </w:p>
    <w:p w14:paraId="5925C619">
      <w:pPr>
        <w:spacing w:line="360" w:lineRule="auto"/>
        <w:ind w:firstLine="602" w:firstLineChars="200"/>
        <w:jc w:val="center"/>
        <w:rPr>
          <w:rFonts w:ascii="仿宋" w:hAnsi="仿宋" w:eastAsia="仿宋" w:cs="仿宋"/>
          <w:bCs/>
          <w:i w:val="0"/>
          <w:iCs w:val="0"/>
          <w:color w:val="auto"/>
          <w:sz w:val="30"/>
          <w:szCs w:val="30"/>
          <w:highlight w:val="none"/>
        </w:rPr>
      </w:pPr>
      <w:r>
        <w:rPr>
          <w:rFonts w:hint="eastAsia" w:ascii="仿宋" w:hAnsi="仿宋" w:eastAsia="仿宋" w:cs="仿宋"/>
          <w:b/>
          <w:i w:val="0"/>
          <w:iCs w:val="0"/>
          <w:color w:val="auto"/>
          <w:sz w:val="30"/>
          <w:szCs w:val="30"/>
          <w:highlight w:val="none"/>
        </w:rPr>
        <w:t>中小企业声明函（货物）</w:t>
      </w:r>
    </w:p>
    <w:p w14:paraId="78371C75">
      <w:pPr>
        <w:snapToGrid w:val="0"/>
        <w:spacing w:line="360" w:lineRule="auto"/>
        <w:ind w:firstLine="480" w:firstLineChars="200"/>
        <w:rPr>
          <w:rFonts w:ascii="仿宋" w:hAnsi="仿宋" w:eastAsia="仿宋" w:cs="仿宋"/>
          <w:bCs/>
          <w:i w:val="0"/>
          <w:iCs w:val="0"/>
          <w:color w:val="auto"/>
          <w:sz w:val="24"/>
          <w:highlight w:val="none"/>
        </w:rPr>
      </w:pPr>
      <w:r>
        <w:rPr>
          <w:rFonts w:hint="eastAsia" w:ascii="仿宋" w:hAnsi="仿宋" w:eastAsia="仿宋" w:cs="仿宋"/>
          <w:bCs/>
          <w:i w:val="0"/>
          <w:iCs w:val="0"/>
          <w:color w:val="auto"/>
          <w:sz w:val="24"/>
          <w:highlight w:val="none"/>
        </w:rPr>
        <w:t>本公司郑重声明，根据《政府采购促进中小企业发展管理办法》（财库﹝2020﹞46 号）的规定，本公司参加</w:t>
      </w:r>
      <w:r>
        <w:rPr>
          <w:rFonts w:hint="eastAsia" w:ascii="仿宋" w:hAnsi="仿宋" w:eastAsia="仿宋" w:cs="仿宋"/>
          <w:bCs/>
          <w:i w:val="0"/>
          <w:iCs w:val="0"/>
          <w:color w:val="auto"/>
          <w:sz w:val="24"/>
          <w:highlight w:val="none"/>
          <w:u w:val="single"/>
        </w:rPr>
        <w:t xml:space="preserve">   （单位名称）    </w:t>
      </w:r>
      <w:r>
        <w:rPr>
          <w:rFonts w:hint="eastAsia" w:ascii="仿宋" w:hAnsi="仿宋" w:eastAsia="仿宋" w:cs="仿宋"/>
          <w:bCs/>
          <w:i w:val="0"/>
          <w:iCs w:val="0"/>
          <w:color w:val="auto"/>
          <w:sz w:val="24"/>
          <w:highlight w:val="none"/>
        </w:rPr>
        <w:t xml:space="preserve"> 的 </w:t>
      </w:r>
      <w:r>
        <w:rPr>
          <w:rFonts w:hint="eastAsia" w:ascii="仿宋" w:hAnsi="仿宋" w:eastAsia="仿宋" w:cs="仿宋"/>
          <w:bCs/>
          <w:i w:val="0"/>
          <w:iCs w:val="0"/>
          <w:color w:val="auto"/>
          <w:sz w:val="24"/>
          <w:highlight w:val="none"/>
          <w:u w:val="single"/>
        </w:rPr>
        <w:t xml:space="preserve">    （项目名称）     </w:t>
      </w:r>
      <w:r>
        <w:rPr>
          <w:rFonts w:hint="eastAsia" w:ascii="仿宋" w:hAnsi="仿宋" w:eastAsia="仿宋" w:cs="仿宋"/>
          <w:bCs/>
          <w:i w:val="0"/>
          <w:iCs w:val="0"/>
          <w:color w:val="auto"/>
          <w:sz w:val="24"/>
          <w:highlight w:val="none"/>
        </w:rPr>
        <w:t>采购活动，提供的货物全部由符合政策要求的中小企业制造。相关企业的具体情况如下：</w:t>
      </w:r>
    </w:p>
    <w:p w14:paraId="7186176B">
      <w:pPr>
        <w:snapToGrid w:val="0"/>
        <w:spacing w:line="360" w:lineRule="auto"/>
        <w:ind w:firstLine="480" w:firstLineChars="200"/>
        <w:rPr>
          <w:rFonts w:ascii="仿宋" w:hAnsi="仿宋" w:eastAsia="仿宋" w:cs="仿宋"/>
          <w:bCs/>
          <w:i w:val="0"/>
          <w:iCs w:val="0"/>
          <w:color w:val="auto"/>
          <w:sz w:val="24"/>
          <w:highlight w:val="none"/>
          <w:u w:val="single"/>
        </w:rPr>
      </w:pPr>
      <w:r>
        <w:rPr>
          <w:rFonts w:hint="eastAsia" w:ascii="仿宋" w:hAnsi="仿宋" w:eastAsia="仿宋" w:cs="仿宋"/>
          <w:bCs/>
          <w:i w:val="0"/>
          <w:iCs w:val="0"/>
          <w:color w:val="auto"/>
          <w:sz w:val="24"/>
          <w:highlight w:val="none"/>
        </w:rPr>
        <w:t>1.</w:t>
      </w:r>
      <w:r>
        <w:rPr>
          <w:rFonts w:hint="eastAsia" w:ascii="仿宋" w:hAnsi="仿宋" w:eastAsia="仿宋" w:cs="仿宋"/>
          <w:bCs/>
          <w:i w:val="0"/>
          <w:iCs w:val="0"/>
          <w:color w:val="auto"/>
          <w:sz w:val="24"/>
          <w:highlight w:val="none"/>
          <w:u w:val="single"/>
        </w:rPr>
        <w:t xml:space="preserve">    （标的名称）    </w:t>
      </w:r>
      <w:r>
        <w:rPr>
          <w:rFonts w:hint="eastAsia" w:ascii="仿宋" w:hAnsi="仿宋" w:eastAsia="仿宋" w:cs="仿宋"/>
          <w:bCs/>
          <w:i w:val="0"/>
          <w:iCs w:val="0"/>
          <w:color w:val="auto"/>
          <w:sz w:val="24"/>
          <w:highlight w:val="none"/>
        </w:rPr>
        <w:t>，属于</w:t>
      </w:r>
      <w:r>
        <w:rPr>
          <w:rFonts w:hint="eastAsia" w:ascii="仿宋" w:hAnsi="仿宋" w:eastAsia="仿宋" w:cs="仿宋"/>
          <w:bCs/>
          <w:i w:val="0"/>
          <w:iCs w:val="0"/>
          <w:color w:val="auto"/>
          <w:sz w:val="24"/>
          <w:highlight w:val="none"/>
          <w:u w:val="single"/>
        </w:rPr>
        <w:t xml:space="preserve">     （</w:t>
      </w:r>
      <w:r>
        <w:rPr>
          <w:rFonts w:hint="eastAsia" w:ascii="仿宋" w:hAnsi="仿宋" w:eastAsia="仿宋" w:cs="仿宋"/>
          <w:bCs/>
          <w:i w:val="0"/>
          <w:iCs w:val="0"/>
          <w:color w:val="auto"/>
          <w:sz w:val="24"/>
          <w:highlight w:val="none"/>
          <w:u w:val="single"/>
          <w:lang w:eastAsia="zh-CN"/>
        </w:rPr>
        <w:t>招标文件</w:t>
      </w:r>
      <w:r>
        <w:rPr>
          <w:rFonts w:hint="eastAsia" w:ascii="仿宋" w:hAnsi="仿宋" w:eastAsia="仿宋" w:cs="仿宋"/>
          <w:bCs/>
          <w:i w:val="0"/>
          <w:iCs w:val="0"/>
          <w:color w:val="auto"/>
          <w:sz w:val="24"/>
          <w:highlight w:val="none"/>
          <w:u w:val="single"/>
        </w:rPr>
        <w:t xml:space="preserve">中明确的所属行业）    </w:t>
      </w:r>
      <w:r>
        <w:rPr>
          <w:rFonts w:hint="eastAsia" w:ascii="仿宋" w:hAnsi="仿宋" w:eastAsia="仿宋" w:cs="仿宋"/>
          <w:bCs/>
          <w:i w:val="0"/>
          <w:iCs w:val="0"/>
          <w:color w:val="auto"/>
          <w:sz w:val="24"/>
          <w:highlight w:val="none"/>
        </w:rPr>
        <w:t>行业；制造商为</w:t>
      </w:r>
      <w:r>
        <w:rPr>
          <w:rFonts w:hint="eastAsia" w:ascii="仿宋" w:hAnsi="仿宋" w:eastAsia="仿宋" w:cs="仿宋"/>
          <w:bCs/>
          <w:i w:val="0"/>
          <w:iCs w:val="0"/>
          <w:color w:val="auto"/>
          <w:sz w:val="24"/>
          <w:highlight w:val="none"/>
          <w:u w:val="single"/>
        </w:rPr>
        <w:t xml:space="preserve">     （企业名称）     </w:t>
      </w:r>
      <w:r>
        <w:rPr>
          <w:rFonts w:hint="eastAsia" w:ascii="仿宋" w:hAnsi="仿宋" w:eastAsia="仿宋" w:cs="仿宋"/>
          <w:bCs/>
          <w:i w:val="0"/>
          <w:iCs w:val="0"/>
          <w:color w:val="auto"/>
          <w:sz w:val="24"/>
          <w:highlight w:val="none"/>
        </w:rPr>
        <w:t>，从业人员人</w:t>
      </w:r>
      <w:r>
        <w:rPr>
          <w:rFonts w:hint="eastAsia" w:ascii="仿宋" w:hAnsi="仿宋" w:eastAsia="仿宋" w:cs="仿宋"/>
          <w:bCs/>
          <w:i w:val="0"/>
          <w:iCs w:val="0"/>
          <w:color w:val="auto"/>
          <w:sz w:val="24"/>
          <w:highlight w:val="none"/>
          <w:u w:val="single"/>
        </w:rPr>
        <w:t xml:space="preserve">        </w:t>
      </w:r>
      <w:r>
        <w:rPr>
          <w:rFonts w:hint="eastAsia" w:ascii="仿宋" w:hAnsi="仿宋" w:eastAsia="仿宋" w:cs="仿宋"/>
          <w:bCs/>
          <w:i w:val="0"/>
          <w:iCs w:val="0"/>
          <w:color w:val="auto"/>
          <w:sz w:val="24"/>
          <w:highlight w:val="none"/>
        </w:rPr>
        <w:t>人，营业收入为</w:t>
      </w:r>
      <w:r>
        <w:rPr>
          <w:rFonts w:hint="eastAsia" w:ascii="仿宋" w:hAnsi="仿宋" w:eastAsia="仿宋" w:cs="仿宋"/>
          <w:bCs/>
          <w:i w:val="0"/>
          <w:iCs w:val="0"/>
          <w:color w:val="auto"/>
          <w:sz w:val="24"/>
          <w:highlight w:val="none"/>
          <w:u w:val="single"/>
        </w:rPr>
        <w:t xml:space="preserve">        </w:t>
      </w:r>
      <w:r>
        <w:rPr>
          <w:rFonts w:hint="eastAsia" w:ascii="仿宋" w:hAnsi="仿宋" w:eastAsia="仿宋" w:cs="仿宋"/>
          <w:bCs/>
          <w:i w:val="0"/>
          <w:iCs w:val="0"/>
          <w:color w:val="auto"/>
          <w:sz w:val="24"/>
          <w:highlight w:val="none"/>
        </w:rPr>
        <w:t>万元，资产总额为</w:t>
      </w:r>
      <w:r>
        <w:rPr>
          <w:rFonts w:hint="eastAsia" w:ascii="仿宋" w:hAnsi="仿宋" w:eastAsia="仿宋" w:cs="仿宋"/>
          <w:bCs/>
          <w:i w:val="0"/>
          <w:iCs w:val="0"/>
          <w:color w:val="auto"/>
          <w:sz w:val="24"/>
          <w:highlight w:val="none"/>
          <w:u w:val="single"/>
        </w:rPr>
        <w:t xml:space="preserve">        </w:t>
      </w:r>
      <w:r>
        <w:rPr>
          <w:rFonts w:hint="eastAsia" w:ascii="仿宋" w:hAnsi="仿宋" w:eastAsia="仿宋" w:cs="仿宋"/>
          <w:bCs/>
          <w:i w:val="0"/>
          <w:iCs w:val="0"/>
          <w:color w:val="auto"/>
          <w:sz w:val="24"/>
          <w:highlight w:val="none"/>
        </w:rPr>
        <w:t xml:space="preserve">万元，属于 </w:t>
      </w:r>
      <w:r>
        <w:rPr>
          <w:rFonts w:hint="eastAsia" w:ascii="仿宋" w:hAnsi="仿宋" w:eastAsia="仿宋" w:cs="仿宋"/>
          <w:bCs/>
          <w:i w:val="0"/>
          <w:iCs w:val="0"/>
          <w:color w:val="auto"/>
          <w:sz w:val="24"/>
          <w:highlight w:val="none"/>
          <w:u w:val="single"/>
        </w:rPr>
        <w:t xml:space="preserve">  （中型企业、小型企业、微型企业）     </w:t>
      </w:r>
      <w:r>
        <w:rPr>
          <w:rFonts w:hint="eastAsia" w:ascii="仿宋" w:hAnsi="仿宋" w:eastAsia="仿宋" w:cs="仿宋"/>
          <w:bCs/>
          <w:i w:val="0"/>
          <w:iCs w:val="0"/>
          <w:color w:val="auto"/>
          <w:sz w:val="24"/>
          <w:highlight w:val="none"/>
        </w:rPr>
        <w:t>；</w:t>
      </w:r>
    </w:p>
    <w:p w14:paraId="0321AE1B">
      <w:pPr>
        <w:snapToGrid w:val="0"/>
        <w:spacing w:line="360" w:lineRule="auto"/>
        <w:ind w:firstLine="480" w:firstLineChars="200"/>
        <w:rPr>
          <w:rFonts w:ascii="仿宋" w:hAnsi="仿宋" w:eastAsia="仿宋" w:cs="仿宋"/>
          <w:bCs/>
          <w:i w:val="0"/>
          <w:iCs w:val="0"/>
          <w:color w:val="auto"/>
          <w:sz w:val="24"/>
          <w:highlight w:val="none"/>
        </w:rPr>
      </w:pPr>
      <w:r>
        <w:rPr>
          <w:rFonts w:hint="eastAsia" w:ascii="仿宋" w:hAnsi="仿宋" w:eastAsia="仿宋" w:cs="仿宋"/>
          <w:bCs/>
          <w:i w:val="0"/>
          <w:iCs w:val="0"/>
          <w:color w:val="auto"/>
          <w:sz w:val="24"/>
          <w:highlight w:val="none"/>
        </w:rPr>
        <w:t xml:space="preserve">2. </w:t>
      </w:r>
      <w:r>
        <w:rPr>
          <w:rFonts w:hint="eastAsia" w:ascii="仿宋" w:hAnsi="仿宋" w:eastAsia="仿宋" w:cs="仿宋"/>
          <w:bCs/>
          <w:i w:val="0"/>
          <w:iCs w:val="0"/>
          <w:color w:val="auto"/>
          <w:sz w:val="24"/>
          <w:highlight w:val="none"/>
          <w:u w:val="single"/>
        </w:rPr>
        <w:t xml:space="preserve">    （标的名称）   </w:t>
      </w:r>
      <w:r>
        <w:rPr>
          <w:rFonts w:hint="eastAsia" w:ascii="仿宋" w:hAnsi="仿宋" w:eastAsia="仿宋" w:cs="仿宋"/>
          <w:bCs/>
          <w:i w:val="0"/>
          <w:iCs w:val="0"/>
          <w:color w:val="auto"/>
          <w:sz w:val="24"/>
          <w:highlight w:val="none"/>
        </w:rPr>
        <w:t>，属于</w:t>
      </w:r>
      <w:r>
        <w:rPr>
          <w:rFonts w:hint="eastAsia" w:ascii="仿宋" w:hAnsi="仿宋" w:eastAsia="仿宋" w:cs="仿宋"/>
          <w:bCs/>
          <w:i w:val="0"/>
          <w:iCs w:val="0"/>
          <w:color w:val="auto"/>
          <w:sz w:val="24"/>
          <w:highlight w:val="none"/>
          <w:u w:val="single"/>
        </w:rPr>
        <w:t xml:space="preserve">   （</w:t>
      </w:r>
      <w:r>
        <w:rPr>
          <w:rFonts w:hint="eastAsia" w:ascii="仿宋" w:hAnsi="仿宋" w:eastAsia="仿宋" w:cs="仿宋"/>
          <w:bCs/>
          <w:i w:val="0"/>
          <w:iCs w:val="0"/>
          <w:color w:val="auto"/>
          <w:sz w:val="24"/>
          <w:highlight w:val="none"/>
          <w:u w:val="single"/>
          <w:lang w:eastAsia="zh-CN"/>
        </w:rPr>
        <w:t>招标文件</w:t>
      </w:r>
      <w:r>
        <w:rPr>
          <w:rFonts w:hint="eastAsia" w:ascii="仿宋" w:hAnsi="仿宋" w:eastAsia="仿宋" w:cs="仿宋"/>
          <w:bCs/>
          <w:i w:val="0"/>
          <w:iCs w:val="0"/>
          <w:color w:val="auto"/>
          <w:sz w:val="24"/>
          <w:highlight w:val="none"/>
          <w:u w:val="single"/>
        </w:rPr>
        <w:t xml:space="preserve">中明确的所属行业）    </w:t>
      </w:r>
      <w:r>
        <w:rPr>
          <w:rFonts w:hint="eastAsia" w:ascii="仿宋" w:hAnsi="仿宋" w:eastAsia="仿宋" w:cs="仿宋"/>
          <w:bCs/>
          <w:i w:val="0"/>
          <w:iCs w:val="0"/>
          <w:color w:val="auto"/>
          <w:sz w:val="24"/>
          <w:highlight w:val="none"/>
        </w:rPr>
        <w:t>行业；制造商为</w:t>
      </w:r>
      <w:r>
        <w:rPr>
          <w:rFonts w:hint="eastAsia" w:ascii="仿宋" w:hAnsi="仿宋" w:eastAsia="仿宋" w:cs="仿宋"/>
          <w:bCs/>
          <w:i w:val="0"/>
          <w:iCs w:val="0"/>
          <w:color w:val="auto"/>
          <w:sz w:val="24"/>
          <w:highlight w:val="none"/>
          <w:u w:val="single"/>
        </w:rPr>
        <w:t xml:space="preserve">  （企业名称）   </w:t>
      </w:r>
      <w:r>
        <w:rPr>
          <w:rFonts w:hint="eastAsia" w:ascii="仿宋" w:hAnsi="仿宋" w:eastAsia="仿宋" w:cs="仿宋"/>
          <w:bCs/>
          <w:i w:val="0"/>
          <w:iCs w:val="0"/>
          <w:color w:val="auto"/>
          <w:sz w:val="24"/>
          <w:highlight w:val="none"/>
        </w:rPr>
        <w:t>，从业人员</w:t>
      </w:r>
      <w:r>
        <w:rPr>
          <w:rFonts w:hint="eastAsia" w:ascii="仿宋" w:hAnsi="仿宋" w:eastAsia="仿宋" w:cs="仿宋"/>
          <w:bCs/>
          <w:i w:val="0"/>
          <w:iCs w:val="0"/>
          <w:color w:val="auto"/>
          <w:sz w:val="24"/>
          <w:highlight w:val="none"/>
          <w:u w:val="single"/>
        </w:rPr>
        <w:t xml:space="preserve">       </w:t>
      </w:r>
      <w:r>
        <w:rPr>
          <w:rFonts w:hint="eastAsia" w:ascii="仿宋" w:hAnsi="仿宋" w:eastAsia="仿宋" w:cs="仿宋"/>
          <w:bCs/>
          <w:i w:val="0"/>
          <w:iCs w:val="0"/>
          <w:color w:val="auto"/>
          <w:sz w:val="24"/>
          <w:highlight w:val="none"/>
        </w:rPr>
        <w:t>人，营业收入为</w:t>
      </w:r>
      <w:r>
        <w:rPr>
          <w:rFonts w:hint="eastAsia" w:ascii="仿宋" w:hAnsi="仿宋" w:eastAsia="仿宋" w:cs="仿宋"/>
          <w:bCs/>
          <w:i w:val="0"/>
          <w:iCs w:val="0"/>
          <w:color w:val="auto"/>
          <w:sz w:val="24"/>
          <w:highlight w:val="none"/>
          <w:u w:val="single"/>
        </w:rPr>
        <w:t xml:space="preserve">       </w:t>
      </w:r>
      <w:r>
        <w:rPr>
          <w:rFonts w:hint="eastAsia" w:ascii="仿宋" w:hAnsi="仿宋" w:eastAsia="仿宋" w:cs="仿宋"/>
          <w:bCs/>
          <w:i w:val="0"/>
          <w:iCs w:val="0"/>
          <w:color w:val="auto"/>
          <w:sz w:val="24"/>
          <w:highlight w:val="none"/>
        </w:rPr>
        <w:t>万元，资产总额为</w:t>
      </w:r>
      <w:r>
        <w:rPr>
          <w:rFonts w:hint="eastAsia" w:ascii="仿宋" w:hAnsi="仿宋" w:eastAsia="仿宋" w:cs="仿宋"/>
          <w:bCs/>
          <w:i w:val="0"/>
          <w:iCs w:val="0"/>
          <w:color w:val="auto"/>
          <w:sz w:val="24"/>
          <w:highlight w:val="none"/>
          <w:u w:val="single"/>
        </w:rPr>
        <w:t xml:space="preserve">     </w:t>
      </w:r>
      <w:r>
        <w:rPr>
          <w:rFonts w:hint="eastAsia" w:ascii="仿宋" w:hAnsi="仿宋" w:eastAsia="仿宋" w:cs="仿宋"/>
          <w:bCs/>
          <w:i w:val="0"/>
          <w:iCs w:val="0"/>
          <w:color w:val="auto"/>
          <w:sz w:val="24"/>
          <w:highlight w:val="none"/>
        </w:rPr>
        <w:t>万元，属于</w:t>
      </w:r>
      <w:r>
        <w:rPr>
          <w:rFonts w:hint="eastAsia" w:ascii="仿宋" w:hAnsi="仿宋" w:eastAsia="仿宋" w:cs="仿宋"/>
          <w:bCs/>
          <w:i w:val="0"/>
          <w:iCs w:val="0"/>
          <w:color w:val="auto"/>
          <w:sz w:val="24"/>
          <w:highlight w:val="none"/>
          <w:u w:val="single"/>
        </w:rPr>
        <w:t xml:space="preserve">   （中型企业、小型企业、微型企业）   </w:t>
      </w:r>
      <w:r>
        <w:rPr>
          <w:rFonts w:hint="eastAsia" w:ascii="仿宋" w:hAnsi="仿宋" w:eastAsia="仿宋" w:cs="仿宋"/>
          <w:bCs/>
          <w:i w:val="0"/>
          <w:iCs w:val="0"/>
          <w:color w:val="auto"/>
          <w:sz w:val="24"/>
          <w:highlight w:val="none"/>
        </w:rPr>
        <w:t>；</w:t>
      </w:r>
    </w:p>
    <w:p w14:paraId="3587D2C5">
      <w:pPr>
        <w:snapToGrid w:val="0"/>
        <w:spacing w:line="360" w:lineRule="auto"/>
        <w:ind w:firstLine="480" w:firstLineChars="200"/>
        <w:rPr>
          <w:rFonts w:ascii="仿宋" w:hAnsi="仿宋" w:eastAsia="仿宋" w:cs="仿宋"/>
          <w:bCs/>
          <w:i w:val="0"/>
          <w:iCs w:val="0"/>
          <w:color w:val="auto"/>
          <w:sz w:val="24"/>
          <w:szCs w:val="24"/>
          <w:highlight w:val="none"/>
        </w:rPr>
      </w:pPr>
      <w:r>
        <w:rPr>
          <w:rFonts w:hint="eastAsia" w:ascii="仿宋" w:hAnsi="仿宋" w:eastAsia="仿宋" w:cs="仿宋"/>
          <w:bCs/>
          <w:i w:val="0"/>
          <w:iCs w:val="0"/>
          <w:color w:val="auto"/>
          <w:sz w:val="24"/>
          <w:szCs w:val="24"/>
          <w:highlight w:val="none"/>
        </w:rPr>
        <w:t>……</w:t>
      </w:r>
    </w:p>
    <w:p w14:paraId="25D53B44">
      <w:pPr>
        <w:autoSpaceDE w:val="0"/>
        <w:autoSpaceDN w:val="0"/>
        <w:adjustRightInd w:val="0"/>
        <w:snapToGrid w:val="0"/>
        <w:spacing w:line="360" w:lineRule="auto"/>
        <w:ind w:firstLine="480" w:firstLineChars="200"/>
        <w:jc w:val="left"/>
        <w:rPr>
          <w:rFonts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以上企业，不属于大企业的分支机构，不存在控股股东为大企业的情形，也不存在与大企业的负责人为同一人的情形。</w:t>
      </w:r>
    </w:p>
    <w:p w14:paraId="70C4284F">
      <w:pPr>
        <w:autoSpaceDE w:val="0"/>
        <w:autoSpaceDN w:val="0"/>
        <w:adjustRightInd w:val="0"/>
        <w:snapToGrid w:val="0"/>
        <w:spacing w:line="360" w:lineRule="auto"/>
        <w:ind w:firstLine="480" w:firstLineChars="200"/>
        <w:jc w:val="left"/>
        <w:rPr>
          <w:rFonts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本企业对上述声明内容的真实性负责。如有虚假，将依法承担相应责任。</w:t>
      </w:r>
    </w:p>
    <w:p w14:paraId="7911F421">
      <w:pPr>
        <w:spacing w:line="360" w:lineRule="auto"/>
        <w:ind w:firstLine="510"/>
        <w:rPr>
          <w:rFonts w:hint="eastAsia" w:ascii="仿宋" w:hAnsi="仿宋" w:eastAsia="仿宋"/>
          <w:color w:val="auto"/>
          <w:sz w:val="24"/>
          <w:szCs w:val="20"/>
          <w:highlight w:val="none"/>
        </w:rPr>
      </w:pPr>
    </w:p>
    <w:p w14:paraId="1CF27DFD">
      <w:pPr>
        <w:spacing w:line="360" w:lineRule="auto"/>
        <w:ind w:firstLine="510"/>
        <w:rPr>
          <w:rFonts w:ascii="仿宋" w:hAnsi="仿宋" w:eastAsia="仿宋"/>
          <w:color w:val="auto"/>
          <w:sz w:val="24"/>
          <w:szCs w:val="20"/>
          <w:highlight w:val="none"/>
        </w:rPr>
      </w:pPr>
      <w:r>
        <w:rPr>
          <w:rFonts w:hint="eastAsia" w:ascii="仿宋" w:hAnsi="仿宋" w:eastAsia="仿宋"/>
          <w:color w:val="auto"/>
          <w:sz w:val="24"/>
          <w:szCs w:val="20"/>
          <w:highlight w:val="none"/>
        </w:rPr>
        <w:t>投标人（</w:t>
      </w:r>
      <w:r>
        <w:rPr>
          <w:rFonts w:hint="eastAsia" w:ascii="仿宋" w:hAnsi="仿宋" w:eastAsia="仿宋"/>
          <w:color w:val="auto"/>
          <w:sz w:val="24"/>
          <w:szCs w:val="20"/>
          <w:highlight w:val="none"/>
          <w:lang w:eastAsia="zh-CN"/>
        </w:rPr>
        <w:t>电子签章</w:t>
      </w:r>
      <w:r>
        <w:rPr>
          <w:rFonts w:hint="eastAsia" w:ascii="仿宋" w:hAnsi="仿宋" w:eastAsia="仿宋"/>
          <w:color w:val="auto"/>
          <w:sz w:val="24"/>
          <w:szCs w:val="20"/>
          <w:highlight w:val="none"/>
        </w:rPr>
        <w:t>）：</w:t>
      </w:r>
      <w:r>
        <w:rPr>
          <w:rFonts w:hint="eastAsia" w:ascii="仿宋" w:hAnsi="仿宋" w:eastAsia="仿宋"/>
          <w:color w:val="auto"/>
          <w:sz w:val="24"/>
          <w:szCs w:val="20"/>
          <w:highlight w:val="none"/>
          <w:u w:val="single"/>
        </w:rPr>
        <w:t xml:space="preserve">                                        </w:t>
      </w:r>
    </w:p>
    <w:p w14:paraId="48ABBA61">
      <w:pPr>
        <w:spacing w:line="360" w:lineRule="auto"/>
        <w:ind w:firstLine="510"/>
        <w:rPr>
          <w:rFonts w:ascii="仿宋" w:hAnsi="仿宋" w:eastAsia="仿宋"/>
          <w:color w:val="auto"/>
          <w:sz w:val="24"/>
          <w:szCs w:val="20"/>
          <w:highlight w:val="none"/>
        </w:rPr>
      </w:pPr>
      <w:r>
        <w:rPr>
          <w:rFonts w:hint="eastAsia" w:ascii="仿宋" w:hAnsi="仿宋" w:eastAsia="仿宋"/>
          <w:color w:val="auto"/>
          <w:sz w:val="24"/>
          <w:szCs w:val="24"/>
          <w:highlight w:val="none"/>
        </w:rPr>
        <w:t>法定代表人或委托代理人（</w:t>
      </w:r>
      <w:r>
        <w:rPr>
          <w:rFonts w:hint="eastAsia" w:ascii="仿宋" w:hAnsi="仿宋" w:eastAsia="仿宋" w:cs="仿宋"/>
          <w:color w:val="auto"/>
          <w:sz w:val="24"/>
          <w:szCs w:val="24"/>
          <w:highlight w:val="none"/>
        </w:rPr>
        <w:t>签字或电子签章</w:t>
      </w:r>
      <w:r>
        <w:rPr>
          <w:rFonts w:hint="eastAsia" w:ascii="仿宋" w:hAnsi="仿宋" w:eastAsia="仿宋"/>
          <w:color w:val="auto"/>
          <w:sz w:val="24"/>
          <w:szCs w:val="24"/>
          <w:highlight w:val="none"/>
        </w:rPr>
        <w:t>）</w:t>
      </w:r>
      <w:r>
        <w:rPr>
          <w:rFonts w:hint="eastAsia" w:ascii="仿宋" w:hAnsi="仿宋" w:eastAsia="仿宋"/>
          <w:color w:val="auto"/>
          <w:sz w:val="24"/>
          <w:szCs w:val="20"/>
          <w:highlight w:val="none"/>
        </w:rPr>
        <w:t>：</w:t>
      </w:r>
      <w:r>
        <w:rPr>
          <w:rFonts w:hint="eastAsia" w:ascii="仿宋" w:hAnsi="仿宋" w:eastAsia="仿宋"/>
          <w:color w:val="auto"/>
          <w:sz w:val="24"/>
          <w:szCs w:val="20"/>
          <w:highlight w:val="none"/>
          <w:u w:val="single"/>
        </w:rPr>
        <w:t xml:space="preserve">                        </w:t>
      </w:r>
    </w:p>
    <w:p w14:paraId="388B2F72">
      <w:pPr>
        <w:spacing w:line="360" w:lineRule="auto"/>
        <w:ind w:firstLine="480" w:firstLineChars="200"/>
        <w:rPr>
          <w:rFonts w:ascii="仿宋" w:hAnsi="仿宋" w:eastAsia="仿宋"/>
          <w:color w:val="auto"/>
          <w:sz w:val="24"/>
          <w:szCs w:val="20"/>
          <w:highlight w:val="none"/>
          <w:u w:val="single"/>
        </w:rPr>
      </w:pPr>
      <w:r>
        <w:rPr>
          <w:rFonts w:hint="eastAsia" w:ascii="仿宋" w:hAnsi="仿宋" w:eastAsia="仿宋"/>
          <w:color w:val="auto"/>
          <w:sz w:val="24"/>
          <w:szCs w:val="20"/>
          <w:highlight w:val="none"/>
        </w:rPr>
        <w:t>日  期：</w:t>
      </w:r>
      <w:r>
        <w:rPr>
          <w:rFonts w:hint="eastAsia" w:ascii="仿宋" w:hAnsi="仿宋" w:eastAsia="仿宋"/>
          <w:color w:val="auto"/>
          <w:sz w:val="24"/>
          <w:szCs w:val="20"/>
          <w:highlight w:val="none"/>
          <w:u w:val="single"/>
        </w:rPr>
        <w:t xml:space="preserve">       </w:t>
      </w:r>
      <w:r>
        <w:rPr>
          <w:rFonts w:hint="eastAsia" w:ascii="仿宋" w:hAnsi="仿宋" w:eastAsia="仿宋"/>
          <w:color w:val="auto"/>
          <w:sz w:val="24"/>
          <w:szCs w:val="20"/>
          <w:highlight w:val="none"/>
        </w:rPr>
        <w:t>年</w:t>
      </w:r>
      <w:r>
        <w:rPr>
          <w:rFonts w:hint="eastAsia" w:ascii="仿宋" w:hAnsi="仿宋" w:eastAsia="仿宋"/>
          <w:color w:val="auto"/>
          <w:sz w:val="24"/>
          <w:szCs w:val="20"/>
          <w:highlight w:val="none"/>
          <w:u w:val="single"/>
        </w:rPr>
        <w:t xml:space="preserve">    </w:t>
      </w:r>
      <w:r>
        <w:rPr>
          <w:rFonts w:hint="eastAsia" w:ascii="仿宋" w:hAnsi="仿宋" w:eastAsia="仿宋"/>
          <w:color w:val="auto"/>
          <w:sz w:val="24"/>
          <w:szCs w:val="20"/>
          <w:highlight w:val="none"/>
        </w:rPr>
        <w:t>月</w:t>
      </w:r>
      <w:r>
        <w:rPr>
          <w:rFonts w:hint="eastAsia" w:ascii="仿宋" w:hAnsi="仿宋" w:eastAsia="仿宋"/>
          <w:color w:val="auto"/>
          <w:sz w:val="24"/>
          <w:szCs w:val="20"/>
          <w:highlight w:val="none"/>
          <w:u w:val="single"/>
        </w:rPr>
        <w:t xml:space="preserve">    </w:t>
      </w:r>
      <w:r>
        <w:rPr>
          <w:rFonts w:hint="eastAsia" w:ascii="仿宋" w:hAnsi="仿宋" w:eastAsia="仿宋"/>
          <w:color w:val="auto"/>
          <w:sz w:val="24"/>
          <w:szCs w:val="20"/>
          <w:highlight w:val="none"/>
        </w:rPr>
        <w:t>日</w:t>
      </w:r>
    </w:p>
    <w:p w14:paraId="29B19D66">
      <w:pPr>
        <w:pStyle w:val="246"/>
        <w:spacing w:line="460" w:lineRule="exact"/>
        <w:ind w:firstLine="482"/>
        <w:rPr>
          <w:rFonts w:ascii="仿宋" w:hAnsi="仿宋" w:eastAsia="仿宋"/>
          <w:b/>
          <w:bCs/>
          <w:color w:val="auto"/>
          <w:sz w:val="21"/>
          <w:szCs w:val="21"/>
          <w:highlight w:val="none"/>
        </w:rPr>
      </w:pPr>
      <w:r>
        <w:rPr>
          <w:rFonts w:hint="eastAsia" w:ascii="仿宋" w:hAnsi="仿宋" w:eastAsia="仿宋"/>
          <w:b/>
          <w:bCs/>
          <w:color w:val="auto"/>
          <w:sz w:val="21"/>
          <w:szCs w:val="21"/>
          <w:highlight w:val="none"/>
        </w:rPr>
        <w:t>注：1、符合《政府采购促进中小企业发展管理办法》（财库[2020]46 号）价格扣减条件的</w:t>
      </w:r>
      <w:r>
        <w:rPr>
          <w:rFonts w:hint="eastAsia" w:ascii="仿宋" w:hAnsi="仿宋" w:eastAsia="仿宋"/>
          <w:b/>
          <w:bCs/>
          <w:color w:val="auto"/>
          <w:sz w:val="21"/>
          <w:szCs w:val="21"/>
          <w:highlight w:val="none"/>
          <w:lang w:eastAsia="zh-CN"/>
        </w:rPr>
        <w:t>投标人</w:t>
      </w:r>
      <w:r>
        <w:rPr>
          <w:rFonts w:hint="eastAsia" w:ascii="仿宋" w:hAnsi="仿宋" w:eastAsia="仿宋"/>
          <w:b/>
          <w:bCs/>
          <w:color w:val="auto"/>
          <w:sz w:val="21"/>
          <w:szCs w:val="21"/>
          <w:highlight w:val="none"/>
        </w:rPr>
        <w:t>需提供《中小企业声明函》。</w:t>
      </w:r>
    </w:p>
    <w:p w14:paraId="6BED88A7">
      <w:pPr>
        <w:pStyle w:val="246"/>
        <w:spacing w:line="460" w:lineRule="exact"/>
        <w:ind w:firstLine="482"/>
        <w:rPr>
          <w:rFonts w:ascii="仿宋" w:hAnsi="仿宋" w:eastAsia="仿宋"/>
          <w:b/>
          <w:bCs/>
          <w:color w:val="auto"/>
          <w:sz w:val="21"/>
          <w:szCs w:val="21"/>
          <w:highlight w:val="none"/>
        </w:rPr>
      </w:pPr>
      <w:r>
        <w:rPr>
          <w:rFonts w:hint="eastAsia" w:ascii="仿宋" w:hAnsi="仿宋" w:eastAsia="仿宋"/>
          <w:b/>
          <w:bCs/>
          <w:color w:val="auto"/>
          <w:sz w:val="21"/>
          <w:szCs w:val="21"/>
          <w:highlight w:val="none"/>
        </w:rPr>
        <w:t>2.从业人员、营业收入、资产总额填报上一年度数据，无上一年度数据的新成立企业可不填报。</w:t>
      </w:r>
    </w:p>
    <w:p w14:paraId="13DDFE5C">
      <w:pPr>
        <w:pStyle w:val="246"/>
        <w:spacing w:line="460" w:lineRule="exact"/>
        <w:ind w:firstLine="482"/>
        <w:rPr>
          <w:rFonts w:ascii="仿宋" w:hAnsi="仿宋" w:eastAsia="仿宋"/>
          <w:b/>
          <w:bCs/>
          <w:color w:val="auto"/>
          <w:sz w:val="21"/>
          <w:szCs w:val="21"/>
          <w:highlight w:val="none"/>
        </w:rPr>
      </w:pPr>
      <w:r>
        <w:rPr>
          <w:rFonts w:hint="eastAsia" w:ascii="仿宋" w:hAnsi="仿宋" w:eastAsia="仿宋"/>
          <w:b/>
          <w:bCs/>
          <w:color w:val="auto"/>
          <w:sz w:val="21"/>
          <w:szCs w:val="21"/>
          <w:highlight w:val="none"/>
        </w:rPr>
        <w:t>3.不享受中小企业优先采购政策的</w:t>
      </w:r>
      <w:r>
        <w:rPr>
          <w:rFonts w:hint="eastAsia" w:ascii="仿宋" w:hAnsi="仿宋" w:eastAsia="仿宋"/>
          <w:b/>
          <w:bCs/>
          <w:color w:val="auto"/>
          <w:sz w:val="21"/>
          <w:szCs w:val="21"/>
          <w:highlight w:val="none"/>
          <w:lang w:eastAsia="zh-CN"/>
        </w:rPr>
        <w:t>投标人</w:t>
      </w:r>
      <w:r>
        <w:rPr>
          <w:rFonts w:hint="eastAsia" w:ascii="仿宋" w:hAnsi="仿宋" w:eastAsia="仿宋"/>
          <w:b/>
          <w:bCs/>
          <w:color w:val="auto"/>
          <w:sz w:val="21"/>
          <w:szCs w:val="21"/>
          <w:highlight w:val="none"/>
        </w:rPr>
        <w:t>不需填写《中小企业声明函》</w:t>
      </w:r>
      <w:r>
        <w:rPr>
          <w:rFonts w:hint="eastAsia" w:ascii="仿宋" w:hAnsi="仿宋" w:eastAsia="仿宋" w:cs="宋体"/>
          <w:b/>
          <w:bCs/>
          <w:color w:val="auto"/>
          <w:sz w:val="21"/>
          <w:szCs w:val="21"/>
          <w:highlight w:val="none"/>
        </w:rPr>
        <w:t>。</w:t>
      </w:r>
    </w:p>
    <w:p w14:paraId="146F7C67">
      <w:pPr>
        <w:pStyle w:val="6"/>
        <w:ind w:left="0" w:leftChars="0" w:firstLine="0" w:firstLineChars="0"/>
        <w:jc w:val="center"/>
        <w:rPr>
          <w:rFonts w:ascii="仿宋" w:hAnsi="仿宋" w:eastAsia="仿宋"/>
          <w:b/>
          <w:bCs/>
          <w:color w:val="auto"/>
          <w:sz w:val="28"/>
          <w:szCs w:val="28"/>
          <w:highlight w:val="none"/>
        </w:rPr>
      </w:pPr>
      <w:bookmarkStart w:id="586" w:name="_Toc19033"/>
      <w:bookmarkStart w:id="587" w:name="_Toc828"/>
      <w:bookmarkStart w:id="588" w:name="_Toc4261"/>
      <w:bookmarkStart w:id="589" w:name="_Toc46259252"/>
      <w:bookmarkStart w:id="590" w:name="_Toc27229"/>
      <w:bookmarkStart w:id="591" w:name="_Toc6608"/>
      <w:bookmarkStart w:id="592" w:name="_Toc18595"/>
      <w:bookmarkStart w:id="593" w:name="_Toc1248"/>
      <w:r>
        <w:rPr>
          <w:rFonts w:hint="eastAsia" w:ascii="仿宋" w:hAnsi="仿宋" w:eastAsia="仿宋"/>
          <w:b/>
          <w:bCs/>
          <w:color w:val="auto"/>
          <w:sz w:val="28"/>
          <w:szCs w:val="28"/>
          <w:highlight w:val="none"/>
        </w:rPr>
        <w:t>格式</w:t>
      </w:r>
      <w:r>
        <w:rPr>
          <w:rFonts w:hint="eastAsia" w:ascii="仿宋" w:hAnsi="仿宋" w:eastAsia="仿宋"/>
          <w:b/>
          <w:bCs/>
          <w:color w:val="auto"/>
          <w:sz w:val="28"/>
          <w:szCs w:val="28"/>
          <w:highlight w:val="none"/>
          <w:lang w:val="en-US" w:eastAsia="zh-CN"/>
        </w:rPr>
        <w:t>6</w:t>
      </w:r>
      <w:r>
        <w:rPr>
          <w:rFonts w:hint="eastAsia" w:ascii="仿宋" w:hAnsi="仿宋" w:eastAsia="仿宋"/>
          <w:b/>
          <w:bCs/>
          <w:color w:val="auto"/>
          <w:sz w:val="28"/>
          <w:szCs w:val="28"/>
          <w:highlight w:val="none"/>
        </w:rPr>
        <w:t>、残疾人福利性单位声明函</w:t>
      </w:r>
      <w:bookmarkEnd w:id="586"/>
      <w:bookmarkEnd w:id="587"/>
      <w:bookmarkEnd w:id="588"/>
      <w:bookmarkEnd w:id="589"/>
      <w:bookmarkEnd w:id="590"/>
      <w:bookmarkEnd w:id="591"/>
      <w:bookmarkEnd w:id="592"/>
      <w:bookmarkEnd w:id="593"/>
    </w:p>
    <w:p w14:paraId="6F8A0C56">
      <w:pPr>
        <w:tabs>
          <w:tab w:val="left" w:pos="5580"/>
        </w:tabs>
        <w:spacing w:line="240" w:lineRule="atLeast"/>
        <w:jc w:val="center"/>
        <w:rPr>
          <w:rFonts w:ascii="仿宋" w:hAnsi="仿宋" w:eastAsia="仿宋"/>
          <w:b/>
          <w:color w:val="auto"/>
          <w:sz w:val="28"/>
          <w:highlight w:val="none"/>
        </w:rPr>
      </w:pPr>
    </w:p>
    <w:p w14:paraId="7B7EC18D">
      <w:pPr>
        <w:tabs>
          <w:tab w:val="left" w:pos="5580"/>
        </w:tabs>
        <w:spacing w:line="240" w:lineRule="atLeast"/>
        <w:jc w:val="center"/>
        <w:rPr>
          <w:color w:val="auto"/>
          <w:sz w:val="24"/>
          <w:szCs w:val="24"/>
          <w:highlight w:val="none"/>
        </w:rPr>
      </w:pPr>
      <w:r>
        <w:rPr>
          <w:rFonts w:hint="eastAsia" w:ascii="仿宋" w:hAnsi="仿宋" w:eastAsia="仿宋"/>
          <w:b/>
          <w:color w:val="auto"/>
          <w:sz w:val="24"/>
          <w:szCs w:val="24"/>
          <w:highlight w:val="none"/>
        </w:rPr>
        <w:t>《残疾人福利性单位声明函》（符合《三部门联合发布关于促进残疾人就业政府采购政策的通知》（财库〔2017〕141号）价格扣减条件的投标人须提交）</w:t>
      </w:r>
      <w:bookmarkStart w:id="594" w:name="_Toc503861969"/>
      <w:bookmarkStart w:id="595" w:name="_Toc49721565"/>
      <w:bookmarkStart w:id="596" w:name="_Toc67340756"/>
      <w:bookmarkStart w:id="597" w:name="_Toc69377360"/>
      <w:bookmarkStart w:id="598" w:name="_Toc69823167"/>
      <w:bookmarkStart w:id="599" w:name="_Toc46259253"/>
      <w:bookmarkStart w:id="600" w:name="_Toc67576154"/>
      <w:bookmarkStart w:id="601" w:name="_Toc72315205"/>
      <w:bookmarkStart w:id="602" w:name="OLE_LINK13"/>
      <w:bookmarkStart w:id="603" w:name="OLE_LINK14"/>
    </w:p>
    <w:p w14:paraId="5852B4AF">
      <w:pPr>
        <w:pStyle w:val="246"/>
        <w:ind w:firstLine="482"/>
        <w:jc w:val="center"/>
        <w:rPr>
          <w:rFonts w:ascii="仿宋" w:hAnsi="仿宋" w:eastAsia="仿宋"/>
          <w:b/>
          <w:color w:val="auto"/>
          <w:kern w:val="2"/>
          <w:sz w:val="24"/>
          <w:szCs w:val="24"/>
          <w:highlight w:val="none"/>
          <w:lang w:bidi="ar-SA"/>
        </w:rPr>
      </w:pPr>
      <w:r>
        <w:rPr>
          <w:rFonts w:hint="eastAsia" w:ascii="仿宋" w:hAnsi="仿宋" w:eastAsia="仿宋"/>
          <w:b/>
          <w:color w:val="auto"/>
          <w:kern w:val="2"/>
          <w:sz w:val="24"/>
          <w:szCs w:val="24"/>
          <w:highlight w:val="none"/>
          <w:lang w:bidi="ar-SA"/>
        </w:rPr>
        <w:t>残疾人福利性单位声明函</w:t>
      </w:r>
      <w:bookmarkEnd w:id="594"/>
      <w:bookmarkEnd w:id="595"/>
      <w:bookmarkEnd w:id="596"/>
      <w:bookmarkEnd w:id="597"/>
      <w:bookmarkEnd w:id="598"/>
      <w:bookmarkEnd w:id="599"/>
      <w:bookmarkEnd w:id="600"/>
      <w:bookmarkEnd w:id="601"/>
    </w:p>
    <w:bookmarkEnd w:id="602"/>
    <w:bookmarkEnd w:id="603"/>
    <w:p w14:paraId="2C52BAF1">
      <w:pPr>
        <w:spacing w:line="588" w:lineRule="exact"/>
        <w:ind w:firstLine="504" w:firstLineChars="200"/>
        <w:jc w:val="both"/>
        <w:rPr>
          <w:rFonts w:ascii="仿宋" w:hAnsi="仿宋" w:eastAsia="仿宋"/>
          <w:color w:val="auto"/>
          <w:spacing w:val="6"/>
          <w:sz w:val="24"/>
          <w:szCs w:val="24"/>
          <w:highlight w:val="none"/>
        </w:rPr>
      </w:pPr>
      <w:r>
        <w:rPr>
          <w:rFonts w:hint="eastAsia" w:ascii="仿宋" w:hAnsi="仿宋" w:eastAsia="仿宋"/>
          <w:color w:val="auto"/>
          <w:spacing w:val="6"/>
          <w:sz w:val="24"/>
          <w:szCs w:val="24"/>
          <w:highlight w:val="none"/>
        </w:rPr>
        <w:t>本单位郑重声明，根据《财政部 民政部 中国残疾人联合会关于促进残疾人就业政府采购政策的通知》（财库</w:t>
      </w:r>
      <w:r>
        <w:rPr>
          <w:rFonts w:hint="eastAsia" w:ascii="仿宋" w:hAnsi="仿宋" w:eastAsia="仿宋"/>
          <w:color w:val="auto"/>
          <w:sz w:val="24"/>
          <w:szCs w:val="24"/>
          <w:highlight w:val="none"/>
        </w:rPr>
        <w:t>〔2017〕 141</w:t>
      </w:r>
      <w:r>
        <w:rPr>
          <w:rFonts w:hint="eastAsia" w:ascii="仿宋" w:hAnsi="仿宋" w:eastAsia="仿宋"/>
          <w:color w:val="auto"/>
          <w:spacing w:val="6"/>
          <w:sz w:val="24"/>
          <w:szCs w:val="24"/>
          <w:highlight w:val="none"/>
        </w:rPr>
        <w:t>号）的规定，本单位为符合条件的残疾人福利性单位，且本单位参加</w:t>
      </w:r>
      <w:r>
        <w:rPr>
          <w:rFonts w:hint="eastAsia" w:ascii="仿宋" w:hAnsi="仿宋" w:eastAsia="仿宋"/>
          <w:color w:val="auto"/>
          <w:spacing w:val="6"/>
          <w:sz w:val="24"/>
          <w:szCs w:val="24"/>
          <w:highlight w:val="none"/>
          <w:u w:val="single"/>
        </w:rPr>
        <w:t>______</w:t>
      </w:r>
      <w:r>
        <w:rPr>
          <w:rFonts w:hint="eastAsia" w:ascii="仿宋" w:hAnsi="仿宋" w:eastAsia="仿宋"/>
          <w:color w:val="auto"/>
          <w:spacing w:val="6"/>
          <w:sz w:val="24"/>
          <w:szCs w:val="24"/>
          <w:highlight w:val="none"/>
        </w:rPr>
        <w:t>单位的</w:t>
      </w:r>
      <w:r>
        <w:rPr>
          <w:rFonts w:hint="eastAsia" w:ascii="仿宋" w:hAnsi="仿宋" w:eastAsia="仿宋"/>
          <w:color w:val="auto"/>
          <w:spacing w:val="6"/>
          <w:sz w:val="24"/>
          <w:szCs w:val="24"/>
          <w:highlight w:val="none"/>
          <w:u w:val="single"/>
        </w:rPr>
        <w:t>______</w:t>
      </w:r>
      <w:r>
        <w:rPr>
          <w:rFonts w:hint="eastAsia" w:ascii="仿宋" w:hAnsi="仿宋" w:eastAsia="仿宋"/>
          <w:color w:val="auto"/>
          <w:spacing w:val="6"/>
          <w:sz w:val="24"/>
          <w:szCs w:val="24"/>
          <w:highlight w:val="none"/>
        </w:rPr>
        <w:t>项目采购活动提供本单位制造的货物（由本单位承担工程/提供服务），或者提供其他残疾人福利性单位制造的货物（不包括使用非残疾人福利性单位注册商标的货物）。</w:t>
      </w:r>
    </w:p>
    <w:p w14:paraId="52919DCA">
      <w:pPr>
        <w:spacing w:line="588" w:lineRule="exact"/>
        <w:ind w:firstLine="504" w:firstLineChars="200"/>
        <w:jc w:val="both"/>
        <w:rPr>
          <w:rFonts w:ascii="仿宋" w:hAnsi="仿宋" w:eastAsia="仿宋"/>
          <w:color w:val="auto"/>
          <w:spacing w:val="6"/>
          <w:sz w:val="24"/>
          <w:szCs w:val="24"/>
          <w:highlight w:val="none"/>
        </w:rPr>
      </w:pPr>
      <w:r>
        <w:rPr>
          <w:rFonts w:hint="eastAsia" w:ascii="仿宋" w:hAnsi="仿宋" w:eastAsia="仿宋"/>
          <w:color w:val="auto"/>
          <w:spacing w:val="6"/>
          <w:sz w:val="24"/>
          <w:szCs w:val="24"/>
          <w:highlight w:val="none"/>
        </w:rPr>
        <w:t>本单位对上述声明的真实性负责。如有虚假，将依法承担相应责任。</w:t>
      </w:r>
    </w:p>
    <w:p w14:paraId="4C903E1C">
      <w:pPr>
        <w:tabs>
          <w:tab w:val="left" w:pos="4860"/>
        </w:tabs>
        <w:spacing w:line="588" w:lineRule="exact"/>
        <w:ind w:right="1560"/>
        <w:jc w:val="both"/>
        <w:rPr>
          <w:rFonts w:ascii="仿宋" w:hAnsi="仿宋" w:eastAsia="仿宋"/>
          <w:color w:val="auto"/>
          <w:spacing w:val="6"/>
          <w:sz w:val="24"/>
          <w:szCs w:val="24"/>
          <w:highlight w:val="none"/>
        </w:rPr>
      </w:pPr>
      <w:r>
        <w:rPr>
          <w:rFonts w:hint="eastAsia" w:ascii="仿宋" w:hAnsi="仿宋" w:eastAsia="仿宋"/>
          <w:color w:val="auto"/>
          <w:spacing w:val="6"/>
          <w:sz w:val="24"/>
          <w:szCs w:val="24"/>
          <w:highlight w:val="none"/>
        </w:rPr>
        <w:t xml:space="preserve">               </w:t>
      </w:r>
    </w:p>
    <w:p w14:paraId="0DF7587D">
      <w:pPr>
        <w:spacing w:line="360" w:lineRule="auto"/>
        <w:ind w:firstLine="510"/>
        <w:rPr>
          <w:rFonts w:ascii="仿宋" w:hAnsi="仿宋" w:eastAsia="仿宋"/>
          <w:color w:val="auto"/>
          <w:sz w:val="24"/>
          <w:szCs w:val="20"/>
          <w:highlight w:val="none"/>
        </w:rPr>
      </w:pPr>
      <w:r>
        <w:rPr>
          <w:rFonts w:hint="eastAsia" w:ascii="仿宋" w:hAnsi="仿宋" w:eastAsia="仿宋"/>
          <w:color w:val="auto"/>
          <w:sz w:val="24"/>
          <w:szCs w:val="20"/>
          <w:highlight w:val="none"/>
        </w:rPr>
        <w:t>投标人（</w:t>
      </w:r>
      <w:r>
        <w:rPr>
          <w:rFonts w:hint="eastAsia" w:ascii="仿宋" w:hAnsi="仿宋" w:eastAsia="仿宋"/>
          <w:color w:val="auto"/>
          <w:sz w:val="24"/>
          <w:szCs w:val="20"/>
          <w:highlight w:val="none"/>
          <w:lang w:eastAsia="zh-CN"/>
        </w:rPr>
        <w:t>电子签章</w:t>
      </w:r>
      <w:r>
        <w:rPr>
          <w:rFonts w:hint="eastAsia" w:ascii="仿宋" w:hAnsi="仿宋" w:eastAsia="仿宋"/>
          <w:color w:val="auto"/>
          <w:sz w:val="24"/>
          <w:szCs w:val="20"/>
          <w:highlight w:val="none"/>
        </w:rPr>
        <w:t>）：</w:t>
      </w:r>
      <w:r>
        <w:rPr>
          <w:rFonts w:hint="eastAsia" w:ascii="仿宋" w:hAnsi="仿宋" w:eastAsia="仿宋"/>
          <w:color w:val="auto"/>
          <w:sz w:val="24"/>
          <w:szCs w:val="20"/>
          <w:highlight w:val="none"/>
          <w:u w:val="single"/>
        </w:rPr>
        <w:t xml:space="preserve">                                        </w:t>
      </w:r>
    </w:p>
    <w:p w14:paraId="6497E3A6">
      <w:pPr>
        <w:spacing w:line="360" w:lineRule="auto"/>
        <w:ind w:firstLine="510"/>
        <w:rPr>
          <w:rFonts w:ascii="仿宋" w:hAnsi="仿宋" w:eastAsia="仿宋"/>
          <w:color w:val="auto"/>
          <w:sz w:val="24"/>
          <w:szCs w:val="20"/>
          <w:highlight w:val="none"/>
        </w:rPr>
      </w:pPr>
      <w:r>
        <w:rPr>
          <w:rFonts w:hint="eastAsia" w:ascii="仿宋" w:hAnsi="仿宋" w:eastAsia="仿宋"/>
          <w:color w:val="auto"/>
          <w:sz w:val="24"/>
          <w:szCs w:val="24"/>
          <w:highlight w:val="none"/>
        </w:rPr>
        <w:t>法定代表人或委托代理人（</w:t>
      </w:r>
      <w:r>
        <w:rPr>
          <w:rFonts w:hint="eastAsia" w:ascii="仿宋" w:hAnsi="仿宋" w:eastAsia="仿宋" w:cs="仿宋"/>
          <w:color w:val="auto"/>
          <w:sz w:val="24"/>
          <w:szCs w:val="24"/>
          <w:highlight w:val="none"/>
        </w:rPr>
        <w:t>签字或电子签章</w:t>
      </w:r>
      <w:r>
        <w:rPr>
          <w:rFonts w:hint="eastAsia" w:ascii="仿宋" w:hAnsi="仿宋" w:eastAsia="仿宋"/>
          <w:color w:val="auto"/>
          <w:sz w:val="24"/>
          <w:szCs w:val="24"/>
          <w:highlight w:val="none"/>
        </w:rPr>
        <w:t>）</w:t>
      </w:r>
      <w:r>
        <w:rPr>
          <w:rFonts w:hint="eastAsia" w:ascii="仿宋" w:hAnsi="仿宋" w:eastAsia="仿宋"/>
          <w:color w:val="auto"/>
          <w:sz w:val="24"/>
          <w:szCs w:val="20"/>
          <w:highlight w:val="none"/>
        </w:rPr>
        <w:t>：</w:t>
      </w:r>
      <w:r>
        <w:rPr>
          <w:rFonts w:hint="eastAsia" w:ascii="仿宋" w:hAnsi="仿宋" w:eastAsia="仿宋"/>
          <w:color w:val="auto"/>
          <w:sz w:val="24"/>
          <w:szCs w:val="20"/>
          <w:highlight w:val="none"/>
          <w:u w:val="single"/>
        </w:rPr>
        <w:t xml:space="preserve">                        </w:t>
      </w:r>
    </w:p>
    <w:p w14:paraId="7E09E011">
      <w:pPr>
        <w:spacing w:line="360" w:lineRule="auto"/>
        <w:ind w:firstLine="480" w:firstLineChars="200"/>
        <w:rPr>
          <w:rFonts w:ascii="仿宋" w:hAnsi="仿宋" w:eastAsia="仿宋"/>
          <w:color w:val="auto"/>
          <w:sz w:val="24"/>
          <w:szCs w:val="20"/>
          <w:highlight w:val="none"/>
          <w:u w:val="single"/>
        </w:rPr>
      </w:pPr>
      <w:r>
        <w:rPr>
          <w:rFonts w:hint="eastAsia" w:ascii="仿宋" w:hAnsi="仿宋" w:eastAsia="仿宋"/>
          <w:color w:val="auto"/>
          <w:sz w:val="24"/>
          <w:szCs w:val="20"/>
          <w:highlight w:val="none"/>
        </w:rPr>
        <w:t>日  期：</w:t>
      </w:r>
      <w:r>
        <w:rPr>
          <w:rFonts w:hint="eastAsia" w:ascii="仿宋" w:hAnsi="仿宋" w:eastAsia="仿宋"/>
          <w:color w:val="auto"/>
          <w:sz w:val="24"/>
          <w:szCs w:val="20"/>
          <w:highlight w:val="none"/>
          <w:u w:val="single"/>
        </w:rPr>
        <w:t xml:space="preserve">       </w:t>
      </w:r>
      <w:r>
        <w:rPr>
          <w:rFonts w:hint="eastAsia" w:ascii="仿宋" w:hAnsi="仿宋" w:eastAsia="仿宋"/>
          <w:color w:val="auto"/>
          <w:sz w:val="24"/>
          <w:szCs w:val="20"/>
          <w:highlight w:val="none"/>
        </w:rPr>
        <w:t>年</w:t>
      </w:r>
      <w:r>
        <w:rPr>
          <w:rFonts w:hint="eastAsia" w:ascii="仿宋" w:hAnsi="仿宋" w:eastAsia="仿宋"/>
          <w:color w:val="auto"/>
          <w:sz w:val="24"/>
          <w:szCs w:val="20"/>
          <w:highlight w:val="none"/>
          <w:u w:val="single"/>
        </w:rPr>
        <w:t xml:space="preserve">    </w:t>
      </w:r>
      <w:r>
        <w:rPr>
          <w:rFonts w:hint="eastAsia" w:ascii="仿宋" w:hAnsi="仿宋" w:eastAsia="仿宋"/>
          <w:color w:val="auto"/>
          <w:sz w:val="24"/>
          <w:szCs w:val="20"/>
          <w:highlight w:val="none"/>
        </w:rPr>
        <w:t>月</w:t>
      </w:r>
      <w:r>
        <w:rPr>
          <w:rFonts w:hint="eastAsia" w:ascii="仿宋" w:hAnsi="仿宋" w:eastAsia="仿宋"/>
          <w:color w:val="auto"/>
          <w:sz w:val="24"/>
          <w:szCs w:val="20"/>
          <w:highlight w:val="none"/>
          <w:u w:val="single"/>
        </w:rPr>
        <w:t xml:space="preserve">    </w:t>
      </w:r>
      <w:r>
        <w:rPr>
          <w:rFonts w:hint="eastAsia" w:ascii="仿宋" w:hAnsi="仿宋" w:eastAsia="仿宋"/>
          <w:color w:val="auto"/>
          <w:sz w:val="24"/>
          <w:szCs w:val="20"/>
          <w:highlight w:val="none"/>
        </w:rPr>
        <w:t>日</w:t>
      </w:r>
    </w:p>
    <w:p w14:paraId="1E7D272C">
      <w:pPr>
        <w:rPr>
          <w:rFonts w:ascii="仿宋" w:hAnsi="仿宋" w:eastAsia="仿宋"/>
          <w:b/>
          <w:color w:val="auto"/>
          <w:sz w:val="24"/>
          <w:szCs w:val="24"/>
          <w:highlight w:val="none"/>
        </w:rPr>
      </w:pPr>
    </w:p>
    <w:p w14:paraId="1DB9D39B">
      <w:pPr>
        <w:ind w:firstLine="221" w:firstLineChars="100"/>
        <w:rPr>
          <w:rFonts w:ascii="仿宋" w:hAnsi="仿宋" w:eastAsia="仿宋"/>
          <w:b/>
          <w:color w:val="auto"/>
          <w:sz w:val="22"/>
          <w:szCs w:val="22"/>
          <w:highlight w:val="none"/>
        </w:rPr>
      </w:pPr>
      <w:r>
        <w:rPr>
          <w:rFonts w:hint="eastAsia" w:ascii="仿宋" w:hAnsi="仿宋" w:eastAsia="仿宋"/>
          <w:b/>
          <w:color w:val="auto"/>
          <w:sz w:val="22"/>
          <w:szCs w:val="22"/>
          <w:highlight w:val="none"/>
        </w:rPr>
        <w:t>注：符合条件的残疾人福利性单位在参加政府采购活动时，应当按《三部门联合发布关于促进残疾人就业政府采购政策的通知》（财库〔2017〕141号）提供规定的《残疾人福利性单位声明函》，并对声明的真实性负责。</w:t>
      </w:r>
    </w:p>
    <w:p w14:paraId="63FC69E9">
      <w:pPr>
        <w:spacing w:line="360" w:lineRule="auto"/>
        <w:ind w:firstLine="480" w:firstLineChars="200"/>
        <w:rPr>
          <w:rFonts w:ascii="仿宋" w:hAnsi="仿宋" w:eastAsia="仿宋"/>
          <w:color w:val="auto"/>
          <w:sz w:val="24"/>
          <w:highlight w:val="none"/>
        </w:rPr>
      </w:pPr>
    </w:p>
    <w:p w14:paraId="10683E04">
      <w:pPr>
        <w:pStyle w:val="18"/>
        <w:rPr>
          <w:rFonts w:ascii="仿宋" w:hAnsi="仿宋" w:eastAsia="仿宋"/>
          <w:color w:val="auto"/>
          <w:sz w:val="24"/>
          <w:highlight w:val="none"/>
        </w:rPr>
      </w:pPr>
    </w:p>
    <w:p w14:paraId="769F3A4E">
      <w:pPr>
        <w:rPr>
          <w:rFonts w:ascii="仿宋" w:hAnsi="仿宋" w:eastAsia="仿宋"/>
          <w:color w:val="auto"/>
          <w:sz w:val="24"/>
          <w:highlight w:val="none"/>
        </w:rPr>
      </w:pPr>
    </w:p>
    <w:p w14:paraId="4FB04C3F">
      <w:pPr>
        <w:pStyle w:val="18"/>
        <w:rPr>
          <w:rFonts w:ascii="仿宋" w:hAnsi="仿宋" w:eastAsia="仿宋"/>
          <w:color w:val="auto"/>
          <w:sz w:val="24"/>
          <w:highlight w:val="none"/>
        </w:rPr>
      </w:pPr>
    </w:p>
    <w:p w14:paraId="1B796F8D">
      <w:pPr>
        <w:rPr>
          <w:color w:val="auto"/>
          <w:highlight w:val="none"/>
        </w:rPr>
      </w:pPr>
    </w:p>
    <w:p w14:paraId="2AB62C0D">
      <w:pPr>
        <w:rPr>
          <w:rFonts w:ascii="仿宋" w:hAnsi="仿宋" w:eastAsia="仿宋"/>
          <w:color w:val="auto"/>
          <w:sz w:val="24"/>
          <w:highlight w:val="none"/>
        </w:rPr>
      </w:pPr>
    </w:p>
    <w:p w14:paraId="4D8B2B66">
      <w:pPr>
        <w:pStyle w:val="18"/>
        <w:rPr>
          <w:rFonts w:ascii="仿宋" w:hAnsi="仿宋" w:eastAsia="仿宋"/>
          <w:color w:val="auto"/>
          <w:sz w:val="24"/>
          <w:highlight w:val="none"/>
        </w:rPr>
      </w:pPr>
    </w:p>
    <w:p w14:paraId="5C63203D">
      <w:pPr>
        <w:rPr>
          <w:rFonts w:ascii="仿宋" w:hAnsi="仿宋" w:eastAsia="仿宋"/>
          <w:color w:val="auto"/>
          <w:sz w:val="24"/>
          <w:highlight w:val="none"/>
        </w:rPr>
      </w:pPr>
    </w:p>
    <w:p w14:paraId="11E6BB13">
      <w:pPr>
        <w:bidi w:val="0"/>
        <w:rPr>
          <w:color w:val="auto"/>
          <w:highlight w:val="none"/>
        </w:rPr>
      </w:pPr>
    </w:p>
    <w:p w14:paraId="67305EF9">
      <w:pPr>
        <w:bidi w:val="0"/>
        <w:rPr>
          <w:color w:val="auto"/>
          <w:highlight w:val="none"/>
        </w:rPr>
      </w:pPr>
    </w:p>
    <w:p w14:paraId="45B1BA04">
      <w:pPr>
        <w:bidi w:val="0"/>
        <w:rPr>
          <w:color w:val="auto"/>
          <w:highlight w:val="none"/>
        </w:rPr>
      </w:pPr>
    </w:p>
    <w:p w14:paraId="7B0EBA9A">
      <w:pPr>
        <w:rPr>
          <w:color w:val="auto"/>
          <w:highlight w:val="none"/>
        </w:rPr>
      </w:pPr>
    </w:p>
    <w:p w14:paraId="6D8AA10F">
      <w:pPr>
        <w:rPr>
          <w:color w:val="auto"/>
          <w:highlight w:val="none"/>
        </w:rPr>
      </w:pPr>
    </w:p>
    <w:p w14:paraId="600108ED">
      <w:pPr>
        <w:rPr>
          <w:color w:val="auto"/>
          <w:highlight w:val="none"/>
        </w:rPr>
      </w:pPr>
    </w:p>
    <w:p w14:paraId="2FF8945E">
      <w:pPr>
        <w:rPr>
          <w:color w:val="auto"/>
          <w:highlight w:val="none"/>
        </w:rPr>
      </w:pPr>
    </w:p>
    <w:p w14:paraId="705ED776">
      <w:pPr>
        <w:pStyle w:val="18"/>
        <w:rPr>
          <w:color w:val="auto"/>
          <w:highlight w:val="none"/>
        </w:rPr>
      </w:pPr>
    </w:p>
    <w:p w14:paraId="704E0195">
      <w:pPr>
        <w:pStyle w:val="6"/>
        <w:ind w:left="0" w:leftChars="0" w:firstLine="0" w:firstLineChars="0"/>
        <w:jc w:val="center"/>
        <w:rPr>
          <w:rFonts w:ascii="宋体" w:cs="宋体"/>
          <w:b/>
          <w:bCs/>
          <w:color w:val="auto"/>
          <w:sz w:val="28"/>
          <w:szCs w:val="28"/>
          <w:highlight w:val="none"/>
        </w:rPr>
      </w:pPr>
      <w:bookmarkStart w:id="604" w:name="_Toc2468"/>
      <w:bookmarkStart w:id="605" w:name="_Toc46259254"/>
      <w:bookmarkStart w:id="606" w:name="_Toc19826385"/>
      <w:bookmarkStart w:id="607" w:name="_Toc22226453"/>
      <w:bookmarkStart w:id="608" w:name="_Toc11681"/>
      <w:bookmarkStart w:id="609" w:name="_Toc7688"/>
      <w:bookmarkStart w:id="610" w:name="_Toc32422351"/>
      <w:bookmarkStart w:id="611" w:name="_Toc3406"/>
      <w:bookmarkStart w:id="612" w:name="_Toc21091"/>
      <w:bookmarkStart w:id="613" w:name="_Toc10602"/>
      <w:bookmarkStart w:id="614" w:name="_Toc27208"/>
      <w:r>
        <w:rPr>
          <w:rFonts w:ascii="仿宋" w:hAnsi="仿宋" w:eastAsia="仿宋"/>
          <w:b/>
          <w:bCs/>
          <w:color w:val="auto"/>
          <w:sz w:val="28"/>
          <w:szCs w:val="28"/>
          <w:highlight w:val="none"/>
        </w:rPr>
        <w:t>格式</w:t>
      </w:r>
      <w:r>
        <w:rPr>
          <w:rFonts w:hint="eastAsia" w:ascii="仿宋" w:hAnsi="仿宋" w:eastAsia="仿宋"/>
          <w:b/>
          <w:bCs/>
          <w:color w:val="auto"/>
          <w:sz w:val="28"/>
          <w:szCs w:val="28"/>
          <w:highlight w:val="none"/>
          <w:lang w:val="en-US" w:eastAsia="zh-CN"/>
        </w:rPr>
        <w:t>7</w:t>
      </w:r>
      <w:r>
        <w:rPr>
          <w:rFonts w:hint="eastAsia" w:ascii="仿宋" w:hAnsi="仿宋" w:eastAsia="仿宋"/>
          <w:b/>
          <w:bCs/>
          <w:color w:val="auto"/>
          <w:sz w:val="28"/>
          <w:szCs w:val="28"/>
          <w:highlight w:val="none"/>
        </w:rPr>
        <w:t>、</w:t>
      </w:r>
      <w:r>
        <w:rPr>
          <w:rFonts w:ascii="仿宋" w:hAnsi="仿宋" w:eastAsia="仿宋"/>
          <w:b/>
          <w:bCs/>
          <w:color w:val="auto"/>
          <w:sz w:val="28"/>
          <w:szCs w:val="28"/>
          <w:highlight w:val="none"/>
        </w:rPr>
        <w:t>监狱企业证明文件</w:t>
      </w:r>
      <w:bookmarkEnd w:id="604"/>
      <w:bookmarkEnd w:id="605"/>
      <w:bookmarkEnd w:id="606"/>
      <w:bookmarkEnd w:id="607"/>
      <w:bookmarkEnd w:id="608"/>
      <w:bookmarkEnd w:id="609"/>
      <w:bookmarkEnd w:id="610"/>
      <w:bookmarkEnd w:id="611"/>
      <w:bookmarkEnd w:id="612"/>
      <w:bookmarkEnd w:id="613"/>
      <w:bookmarkEnd w:id="614"/>
    </w:p>
    <w:p w14:paraId="77256187">
      <w:pPr>
        <w:jc w:val="left"/>
        <w:rPr>
          <w:rFonts w:hAnsi="宋体" w:cs="宋体"/>
          <w:b/>
          <w:color w:val="auto"/>
          <w:sz w:val="28"/>
          <w:szCs w:val="28"/>
          <w:highlight w:val="none"/>
        </w:rPr>
      </w:pPr>
    </w:p>
    <w:p w14:paraId="4E9C1E89">
      <w:pPr>
        <w:tabs>
          <w:tab w:val="left" w:pos="5580"/>
        </w:tabs>
        <w:spacing w:line="240" w:lineRule="atLeast"/>
        <w:jc w:val="center"/>
        <w:rPr>
          <w:rFonts w:ascii="仿宋" w:hAnsi="仿宋" w:eastAsia="仿宋" w:cs="宋体"/>
          <w:b/>
          <w:bCs/>
          <w:color w:val="auto"/>
          <w:sz w:val="24"/>
          <w:szCs w:val="24"/>
          <w:highlight w:val="none"/>
        </w:rPr>
      </w:pPr>
      <w:r>
        <w:rPr>
          <w:rFonts w:hint="eastAsia" w:ascii="仿宋" w:hAnsi="仿宋" w:eastAsia="仿宋" w:cs="宋体"/>
          <w:b/>
          <w:color w:val="auto"/>
          <w:sz w:val="24"/>
          <w:szCs w:val="24"/>
          <w:highlight w:val="none"/>
        </w:rPr>
        <w:t>《监狱企业证明文件》（符合《财政部 司法部关于政府采购支持监狱企业发展有关问题的通知》（财库[2014]68号）价格扣减条件的</w:t>
      </w:r>
      <w:r>
        <w:rPr>
          <w:rFonts w:hint="eastAsia" w:ascii="仿宋" w:hAnsi="仿宋" w:eastAsia="仿宋" w:cs="宋体"/>
          <w:b/>
          <w:color w:val="auto"/>
          <w:sz w:val="24"/>
          <w:szCs w:val="24"/>
          <w:highlight w:val="none"/>
          <w:lang w:eastAsia="zh-CN"/>
        </w:rPr>
        <w:t>投标人</w:t>
      </w:r>
      <w:r>
        <w:rPr>
          <w:rFonts w:hint="eastAsia" w:ascii="仿宋" w:hAnsi="仿宋" w:eastAsia="仿宋" w:cs="宋体"/>
          <w:b/>
          <w:color w:val="auto"/>
          <w:sz w:val="24"/>
          <w:szCs w:val="24"/>
          <w:highlight w:val="none"/>
        </w:rPr>
        <w:t>须提交）</w:t>
      </w:r>
    </w:p>
    <w:p w14:paraId="056A8B36">
      <w:pPr>
        <w:spacing w:line="360" w:lineRule="auto"/>
        <w:jc w:val="center"/>
        <w:rPr>
          <w:rFonts w:ascii="仿宋" w:hAnsi="仿宋" w:eastAsia="仿宋" w:cs="宋体"/>
          <w:b/>
          <w:bCs/>
          <w:color w:val="auto"/>
          <w:sz w:val="24"/>
          <w:szCs w:val="24"/>
          <w:highlight w:val="none"/>
        </w:rPr>
      </w:pPr>
      <w:r>
        <w:rPr>
          <w:rFonts w:hint="eastAsia" w:ascii="仿宋" w:hAnsi="仿宋" w:eastAsia="仿宋" w:cs="宋体"/>
          <w:b/>
          <w:bCs/>
          <w:color w:val="auto"/>
          <w:sz w:val="24"/>
          <w:szCs w:val="24"/>
          <w:highlight w:val="none"/>
        </w:rPr>
        <w:t>监狱企业证明文件</w:t>
      </w:r>
    </w:p>
    <w:p w14:paraId="3B5A22B2">
      <w:pPr>
        <w:spacing w:line="360" w:lineRule="auto"/>
        <w:ind w:firstLine="560" w:firstLineChars="200"/>
        <w:jc w:val="left"/>
        <w:rPr>
          <w:rFonts w:ascii="仿宋" w:hAnsi="仿宋" w:eastAsia="仿宋" w:cs="宋体"/>
          <w:color w:val="auto"/>
          <w:sz w:val="28"/>
          <w:szCs w:val="28"/>
          <w:highlight w:val="none"/>
        </w:rPr>
      </w:pPr>
    </w:p>
    <w:p w14:paraId="2BC22650">
      <w:pPr>
        <w:spacing w:line="360" w:lineRule="auto"/>
        <w:ind w:firstLine="480" w:firstLineChars="200"/>
        <w:jc w:val="both"/>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根据《财政部 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2025B13">
      <w:pPr>
        <w:spacing w:line="360" w:lineRule="auto"/>
        <w:ind w:firstLine="480" w:firstLineChars="200"/>
        <w:jc w:val="both"/>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监狱企业参加政府采购活动时，应当提供由省级以上监狱管理局、戒毒管理局（含新疆生产建设兵团）出具的属于监狱企业的证明文件。</w:t>
      </w:r>
    </w:p>
    <w:p w14:paraId="25072552">
      <w:pPr>
        <w:widowControl/>
        <w:jc w:val="both"/>
        <w:rPr>
          <w:rFonts w:ascii="仿宋" w:hAnsi="仿宋" w:eastAsia="仿宋" w:cs="宋体"/>
          <w:b/>
          <w:color w:val="auto"/>
          <w:sz w:val="24"/>
          <w:szCs w:val="24"/>
          <w:highlight w:val="none"/>
        </w:rPr>
      </w:pPr>
    </w:p>
    <w:p w14:paraId="287B308A">
      <w:pPr>
        <w:pStyle w:val="246"/>
        <w:ind w:firstLine="480"/>
        <w:rPr>
          <w:color w:val="auto"/>
          <w:sz w:val="24"/>
          <w:szCs w:val="24"/>
          <w:highlight w:val="none"/>
        </w:rPr>
      </w:pPr>
    </w:p>
    <w:p w14:paraId="065C2DE7">
      <w:pPr>
        <w:spacing w:line="360" w:lineRule="auto"/>
        <w:ind w:firstLine="510"/>
        <w:rPr>
          <w:rFonts w:ascii="仿宋" w:hAnsi="仿宋" w:eastAsia="仿宋"/>
          <w:color w:val="auto"/>
          <w:sz w:val="24"/>
          <w:szCs w:val="24"/>
          <w:highlight w:val="none"/>
        </w:rPr>
      </w:pPr>
      <w:r>
        <w:rPr>
          <w:rFonts w:hint="eastAsia" w:ascii="仿宋" w:hAnsi="仿宋" w:eastAsia="仿宋"/>
          <w:color w:val="auto"/>
          <w:sz w:val="24"/>
          <w:szCs w:val="24"/>
          <w:highlight w:val="none"/>
        </w:rPr>
        <w:t>投标人（</w:t>
      </w:r>
      <w:r>
        <w:rPr>
          <w:rFonts w:hint="eastAsia" w:ascii="仿宋" w:hAnsi="仿宋" w:eastAsia="仿宋"/>
          <w:color w:val="auto"/>
          <w:sz w:val="24"/>
          <w:szCs w:val="24"/>
          <w:highlight w:val="none"/>
          <w:lang w:eastAsia="zh-CN"/>
        </w:rPr>
        <w:t>电子签章</w:t>
      </w:r>
      <w:r>
        <w:rPr>
          <w:rFonts w:hint="eastAsia" w:ascii="仿宋" w:hAnsi="仿宋" w:eastAsia="仿宋"/>
          <w:color w:val="auto"/>
          <w:sz w:val="24"/>
          <w:szCs w:val="24"/>
          <w:highlight w:val="none"/>
        </w:rPr>
        <w:t>）：</w:t>
      </w:r>
      <w:r>
        <w:rPr>
          <w:rFonts w:hint="eastAsia" w:ascii="仿宋" w:hAnsi="仿宋" w:eastAsia="仿宋"/>
          <w:color w:val="auto"/>
          <w:sz w:val="24"/>
          <w:szCs w:val="24"/>
          <w:highlight w:val="none"/>
          <w:u w:val="single"/>
        </w:rPr>
        <w:t xml:space="preserve">                                        </w:t>
      </w:r>
    </w:p>
    <w:p w14:paraId="045A40D1">
      <w:pPr>
        <w:spacing w:line="360" w:lineRule="auto"/>
        <w:ind w:firstLine="510"/>
        <w:rPr>
          <w:rFonts w:ascii="仿宋" w:hAnsi="仿宋" w:eastAsia="仿宋"/>
          <w:color w:val="auto"/>
          <w:sz w:val="24"/>
          <w:szCs w:val="24"/>
          <w:highlight w:val="none"/>
        </w:rPr>
      </w:pPr>
      <w:r>
        <w:rPr>
          <w:rFonts w:hint="eastAsia" w:ascii="仿宋" w:hAnsi="仿宋" w:eastAsia="仿宋"/>
          <w:color w:val="auto"/>
          <w:sz w:val="24"/>
          <w:szCs w:val="24"/>
          <w:highlight w:val="none"/>
        </w:rPr>
        <w:t>法定代表人或委托代理人（</w:t>
      </w:r>
      <w:r>
        <w:rPr>
          <w:rFonts w:hint="eastAsia" w:ascii="仿宋" w:hAnsi="仿宋" w:eastAsia="仿宋" w:cs="仿宋"/>
          <w:color w:val="auto"/>
          <w:sz w:val="24"/>
          <w:szCs w:val="24"/>
          <w:highlight w:val="none"/>
        </w:rPr>
        <w:t>签字或电子签章</w:t>
      </w:r>
      <w:r>
        <w:rPr>
          <w:rFonts w:hint="eastAsia" w:ascii="仿宋" w:hAnsi="仿宋" w:eastAsia="仿宋"/>
          <w:color w:val="auto"/>
          <w:sz w:val="24"/>
          <w:szCs w:val="24"/>
          <w:highlight w:val="none"/>
        </w:rPr>
        <w:t>）：</w:t>
      </w:r>
      <w:r>
        <w:rPr>
          <w:rFonts w:hint="eastAsia" w:ascii="仿宋" w:hAnsi="仿宋" w:eastAsia="仿宋"/>
          <w:color w:val="auto"/>
          <w:sz w:val="24"/>
          <w:szCs w:val="24"/>
          <w:highlight w:val="none"/>
          <w:u w:val="single"/>
        </w:rPr>
        <w:t xml:space="preserve">                        </w:t>
      </w:r>
    </w:p>
    <w:p w14:paraId="5DC8BD3B">
      <w:pPr>
        <w:spacing w:line="360" w:lineRule="auto"/>
        <w:ind w:firstLine="480" w:firstLineChars="200"/>
        <w:rPr>
          <w:rFonts w:ascii="仿宋" w:hAnsi="仿宋" w:eastAsia="仿宋"/>
          <w:color w:val="auto"/>
          <w:sz w:val="24"/>
          <w:szCs w:val="24"/>
          <w:highlight w:val="none"/>
          <w:u w:val="single"/>
        </w:rPr>
      </w:pPr>
      <w:r>
        <w:rPr>
          <w:rFonts w:hint="eastAsia" w:ascii="仿宋" w:hAnsi="仿宋" w:eastAsia="仿宋"/>
          <w:color w:val="auto"/>
          <w:sz w:val="24"/>
          <w:szCs w:val="24"/>
          <w:highlight w:val="none"/>
        </w:rPr>
        <w:t>日  期：</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年</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月</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日</w:t>
      </w:r>
    </w:p>
    <w:p w14:paraId="1F98D116">
      <w:pPr>
        <w:pStyle w:val="6"/>
        <w:spacing w:line="360" w:lineRule="auto"/>
        <w:ind w:left="0" w:leftChars="0" w:firstLine="0" w:firstLineChars="0"/>
        <w:jc w:val="center"/>
        <w:rPr>
          <w:rFonts w:hint="eastAsia" w:ascii="仿宋" w:hAnsi="仿宋" w:eastAsia="仿宋" w:cs="Times New Roman"/>
          <w:b/>
          <w:bCs/>
          <w:color w:val="auto"/>
          <w:highlight w:val="none"/>
          <w:lang w:val="en-US" w:eastAsia="zh-CN"/>
        </w:rPr>
      </w:pPr>
      <w:r>
        <w:rPr>
          <w:rFonts w:ascii="仿宋" w:hAnsi="仿宋" w:eastAsia="仿宋"/>
          <w:color w:val="auto"/>
          <w:sz w:val="28"/>
          <w:szCs w:val="28"/>
          <w:highlight w:val="none"/>
        </w:rPr>
        <w:br w:type="page"/>
      </w:r>
      <w:bookmarkStart w:id="615" w:name="_Toc10832"/>
      <w:bookmarkStart w:id="616" w:name="_Toc25708"/>
      <w:bookmarkStart w:id="617" w:name="_Toc10483"/>
      <w:bookmarkStart w:id="618" w:name="_Toc12237"/>
      <w:bookmarkStart w:id="619" w:name="_Toc14773"/>
      <w:bookmarkStart w:id="620" w:name="_Toc32570"/>
      <w:bookmarkStart w:id="621" w:name="_Toc46259255"/>
      <w:bookmarkStart w:id="622" w:name="_Toc10165"/>
      <w:r>
        <w:rPr>
          <w:rFonts w:hint="eastAsia" w:ascii="仿宋" w:hAnsi="仿宋" w:eastAsia="仿宋" w:cs="Times New Roman"/>
          <w:b/>
          <w:bCs/>
          <w:color w:val="auto"/>
          <w:highlight w:val="none"/>
          <w:lang w:val="en-US" w:eastAsia="zh-CN"/>
        </w:rPr>
        <w:t>格式8、关于符合本国产品标准的声明函</w:t>
      </w:r>
      <w:bookmarkEnd w:id="615"/>
      <w:bookmarkEnd w:id="616"/>
      <w:bookmarkEnd w:id="617"/>
      <w:bookmarkEnd w:id="618"/>
      <w:bookmarkEnd w:id="619"/>
      <w:bookmarkStart w:id="623" w:name="_Toc15060"/>
      <w:bookmarkStart w:id="624" w:name="_Toc10489"/>
      <w:bookmarkStart w:id="625" w:name="_Toc8640"/>
      <w:bookmarkStart w:id="626" w:name="_Toc25924"/>
    </w:p>
    <w:p w14:paraId="541AA59C">
      <w:pPr>
        <w:rPr>
          <w:rFonts w:hint="eastAsia"/>
          <w:lang w:val="en-US" w:eastAsia="zh-CN"/>
        </w:rPr>
      </w:pPr>
    </w:p>
    <w:p w14:paraId="1C04ED73">
      <w:pPr>
        <w:spacing w:line="360" w:lineRule="auto"/>
        <w:ind w:firstLine="480" w:firstLineChars="20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本公司（单位）郑重声明，根据《国务院办公厅关于在政府采购中实施本国产品标准及相关政策的通知》（国办发〔2025〕34号）的规定，本公司（单位）提供的以下产品属于本国产品。具体情况如下：</w:t>
      </w:r>
    </w:p>
    <w:p w14:paraId="3EA091C2">
      <w:pPr>
        <w:spacing w:line="360" w:lineRule="auto"/>
        <w:ind w:firstLine="480" w:firstLineChars="20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u w:val="single"/>
          <w:lang w:val="en-US" w:eastAsia="zh-CN"/>
        </w:rPr>
        <w:t>（产品名称1）</w:t>
      </w:r>
      <w:r>
        <w:rPr>
          <w:rFonts w:hint="eastAsia" w:ascii="仿宋" w:hAnsi="仿宋" w:eastAsia="仿宋" w:cs="仿宋"/>
          <w:color w:val="auto"/>
          <w:sz w:val="24"/>
          <w:szCs w:val="24"/>
          <w:highlight w:val="none"/>
          <w:lang w:val="en-US" w:eastAsia="zh-CN"/>
        </w:rPr>
        <w:t>1，生产厂为</w:t>
      </w:r>
      <w:r>
        <w:rPr>
          <w:rFonts w:hint="eastAsia" w:ascii="仿宋" w:hAnsi="仿宋" w:eastAsia="仿宋" w:cs="仿宋"/>
          <w:color w:val="auto"/>
          <w:sz w:val="24"/>
          <w:szCs w:val="24"/>
          <w:highlight w:val="none"/>
          <w:u w:val="single"/>
          <w:lang w:val="en-US" w:eastAsia="zh-CN"/>
        </w:rPr>
        <w:t>（厂名）</w:t>
      </w:r>
      <w:r>
        <w:rPr>
          <w:rFonts w:hint="eastAsia" w:ascii="仿宋" w:hAnsi="仿宋" w:eastAsia="仿宋" w:cs="仿宋"/>
          <w:color w:val="auto"/>
          <w:sz w:val="24"/>
          <w:szCs w:val="24"/>
          <w:highlight w:val="none"/>
          <w:lang w:val="en-US" w:eastAsia="zh-CN"/>
        </w:rPr>
        <w:t>2，厂址为</w:t>
      </w:r>
      <w:r>
        <w:rPr>
          <w:rFonts w:hint="eastAsia" w:ascii="仿宋" w:hAnsi="仿宋" w:eastAsia="仿宋" w:cs="仿宋"/>
          <w:color w:val="auto"/>
          <w:sz w:val="24"/>
          <w:szCs w:val="24"/>
          <w:highlight w:val="none"/>
          <w:u w:val="single"/>
          <w:lang w:val="en-US" w:eastAsia="zh-CN"/>
        </w:rPr>
        <w:t>（生产厂址）</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u w:val="single"/>
          <w:lang w:val="en-US" w:eastAsia="zh-CN"/>
        </w:rPr>
        <w:t>（产品名称1）</w:t>
      </w:r>
      <w:r>
        <w:rPr>
          <w:rFonts w:hint="eastAsia" w:ascii="仿宋" w:hAnsi="仿宋" w:eastAsia="仿宋" w:cs="仿宋"/>
          <w:color w:val="auto"/>
          <w:sz w:val="24"/>
          <w:szCs w:val="24"/>
          <w:highlight w:val="none"/>
          <w:lang w:val="en-US" w:eastAsia="zh-CN"/>
        </w:rPr>
        <w:t>的中国境内生产的组件成本占比≥</w:t>
      </w:r>
      <w:r>
        <w:rPr>
          <w:rFonts w:hint="eastAsia" w:ascii="仿宋" w:hAnsi="仿宋" w:eastAsia="仿宋" w:cs="仿宋"/>
          <w:color w:val="auto"/>
          <w:sz w:val="24"/>
          <w:szCs w:val="24"/>
          <w:highlight w:val="none"/>
          <w:u w:val="single"/>
          <w:lang w:val="en-US" w:eastAsia="zh-CN"/>
        </w:rPr>
        <w:t>（规定比例）</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u w:val="single"/>
          <w:lang w:val="en-US" w:eastAsia="zh-CN"/>
        </w:rPr>
        <w:t>（产品名称1）</w:t>
      </w:r>
      <w:r>
        <w:rPr>
          <w:rFonts w:hint="eastAsia" w:ascii="仿宋" w:hAnsi="仿宋" w:eastAsia="仿宋" w:cs="仿宋"/>
          <w:color w:val="auto"/>
          <w:sz w:val="24"/>
          <w:szCs w:val="24"/>
          <w:highlight w:val="none"/>
          <w:lang w:val="en-US" w:eastAsia="zh-CN"/>
        </w:rPr>
        <w:t>的</w:t>
      </w:r>
      <w:r>
        <w:rPr>
          <w:rFonts w:hint="eastAsia" w:ascii="仿宋" w:hAnsi="仿宋" w:eastAsia="仿宋" w:cs="仿宋"/>
          <w:color w:val="auto"/>
          <w:sz w:val="24"/>
          <w:szCs w:val="24"/>
          <w:highlight w:val="none"/>
          <w:u w:val="single"/>
          <w:lang w:val="en-US" w:eastAsia="zh-CN"/>
        </w:rPr>
        <w:t>（关键组件）</w:t>
      </w:r>
      <w:r>
        <w:rPr>
          <w:rFonts w:hint="eastAsia" w:ascii="仿宋" w:hAnsi="仿宋" w:eastAsia="仿宋" w:cs="仿宋"/>
          <w:color w:val="auto"/>
          <w:sz w:val="24"/>
          <w:szCs w:val="24"/>
          <w:highlight w:val="none"/>
          <w:lang w:val="en-US" w:eastAsia="zh-CN"/>
        </w:rPr>
        <w:t>4在中国境内生产。</w:t>
      </w:r>
      <w:r>
        <w:rPr>
          <w:rFonts w:hint="eastAsia" w:ascii="仿宋" w:hAnsi="仿宋" w:eastAsia="仿宋" w:cs="仿宋"/>
          <w:color w:val="auto"/>
          <w:sz w:val="24"/>
          <w:szCs w:val="24"/>
          <w:highlight w:val="none"/>
          <w:u w:val="single"/>
          <w:lang w:val="en-US" w:eastAsia="zh-CN"/>
        </w:rPr>
        <w:t>（产品名称1）</w:t>
      </w:r>
      <w:r>
        <w:rPr>
          <w:rFonts w:hint="eastAsia" w:ascii="仿宋" w:hAnsi="仿宋" w:eastAsia="仿宋" w:cs="仿宋"/>
          <w:color w:val="auto"/>
          <w:sz w:val="24"/>
          <w:szCs w:val="24"/>
          <w:highlight w:val="none"/>
          <w:lang w:val="en-US" w:eastAsia="zh-CN"/>
        </w:rPr>
        <w:t>的</w:t>
      </w:r>
      <w:r>
        <w:rPr>
          <w:rFonts w:hint="eastAsia" w:ascii="仿宋" w:hAnsi="仿宋" w:eastAsia="仿宋" w:cs="仿宋"/>
          <w:color w:val="auto"/>
          <w:sz w:val="24"/>
          <w:szCs w:val="24"/>
          <w:highlight w:val="none"/>
          <w:u w:val="single"/>
          <w:lang w:val="en-US" w:eastAsia="zh-CN"/>
        </w:rPr>
        <w:t>（关键工序）</w:t>
      </w:r>
      <w:r>
        <w:rPr>
          <w:rFonts w:hint="eastAsia" w:ascii="仿宋" w:hAnsi="仿宋" w:eastAsia="仿宋" w:cs="仿宋"/>
          <w:color w:val="auto"/>
          <w:sz w:val="24"/>
          <w:szCs w:val="24"/>
          <w:highlight w:val="none"/>
          <w:lang w:val="en-US" w:eastAsia="zh-CN"/>
        </w:rPr>
        <w:t>5在中国境内完成。</w:t>
      </w:r>
    </w:p>
    <w:p w14:paraId="5849751A">
      <w:pPr>
        <w:spacing w:line="360" w:lineRule="auto"/>
        <w:ind w:firstLine="480" w:firstLineChars="200"/>
        <w:jc w:val="both"/>
        <w:rPr>
          <w:rFonts w:hint="eastAsia" w:ascii="仿宋" w:hAnsi="仿宋" w:eastAsia="仿宋" w:cs="仿宋"/>
          <w:color w:val="auto"/>
          <w:sz w:val="24"/>
          <w:szCs w:val="24"/>
          <w:highlight w:val="none"/>
          <w:lang w:val="en-US" w:eastAsia="zh-CN"/>
        </w:rPr>
      </w:pPr>
    </w:p>
    <w:p w14:paraId="3E98C856">
      <w:pPr>
        <w:spacing w:line="360" w:lineRule="auto"/>
        <w:ind w:firstLine="480" w:firstLineChars="20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u w:val="single"/>
          <w:lang w:val="en-US" w:eastAsia="zh-CN"/>
        </w:rPr>
        <w:t>（产品名称2）</w:t>
      </w:r>
      <w:r>
        <w:rPr>
          <w:rFonts w:hint="eastAsia" w:ascii="仿宋" w:hAnsi="仿宋" w:eastAsia="仿宋" w:cs="仿宋"/>
          <w:color w:val="auto"/>
          <w:sz w:val="24"/>
          <w:szCs w:val="24"/>
          <w:highlight w:val="none"/>
          <w:lang w:val="en-US" w:eastAsia="zh-CN"/>
        </w:rPr>
        <w:t>，生产厂为</w:t>
      </w:r>
      <w:r>
        <w:rPr>
          <w:rFonts w:hint="eastAsia" w:ascii="仿宋" w:hAnsi="仿宋" w:eastAsia="仿宋" w:cs="仿宋"/>
          <w:color w:val="auto"/>
          <w:sz w:val="24"/>
          <w:szCs w:val="24"/>
          <w:highlight w:val="none"/>
          <w:u w:val="single"/>
          <w:lang w:val="en-US" w:eastAsia="zh-CN"/>
        </w:rPr>
        <w:t>（厂名）</w:t>
      </w:r>
      <w:r>
        <w:rPr>
          <w:rFonts w:hint="eastAsia" w:ascii="仿宋" w:hAnsi="仿宋" w:eastAsia="仿宋" w:cs="仿宋"/>
          <w:color w:val="auto"/>
          <w:sz w:val="24"/>
          <w:szCs w:val="24"/>
          <w:highlight w:val="none"/>
          <w:lang w:val="en-US" w:eastAsia="zh-CN"/>
        </w:rPr>
        <w:t>，厂址为</w:t>
      </w:r>
      <w:r>
        <w:rPr>
          <w:rFonts w:hint="eastAsia" w:ascii="仿宋" w:hAnsi="仿宋" w:eastAsia="仿宋" w:cs="仿宋"/>
          <w:color w:val="auto"/>
          <w:sz w:val="24"/>
          <w:szCs w:val="24"/>
          <w:highlight w:val="none"/>
          <w:u w:val="single"/>
          <w:lang w:val="en-US" w:eastAsia="zh-CN"/>
        </w:rPr>
        <w:t>（生产厂址）</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u w:val="single"/>
          <w:lang w:val="en-US" w:eastAsia="zh-CN"/>
        </w:rPr>
        <w:t>（产品名称2）</w:t>
      </w:r>
      <w:r>
        <w:rPr>
          <w:rFonts w:hint="eastAsia" w:ascii="仿宋" w:hAnsi="仿宋" w:eastAsia="仿宋" w:cs="仿宋"/>
          <w:color w:val="auto"/>
          <w:sz w:val="24"/>
          <w:szCs w:val="24"/>
          <w:highlight w:val="none"/>
          <w:lang w:val="en-US" w:eastAsia="zh-CN"/>
        </w:rPr>
        <w:t>的中国境内生产的组件成本占比≥</w:t>
      </w:r>
      <w:r>
        <w:rPr>
          <w:rFonts w:hint="eastAsia" w:ascii="仿宋" w:hAnsi="仿宋" w:eastAsia="仿宋" w:cs="仿宋"/>
          <w:color w:val="auto"/>
          <w:sz w:val="24"/>
          <w:szCs w:val="24"/>
          <w:highlight w:val="none"/>
          <w:u w:val="single"/>
          <w:lang w:val="en-US" w:eastAsia="zh-CN"/>
        </w:rPr>
        <w:t>（规定比例）</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u w:val="single"/>
          <w:lang w:val="en-US" w:eastAsia="zh-CN"/>
        </w:rPr>
        <w:t>（产品名称2）</w:t>
      </w:r>
      <w:r>
        <w:rPr>
          <w:rFonts w:hint="eastAsia" w:ascii="仿宋" w:hAnsi="仿宋" w:eastAsia="仿宋" w:cs="仿宋"/>
          <w:color w:val="auto"/>
          <w:sz w:val="24"/>
          <w:szCs w:val="24"/>
          <w:highlight w:val="none"/>
          <w:lang w:val="en-US" w:eastAsia="zh-CN"/>
        </w:rPr>
        <w:t>的</w:t>
      </w:r>
      <w:r>
        <w:rPr>
          <w:rFonts w:hint="eastAsia" w:ascii="仿宋" w:hAnsi="仿宋" w:eastAsia="仿宋" w:cs="仿宋"/>
          <w:color w:val="auto"/>
          <w:sz w:val="24"/>
          <w:szCs w:val="24"/>
          <w:highlight w:val="none"/>
          <w:u w:val="single"/>
          <w:lang w:val="en-US" w:eastAsia="zh-CN"/>
        </w:rPr>
        <w:t>（关键组件）</w:t>
      </w:r>
      <w:r>
        <w:rPr>
          <w:rFonts w:hint="eastAsia" w:ascii="仿宋" w:hAnsi="仿宋" w:eastAsia="仿宋" w:cs="仿宋"/>
          <w:color w:val="auto"/>
          <w:sz w:val="24"/>
          <w:szCs w:val="24"/>
          <w:highlight w:val="none"/>
          <w:lang w:val="en-US" w:eastAsia="zh-CN"/>
        </w:rPr>
        <w:t>在中国境内生产。</w:t>
      </w:r>
      <w:r>
        <w:rPr>
          <w:rFonts w:hint="eastAsia" w:ascii="仿宋" w:hAnsi="仿宋" w:eastAsia="仿宋" w:cs="仿宋"/>
          <w:color w:val="auto"/>
          <w:sz w:val="24"/>
          <w:szCs w:val="24"/>
          <w:highlight w:val="none"/>
          <w:u w:val="single"/>
          <w:lang w:val="en-US" w:eastAsia="zh-CN"/>
        </w:rPr>
        <w:t>（产品名称2）</w:t>
      </w:r>
      <w:r>
        <w:rPr>
          <w:rFonts w:hint="eastAsia" w:ascii="仿宋" w:hAnsi="仿宋" w:eastAsia="仿宋" w:cs="仿宋"/>
          <w:color w:val="auto"/>
          <w:sz w:val="24"/>
          <w:szCs w:val="24"/>
          <w:highlight w:val="none"/>
          <w:lang w:val="en-US" w:eastAsia="zh-CN"/>
        </w:rPr>
        <w:t>的</w:t>
      </w:r>
      <w:r>
        <w:rPr>
          <w:rFonts w:hint="eastAsia" w:ascii="仿宋" w:hAnsi="仿宋" w:eastAsia="仿宋" w:cs="仿宋"/>
          <w:color w:val="auto"/>
          <w:sz w:val="24"/>
          <w:szCs w:val="24"/>
          <w:highlight w:val="none"/>
          <w:u w:val="single"/>
          <w:lang w:val="en-US" w:eastAsia="zh-CN"/>
        </w:rPr>
        <w:t>（关键工序）</w:t>
      </w:r>
      <w:r>
        <w:rPr>
          <w:rFonts w:hint="eastAsia" w:ascii="仿宋" w:hAnsi="仿宋" w:eastAsia="仿宋" w:cs="仿宋"/>
          <w:color w:val="auto"/>
          <w:sz w:val="24"/>
          <w:szCs w:val="24"/>
          <w:highlight w:val="none"/>
          <w:lang w:val="en-US" w:eastAsia="zh-CN"/>
        </w:rPr>
        <w:t>在中国境内完成。</w:t>
      </w:r>
    </w:p>
    <w:p w14:paraId="22D3850D">
      <w:pPr>
        <w:spacing w:line="360" w:lineRule="auto"/>
        <w:ind w:firstLine="480" w:firstLineChars="20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w:t>
      </w:r>
    </w:p>
    <w:p w14:paraId="5B75B44E">
      <w:pPr>
        <w:spacing w:line="360" w:lineRule="auto"/>
        <w:ind w:firstLine="480" w:firstLineChars="20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本公司（单位）对上述声明内容的真实性负责。如有虚假，愿承担相应法律责任。</w:t>
      </w:r>
    </w:p>
    <w:p w14:paraId="5EC41F12">
      <w:pPr>
        <w:spacing w:line="360" w:lineRule="auto"/>
        <w:ind w:firstLine="480" w:firstLineChars="20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w:t>
      </w:r>
    </w:p>
    <w:p w14:paraId="6B4483FA">
      <w:pPr>
        <w:spacing w:line="360" w:lineRule="auto"/>
        <w:ind w:firstLine="510"/>
        <w:rPr>
          <w:rFonts w:ascii="仿宋" w:hAnsi="仿宋" w:eastAsia="仿宋"/>
          <w:color w:val="auto"/>
          <w:sz w:val="24"/>
          <w:szCs w:val="24"/>
          <w:highlight w:val="none"/>
        </w:rPr>
      </w:pPr>
      <w:r>
        <w:rPr>
          <w:rFonts w:hint="eastAsia" w:ascii="仿宋" w:hAnsi="仿宋" w:eastAsia="仿宋"/>
          <w:color w:val="auto"/>
          <w:sz w:val="24"/>
          <w:szCs w:val="24"/>
          <w:highlight w:val="none"/>
        </w:rPr>
        <w:t>投标人（</w:t>
      </w:r>
      <w:r>
        <w:rPr>
          <w:rFonts w:hint="eastAsia" w:ascii="仿宋" w:hAnsi="仿宋" w:eastAsia="仿宋"/>
          <w:color w:val="auto"/>
          <w:sz w:val="24"/>
          <w:szCs w:val="24"/>
          <w:highlight w:val="none"/>
          <w:lang w:eastAsia="zh-CN"/>
        </w:rPr>
        <w:t>电子签章</w:t>
      </w:r>
      <w:r>
        <w:rPr>
          <w:rFonts w:hint="eastAsia" w:ascii="仿宋" w:hAnsi="仿宋" w:eastAsia="仿宋"/>
          <w:color w:val="auto"/>
          <w:sz w:val="24"/>
          <w:szCs w:val="24"/>
          <w:highlight w:val="none"/>
        </w:rPr>
        <w:t>）：</w:t>
      </w:r>
      <w:r>
        <w:rPr>
          <w:rFonts w:hint="eastAsia" w:ascii="仿宋" w:hAnsi="仿宋" w:eastAsia="仿宋"/>
          <w:color w:val="auto"/>
          <w:sz w:val="24"/>
          <w:szCs w:val="24"/>
          <w:highlight w:val="none"/>
          <w:u w:val="single"/>
        </w:rPr>
        <w:t xml:space="preserve">                                        </w:t>
      </w:r>
    </w:p>
    <w:p w14:paraId="772CDD5E">
      <w:pPr>
        <w:spacing w:line="360" w:lineRule="auto"/>
        <w:ind w:firstLine="510"/>
        <w:rPr>
          <w:rFonts w:ascii="仿宋" w:hAnsi="仿宋" w:eastAsia="仿宋"/>
          <w:color w:val="auto"/>
          <w:sz w:val="24"/>
          <w:szCs w:val="24"/>
          <w:highlight w:val="none"/>
        </w:rPr>
      </w:pPr>
      <w:r>
        <w:rPr>
          <w:rFonts w:hint="eastAsia" w:ascii="仿宋" w:hAnsi="仿宋" w:eastAsia="仿宋"/>
          <w:color w:val="auto"/>
          <w:sz w:val="24"/>
          <w:szCs w:val="24"/>
          <w:highlight w:val="none"/>
        </w:rPr>
        <w:t>法定代表人或委托代理人（</w:t>
      </w:r>
      <w:r>
        <w:rPr>
          <w:rFonts w:hint="eastAsia" w:ascii="仿宋" w:hAnsi="仿宋" w:eastAsia="仿宋" w:cs="仿宋"/>
          <w:color w:val="auto"/>
          <w:sz w:val="24"/>
          <w:szCs w:val="24"/>
          <w:highlight w:val="none"/>
        </w:rPr>
        <w:t>签字或电子签章</w:t>
      </w:r>
      <w:r>
        <w:rPr>
          <w:rFonts w:hint="eastAsia" w:ascii="仿宋" w:hAnsi="仿宋" w:eastAsia="仿宋"/>
          <w:color w:val="auto"/>
          <w:sz w:val="24"/>
          <w:szCs w:val="24"/>
          <w:highlight w:val="none"/>
        </w:rPr>
        <w:t>）：</w:t>
      </w:r>
      <w:r>
        <w:rPr>
          <w:rFonts w:hint="eastAsia" w:ascii="仿宋" w:hAnsi="仿宋" w:eastAsia="仿宋"/>
          <w:color w:val="auto"/>
          <w:sz w:val="24"/>
          <w:szCs w:val="24"/>
          <w:highlight w:val="none"/>
          <w:u w:val="single"/>
        </w:rPr>
        <w:t xml:space="preserve">                        </w:t>
      </w:r>
    </w:p>
    <w:p w14:paraId="5E73932C">
      <w:pPr>
        <w:spacing w:line="360" w:lineRule="auto"/>
        <w:ind w:firstLine="480" w:firstLineChars="200"/>
        <w:rPr>
          <w:rFonts w:ascii="仿宋" w:hAnsi="仿宋" w:eastAsia="仿宋"/>
          <w:color w:val="auto"/>
          <w:sz w:val="24"/>
          <w:szCs w:val="24"/>
          <w:highlight w:val="none"/>
          <w:u w:val="single"/>
        </w:rPr>
      </w:pPr>
      <w:r>
        <w:rPr>
          <w:rFonts w:hint="eastAsia" w:ascii="仿宋" w:hAnsi="仿宋" w:eastAsia="仿宋"/>
          <w:color w:val="auto"/>
          <w:sz w:val="24"/>
          <w:szCs w:val="24"/>
          <w:highlight w:val="none"/>
        </w:rPr>
        <w:t>日  期：</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年</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月</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日</w:t>
      </w:r>
    </w:p>
    <w:p w14:paraId="51B5D09F">
      <w:pPr>
        <w:pStyle w:val="18"/>
        <w:rPr>
          <w:rFonts w:hint="eastAsia" w:ascii="仿宋" w:hAnsi="仿宋" w:eastAsia="仿宋" w:cs="仿宋"/>
          <w:color w:val="auto"/>
          <w:sz w:val="24"/>
          <w:szCs w:val="24"/>
          <w:highlight w:val="none"/>
          <w:lang w:val="en-US" w:eastAsia="zh-CN"/>
        </w:rPr>
      </w:pPr>
    </w:p>
    <w:p w14:paraId="136545D4">
      <w:pPr>
        <w:rPr>
          <w:rFonts w:hint="eastAsia" w:ascii="仿宋" w:hAnsi="仿宋" w:eastAsia="仿宋" w:cs="仿宋"/>
          <w:color w:val="auto"/>
          <w:sz w:val="24"/>
          <w:szCs w:val="24"/>
          <w:highlight w:val="none"/>
          <w:lang w:val="en-US" w:eastAsia="zh-CN"/>
        </w:rPr>
      </w:pPr>
    </w:p>
    <w:p w14:paraId="27A16497">
      <w:pPr>
        <w:spacing w:line="360" w:lineRule="auto"/>
        <w:jc w:val="both"/>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注：1.产品如有型号，请在“产品名称”栏一并填写。</w:t>
      </w:r>
    </w:p>
    <w:p w14:paraId="6D4C11D4">
      <w:pPr>
        <w:spacing w:line="360" w:lineRule="auto"/>
        <w:ind w:firstLine="482" w:firstLineChars="200"/>
        <w:jc w:val="both"/>
        <w:rPr>
          <w:rFonts w:hint="default"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2.生产厂名与厂址应与生产厂营业执照载明的相关信息保持一致。</w:t>
      </w:r>
    </w:p>
    <w:p w14:paraId="4F36A3D0">
      <w:pPr>
        <w:spacing w:line="360" w:lineRule="auto"/>
        <w:ind w:firstLine="482" w:firstLineChars="200"/>
        <w:jc w:val="both"/>
        <w:rPr>
          <w:rFonts w:hint="default"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3.该产品的中国境内生产的组件成本占比相关要求实施前，“规定比例”栏可不填，下同。</w:t>
      </w:r>
    </w:p>
    <w:p w14:paraId="57449A08">
      <w:pPr>
        <w:spacing w:line="360" w:lineRule="auto"/>
        <w:ind w:firstLine="482" w:firstLineChars="200"/>
        <w:jc w:val="both"/>
        <w:rPr>
          <w:rFonts w:hint="default"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4.该产品的关键组件要求实施前，“关键组件”栏可不填，下同。</w:t>
      </w:r>
    </w:p>
    <w:p w14:paraId="420BD3CF">
      <w:pPr>
        <w:spacing w:line="360" w:lineRule="auto"/>
        <w:ind w:firstLine="482" w:firstLineChars="200"/>
        <w:jc w:val="both"/>
        <w:rPr>
          <w:rFonts w:hint="eastAsia" w:ascii="仿宋" w:hAnsi="仿宋" w:eastAsia="仿宋" w:cs="仿宋"/>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5.该产品的关键工序要求实施前，“关键工序”栏可不填，下同。</w:t>
      </w:r>
    </w:p>
    <w:p w14:paraId="0F0E1EFF">
      <w:pPr>
        <w:bidi w:val="0"/>
        <w:rPr>
          <w:rFonts w:hint="eastAsia"/>
        </w:rPr>
      </w:pPr>
    </w:p>
    <w:p w14:paraId="6A2A1FBC">
      <w:pPr>
        <w:pStyle w:val="2"/>
        <w:rPr>
          <w:rFonts w:hint="eastAsia"/>
        </w:rPr>
      </w:pPr>
    </w:p>
    <w:p w14:paraId="25D663B1">
      <w:pPr>
        <w:pStyle w:val="2"/>
        <w:rPr>
          <w:rFonts w:hint="eastAsia"/>
        </w:rPr>
      </w:pPr>
    </w:p>
    <w:p w14:paraId="27BC79AC">
      <w:pPr>
        <w:pStyle w:val="2"/>
        <w:rPr>
          <w:rFonts w:hint="eastAsia"/>
        </w:rPr>
      </w:pPr>
    </w:p>
    <w:p w14:paraId="307657A0">
      <w:pPr>
        <w:pStyle w:val="2"/>
        <w:rPr>
          <w:rFonts w:hint="eastAsia"/>
        </w:rPr>
      </w:pPr>
    </w:p>
    <w:p w14:paraId="61096608">
      <w:pPr>
        <w:pStyle w:val="6"/>
        <w:ind w:left="0" w:leftChars="0" w:firstLine="0" w:firstLineChars="0"/>
        <w:jc w:val="center"/>
        <w:rPr>
          <w:rFonts w:hint="eastAsia" w:ascii="仿宋" w:hAnsi="仿宋" w:eastAsia="仿宋" w:cs="仿宋"/>
          <w:b/>
          <w:bCs/>
          <w:color w:val="auto"/>
          <w:sz w:val="24"/>
          <w:szCs w:val="24"/>
          <w:highlight w:val="none"/>
        </w:rPr>
      </w:pPr>
      <w:bookmarkStart w:id="627" w:name="_Toc9647"/>
      <w:r>
        <w:rPr>
          <w:rFonts w:hint="eastAsia" w:ascii="仿宋" w:hAnsi="仿宋" w:eastAsia="仿宋"/>
          <w:b/>
          <w:bCs/>
          <w:color w:val="auto"/>
          <w:sz w:val="28"/>
          <w:szCs w:val="28"/>
          <w:highlight w:val="none"/>
        </w:rPr>
        <w:t>格式</w:t>
      </w:r>
      <w:r>
        <w:rPr>
          <w:rFonts w:hint="eastAsia" w:ascii="仿宋" w:hAnsi="仿宋" w:eastAsia="仿宋"/>
          <w:b/>
          <w:bCs/>
          <w:color w:val="auto"/>
          <w:sz w:val="28"/>
          <w:szCs w:val="28"/>
          <w:highlight w:val="none"/>
          <w:lang w:val="en-US" w:eastAsia="zh-CN"/>
        </w:rPr>
        <w:t>9</w:t>
      </w:r>
      <w:r>
        <w:rPr>
          <w:rFonts w:hint="eastAsia" w:ascii="仿宋" w:hAnsi="仿宋" w:eastAsia="仿宋"/>
          <w:b/>
          <w:bCs/>
          <w:color w:val="auto"/>
          <w:sz w:val="28"/>
          <w:szCs w:val="28"/>
          <w:highlight w:val="none"/>
        </w:rPr>
        <w:t>、</w:t>
      </w:r>
      <w:bookmarkEnd w:id="562"/>
      <w:bookmarkEnd w:id="563"/>
      <w:bookmarkEnd w:id="564"/>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在</w:t>
      </w:r>
      <w:r>
        <w:rPr>
          <w:rFonts w:hint="eastAsia" w:ascii="仿宋" w:hAnsi="仿宋" w:eastAsia="仿宋" w:cs="仿宋"/>
          <w:b/>
          <w:bCs/>
          <w:color w:val="auto"/>
          <w:sz w:val="28"/>
          <w:szCs w:val="28"/>
          <w:highlight w:val="none"/>
          <w:lang w:val="en-US" w:eastAsia="zh-CN"/>
        </w:rPr>
        <w:t>投标文件</w:t>
      </w:r>
      <w:r>
        <w:rPr>
          <w:rFonts w:hint="eastAsia" w:ascii="仿宋" w:hAnsi="仿宋" w:eastAsia="仿宋" w:cs="仿宋"/>
          <w:b/>
          <w:bCs/>
          <w:color w:val="auto"/>
          <w:sz w:val="28"/>
          <w:szCs w:val="28"/>
          <w:highlight w:val="none"/>
        </w:rPr>
        <w:t>中未提供虚假材料的承诺</w:t>
      </w:r>
      <w:bookmarkEnd w:id="623"/>
      <w:bookmarkEnd w:id="624"/>
      <w:bookmarkEnd w:id="625"/>
      <w:bookmarkEnd w:id="626"/>
      <w:bookmarkEnd w:id="627"/>
    </w:p>
    <w:p w14:paraId="3A9EB26F">
      <w:pPr>
        <w:bidi w:val="0"/>
        <w:rPr>
          <w:rFonts w:hint="eastAsia"/>
          <w:color w:val="auto"/>
          <w:highlight w:val="none"/>
        </w:rPr>
      </w:pPr>
    </w:p>
    <w:p w14:paraId="4AF9DCF7">
      <w:pPr>
        <w:spacing w:line="360" w:lineRule="auto"/>
        <w:ind w:firstLine="482" w:firstLineChars="20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致：</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u w:val="single"/>
        </w:rPr>
        <w:t>（采购人名称）</w:t>
      </w:r>
    </w:p>
    <w:p w14:paraId="3A0DAC38">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eastAsia="zh-CN"/>
        </w:rPr>
        <w:t>投标人</w:t>
      </w:r>
      <w:r>
        <w:rPr>
          <w:rFonts w:hint="eastAsia" w:ascii="仿宋" w:hAnsi="仿宋" w:eastAsia="仿宋" w:cs="仿宋"/>
          <w:color w:val="auto"/>
          <w:sz w:val="24"/>
          <w:szCs w:val="24"/>
          <w:highlight w:val="none"/>
          <w:u w:val="single"/>
        </w:rPr>
        <w:t>名称）</w:t>
      </w:r>
      <w:r>
        <w:rPr>
          <w:rFonts w:hint="eastAsia" w:ascii="仿宋" w:hAnsi="仿宋" w:eastAsia="仿宋" w:cs="仿宋"/>
          <w:color w:val="auto"/>
          <w:sz w:val="24"/>
          <w:szCs w:val="24"/>
          <w:highlight w:val="none"/>
        </w:rPr>
        <w:t>现对我公司参与的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（项目名称）（项目编号：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）投标中，所提供的所有投标材料的真实性郑重声明如下：</w:t>
      </w:r>
    </w:p>
    <w:p w14:paraId="6808717F">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rPr>
        <w:t>我公司参与本项目投标所提供的各项材料，包括但不限于企业基本信息材料、资质与资格材料、《中小企业声明函》（若有）、残疾人福利性单位声明函（若有）、监狱企业的证明文件（若有）、业绩证明材料等均是真实的。</w:t>
      </w:r>
    </w:p>
    <w:p w14:paraId="68418899">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2.</w:t>
      </w:r>
      <w:r>
        <w:rPr>
          <w:rFonts w:hint="eastAsia" w:ascii="仿宋" w:hAnsi="仿宋" w:eastAsia="仿宋" w:cs="仿宋"/>
          <w:color w:val="auto"/>
          <w:sz w:val="24"/>
          <w:szCs w:val="24"/>
          <w:highlight w:val="none"/>
        </w:rPr>
        <w:t>我</w:t>
      </w:r>
      <w:r>
        <w:rPr>
          <w:rFonts w:hint="eastAsia" w:ascii="仿宋" w:hAnsi="仿宋" w:eastAsia="仿宋" w:cs="仿宋"/>
          <w:color w:val="auto"/>
          <w:sz w:val="24"/>
          <w:szCs w:val="24"/>
          <w:highlight w:val="none"/>
          <w:lang w:eastAsia="zh-CN"/>
        </w:rPr>
        <w:t>方在投标文件</w:t>
      </w:r>
      <w:r>
        <w:rPr>
          <w:rFonts w:hint="eastAsia" w:ascii="仿宋" w:hAnsi="仿宋" w:eastAsia="仿宋" w:cs="仿宋"/>
          <w:color w:val="auto"/>
          <w:sz w:val="24"/>
          <w:szCs w:val="24"/>
          <w:highlight w:val="none"/>
        </w:rPr>
        <w:t>中提供的业绩证明材料满足采购人依照本招标文件有关规定进行核查的要求。若根据我方提供的业绩证明材料无法进行核查或者核查结果证明我方提供的业绩证明材料不实，我方愿意承担相应的后果。</w:t>
      </w:r>
    </w:p>
    <w:p w14:paraId="5287FE4C">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我方郑重承诺：如提供虚假、不真实资料，我方将接受相关处罚，并对因此而造成的损失承担法律责任。</w:t>
      </w:r>
    </w:p>
    <w:p w14:paraId="619F3254">
      <w:pPr>
        <w:bidi w:val="0"/>
        <w:rPr>
          <w:color w:val="auto"/>
          <w:highlight w:val="none"/>
        </w:rPr>
      </w:pPr>
    </w:p>
    <w:p w14:paraId="78F06D10">
      <w:pPr>
        <w:spacing w:line="360" w:lineRule="auto"/>
        <w:ind w:firstLine="480" w:firstLineChars="200"/>
        <w:rPr>
          <w:rFonts w:ascii="仿宋" w:hAnsi="仿宋" w:eastAsia="仿宋"/>
          <w:color w:val="auto"/>
          <w:sz w:val="24"/>
          <w:szCs w:val="20"/>
          <w:highlight w:val="none"/>
          <w:u w:val="single"/>
        </w:rPr>
      </w:pPr>
      <w:r>
        <w:rPr>
          <w:rFonts w:hint="eastAsia" w:ascii="仿宋" w:hAnsi="仿宋" w:eastAsia="仿宋"/>
          <w:color w:val="auto"/>
          <w:sz w:val="24"/>
          <w:szCs w:val="20"/>
          <w:highlight w:val="none"/>
        </w:rPr>
        <w:t>投标人（</w:t>
      </w:r>
      <w:r>
        <w:rPr>
          <w:rFonts w:hint="eastAsia" w:ascii="仿宋" w:hAnsi="仿宋" w:eastAsia="仿宋"/>
          <w:color w:val="auto"/>
          <w:sz w:val="24"/>
          <w:szCs w:val="24"/>
          <w:highlight w:val="none"/>
          <w:lang w:val="en-US" w:eastAsia="zh-CN"/>
        </w:rPr>
        <w:t>电子签章</w:t>
      </w:r>
      <w:r>
        <w:rPr>
          <w:rFonts w:hint="eastAsia" w:ascii="仿宋" w:hAnsi="仿宋" w:eastAsia="仿宋"/>
          <w:color w:val="auto"/>
          <w:sz w:val="24"/>
          <w:szCs w:val="20"/>
          <w:highlight w:val="none"/>
        </w:rPr>
        <w:t>）：</w:t>
      </w:r>
      <w:r>
        <w:rPr>
          <w:rFonts w:hint="eastAsia" w:ascii="仿宋" w:hAnsi="仿宋" w:eastAsia="仿宋"/>
          <w:color w:val="auto"/>
          <w:sz w:val="24"/>
          <w:szCs w:val="20"/>
          <w:highlight w:val="none"/>
          <w:u w:val="single"/>
        </w:rPr>
        <w:t xml:space="preserve">                                           </w:t>
      </w:r>
    </w:p>
    <w:p w14:paraId="5951CEA6">
      <w:pPr>
        <w:spacing w:line="360" w:lineRule="auto"/>
        <w:ind w:firstLine="480" w:firstLineChars="200"/>
        <w:rPr>
          <w:rFonts w:ascii="仿宋" w:hAnsi="仿宋" w:eastAsia="仿宋"/>
          <w:color w:val="auto"/>
          <w:sz w:val="24"/>
          <w:szCs w:val="20"/>
          <w:highlight w:val="none"/>
        </w:rPr>
      </w:pPr>
      <w:r>
        <w:rPr>
          <w:rFonts w:hint="eastAsia" w:ascii="仿宋" w:hAnsi="仿宋" w:eastAsia="仿宋"/>
          <w:color w:val="auto"/>
          <w:sz w:val="24"/>
          <w:szCs w:val="24"/>
          <w:highlight w:val="none"/>
        </w:rPr>
        <w:t>法定代表人或委托代理人（签字或电子签章）：</w:t>
      </w:r>
      <w:r>
        <w:rPr>
          <w:rFonts w:hint="eastAsia" w:ascii="仿宋" w:hAnsi="仿宋" w:eastAsia="仿宋"/>
          <w:color w:val="auto"/>
          <w:sz w:val="24"/>
          <w:szCs w:val="24"/>
          <w:highlight w:val="none"/>
          <w:u w:val="single"/>
        </w:rPr>
        <w:t xml:space="preserve">                     </w:t>
      </w:r>
    </w:p>
    <w:p w14:paraId="56A7ADAC">
      <w:pPr>
        <w:spacing w:line="360" w:lineRule="auto"/>
        <w:ind w:firstLine="480" w:firstLineChars="200"/>
        <w:rPr>
          <w:rFonts w:ascii="仿宋" w:hAnsi="仿宋" w:eastAsia="仿宋"/>
          <w:color w:val="auto"/>
          <w:sz w:val="24"/>
          <w:szCs w:val="20"/>
          <w:highlight w:val="none"/>
          <w:u w:val="single"/>
        </w:rPr>
      </w:pPr>
      <w:r>
        <w:rPr>
          <w:rFonts w:hint="eastAsia" w:ascii="仿宋" w:hAnsi="仿宋" w:eastAsia="仿宋"/>
          <w:color w:val="auto"/>
          <w:sz w:val="24"/>
          <w:szCs w:val="20"/>
          <w:highlight w:val="none"/>
        </w:rPr>
        <w:t>日  期：</w:t>
      </w:r>
      <w:r>
        <w:rPr>
          <w:rFonts w:hint="eastAsia" w:ascii="仿宋" w:hAnsi="仿宋" w:eastAsia="仿宋"/>
          <w:color w:val="auto"/>
          <w:sz w:val="24"/>
          <w:szCs w:val="20"/>
          <w:highlight w:val="none"/>
          <w:u w:val="single"/>
        </w:rPr>
        <w:t xml:space="preserve">       </w:t>
      </w:r>
      <w:r>
        <w:rPr>
          <w:rFonts w:hint="eastAsia" w:ascii="仿宋" w:hAnsi="仿宋" w:eastAsia="仿宋"/>
          <w:color w:val="auto"/>
          <w:sz w:val="24"/>
          <w:szCs w:val="20"/>
          <w:highlight w:val="none"/>
        </w:rPr>
        <w:t>年</w:t>
      </w:r>
      <w:r>
        <w:rPr>
          <w:rFonts w:hint="eastAsia" w:ascii="仿宋" w:hAnsi="仿宋" w:eastAsia="仿宋"/>
          <w:color w:val="auto"/>
          <w:sz w:val="24"/>
          <w:szCs w:val="20"/>
          <w:highlight w:val="none"/>
          <w:u w:val="single"/>
        </w:rPr>
        <w:t xml:space="preserve">    </w:t>
      </w:r>
      <w:r>
        <w:rPr>
          <w:rFonts w:hint="eastAsia" w:ascii="仿宋" w:hAnsi="仿宋" w:eastAsia="仿宋"/>
          <w:color w:val="auto"/>
          <w:sz w:val="24"/>
          <w:szCs w:val="20"/>
          <w:highlight w:val="none"/>
        </w:rPr>
        <w:t>月</w:t>
      </w:r>
      <w:r>
        <w:rPr>
          <w:rFonts w:hint="eastAsia" w:ascii="仿宋" w:hAnsi="仿宋" w:eastAsia="仿宋"/>
          <w:color w:val="auto"/>
          <w:sz w:val="24"/>
          <w:szCs w:val="20"/>
          <w:highlight w:val="none"/>
          <w:u w:val="single"/>
        </w:rPr>
        <w:t xml:space="preserve">    </w:t>
      </w:r>
      <w:r>
        <w:rPr>
          <w:rFonts w:hint="eastAsia" w:ascii="仿宋" w:hAnsi="仿宋" w:eastAsia="仿宋"/>
          <w:color w:val="auto"/>
          <w:sz w:val="24"/>
          <w:szCs w:val="20"/>
          <w:highlight w:val="none"/>
        </w:rPr>
        <w:t>日</w:t>
      </w:r>
    </w:p>
    <w:p w14:paraId="4818F328">
      <w:pPr>
        <w:bidi w:val="0"/>
        <w:rPr>
          <w:rFonts w:hint="eastAsia"/>
          <w:color w:val="auto"/>
          <w:highlight w:val="none"/>
        </w:rPr>
      </w:pPr>
    </w:p>
    <w:p w14:paraId="139A8075">
      <w:pPr>
        <w:bidi w:val="0"/>
        <w:rPr>
          <w:rFonts w:hint="eastAsia"/>
          <w:color w:val="auto"/>
          <w:highlight w:val="none"/>
        </w:rPr>
      </w:pPr>
    </w:p>
    <w:p w14:paraId="6CDAF939">
      <w:pPr>
        <w:bidi w:val="0"/>
        <w:rPr>
          <w:rFonts w:hint="eastAsia"/>
          <w:color w:val="auto"/>
          <w:highlight w:val="none"/>
        </w:rPr>
      </w:pPr>
    </w:p>
    <w:p w14:paraId="77253FAA">
      <w:pPr>
        <w:bidi w:val="0"/>
        <w:rPr>
          <w:rFonts w:hint="eastAsia"/>
          <w:color w:val="auto"/>
          <w:highlight w:val="none"/>
        </w:rPr>
      </w:pPr>
    </w:p>
    <w:p w14:paraId="744966AE">
      <w:pPr>
        <w:bidi w:val="0"/>
        <w:rPr>
          <w:rFonts w:hint="eastAsia"/>
          <w:color w:val="auto"/>
          <w:highlight w:val="none"/>
        </w:rPr>
      </w:pPr>
    </w:p>
    <w:p w14:paraId="50BFF922">
      <w:pPr>
        <w:bidi w:val="0"/>
        <w:rPr>
          <w:rFonts w:hint="eastAsia"/>
          <w:color w:val="auto"/>
          <w:highlight w:val="none"/>
        </w:rPr>
      </w:pPr>
    </w:p>
    <w:p w14:paraId="786552FB">
      <w:pPr>
        <w:bidi w:val="0"/>
        <w:rPr>
          <w:rFonts w:hint="eastAsia"/>
          <w:color w:val="auto"/>
          <w:highlight w:val="none"/>
        </w:rPr>
      </w:pPr>
    </w:p>
    <w:p w14:paraId="6FB9302C">
      <w:pPr>
        <w:bidi w:val="0"/>
        <w:rPr>
          <w:rFonts w:hint="eastAsia"/>
          <w:color w:val="auto"/>
          <w:highlight w:val="none"/>
        </w:rPr>
      </w:pPr>
    </w:p>
    <w:p w14:paraId="00F7568B">
      <w:pPr>
        <w:bidi w:val="0"/>
        <w:rPr>
          <w:rFonts w:hint="eastAsia"/>
          <w:color w:val="auto"/>
          <w:highlight w:val="none"/>
        </w:rPr>
      </w:pPr>
    </w:p>
    <w:p w14:paraId="3D8EABD7">
      <w:pPr>
        <w:bidi w:val="0"/>
        <w:rPr>
          <w:rFonts w:hint="eastAsia"/>
          <w:color w:val="auto"/>
          <w:highlight w:val="none"/>
        </w:rPr>
      </w:pPr>
    </w:p>
    <w:p w14:paraId="38F58A67">
      <w:pPr>
        <w:bidi w:val="0"/>
        <w:rPr>
          <w:rFonts w:hint="eastAsia"/>
          <w:color w:val="auto"/>
          <w:highlight w:val="none"/>
        </w:rPr>
      </w:pPr>
    </w:p>
    <w:p w14:paraId="0A93C7F5">
      <w:pPr>
        <w:bidi w:val="0"/>
        <w:rPr>
          <w:rFonts w:hint="eastAsia"/>
          <w:color w:val="auto"/>
          <w:highlight w:val="none"/>
        </w:rPr>
      </w:pPr>
    </w:p>
    <w:p w14:paraId="3C4F8D82">
      <w:pPr>
        <w:bidi w:val="0"/>
        <w:rPr>
          <w:rFonts w:hint="eastAsia"/>
          <w:color w:val="auto"/>
          <w:highlight w:val="none"/>
        </w:rPr>
      </w:pPr>
    </w:p>
    <w:p w14:paraId="32A0EDC9">
      <w:pPr>
        <w:bidi w:val="0"/>
        <w:rPr>
          <w:rFonts w:hint="eastAsia"/>
          <w:color w:val="auto"/>
          <w:highlight w:val="none"/>
        </w:rPr>
      </w:pPr>
    </w:p>
    <w:p w14:paraId="5AC6534C">
      <w:pPr>
        <w:bidi w:val="0"/>
        <w:rPr>
          <w:rFonts w:hint="eastAsia"/>
          <w:color w:val="auto"/>
          <w:highlight w:val="none"/>
        </w:rPr>
      </w:pPr>
    </w:p>
    <w:p w14:paraId="0CC33427">
      <w:pPr>
        <w:rPr>
          <w:rFonts w:hint="eastAsia"/>
          <w:color w:val="auto"/>
          <w:highlight w:val="none"/>
        </w:rPr>
      </w:pPr>
      <w:r>
        <w:rPr>
          <w:rFonts w:hint="eastAsia"/>
          <w:color w:val="auto"/>
          <w:highlight w:val="none"/>
        </w:rPr>
        <w:br w:type="page"/>
      </w:r>
    </w:p>
    <w:p w14:paraId="4E8762E3">
      <w:pPr>
        <w:bidi w:val="0"/>
        <w:rPr>
          <w:rFonts w:hint="eastAsia"/>
          <w:color w:val="auto"/>
          <w:highlight w:val="none"/>
        </w:rPr>
      </w:pPr>
    </w:p>
    <w:p w14:paraId="4E5CB0CE">
      <w:pPr>
        <w:pStyle w:val="6"/>
        <w:ind w:left="0" w:leftChars="0" w:firstLine="0" w:firstLineChars="0"/>
        <w:jc w:val="center"/>
        <w:rPr>
          <w:rFonts w:hint="eastAsia" w:ascii="仿宋" w:hAnsi="仿宋" w:eastAsia="仿宋"/>
          <w:b/>
          <w:bCs/>
          <w:color w:val="auto"/>
          <w:sz w:val="28"/>
          <w:szCs w:val="28"/>
          <w:highlight w:val="none"/>
          <w:lang w:val="en-US" w:eastAsia="zh-CN"/>
        </w:rPr>
      </w:pPr>
      <w:bookmarkStart w:id="628" w:name="_Toc16393"/>
      <w:bookmarkStart w:id="629" w:name="_Toc1899"/>
      <w:bookmarkStart w:id="630" w:name="_Toc28712"/>
      <w:bookmarkStart w:id="631" w:name="_Toc17898"/>
      <w:bookmarkStart w:id="632" w:name="_Toc24066"/>
      <w:r>
        <w:rPr>
          <w:rFonts w:hint="eastAsia" w:ascii="仿宋" w:hAnsi="仿宋" w:eastAsia="仿宋"/>
          <w:b/>
          <w:bCs/>
          <w:color w:val="auto"/>
          <w:sz w:val="28"/>
          <w:szCs w:val="28"/>
          <w:highlight w:val="none"/>
        </w:rPr>
        <w:t>格式</w:t>
      </w:r>
      <w:r>
        <w:rPr>
          <w:rFonts w:hint="eastAsia" w:ascii="仿宋" w:hAnsi="仿宋" w:eastAsia="仿宋"/>
          <w:b/>
          <w:bCs/>
          <w:color w:val="auto"/>
          <w:sz w:val="28"/>
          <w:szCs w:val="28"/>
          <w:highlight w:val="none"/>
          <w:lang w:val="en-US" w:eastAsia="zh-CN"/>
        </w:rPr>
        <w:t>10、投标人履约能力展示</w:t>
      </w:r>
      <w:bookmarkEnd w:id="628"/>
      <w:bookmarkEnd w:id="629"/>
    </w:p>
    <w:p w14:paraId="79550EED">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1.投标人基本情况</w:t>
      </w:r>
      <w:r>
        <w:rPr>
          <w:rFonts w:hint="eastAsia" w:ascii="仿宋" w:hAnsi="仿宋" w:eastAsia="仿宋" w:cs="仿宋"/>
          <w:color w:val="auto"/>
          <w:sz w:val="24"/>
          <w:szCs w:val="24"/>
          <w:highlight w:val="none"/>
          <w:lang w:val="en-US" w:eastAsia="zh-CN"/>
        </w:rPr>
        <w:t>介绍、</w:t>
      </w:r>
      <w:r>
        <w:rPr>
          <w:rFonts w:hint="eastAsia" w:ascii="仿宋" w:hAnsi="仿宋" w:eastAsia="仿宋" w:cs="仿宋"/>
          <w:color w:val="auto"/>
          <w:sz w:val="24"/>
          <w:szCs w:val="24"/>
          <w:highlight w:val="none"/>
          <w:lang w:eastAsia="zh-CN"/>
        </w:rPr>
        <w:t>单位获奖证书等（若有）；</w:t>
      </w:r>
    </w:p>
    <w:p w14:paraId="4F2A98E0">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2.投标人认为能体现其实力、信誉、业绩（案例）等而要提交的其他资料。如：中标（成交）通知书、合同等。格式自拟。</w:t>
      </w:r>
    </w:p>
    <w:p w14:paraId="3037B01A">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仿宋" w:hAnsi="仿宋" w:eastAsia="仿宋" w:cs="仿宋"/>
          <w:color w:val="auto"/>
          <w:sz w:val="24"/>
          <w:szCs w:val="24"/>
          <w:highlight w:val="none"/>
          <w:lang w:eastAsia="zh-CN"/>
        </w:rPr>
        <w:t>3.招标文件中要求提交的其他投标资料以及投标文件自身认为可提供的相关资料。</w:t>
      </w:r>
    </w:p>
    <w:p w14:paraId="32175F76">
      <w:pPr>
        <w:bidi w:val="0"/>
        <w:rPr>
          <w:rFonts w:hint="default"/>
          <w:lang w:val="en-US" w:eastAsia="zh-CN"/>
        </w:rPr>
      </w:pPr>
    </w:p>
    <w:p w14:paraId="5081C74B">
      <w:pPr>
        <w:bidi w:val="0"/>
        <w:rPr>
          <w:rFonts w:hint="eastAsia"/>
          <w:lang w:val="en-US" w:eastAsia="zh-CN"/>
        </w:rPr>
      </w:pPr>
    </w:p>
    <w:p w14:paraId="02076960">
      <w:pPr>
        <w:bidi w:val="0"/>
        <w:rPr>
          <w:rFonts w:hint="eastAsia"/>
          <w:lang w:val="en-US" w:eastAsia="zh-CN"/>
        </w:rPr>
      </w:pPr>
    </w:p>
    <w:p w14:paraId="4B647994">
      <w:pPr>
        <w:bidi w:val="0"/>
        <w:rPr>
          <w:rFonts w:hint="eastAsia"/>
          <w:lang w:val="en-US" w:eastAsia="zh-CN"/>
        </w:rPr>
      </w:pPr>
    </w:p>
    <w:p w14:paraId="3CE6B571">
      <w:pPr>
        <w:pStyle w:val="6"/>
        <w:ind w:left="0" w:leftChars="0" w:firstLine="0" w:firstLineChars="0"/>
        <w:jc w:val="center"/>
        <w:rPr>
          <w:rFonts w:ascii="仿宋" w:hAnsi="仿宋" w:eastAsia="仿宋"/>
          <w:b/>
          <w:bCs/>
          <w:color w:val="auto"/>
          <w:sz w:val="28"/>
          <w:szCs w:val="28"/>
          <w:highlight w:val="none"/>
        </w:rPr>
      </w:pPr>
      <w:bookmarkStart w:id="633" w:name="_Toc15458"/>
      <w:bookmarkStart w:id="634" w:name="_Toc5100"/>
      <w:r>
        <w:rPr>
          <w:rFonts w:hint="eastAsia" w:ascii="仿宋" w:hAnsi="仿宋" w:eastAsia="仿宋"/>
          <w:b/>
          <w:bCs/>
          <w:color w:val="auto"/>
          <w:sz w:val="28"/>
          <w:szCs w:val="28"/>
          <w:highlight w:val="none"/>
          <w:lang w:val="en-US" w:eastAsia="zh-CN"/>
        </w:rPr>
        <w:t>格式11</w:t>
      </w:r>
      <w:r>
        <w:rPr>
          <w:rFonts w:hint="eastAsia" w:ascii="仿宋" w:hAnsi="仿宋" w:eastAsia="仿宋"/>
          <w:b/>
          <w:bCs/>
          <w:color w:val="auto"/>
          <w:sz w:val="28"/>
          <w:szCs w:val="28"/>
          <w:highlight w:val="none"/>
        </w:rPr>
        <w:t>、招标要求的其他资料或投标人认为需要提供的其他资料</w:t>
      </w:r>
      <w:bookmarkEnd w:id="620"/>
      <w:bookmarkEnd w:id="621"/>
      <w:bookmarkEnd w:id="622"/>
      <w:bookmarkEnd w:id="630"/>
      <w:bookmarkEnd w:id="631"/>
      <w:bookmarkEnd w:id="632"/>
      <w:bookmarkEnd w:id="633"/>
      <w:bookmarkEnd w:id="634"/>
    </w:p>
    <w:p w14:paraId="2C8D116D">
      <w:pPr>
        <w:rPr>
          <w:rFonts w:hint="eastAsia" w:ascii="仿宋" w:hAnsi="仿宋" w:eastAsia="仿宋" w:cs="仿宋"/>
          <w:color w:val="auto"/>
          <w:sz w:val="36"/>
          <w:szCs w:val="36"/>
          <w:highlight w:val="none"/>
          <w:lang w:val="en-US" w:eastAsia="zh-CN"/>
        </w:rPr>
      </w:pPr>
      <w:bookmarkStart w:id="635" w:name="_Toc383636434"/>
      <w:bookmarkStart w:id="636" w:name="_Toc406162639"/>
      <w:bookmarkStart w:id="637" w:name="_Toc46259256"/>
      <w:bookmarkStart w:id="638" w:name="_Toc15215"/>
      <w:bookmarkStart w:id="639" w:name="_Toc12089"/>
      <w:bookmarkStart w:id="640" w:name="_Toc32431"/>
      <w:bookmarkStart w:id="641" w:name="_Toc6248"/>
      <w:bookmarkStart w:id="642" w:name="_Toc29205"/>
      <w:bookmarkStart w:id="643" w:name="_Toc391301893"/>
      <w:r>
        <w:rPr>
          <w:rFonts w:hint="eastAsia" w:ascii="仿宋" w:hAnsi="仿宋" w:eastAsia="仿宋" w:cs="仿宋"/>
          <w:color w:val="auto"/>
          <w:sz w:val="36"/>
          <w:szCs w:val="36"/>
          <w:highlight w:val="none"/>
          <w:lang w:val="en-US" w:eastAsia="zh-CN"/>
        </w:rPr>
        <w:br w:type="page"/>
      </w:r>
    </w:p>
    <w:p w14:paraId="0AE4975A">
      <w:pPr>
        <w:pStyle w:val="5"/>
        <w:bidi w:val="0"/>
        <w:jc w:val="center"/>
        <w:rPr>
          <w:rFonts w:hint="eastAsia" w:ascii="仿宋" w:hAnsi="仿宋" w:eastAsia="仿宋" w:cs="仿宋"/>
          <w:color w:val="auto"/>
          <w:sz w:val="36"/>
          <w:szCs w:val="36"/>
          <w:highlight w:val="none"/>
          <w:lang w:val="en-US" w:eastAsia="zh-CN"/>
        </w:rPr>
      </w:pPr>
      <w:bookmarkStart w:id="644" w:name="_Toc29615"/>
      <w:bookmarkStart w:id="645" w:name="_Toc12601"/>
      <w:r>
        <w:rPr>
          <w:rFonts w:hint="eastAsia" w:ascii="仿宋" w:hAnsi="仿宋" w:eastAsia="仿宋" w:cs="仿宋"/>
          <w:color w:val="auto"/>
          <w:sz w:val="36"/>
          <w:szCs w:val="36"/>
          <w:highlight w:val="none"/>
          <w:lang w:val="en-US" w:eastAsia="zh-CN"/>
        </w:rPr>
        <w:t>五、技术标部分</w:t>
      </w:r>
      <w:bookmarkEnd w:id="635"/>
      <w:bookmarkEnd w:id="636"/>
      <w:bookmarkEnd w:id="637"/>
      <w:bookmarkEnd w:id="638"/>
      <w:bookmarkEnd w:id="639"/>
      <w:bookmarkEnd w:id="640"/>
      <w:bookmarkEnd w:id="641"/>
      <w:bookmarkEnd w:id="642"/>
      <w:bookmarkEnd w:id="643"/>
      <w:bookmarkEnd w:id="644"/>
      <w:bookmarkEnd w:id="645"/>
    </w:p>
    <w:p w14:paraId="2BDE038E">
      <w:pPr>
        <w:pStyle w:val="38"/>
        <w:outlineLvl w:val="2"/>
        <w:rPr>
          <w:rFonts w:hint="eastAsia" w:ascii="仿宋" w:hAnsi="仿宋" w:eastAsia="仿宋" w:cs="仿宋"/>
          <w:color w:val="auto"/>
          <w:sz w:val="32"/>
          <w:szCs w:val="32"/>
          <w:highlight w:val="none"/>
        </w:rPr>
      </w:pPr>
      <w:bookmarkStart w:id="646" w:name="_Toc11408"/>
      <w:bookmarkStart w:id="647" w:name="_Toc395189298"/>
      <w:bookmarkStart w:id="648" w:name="_Toc492843650"/>
      <w:bookmarkStart w:id="649" w:name="_Toc17076"/>
      <w:bookmarkStart w:id="650" w:name="_Toc17783"/>
      <w:bookmarkStart w:id="651" w:name="_Toc510199422"/>
      <w:bookmarkStart w:id="652" w:name="_Toc395189459"/>
      <w:bookmarkStart w:id="653" w:name="_Toc493534484"/>
      <w:bookmarkStart w:id="654" w:name="_Toc23000"/>
      <w:bookmarkStart w:id="655" w:name="_Toc20350"/>
      <w:bookmarkStart w:id="656" w:name="_Toc12867"/>
      <w:bookmarkStart w:id="657" w:name="_Toc13802"/>
      <w:bookmarkStart w:id="658" w:name="_Toc18705"/>
      <w:bookmarkStart w:id="659" w:name="_Toc13262"/>
      <w:bookmarkStart w:id="660" w:name="_Toc22321"/>
      <w:bookmarkStart w:id="661" w:name="_Toc530661255"/>
      <w:bookmarkStart w:id="662" w:name="_Toc23867322"/>
      <w:bookmarkStart w:id="663" w:name="_Toc383636441"/>
      <w:bookmarkStart w:id="664" w:name="_Toc391301900"/>
      <w:bookmarkStart w:id="665" w:name="_Toc406162643"/>
      <w:r>
        <w:rPr>
          <w:rFonts w:hint="eastAsia" w:ascii="仿宋" w:hAnsi="仿宋" w:eastAsia="仿宋" w:cs="仿宋"/>
          <w:color w:val="auto"/>
          <w:sz w:val="32"/>
          <w:szCs w:val="32"/>
          <w:highlight w:val="none"/>
        </w:rPr>
        <w:t>格式1、</w:t>
      </w:r>
      <w:bookmarkEnd w:id="646"/>
      <w:bookmarkEnd w:id="647"/>
      <w:bookmarkEnd w:id="648"/>
      <w:bookmarkEnd w:id="649"/>
      <w:bookmarkEnd w:id="650"/>
      <w:bookmarkEnd w:id="651"/>
      <w:bookmarkEnd w:id="652"/>
      <w:bookmarkEnd w:id="653"/>
      <w:bookmarkStart w:id="666" w:name="_Toc213141099"/>
      <w:bookmarkStart w:id="667" w:name="_Toc522782879"/>
      <w:bookmarkStart w:id="668" w:name="_Toc190180573"/>
      <w:bookmarkStart w:id="669" w:name="_Toc179624744"/>
      <w:bookmarkStart w:id="670" w:name="_Toc493600041"/>
      <w:bookmarkStart w:id="671" w:name="_Toc149140769"/>
      <w:bookmarkStart w:id="672" w:name="_Toc496521009"/>
      <w:r>
        <w:rPr>
          <w:rFonts w:hint="eastAsia" w:ascii="仿宋" w:hAnsi="仿宋" w:eastAsia="仿宋" w:cs="仿宋"/>
          <w:color w:val="auto"/>
          <w:sz w:val="32"/>
          <w:szCs w:val="32"/>
          <w:highlight w:val="none"/>
        </w:rPr>
        <w:t>技术规格偏离表</w:t>
      </w:r>
      <w:bookmarkEnd w:id="654"/>
      <w:bookmarkEnd w:id="655"/>
      <w:bookmarkEnd w:id="656"/>
      <w:bookmarkEnd w:id="657"/>
      <w:bookmarkEnd w:id="658"/>
      <w:bookmarkEnd w:id="666"/>
      <w:bookmarkEnd w:id="667"/>
      <w:bookmarkEnd w:id="668"/>
      <w:bookmarkEnd w:id="669"/>
      <w:bookmarkEnd w:id="670"/>
      <w:bookmarkEnd w:id="671"/>
      <w:bookmarkEnd w:id="672"/>
    </w:p>
    <w:p w14:paraId="14377B76">
      <w:pPr>
        <w:pStyle w:val="22"/>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请按所投标段内货物的实际技术参数，逐条对应招标文件第五章《采购需求及技术参数》中要求的技术规范认真填写该表，该表不能作为投标产品的技术文件。</w:t>
      </w:r>
    </w:p>
    <w:p w14:paraId="020F345D">
      <w:pPr>
        <w:spacing w:line="360" w:lineRule="auto"/>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项目编号：</w:t>
      </w:r>
      <w:r>
        <w:rPr>
          <w:rFonts w:hint="eastAsia" w:ascii="仿宋" w:hAnsi="仿宋" w:eastAsia="仿宋" w:cs="仿宋"/>
          <w:color w:val="auto"/>
          <w:sz w:val="24"/>
          <w:szCs w:val="24"/>
          <w:highlight w:val="none"/>
          <w:u w:val="single"/>
        </w:rPr>
        <w:t xml:space="preserve">              </w:t>
      </w:r>
    </w:p>
    <w:tbl>
      <w:tblPr>
        <w:tblStyle w:val="41"/>
        <w:tblW w:w="9799"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736"/>
        <w:gridCol w:w="1289"/>
        <w:gridCol w:w="2629"/>
        <w:gridCol w:w="2430"/>
        <w:gridCol w:w="1500"/>
        <w:gridCol w:w="1215"/>
      </w:tblGrid>
      <w:tr w14:paraId="24B72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02" w:hRule="atLeast"/>
        </w:trPr>
        <w:tc>
          <w:tcPr>
            <w:tcW w:w="736" w:type="dxa"/>
            <w:vAlign w:val="center"/>
          </w:tcPr>
          <w:p w14:paraId="693ADD0A">
            <w:pPr>
              <w:spacing w:line="400" w:lineRule="atLeas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289" w:type="dxa"/>
            <w:vAlign w:val="center"/>
          </w:tcPr>
          <w:p w14:paraId="31FC3C29">
            <w:pPr>
              <w:spacing w:line="400" w:lineRule="atLeas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货物名称</w:t>
            </w:r>
          </w:p>
        </w:tc>
        <w:tc>
          <w:tcPr>
            <w:tcW w:w="2629" w:type="dxa"/>
            <w:vAlign w:val="center"/>
          </w:tcPr>
          <w:p w14:paraId="6AE39D7B">
            <w:pPr>
              <w:spacing w:line="40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招标文件技术参数</w:t>
            </w:r>
          </w:p>
          <w:p w14:paraId="51955C86">
            <w:pPr>
              <w:spacing w:line="400" w:lineRule="atLeas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规范、要求</w:t>
            </w:r>
          </w:p>
        </w:tc>
        <w:tc>
          <w:tcPr>
            <w:tcW w:w="2430" w:type="dxa"/>
            <w:vAlign w:val="center"/>
          </w:tcPr>
          <w:p w14:paraId="24A20A5E">
            <w:pPr>
              <w:spacing w:line="40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投标文件技术参数</w:t>
            </w:r>
          </w:p>
          <w:p w14:paraId="7D970A8F">
            <w:pPr>
              <w:spacing w:line="400" w:lineRule="atLeas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规范、要求</w:t>
            </w:r>
          </w:p>
        </w:tc>
        <w:tc>
          <w:tcPr>
            <w:tcW w:w="1500" w:type="dxa"/>
            <w:tcBorders>
              <w:right w:val="single" w:color="auto" w:sz="4" w:space="0"/>
            </w:tcBorders>
            <w:vAlign w:val="center"/>
          </w:tcPr>
          <w:p w14:paraId="6BF4193E">
            <w:pPr>
              <w:spacing w:line="400" w:lineRule="atLeas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偏离情况</w:t>
            </w:r>
          </w:p>
        </w:tc>
        <w:tc>
          <w:tcPr>
            <w:tcW w:w="1215" w:type="dxa"/>
            <w:tcBorders>
              <w:left w:val="single" w:color="auto" w:sz="4" w:space="0"/>
            </w:tcBorders>
            <w:vAlign w:val="center"/>
          </w:tcPr>
          <w:p w14:paraId="5063548B">
            <w:pPr>
              <w:spacing w:line="400" w:lineRule="atLeas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说明</w:t>
            </w:r>
          </w:p>
        </w:tc>
      </w:tr>
      <w:tr w14:paraId="00D09E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02" w:hRule="atLeast"/>
        </w:trPr>
        <w:tc>
          <w:tcPr>
            <w:tcW w:w="736" w:type="dxa"/>
          </w:tcPr>
          <w:p w14:paraId="77A55C36">
            <w:pPr>
              <w:spacing w:line="400" w:lineRule="atLeast"/>
              <w:rPr>
                <w:rFonts w:ascii="仿宋" w:hAnsi="仿宋" w:eastAsia="仿宋" w:cs="仿宋"/>
                <w:color w:val="auto"/>
                <w:sz w:val="24"/>
                <w:szCs w:val="24"/>
                <w:highlight w:val="none"/>
              </w:rPr>
            </w:pPr>
          </w:p>
        </w:tc>
        <w:tc>
          <w:tcPr>
            <w:tcW w:w="1289" w:type="dxa"/>
          </w:tcPr>
          <w:p w14:paraId="5CF98447">
            <w:pPr>
              <w:spacing w:line="400" w:lineRule="atLeast"/>
              <w:rPr>
                <w:rFonts w:ascii="仿宋" w:hAnsi="仿宋" w:eastAsia="仿宋" w:cs="仿宋"/>
                <w:color w:val="auto"/>
                <w:sz w:val="24"/>
                <w:szCs w:val="24"/>
                <w:highlight w:val="none"/>
              </w:rPr>
            </w:pPr>
          </w:p>
        </w:tc>
        <w:tc>
          <w:tcPr>
            <w:tcW w:w="2629" w:type="dxa"/>
          </w:tcPr>
          <w:p w14:paraId="7C2ED835">
            <w:pPr>
              <w:spacing w:line="400" w:lineRule="atLeast"/>
              <w:rPr>
                <w:rFonts w:ascii="仿宋" w:hAnsi="仿宋" w:eastAsia="仿宋" w:cs="仿宋"/>
                <w:color w:val="auto"/>
                <w:sz w:val="24"/>
                <w:szCs w:val="24"/>
                <w:highlight w:val="none"/>
              </w:rPr>
            </w:pPr>
          </w:p>
        </w:tc>
        <w:tc>
          <w:tcPr>
            <w:tcW w:w="2430" w:type="dxa"/>
          </w:tcPr>
          <w:p w14:paraId="066E577C">
            <w:pPr>
              <w:spacing w:line="400" w:lineRule="atLeast"/>
              <w:rPr>
                <w:rFonts w:ascii="仿宋" w:hAnsi="仿宋" w:eastAsia="仿宋" w:cs="仿宋"/>
                <w:color w:val="auto"/>
                <w:sz w:val="24"/>
                <w:szCs w:val="24"/>
                <w:highlight w:val="none"/>
              </w:rPr>
            </w:pPr>
          </w:p>
        </w:tc>
        <w:tc>
          <w:tcPr>
            <w:tcW w:w="1500" w:type="dxa"/>
            <w:tcBorders>
              <w:right w:val="single" w:color="auto" w:sz="4" w:space="0"/>
            </w:tcBorders>
          </w:tcPr>
          <w:p w14:paraId="6B2199BE">
            <w:pPr>
              <w:spacing w:line="400" w:lineRule="atLeast"/>
              <w:rPr>
                <w:rFonts w:ascii="仿宋" w:hAnsi="仿宋" w:eastAsia="仿宋" w:cs="仿宋"/>
                <w:color w:val="auto"/>
                <w:sz w:val="24"/>
                <w:szCs w:val="24"/>
                <w:highlight w:val="none"/>
              </w:rPr>
            </w:pPr>
          </w:p>
        </w:tc>
        <w:tc>
          <w:tcPr>
            <w:tcW w:w="1215" w:type="dxa"/>
            <w:tcBorders>
              <w:left w:val="single" w:color="auto" w:sz="4" w:space="0"/>
            </w:tcBorders>
          </w:tcPr>
          <w:p w14:paraId="26619AA8">
            <w:pPr>
              <w:spacing w:line="400" w:lineRule="atLeast"/>
              <w:rPr>
                <w:rFonts w:ascii="仿宋" w:hAnsi="仿宋" w:eastAsia="仿宋" w:cs="仿宋"/>
                <w:color w:val="auto"/>
                <w:sz w:val="24"/>
                <w:szCs w:val="24"/>
                <w:highlight w:val="none"/>
              </w:rPr>
            </w:pPr>
          </w:p>
        </w:tc>
      </w:tr>
      <w:tr w14:paraId="69FDDE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02" w:hRule="atLeast"/>
        </w:trPr>
        <w:tc>
          <w:tcPr>
            <w:tcW w:w="736" w:type="dxa"/>
          </w:tcPr>
          <w:p w14:paraId="6F31F242">
            <w:pPr>
              <w:spacing w:line="400" w:lineRule="atLeast"/>
              <w:rPr>
                <w:rFonts w:ascii="仿宋" w:hAnsi="仿宋" w:eastAsia="仿宋" w:cs="仿宋"/>
                <w:color w:val="auto"/>
                <w:sz w:val="24"/>
                <w:szCs w:val="24"/>
                <w:highlight w:val="none"/>
              </w:rPr>
            </w:pPr>
          </w:p>
        </w:tc>
        <w:tc>
          <w:tcPr>
            <w:tcW w:w="1289" w:type="dxa"/>
          </w:tcPr>
          <w:p w14:paraId="04B9B35D">
            <w:pPr>
              <w:spacing w:line="400" w:lineRule="atLeast"/>
              <w:rPr>
                <w:rFonts w:ascii="仿宋" w:hAnsi="仿宋" w:eastAsia="仿宋" w:cs="仿宋"/>
                <w:color w:val="auto"/>
                <w:sz w:val="24"/>
                <w:szCs w:val="24"/>
                <w:highlight w:val="none"/>
              </w:rPr>
            </w:pPr>
          </w:p>
        </w:tc>
        <w:tc>
          <w:tcPr>
            <w:tcW w:w="2629" w:type="dxa"/>
          </w:tcPr>
          <w:p w14:paraId="2CA0D22B">
            <w:pPr>
              <w:spacing w:line="400" w:lineRule="atLeast"/>
              <w:rPr>
                <w:rFonts w:ascii="仿宋" w:hAnsi="仿宋" w:eastAsia="仿宋" w:cs="仿宋"/>
                <w:color w:val="auto"/>
                <w:sz w:val="24"/>
                <w:szCs w:val="24"/>
                <w:highlight w:val="none"/>
              </w:rPr>
            </w:pPr>
          </w:p>
        </w:tc>
        <w:tc>
          <w:tcPr>
            <w:tcW w:w="2430" w:type="dxa"/>
          </w:tcPr>
          <w:p w14:paraId="54DF3F4C">
            <w:pPr>
              <w:spacing w:line="400" w:lineRule="atLeast"/>
              <w:rPr>
                <w:rFonts w:ascii="仿宋" w:hAnsi="仿宋" w:eastAsia="仿宋" w:cs="仿宋"/>
                <w:color w:val="auto"/>
                <w:sz w:val="24"/>
                <w:szCs w:val="24"/>
                <w:highlight w:val="none"/>
              </w:rPr>
            </w:pPr>
          </w:p>
        </w:tc>
        <w:tc>
          <w:tcPr>
            <w:tcW w:w="1500" w:type="dxa"/>
            <w:tcBorders>
              <w:right w:val="single" w:color="auto" w:sz="4" w:space="0"/>
            </w:tcBorders>
          </w:tcPr>
          <w:p w14:paraId="3604BC17">
            <w:pPr>
              <w:spacing w:line="400" w:lineRule="atLeast"/>
              <w:rPr>
                <w:rFonts w:ascii="仿宋" w:hAnsi="仿宋" w:eastAsia="仿宋" w:cs="仿宋"/>
                <w:color w:val="auto"/>
                <w:sz w:val="24"/>
                <w:szCs w:val="24"/>
                <w:highlight w:val="none"/>
              </w:rPr>
            </w:pPr>
          </w:p>
        </w:tc>
        <w:tc>
          <w:tcPr>
            <w:tcW w:w="1215" w:type="dxa"/>
            <w:tcBorders>
              <w:left w:val="single" w:color="auto" w:sz="4" w:space="0"/>
            </w:tcBorders>
          </w:tcPr>
          <w:p w14:paraId="03A8F73B">
            <w:pPr>
              <w:spacing w:line="400" w:lineRule="atLeast"/>
              <w:rPr>
                <w:rFonts w:ascii="仿宋" w:hAnsi="仿宋" w:eastAsia="仿宋" w:cs="仿宋"/>
                <w:color w:val="auto"/>
                <w:sz w:val="24"/>
                <w:szCs w:val="24"/>
                <w:highlight w:val="none"/>
              </w:rPr>
            </w:pPr>
          </w:p>
        </w:tc>
      </w:tr>
      <w:tr w14:paraId="10CCFE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02" w:hRule="atLeast"/>
        </w:trPr>
        <w:tc>
          <w:tcPr>
            <w:tcW w:w="736" w:type="dxa"/>
          </w:tcPr>
          <w:p w14:paraId="4118DFB8">
            <w:pPr>
              <w:spacing w:line="400" w:lineRule="atLeast"/>
              <w:rPr>
                <w:rFonts w:ascii="仿宋" w:hAnsi="仿宋" w:eastAsia="仿宋" w:cs="仿宋"/>
                <w:color w:val="auto"/>
                <w:sz w:val="24"/>
                <w:szCs w:val="24"/>
                <w:highlight w:val="none"/>
              </w:rPr>
            </w:pPr>
          </w:p>
        </w:tc>
        <w:tc>
          <w:tcPr>
            <w:tcW w:w="1289" w:type="dxa"/>
          </w:tcPr>
          <w:p w14:paraId="1B05D46C">
            <w:pPr>
              <w:spacing w:line="400" w:lineRule="atLeast"/>
              <w:rPr>
                <w:rFonts w:ascii="仿宋" w:hAnsi="仿宋" w:eastAsia="仿宋" w:cs="仿宋"/>
                <w:color w:val="auto"/>
                <w:sz w:val="24"/>
                <w:szCs w:val="24"/>
                <w:highlight w:val="none"/>
              </w:rPr>
            </w:pPr>
          </w:p>
        </w:tc>
        <w:tc>
          <w:tcPr>
            <w:tcW w:w="2629" w:type="dxa"/>
          </w:tcPr>
          <w:p w14:paraId="4DBDF377">
            <w:pPr>
              <w:spacing w:line="400" w:lineRule="atLeast"/>
              <w:rPr>
                <w:rFonts w:ascii="仿宋" w:hAnsi="仿宋" w:eastAsia="仿宋" w:cs="仿宋"/>
                <w:color w:val="auto"/>
                <w:sz w:val="24"/>
                <w:szCs w:val="24"/>
                <w:highlight w:val="none"/>
              </w:rPr>
            </w:pPr>
          </w:p>
        </w:tc>
        <w:tc>
          <w:tcPr>
            <w:tcW w:w="2430" w:type="dxa"/>
          </w:tcPr>
          <w:p w14:paraId="45E761E9">
            <w:pPr>
              <w:spacing w:line="400" w:lineRule="atLeast"/>
              <w:rPr>
                <w:rFonts w:ascii="仿宋" w:hAnsi="仿宋" w:eastAsia="仿宋" w:cs="仿宋"/>
                <w:color w:val="auto"/>
                <w:sz w:val="24"/>
                <w:szCs w:val="24"/>
                <w:highlight w:val="none"/>
              </w:rPr>
            </w:pPr>
          </w:p>
        </w:tc>
        <w:tc>
          <w:tcPr>
            <w:tcW w:w="1500" w:type="dxa"/>
            <w:tcBorders>
              <w:right w:val="single" w:color="auto" w:sz="4" w:space="0"/>
            </w:tcBorders>
          </w:tcPr>
          <w:p w14:paraId="265D9809">
            <w:pPr>
              <w:spacing w:line="400" w:lineRule="atLeast"/>
              <w:rPr>
                <w:rFonts w:ascii="仿宋" w:hAnsi="仿宋" w:eastAsia="仿宋" w:cs="仿宋"/>
                <w:color w:val="auto"/>
                <w:sz w:val="24"/>
                <w:szCs w:val="24"/>
                <w:highlight w:val="none"/>
              </w:rPr>
            </w:pPr>
          </w:p>
        </w:tc>
        <w:tc>
          <w:tcPr>
            <w:tcW w:w="1215" w:type="dxa"/>
            <w:tcBorders>
              <w:left w:val="single" w:color="auto" w:sz="4" w:space="0"/>
            </w:tcBorders>
          </w:tcPr>
          <w:p w14:paraId="4C02CF22">
            <w:pPr>
              <w:spacing w:line="400" w:lineRule="atLeast"/>
              <w:rPr>
                <w:rFonts w:ascii="仿宋" w:hAnsi="仿宋" w:eastAsia="仿宋" w:cs="仿宋"/>
                <w:color w:val="auto"/>
                <w:sz w:val="24"/>
                <w:szCs w:val="24"/>
                <w:highlight w:val="none"/>
              </w:rPr>
            </w:pPr>
          </w:p>
        </w:tc>
      </w:tr>
      <w:tr w14:paraId="72BEF2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02" w:hRule="atLeast"/>
        </w:trPr>
        <w:tc>
          <w:tcPr>
            <w:tcW w:w="736" w:type="dxa"/>
          </w:tcPr>
          <w:p w14:paraId="6C3D26B6">
            <w:pPr>
              <w:spacing w:line="400" w:lineRule="atLeast"/>
              <w:rPr>
                <w:rFonts w:ascii="仿宋" w:hAnsi="仿宋" w:eastAsia="仿宋" w:cs="仿宋"/>
                <w:color w:val="auto"/>
                <w:sz w:val="24"/>
                <w:szCs w:val="24"/>
                <w:highlight w:val="none"/>
              </w:rPr>
            </w:pPr>
          </w:p>
        </w:tc>
        <w:tc>
          <w:tcPr>
            <w:tcW w:w="1289" w:type="dxa"/>
          </w:tcPr>
          <w:p w14:paraId="64CC0708">
            <w:pPr>
              <w:spacing w:line="400" w:lineRule="atLeast"/>
              <w:rPr>
                <w:rFonts w:ascii="仿宋" w:hAnsi="仿宋" w:eastAsia="仿宋" w:cs="仿宋"/>
                <w:color w:val="auto"/>
                <w:sz w:val="24"/>
                <w:szCs w:val="24"/>
                <w:highlight w:val="none"/>
              </w:rPr>
            </w:pPr>
          </w:p>
        </w:tc>
        <w:tc>
          <w:tcPr>
            <w:tcW w:w="2629" w:type="dxa"/>
          </w:tcPr>
          <w:p w14:paraId="1364E01C">
            <w:pPr>
              <w:spacing w:line="400" w:lineRule="atLeast"/>
              <w:rPr>
                <w:rFonts w:ascii="仿宋" w:hAnsi="仿宋" w:eastAsia="仿宋" w:cs="仿宋"/>
                <w:color w:val="auto"/>
                <w:sz w:val="24"/>
                <w:szCs w:val="24"/>
                <w:highlight w:val="none"/>
              </w:rPr>
            </w:pPr>
          </w:p>
        </w:tc>
        <w:tc>
          <w:tcPr>
            <w:tcW w:w="2430" w:type="dxa"/>
          </w:tcPr>
          <w:p w14:paraId="428A786F">
            <w:pPr>
              <w:spacing w:line="400" w:lineRule="atLeast"/>
              <w:rPr>
                <w:rFonts w:ascii="仿宋" w:hAnsi="仿宋" w:eastAsia="仿宋" w:cs="仿宋"/>
                <w:color w:val="auto"/>
                <w:sz w:val="24"/>
                <w:szCs w:val="24"/>
                <w:highlight w:val="none"/>
              </w:rPr>
            </w:pPr>
          </w:p>
        </w:tc>
        <w:tc>
          <w:tcPr>
            <w:tcW w:w="1500" w:type="dxa"/>
            <w:tcBorders>
              <w:right w:val="single" w:color="auto" w:sz="4" w:space="0"/>
            </w:tcBorders>
          </w:tcPr>
          <w:p w14:paraId="5BC788E6">
            <w:pPr>
              <w:spacing w:line="400" w:lineRule="atLeast"/>
              <w:rPr>
                <w:rFonts w:ascii="仿宋" w:hAnsi="仿宋" w:eastAsia="仿宋" w:cs="仿宋"/>
                <w:color w:val="auto"/>
                <w:sz w:val="24"/>
                <w:szCs w:val="24"/>
                <w:highlight w:val="none"/>
              </w:rPr>
            </w:pPr>
          </w:p>
        </w:tc>
        <w:tc>
          <w:tcPr>
            <w:tcW w:w="1215" w:type="dxa"/>
            <w:tcBorders>
              <w:left w:val="single" w:color="auto" w:sz="4" w:space="0"/>
            </w:tcBorders>
          </w:tcPr>
          <w:p w14:paraId="104AAB49">
            <w:pPr>
              <w:spacing w:line="400" w:lineRule="atLeast"/>
              <w:rPr>
                <w:rFonts w:ascii="仿宋" w:hAnsi="仿宋" w:eastAsia="仿宋" w:cs="仿宋"/>
                <w:color w:val="auto"/>
                <w:sz w:val="24"/>
                <w:szCs w:val="24"/>
                <w:highlight w:val="none"/>
              </w:rPr>
            </w:pPr>
          </w:p>
        </w:tc>
      </w:tr>
      <w:tr w14:paraId="6E2029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02" w:hRule="atLeast"/>
        </w:trPr>
        <w:tc>
          <w:tcPr>
            <w:tcW w:w="736" w:type="dxa"/>
          </w:tcPr>
          <w:p w14:paraId="3C7D33B8">
            <w:pPr>
              <w:spacing w:line="400" w:lineRule="atLeast"/>
              <w:rPr>
                <w:rFonts w:ascii="仿宋" w:hAnsi="仿宋" w:eastAsia="仿宋" w:cs="仿宋"/>
                <w:color w:val="auto"/>
                <w:sz w:val="24"/>
                <w:szCs w:val="24"/>
                <w:highlight w:val="none"/>
              </w:rPr>
            </w:pPr>
          </w:p>
        </w:tc>
        <w:tc>
          <w:tcPr>
            <w:tcW w:w="1289" w:type="dxa"/>
          </w:tcPr>
          <w:p w14:paraId="604EB87C">
            <w:pPr>
              <w:spacing w:line="400" w:lineRule="atLeast"/>
              <w:rPr>
                <w:rFonts w:ascii="仿宋" w:hAnsi="仿宋" w:eastAsia="仿宋" w:cs="仿宋"/>
                <w:color w:val="auto"/>
                <w:sz w:val="24"/>
                <w:szCs w:val="24"/>
                <w:highlight w:val="none"/>
              </w:rPr>
            </w:pPr>
          </w:p>
        </w:tc>
        <w:tc>
          <w:tcPr>
            <w:tcW w:w="2629" w:type="dxa"/>
          </w:tcPr>
          <w:p w14:paraId="18EDAFDB">
            <w:pPr>
              <w:spacing w:line="400" w:lineRule="atLeast"/>
              <w:rPr>
                <w:rFonts w:ascii="仿宋" w:hAnsi="仿宋" w:eastAsia="仿宋" w:cs="仿宋"/>
                <w:color w:val="auto"/>
                <w:sz w:val="24"/>
                <w:szCs w:val="24"/>
                <w:highlight w:val="none"/>
              </w:rPr>
            </w:pPr>
          </w:p>
        </w:tc>
        <w:tc>
          <w:tcPr>
            <w:tcW w:w="2430" w:type="dxa"/>
          </w:tcPr>
          <w:p w14:paraId="6A0CC8C1">
            <w:pPr>
              <w:spacing w:line="400" w:lineRule="atLeast"/>
              <w:rPr>
                <w:rFonts w:ascii="仿宋" w:hAnsi="仿宋" w:eastAsia="仿宋" w:cs="仿宋"/>
                <w:color w:val="auto"/>
                <w:sz w:val="24"/>
                <w:szCs w:val="24"/>
                <w:highlight w:val="none"/>
              </w:rPr>
            </w:pPr>
          </w:p>
        </w:tc>
        <w:tc>
          <w:tcPr>
            <w:tcW w:w="1500" w:type="dxa"/>
            <w:tcBorders>
              <w:right w:val="single" w:color="auto" w:sz="4" w:space="0"/>
            </w:tcBorders>
          </w:tcPr>
          <w:p w14:paraId="55390B0D">
            <w:pPr>
              <w:spacing w:line="400" w:lineRule="atLeast"/>
              <w:rPr>
                <w:rFonts w:ascii="仿宋" w:hAnsi="仿宋" w:eastAsia="仿宋" w:cs="仿宋"/>
                <w:color w:val="auto"/>
                <w:sz w:val="24"/>
                <w:szCs w:val="24"/>
                <w:highlight w:val="none"/>
              </w:rPr>
            </w:pPr>
          </w:p>
        </w:tc>
        <w:tc>
          <w:tcPr>
            <w:tcW w:w="1215" w:type="dxa"/>
            <w:tcBorders>
              <w:left w:val="single" w:color="auto" w:sz="4" w:space="0"/>
            </w:tcBorders>
          </w:tcPr>
          <w:p w14:paraId="1AE3D3E7">
            <w:pPr>
              <w:spacing w:line="400" w:lineRule="atLeast"/>
              <w:rPr>
                <w:rFonts w:ascii="仿宋" w:hAnsi="仿宋" w:eastAsia="仿宋" w:cs="仿宋"/>
                <w:color w:val="auto"/>
                <w:sz w:val="24"/>
                <w:szCs w:val="24"/>
                <w:highlight w:val="none"/>
              </w:rPr>
            </w:pPr>
          </w:p>
        </w:tc>
      </w:tr>
      <w:tr w14:paraId="7205C5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17" w:hRule="atLeast"/>
        </w:trPr>
        <w:tc>
          <w:tcPr>
            <w:tcW w:w="736" w:type="dxa"/>
          </w:tcPr>
          <w:p w14:paraId="26C1C194">
            <w:pPr>
              <w:spacing w:line="400" w:lineRule="atLeast"/>
              <w:rPr>
                <w:rFonts w:ascii="仿宋" w:hAnsi="仿宋" w:eastAsia="仿宋" w:cs="仿宋"/>
                <w:color w:val="auto"/>
                <w:sz w:val="24"/>
                <w:szCs w:val="24"/>
                <w:highlight w:val="none"/>
              </w:rPr>
            </w:pPr>
          </w:p>
        </w:tc>
        <w:tc>
          <w:tcPr>
            <w:tcW w:w="1289" w:type="dxa"/>
          </w:tcPr>
          <w:p w14:paraId="1EF0756C">
            <w:pPr>
              <w:spacing w:line="400" w:lineRule="atLeast"/>
              <w:rPr>
                <w:rFonts w:ascii="仿宋" w:hAnsi="仿宋" w:eastAsia="仿宋" w:cs="仿宋"/>
                <w:color w:val="auto"/>
                <w:sz w:val="24"/>
                <w:szCs w:val="24"/>
                <w:highlight w:val="none"/>
              </w:rPr>
            </w:pPr>
          </w:p>
        </w:tc>
        <w:tc>
          <w:tcPr>
            <w:tcW w:w="2629" w:type="dxa"/>
          </w:tcPr>
          <w:p w14:paraId="61F126B5">
            <w:pPr>
              <w:spacing w:line="400" w:lineRule="atLeast"/>
              <w:rPr>
                <w:rFonts w:ascii="仿宋" w:hAnsi="仿宋" w:eastAsia="仿宋" w:cs="仿宋"/>
                <w:color w:val="auto"/>
                <w:sz w:val="24"/>
                <w:szCs w:val="24"/>
                <w:highlight w:val="none"/>
              </w:rPr>
            </w:pPr>
          </w:p>
        </w:tc>
        <w:tc>
          <w:tcPr>
            <w:tcW w:w="2430" w:type="dxa"/>
          </w:tcPr>
          <w:p w14:paraId="39077FD3">
            <w:pPr>
              <w:spacing w:line="400" w:lineRule="atLeast"/>
              <w:rPr>
                <w:rFonts w:ascii="仿宋" w:hAnsi="仿宋" w:eastAsia="仿宋" w:cs="仿宋"/>
                <w:color w:val="auto"/>
                <w:sz w:val="24"/>
                <w:szCs w:val="24"/>
                <w:highlight w:val="none"/>
              </w:rPr>
            </w:pPr>
          </w:p>
        </w:tc>
        <w:tc>
          <w:tcPr>
            <w:tcW w:w="1500" w:type="dxa"/>
            <w:tcBorders>
              <w:right w:val="single" w:color="auto" w:sz="4" w:space="0"/>
            </w:tcBorders>
          </w:tcPr>
          <w:p w14:paraId="550BA459">
            <w:pPr>
              <w:spacing w:line="400" w:lineRule="atLeast"/>
              <w:rPr>
                <w:rFonts w:ascii="仿宋" w:hAnsi="仿宋" w:eastAsia="仿宋" w:cs="仿宋"/>
                <w:color w:val="auto"/>
                <w:sz w:val="24"/>
                <w:szCs w:val="24"/>
                <w:highlight w:val="none"/>
              </w:rPr>
            </w:pPr>
          </w:p>
        </w:tc>
        <w:tc>
          <w:tcPr>
            <w:tcW w:w="1215" w:type="dxa"/>
            <w:tcBorders>
              <w:left w:val="single" w:color="auto" w:sz="4" w:space="0"/>
            </w:tcBorders>
          </w:tcPr>
          <w:p w14:paraId="650D4988">
            <w:pPr>
              <w:spacing w:line="400" w:lineRule="atLeast"/>
              <w:rPr>
                <w:rFonts w:ascii="仿宋" w:hAnsi="仿宋" w:eastAsia="仿宋" w:cs="仿宋"/>
                <w:color w:val="auto"/>
                <w:sz w:val="24"/>
                <w:szCs w:val="24"/>
                <w:highlight w:val="none"/>
              </w:rPr>
            </w:pPr>
          </w:p>
        </w:tc>
      </w:tr>
    </w:tbl>
    <w:p w14:paraId="6C25402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仿宋" w:hAnsi="仿宋" w:eastAsia="仿宋" w:cs="仿宋"/>
          <w:b/>
          <w:color w:val="auto"/>
          <w:sz w:val="22"/>
          <w:szCs w:val="22"/>
          <w:highlight w:val="none"/>
        </w:rPr>
      </w:pPr>
      <w:r>
        <w:rPr>
          <w:rFonts w:hint="eastAsia" w:ascii="仿宋" w:hAnsi="仿宋" w:eastAsia="仿宋" w:cs="仿宋"/>
          <w:b/>
          <w:color w:val="auto"/>
          <w:sz w:val="22"/>
          <w:szCs w:val="22"/>
          <w:highlight w:val="none"/>
        </w:rPr>
        <w:t>注：</w:t>
      </w:r>
    </w:p>
    <w:p w14:paraId="73C28EA0">
      <w:pPr>
        <w:pStyle w:val="22"/>
        <w:spacing w:line="360" w:lineRule="auto"/>
        <w:ind w:firstLine="440" w:firstLineChars="200"/>
        <w:jc w:val="both"/>
        <w:rPr>
          <w:rFonts w:hint="eastAsia" w:ascii="仿宋" w:hAnsi="仿宋" w:eastAsia="仿宋" w:cs="仿宋"/>
          <w:bCs/>
          <w:color w:val="auto"/>
          <w:sz w:val="22"/>
          <w:szCs w:val="22"/>
          <w:highlight w:val="none"/>
        </w:rPr>
      </w:pPr>
      <w:r>
        <w:rPr>
          <w:rFonts w:hint="eastAsia" w:ascii="仿宋" w:hAnsi="仿宋" w:eastAsia="仿宋" w:cs="仿宋"/>
          <w:color w:val="auto"/>
          <w:sz w:val="22"/>
          <w:szCs w:val="22"/>
          <w:highlight w:val="none"/>
          <w:lang w:eastAsia="zh-CN"/>
        </w:rPr>
        <w:t>1.</w:t>
      </w:r>
      <w:r>
        <w:rPr>
          <w:rFonts w:hint="eastAsia" w:ascii="仿宋" w:hAnsi="仿宋" w:eastAsia="仿宋" w:cs="仿宋"/>
          <w:color w:val="auto"/>
          <w:sz w:val="22"/>
          <w:szCs w:val="22"/>
          <w:highlight w:val="none"/>
        </w:rPr>
        <w:t>表中的“</w:t>
      </w:r>
      <w:r>
        <w:rPr>
          <w:rFonts w:hint="eastAsia" w:ascii="仿宋" w:hAnsi="仿宋" w:eastAsia="仿宋" w:cs="仿宋"/>
          <w:b/>
          <w:bCs/>
          <w:color w:val="auto"/>
          <w:sz w:val="22"/>
          <w:szCs w:val="22"/>
          <w:highlight w:val="none"/>
        </w:rPr>
        <w:t>序号</w:t>
      </w:r>
      <w:r>
        <w:rPr>
          <w:rFonts w:hint="eastAsia" w:ascii="仿宋" w:hAnsi="仿宋" w:eastAsia="仿宋" w:cs="仿宋"/>
          <w:color w:val="auto"/>
          <w:sz w:val="22"/>
          <w:szCs w:val="22"/>
          <w:highlight w:val="none"/>
        </w:rPr>
        <w:t>”应对应该设备在</w:t>
      </w:r>
      <w:r>
        <w:rPr>
          <w:rFonts w:hint="eastAsia" w:ascii="仿宋" w:hAnsi="仿宋" w:eastAsia="仿宋" w:cs="仿宋"/>
          <w:bCs/>
          <w:color w:val="auto"/>
          <w:sz w:val="22"/>
          <w:szCs w:val="22"/>
          <w:highlight w:val="none"/>
        </w:rPr>
        <w:t>第五章《</w:t>
      </w:r>
      <w:r>
        <w:rPr>
          <w:rFonts w:hint="eastAsia" w:ascii="仿宋" w:hAnsi="仿宋" w:eastAsia="仿宋" w:cs="仿宋"/>
          <w:bCs/>
          <w:color w:val="auto"/>
          <w:sz w:val="22"/>
          <w:szCs w:val="22"/>
          <w:highlight w:val="none"/>
          <w:lang w:val="en-US" w:eastAsia="zh-CN"/>
        </w:rPr>
        <w:t>采购需求及技术参数</w:t>
      </w:r>
      <w:r>
        <w:rPr>
          <w:rFonts w:hint="eastAsia" w:ascii="仿宋" w:hAnsi="仿宋" w:eastAsia="仿宋" w:cs="仿宋"/>
          <w:bCs/>
          <w:color w:val="auto"/>
          <w:sz w:val="22"/>
          <w:szCs w:val="22"/>
          <w:highlight w:val="none"/>
        </w:rPr>
        <w:t>》中的序号。</w:t>
      </w:r>
    </w:p>
    <w:p w14:paraId="36E55681">
      <w:pPr>
        <w:pStyle w:val="22"/>
        <w:spacing w:line="360" w:lineRule="auto"/>
        <w:ind w:firstLine="440" w:firstLineChars="20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eastAsia="zh-CN"/>
        </w:rPr>
        <w:t>2.</w:t>
      </w:r>
      <w:r>
        <w:rPr>
          <w:rFonts w:hint="eastAsia" w:ascii="仿宋" w:hAnsi="仿宋" w:eastAsia="仿宋" w:cs="仿宋"/>
          <w:color w:val="auto"/>
          <w:sz w:val="22"/>
          <w:szCs w:val="22"/>
          <w:highlight w:val="none"/>
        </w:rPr>
        <w:t>表中的“</w:t>
      </w:r>
      <w:r>
        <w:rPr>
          <w:rFonts w:hint="eastAsia" w:ascii="仿宋" w:hAnsi="仿宋" w:eastAsia="仿宋" w:cs="仿宋"/>
          <w:b/>
          <w:bCs/>
          <w:color w:val="auto"/>
          <w:sz w:val="22"/>
          <w:szCs w:val="22"/>
          <w:highlight w:val="none"/>
        </w:rPr>
        <w:t>货物名称</w:t>
      </w:r>
      <w:r>
        <w:rPr>
          <w:rFonts w:hint="eastAsia" w:ascii="仿宋" w:hAnsi="仿宋" w:eastAsia="仿宋" w:cs="仿宋"/>
          <w:color w:val="auto"/>
          <w:sz w:val="22"/>
          <w:szCs w:val="22"/>
          <w:highlight w:val="none"/>
        </w:rPr>
        <w:t>”应按拟投货物的实际情况如实填写（产品名称应与</w:t>
      </w:r>
      <w:r>
        <w:rPr>
          <w:rFonts w:hint="eastAsia" w:ascii="仿宋" w:hAnsi="仿宋" w:eastAsia="仿宋" w:cs="仿宋"/>
          <w:bCs/>
          <w:color w:val="auto"/>
          <w:sz w:val="22"/>
          <w:szCs w:val="22"/>
          <w:highlight w:val="none"/>
        </w:rPr>
        <w:t>第五章《</w:t>
      </w:r>
      <w:r>
        <w:rPr>
          <w:rFonts w:hint="eastAsia" w:ascii="仿宋" w:hAnsi="仿宋" w:eastAsia="仿宋" w:cs="仿宋"/>
          <w:bCs/>
          <w:color w:val="auto"/>
          <w:sz w:val="22"/>
          <w:szCs w:val="22"/>
          <w:highlight w:val="none"/>
          <w:lang w:val="en-US" w:eastAsia="zh-CN"/>
        </w:rPr>
        <w:t>采购需求及技术参数</w:t>
      </w:r>
      <w:r>
        <w:rPr>
          <w:rFonts w:hint="eastAsia" w:ascii="仿宋" w:hAnsi="仿宋" w:eastAsia="仿宋" w:cs="仿宋"/>
          <w:bCs/>
          <w:color w:val="auto"/>
          <w:sz w:val="22"/>
          <w:szCs w:val="22"/>
          <w:highlight w:val="none"/>
        </w:rPr>
        <w:t>》中对应货物名称一致</w:t>
      </w:r>
      <w:r>
        <w:rPr>
          <w:rFonts w:hint="eastAsia" w:ascii="仿宋" w:hAnsi="仿宋" w:eastAsia="仿宋" w:cs="仿宋"/>
          <w:color w:val="auto"/>
          <w:sz w:val="22"/>
          <w:szCs w:val="22"/>
          <w:highlight w:val="none"/>
        </w:rPr>
        <w:t>）。表格中“偏离”一列，投标人只能如实填写“正偏离”、“负偏离”或“无偏离”。凡投标内容高于招标文件要求的，按“正偏离”填写；低于招标文件要求的，按“负偏离”填写；满足招标文件要求的，按“无偏离”填写。</w:t>
      </w:r>
    </w:p>
    <w:p w14:paraId="1B2C6B2C">
      <w:pPr>
        <w:pStyle w:val="22"/>
        <w:spacing w:line="360" w:lineRule="auto"/>
        <w:ind w:firstLine="440" w:firstLineChars="20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eastAsia="zh-CN"/>
        </w:rPr>
        <w:t>3.</w:t>
      </w:r>
      <w:r>
        <w:rPr>
          <w:rFonts w:hint="eastAsia" w:ascii="仿宋" w:hAnsi="仿宋" w:eastAsia="仿宋" w:cs="仿宋"/>
          <w:color w:val="auto"/>
          <w:sz w:val="22"/>
          <w:szCs w:val="22"/>
          <w:highlight w:val="none"/>
        </w:rPr>
        <w:t>表中的“</w:t>
      </w:r>
      <w:r>
        <w:rPr>
          <w:rFonts w:hint="eastAsia" w:ascii="仿宋" w:hAnsi="仿宋" w:eastAsia="仿宋" w:cs="仿宋"/>
          <w:b/>
          <w:bCs/>
          <w:color w:val="auto"/>
          <w:sz w:val="22"/>
          <w:szCs w:val="22"/>
          <w:highlight w:val="none"/>
        </w:rPr>
        <w:t>招标文件技术规范、要求</w:t>
      </w:r>
      <w:r>
        <w:rPr>
          <w:rFonts w:hint="eastAsia" w:ascii="仿宋" w:hAnsi="仿宋" w:eastAsia="仿宋" w:cs="仿宋"/>
          <w:color w:val="auto"/>
          <w:sz w:val="22"/>
          <w:szCs w:val="22"/>
          <w:highlight w:val="none"/>
        </w:rPr>
        <w:t>”为</w:t>
      </w:r>
      <w:r>
        <w:rPr>
          <w:rFonts w:hint="eastAsia" w:ascii="仿宋" w:hAnsi="仿宋" w:eastAsia="仿宋" w:cs="仿宋"/>
          <w:bCs/>
          <w:color w:val="auto"/>
          <w:sz w:val="22"/>
          <w:szCs w:val="22"/>
          <w:highlight w:val="none"/>
        </w:rPr>
        <w:t>第五章《</w:t>
      </w:r>
      <w:r>
        <w:rPr>
          <w:rFonts w:hint="eastAsia" w:ascii="仿宋" w:hAnsi="仿宋" w:eastAsia="仿宋" w:cs="仿宋"/>
          <w:bCs/>
          <w:color w:val="auto"/>
          <w:sz w:val="22"/>
          <w:szCs w:val="22"/>
          <w:highlight w:val="none"/>
          <w:lang w:val="en-US" w:eastAsia="zh-CN"/>
        </w:rPr>
        <w:t>采购需求及技术参数</w:t>
      </w:r>
      <w:r>
        <w:rPr>
          <w:rFonts w:hint="eastAsia" w:ascii="仿宋" w:hAnsi="仿宋" w:eastAsia="仿宋" w:cs="仿宋"/>
          <w:bCs/>
          <w:color w:val="auto"/>
          <w:sz w:val="22"/>
          <w:szCs w:val="22"/>
          <w:highlight w:val="none"/>
        </w:rPr>
        <w:t>》中对应产品的技术要求，投标人</w:t>
      </w:r>
      <w:r>
        <w:rPr>
          <w:rFonts w:hint="eastAsia" w:ascii="仿宋" w:hAnsi="仿宋" w:eastAsia="仿宋" w:cs="仿宋"/>
          <w:color w:val="auto"/>
          <w:sz w:val="22"/>
          <w:szCs w:val="22"/>
          <w:highlight w:val="none"/>
        </w:rPr>
        <w:t>应按拟投货物的实际情况如实在“投标文件技术规范、要求”一栏注明拟投产品的技术参数。</w:t>
      </w:r>
    </w:p>
    <w:p w14:paraId="6941B62E">
      <w:pPr>
        <w:pStyle w:val="22"/>
        <w:spacing w:line="360" w:lineRule="auto"/>
        <w:ind w:firstLine="440" w:firstLineChars="20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eastAsia="zh-CN"/>
        </w:rPr>
        <w:t>4.</w:t>
      </w:r>
      <w:r>
        <w:rPr>
          <w:rFonts w:hint="eastAsia" w:ascii="仿宋" w:hAnsi="仿宋" w:eastAsia="仿宋" w:cs="仿宋"/>
          <w:color w:val="auto"/>
          <w:sz w:val="22"/>
          <w:szCs w:val="22"/>
          <w:highlight w:val="none"/>
        </w:rPr>
        <w:t>投标人</w:t>
      </w:r>
      <w:r>
        <w:rPr>
          <w:rFonts w:hint="eastAsia" w:ascii="仿宋" w:hAnsi="仿宋" w:eastAsia="仿宋" w:cs="仿宋"/>
          <w:bCs/>
          <w:color w:val="auto"/>
          <w:sz w:val="22"/>
          <w:szCs w:val="22"/>
          <w:highlight w:val="none"/>
        </w:rPr>
        <w:t>须对招标文件第五章《</w:t>
      </w:r>
      <w:r>
        <w:rPr>
          <w:rFonts w:hint="eastAsia" w:ascii="仿宋" w:hAnsi="仿宋" w:eastAsia="仿宋" w:cs="仿宋"/>
          <w:bCs/>
          <w:color w:val="auto"/>
          <w:sz w:val="22"/>
          <w:szCs w:val="22"/>
          <w:highlight w:val="none"/>
          <w:lang w:val="en-US" w:eastAsia="zh-CN"/>
        </w:rPr>
        <w:t>采购需求及技术参数</w:t>
      </w:r>
      <w:r>
        <w:rPr>
          <w:rFonts w:hint="eastAsia" w:ascii="仿宋" w:hAnsi="仿宋" w:eastAsia="仿宋" w:cs="仿宋"/>
          <w:bCs/>
          <w:color w:val="auto"/>
          <w:sz w:val="22"/>
          <w:szCs w:val="22"/>
          <w:highlight w:val="none"/>
        </w:rPr>
        <w:t>》中的技术参数要求作出全面、真实的反映，投标人除如实填写技术规格偏离表外，投标文件中必须提供</w:t>
      </w:r>
      <w:r>
        <w:rPr>
          <w:rFonts w:hint="eastAsia" w:ascii="仿宋" w:hAnsi="仿宋" w:eastAsia="仿宋" w:cs="仿宋"/>
          <w:b/>
          <w:color w:val="auto"/>
          <w:sz w:val="22"/>
          <w:szCs w:val="22"/>
          <w:highlight w:val="none"/>
        </w:rPr>
        <w:t>最新技术支持资料支持参数技术规格偏离表应答</w:t>
      </w:r>
      <w:r>
        <w:rPr>
          <w:rFonts w:hint="eastAsia" w:ascii="仿宋" w:hAnsi="仿宋" w:eastAsia="仿宋" w:cs="仿宋"/>
          <w:bCs/>
          <w:color w:val="auto"/>
          <w:sz w:val="22"/>
          <w:szCs w:val="22"/>
          <w:highlight w:val="none"/>
        </w:rPr>
        <w:t>。第五章《</w:t>
      </w:r>
      <w:r>
        <w:rPr>
          <w:rFonts w:hint="eastAsia" w:ascii="仿宋" w:hAnsi="仿宋" w:eastAsia="仿宋" w:cs="仿宋"/>
          <w:bCs/>
          <w:color w:val="auto"/>
          <w:sz w:val="22"/>
          <w:szCs w:val="22"/>
          <w:highlight w:val="none"/>
          <w:lang w:val="en-US" w:eastAsia="zh-CN"/>
        </w:rPr>
        <w:t>采购需求及技术参数</w:t>
      </w:r>
      <w:r>
        <w:rPr>
          <w:rFonts w:hint="eastAsia" w:ascii="仿宋" w:hAnsi="仿宋" w:eastAsia="仿宋" w:cs="仿宋"/>
          <w:bCs/>
          <w:color w:val="auto"/>
          <w:sz w:val="22"/>
          <w:szCs w:val="22"/>
          <w:highlight w:val="none"/>
        </w:rPr>
        <w:t>》中</w:t>
      </w:r>
      <w:r>
        <w:rPr>
          <w:rFonts w:hint="eastAsia" w:ascii="仿宋" w:hAnsi="仿宋" w:eastAsia="仿宋" w:cs="仿宋"/>
          <w:b/>
          <w:bCs/>
          <w:color w:val="auto"/>
          <w:sz w:val="22"/>
          <w:szCs w:val="22"/>
          <w:highlight w:val="none"/>
        </w:rPr>
        <w:t>对技术支持资料有特定要求的以招标文件为准，</w:t>
      </w:r>
      <w:r>
        <w:rPr>
          <w:rFonts w:hint="eastAsia" w:ascii="仿宋" w:hAnsi="仿宋" w:eastAsia="仿宋" w:cs="仿宋"/>
          <w:bCs/>
          <w:color w:val="auto"/>
          <w:sz w:val="22"/>
          <w:szCs w:val="22"/>
          <w:highlight w:val="none"/>
        </w:rPr>
        <w:t>投标人应按要求提供；第五章《</w:t>
      </w:r>
      <w:r>
        <w:rPr>
          <w:rFonts w:hint="eastAsia" w:ascii="仿宋" w:hAnsi="仿宋" w:eastAsia="仿宋" w:cs="仿宋"/>
          <w:bCs/>
          <w:color w:val="auto"/>
          <w:sz w:val="22"/>
          <w:szCs w:val="22"/>
          <w:highlight w:val="none"/>
          <w:lang w:val="en-US" w:eastAsia="zh-CN"/>
        </w:rPr>
        <w:t>采购需求及技术参数</w:t>
      </w:r>
      <w:r>
        <w:rPr>
          <w:rFonts w:hint="eastAsia" w:ascii="仿宋" w:hAnsi="仿宋" w:eastAsia="仿宋" w:cs="仿宋"/>
          <w:bCs/>
          <w:color w:val="auto"/>
          <w:sz w:val="22"/>
          <w:szCs w:val="22"/>
          <w:highlight w:val="none"/>
        </w:rPr>
        <w:t>》中</w:t>
      </w:r>
      <w:r>
        <w:rPr>
          <w:rFonts w:hint="eastAsia" w:ascii="仿宋" w:hAnsi="仿宋" w:eastAsia="仿宋" w:cs="仿宋"/>
          <w:b/>
          <w:color w:val="auto"/>
          <w:sz w:val="22"/>
          <w:szCs w:val="22"/>
          <w:highlight w:val="none"/>
        </w:rPr>
        <w:t>未明确技术支持资料要求的</w:t>
      </w:r>
      <w:r>
        <w:rPr>
          <w:rFonts w:hint="eastAsia" w:ascii="仿宋" w:hAnsi="仿宋" w:eastAsia="仿宋" w:cs="仿宋"/>
          <w:bCs/>
          <w:color w:val="auto"/>
          <w:sz w:val="22"/>
          <w:szCs w:val="22"/>
          <w:highlight w:val="none"/>
        </w:rPr>
        <w:t>，投标人可根据实际情况自行提供相关技术支持资料（</w:t>
      </w:r>
      <w:r>
        <w:rPr>
          <w:rFonts w:hint="eastAsia" w:ascii="仿宋" w:hAnsi="仿宋" w:eastAsia="仿宋" w:cs="仿宋"/>
          <w:b/>
          <w:bCs w:val="0"/>
          <w:color w:val="auto"/>
          <w:sz w:val="22"/>
          <w:szCs w:val="22"/>
          <w:highlight w:val="none"/>
        </w:rPr>
        <w:t>技术支持资料可为技术白皮书或设备相关鉴定资料或试验报告或设备检验报告或技术彩页或宣传资料或图纸资料，如技术白皮书/设备相关鉴定资料/试验报告/技术彩页/宣传资料/图纸资料与设备检验报告不一致的，以设备检验报告为准</w:t>
      </w:r>
      <w:r>
        <w:rPr>
          <w:rFonts w:hint="eastAsia" w:ascii="仿宋" w:hAnsi="仿宋" w:eastAsia="仿宋" w:cs="仿宋"/>
          <w:bCs/>
          <w:color w:val="auto"/>
          <w:sz w:val="22"/>
          <w:szCs w:val="22"/>
          <w:highlight w:val="none"/>
        </w:rPr>
        <w:t>）。</w:t>
      </w:r>
    </w:p>
    <w:p w14:paraId="0C3AC161">
      <w:pPr>
        <w:pStyle w:val="22"/>
        <w:spacing w:line="360" w:lineRule="auto"/>
        <w:ind w:firstLine="440" w:firstLineChars="20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eastAsia="zh-CN"/>
        </w:rPr>
        <w:t>5.</w:t>
      </w:r>
      <w:bookmarkStart w:id="673" w:name="_Hlk510201592"/>
      <w:r>
        <w:rPr>
          <w:rFonts w:hint="eastAsia" w:ascii="仿宋" w:hAnsi="仿宋" w:eastAsia="仿宋" w:cs="仿宋"/>
          <w:color w:val="auto"/>
          <w:sz w:val="22"/>
          <w:szCs w:val="22"/>
          <w:highlight w:val="none"/>
        </w:rPr>
        <w:t>若投标文件中的技术支持资料与技术规格偏离表应答不符，或投标人未提供技术支持资料且投标人又未在投标文件中作出说明和解释的，</w:t>
      </w:r>
      <w:r>
        <w:rPr>
          <w:rFonts w:hint="eastAsia" w:ascii="仿宋" w:hAnsi="仿宋" w:eastAsia="仿宋" w:cs="仿宋"/>
          <w:b/>
          <w:bCs/>
          <w:color w:val="auto"/>
          <w:sz w:val="22"/>
          <w:szCs w:val="22"/>
          <w:highlight w:val="none"/>
        </w:rPr>
        <w:t>视为不响应该条技术参数要求</w:t>
      </w:r>
      <w:r>
        <w:rPr>
          <w:rFonts w:hint="eastAsia" w:ascii="仿宋" w:hAnsi="仿宋" w:eastAsia="仿宋" w:cs="仿宋"/>
          <w:color w:val="auto"/>
          <w:sz w:val="22"/>
          <w:szCs w:val="22"/>
          <w:highlight w:val="none"/>
        </w:rPr>
        <w:t>。</w:t>
      </w:r>
      <w:bookmarkEnd w:id="673"/>
    </w:p>
    <w:p w14:paraId="0E20EDC6">
      <w:pPr>
        <w:spacing w:line="360" w:lineRule="auto"/>
        <w:ind w:firstLine="510"/>
        <w:rPr>
          <w:rFonts w:hint="eastAsia" w:ascii="仿宋" w:hAnsi="仿宋" w:eastAsia="仿宋"/>
          <w:color w:val="auto"/>
          <w:sz w:val="24"/>
          <w:szCs w:val="24"/>
          <w:highlight w:val="none"/>
        </w:rPr>
      </w:pPr>
    </w:p>
    <w:p w14:paraId="22E7EB8E">
      <w:pPr>
        <w:spacing w:line="360" w:lineRule="auto"/>
        <w:ind w:firstLine="510"/>
        <w:rPr>
          <w:rFonts w:hint="eastAsia" w:ascii="仿宋" w:hAnsi="仿宋" w:eastAsia="仿宋"/>
          <w:color w:val="auto"/>
          <w:sz w:val="24"/>
          <w:szCs w:val="24"/>
          <w:highlight w:val="none"/>
        </w:rPr>
      </w:pPr>
    </w:p>
    <w:p w14:paraId="42E4B9DF">
      <w:pPr>
        <w:spacing w:line="360" w:lineRule="auto"/>
        <w:ind w:firstLine="510"/>
        <w:rPr>
          <w:rFonts w:ascii="仿宋" w:hAnsi="仿宋" w:eastAsia="仿宋"/>
          <w:color w:val="auto"/>
          <w:sz w:val="24"/>
          <w:szCs w:val="24"/>
          <w:highlight w:val="none"/>
        </w:rPr>
      </w:pPr>
      <w:r>
        <w:rPr>
          <w:rFonts w:hint="eastAsia" w:ascii="仿宋" w:hAnsi="仿宋" w:eastAsia="仿宋"/>
          <w:color w:val="auto"/>
          <w:sz w:val="24"/>
          <w:szCs w:val="24"/>
          <w:highlight w:val="none"/>
        </w:rPr>
        <w:t>投标人（</w:t>
      </w:r>
      <w:r>
        <w:rPr>
          <w:rFonts w:hint="eastAsia" w:ascii="仿宋" w:hAnsi="仿宋" w:eastAsia="仿宋"/>
          <w:color w:val="auto"/>
          <w:sz w:val="24"/>
          <w:szCs w:val="24"/>
          <w:highlight w:val="none"/>
          <w:lang w:eastAsia="zh-CN"/>
        </w:rPr>
        <w:t>电子签章</w:t>
      </w:r>
      <w:r>
        <w:rPr>
          <w:rFonts w:hint="eastAsia" w:ascii="仿宋" w:hAnsi="仿宋" w:eastAsia="仿宋"/>
          <w:color w:val="auto"/>
          <w:sz w:val="24"/>
          <w:szCs w:val="24"/>
          <w:highlight w:val="none"/>
        </w:rPr>
        <w:t>）：</w:t>
      </w:r>
      <w:r>
        <w:rPr>
          <w:rFonts w:hint="eastAsia" w:ascii="仿宋" w:hAnsi="仿宋" w:eastAsia="仿宋"/>
          <w:color w:val="auto"/>
          <w:sz w:val="24"/>
          <w:szCs w:val="24"/>
          <w:highlight w:val="none"/>
          <w:u w:val="single"/>
        </w:rPr>
        <w:t xml:space="preserve">                                        </w:t>
      </w:r>
    </w:p>
    <w:p w14:paraId="5633DC39">
      <w:pPr>
        <w:spacing w:line="360" w:lineRule="auto"/>
        <w:ind w:firstLine="510"/>
        <w:rPr>
          <w:rFonts w:ascii="仿宋" w:hAnsi="仿宋" w:eastAsia="仿宋"/>
          <w:color w:val="auto"/>
          <w:sz w:val="24"/>
          <w:szCs w:val="24"/>
          <w:highlight w:val="none"/>
        </w:rPr>
      </w:pPr>
      <w:r>
        <w:rPr>
          <w:rFonts w:hint="eastAsia" w:ascii="仿宋" w:hAnsi="仿宋" w:eastAsia="仿宋"/>
          <w:color w:val="auto"/>
          <w:sz w:val="24"/>
          <w:szCs w:val="24"/>
          <w:highlight w:val="none"/>
        </w:rPr>
        <w:t>法定代表人或委托代理人（</w:t>
      </w:r>
      <w:r>
        <w:rPr>
          <w:rFonts w:hint="eastAsia" w:ascii="仿宋" w:hAnsi="仿宋" w:eastAsia="仿宋" w:cs="仿宋"/>
          <w:color w:val="auto"/>
          <w:sz w:val="24"/>
          <w:szCs w:val="24"/>
          <w:highlight w:val="none"/>
        </w:rPr>
        <w:t>签字或电子签章</w:t>
      </w:r>
      <w:r>
        <w:rPr>
          <w:rFonts w:hint="eastAsia" w:ascii="仿宋" w:hAnsi="仿宋" w:eastAsia="仿宋"/>
          <w:color w:val="auto"/>
          <w:sz w:val="24"/>
          <w:szCs w:val="24"/>
          <w:highlight w:val="none"/>
        </w:rPr>
        <w:t>）：</w:t>
      </w:r>
      <w:r>
        <w:rPr>
          <w:rFonts w:hint="eastAsia" w:ascii="仿宋" w:hAnsi="仿宋" w:eastAsia="仿宋"/>
          <w:color w:val="auto"/>
          <w:sz w:val="24"/>
          <w:szCs w:val="24"/>
          <w:highlight w:val="none"/>
          <w:u w:val="single"/>
        </w:rPr>
        <w:t xml:space="preserve">                        </w:t>
      </w:r>
    </w:p>
    <w:p w14:paraId="5FBE4A4D">
      <w:pPr>
        <w:spacing w:line="360" w:lineRule="auto"/>
        <w:ind w:firstLine="480" w:firstLineChars="200"/>
        <w:rPr>
          <w:rFonts w:ascii="仿宋" w:hAnsi="仿宋" w:eastAsia="仿宋"/>
          <w:color w:val="auto"/>
          <w:sz w:val="24"/>
          <w:szCs w:val="24"/>
          <w:highlight w:val="none"/>
          <w:u w:val="single"/>
        </w:rPr>
      </w:pPr>
      <w:r>
        <w:rPr>
          <w:rFonts w:hint="eastAsia" w:ascii="仿宋" w:hAnsi="仿宋" w:eastAsia="仿宋"/>
          <w:color w:val="auto"/>
          <w:sz w:val="24"/>
          <w:szCs w:val="24"/>
          <w:highlight w:val="none"/>
        </w:rPr>
        <w:t>日  期：</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年</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月</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日</w:t>
      </w:r>
    </w:p>
    <w:p w14:paraId="6E131F1A">
      <w:pPr>
        <w:bidi w:val="0"/>
        <w:rPr>
          <w:rFonts w:hint="eastAsia"/>
          <w:color w:val="auto"/>
          <w:highlight w:val="none"/>
        </w:rPr>
      </w:pPr>
    </w:p>
    <w:p w14:paraId="31048EC1">
      <w:pPr>
        <w:bidi w:val="0"/>
        <w:rPr>
          <w:rFonts w:hint="eastAsia"/>
          <w:color w:val="auto"/>
          <w:highlight w:val="none"/>
        </w:rPr>
      </w:pPr>
    </w:p>
    <w:p w14:paraId="77BB8361">
      <w:pPr>
        <w:bidi w:val="0"/>
        <w:rPr>
          <w:rFonts w:hint="eastAsia"/>
          <w:color w:val="auto"/>
          <w:highlight w:val="none"/>
        </w:rPr>
      </w:pPr>
    </w:p>
    <w:p w14:paraId="0D072A28">
      <w:pPr>
        <w:pStyle w:val="55"/>
        <w:rPr>
          <w:rFonts w:hint="eastAsia"/>
          <w:color w:val="auto"/>
          <w:highlight w:val="none"/>
        </w:rPr>
      </w:pPr>
    </w:p>
    <w:p w14:paraId="0B1A20C0">
      <w:pPr>
        <w:rPr>
          <w:rFonts w:hint="eastAsia"/>
          <w:color w:val="auto"/>
          <w:highlight w:val="none"/>
        </w:rPr>
      </w:pPr>
    </w:p>
    <w:p w14:paraId="7656987F">
      <w:pPr>
        <w:pStyle w:val="55"/>
        <w:rPr>
          <w:rFonts w:hint="eastAsia"/>
          <w:color w:val="auto"/>
          <w:highlight w:val="none"/>
        </w:rPr>
      </w:pPr>
    </w:p>
    <w:p w14:paraId="40594002">
      <w:pPr>
        <w:pStyle w:val="55"/>
        <w:rPr>
          <w:rFonts w:hint="eastAsia"/>
          <w:color w:val="auto"/>
          <w:highlight w:val="none"/>
        </w:rPr>
      </w:pPr>
    </w:p>
    <w:p w14:paraId="6E746EB4">
      <w:pPr>
        <w:pStyle w:val="55"/>
        <w:rPr>
          <w:rFonts w:hint="eastAsia"/>
          <w:color w:val="auto"/>
          <w:highlight w:val="none"/>
        </w:rPr>
      </w:pPr>
    </w:p>
    <w:p w14:paraId="6DCC6F2C">
      <w:pPr>
        <w:pStyle w:val="55"/>
        <w:rPr>
          <w:rFonts w:hint="eastAsia"/>
          <w:color w:val="auto"/>
          <w:highlight w:val="none"/>
        </w:rPr>
      </w:pPr>
    </w:p>
    <w:p w14:paraId="7E1CB60C">
      <w:pPr>
        <w:pStyle w:val="55"/>
        <w:rPr>
          <w:rFonts w:hint="eastAsia"/>
          <w:color w:val="auto"/>
          <w:highlight w:val="none"/>
        </w:rPr>
      </w:pPr>
    </w:p>
    <w:p w14:paraId="74006249">
      <w:pPr>
        <w:pStyle w:val="55"/>
        <w:rPr>
          <w:rFonts w:hint="eastAsia"/>
          <w:color w:val="auto"/>
          <w:highlight w:val="none"/>
        </w:rPr>
      </w:pPr>
    </w:p>
    <w:p w14:paraId="0AA63DE5">
      <w:pPr>
        <w:pStyle w:val="55"/>
        <w:rPr>
          <w:rFonts w:hint="eastAsia"/>
          <w:color w:val="auto"/>
          <w:highlight w:val="none"/>
        </w:rPr>
      </w:pPr>
    </w:p>
    <w:p w14:paraId="5AC01BCB">
      <w:pPr>
        <w:pStyle w:val="55"/>
        <w:rPr>
          <w:rFonts w:hint="eastAsia"/>
          <w:color w:val="auto"/>
          <w:highlight w:val="none"/>
        </w:rPr>
      </w:pPr>
    </w:p>
    <w:p w14:paraId="63752FFB">
      <w:pPr>
        <w:pStyle w:val="55"/>
        <w:rPr>
          <w:rFonts w:hint="eastAsia"/>
          <w:color w:val="auto"/>
          <w:highlight w:val="none"/>
        </w:rPr>
      </w:pPr>
    </w:p>
    <w:p w14:paraId="4EA6A405">
      <w:pPr>
        <w:pStyle w:val="55"/>
        <w:rPr>
          <w:rFonts w:hint="eastAsia"/>
          <w:color w:val="auto"/>
          <w:highlight w:val="none"/>
        </w:rPr>
      </w:pPr>
    </w:p>
    <w:p w14:paraId="05A114A1">
      <w:pPr>
        <w:pStyle w:val="55"/>
        <w:rPr>
          <w:rFonts w:hint="eastAsia"/>
          <w:color w:val="auto"/>
          <w:highlight w:val="none"/>
        </w:rPr>
      </w:pPr>
    </w:p>
    <w:p w14:paraId="4252E5D8">
      <w:pPr>
        <w:pStyle w:val="55"/>
        <w:rPr>
          <w:rFonts w:hint="eastAsia"/>
          <w:color w:val="auto"/>
          <w:highlight w:val="none"/>
        </w:rPr>
      </w:pPr>
    </w:p>
    <w:p w14:paraId="074B8EB9">
      <w:pPr>
        <w:pStyle w:val="55"/>
        <w:rPr>
          <w:rFonts w:hint="eastAsia"/>
          <w:color w:val="auto"/>
          <w:highlight w:val="none"/>
        </w:rPr>
      </w:pPr>
    </w:p>
    <w:p w14:paraId="77AE5BFA">
      <w:pPr>
        <w:pStyle w:val="55"/>
        <w:rPr>
          <w:rFonts w:hint="eastAsia"/>
          <w:color w:val="auto"/>
          <w:highlight w:val="none"/>
        </w:rPr>
      </w:pPr>
    </w:p>
    <w:p w14:paraId="667651C3">
      <w:pPr>
        <w:pStyle w:val="55"/>
        <w:rPr>
          <w:rFonts w:hint="eastAsia"/>
          <w:color w:val="auto"/>
          <w:highlight w:val="none"/>
        </w:rPr>
      </w:pPr>
    </w:p>
    <w:p w14:paraId="73F97031">
      <w:pPr>
        <w:pStyle w:val="55"/>
        <w:rPr>
          <w:rFonts w:hint="eastAsia"/>
          <w:color w:val="auto"/>
          <w:highlight w:val="none"/>
        </w:rPr>
      </w:pPr>
    </w:p>
    <w:p w14:paraId="5620BF3E">
      <w:pPr>
        <w:pStyle w:val="55"/>
        <w:rPr>
          <w:rFonts w:hint="eastAsia"/>
          <w:color w:val="auto"/>
          <w:highlight w:val="none"/>
        </w:rPr>
      </w:pPr>
    </w:p>
    <w:p w14:paraId="441359D1">
      <w:pPr>
        <w:pStyle w:val="55"/>
        <w:rPr>
          <w:rFonts w:hint="eastAsia"/>
          <w:color w:val="auto"/>
          <w:highlight w:val="none"/>
        </w:rPr>
      </w:pPr>
    </w:p>
    <w:p w14:paraId="2718C24C">
      <w:pPr>
        <w:pStyle w:val="55"/>
        <w:rPr>
          <w:rFonts w:hint="eastAsia"/>
          <w:color w:val="auto"/>
          <w:highlight w:val="none"/>
        </w:rPr>
      </w:pPr>
    </w:p>
    <w:p w14:paraId="70ECD73D">
      <w:pPr>
        <w:pStyle w:val="55"/>
        <w:rPr>
          <w:rFonts w:hint="eastAsia"/>
          <w:color w:val="auto"/>
          <w:highlight w:val="none"/>
        </w:rPr>
      </w:pPr>
    </w:p>
    <w:p w14:paraId="5EDE5E5A">
      <w:pPr>
        <w:pStyle w:val="55"/>
        <w:rPr>
          <w:rFonts w:hint="eastAsia"/>
          <w:color w:val="auto"/>
          <w:highlight w:val="none"/>
        </w:rPr>
      </w:pPr>
    </w:p>
    <w:p w14:paraId="59917EC2">
      <w:pPr>
        <w:pStyle w:val="55"/>
        <w:rPr>
          <w:rFonts w:hint="eastAsia"/>
          <w:color w:val="auto"/>
          <w:highlight w:val="none"/>
        </w:rPr>
      </w:pPr>
    </w:p>
    <w:p w14:paraId="0B9BA0F9">
      <w:pPr>
        <w:pStyle w:val="55"/>
        <w:rPr>
          <w:rFonts w:hint="eastAsia"/>
          <w:color w:val="auto"/>
          <w:highlight w:val="none"/>
        </w:rPr>
      </w:pPr>
    </w:p>
    <w:p w14:paraId="21C729F0">
      <w:pPr>
        <w:pStyle w:val="55"/>
        <w:rPr>
          <w:rFonts w:hint="eastAsia"/>
          <w:color w:val="auto"/>
          <w:highlight w:val="none"/>
        </w:rPr>
      </w:pPr>
    </w:p>
    <w:p w14:paraId="3B280B85">
      <w:pPr>
        <w:pStyle w:val="55"/>
        <w:rPr>
          <w:rFonts w:hint="eastAsia"/>
          <w:color w:val="auto"/>
          <w:highlight w:val="none"/>
        </w:rPr>
      </w:pPr>
    </w:p>
    <w:p w14:paraId="7B13183F">
      <w:pPr>
        <w:pStyle w:val="55"/>
        <w:rPr>
          <w:rFonts w:hint="eastAsia"/>
          <w:color w:val="auto"/>
          <w:highlight w:val="none"/>
        </w:rPr>
      </w:pPr>
    </w:p>
    <w:p w14:paraId="06BCC4CA">
      <w:pPr>
        <w:pStyle w:val="55"/>
        <w:rPr>
          <w:rFonts w:hint="eastAsia"/>
          <w:color w:val="auto"/>
          <w:highlight w:val="none"/>
        </w:rPr>
      </w:pPr>
    </w:p>
    <w:p w14:paraId="259181E3">
      <w:pPr>
        <w:pStyle w:val="55"/>
        <w:rPr>
          <w:rFonts w:hint="eastAsia"/>
          <w:color w:val="auto"/>
          <w:highlight w:val="none"/>
        </w:rPr>
      </w:pPr>
    </w:p>
    <w:p w14:paraId="2C74A5A6">
      <w:pPr>
        <w:pStyle w:val="55"/>
        <w:rPr>
          <w:rFonts w:hint="eastAsia"/>
          <w:color w:val="auto"/>
          <w:highlight w:val="none"/>
        </w:rPr>
      </w:pPr>
    </w:p>
    <w:p w14:paraId="74E6846E">
      <w:pPr>
        <w:pStyle w:val="55"/>
        <w:rPr>
          <w:rFonts w:hint="eastAsia"/>
          <w:color w:val="auto"/>
          <w:highlight w:val="none"/>
        </w:rPr>
      </w:pPr>
    </w:p>
    <w:p w14:paraId="6AE63CC9">
      <w:pPr>
        <w:pStyle w:val="55"/>
        <w:rPr>
          <w:rFonts w:hint="eastAsia"/>
          <w:color w:val="auto"/>
          <w:highlight w:val="none"/>
        </w:rPr>
      </w:pPr>
    </w:p>
    <w:p w14:paraId="2501D129">
      <w:pPr>
        <w:pStyle w:val="55"/>
        <w:rPr>
          <w:rFonts w:hint="eastAsia"/>
          <w:color w:val="auto"/>
          <w:highlight w:val="none"/>
        </w:rPr>
      </w:pPr>
    </w:p>
    <w:bookmarkEnd w:id="659"/>
    <w:bookmarkEnd w:id="660"/>
    <w:bookmarkEnd w:id="661"/>
    <w:bookmarkEnd w:id="662"/>
    <w:p w14:paraId="7C5ACC5B">
      <w:pPr>
        <w:rPr>
          <w:color w:val="auto"/>
          <w:highlight w:val="none"/>
        </w:rPr>
      </w:pPr>
    </w:p>
    <w:p w14:paraId="06F387F4">
      <w:pPr>
        <w:pStyle w:val="6"/>
        <w:ind w:left="0" w:leftChars="0" w:firstLine="0" w:firstLineChars="0"/>
        <w:jc w:val="center"/>
        <w:rPr>
          <w:rFonts w:hint="eastAsia" w:ascii="仿宋" w:hAnsi="仿宋" w:eastAsia="仿宋" w:cs="仿宋"/>
          <w:color w:val="auto"/>
          <w:sz w:val="32"/>
          <w:szCs w:val="32"/>
          <w:highlight w:val="none"/>
          <w:lang w:val="en-US" w:eastAsia="zh-CN"/>
        </w:rPr>
      </w:pPr>
      <w:bookmarkStart w:id="674" w:name="_Toc29430"/>
      <w:bookmarkStart w:id="675" w:name="_Toc12096"/>
      <w:bookmarkStart w:id="676" w:name="_Toc11892"/>
      <w:bookmarkStart w:id="677" w:name="_Toc9402"/>
      <w:bookmarkStart w:id="678" w:name="_Toc18878"/>
      <w:bookmarkStart w:id="679" w:name="_Toc23867325"/>
      <w:bookmarkStart w:id="680" w:name="_Toc18696"/>
      <w:bookmarkStart w:id="681" w:name="_Toc26526"/>
      <w:r>
        <w:rPr>
          <w:rFonts w:hint="eastAsia" w:ascii="仿宋" w:hAnsi="仿宋" w:eastAsia="仿宋" w:cs="仿宋"/>
          <w:color w:val="auto"/>
          <w:sz w:val="32"/>
          <w:szCs w:val="32"/>
          <w:highlight w:val="none"/>
        </w:rPr>
        <w:t>格式</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项目实施方案</w:t>
      </w:r>
      <w:bookmarkEnd w:id="674"/>
      <w:bookmarkEnd w:id="675"/>
      <w:bookmarkEnd w:id="676"/>
      <w:bookmarkEnd w:id="677"/>
      <w:bookmarkEnd w:id="678"/>
    </w:p>
    <w:p w14:paraId="3F11AF60">
      <w:pPr>
        <w:jc w:val="center"/>
        <w:rPr>
          <w:rFonts w:hint="eastAsia" w:ascii="仿宋" w:hAnsi="仿宋" w:eastAsia="仿宋"/>
          <w:color w:val="auto"/>
          <w:sz w:val="24"/>
          <w:szCs w:val="20"/>
          <w:highlight w:val="none"/>
        </w:rPr>
      </w:pPr>
      <w:r>
        <w:rPr>
          <w:rFonts w:hint="eastAsia" w:ascii="仿宋" w:hAnsi="仿宋" w:eastAsia="仿宋"/>
          <w:color w:val="auto"/>
          <w:sz w:val="24"/>
          <w:szCs w:val="20"/>
          <w:highlight w:val="none"/>
        </w:rPr>
        <w:t>【根据评标办法内容提供相关证明材料】</w:t>
      </w:r>
    </w:p>
    <w:p w14:paraId="4573948B">
      <w:pPr>
        <w:rPr>
          <w:rFonts w:hint="eastAsia" w:ascii="仿宋" w:hAnsi="仿宋" w:eastAsia="仿宋" w:cs="仿宋"/>
          <w:color w:val="auto"/>
          <w:sz w:val="32"/>
          <w:szCs w:val="32"/>
          <w:highlight w:val="none"/>
          <w:lang w:val="en-US" w:eastAsia="zh-CN"/>
        </w:rPr>
      </w:pPr>
    </w:p>
    <w:p w14:paraId="08580E92">
      <w:pPr>
        <w:rPr>
          <w:rFonts w:hint="eastAsia" w:ascii="仿宋" w:hAnsi="仿宋" w:eastAsia="仿宋" w:cs="仿宋"/>
          <w:color w:val="auto"/>
          <w:sz w:val="32"/>
          <w:szCs w:val="32"/>
          <w:highlight w:val="none"/>
          <w:lang w:val="en-US" w:eastAsia="zh-CN"/>
        </w:rPr>
      </w:pPr>
    </w:p>
    <w:p w14:paraId="730A1BEA">
      <w:pPr>
        <w:rPr>
          <w:rFonts w:hint="eastAsia" w:ascii="仿宋" w:hAnsi="仿宋" w:eastAsia="仿宋" w:cs="仿宋"/>
          <w:color w:val="auto"/>
          <w:sz w:val="32"/>
          <w:szCs w:val="32"/>
          <w:highlight w:val="none"/>
          <w:lang w:val="en-US" w:eastAsia="zh-CN"/>
        </w:rPr>
      </w:pPr>
    </w:p>
    <w:p w14:paraId="0B663DA7">
      <w:pPr>
        <w:rPr>
          <w:rFonts w:hint="eastAsia" w:ascii="仿宋" w:hAnsi="仿宋" w:eastAsia="仿宋" w:cs="仿宋"/>
          <w:color w:val="auto"/>
          <w:sz w:val="32"/>
          <w:szCs w:val="32"/>
          <w:highlight w:val="none"/>
          <w:lang w:val="en-US" w:eastAsia="zh-CN"/>
        </w:rPr>
      </w:pPr>
    </w:p>
    <w:p w14:paraId="15578FC7">
      <w:pPr>
        <w:rPr>
          <w:rFonts w:hint="default" w:ascii="仿宋" w:hAnsi="仿宋" w:eastAsia="仿宋" w:cs="仿宋"/>
          <w:color w:val="auto"/>
          <w:sz w:val="32"/>
          <w:szCs w:val="32"/>
          <w:highlight w:val="none"/>
          <w:lang w:val="en-US" w:eastAsia="zh-CN"/>
        </w:rPr>
      </w:pPr>
    </w:p>
    <w:p w14:paraId="6D7FEB0A">
      <w:pPr>
        <w:pStyle w:val="6"/>
        <w:ind w:left="0" w:leftChars="0" w:firstLine="0" w:firstLineChars="0"/>
        <w:jc w:val="center"/>
        <w:rPr>
          <w:rFonts w:hint="default" w:ascii="仿宋" w:hAnsi="仿宋" w:eastAsia="仿宋"/>
          <w:b/>
          <w:bCs/>
          <w:color w:val="auto"/>
          <w:sz w:val="28"/>
          <w:szCs w:val="28"/>
          <w:highlight w:val="none"/>
          <w:lang w:val="en-US" w:eastAsia="zh-CN"/>
        </w:rPr>
      </w:pPr>
      <w:bookmarkStart w:id="682" w:name="_Toc20326"/>
      <w:bookmarkStart w:id="683" w:name="_Toc31659"/>
      <w:bookmarkStart w:id="684" w:name="_Toc28965"/>
      <w:bookmarkStart w:id="685" w:name="_Toc23004"/>
      <w:bookmarkStart w:id="686" w:name="_Toc26831"/>
      <w:r>
        <w:rPr>
          <w:rFonts w:hint="eastAsia" w:ascii="仿宋" w:hAnsi="仿宋" w:eastAsia="仿宋" w:cs="仿宋"/>
          <w:color w:val="auto"/>
          <w:sz w:val="32"/>
          <w:szCs w:val="32"/>
          <w:highlight w:val="none"/>
        </w:rPr>
        <w:t>格式</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质量保证及承诺</w:t>
      </w:r>
      <w:bookmarkEnd w:id="682"/>
      <w:bookmarkEnd w:id="683"/>
      <w:bookmarkEnd w:id="684"/>
      <w:bookmarkEnd w:id="685"/>
      <w:bookmarkEnd w:id="686"/>
    </w:p>
    <w:p w14:paraId="243905FC">
      <w:pPr>
        <w:jc w:val="center"/>
        <w:rPr>
          <w:rFonts w:hint="eastAsia" w:ascii="仿宋" w:hAnsi="仿宋" w:eastAsia="仿宋"/>
          <w:color w:val="auto"/>
          <w:sz w:val="24"/>
          <w:szCs w:val="20"/>
          <w:highlight w:val="none"/>
        </w:rPr>
      </w:pPr>
      <w:r>
        <w:rPr>
          <w:rFonts w:hint="eastAsia" w:ascii="仿宋" w:hAnsi="仿宋" w:eastAsia="仿宋"/>
          <w:color w:val="auto"/>
          <w:sz w:val="24"/>
          <w:szCs w:val="20"/>
          <w:highlight w:val="none"/>
        </w:rPr>
        <w:t>【根据评标办法内容提供相关证明材料】</w:t>
      </w:r>
    </w:p>
    <w:p w14:paraId="5D5FD432">
      <w:pPr>
        <w:rPr>
          <w:rFonts w:hint="eastAsia" w:ascii="仿宋" w:hAnsi="仿宋" w:eastAsia="仿宋"/>
          <w:b/>
          <w:bCs/>
          <w:color w:val="auto"/>
          <w:sz w:val="28"/>
          <w:szCs w:val="28"/>
          <w:highlight w:val="none"/>
        </w:rPr>
      </w:pPr>
    </w:p>
    <w:p w14:paraId="55DAC326">
      <w:pPr>
        <w:rPr>
          <w:rFonts w:hint="eastAsia" w:ascii="仿宋" w:hAnsi="仿宋" w:eastAsia="仿宋"/>
          <w:b/>
          <w:bCs/>
          <w:color w:val="auto"/>
          <w:sz w:val="28"/>
          <w:szCs w:val="28"/>
          <w:highlight w:val="none"/>
        </w:rPr>
      </w:pPr>
    </w:p>
    <w:p w14:paraId="6C13CB8B">
      <w:pPr>
        <w:rPr>
          <w:rFonts w:hint="eastAsia" w:ascii="仿宋" w:hAnsi="仿宋" w:eastAsia="仿宋"/>
          <w:b/>
          <w:bCs/>
          <w:color w:val="auto"/>
          <w:sz w:val="28"/>
          <w:szCs w:val="28"/>
          <w:highlight w:val="none"/>
        </w:rPr>
      </w:pPr>
    </w:p>
    <w:p w14:paraId="7B3912F2">
      <w:pPr>
        <w:rPr>
          <w:rFonts w:hint="eastAsia" w:ascii="仿宋" w:hAnsi="仿宋" w:eastAsia="仿宋"/>
          <w:b/>
          <w:bCs/>
          <w:color w:val="auto"/>
          <w:sz w:val="28"/>
          <w:szCs w:val="28"/>
          <w:highlight w:val="none"/>
        </w:rPr>
      </w:pPr>
    </w:p>
    <w:p w14:paraId="40FC8C60">
      <w:pPr>
        <w:rPr>
          <w:rFonts w:hint="eastAsia" w:ascii="仿宋" w:hAnsi="仿宋" w:eastAsia="仿宋"/>
          <w:b/>
          <w:bCs/>
          <w:color w:val="auto"/>
          <w:sz w:val="28"/>
          <w:szCs w:val="28"/>
          <w:highlight w:val="none"/>
        </w:rPr>
      </w:pPr>
    </w:p>
    <w:p w14:paraId="170CC1D9">
      <w:pPr>
        <w:rPr>
          <w:rFonts w:hint="eastAsia" w:ascii="仿宋" w:hAnsi="仿宋" w:eastAsia="仿宋"/>
          <w:b/>
          <w:bCs/>
          <w:color w:val="auto"/>
          <w:sz w:val="28"/>
          <w:szCs w:val="28"/>
          <w:highlight w:val="none"/>
        </w:rPr>
      </w:pPr>
    </w:p>
    <w:p w14:paraId="3C3D7E78">
      <w:pPr>
        <w:rPr>
          <w:rFonts w:hint="eastAsia" w:ascii="仿宋" w:hAnsi="仿宋" w:eastAsia="仿宋"/>
          <w:b/>
          <w:bCs/>
          <w:color w:val="auto"/>
          <w:sz w:val="28"/>
          <w:szCs w:val="28"/>
          <w:highlight w:val="none"/>
        </w:rPr>
      </w:pPr>
    </w:p>
    <w:p w14:paraId="4C5F40EC">
      <w:pPr>
        <w:pStyle w:val="6"/>
        <w:ind w:left="0" w:leftChars="0" w:firstLine="0" w:firstLineChars="0"/>
        <w:jc w:val="center"/>
        <w:rPr>
          <w:rFonts w:ascii="仿宋" w:hAnsi="仿宋" w:eastAsia="仿宋"/>
          <w:b/>
          <w:bCs/>
          <w:color w:val="auto"/>
          <w:sz w:val="28"/>
          <w:szCs w:val="28"/>
          <w:highlight w:val="none"/>
        </w:rPr>
      </w:pPr>
      <w:bookmarkStart w:id="687" w:name="_Toc24712"/>
      <w:bookmarkStart w:id="688" w:name="_Toc10693"/>
      <w:bookmarkStart w:id="689" w:name="_Toc31667"/>
      <w:bookmarkStart w:id="690" w:name="_Toc21022"/>
      <w:bookmarkStart w:id="691" w:name="_Toc31556"/>
      <w:r>
        <w:rPr>
          <w:rFonts w:hint="eastAsia" w:ascii="仿宋" w:hAnsi="仿宋" w:eastAsia="仿宋"/>
          <w:b/>
          <w:bCs/>
          <w:color w:val="auto"/>
          <w:sz w:val="28"/>
          <w:szCs w:val="28"/>
          <w:highlight w:val="none"/>
          <w:lang w:val="en-US" w:eastAsia="zh-CN"/>
        </w:rPr>
        <w:t>格式4</w:t>
      </w:r>
      <w:r>
        <w:rPr>
          <w:rFonts w:hint="eastAsia" w:ascii="仿宋" w:hAnsi="仿宋" w:eastAsia="仿宋"/>
          <w:b/>
          <w:bCs/>
          <w:color w:val="auto"/>
          <w:sz w:val="28"/>
          <w:szCs w:val="28"/>
          <w:highlight w:val="none"/>
        </w:rPr>
        <w:t>、</w:t>
      </w:r>
      <w:bookmarkEnd w:id="663"/>
      <w:bookmarkEnd w:id="664"/>
      <w:bookmarkEnd w:id="665"/>
      <w:r>
        <w:rPr>
          <w:rFonts w:hint="eastAsia" w:ascii="仿宋" w:hAnsi="仿宋" w:eastAsia="仿宋"/>
          <w:b/>
          <w:bCs/>
          <w:color w:val="auto"/>
          <w:sz w:val="28"/>
          <w:szCs w:val="28"/>
          <w:highlight w:val="none"/>
        </w:rPr>
        <w:t>招标要求的其他资料或投标人认为需要提供的其他</w:t>
      </w:r>
      <w:bookmarkEnd w:id="679"/>
      <w:r>
        <w:rPr>
          <w:rFonts w:hint="eastAsia" w:ascii="仿宋" w:hAnsi="仿宋" w:eastAsia="仿宋"/>
          <w:b/>
          <w:bCs/>
          <w:color w:val="auto"/>
          <w:sz w:val="28"/>
          <w:szCs w:val="28"/>
          <w:highlight w:val="none"/>
        </w:rPr>
        <w:t>资料</w:t>
      </w:r>
      <w:bookmarkEnd w:id="680"/>
      <w:bookmarkEnd w:id="681"/>
      <w:bookmarkEnd w:id="687"/>
      <w:bookmarkEnd w:id="688"/>
      <w:bookmarkEnd w:id="689"/>
      <w:bookmarkEnd w:id="690"/>
      <w:bookmarkEnd w:id="691"/>
    </w:p>
    <w:p w14:paraId="403DEFF7">
      <w:pPr>
        <w:bidi w:val="0"/>
        <w:rPr>
          <w:rFonts w:hint="eastAsia"/>
          <w:color w:val="auto"/>
          <w:highlight w:val="none"/>
        </w:rPr>
      </w:pPr>
    </w:p>
    <w:p w14:paraId="62D84897">
      <w:pPr>
        <w:bidi w:val="0"/>
        <w:rPr>
          <w:rFonts w:hint="eastAsia"/>
          <w:color w:val="auto"/>
          <w:highlight w:val="none"/>
        </w:rPr>
      </w:pPr>
    </w:p>
    <w:p w14:paraId="2B9FE070">
      <w:pPr>
        <w:bidi w:val="0"/>
        <w:rPr>
          <w:rFonts w:hint="eastAsia"/>
          <w:color w:val="auto"/>
          <w:highlight w:val="none"/>
        </w:rPr>
      </w:pPr>
    </w:p>
    <w:p w14:paraId="2E1ECCC3">
      <w:pPr>
        <w:bidi w:val="0"/>
        <w:rPr>
          <w:rFonts w:hint="eastAsia"/>
          <w:color w:val="auto"/>
          <w:highlight w:val="none"/>
        </w:rPr>
      </w:pPr>
    </w:p>
    <w:p w14:paraId="7D82AF1E">
      <w:pPr>
        <w:bidi w:val="0"/>
        <w:rPr>
          <w:rFonts w:hint="eastAsia"/>
          <w:color w:val="auto"/>
          <w:highlight w:val="none"/>
        </w:rPr>
      </w:pPr>
    </w:p>
    <w:p w14:paraId="76545164">
      <w:pPr>
        <w:bidi w:val="0"/>
        <w:rPr>
          <w:rFonts w:hint="eastAsia"/>
          <w:color w:val="auto"/>
          <w:highlight w:val="none"/>
        </w:rPr>
      </w:pPr>
    </w:p>
    <w:p w14:paraId="13815D00">
      <w:pPr>
        <w:bidi w:val="0"/>
        <w:rPr>
          <w:rFonts w:hint="eastAsia"/>
          <w:color w:val="auto"/>
          <w:highlight w:val="none"/>
        </w:rPr>
      </w:pPr>
    </w:p>
    <w:p w14:paraId="758BE31D">
      <w:pPr>
        <w:bidi w:val="0"/>
        <w:rPr>
          <w:rFonts w:hint="eastAsia"/>
          <w:color w:val="auto"/>
          <w:highlight w:val="none"/>
        </w:rPr>
      </w:pPr>
    </w:p>
    <w:p w14:paraId="6DF33EFF">
      <w:pPr>
        <w:bidi w:val="0"/>
        <w:rPr>
          <w:rFonts w:hint="eastAsia"/>
          <w:color w:val="auto"/>
          <w:highlight w:val="none"/>
        </w:rPr>
      </w:pPr>
    </w:p>
    <w:p w14:paraId="2982FDE0">
      <w:pPr>
        <w:bidi w:val="0"/>
        <w:rPr>
          <w:rFonts w:hint="eastAsia"/>
          <w:color w:val="auto"/>
          <w:highlight w:val="none"/>
        </w:rPr>
      </w:pPr>
    </w:p>
    <w:p w14:paraId="511CFE60">
      <w:pPr>
        <w:bidi w:val="0"/>
        <w:rPr>
          <w:rFonts w:hint="eastAsia"/>
          <w:color w:val="auto"/>
          <w:highlight w:val="none"/>
        </w:rPr>
      </w:pPr>
    </w:p>
    <w:p w14:paraId="70C66814">
      <w:pPr>
        <w:bidi w:val="0"/>
        <w:rPr>
          <w:rFonts w:hint="eastAsia"/>
          <w:color w:val="auto"/>
          <w:highlight w:val="none"/>
        </w:rPr>
      </w:pPr>
    </w:p>
    <w:p w14:paraId="537C5221">
      <w:pPr>
        <w:bidi w:val="0"/>
        <w:rPr>
          <w:rFonts w:hint="eastAsia"/>
          <w:color w:val="auto"/>
          <w:highlight w:val="none"/>
        </w:rPr>
      </w:pPr>
    </w:p>
    <w:p w14:paraId="2E7B9623">
      <w:pPr>
        <w:bidi w:val="0"/>
        <w:rPr>
          <w:rFonts w:hint="eastAsia"/>
          <w:color w:val="auto"/>
          <w:highlight w:val="none"/>
        </w:rPr>
      </w:pPr>
    </w:p>
    <w:p w14:paraId="73BF0C7D">
      <w:pPr>
        <w:bidi w:val="0"/>
        <w:rPr>
          <w:rFonts w:hint="eastAsia"/>
          <w:color w:val="auto"/>
          <w:highlight w:val="none"/>
        </w:rPr>
      </w:pPr>
    </w:p>
    <w:p w14:paraId="3BBD0559">
      <w:pPr>
        <w:bidi w:val="0"/>
        <w:rPr>
          <w:rFonts w:hint="eastAsia"/>
          <w:color w:val="auto"/>
          <w:highlight w:val="none"/>
        </w:rPr>
      </w:pPr>
    </w:p>
    <w:p w14:paraId="0A3FE204">
      <w:pPr>
        <w:bidi w:val="0"/>
        <w:rPr>
          <w:rFonts w:hint="eastAsia"/>
          <w:color w:val="auto"/>
          <w:highlight w:val="none"/>
        </w:rPr>
      </w:pPr>
    </w:p>
    <w:p w14:paraId="65A39D25">
      <w:pPr>
        <w:bidi w:val="0"/>
        <w:rPr>
          <w:rFonts w:hint="eastAsia"/>
          <w:color w:val="auto"/>
          <w:highlight w:val="none"/>
        </w:rPr>
      </w:pPr>
    </w:p>
    <w:p w14:paraId="5ACFBE1B">
      <w:pPr>
        <w:bidi w:val="0"/>
        <w:rPr>
          <w:rFonts w:hint="eastAsia"/>
          <w:color w:val="auto"/>
          <w:highlight w:val="none"/>
        </w:rPr>
      </w:pPr>
    </w:p>
    <w:p w14:paraId="533E2812">
      <w:pPr>
        <w:bidi w:val="0"/>
        <w:rPr>
          <w:rFonts w:hint="eastAsia"/>
          <w:color w:val="auto"/>
          <w:highlight w:val="none"/>
        </w:rPr>
      </w:pPr>
    </w:p>
    <w:p w14:paraId="04B5A4AA">
      <w:pPr>
        <w:bidi w:val="0"/>
        <w:rPr>
          <w:rFonts w:hint="eastAsia"/>
          <w:color w:val="auto"/>
          <w:highlight w:val="none"/>
        </w:rPr>
      </w:pPr>
    </w:p>
    <w:p w14:paraId="66ED7E54">
      <w:pPr>
        <w:bidi w:val="0"/>
        <w:rPr>
          <w:rFonts w:hint="eastAsia"/>
          <w:color w:val="auto"/>
          <w:highlight w:val="none"/>
        </w:rPr>
      </w:pPr>
    </w:p>
    <w:p w14:paraId="6D301051">
      <w:pPr>
        <w:pStyle w:val="55"/>
        <w:rPr>
          <w:rFonts w:hint="eastAsia"/>
          <w:color w:val="auto"/>
          <w:highlight w:val="none"/>
        </w:rPr>
      </w:pPr>
    </w:p>
    <w:p w14:paraId="7313C161">
      <w:pPr>
        <w:pStyle w:val="55"/>
        <w:rPr>
          <w:rFonts w:hint="eastAsia"/>
          <w:color w:val="auto"/>
          <w:highlight w:val="none"/>
        </w:rPr>
      </w:pPr>
    </w:p>
    <w:p w14:paraId="50E8A3FA">
      <w:pPr>
        <w:rPr>
          <w:rFonts w:hint="eastAsia"/>
          <w:color w:val="auto"/>
          <w:highlight w:val="none"/>
        </w:rPr>
        <w:sectPr>
          <w:footerReference r:id="rId9" w:type="default"/>
          <w:pgSz w:w="11906" w:h="16838"/>
          <w:pgMar w:top="1440" w:right="1080" w:bottom="1440" w:left="1080" w:header="1020" w:footer="851" w:gutter="0"/>
          <w:pgNumType w:fmt="decimal" w:start="1"/>
          <w:cols w:space="720" w:num="1"/>
          <w:docGrid w:linePitch="331" w:charSpace="0"/>
        </w:sectPr>
      </w:pPr>
      <w:r>
        <w:rPr>
          <w:rFonts w:hint="eastAsia"/>
          <w:color w:val="auto"/>
          <w:highlight w:val="none"/>
        </w:rPr>
        <w:br w:type="page"/>
      </w:r>
    </w:p>
    <w:bookmarkEnd w:id="461"/>
    <w:bookmarkEnd w:id="462"/>
    <w:p w14:paraId="5ED6EBE9">
      <w:pPr>
        <w:widowControl/>
        <w:spacing w:line="360" w:lineRule="auto"/>
        <w:jc w:val="center"/>
        <w:outlineLvl w:val="0"/>
        <w:rPr>
          <w:rFonts w:hint="eastAsia" w:ascii="宋体" w:hAnsi="宋体" w:eastAsia="宋体" w:cs="楷体"/>
          <w:b/>
          <w:color w:val="auto"/>
          <w:kern w:val="0"/>
          <w:sz w:val="36"/>
          <w:szCs w:val="20"/>
          <w:highlight w:val="none"/>
          <w:lang w:val="en-US" w:eastAsia="zh-CN" w:bidi="ar-SA"/>
        </w:rPr>
      </w:pPr>
      <w:bookmarkStart w:id="692" w:name="_Toc18193"/>
      <w:bookmarkStart w:id="693" w:name="_Toc24464"/>
      <w:bookmarkStart w:id="694" w:name="_Toc3399"/>
      <w:bookmarkStart w:id="695" w:name="_Toc22225"/>
      <w:bookmarkStart w:id="696" w:name="_Toc15387"/>
      <w:r>
        <w:rPr>
          <w:rFonts w:hint="eastAsia" w:ascii="宋体" w:hAnsi="宋体" w:eastAsia="宋体" w:cs="楷体"/>
          <w:b/>
          <w:color w:val="auto"/>
          <w:kern w:val="0"/>
          <w:sz w:val="36"/>
          <w:szCs w:val="20"/>
          <w:highlight w:val="none"/>
          <w:lang w:val="en-US" w:eastAsia="zh-CN" w:bidi="ar-SA"/>
        </w:rPr>
        <w:t>第五章 采购需求及技术参数</w:t>
      </w:r>
      <w:bookmarkEnd w:id="692"/>
      <w:bookmarkEnd w:id="693"/>
      <w:bookmarkEnd w:id="694"/>
      <w:bookmarkEnd w:id="695"/>
      <w:bookmarkEnd w:id="696"/>
    </w:p>
    <w:tbl>
      <w:tblPr>
        <w:tblStyle w:val="42"/>
        <w:tblW w:w="14932" w:type="dxa"/>
        <w:tblInd w:w="-2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
        <w:gridCol w:w="900"/>
        <w:gridCol w:w="1241"/>
        <w:gridCol w:w="559"/>
        <w:gridCol w:w="763"/>
        <w:gridCol w:w="969"/>
        <w:gridCol w:w="1213"/>
        <w:gridCol w:w="8823"/>
      </w:tblGrid>
      <w:tr w14:paraId="79CE5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464" w:type="dxa"/>
            <w:noWrap w:val="0"/>
            <w:vAlign w:val="center"/>
          </w:tcPr>
          <w:p w14:paraId="093925F9">
            <w:pPr>
              <w:spacing w:line="360" w:lineRule="auto"/>
              <w:contextualSpacing/>
              <w:jc w:val="center"/>
              <w:rPr>
                <w:rFonts w:hint="default" w:ascii="仿宋" w:hAnsi="仿宋" w:eastAsia="仿宋"/>
                <w:color w:val="auto"/>
                <w:sz w:val="24"/>
                <w:szCs w:val="24"/>
                <w:highlight w:val="none"/>
                <w:vertAlign w:val="baseline"/>
                <w:lang w:val="en-US" w:eastAsia="zh-CN"/>
              </w:rPr>
            </w:pPr>
            <w:bookmarkStart w:id="697" w:name="_Toc250531122"/>
            <w:bookmarkStart w:id="698" w:name="_Toc250531123"/>
            <w:bookmarkStart w:id="699" w:name="_Toc14335"/>
            <w:bookmarkStart w:id="700" w:name="_Toc32109"/>
            <w:r>
              <w:rPr>
                <w:rFonts w:hint="eastAsia" w:ascii="仿宋" w:hAnsi="仿宋" w:eastAsia="仿宋"/>
                <w:color w:val="auto"/>
                <w:sz w:val="24"/>
                <w:szCs w:val="24"/>
                <w:highlight w:val="none"/>
                <w:vertAlign w:val="baseline"/>
                <w:lang w:val="en-US" w:eastAsia="zh-CN"/>
              </w:rPr>
              <w:t>序号</w:t>
            </w:r>
          </w:p>
        </w:tc>
        <w:tc>
          <w:tcPr>
            <w:tcW w:w="900" w:type="dxa"/>
            <w:noWrap w:val="0"/>
            <w:vAlign w:val="center"/>
          </w:tcPr>
          <w:p w14:paraId="61F80BA4">
            <w:pPr>
              <w:spacing w:line="360" w:lineRule="auto"/>
              <w:contextualSpacing/>
              <w:jc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是否接受</w:t>
            </w:r>
          </w:p>
          <w:p w14:paraId="2D0CA18F">
            <w:pPr>
              <w:spacing w:line="360" w:lineRule="auto"/>
              <w:contextualSpacing/>
              <w:jc w:val="center"/>
              <w:rPr>
                <w:rFonts w:hint="default"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进口产品</w:t>
            </w:r>
          </w:p>
        </w:tc>
        <w:tc>
          <w:tcPr>
            <w:tcW w:w="1241" w:type="dxa"/>
            <w:noWrap w:val="0"/>
            <w:vAlign w:val="center"/>
          </w:tcPr>
          <w:p w14:paraId="014A0AF4">
            <w:pPr>
              <w:spacing w:line="360" w:lineRule="auto"/>
              <w:contextualSpacing/>
              <w:jc w:val="center"/>
              <w:rPr>
                <w:rFonts w:hint="default"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货物（产品）名称</w:t>
            </w:r>
          </w:p>
        </w:tc>
        <w:tc>
          <w:tcPr>
            <w:tcW w:w="559" w:type="dxa"/>
            <w:noWrap w:val="0"/>
            <w:vAlign w:val="center"/>
          </w:tcPr>
          <w:p w14:paraId="6C14B600">
            <w:pPr>
              <w:spacing w:line="360" w:lineRule="auto"/>
              <w:contextualSpacing/>
              <w:jc w:val="center"/>
              <w:rPr>
                <w:rFonts w:hint="default"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数量</w:t>
            </w:r>
          </w:p>
        </w:tc>
        <w:tc>
          <w:tcPr>
            <w:tcW w:w="763" w:type="dxa"/>
            <w:noWrap w:val="0"/>
            <w:vAlign w:val="center"/>
          </w:tcPr>
          <w:p w14:paraId="26677A20">
            <w:pPr>
              <w:spacing w:line="360" w:lineRule="auto"/>
              <w:contextualSpacing/>
              <w:jc w:val="center"/>
              <w:rPr>
                <w:rFonts w:hint="default"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计量单位</w:t>
            </w:r>
          </w:p>
        </w:tc>
        <w:tc>
          <w:tcPr>
            <w:tcW w:w="969" w:type="dxa"/>
            <w:noWrap w:val="0"/>
            <w:vAlign w:val="center"/>
          </w:tcPr>
          <w:p w14:paraId="6960C09F">
            <w:pPr>
              <w:spacing w:line="360" w:lineRule="auto"/>
              <w:contextualSpacing/>
              <w:jc w:val="center"/>
              <w:rPr>
                <w:rFonts w:hint="default"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单价（元）</w:t>
            </w:r>
          </w:p>
        </w:tc>
        <w:tc>
          <w:tcPr>
            <w:tcW w:w="1213" w:type="dxa"/>
            <w:noWrap w:val="0"/>
            <w:vAlign w:val="center"/>
          </w:tcPr>
          <w:p w14:paraId="674AC0EA">
            <w:pPr>
              <w:spacing w:line="360" w:lineRule="auto"/>
              <w:contextualSpacing/>
              <w:jc w:val="center"/>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总价</w:t>
            </w:r>
          </w:p>
          <w:p w14:paraId="1ABB13C7">
            <w:pPr>
              <w:spacing w:line="360" w:lineRule="auto"/>
              <w:contextualSpacing/>
              <w:jc w:val="center"/>
              <w:rPr>
                <w:rFonts w:hint="default"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（元）</w:t>
            </w:r>
          </w:p>
        </w:tc>
        <w:tc>
          <w:tcPr>
            <w:tcW w:w="8823" w:type="dxa"/>
            <w:noWrap w:val="0"/>
            <w:vAlign w:val="center"/>
          </w:tcPr>
          <w:p w14:paraId="7F999AED">
            <w:pPr>
              <w:spacing w:line="360" w:lineRule="auto"/>
              <w:contextualSpacing/>
              <w:jc w:val="center"/>
              <w:rPr>
                <w:rFonts w:hint="default"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技术参数</w:t>
            </w:r>
          </w:p>
        </w:tc>
      </w:tr>
      <w:tr w14:paraId="2D1E2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464" w:type="dxa"/>
            <w:noWrap w:val="0"/>
            <w:vAlign w:val="center"/>
          </w:tcPr>
          <w:p w14:paraId="492BD290">
            <w:pPr>
              <w:spacing w:line="360" w:lineRule="auto"/>
              <w:contextualSpacing/>
              <w:jc w:val="center"/>
              <w:rPr>
                <w:rFonts w:hint="default"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1</w:t>
            </w:r>
          </w:p>
        </w:tc>
        <w:tc>
          <w:tcPr>
            <w:tcW w:w="900" w:type="dxa"/>
            <w:noWrap w:val="0"/>
            <w:vAlign w:val="center"/>
          </w:tcPr>
          <w:p w14:paraId="084897A2">
            <w:pPr>
              <w:spacing w:line="360" w:lineRule="auto"/>
              <w:contextualSpacing/>
              <w:jc w:val="center"/>
              <w:rPr>
                <w:rFonts w:hint="default"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否</w:t>
            </w:r>
          </w:p>
        </w:tc>
        <w:tc>
          <w:tcPr>
            <w:tcW w:w="1241" w:type="dxa"/>
            <w:noWrap w:val="0"/>
            <w:vAlign w:val="center"/>
          </w:tcPr>
          <w:p w14:paraId="612A5333">
            <w:pPr>
              <w:spacing w:line="360" w:lineRule="auto"/>
              <w:contextualSpacing/>
              <w:jc w:val="center"/>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中控主机</w:t>
            </w:r>
          </w:p>
        </w:tc>
        <w:tc>
          <w:tcPr>
            <w:tcW w:w="559" w:type="dxa"/>
            <w:noWrap w:val="0"/>
            <w:vAlign w:val="center"/>
          </w:tcPr>
          <w:p w14:paraId="6D6DC07F">
            <w:pPr>
              <w:spacing w:line="360" w:lineRule="auto"/>
              <w:contextualSpacing/>
              <w:jc w:val="center"/>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w:t>
            </w:r>
          </w:p>
        </w:tc>
        <w:tc>
          <w:tcPr>
            <w:tcW w:w="763" w:type="dxa"/>
            <w:noWrap w:val="0"/>
            <w:vAlign w:val="center"/>
          </w:tcPr>
          <w:p w14:paraId="00703909">
            <w:pPr>
              <w:spacing w:line="360" w:lineRule="auto"/>
              <w:contextualSpacing/>
              <w:jc w:val="center"/>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台</w:t>
            </w:r>
          </w:p>
        </w:tc>
        <w:tc>
          <w:tcPr>
            <w:tcW w:w="969" w:type="dxa"/>
            <w:noWrap w:val="0"/>
            <w:vAlign w:val="center"/>
          </w:tcPr>
          <w:p w14:paraId="2E1F1AE6">
            <w:pPr>
              <w:spacing w:line="360" w:lineRule="auto"/>
              <w:contextualSpacing/>
              <w:jc w:val="center"/>
              <w:rPr>
                <w:rFonts w:hint="default"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4890</w:t>
            </w:r>
          </w:p>
        </w:tc>
        <w:tc>
          <w:tcPr>
            <w:tcW w:w="1213" w:type="dxa"/>
            <w:noWrap w:val="0"/>
            <w:vAlign w:val="center"/>
          </w:tcPr>
          <w:p w14:paraId="4374441D">
            <w:pPr>
              <w:spacing w:line="360" w:lineRule="auto"/>
              <w:contextualSpacing/>
              <w:jc w:val="center"/>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4890</w:t>
            </w:r>
          </w:p>
        </w:tc>
        <w:tc>
          <w:tcPr>
            <w:tcW w:w="8823" w:type="dxa"/>
            <w:noWrap w:val="0"/>
            <w:vAlign w:val="center"/>
          </w:tcPr>
          <w:p w14:paraId="19C2C3C6">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1.机身高度不超过1U。</w:t>
            </w:r>
          </w:p>
          <w:p w14:paraId="23BE3E8C">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2.整身采用全金属外壳设计。</w:t>
            </w:r>
          </w:p>
          <w:p w14:paraId="777E0D31">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3.采用超静音无风扇设计。</w:t>
            </w:r>
          </w:p>
          <w:p w14:paraId="251F43BA">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4.主机正面面板具备≥4颗指示灯，可实时查看主机的网络状态、串口通讯状态、时序电源工作状态，总电源状态；</w:t>
            </w:r>
          </w:p>
          <w:p w14:paraId="694B5C57">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5.支持HDMI矩阵功能，HDMI视频输入接口≥4个，HDMI输出接口≥4个，HDMI输入输出分辨率均不低于4K@30Hz。</w:t>
            </w:r>
          </w:p>
          <w:p w14:paraId="5AEFC55E">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6.HDMI支持音视频分离能力，支持HDMI信号内的音频，自动分离到音频模块，方便连接外置功放音箱设备。</w:t>
            </w:r>
          </w:p>
          <w:p w14:paraId="6F058C3F">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7.具备3.5mm音频输入口≥2个，3.5mm音频输出接口≥2个。</w:t>
            </w:r>
          </w:p>
          <w:p w14:paraId="04C1E880">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8.支持音频输入和HDMI音频混音后从音频输出口输出，支持在本地及远程对输出总音量进行调节。</w:t>
            </w:r>
          </w:p>
          <w:p w14:paraId="651D1AAE">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9.具备2路及以上电源控制功能，每路电源具备时序供电、断电管理。</w:t>
            </w:r>
          </w:p>
          <w:p w14:paraId="5EA84B91">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10.支持强电能耗检测，数据上传服务器，实时统计。</w:t>
            </w:r>
          </w:p>
          <w:p w14:paraId="64DE591C">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11.具备1路幕布升降控制电源，采用防脱落电源插口。</w:t>
            </w:r>
          </w:p>
          <w:p w14:paraId="57C254F0">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12.受控电源支持时序供电、延时断电功能，可分别设置受控电源接口的供电、断电顺序及延迟时间，实现投影机、计算机等设备系统正常关机后才切断设备电源，避免强制断电对设备造成损害。</w:t>
            </w:r>
          </w:p>
          <w:p w14:paraId="01E9E371">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13.具备RS232接口≥6个,具备RS485接口≥2个</w:t>
            </w:r>
          </w:p>
          <w:p w14:paraId="668DCD28">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14.USB接口≥2个</w:t>
            </w:r>
          </w:p>
          <w:p w14:paraId="50707188">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15.直流12V/5V供电输出≥1个， IO输入/输出接口≥1个</w:t>
            </w:r>
          </w:p>
          <w:p w14:paraId="66B02613">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16.支持≥1路POE接口，可实现与中控面板的通讯与供电</w:t>
            </w:r>
          </w:p>
          <w:p w14:paraId="4253954B">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17.集成5口千兆交换机，支持划分5路VLAN，支持VLAN ID设置</w:t>
            </w:r>
          </w:p>
        </w:tc>
      </w:tr>
      <w:tr w14:paraId="457C1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464" w:type="dxa"/>
            <w:noWrap w:val="0"/>
            <w:vAlign w:val="center"/>
          </w:tcPr>
          <w:p w14:paraId="11BFDE6C">
            <w:pPr>
              <w:spacing w:line="360" w:lineRule="auto"/>
              <w:contextualSpacing/>
              <w:jc w:val="center"/>
              <w:rPr>
                <w:rFonts w:hint="default"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2</w:t>
            </w:r>
          </w:p>
        </w:tc>
        <w:tc>
          <w:tcPr>
            <w:tcW w:w="900" w:type="dxa"/>
            <w:noWrap w:val="0"/>
            <w:vAlign w:val="center"/>
          </w:tcPr>
          <w:p w14:paraId="00E34731">
            <w:pPr>
              <w:spacing w:line="360" w:lineRule="auto"/>
              <w:contextualSpacing/>
              <w:jc w:val="center"/>
              <w:rPr>
                <w:rFonts w:hint="default"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否</w:t>
            </w:r>
          </w:p>
        </w:tc>
        <w:tc>
          <w:tcPr>
            <w:tcW w:w="1241" w:type="dxa"/>
            <w:noWrap w:val="0"/>
            <w:vAlign w:val="center"/>
          </w:tcPr>
          <w:p w14:paraId="116AE8B8">
            <w:pPr>
              <w:spacing w:line="360" w:lineRule="auto"/>
              <w:contextualSpacing/>
              <w:jc w:val="center"/>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中控面板</w:t>
            </w:r>
          </w:p>
        </w:tc>
        <w:tc>
          <w:tcPr>
            <w:tcW w:w="559" w:type="dxa"/>
            <w:noWrap w:val="0"/>
            <w:vAlign w:val="center"/>
          </w:tcPr>
          <w:p w14:paraId="20A5630B">
            <w:pPr>
              <w:spacing w:line="360" w:lineRule="auto"/>
              <w:contextualSpacing/>
              <w:jc w:val="center"/>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w:t>
            </w:r>
          </w:p>
        </w:tc>
        <w:tc>
          <w:tcPr>
            <w:tcW w:w="763" w:type="dxa"/>
            <w:noWrap w:val="0"/>
            <w:vAlign w:val="center"/>
          </w:tcPr>
          <w:p w14:paraId="618C2686">
            <w:pPr>
              <w:spacing w:line="360" w:lineRule="auto"/>
              <w:contextualSpacing/>
              <w:jc w:val="center"/>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台</w:t>
            </w:r>
          </w:p>
        </w:tc>
        <w:tc>
          <w:tcPr>
            <w:tcW w:w="969" w:type="dxa"/>
            <w:noWrap w:val="0"/>
            <w:vAlign w:val="center"/>
          </w:tcPr>
          <w:p w14:paraId="6C862512">
            <w:pPr>
              <w:spacing w:line="360" w:lineRule="auto"/>
              <w:contextualSpacing/>
              <w:jc w:val="center"/>
              <w:rPr>
                <w:rFonts w:hint="default"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5890</w:t>
            </w:r>
          </w:p>
        </w:tc>
        <w:tc>
          <w:tcPr>
            <w:tcW w:w="1213" w:type="dxa"/>
            <w:noWrap w:val="0"/>
            <w:vAlign w:val="center"/>
          </w:tcPr>
          <w:p w14:paraId="58C29391">
            <w:pPr>
              <w:spacing w:line="360" w:lineRule="auto"/>
              <w:contextualSpacing/>
              <w:jc w:val="center"/>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5890</w:t>
            </w:r>
          </w:p>
        </w:tc>
        <w:tc>
          <w:tcPr>
            <w:tcW w:w="8823" w:type="dxa"/>
            <w:noWrap w:val="0"/>
            <w:vAlign w:val="center"/>
          </w:tcPr>
          <w:p w14:paraId="66C1D093">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1.采用10.1英寸电容显示屏，全贴合工艺，支持10点触控，屏幕分辨率≥1920*1200</w:t>
            </w:r>
          </w:p>
          <w:p w14:paraId="79426B13">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2.▲整机CPU≥4核，最高主频≥1.8G,Linux系统，内存≥2GB,存储容量≥32GB。（提供检测机构出具的检测报告复印件）</w:t>
            </w:r>
          </w:p>
          <w:p w14:paraId="3F009157">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3.内置IC卡刷卡器，ISO/IEC 14443 A and B, FeliCa™，支持通过IC卡刷卡方式实现设备管控权限。</w:t>
            </w:r>
          </w:p>
          <w:p w14:paraId="667C750A">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4.内置高灵敏度全向麦克风，拾音距离不小于1米，用于报修语音通话功能。</w:t>
            </w:r>
          </w:p>
          <w:p w14:paraId="5646465B">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5.整机接口：RS232≥2个,DC2.0≥1个,Type-C≥1个,RJ45(带POE功能)≥1个。</w:t>
            </w:r>
          </w:p>
          <w:p w14:paraId="4EEE7802">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6.支持UI定制，可适配学校现有物联网平台控制界面。</w:t>
            </w:r>
          </w:p>
          <w:p w14:paraId="53A02CE1">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7.▲情景模式可配置需要开启或关闭与中控系统连接的设备，可配置≥4种上课情景模式，≥1种下课情景模式，实现不同授课模式的快捷上下课操作。（提供检测机构出具的检测报告复印件）</w:t>
            </w:r>
          </w:p>
          <w:p w14:paraId="2B06818D">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8.▲支持通过网络方式与小组互动软件系统进行连接，实现小组互动功能管控，包括投屏、广播和分享等功能。（提供检测机构出具的检测报告复印件）</w:t>
            </w:r>
          </w:p>
        </w:tc>
      </w:tr>
      <w:tr w14:paraId="508B1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464" w:type="dxa"/>
            <w:noWrap w:val="0"/>
            <w:vAlign w:val="center"/>
          </w:tcPr>
          <w:p w14:paraId="4DFB515D">
            <w:pPr>
              <w:spacing w:line="360" w:lineRule="auto"/>
              <w:contextualSpacing/>
              <w:jc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3</w:t>
            </w:r>
          </w:p>
        </w:tc>
        <w:tc>
          <w:tcPr>
            <w:tcW w:w="900" w:type="dxa"/>
            <w:noWrap w:val="0"/>
            <w:vAlign w:val="center"/>
          </w:tcPr>
          <w:p w14:paraId="496FF10C">
            <w:pPr>
              <w:spacing w:line="360" w:lineRule="auto"/>
              <w:contextualSpacing/>
              <w:jc w:val="center"/>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否</w:t>
            </w:r>
          </w:p>
        </w:tc>
        <w:tc>
          <w:tcPr>
            <w:tcW w:w="1241" w:type="dxa"/>
            <w:noWrap w:val="0"/>
            <w:vAlign w:val="center"/>
          </w:tcPr>
          <w:p w14:paraId="2D253278">
            <w:pPr>
              <w:spacing w:line="360" w:lineRule="auto"/>
              <w:contextualSpacing/>
              <w:jc w:val="center"/>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精品录播主机</w:t>
            </w:r>
          </w:p>
        </w:tc>
        <w:tc>
          <w:tcPr>
            <w:tcW w:w="559" w:type="dxa"/>
            <w:noWrap w:val="0"/>
            <w:vAlign w:val="center"/>
          </w:tcPr>
          <w:p w14:paraId="2B26482B">
            <w:pPr>
              <w:keepNext w:val="0"/>
              <w:keepLines w:val="0"/>
              <w:widowControl/>
              <w:suppressLineNumbers w:val="0"/>
              <w:jc w:val="center"/>
              <w:textAlignment w:val="center"/>
              <w:rPr>
                <w:rFonts w:hint="eastAsia" w:ascii="仿宋" w:hAnsi="仿宋" w:eastAsia="仿宋" w:cs="Times New Roman"/>
                <w:color w:val="auto"/>
                <w:sz w:val="24"/>
                <w:szCs w:val="24"/>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763" w:type="dxa"/>
            <w:noWrap w:val="0"/>
            <w:vAlign w:val="center"/>
          </w:tcPr>
          <w:p w14:paraId="01F39DD1">
            <w:pPr>
              <w:keepNext w:val="0"/>
              <w:keepLines w:val="0"/>
              <w:widowControl/>
              <w:suppressLineNumbers w:val="0"/>
              <w:jc w:val="center"/>
              <w:textAlignment w:val="center"/>
              <w:rPr>
                <w:rFonts w:hint="eastAsia" w:ascii="仿宋" w:hAnsi="仿宋" w:eastAsia="仿宋" w:cs="Times New Roman"/>
                <w:color w:val="auto"/>
                <w:sz w:val="24"/>
                <w:szCs w:val="24"/>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套</w:t>
            </w:r>
          </w:p>
        </w:tc>
        <w:tc>
          <w:tcPr>
            <w:tcW w:w="969" w:type="dxa"/>
            <w:noWrap w:val="0"/>
            <w:vAlign w:val="center"/>
          </w:tcPr>
          <w:p w14:paraId="562EE83E">
            <w:pPr>
              <w:keepNext w:val="0"/>
              <w:keepLines w:val="0"/>
              <w:widowControl/>
              <w:suppressLineNumbers w:val="0"/>
              <w:jc w:val="center"/>
              <w:textAlignment w:val="center"/>
              <w:rPr>
                <w:rFonts w:hint="eastAsia" w:ascii="仿宋" w:hAnsi="仿宋" w:eastAsia="仿宋" w:cs="Times New Roman"/>
                <w:color w:val="auto"/>
                <w:sz w:val="24"/>
                <w:szCs w:val="24"/>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6285</w:t>
            </w:r>
          </w:p>
        </w:tc>
        <w:tc>
          <w:tcPr>
            <w:tcW w:w="1213" w:type="dxa"/>
            <w:noWrap w:val="0"/>
            <w:vAlign w:val="center"/>
          </w:tcPr>
          <w:p w14:paraId="632BCED8">
            <w:pPr>
              <w:keepNext w:val="0"/>
              <w:keepLines w:val="0"/>
              <w:widowControl/>
              <w:suppressLineNumbers w:val="0"/>
              <w:jc w:val="center"/>
              <w:textAlignment w:val="center"/>
              <w:rPr>
                <w:rFonts w:hint="eastAsia" w:ascii="仿宋" w:hAnsi="仿宋" w:eastAsia="仿宋" w:cs="Times New Roman"/>
                <w:color w:val="auto"/>
                <w:sz w:val="24"/>
                <w:szCs w:val="24"/>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6285</w:t>
            </w:r>
          </w:p>
        </w:tc>
        <w:tc>
          <w:tcPr>
            <w:tcW w:w="8823" w:type="dxa"/>
            <w:noWrap w:val="0"/>
            <w:vAlign w:val="center"/>
          </w:tcPr>
          <w:p w14:paraId="3F11D1DC">
            <w:pPr>
              <w:spacing w:line="360" w:lineRule="auto"/>
              <w:contextualSpacing/>
              <w:jc w:val="left"/>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1.为保证系统整体编解码性能及使用稳定性，主机需采用≥3颗ARM架构处理器，主处理器采用8核架构，2颗协处理均采用4核架构。（提供权威机构出具的检测报告并加盖生产厂家公章）</w:t>
            </w:r>
          </w:p>
          <w:p w14:paraId="105827B9">
            <w:pPr>
              <w:spacing w:line="360" w:lineRule="auto"/>
              <w:contextualSpacing/>
              <w:jc w:val="left"/>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2.▲为保证不影响授课，主机无风扇设计，主机噪声小于20dB（A）。（提供权威机构出具的检测报告并加盖生产厂家公章）</w:t>
            </w:r>
          </w:p>
          <w:p w14:paraId="0292AB96">
            <w:pPr>
              <w:spacing w:line="360" w:lineRule="auto"/>
              <w:contextualSpacing/>
              <w:jc w:val="left"/>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3.主机存储容量不低于1TB。</w:t>
            </w:r>
          </w:p>
          <w:p w14:paraId="3B166F29">
            <w:pPr>
              <w:spacing w:line="360" w:lineRule="auto"/>
              <w:contextualSpacing/>
              <w:jc w:val="left"/>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4.内置蓝牙无线物联模块，主机无需线缆就可以实现对同品牌音箱的音量控制，也可通过同品牌讲台实现对主机开关机控制。（提供权威机构出具的检测报告并加盖生产厂家公章）</w:t>
            </w:r>
          </w:p>
          <w:p w14:paraId="1F2E9784">
            <w:pPr>
              <w:spacing w:line="360" w:lineRule="auto"/>
              <w:contextualSpacing/>
              <w:jc w:val="left"/>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5.▲支持标准USB音视频信号输出，通过主机TypeC接口可以实现图像和声音同步输出，最大支持4K图像输出，输出音频可通过主机控制软件实现混音，兼容主流视频会议软件。（提供权威机构出具的检测报告并加盖生产厂家公章）</w:t>
            </w:r>
          </w:p>
          <w:p w14:paraId="6920E8E4">
            <w:pPr>
              <w:spacing w:line="360" w:lineRule="auto"/>
              <w:contextualSpacing/>
              <w:jc w:val="left"/>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6.主机采用高度集成化设计，能够独立完成视频采集、音频采集、音频编码、视频编码、音频处理、视频处理表、直播、录制、互动、专业导播、远程运维参数设置功能。</w:t>
            </w:r>
          </w:p>
          <w:p w14:paraId="044AC01F">
            <w:pPr>
              <w:spacing w:line="360" w:lineRule="auto"/>
              <w:contextualSpacing/>
              <w:jc w:val="left"/>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7.▲支持断电扩声，在主机完全断电的情况下，从主机线性音频通道上输入的音频可以从主机输出通道输出，且≥2个音频输入通道可以支持该功能，满足全场景的教学使用需求。（提供权威机构出具的检测报告并加盖生产厂家公章）</w:t>
            </w:r>
          </w:p>
          <w:p w14:paraId="0A314E11">
            <w:pPr>
              <w:spacing w:line="360" w:lineRule="auto"/>
              <w:contextualSpacing/>
              <w:jc w:val="left"/>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8.支持≥2个HDMI高清采集接口，支持分辨率包含：3840×2160p@30Hz、1920×1080p@60Hz、1920×1080p@30Hz、1680×1050p@30Hz、1600×900p@30Hz、1400×1050p@30fps、1280×1024p@30Hz、1280×1024p@60Hz、1280×960p@30Hz、1280×800p@30Hz、1280×720p@60Hz、1280×720p@30Hz、720×480p@60Hz、640×480p@30Hz 。（提供权威机构出具的检测报告并加盖生产厂家公章）</w:t>
            </w:r>
          </w:p>
          <w:p w14:paraId="37EFE0FF">
            <w:pPr>
              <w:spacing w:line="360" w:lineRule="auto"/>
              <w:contextualSpacing/>
              <w:jc w:val="left"/>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9.▲支持≥4路高清视频输出，视频输出可同一时间输出不同视频源，且输出最大分辨率均可达到4K，其中HDMI信号输出≥3路且UVC视频输出≥1路。（提供权威机构出具的检测报告并加盖生产厂家公章）</w:t>
            </w:r>
          </w:p>
          <w:p w14:paraId="3F79965F">
            <w:pPr>
              <w:spacing w:line="360" w:lineRule="auto"/>
              <w:contextualSpacing/>
              <w:jc w:val="left"/>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10.支持≥1个阵列麦克风输入接口，可在不接入音频处理器的情况下，通过网线就可以完成≥8个阵列麦克风接入主机，通过网线可以实现≥8麦克风的供电、音频信号传输、音频参数设置，支持无损数字音频传输。（提供权威机构出具的检测报告并加盖生产厂家公章）</w:t>
            </w:r>
          </w:p>
          <w:p w14:paraId="1F3FBF18">
            <w:pPr>
              <w:spacing w:line="360" w:lineRule="auto"/>
              <w:contextualSpacing/>
              <w:jc w:val="left"/>
              <w:rPr>
                <w:rFonts w:hint="eastAsia"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11.▲支持≥32 路 1080p@30fps 编/解码。（提供权威机构出具的检测报告并加盖生产厂家公章）</w:t>
            </w:r>
          </w:p>
          <w:p w14:paraId="71075A4B">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12.支持录制清晰度设定，支持可选择4K、1080p、720p、VGA、QVGA；支持录制帧率设定，可选择 25fps/30fps/60fps；支持录制画质选择，可选择≥5种等级；录制编码码率≥16Mbps。</w:t>
            </w:r>
          </w:p>
        </w:tc>
      </w:tr>
      <w:tr w14:paraId="2FA94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464" w:type="dxa"/>
            <w:noWrap w:val="0"/>
            <w:vAlign w:val="center"/>
          </w:tcPr>
          <w:p w14:paraId="1A671B8D">
            <w:pPr>
              <w:spacing w:line="360" w:lineRule="auto"/>
              <w:contextualSpacing/>
              <w:jc w:val="center"/>
              <w:rPr>
                <w:rFonts w:hint="default"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4</w:t>
            </w:r>
          </w:p>
        </w:tc>
        <w:tc>
          <w:tcPr>
            <w:tcW w:w="900" w:type="dxa"/>
            <w:noWrap w:val="0"/>
            <w:vAlign w:val="center"/>
          </w:tcPr>
          <w:p w14:paraId="5F9417AB">
            <w:pPr>
              <w:spacing w:line="360" w:lineRule="auto"/>
              <w:contextualSpacing/>
              <w:jc w:val="center"/>
              <w:rPr>
                <w:rFonts w:hint="default"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否</w:t>
            </w:r>
          </w:p>
        </w:tc>
        <w:tc>
          <w:tcPr>
            <w:tcW w:w="1241" w:type="dxa"/>
            <w:noWrap w:val="0"/>
            <w:vAlign w:val="center"/>
          </w:tcPr>
          <w:p w14:paraId="20B37256">
            <w:pPr>
              <w:spacing w:line="360" w:lineRule="auto"/>
              <w:contextualSpacing/>
              <w:jc w:val="center"/>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精品录播流媒体控制处理系统</w:t>
            </w:r>
          </w:p>
        </w:tc>
        <w:tc>
          <w:tcPr>
            <w:tcW w:w="559" w:type="dxa"/>
            <w:noWrap w:val="0"/>
            <w:vAlign w:val="center"/>
          </w:tcPr>
          <w:p w14:paraId="68FA0224">
            <w:pPr>
              <w:spacing w:line="360" w:lineRule="auto"/>
              <w:contextualSpacing/>
              <w:jc w:val="center"/>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w:t>
            </w:r>
          </w:p>
        </w:tc>
        <w:tc>
          <w:tcPr>
            <w:tcW w:w="763" w:type="dxa"/>
            <w:noWrap w:val="0"/>
            <w:vAlign w:val="center"/>
          </w:tcPr>
          <w:p w14:paraId="234CC0ED">
            <w:pPr>
              <w:spacing w:line="360" w:lineRule="auto"/>
              <w:contextualSpacing/>
              <w:jc w:val="center"/>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台</w:t>
            </w:r>
          </w:p>
        </w:tc>
        <w:tc>
          <w:tcPr>
            <w:tcW w:w="969" w:type="dxa"/>
            <w:noWrap w:val="0"/>
            <w:vAlign w:val="center"/>
          </w:tcPr>
          <w:p w14:paraId="7D1F9B04">
            <w:pPr>
              <w:spacing w:line="360" w:lineRule="auto"/>
              <w:contextualSpacing/>
              <w:jc w:val="center"/>
              <w:rPr>
                <w:rFonts w:hint="default"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5860</w:t>
            </w:r>
          </w:p>
        </w:tc>
        <w:tc>
          <w:tcPr>
            <w:tcW w:w="1213" w:type="dxa"/>
            <w:noWrap w:val="0"/>
            <w:vAlign w:val="center"/>
          </w:tcPr>
          <w:p w14:paraId="009CA53D">
            <w:pPr>
              <w:spacing w:line="360" w:lineRule="auto"/>
              <w:contextualSpacing/>
              <w:jc w:val="center"/>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5860</w:t>
            </w:r>
          </w:p>
        </w:tc>
        <w:tc>
          <w:tcPr>
            <w:tcW w:w="8823" w:type="dxa"/>
            <w:noWrap w:val="0"/>
            <w:vAlign w:val="center"/>
          </w:tcPr>
          <w:p w14:paraId="09061664">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支持互动清晰度设置，分辨率可设置1080P、720P。支持互动清晰度自定义设置，可设置分辨率为1080P、720P、VGA、QVGA，可设置帧率为60、30、25FPS，可设置画质≥4种档位，可设置码率为静态码率、动态码率。设置后可显示对应码流大小。</w:t>
            </w:r>
          </w:p>
          <w:p w14:paraId="6B25D718">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2.支持互动清晰度自适应，在互动时根据网络情况选择最优清晰度。</w:t>
            </w:r>
          </w:p>
          <w:p w14:paraId="04B60B28">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3.▲支持设置主机互动模式，可选择开启或关闭互动双流设置，开启后可选择第二路流的画面，支持≥6个画面选择。画面设置支持开启或关闭直播推流CDN设置，开启后可选择推流画面，支持≥7个画面选择。（该检测项需在CMA和CNAS认证的检测范围内，提供具有CNAS及CMA标识的检测机构出具的检测报告复印件并加盖公章）</w:t>
            </w:r>
          </w:p>
          <w:p w14:paraId="45A0AD49">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4.支持互动协议设置，可设置主机视频通信协议，协议支持添加及参数修改。支持设置云服务器地址，可选择公有服务器或私有服务器。</w:t>
            </w:r>
          </w:p>
          <w:p w14:paraId="52FB63B3">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5.支持互动状态下的导播模式设置，可设置手动、半自动、全自动导播模式；支持选择互动状态下的录制画面设置，可选择≥7路画面进行录制。</w:t>
            </w:r>
          </w:p>
          <w:p w14:paraId="34730DB5">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6.支持"1+3+直播接入"的互动授课模式，可接入1个主讲教室、3个互动教室和直播听课教室。</w:t>
            </w:r>
          </w:p>
          <w:p w14:paraId="29BCEFFC">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7.支持选择自动开启直播，开始上课后将显示直播中。</w:t>
            </w:r>
          </w:p>
          <w:p w14:paraId="5FEE8D24">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8.▲支持登录状态自动提示。开始上课时如主机为未登录状态，系统自动提示使用微信扫码登录，登录后显示用户头像和用户名；如是已登录状态，系统自动创建并进入互动课堂，并自动开启录制。（该检测项需在CMA和CNAS认证的检测范围内，提供具有CNAS及CMA标识的检测机构出具的检测报告复印件并加盖公章）</w:t>
            </w:r>
          </w:p>
          <w:p w14:paraId="3C2C980B">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9.开始上课后，主讲端将被授予“主持”权限，并自动开启麦克风。主讲端可切换导播模式或画面；将自己进行移至台上或移至台下的操作，将画面设置为主画面显示及全屏显示，并可将广播画面给所有人。</w:t>
            </w:r>
          </w:p>
          <w:p w14:paraId="52B45D7D">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10.支持≥4个成员同时开麦和上台。</w:t>
            </w:r>
          </w:p>
          <w:p w14:paraId="7D7F12D9">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11.支持听讲端申请开麦发言，申请后主讲端可提醒该发言申请，主讲端通过后听讲端声音即可被主讲端听到。</w:t>
            </w:r>
          </w:p>
          <w:p w14:paraId="5C630EA1">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12.支持主讲端进行成员管理，可设置成员权限，将成员进行移至台上或移至台下的操作。移至台上后将自动显示该成员视频画面，并可进行全屏显示，或广播画面给所有人。</w:t>
            </w:r>
          </w:p>
          <w:p w14:paraId="7BEBEE0E">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13.支持发送发言邀请，主讲端可对成员发出发言邀请，发出后听课端将受到邀请信息，可选择同意或拒绝发言。</w:t>
            </w:r>
          </w:p>
          <w:p w14:paraId="69929A7F">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14.支持主讲端切换成员角色，可将成员角色设置为授课老师，或设置为学生。设置为授课老师后，该成员可自主获得开关麦、切换画面、共享课件等功能权限。</w:t>
            </w:r>
          </w:p>
          <w:p w14:paraId="41F7AE3E">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15.支持≥2种邀请模式。支持通过手机号进行邀请，可同时邀请多人，如听课端不在线则提示邀请失败。支持通过自动生成的房间号进行邀请，房间号≤8位数。支持通过手机扫描二维码，进入互动课堂。</w:t>
            </w:r>
          </w:p>
          <w:p w14:paraId="7992C8A1">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16. 支持共享画面设置。主讲端可开启电脑画面、课件和白板共享。如电脑画面无信号将无法开启共享。</w:t>
            </w:r>
          </w:p>
          <w:p w14:paraId="57A68FC2">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17.支持≥2种画面布局设置。可设置为一大多小的经典模式或同等大小的均衡模式。</w:t>
            </w:r>
          </w:p>
          <w:p w14:paraId="7F0692F7">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18.▲支持互动过程中，进行性能监控，可监控网络丢包率、上行带宽、下行带宽、最大虚拟内存、当前虚拟内存、当前物理内存、当前句柄数量、当前进程数量、当前CPU使用率。（该检测项需在CMA和CNAS认证的检测范围内，提供具有CNAS及CMA标识的检测机构出具的检测报告复印件并加盖公章）</w:t>
            </w:r>
          </w:p>
          <w:p w14:paraId="14843017">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19.▲支持互动过程中，进行推流质量查看。可查看视频分辨率、视频质量、延时、丢包率、视频帧率、视频码率、音频帧率、音频码率。（该检测项需在CMA和CNAS认证的检测范围内，提供具有CNAS及CMA标识的检测机构出具的检测报告复印件并加盖公章）</w:t>
            </w:r>
          </w:p>
          <w:p w14:paraId="6AEDAB2B">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20.支持在系统总丢包率 50%的网络环境下，视频清晰流畅无卡顿，语音连贯。</w:t>
            </w:r>
          </w:p>
          <w:p w14:paraId="57944EA8">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21.支持双向互动过程中，实现1080P@60fps视频双向互动。</w:t>
            </w:r>
          </w:p>
          <w:p w14:paraId="79F9D081">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22.支持导播设置向导，可通过提示进行下一步操作。</w:t>
            </w:r>
          </w:p>
          <w:p w14:paraId="49EBACEF">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23.支持≥5种跟踪模式设置。</w:t>
            </w:r>
          </w:p>
          <w:p w14:paraId="21D758A5">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24.▲支持教师端跟踪区域、快照区域、板书区域、屏蔽区域设置，勾选后可通过鼠标绘制对应区域，不同区域通过不同颜色画框展现。支持智能检测，系统可自动框选跟踪区域，快速清除快照区域，调用相机配置，自动确定跟踪区域。（该检测项需在CMA和CNAS认证的检测范围内，提供具有CNAS及CMA标识的检测机构出具的检测报告复印件并加盖公章）</w:t>
            </w:r>
          </w:p>
          <w:p w14:paraId="7AE4A729">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25.▲支持教师端预置位设置，可通过按钮实现镜头的上下左右转动、拉近拉远，并设定≥6个摄像机预置位。支持自动识别黑板全景位及讲台位置。（该检测项需在CMA和CNAS认证的检测范围内，提供具有CNAS及CMA标识的检测机构出具的检测报告复印件并加盖公章）</w:t>
            </w:r>
          </w:p>
          <w:p w14:paraId="2ED3A6A5">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26.支持教师端选择目标丢失时切换的画面，支持≥4个画面可选。支持多目标动作时切换画面设置，支持≥2个画面可选。</w:t>
            </w:r>
          </w:p>
          <w:p w14:paraId="28B64441">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27.支持教师端云台速度等级设置，速度等级从0～10可调。</w:t>
            </w:r>
          </w:p>
          <w:p w14:paraId="26103B99">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28.支持教师端开启身高自适应功能，开启后将根据目标高度自动调节特写高度。</w:t>
            </w:r>
          </w:p>
          <w:p w14:paraId="38E42F85">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29.支持教师端开启特写人形跟踪功能。</w:t>
            </w:r>
          </w:p>
          <w:p w14:paraId="7CE410C2">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30.支持开启板书功能，并设置板书检测时间及板书保持时间。板书检测时间从0～15秒可调，板书保持时间从0～30秒可调。</w:t>
            </w:r>
          </w:p>
          <w:p w14:paraId="00BAE042">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31.支持学生端跟踪区域、屏蔽区域设置，勾选后可通过鼠标绘制对应区域，不同区域通过不同颜色画框展现。</w:t>
            </w:r>
          </w:p>
          <w:p w14:paraId="35844C3D">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32.支持学生端预置位设置，可通过按钮实现镜头的上下左右转动、拉近拉远，并设定2个摄像机预置位。</w:t>
            </w:r>
          </w:p>
          <w:p w14:paraId="0AEBF162">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33.支持学生端选择目标丢失时切换的画面，支持≥2个画面可选，丢失动作延时0～15秒可调。支持多目标动作时切换画面设置，支持≥2个画面可选。</w:t>
            </w:r>
          </w:p>
          <w:p w14:paraId="0E94251F">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34.▲支持学生端开启人脸检测，开启后将通过人脸判定跟踪目标是否需要切换特写。（该检测项需在CMA和CNAS认证的检测范围内，提供具有CNAS及CMA标识的检测机构出具的检测报告复印件并加盖公章）</w:t>
            </w:r>
          </w:p>
          <w:p w14:paraId="4AD43D06">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35.支持开启开机跟踪功能；支持开启或停止跟踪功能。</w:t>
            </w:r>
          </w:p>
          <w:p w14:paraId="0DB9D75D">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36.支持导播设置参数备份，可导出保存至调试电脑中。支持导入已备份的参数。</w:t>
            </w:r>
          </w:p>
          <w:p w14:paraId="52A215E7">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37.支持≥2种视频码率控制方式，支持CBR（Constant Bit Rate）、VBR（Variable Bit Rate）。</w:t>
            </w:r>
          </w:p>
          <w:p w14:paraId="3A94A8C9">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38.支持接入POE网络摄像机，可通过RTSP协议接入第三方摄像机视频信号。</w:t>
            </w:r>
          </w:p>
          <w:p w14:paraId="79F429AB">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39.支持≥3种视频编码复杂度，支持Baseline Profile、Main profile、High profile。</w:t>
            </w:r>
          </w:p>
          <w:p w14:paraId="14B71C39">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40.支持设置跟踪屏蔽区域跟踪功能不受屏蔽区域中的目标影响。</w:t>
            </w:r>
          </w:p>
          <w:p w14:paraId="3CD05503">
            <w:pPr>
              <w:spacing w:line="360" w:lineRule="auto"/>
              <w:contextualSpacing/>
              <w:jc w:val="left"/>
              <w:rPr>
                <w:rFonts w:hint="eastAsia" w:ascii="仿宋" w:hAnsi="仿宋" w:eastAsia="仿宋"/>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41.支持老师特写和全景画面切换跟踪，支持学生起立回答问题特写跟踪，支持电脑课件信号自动检测跟踪。</w:t>
            </w:r>
          </w:p>
        </w:tc>
      </w:tr>
      <w:tr w14:paraId="4D985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464" w:type="dxa"/>
            <w:noWrap w:val="0"/>
            <w:vAlign w:val="center"/>
          </w:tcPr>
          <w:p w14:paraId="211A3FAB">
            <w:pPr>
              <w:spacing w:line="360" w:lineRule="auto"/>
              <w:contextualSpacing/>
              <w:jc w:val="center"/>
              <w:rPr>
                <w:rFonts w:hint="default"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5</w:t>
            </w:r>
          </w:p>
        </w:tc>
        <w:tc>
          <w:tcPr>
            <w:tcW w:w="900" w:type="dxa"/>
            <w:noWrap w:val="0"/>
            <w:vAlign w:val="center"/>
          </w:tcPr>
          <w:p w14:paraId="401E20B6">
            <w:pPr>
              <w:spacing w:line="360" w:lineRule="auto"/>
              <w:contextualSpacing/>
              <w:jc w:val="center"/>
              <w:rPr>
                <w:rFonts w:hint="default"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否</w:t>
            </w:r>
          </w:p>
        </w:tc>
        <w:tc>
          <w:tcPr>
            <w:tcW w:w="1241" w:type="dxa"/>
            <w:noWrap w:val="0"/>
            <w:vAlign w:val="center"/>
          </w:tcPr>
          <w:p w14:paraId="474B19D3">
            <w:pPr>
              <w:spacing w:line="360" w:lineRule="auto"/>
              <w:contextualSpacing/>
              <w:jc w:val="center"/>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精品录播导播管理控制系统</w:t>
            </w:r>
          </w:p>
        </w:tc>
        <w:tc>
          <w:tcPr>
            <w:tcW w:w="559" w:type="dxa"/>
            <w:noWrap w:val="0"/>
            <w:vAlign w:val="center"/>
          </w:tcPr>
          <w:p w14:paraId="00F844E7">
            <w:pPr>
              <w:spacing w:line="360" w:lineRule="auto"/>
              <w:contextualSpacing/>
              <w:jc w:val="center"/>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w:t>
            </w:r>
          </w:p>
        </w:tc>
        <w:tc>
          <w:tcPr>
            <w:tcW w:w="763" w:type="dxa"/>
            <w:noWrap w:val="0"/>
            <w:vAlign w:val="center"/>
          </w:tcPr>
          <w:p w14:paraId="6085FCFF">
            <w:pPr>
              <w:spacing w:line="360" w:lineRule="auto"/>
              <w:contextualSpacing/>
              <w:jc w:val="center"/>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套</w:t>
            </w:r>
          </w:p>
        </w:tc>
        <w:tc>
          <w:tcPr>
            <w:tcW w:w="969" w:type="dxa"/>
            <w:noWrap w:val="0"/>
            <w:vAlign w:val="center"/>
          </w:tcPr>
          <w:p w14:paraId="5125FCC9">
            <w:pPr>
              <w:spacing w:line="360" w:lineRule="auto"/>
              <w:contextualSpacing/>
              <w:jc w:val="center"/>
              <w:rPr>
                <w:rFonts w:hint="default"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6180</w:t>
            </w:r>
          </w:p>
        </w:tc>
        <w:tc>
          <w:tcPr>
            <w:tcW w:w="1213" w:type="dxa"/>
            <w:noWrap w:val="0"/>
            <w:vAlign w:val="center"/>
          </w:tcPr>
          <w:p w14:paraId="4EF230B2">
            <w:pPr>
              <w:spacing w:line="360" w:lineRule="auto"/>
              <w:contextualSpacing/>
              <w:jc w:val="center"/>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6180</w:t>
            </w:r>
          </w:p>
        </w:tc>
        <w:tc>
          <w:tcPr>
            <w:tcW w:w="8823" w:type="dxa"/>
            <w:noWrap w:val="0"/>
            <w:vAlign w:val="center"/>
          </w:tcPr>
          <w:p w14:paraId="38283B93">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1.▲支持通过浏览器及电脑应用程序，对主机进行画面切换控制。（该检测项需在CMA和CNAS认证的检测范围内，提供具有CNAS及CMA标识的检测机构出具的检测报告复印件并加盖公章）</w:t>
            </w:r>
          </w:p>
          <w:p w14:paraId="1F936293">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2.支持通过浏览器访问主机，进行视频管理，可对主机中录制的视频进行下载及预览。</w:t>
            </w:r>
          </w:p>
          <w:p w14:paraId="1334B826">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3.支持通过浏览器，设置主机的输入配置，调整麦克风音量及设置摄像机信号。</w:t>
            </w:r>
          </w:p>
          <w:p w14:paraId="50E1BDF8">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4.支持通过浏览器，设置主机录制清晰度、音频码率；设置本地录制画面及互动课录制画面的保存画面；设置直播清晰度、直播GOP、互动清晰度；音频输出音量。</w:t>
            </w:r>
          </w:p>
          <w:p w14:paraId="453879F2">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5.支持通过浏览器，设置≥3种导播模式；设置主机网络ip；设置主机存储空间覆盖模式；查看主机系统、设备、软件等信息。</w:t>
            </w:r>
          </w:p>
          <w:p w14:paraId="00D4E333">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6.▲录制模式支持电影模式、资源模式两种，能同时支持1路电影模式加6路资源录制，实时录制合成画面、教师全景、教师特写、学生全景、学生特写、板书画面、电脑画面。可通过勾选录制对应画面，实现资源模式录制。录制的所有视频均有声音。（该检测项需在CMA和CNAS认证的检测范围内，提供具有CNAS及CMA标识的检测机构出具的检测报告复印件并加盖公章）</w:t>
            </w:r>
          </w:p>
          <w:p w14:paraId="05689786">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7.支持开始录制、暂停录制、停止录制。录制开始后系统自动计时。支持开启直播或关闭直播。</w:t>
            </w:r>
          </w:p>
          <w:p w14:paraId="5671A0C5">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8.支持选择≥3种导播模式，具备手动、半自动、全自动可选。</w:t>
            </w:r>
          </w:p>
          <w:p w14:paraId="6D63DC5E">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9.支持通过鼠标点击切换按钮或双击画面进行画面导播切换。</w:t>
            </w:r>
          </w:p>
          <w:p w14:paraId="3CE48DAF">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10.支持全屏放大预览画面。</w:t>
            </w:r>
          </w:p>
          <w:p w14:paraId="4C09C19D">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11.▲支持≥9种多画面合成布局选择，可自定义选择布局中的画面，选择后自动更新布局种画面的名称。（该检测项需在CMA和CNAS认证的检测范围内，提供具有CNAS及CMA标识的检测机构出具的检测报告复印件并加盖公章）</w:t>
            </w:r>
          </w:p>
          <w:p w14:paraId="5F61F134">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12.▲支持≥16种转场特效的选择。选择对应特效后，切换画面将应用该特效。特效过渡时间0.5～1.5秒可调。（该检测项需在CMA和CNAS认证的检测范围内，提供具有CNAS及CMA标识的检测机构出具的检测报告复印件并加盖公章）</w:t>
            </w:r>
          </w:p>
          <w:p w14:paraId="6C831E1E">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13.▲支持通过U盘导入片头片尾。片头片尾支持≥3种格式导入，包含图片格式及视频格式文件，支持总共导入≥30个大小≥19MB的图片文件及≥190MB的视频文件。导入后支持片头播放/播放并开始录制，可调节图片播放时间为1～10秒任意值。支持批量管理片头片尾，可批量勾选并删除。（该检测项需在CMA和CNAS认证的检测范围内，提供具有CNAS及CMA标识的检测机构出具的检测报告复印件并加盖公章）</w:t>
            </w:r>
          </w:p>
          <w:p w14:paraId="6141BCE8">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14.▲支持通过手机扫码实现字幕输入，可输入≥50个字符。导入后支持显示/隐藏控制，支持拖拽调节字幕任意位置，或通过≥6个预设位置调整字体位置；支持通过≥3个预设字号调整字体大小；支持通过≥5种预设颜色调整字体颜色。支持批量管理字幕，可批量勾选并删除。（该检测项需在CMA和CNAS认证的检测范围内，提供具有CNAS及CMA标识的检测机构出具的检测报告复印件并加盖公章）</w:t>
            </w:r>
          </w:p>
          <w:p w14:paraId="55B68948">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15. 支持通过U盘导入台标。台标支持≥2种图片格式导入，支持总共导入≥30个大小≥19MB的图片文件。导入后支持显示/隐藏控制，支持拖拽调节台标任意位置，或通过≥5个预设位置调整台标位置。支持批量管理台标，可批量勾选并删除。</w:t>
            </w:r>
          </w:p>
          <w:p w14:paraId="2C52F99A">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16.▲支持通过U盘导入背景图片，背景图片支持≥2种图片格式导入，支持总共导入≥30个大小≥19MB的图片文件。导入后支持显示/隐藏控制，控制后可显示效果。支持批量管理背景图片，可批量勾选并删除。（该检测项需在CMA和CNAS认证的检测范围内，提供具有CNAS及CMA标识的检测机构出具的检测报告复印件并加盖公章）</w:t>
            </w:r>
          </w:p>
          <w:p w14:paraId="35CC8C63">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17.▲支持通过触控实现云台摄像机的推拉摇移控制。可通过单击及拖拉两种方式实现摄像机多个方位的转动，触控拖拉支持360度全方位转动；可通过单击及长按两种方式实现摄像机变焦控制，实现画面的放大缩小。支持≥3种云台转动灵敏度设置。（该检测项需在CMA和CNAS认证的检测范围内，提供具有CNAS及CMA标识的检测机构出具的检测报告复印件并加盖公章）</w:t>
            </w:r>
          </w:p>
          <w:p w14:paraId="273248B0">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18.支持可调用≥9个预置位，可设置预置位≥8个。</w:t>
            </w:r>
          </w:p>
          <w:p w14:paraId="683DC25F">
            <w:pPr>
              <w:spacing w:line="360" w:lineRule="auto"/>
              <w:contextualSpacing/>
              <w:jc w:val="left"/>
              <w:rPr>
                <w:rFonts w:hint="eastAsia" w:ascii="仿宋" w:hAnsi="仿宋" w:eastAsia="仿宋"/>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19.支持通过单击预览画面进行画面选择，选中后将框选该画面。支持通过单击画面切换按钮或双击画面进行画面导播切换。</w:t>
            </w:r>
          </w:p>
        </w:tc>
      </w:tr>
      <w:tr w14:paraId="1600F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464" w:type="dxa"/>
            <w:noWrap w:val="0"/>
            <w:vAlign w:val="center"/>
          </w:tcPr>
          <w:p w14:paraId="5D36B43C">
            <w:pPr>
              <w:spacing w:line="360" w:lineRule="auto"/>
              <w:contextualSpacing/>
              <w:jc w:val="center"/>
              <w:rPr>
                <w:rFonts w:hint="default"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6</w:t>
            </w:r>
          </w:p>
        </w:tc>
        <w:tc>
          <w:tcPr>
            <w:tcW w:w="900" w:type="dxa"/>
            <w:noWrap w:val="0"/>
            <w:vAlign w:val="center"/>
          </w:tcPr>
          <w:p w14:paraId="2E278EC5">
            <w:pPr>
              <w:spacing w:line="360" w:lineRule="auto"/>
              <w:contextualSpacing/>
              <w:jc w:val="center"/>
              <w:rPr>
                <w:rFonts w:hint="default"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否</w:t>
            </w:r>
          </w:p>
        </w:tc>
        <w:tc>
          <w:tcPr>
            <w:tcW w:w="1241" w:type="dxa"/>
            <w:noWrap w:val="0"/>
            <w:vAlign w:val="center"/>
          </w:tcPr>
          <w:p w14:paraId="23279327">
            <w:pPr>
              <w:spacing w:line="360" w:lineRule="auto"/>
              <w:contextualSpacing/>
              <w:jc w:val="center"/>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学生定位摄像机</w:t>
            </w:r>
          </w:p>
        </w:tc>
        <w:tc>
          <w:tcPr>
            <w:tcW w:w="559" w:type="dxa"/>
            <w:noWrap w:val="0"/>
            <w:vAlign w:val="center"/>
          </w:tcPr>
          <w:p w14:paraId="1FF9FEE3">
            <w:pPr>
              <w:spacing w:line="360" w:lineRule="auto"/>
              <w:contextualSpacing/>
              <w:jc w:val="center"/>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w:t>
            </w:r>
          </w:p>
        </w:tc>
        <w:tc>
          <w:tcPr>
            <w:tcW w:w="763" w:type="dxa"/>
            <w:noWrap w:val="0"/>
            <w:vAlign w:val="center"/>
          </w:tcPr>
          <w:p w14:paraId="5945BB45">
            <w:pPr>
              <w:spacing w:line="360" w:lineRule="auto"/>
              <w:contextualSpacing/>
              <w:jc w:val="center"/>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套</w:t>
            </w:r>
          </w:p>
        </w:tc>
        <w:tc>
          <w:tcPr>
            <w:tcW w:w="969" w:type="dxa"/>
            <w:noWrap w:val="0"/>
            <w:vAlign w:val="center"/>
          </w:tcPr>
          <w:p w14:paraId="2E557083">
            <w:pPr>
              <w:spacing w:line="360" w:lineRule="auto"/>
              <w:contextualSpacing/>
              <w:jc w:val="center"/>
              <w:rPr>
                <w:rFonts w:hint="default"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6580</w:t>
            </w:r>
          </w:p>
        </w:tc>
        <w:tc>
          <w:tcPr>
            <w:tcW w:w="1213" w:type="dxa"/>
            <w:noWrap w:val="0"/>
            <w:vAlign w:val="center"/>
          </w:tcPr>
          <w:p w14:paraId="264B69E1">
            <w:pPr>
              <w:spacing w:line="360" w:lineRule="auto"/>
              <w:contextualSpacing/>
              <w:jc w:val="center"/>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6580</w:t>
            </w:r>
          </w:p>
        </w:tc>
        <w:tc>
          <w:tcPr>
            <w:tcW w:w="8823" w:type="dxa"/>
            <w:noWrap w:val="0"/>
            <w:vAlign w:val="center"/>
          </w:tcPr>
          <w:p w14:paraId="0C563567">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1.镜头水平视场角≥90°</w:t>
            </w:r>
          </w:p>
          <w:p w14:paraId="27F40887">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2.一体化集成设计，支持4K超高清，最大可提供4K图像编码输出，同时向下兼容1080p，720p等分辨率。</w:t>
            </w:r>
          </w:p>
          <w:p w14:paraId="44E91F27">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3.内置图像识别跟踪算法，无需物理转动，即可实现平滑自然的跟踪效果，避免干扰课堂教学。</w:t>
            </w:r>
          </w:p>
          <w:p w14:paraId="296E1794">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4.全景画面支持畸变矫正功能。</w:t>
            </w:r>
          </w:p>
          <w:p w14:paraId="20D35EC2">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5.全景画面与特写画面必须采用相同图像传感器和图像处理器，确保两者图像输出亮度、颜色、风格等保持一致。</w:t>
            </w:r>
          </w:p>
          <w:p w14:paraId="42F9CC86">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6.整机接口:≥1路RJ45。</w:t>
            </w:r>
          </w:p>
          <w:p w14:paraId="7D167DEE">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7.支持POE有线网络供电，只需要1路网线，即可实现供电及信号传输，支持同时输出特写和全景等多路画面。</w:t>
            </w:r>
          </w:p>
          <w:p w14:paraId="45127DB9">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8.传感器尺寸：≥CMOS 1/2.8英寸。</w:t>
            </w:r>
          </w:p>
          <w:p w14:paraId="12B37BFA">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9.传感器有效像素≥800万。</w:t>
            </w:r>
          </w:p>
          <w:p w14:paraId="15E80006">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10.扫描方式：逐行 。</w:t>
            </w:r>
          </w:p>
          <w:p w14:paraId="6379FF0C">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11.最低照度：0.5 Lux @（F1.8, AGC ON）。</w:t>
            </w:r>
          </w:p>
          <w:p w14:paraId="1DBCEC86">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12.电子快门：1/30s ~ 1/10000s。</w:t>
            </w:r>
          </w:p>
          <w:p w14:paraId="2359A840">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13.支持自动白平衡。</w:t>
            </w:r>
          </w:p>
          <w:p w14:paraId="6DF37456">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14.支持2D&amp;3D数字降噪，信噪比≥55dB。</w:t>
            </w:r>
          </w:p>
          <w:p w14:paraId="0547203C">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15.支持H.264、H.265视频编码格式。</w:t>
            </w:r>
          </w:p>
          <w:p w14:paraId="174764D0">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16.主码流分辨率：3840x2160, 1920x1080, 1920x1080, 1280x720, 1024x576, 720x576(50Hz), 720x480(60Hz), 720x408, 640x360, 480x270, 320x240, 320x180</w:t>
            </w:r>
          </w:p>
          <w:p w14:paraId="02162497">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17.辅码流分辨率：1920x1080, 1280x720, 1024x576, 960x540, 640x480, 640x360, 320x240, 320x180</w:t>
            </w:r>
          </w:p>
          <w:p w14:paraId="387CC80B">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18.视频码率：32Kbps ~ 16384Kbps。</w:t>
            </w:r>
          </w:p>
          <w:p w14:paraId="7A09F00D">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19.帧率：1~25fps。</w:t>
            </w:r>
          </w:p>
          <w:p w14:paraId="04E166BF">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20.网络流传输协议：TCP, HTTP, UDP，RTSP, RTMP, ONVIF。</w:t>
            </w:r>
          </w:p>
          <w:p w14:paraId="6BAB43BC">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21.输入电压：DC12V/PoE（IEEE802.3af）。</w:t>
            </w:r>
          </w:p>
          <w:p w14:paraId="5B49EC69">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22.功耗≤9W。</w:t>
            </w:r>
          </w:p>
          <w:p w14:paraId="2C58622D">
            <w:pPr>
              <w:spacing w:line="360" w:lineRule="auto"/>
              <w:contextualSpacing/>
              <w:jc w:val="left"/>
              <w:rPr>
                <w:rFonts w:hint="eastAsia" w:ascii="仿宋" w:hAnsi="仿宋" w:eastAsia="仿宋"/>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23.净重：≤0.3kg。</w:t>
            </w:r>
          </w:p>
        </w:tc>
      </w:tr>
      <w:tr w14:paraId="12080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464" w:type="dxa"/>
            <w:noWrap w:val="0"/>
            <w:vAlign w:val="center"/>
          </w:tcPr>
          <w:p w14:paraId="14B6065D">
            <w:pPr>
              <w:spacing w:line="360" w:lineRule="auto"/>
              <w:contextualSpacing/>
              <w:jc w:val="center"/>
              <w:rPr>
                <w:rFonts w:hint="default"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7</w:t>
            </w:r>
          </w:p>
        </w:tc>
        <w:tc>
          <w:tcPr>
            <w:tcW w:w="900" w:type="dxa"/>
            <w:noWrap w:val="0"/>
            <w:vAlign w:val="center"/>
          </w:tcPr>
          <w:p w14:paraId="4ADB8F47">
            <w:pPr>
              <w:spacing w:line="360" w:lineRule="auto"/>
              <w:contextualSpacing/>
              <w:jc w:val="center"/>
              <w:rPr>
                <w:rFonts w:hint="default"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否</w:t>
            </w:r>
          </w:p>
        </w:tc>
        <w:tc>
          <w:tcPr>
            <w:tcW w:w="1241" w:type="dxa"/>
            <w:noWrap w:val="0"/>
            <w:vAlign w:val="center"/>
          </w:tcPr>
          <w:p w14:paraId="7D842772">
            <w:pPr>
              <w:spacing w:line="360" w:lineRule="auto"/>
              <w:contextualSpacing/>
              <w:jc w:val="center"/>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学生摄像机图像处理系统</w:t>
            </w:r>
          </w:p>
        </w:tc>
        <w:tc>
          <w:tcPr>
            <w:tcW w:w="559" w:type="dxa"/>
            <w:noWrap w:val="0"/>
            <w:vAlign w:val="center"/>
          </w:tcPr>
          <w:p w14:paraId="5ECFD8F8">
            <w:pPr>
              <w:spacing w:line="360" w:lineRule="auto"/>
              <w:contextualSpacing/>
              <w:jc w:val="center"/>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w:t>
            </w:r>
          </w:p>
        </w:tc>
        <w:tc>
          <w:tcPr>
            <w:tcW w:w="763" w:type="dxa"/>
            <w:noWrap w:val="0"/>
            <w:vAlign w:val="center"/>
          </w:tcPr>
          <w:p w14:paraId="778697BD">
            <w:pPr>
              <w:spacing w:line="360" w:lineRule="auto"/>
              <w:contextualSpacing/>
              <w:jc w:val="center"/>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台</w:t>
            </w:r>
          </w:p>
        </w:tc>
        <w:tc>
          <w:tcPr>
            <w:tcW w:w="969" w:type="dxa"/>
            <w:noWrap w:val="0"/>
            <w:vAlign w:val="center"/>
          </w:tcPr>
          <w:p w14:paraId="45DCC86E">
            <w:pPr>
              <w:spacing w:line="360" w:lineRule="auto"/>
              <w:contextualSpacing/>
              <w:jc w:val="center"/>
              <w:rPr>
                <w:rFonts w:hint="default"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4200</w:t>
            </w:r>
          </w:p>
        </w:tc>
        <w:tc>
          <w:tcPr>
            <w:tcW w:w="1213" w:type="dxa"/>
            <w:noWrap w:val="0"/>
            <w:vAlign w:val="center"/>
          </w:tcPr>
          <w:p w14:paraId="152FF79C">
            <w:pPr>
              <w:spacing w:line="360" w:lineRule="auto"/>
              <w:contextualSpacing/>
              <w:jc w:val="center"/>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4200</w:t>
            </w:r>
          </w:p>
        </w:tc>
        <w:tc>
          <w:tcPr>
            <w:tcW w:w="8823" w:type="dxa"/>
            <w:noWrap w:val="0"/>
            <w:vAlign w:val="center"/>
          </w:tcPr>
          <w:p w14:paraId="2C3A1130">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1.4K学生摄像机内嵌智能跟踪算法，无需单独安装定位跟踪主机及其他任何辅助拍摄设备，即可实现跟踪定位控制功能。</w:t>
            </w:r>
          </w:p>
          <w:p w14:paraId="0229F7A9">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2.系统应采用智能图像识别算法，高清摄像机同时输出2路场景画面并分析计算，实现1台摄像机的2景位拍摄，通过导播跟踪系统，实现所有画面的自动导播切换：</w:t>
            </w:r>
          </w:p>
          <w:p w14:paraId="3D25506E">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2.1学生起立发言时，首先切换为学生全景，再过渡为发言学生的特写画面，当多名学生站立时，自动切换到学生全景；</w:t>
            </w:r>
          </w:p>
          <w:p w14:paraId="4F9071F1">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2.2学生跟踪具备人脸检测辅助识别功能。</w:t>
            </w:r>
          </w:p>
          <w:p w14:paraId="7B7113EC">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3.支持设置摄像机分辨率、帧率、码率</w:t>
            </w:r>
          </w:p>
          <w:p w14:paraId="301C647B">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4.支持设置摄像机亮度、饱和度、对比度、锐度、色度、快门速度</w:t>
            </w:r>
          </w:p>
          <w:p w14:paraId="65E3CC9A">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5.图像支持左右镜像、上下翻转，默认不开启</w:t>
            </w:r>
          </w:p>
          <w:p w14:paraId="090345CF">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6.支持对摄像机网络进行管理，包括设置IP地址/网关/DNS等，支持组播协议搜索IP地址，并修改摄像机IP</w:t>
            </w:r>
          </w:p>
          <w:p w14:paraId="57999656">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7.支持RTMP推流，RTSP拉流，地址可设置</w:t>
            </w:r>
          </w:p>
          <w:p w14:paraId="4DB07E1E">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8.支持ONVIF协议，可预览ONVIF画面</w:t>
            </w:r>
          </w:p>
          <w:p w14:paraId="298402DE">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9.支持GB28181协议，可使用GB28181协议推流</w:t>
            </w:r>
          </w:p>
          <w:p w14:paraId="7B07B3CB">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10.支持摄像机内部导播，支持外部服务器导播</w:t>
            </w:r>
          </w:p>
          <w:p w14:paraId="5F275F76">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11.支持至少1个六边形导播跟踪区划定</w:t>
            </w:r>
          </w:p>
          <w:p w14:paraId="6D40FCD9">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12.跟踪区域划定方式为任意两个边缘点连线，确保可以构建合适的跟踪区域</w:t>
            </w:r>
          </w:p>
          <w:p w14:paraId="3EB81023">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13.支持跟踪灵敏度设置，可适配不同的灵敏度要求场景</w:t>
            </w:r>
          </w:p>
          <w:p w14:paraId="28217A6C">
            <w:pPr>
              <w:spacing w:line="360" w:lineRule="auto"/>
              <w:contextualSpacing/>
              <w:jc w:val="left"/>
              <w:rPr>
                <w:rFonts w:hint="eastAsia" w:ascii="仿宋" w:hAnsi="仿宋" w:eastAsia="仿宋"/>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14.支持开启/关闭跟踪功能</w:t>
            </w:r>
          </w:p>
        </w:tc>
      </w:tr>
      <w:tr w14:paraId="57D97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464" w:type="dxa"/>
            <w:noWrap w:val="0"/>
            <w:vAlign w:val="center"/>
          </w:tcPr>
          <w:p w14:paraId="6B0211A4">
            <w:pPr>
              <w:spacing w:line="360" w:lineRule="auto"/>
              <w:contextualSpacing/>
              <w:jc w:val="center"/>
              <w:rPr>
                <w:rFonts w:hint="default"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8</w:t>
            </w:r>
          </w:p>
        </w:tc>
        <w:tc>
          <w:tcPr>
            <w:tcW w:w="900" w:type="dxa"/>
            <w:noWrap w:val="0"/>
            <w:vAlign w:val="center"/>
          </w:tcPr>
          <w:p w14:paraId="5F602D76">
            <w:pPr>
              <w:spacing w:line="360" w:lineRule="auto"/>
              <w:contextualSpacing/>
              <w:jc w:val="center"/>
              <w:rPr>
                <w:rFonts w:hint="default"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否</w:t>
            </w:r>
          </w:p>
        </w:tc>
        <w:tc>
          <w:tcPr>
            <w:tcW w:w="1241" w:type="dxa"/>
            <w:noWrap w:val="0"/>
            <w:vAlign w:val="center"/>
          </w:tcPr>
          <w:p w14:paraId="184FE333">
            <w:pPr>
              <w:spacing w:line="360" w:lineRule="auto"/>
              <w:contextualSpacing/>
              <w:jc w:val="center"/>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机械云台摄像机</w:t>
            </w:r>
          </w:p>
        </w:tc>
        <w:tc>
          <w:tcPr>
            <w:tcW w:w="559" w:type="dxa"/>
            <w:noWrap w:val="0"/>
            <w:vAlign w:val="center"/>
          </w:tcPr>
          <w:p w14:paraId="64F1CBA2">
            <w:pPr>
              <w:spacing w:line="360" w:lineRule="auto"/>
              <w:contextualSpacing/>
              <w:jc w:val="center"/>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4</w:t>
            </w:r>
          </w:p>
        </w:tc>
        <w:tc>
          <w:tcPr>
            <w:tcW w:w="763" w:type="dxa"/>
            <w:noWrap w:val="0"/>
            <w:vAlign w:val="center"/>
          </w:tcPr>
          <w:p w14:paraId="608FC499">
            <w:pPr>
              <w:spacing w:line="360" w:lineRule="auto"/>
              <w:contextualSpacing/>
              <w:jc w:val="center"/>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台</w:t>
            </w:r>
          </w:p>
        </w:tc>
        <w:tc>
          <w:tcPr>
            <w:tcW w:w="969" w:type="dxa"/>
            <w:noWrap w:val="0"/>
            <w:vAlign w:val="center"/>
          </w:tcPr>
          <w:p w14:paraId="48840533">
            <w:pPr>
              <w:spacing w:line="360" w:lineRule="auto"/>
              <w:contextualSpacing/>
              <w:jc w:val="center"/>
              <w:rPr>
                <w:rFonts w:hint="default"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6385</w:t>
            </w:r>
          </w:p>
        </w:tc>
        <w:tc>
          <w:tcPr>
            <w:tcW w:w="1213" w:type="dxa"/>
            <w:noWrap w:val="0"/>
            <w:vAlign w:val="center"/>
          </w:tcPr>
          <w:p w14:paraId="3B7B6FA8">
            <w:pPr>
              <w:spacing w:line="360" w:lineRule="auto"/>
              <w:contextualSpacing/>
              <w:jc w:val="center"/>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25540</w:t>
            </w:r>
          </w:p>
        </w:tc>
        <w:tc>
          <w:tcPr>
            <w:tcW w:w="8823" w:type="dxa"/>
            <w:noWrap w:val="0"/>
            <w:vAlign w:val="center"/>
          </w:tcPr>
          <w:p w14:paraId="0E356D35">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1.传感器尺寸≥CMOS 1/2.8英寸。</w:t>
            </w:r>
          </w:p>
          <w:p w14:paraId="2F46B868">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2.传感器有效像素≥800万。</w:t>
            </w:r>
          </w:p>
          <w:p w14:paraId="1F033F95">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3.▲支持≥40倍变焦。（该检测项需在CMA和CNAS认证的检测范围内，提供具有CNAS及CMA标识的国家权威检测机构出具的检测报告复印件并加盖公章）</w:t>
            </w:r>
          </w:p>
          <w:p w14:paraId="3930981E">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4.扫描方式：逐行。</w:t>
            </w:r>
          </w:p>
          <w:p w14:paraId="784E43C0">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5.支持畸变矫正功能，畸变≤±0.5%。</w:t>
            </w:r>
          </w:p>
          <w:p w14:paraId="08B54054">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6.亮度灵敏度≤0.2Lx @ (F1.8, AGC ON)。</w:t>
            </w:r>
          </w:p>
          <w:p w14:paraId="21FE4BAD">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7.镜头： F1.82 ~ F2.78。</w:t>
            </w:r>
          </w:p>
          <w:p w14:paraId="3AEB6F99">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8.快门： 1/30s ~ 1/10000s。</w:t>
            </w:r>
          </w:p>
          <w:p w14:paraId="5FBF6721">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9.支持自动白平衡功能。</w:t>
            </w:r>
          </w:p>
          <w:p w14:paraId="49580558">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10.支持背光补偿功能。</w:t>
            </w:r>
          </w:p>
          <w:p w14:paraId="29CDA6A1">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11.支持图像冻结功能。</w:t>
            </w:r>
          </w:p>
          <w:p w14:paraId="402C66F4">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12.支持POE供电。</w:t>
            </w:r>
          </w:p>
          <w:p w14:paraId="299B95F7">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13.支持2D&amp;3D数字降噪，信噪比58 dB 。</w:t>
            </w:r>
          </w:p>
          <w:p w14:paraId="68E9100C">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14.支持预置位个数≥255个，预置位精度≤0.1°。</w:t>
            </w:r>
          </w:p>
          <w:p w14:paraId="1563384D">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15.支持水平翻转、垂直翻转，水平转动范围：±170°，垂直转动范围：-30°~+90°。</w:t>
            </w:r>
          </w:p>
          <w:p w14:paraId="3CF49F29">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16.支持水平视场角≥75°。</w:t>
            </w:r>
          </w:p>
          <w:p w14:paraId="536C5764">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17.支持水平转动速度≥100°/s，垂直转动速度≥69°/s。</w:t>
            </w:r>
          </w:p>
          <w:p w14:paraId="13A2A134">
            <w:pPr>
              <w:spacing w:line="360" w:lineRule="auto"/>
              <w:contextualSpacing/>
              <w:jc w:val="left"/>
              <w:rPr>
                <w:rFonts w:hint="eastAsia" w:ascii="仿宋" w:hAnsi="仿宋" w:eastAsia="仿宋"/>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18.为确保运行稳定，使用平均无故障运行时间(MTBF)≥25万小时。</w:t>
            </w:r>
          </w:p>
        </w:tc>
      </w:tr>
      <w:tr w14:paraId="69E0D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464" w:type="dxa"/>
            <w:noWrap w:val="0"/>
            <w:vAlign w:val="center"/>
          </w:tcPr>
          <w:p w14:paraId="2572CDB8">
            <w:pPr>
              <w:spacing w:line="360" w:lineRule="auto"/>
              <w:contextualSpacing/>
              <w:jc w:val="center"/>
              <w:rPr>
                <w:rFonts w:hint="default"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9</w:t>
            </w:r>
          </w:p>
        </w:tc>
        <w:tc>
          <w:tcPr>
            <w:tcW w:w="900" w:type="dxa"/>
            <w:noWrap w:val="0"/>
            <w:vAlign w:val="center"/>
          </w:tcPr>
          <w:p w14:paraId="4A358420">
            <w:pPr>
              <w:spacing w:line="360" w:lineRule="auto"/>
              <w:contextualSpacing/>
              <w:jc w:val="center"/>
              <w:rPr>
                <w:rFonts w:hint="default"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否</w:t>
            </w:r>
          </w:p>
        </w:tc>
        <w:tc>
          <w:tcPr>
            <w:tcW w:w="1241" w:type="dxa"/>
            <w:noWrap w:val="0"/>
            <w:vAlign w:val="center"/>
          </w:tcPr>
          <w:p w14:paraId="5843C012">
            <w:pPr>
              <w:spacing w:line="360" w:lineRule="auto"/>
              <w:contextualSpacing/>
              <w:jc w:val="center"/>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跟踪云台摄像机图像处理系统</w:t>
            </w:r>
          </w:p>
        </w:tc>
        <w:tc>
          <w:tcPr>
            <w:tcW w:w="559" w:type="dxa"/>
            <w:noWrap w:val="0"/>
            <w:vAlign w:val="center"/>
          </w:tcPr>
          <w:p w14:paraId="0EE226B0">
            <w:pPr>
              <w:spacing w:line="360" w:lineRule="auto"/>
              <w:contextualSpacing/>
              <w:jc w:val="center"/>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4</w:t>
            </w:r>
          </w:p>
        </w:tc>
        <w:tc>
          <w:tcPr>
            <w:tcW w:w="763" w:type="dxa"/>
            <w:noWrap w:val="0"/>
            <w:vAlign w:val="center"/>
          </w:tcPr>
          <w:p w14:paraId="55EFC068">
            <w:pPr>
              <w:spacing w:line="360" w:lineRule="auto"/>
              <w:contextualSpacing/>
              <w:jc w:val="center"/>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套</w:t>
            </w:r>
          </w:p>
        </w:tc>
        <w:tc>
          <w:tcPr>
            <w:tcW w:w="969" w:type="dxa"/>
            <w:noWrap w:val="0"/>
            <w:vAlign w:val="center"/>
          </w:tcPr>
          <w:p w14:paraId="4280EC0C">
            <w:pPr>
              <w:spacing w:line="360" w:lineRule="auto"/>
              <w:contextualSpacing/>
              <w:jc w:val="center"/>
              <w:rPr>
                <w:rFonts w:hint="default"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2900</w:t>
            </w:r>
          </w:p>
        </w:tc>
        <w:tc>
          <w:tcPr>
            <w:tcW w:w="1213" w:type="dxa"/>
            <w:noWrap w:val="0"/>
            <w:vAlign w:val="center"/>
          </w:tcPr>
          <w:p w14:paraId="6D3239A5">
            <w:pPr>
              <w:spacing w:line="360" w:lineRule="auto"/>
              <w:contextualSpacing/>
              <w:jc w:val="center"/>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11600</w:t>
            </w:r>
          </w:p>
        </w:tc>
        <w:tc>
          <w:tcPr>
            <w:tcW w:w="8823" w:type="dxa"/>
            <w:noWrap w:val="0"/>
            <w:vAlign w:val="center"/>
          </w:tcPr>
          <w:p w14:paraId="6A2722BD">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1.▲设备采用ARM硬件架构，linux操作系统。（该检测项需在CMA和CNAS认证的检测范围内，提供具有CNAS及CMA标识的国家权威检测机构出具的检测报告复印件并加盖公章）</w:t>
            </w:r>
          </w:p>
          <w:p w14:paraId="2C2EF15A">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2.支持≥4种编码等级，包含baseline、mainprofile、highprofile、svc-t。</w:t>
            </w:r>
          </w:p>
          <w:p w14:paraId="4EAC7388">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3.支持AAC、G711A两种音频编码格式。</w:t>
            </w:r>
          </w:p>
          <w:p w14:paraId="39E621EB">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4.支持TCP/IP, HTTP, RTSP, RTMP, Onvif, DHCP, 组播等网络协议。</w:t>
            </w:r>
          </w:p>
          <w:p w14:paraId="0E29C941">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5.支持设置摄像机分辨率、帧率、码率。</w:t>
            </w:r>
          </w:p>
          <w:p w14:paraId="369027BD">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6.支持设置摄像机亮度、饱和度、对比度、锐度、色度、快门速度。</w:t>
            </w:r>
          </w:p>
          <w:p w14:paraId="133C5E74">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7.支持图像左右镜像、上下翻转。</w:t>
            </w:r>
          </w:p>
          <w:p w14:paraId="4603721A">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8.支持对摄像机网络进行管理，包括设置IP地址/网关/DNS等，支持组播协议搜索IP地址，并修改摄像机IP。</w:t>
            </w:r>
          </w:p>
          <w:p w14:paraId="54DBB7FC">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9.支持RTMP推流，RTSP拉流，地址可设置。</w:t>
            </w:r>
          </w:p>
          <w:p w14:paraId="0C7834A1">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10.支持ONVIF协议，可预览ONVIF画面。</w:t>
            </w:r>
          </w:p>
          <w:p w14:paraId="52504629">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11.支持GB28181协议。</w:t>
            </w:r>
          </w:p>
          <w:p w14:paraId="2F567480">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12.▲支持演讲者模式、学生全景模式、学生特写模式、教师全景模式、教师特写模式、板书模式6种模式切换。（该检测项需在CMA和CNAS认证的检测范围内，提供具有CNAS及CMA标识的国家权威检测机构出具的检测报告复印件并加盖公章）</w:t>
            </w:r>
          </w:p>
          <w:p w14:paraId="7B929A8A">
            <w:pPr>
              <w:spacing w:line="360" w:lineRule="auto"/>
              <w:contextualSpacing/>
              <w:jc w:val="left"/>
              <w:rPr>
                <w:rFonts w:hint="eastAsia" w:ascii="仿宋" w:hAnsi="仿宋" w:eastAsia="仿宋"/>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13.▲支持人脸检测、人形检测AI算法。（该检测项需在CMA和CNAS认证的检测范围内，提供具有CNAS及CMA标识的国家权威检测机构出具的检测报告复印件并加盖公章）</w:t>
            </w:r>
          </w:p>
        </w:tc>
      </w:tr>
      <w:tr w14:paraId="7C0DB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464" w:type="dxa"/>
            <w:noWrap w:val="0"/>
            <w:vAlign w:val="center"/>
          </w:tcPr>
          <w:p w14:paraId="0692208D">
            <w:pPr>
              <w:spacing w:line="360" w:lineRule="auto"/>
              <w:contextualSpacing/>
              <w:jc w:val="center"/>
              <w:rPr>
                <w:rFonts w:hint="default"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10</w:t>
            </w:r>
          </w:p>
        </w:tc>
        <w:tc>
          <w:tcPr>
            <w:tcW w:w="900" w:type="dxa"/>
            <w:noWrap w:val="0"/>
            <w:vAlign w:val="center"/>
          </w:tcPr>
          <w:p w14:paraId="3A05677A">
            <w:pPr>
              <w:spacing w:line="360" w:lineRule="auto"/>
              <w:contextualSpacing/>
              <w:jc w:val="center"/>
              <w:rPr>
                <w:rFonts w:hint="default"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否</w:t>
            </w:r>
          </w:p>
        </w:tc>
        <w:tc>
          <w:tcPr>
            <w:tcW w:w="1241" w:type="dxa"/>
            <w:noWrap w:val="0"/>
            <w:vAlign w:val="center"/>
          </w:tcPr>
          <w:p w14:paraId="78971437">
            <w:pPr>
              <w:spacing w:line="360" w:lineRule="auto"/>
              <w:contextualSpacing/>
              <w:jc w:val="center"/>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拾音麦</w:t>
            </w:r>
          </w:p>
        </w:tc>
        <w:tc>
          <w:tcPr>
            <w:tcW w:w="559" w:type="dxa"/>
            <w:noWrap w:val="0"/>
            <w:vAlign w:val="center"/>
          </w:tcPr>
          <w:p w14:paraId="174FE87E">
            <w:pPr>
              <w:spacing w:line="360" w:lineRule="auto"/>
              <w:contextualSpacing/>
              <w:jc w:val="center"/>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2</w:t>
            </w:r>
          </w:p>
        </w:tc>
        <w:tc>
          <w:tcPr>
            <w:tcW w:w="763" w:type="dxa"/>
            <w:noWrap w:val="0"/>
            <w:vAlign w:val="center"/>
          </w:tcPr>
          <w:p w14:paraId="654A132E">
            <w:pPr>
              <w:spacing w:line="360" w:lineRule="auto"/>
              <w:contextualSpacing/>
              <w:jc w:val="center"/>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套</w:t>
            </w:r>
          </w:p>
        </w:tc>
        <w:tc>
          <w:tcPr>
            <w:tcW w:w="969" w:type="dxa"/>
            <w:noWrap w:val="0"/>
            <w:vAlign w:val="center"/>
          </w:tcPr>
          <w:p w14:paraId="50BE5F2E">
            <w:pPr>
              <w:spacing w:line="360" w:lineRule="auto"/>
              <w:contextualSpacing/>
              <w:jc w:val="center"/>
              <w:rPr>
                <w:rFonts w:hint="default"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1860</w:t>
            </w:r>
          </w:p>
        </w:tc>
        <w:tc>
          <w:tcPr>
            <w:tcW w:w="1213" w:type="dxa"/>
            <w:noWrap w:val="0"/>
            <w:vAlign w:val="center"/>
          </w:tcPr>
          <w:p w14:paraId="1A6B183D">
            <w:pPr>
              <w:spacing w:line="360" w:lineRule="auto"/>
              <w:contextualSpacing/>
              <w:jc w:val="center"/>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3720</w:t>
            </w:r>
          </w:p>
        </w:tc>
        <w:tc>
          <w:tcPr>
            <w:tcW w:w="8823" w:type="dxa"/>
            <w:noWrap w:val="0"/>
            <w:vAlign w:val="center"/>
          </w:tcPr>
          <w:p w14:paraId="72485603">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1.麦克风采用≥4核的国产音频芯片。</w:t>
            </w:r>
          </w:p>
          <w:p w14:paraId="71199BBE">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2.麦克风频率响应范围不低于50Hz~16KHz。</w:t>
            </w:r>
          </w:p>
          <w:p w14:paraId="3B383CF7">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3.麦克风拾音半径≥8m。</w:t>
            </w:r>
          </w:p>
          <w:p w14:paraId="6E6023F5">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4.麦克风信噪比≥68dB，声压级≥130dBSPL，10%THD@1 KHz。</w:t>
            </w:r>
          </w:p>
          <w:p w14:paraId="33B7E467">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5.麦克风无需额外适配器供电，能够通过网线实现麦克风供电。</w:t>
            </w:r>
          </w:p>
          <w:p w14:paraId="3FB659F2">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6.麦克风支持≥2个数字音频接口，每个接口都具备输入接口和输出接口能力，支持盲插。</w:t>
            </w:r>
          </w:p>
          <w:p w14:paraId="189B8E60">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7.麦克风内置≥8个硅麦传感器单元。</w:t>
            </w:r>
          </w:p>
          <w:p w14:paraId="5AF2CF68">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8.麦克风支持降噪、回声抵消、混响抑制、自动增益控制、多麦融合多种音频算法。</w:t>
            </w:r>
          </w:p>
          <w:p w14:paraId="12242FF7">
            <w:pPr>
              <w:spacing w:line="360" w:lineRule="auto"/>
              <w:contextualSpacing/>
              <w:jc w:val="left"/>
              <w:rPr>
                <w:rFonts w:hint="eastAsia" w:ascii="仿宋" w:hAnsi="仿宋" w:eastAsia="仿宋"/>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9.麦克风支持无损数字音频传输，避免模拟信号传输导致的电流干扰。</w:t>
            </w:r>
          </w:p>
        </w:tc>
      </w:tr>
      <w:tr w14:paraId="7910D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464" w:type="dxa"/>
            <w:noWrap w:val="0"/>
            <w:vAlign w:val="center"/>
          </w:tcPr>
          <w:p w14:paraId="684BA9CE">
            <w:pPr>
              <w:spacing w:line="360" w:lineRule="auto"/>
              <w:contextualSpacing/>
              <w:jc w:val="center"/>
              <w:rPr>
                <w:rFonts w:hint="default"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11</w:t>
            </w:r>
          </w:p>
        </w:tc>
        <w:tc>
          <w:tcPr>
            <w:tcW w:w="900" w:type="dxa"/>
            <w:noWrap w:val="0"/>
            <w:vAlign w:val="center"/>
          </w:tcPr>
          <w:p w14:paraId="57D9BA2F">
            <w:pPr>
              <w:spacing w:line="360" w:lineRule="auto"/>
              <w:contextualSpacing/>
              <w:jc w:val="center"/>
              <w:rPr>
                <w:rFonts w:hint="default"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否</w:t>
            </w:r>
          </w:p>
        </w:tc>
        <w:tc>
          <w:tcPr>
            <w:tcW w:w="1241" w:type="dxa"/>
            <w:noWrap w:val="0"/>
            <w:vAlign w:val="center"/>
          </w:tcPr>
          <w:p w14:paraId="1876E113">
            <w:pPr>
              <w:spacing w:line="360" w:lineRule="auto"/>
              <w:contextualSpacing/>
              <w:jc w:val="center"/>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有线麦克风音频处理系统</w:t>
            </w:r>
          </w:p>
        </w:tc>
        <w:tc>
          <w:tcPr>
            <w:tcW w:w="559" w:type="dxa"/>
            <w:noWrap w:val="0"/>
            <w:vAlign w:val="center"/>
          </w:tcPr>
          <w:p w14:paraId="68A04D66">
            <w:pPr>
              <w:spacing w:line="360" w:lineRule="auto"/>
              <w:contextualSpacing/>
              <w:jc w:val="center"/>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2</w:t>
            </w:r>
          </w:p>
        </w:tc>
        <w:tc>
          <w:tcPr>
            <w:tcW w:w="763" w:type="dxa"/>
            <w:noWrap w:val="0"/>
            <w:vAlign w:val="center"/>
          </w:tcPr>
          <w:p w14:paraId="0E8A0074">
            <w:pPr>
              <w:spacing w:line="360" w:lineRule="auto"/>
              <w:contextualSpacing/>
              <w:jc w:val="center"/>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套</w:t>
            </w:r>
          </w:p>
        </w:tc>
        <w:tc>
          <w:tcPr>
            <w:tcW w:w="969" w:type="dxa"/>
            <w:noWrap w:val="0"/>
            <w:vAlign w:val="center"/>
          </w:tcPr>
          <w:p w14:paraId="14DD2F50">
            <w:pPr>
              <w:spacing w:line="360" w:lineRule="auto"/>
              <w:contextualSpacing/>
              <w:jc w:val="center"/>
              <w:rPr>
                <w:rFonts w:hint="default"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610</w:t>
            </w:r>
          </w:p>
        </w:tc>
        <w:tc>
          <w:tcPr>
            <w:tcW w:w="1213" w:type="dxa"/>
            <w:noWrap w:val="0"/>
            <w:vAlign w:val="center"/>
          </w:tcPr>
          <w:p w14:paraId="01987010">
            <w:pPr>
              <w:spacing w:line="360" w:lineRule="auto"/>
              <w:contextualSpacing/>
              <w:jc w:val="center"/>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1220</w:t>
            </w:r>
          </w:p>
        </w:tc>
        <w:tc>
          <w:tcPr>
            <w:tcW w:w="8823" w:type="dxa"/>
            <w:noWrap w:val="0"/>
            <w:vAlign w:val="center"/>
          </w:tcPr>
          <w:p w14:paraId="75B9C615">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1.支持全频带全双工自适应回声消除算法。</w:t>
            </w:r>
          </w:p>
          <w:p w14:paraId="4BABE405">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2.支持全频自适应AI降噪技术，降噪电平≥24dB。</w:t>
            </w:r>
          </w:p>
          <w:p w14:paraId="6DE2C0BE">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3.支持自动增益控制。</w:t>
            </w:r>
          </w:p>
          <w:p w14:paraId="1E6F3CC7">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4.支持啸叫抑制。</w:t>
            </w:r>
          </w:p>
          <w:p w14:paraId="113D72D9">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5.支持智能混音，可智能选择最佳麦克风采集音频。</w:t>
            </w:r>
          </w:p>
          <w:p w14:paraId="667A8D2F">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6.支持多通道音频矩阵，可根据场景需求进行相应设置。</w:t>
            </w:r>
          </w:p>
          <w:p w14:paraId="663F87CD">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7.支持音频参数调节。</w:t>
            </w:r>
          </w:p>
          <w:p w14:paraId="7894CF23">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8.支持波束成形。</w:t>
            </w:r>
          </w:p>
          <w:p w14:paraId="2FDE3B96">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9.支持远程OTA升级。</w:t>
            </w:r>
          </w:p>
          <w:p w14:paraId="264FF2BF">
            <w:pPr>
              <w:spacing w:line="360" w:lineRule="auto"/>
              <w:contextualSpacing/>
              <w:jc w:val="left"/>
              <w:rPr>
                <w:rFonts w:hint="eastAsia" w:ascii="仿宋" w:hAnsi="仿宋" w:eastAsia="仿宋"/>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10. 支持连接录播主机作为录播音频输入设备使用，也可连接Windows系统，并为其提供音频输入。</w:t>
            </w:r>
          </w:p>
        </w:tc>
      </w:tr>
      <w:tr w14:paraId="2861F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464" w:type="dxa"/>
            <w:noWrap w:val="0"/>
            <w:vAlign w:val="center"/>
          </w:tcPr>
          <w:p w14:paraId="57773DAD">
            <w:pPr>
              <w:spacing w:line="360" w:lineRule="auto"/>
              <w:contextualSpacing/>
              <w:jc w:val="center"/>
              <w:rPr>
                <w:rFonts w:hint="default"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12</w:t>
            </w:r>
          </w:p>
        </w:tc>
        <w:tc>
          <w:tcPr>
            <w:tcW w:w="900" w:type="dxa"/>
            <w:noWrap w:val="0"/>
            <w:vAlign w:val="center"/>
          </w:tcPr>
          <w:p w14:paraId="1228A8A9">
            <w:pPr>
              <w:spacing w:line="360" w:lineRule="auto"/>
              <w:contextualSpacing/>
              <w:jc w:val="center"/>
              <w:rPr>
                <w:rFonts w:hint="default"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否</w:t>
            </w:r>
          </w:p>
        </w:tc>
        <w:tc>
          <w:tcPr>
            <w:tcW w:w="1241" w:type="dxa"/>
            <w:noWrap w:val="0"/>
            <w:vAlign w:val="center"/>
          </w:tcPr>
          <w:p w14:paraId="26D710E3">
            <w:pPr>
              <w:spacing w:line="360" w:lineRule="auto"/>
              <w:contextualSpacing/>
              <w:jc w:val="center"/>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远程互动课堂系统</w:t>
            </w:r>
          </w:p>
        </w:tc>
        <w:tc>
          <w:tcPr>
            <w:tcW w:w="559" w:type="dxa"/>
            <w:noWrap w:val="0"/>
            <w:vAlign w:val="center"/>
          </w:tcPr>
          <w:p w14:paraId="1F6B313A">
            <w:pPr>
              <w:spacing w:line="360" w:lineRule="auto"/>
              <w:contextualSpacing/>
              <w:jc w:val="center"/>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w:t>
            </w:r>
          </w:p>
        </w:tc>
        <w:tc>
          <w:tcPr>
            <w:tcW w:w="763" w:type="dxa"/>
            <w:noWrap w:val="0"/>
            <w:vAlign w:val="center"/>
          </w:tcPr>
          <w:p w14:paraId="38D02B06">
            <w:pPr>
              <w:spacing w:line="360" w:lineRule="auto"/>
              <w:contextualSpacing/>
              <w:jc w:val="center"/>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套</w:t>
            </w:r>
          </w:p>
        </w:tc>
        <w:tc>
          <w:tcPr>
            <w:tcW w:w="969" w:type="dxa"/>
            <w:noWrap w:val="0"/>
            <w:vAlign w:val="center"/>
          </w:tcPr>
          <w:p w14:paraId="2285BF37">
            <w:pPr>
              <w:spacing w:line="360" w:lineRule="auto"/>
              <w:contextualSpacing/>
              <w:jc w:val="center"/>
              <w:rPr>
                <w:rFonts w:hint="default"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8690</w:t>
            </w:r>
          </w:p>
        </w:tc>
        <w:tc>
          <w:tcPr>
            <w:tcW w:w="1213" w:type="dxa"/>
            <w:noWrap w:val="0"/>
            <w:vAlign w:val="center"/>
          </w:tcPr>
          <w:p w14:paraId="3B026CE9">
            <w:pPr>
              <w:spacing w:line="360" w:lineRule="auto"/>
              <w:contextualSpacing/>
              <w:jc w:val="center"/>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8690</w:t>
            </w:r>
          </w:p>
        </w:tc>
        <w:tc>
          <w:tcPr>
            <w:tcW w:w="8823" w:type="dxa"/>
            <w:noWrap w:val="0"/>
            <w:vAlign w:val="center"/>
          </w:tcPr>
          <w:p w14:paraId="19CB9159">
            <w:pPr>
              <w:numPr>
                <w:ilvl w:val="0"/>
                <w:numId w:val="0"/>
              </w:num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1.支持微信扫码登录，无需输入帐号密码即可实现登录，用户可便捷、快速进入课堂。</w:t>
            </w:r>
          </w:p>
          <w:p w14:paraId="13B4D81F">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2.支持显示预约的活动信息，包括直播活动、互动课堂、网络教研的活动类型、活动名称、活动时间、活动状态。</w:t>
            </w:r>
          </w:p>
          <w:p w14:paraId="3B216060">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3.支持搭配录播主机，进入录制视频、直播活动、互动课堂、网络教研活动。</w:t>
            </w:r>
          </w:p>
          <w:p w14:paraId="16BAE0DA">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4.支持直接创建公网直播，即时生成直播二维码，无需通过平台进行提前预约。</w:t>
            </w:r>
          </w:p>
          <w:p w14:paraId="050FF4EF">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5.支持用户通过直播链接，观看已结束的直播活动视频，视频在云端保存七天，并支持下载MP4格式到本地。</w:t>
            </w:r>
          </w:p>
          <w:p w14:paraId="378F1EC9">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6.支持直接创建网络教研，即时生成教研二维码，扫码可进行查看教研简介、发送点评等。无需通过平台进行提前预约。</w:t>
            </w:r>
          </w:p>
          <w:p w14:paraId="711891D0">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7.支持按键拨号形式，在互动课堂与网络教研功能中，可直接拨号呼叫，账号为11位手机号码，符合用户的日常使用习惯。</w:t>
            </w:r>
          </w:p>
          <w:p w14:paraId="18129D6D">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8.支持通过房间号加入互动课堂或网络教研，听课端可直接输入房间号加入到房间中进行互动。授课老师可将邀请网页分享给其他成员，成员通过链接快速加入到互动中。</w:t>
            </w:r>
          </w:p>
          <w:p w14:paraId="3906AF11">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9.授课过程中，可实时显示授课老师及参与互动的听课成员画面，用户可实时查看授课老师的拍摄效果，及听课成员的实时状态。</w:t>
            </w:r>
          </w:p>
          <w:p w14:paraId="654B2819">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10.授课过程中提供工具窗口，支持用户切换画面，调出互动工具；工具窗口可切换为迷你模式，以悬浮工具条形式显示，可置于授课课件上方。</w:t>
            </w:r>
          </w:p>
          <w:p w14:paraId="1D1939E4">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11.授课过程中，老师可选择任一班级，点击麦克风按钮即可与该教室实时连麦对讲，实现异地互动。</w:t>
            </w:r>
          </w:p>
          <w:p w14:paraId="5CF3E73B">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12.支持授课过程中老师任意放大某一端的画面，该将该听课端画面进行全屏显示。</w:t>
            </w:r>
          </w:p>
          <w:p w14:paraId="2451CAAA">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13.支持授课过程中老师任意广播某一端的画面，所有成员都会全屏显示被广播端的画面，方便所有成员聚焦到同一个画面上。</w:t>
            </w:r>
          </w:p>
          <w:p w14:paraId="088E53C1">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14.支持授课老师互动时，选择授课老师的教师画面、学生画面、电脑画面、板书画面、本地摄像头作为视频画面，推送至听课成员并进行直播。</w:t>
            </w:r>
          </w:p>
          <w:p w14:paraId="5E0CF473">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15.可查看参与互动的教室网络连接情况，了解彼此的设备网络环境，房间内所有成员都能查看到每个上台成员的网络情况，支持由低到高至少4档位的信号展示。</w:t>
            </w:r>
          </w:p>
          <w:p w14:paraId="72B68DBE">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16.支持美颜功能，美化课堂人物效果。对本地摄像头画面进行美颜处理，并显示对应的实时画面，方便教师查看美颜效果；支持对比控制，显示无美颜和美颜后的画面效果；支持一键美颜，通过滚动条快速调节美颜深度；至少支持自定义8个美颜项目。</w:t>
            </w:r>
          </w:p>
          <w:p w14:paraId="79224756">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17.支持无绿幕虚拟抠像功能，方便教师更换画面背景，突出人物；对本地摄像头画面进行虚拟背景处理，并显示对应的实时画面，方便教师查看虚拟背景效果；支持对比控制，显示无虚拟背景和虚拟背景后的画面效果；支持背景虚化和更换背景；提供不少于3个默认背景图；支持添加本地图片设置为背景图。</w:t>
            </w:r>
          </w:p>
          <w:p w14:paraId="060B593D">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18.在互动课堂与网络教研时，支持不少于2种角色实时切换。主持人可将课中任一成员设置为授课老师、学生。</w:t>
            </w:r>
          </w:p>
          <w:p w14:paraId="7A4C6729">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19.支持控制学生批注权限，避免学生乱涂乱画影响课堂秩序。支持根据设备类型，智能授予批注权限，使用大屏设备的将学生自动获得批注权限。使用其他设备的学生可由主持人、授课老师在课中管理学生的批注权限，学生拥有批注权限可以在课件与白板中进行板书。</w:t>
            </w:r>
          </w:p>
          <w:p w14:paraId="6FDDDE01">
            <w:pPr>
              <w:spacing w:line="360" w:lineRule="auto"/>
              <w:contextualSpacing/>
              <w:jc w:val="left"/>
              <w:rPr>
                <w:rFonts w:hint="eastAsia" w:ascii="仿宋" w:hAnsi="仿宋" w:eastAsia="仿宋"/>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20.主持人可以控制锁定房间，保证课堂安全，避免陌生人加入影响课堂。锁定后听课成员无法通过房间号、拨号、连接等形式申请加入房间，授课老师无法邀请他人加入，仅主持人可以邀请他人加入房间。</w:t>
            </w:r>
          </w:p>
        </w:tc>
      </w:tr>
      <w:tr w14:paraId="028B6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464" w:type="dxa"/>
            <w:noWrap w:val="0"/>
            <w:vAlign w:val="center"/>
          </w:tcPr>
          <w:p w14:paraId="07C5B803">
            <w:pPr>
              <w:spacing w:line="360" w:lineRule="auto"/>
              <w:contextualSpacing/>
              <w:jc w:val="center"/>
              <w:rPr>
                <w:rFonts w:hint="default"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13</w:t>
            </w:r>
          </w:p>
        </w:tc>
        <w:tc>
          <w:tcPr>
            <w:tcW w:w="900" w:type="dxa"/>
            <w:noWrap w:val="0"/>
            <w:vAlign w:val="center"/>
          </w:tcPr>
          <w:p w14:paraId="5F64A876">
            <w:pPr>
              <w:spacing w:line="360" w:lineRule="auto"/>
              <w:contextualSpacing/>
              <w:jc w:val="center"/>
              <w:rPr>
                <w:rFonts w:hint="default"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否</w:t>
            </w:r>
          </w:p>
        </w:tc>
        <w:tc>
          <w:tcPr>
            <w:tcW w:w="1241" w:type="dxa"/>
            <w:noWrap w:val="0"/>
            <w:vAlign w:val="center"/>
          </w:tcPr>
          <w:p w14:paraId="57000F29">
            <w:pPr>
              <w:spacing w:line="360" w:lineRule="auto"/>
              <w:contextualSpacing/>
              <w:jc w:val="center"/>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音频主机</w:t>
            </w:r>
          </w:p>
        </w:tc>
        <w:tc>
          <w:tcPr>
            <w:tcW w:w="559" w:type="dxa"/>
            <w:noWrap w:val="0"/>
            <w:vAlign w:val="center"/>
          </w:tcPr>
          <w:p w14:paraId="225ACB42">
            <w:pPr>
              <w:spacing w:line="360" w:lineRule="auto"/>
              <w:contextualSpacing/>
              <w:jc w:val="center"/>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w:t>
            </w:r>
          </w:p>
        </w:tc>
        <w:tc>
          <w:tcPr>
            <w:tcW w:w="763" w:type="dxa"/>
            <w:noWrap w:val="0"/>
            <w:vAlign w:val="center"/>
          </w:tcPr>
          <w:p w14:paraId="7B78D455">
            <w:pPr>
              <w:spacing w:line="360" w:lineRule="auto"/>
              <w:contextualSpacing/>
              <w:jc w:val="center"/>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台</w:t>
            </w:r>
          </w:p>
        </w:tc>
        <w:tc>
          <w:tcPr>
            <w:tcW w:w="969" w:type="dxa"/>
            <w:noWrap w:val="0"/>
            <w:vAlign w:val="center"/>
          </w:tcPr>
          <w:p w14:paraId="20741B31">
            <w:pPr>
              <w:spacing w:line="360" w:lineRule="auto"/>
              <w:contextualSpacing/>
              <w:jc w:val="center"/>
              <w:rPr>
                <w:rFonts w:hint="default"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2800</w:t>
            </w:r>
          </w:p>
        </w:tc>
        <w:tc>
          <w:tcPr>
            <w:tcW w:w="1213" w:type="dxa"/>
            <w:noWrap w:val="0"/>
            <w:vAlign w:val="center"/>
          </w:tcPr>
          <w:p w14:paraId="41377856">
            <w:pPr>
              <w:spacing w:line="360" w:lineRule="auto"/>
              <w:contextualSpacing/>
              <w:jc w:val="center"/>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2800</w:t>
            </w:r>
          </w:p>
        </w:tc>
        <w:tc>
          <w:tcPr>
            <w:tcW w:w="8823" w:type="dxa"/>
            <w:noWrap w:val="0"/>
            <w:vAlign w:val="center"/>
          </w:tcPr>
          <w:p w14:paraId="5FA9102F">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1.主机需采用ARM架构处理器，CPU核心数量≥4个，CPU主频≥1.5GHz，运行嵌入式Linux操作系统。</w:t>
            </w:r>
          </w:p>
          <w:p w14:paraId="11A6054B">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2.主机采用高度集成一体化设计，集成音频信号处理模块、数字功放模块、交流转直流开关电源模块。</w:t>
            </w:r>
          </w:p>
          <w:p w14:paraId="16D649F8">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3.主机采用数字功放芯片组，自带散热风扇。</w:t>
            </w:r>
          </w:p>
          <w:p w14:paraId="0487D0E5">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4.主机外壳采用全金属设计，机身高度≤1U，支持标准机架式安装，方便在讲桌及机柜内部安装部署。</w:t>
            </w:r>
          </w:p>
          <w:p w14:paraId="3E75261C">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5.支持低时延AI降噪技术，既可对教室内的空调、电风扇等稳态噪声进行抑制，也可对板书声、走路声、桌椅声等瞬态噪声进行抑制，不进行扩声输出，降噪幅度≥30dB。</w:t>
            </w:r>
          </w:p>
          <w:p w14:paraId="037292AB">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6.支持全频带全双工自适应回声消除算法，回声消除幅度≥90dB，回声消除长度≥1s。</w:t>
            </w:r>
          </w:p>
          <w:p w14:paraId="595C4C32">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7.支持自动增益控制，最大增益≥15dB。</w:t>
            </w:r>
          </w:p>
          <w:p w14:paraId="50FA6CBE">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8.支持混响抑制算法，混响抑制≥18dB。</w:t>
            </w:r>
          </w:p>
          <w:p w14:paraId="41DAD3C1">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9.支持动态波束成形算法，可对讲台区域发声源进行精准跟踪，以保证讲台区域老师的拾扩清晰度与均匀度。</w:t>
            </w:r>
          </w:p>
          <w:p w14:paraId="50A0D2B8">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10.▲支持虚拟音幕功能，在麦克风前方180°的讲台区域可以正常扩声，在麦克风后方180°的学生区域无法扩声，从而实现对学生区域嘈杂声的精准过滤。（提供国家认可的第三方检测认证机构出具的权威检测报告复印件并加盖原厂公章）</w:t>
            </w:r>
          </w:p>
          <w:p w14:paraId="2475C057">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11.▲支持一键声场检测功能，可对教室混响时间、环境噪声、频率响应、谐波失真等声学参数进行检测。（提供国家认可的第三方检测认证机构出具的权威检测报告复印件并加盖原厂公章）</w:t>
            </w:r>
          </w:p>
          <w:p w14:paraId="504DB989">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12.支持扩声模式的切换，可支持清晰模式、舒适模式、大音量模式。</w:t>
            </w:r>
          </w:p>
          <w:p w14:paraId="0AC733CF">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13.支持鹅颈麦、无线麦与吊麦自动切换。当鹅颈麦、无线麦开启并有输入后，吊麦不扩声或降低音量，保证鹅颈麦、无线麦声音清晰；鹅颈麦、无线麦关闭或静音后，自动切换到吊麦扩声，保证扩声功能正常。</w:t>
            </w:r>
          </w:p>
          <w:p w14:paraId="0A049C64">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14.支持拾扩一体功能，可通过一只吊装麦克风实现本地扩声和远程互动，本地扩音和远程互动能同时进行，并且相互不影响效果；本地扩音要求声音清晰响亮、无啸叫；远程互动要求声音清晰、无噪声和回声。</w:t>
            </w:r>
          </w:p>
          <w:p w14:paraId="01E37F89">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15.支持男声、女声模式切换功能。</w:t>
            </w:r>
          </w:p>
          <w:p w14:paraId="5932D044">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16.支持通过软件对音频主机进行音频矩阵配置、算法参数调节、升级等功能。</w:t>
            </w:r>
          </w:p>
          <w:p w14:paraId="07EA111F">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17.支持通过音频线与同品牌录播主机进行握手通信，可实现同品牌录播主机音频矩阵的自动化配置。</w:t>
            </w:r>
          </w:p>
          <w:p w14:paraId="211E9F2B">
            <w:pPr>
              <w:spacing w:line="360" w:lineRule="auto"/>
              <w:contextualSpacing/>
              <w:jc w:val="left"/>
              <w:rPr>
                <w:rFonts w:hint="eastAsia" w:ascii="仿宋" w:hAnsi="仿宋" w:eastAsia="仿宋"/>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18.标配控制面板，支持通过RS485通讯方式进行吊麦静音控制、吊麦扩声音量大小控制、吊麦默认音量设置。</w:t>
            </w:r>
          </w:p>
        </w:tc>
      </w:tr>
      <w:tr w14:paraId="4CFE0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464" w:type="dxa"/>
            <w:noWrap w:val="0"/>
            <w:vAlign w:val="center"/>
          </w:tcPr>
          <w:p w14:paraId="038735F9">
            <w:pPr>
              <w:spacing w:line="360" w:lineRule="auto"/>
              <w:contextualSpacing/>
              <w:jc w:val="center"/>
              <w:rPr>
                <w:rFonts w:hint="default"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14</w:t>
            </w:r>
          </w:p>
        </w:tc>
        <w:tc>
          <w:tcPr>
            <w:tcW w:w="900" w:type="dxa"/>
            <w:noWrap w:val="0"/>
            <w:vAlign w:val="center"/>
          </w:tcPr>
          <w:p w14:paraId="239FAD59">
            <w:pPr>
              <w:spacing w:line="360" w:lineRule="auto"/>
              <w:contextualSpacing/>
              <w:jc w:val="center"/>
              <w:rPr>
                <w:rFonts w:hint="default"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否</w:t>
            </w:r>
          </w:p>
        </w:tc>
        <w:tc>
          <w:tcPr>
            <w:tcW w:w="1241" w:type="dxa"/>
            <w:noWrap w:val="0"/>
            <w:vAlign w:val="center"/>
          </w:tcPr>
          <w:p w14:paraId="3C79BF80">
            <w:pPr>
              <w:spacing w:line="360" w:lineRule="auto"/>
              <w:contextualSpacing/>
              <w:jc w:val="center"/>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无感扩声阵列麦</w:t>
            </w:r>
          </w:p>
        </w:tc>
        <w:tc>
          <w:tcPr>
            <w:tcW w:w="559" w:type="dxa"/>
            <w:noWrap w:val="0"/>
            <w:vAlign w:val="center"/>
          </w:tcPr>
          <w:p w14:paraId="6F58DA51">
            <w:pPr>
              <w:spacing w:line="360" w:lineRule="auto"/>
              <w:contextualSpacing/>
              <w:jc w:val="center"/>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w:t>
            </w:r>
          </w:p>
        </w:tc>
        <w:tc>
          <w:tcPr>
            <w:tcW w:w="763" w:type="dxa"/>
            <w:noWrap w:val="0"/>
            <w:vAlign w:val="center"/>
          </w:tcPr>
          <w:p w14:paraId="75FD6930">
            <w:pPr>
              <w:spacing w:line="360" w:lineRule="auto"/>
              <w:contextualSpacing/>
              <w:jc w:val="center"/>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只</w:t>
            </w:r>
          </w:p>
        </w:tc>
        <w:tc>
          <w:tcPr>
            <w:tcW w:w="969" w:type="dxa"/>
            <w:noWrap w:val="0"/>
            <w:vAlign w:val="center"/>
          </w:tcPr>
          <w:p w14:paraId="232F1DBD">
            <w:pPr>
              <w:spacing w:line="360" w:lineRule="auto"/>
              <w:contextualSpacing/>
              <w:jc w:val="center"/>
              <w:rPr>
                <w:rFonts w:hint="default"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800</w:t>
            </w:r>
          </w:p>
        </w:tc>
        <w:tc>
          <w:tcPr>
            <w:tcW w:w="1213" w:type="dxa"/>
            <w:noWrap w:val="0"/>
            <w:vAlign w:val="center"/>
          </w:tcPr>
          <w:p w14:paraId="24805951">
            <w:pPr>
              <w:spacing w:line="360" w:lineRule="auto"/>
              <w:contextualSpacing/>
              <w:jc w:val="center"/>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800</w:t>
            </w:r>
          </w:p>
        </w:tc>
        <w:tc>
          <w:tcPr>
            <w:tcW w:w="8823" w:type="dxa"/>
            <w:noWrap w:val="0"/>
            <w:vAlign w:val="center"/>
          </w:tcPr>
          <w:p w14:paraId="5CBA4816">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1.麦克风采用线阵列设计，内置≥6个传感器单元。</w:t>
            </w:r>
          </w:p>
          <w:p w14:paraId="6056E436">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2.麦克风无需额外适配器供电，能够通过网线实现麦克风供电、音频信号传输。</w:t>
            </w:r>
          </w:p>
          <w:p w14:paraId="3D50DEE6">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3.麦克风采用≥2个网口进行模拟音频信号传输，配以强驱动输出电路，实现强抗干扰能力。</w:t>
            </w:r>
          </w:p>
          <w:p w14:paraId="544ECC96">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4.麦克风采用12V直流供电。</w:t>
            </w:r>
          </w:p>
          <w:p w14:paraId="6F3DA77B">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5.麦克风拾音距离≥6米。</w:t>
            </w:r>
          </w:p>
          <w:p w14:paraId="1C361E47">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6.麦克风频率响应范围为100Hz~20KHz。</w:t>
            </w:r>
          </w:p>
          <w:p w14:paraId="7B44A0F9">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7.麦克风灵敏度为-37dB±3dB。</w:t>
            </w:r>
          </w:p>
          <w:p w14:paraId="26C23834">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8.麦克风信噪比≥70dB。</w:t>
            </w:r>
          </w:p>
          <w:p w14:paraId="7F8C572F">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9.麦克风输出阻抗为100Ω±20%。</w:t>
            </w:r>
          </w:p>
          <w:p w14:paraId="5E6B46B9">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10.麦克风最大声压级≥110dBSPL。</w:t>
            </w:r>
          </w:p>
          <w:p w14:paraId="3AAC5B80">
            <w:pPr>
              <w:spacing w:line="360" w:lineRule="auto"/>
              <w:contextualSpacing/>
              <w:jc w:val="left"/>
              <w:rPr>
                <w:rFonts w:hint="eastAsia" w:ascii="仿宋" w:hAnsi="仿宋" w:eastAsia="仿宋"/>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11.麦克风采用标准1/4吋螺口，适配各种类型标准吊杆。</w:t>
            </w:r>
          </w:p>
        </w:tc>
      </w:tr>
      <w:tr w14:paraId="556B8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464" w:type="dxa"/>
            <w:noWrap w:val="0"/>
            <w:vAlign w:val="center"/>
          </w:tcPr>
          <w:p w14:paraId="768E09EE">
            <w:pPr>
              <w:spacing w:line="360" w:lineRule="auto"/>
              <w:contextualSpacing/>
              <w:jc w:val="center"/>
              <w:rPr>
                <w:rFonts w:hint="default"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15</w:t>
            </w:r>
          </w:p>
        </w:tc>
        <w:tc>
          <w:tcPr>
            <w:tcW w:w="900" w:type="dxa"/>
            <w:noWrap w:val="0"/>
            <w:vAlign w:val="center"/>
          </w:tcPr>
          <w:p w14:paraId="0F570C9D">
            <w:pPr>
              <w:spacing w:line="360" w:lineRule="auto"/>
              <w:contextualSpacing/>
              <w:jc w:val="center"/>
              <w:rPr>
                <w:rFonts w:hint="default"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否</w:t>
            </w:r>
          </w:p>
        </w:tc>
        <w:tc>
          <w:tcPr>
            <w:tcW w:w="1241" w:type="dxa"/>
            <w:noWrap w:val="0"/>
            <w:vAlign w:val="center"/>
          </w:tcPr>
          <w:p w14:paraId="13CC3C6C">
            <w:pPr>
              <w:spacing w:line="360" w:lineRule="auto"/>
              <w:contextualSpacing/>
              <w:jc w:val="center"/>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无源音箱</w:t>
            </w:r>
          </w:p>
        </w:tc>
        <w:tc>
          <w:tcPr>
            <w:tcW w:w="559" w:type="dxa"/>
            <w:noWrap w:val="0"/>
            <w:vAlign w:val="center"/>
          </w:tcPr>
          <w:p w14:paraId="461D658C">
            <w:pPr>
              <w:spacing w:line="360" w:lineRule="auto"/>
              <w:contextualSpacing/>
              <w:jc w:val="center"/>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2</w:t>
            </w:r>
          </w:p>
        </w:tc>
        <w:tc>
          <w:tcPr>
            <w:tcW w:w="763" w:type="dxa"/>
            <w:noWrap w:val="0"/>
            <w:vAlign w:val="center"/>
          </w:tcPr>
          <w:p w14:paraId="419355A1">
            <w:pPr>
              <w:spacing w:line="360" w:lineRule="auto"/>
              <w:contextualSpacing/>
              <w:jc w:val="center"/>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对</w:t>
            </w:r>
          </w:p>
        </w:tc>
        <w:tc>
          <w:tcPr>
            <w:tcW w:w="969" w:type="dxa"/>
            <w:noWrap w:val="0"/>
            <w:vAlign w:val="center"/>
          </w:tcPr>
          <w:p w14:paraId="2C32FD81">
            <w:pPr>
              <w:spacing w:line="360" w:lineRule="auto"/>
              <w:contextualSpacing/>
              <w:jc w:val="center"/>
              <w:rPr>
                <w:rFonts w:hint="default"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700</w:t>
            </w:r>
          </w:p>
        </w:tc>
        <w:tc>
          <w:tcPr>
            <w:tcW w:w="1213" w:type="dxa"/>
            <w:noWrap w:val="0"/>
            <w:vAlign w:val="center"/>
          </w:tcPr>
          <w:p w14:paraId="32CEC711">
            <w:pPr>
              <w:spacing w:line="360" w:lineRule="auto"/>
              <w:contextualSpacing/>
              <w:jc w:val="center"/>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1400</w:t>
            </w:r>
          </w:p>
        </w:tc>
        <w:tc>
          <w:tcPr>
            <w:tcW w:w="8823" w:type="dxa"/>
            <w:noWrap w:val="0"/>
            <w:vAlign w:val="center"/>
          </w:tcPr>
          <w:p w14:paraId="60014A81">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1.音箱采用≥2个喇叭单元，其中1个≥6"中低音喇叭单元，1个≥1"高音喇叭单元。</w:t>
            </w:r>
          </w:p>
          <w:p w14:paraId="3F180CD7">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2.音箱外壳采用高强度的HIPS材料。</w:t>
            </w:r>
          </w:p>
          <w:p w14:paraId="21319F9E">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3.标配原厂壁挂支架，支持水平方向±90°、垂直方向±90°范围调节。</w:t>
            </w:r>
          </w:p>
          <w:p w14:paraId="4590B958">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4.额定功率≥30W。</w:t>
            </w:r>
          </w:p>
          <w:p w14:paraId="49E6CDB2">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5.最大功率≥60W。</w:t>
            </w:r>
          </w:p>
          <w:p w14:paraId="2EC247A3">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6.阻抗为8Ω。</w:t>
            </w:r>
          </w:p>
          <w:p w14:paraId="0BA5520A">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7.最大声压级≥105dBSPL。</w:t>
            </w:r>
          </w:p>
          <w:p w14:paraId="71E5589D">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8.灵敏度为86dB（±3dB）。</w:t>
            </w:r>
          </w:p>
          <w:p w14:paraId="40A42BA8">
            <w:pPr>
              <w:spacing w:line="360" w:lineRule="auto"/>
              <w:contextualSpacing/>
              <w:jc w:val="left"/>
              <w:rPr>
                <w:rFonts w:hint="eastAsia" w:ascii="仿宋" w:hAnsi="仿宋" w:eastAsia="仿宋"/>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9.频率响应范围为70Hz~20KHz。</w:t>
            </w:r>
          </w:p>
        </w:tc>
      </w:tr>
      <w:tr w14:paraId="30E55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464" w:type="dxa"/>
            <w:noWrap w:val="0"/>
            <w:vAlign w:val="center"/>
          </w:tcPr>
          <w:p w14:paraId="5A11C18A">
            <w:pPr>
              <w:spacing w:line="360" w:lineRule="auto"/>
              <w:contextualSpacing/>
              <w:jc w:val="center"/>
              <w:rPr>
                <w:rFonts w:hint="default"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16</w:t>
            </w:r>
          </w:p>
        </w:tc>
        <w:tc>
          <w:tcPr>
            <w:tcW w:w="900" w:type="dxa"/>
            <w:noWrap w:val="0"/>
            <w:vAlign w:val="center"/>
          </w:tcPr>
          <w:p w14:paraId="63463E4C">
            <w:pPr>
              <w:spacing w:line="360" w:lineRule="auto"/>
              <w:contextualSpacing/>
              <w:jc w:val="center"/>
              <w:rPr>
                <w:rFonts w:hint="default"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否</w:t>
            </w:r>
          </w:p>
        </w:tc>
        <w:tc>
          <w:tcPr>
            <w:tcW w:w="1241" w:type="dxa"/>
            <w:noWrap w:val="0"/>
            <w:vAlign w:val="center"/>
          </w:tcPr>
          <w:p w14:paraId="619B25B0">
            <w:pPr>
              <w:spacing w:line="360" w:lineRule="auto"/>
              <w:contextualSpacing/>
              <w:jc w:val="center"/>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红外无线麦克风套件</w:t>
            </w:r>
          </w:p>
        </w:tc>
        <w:tc>
          <w:tcPr>
            <w:tcW w:w="559" w:type="dxa"/>
            <w:noWrap w:val="0"/>
            <w:vAlign w:val="center"/>
          </w:tcPr>
          <w:p w14:paraId="421F4971">
            <w:pPr>
              <w:spacing w:line="360" w:lineRule="auto"/>
              <w:contextualSpacing/>
              <w:jc w:val="center"/>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w:t>
            </w:r>
          </w:p>
        </w:tc>
        <w:tc>
          <w:tcPr>
            <w:tcW w:w="763" w:type="dxa"/>
            <w:noWrap w:val="0"/>
            <w:vAlign w:val="center"/>
          </w:tcPr>
          <w:p w14:paraId="3AA41E56">
            <w:pPr>
              <w:spacing w:line="360" w:lineRule="auto"/>
              <w:contextualSpacing/>
              <w:jc w:val="center"/>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套</w:t>
            </w:r>
          </w:p>
        </w:tc>
        <w:tc>
          <w:tcPr>
            <w:tcW w:w="969" w:type="dxa"/>
            <w:noWrap w:val="0"/>
            <w:vAlign w:val="center"/>
          </w:tcPr>
          <w:p w14:paraId="2C00DFD3">
            <w:pPr>
              <w:spacing w:line="360" w:lineRule="auto"/>
              <w:contextualSpacing/>
              <w:jc w:val="center"/>
              <w:rPr>
                <w:rFonts w:hint="default"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976</w:t>
            </w:r>
          </w:p>
        </w:tc>
        <w:tc>
          <w:tcPr>
            <w:tcW w:w="1213" w:type="dxa"/>
            <w:noWrap w:val="0"/>
            <w:vAlign w:val="center"/>
          </w:tcPr>
          <w:p w14:paraId="1608EA0C">
            <w:pPr>
              <w:spacing w:line="360" w:lineRule="auto"/>
              <w:contextualSpacing/>
              <w:jc w:val="center"/>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976</w:t>
            </w:r>
          </w:p>
        </w:tc>
        <w:tc>
          <w:tcPr>
            <w:tcW w:w="8823" w:type="dxa"/>
            <w:noWrap w:val="0"/>
            <w:vAlign w:val="center"/>
          </w:tcPr>
          <w:p w14:paraId="0577E4B4">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一、无线麦克风</w:t>
            </w:r>
          </w:p>
          <w:p w14:paraId="1579D3DE">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1.全套麦克风整机3.5mm音频接口≥2个。</w:t>
            </w:r>
          </w:p>
          <w:p w14:paraId="1F8BDA7D">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2.全套麦克风整机≥3个USB Type-C接口，单个麦克风支持≥1个USB Type-C接口。</w:t>
            </w:r>
          </w:p>
          <w:p w14:paraId="1B7FD218">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3.麦克风支持≥1个Pogo pin接口，支持通过Pogo pin接口进行充电。整机Pogo pin接口≥2个。</w:t>
            </w:r>
          </w:p>
          <w:p w14:paraId="517571EE">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4.麦克风支持≥1个三合一按键，可控制麦克风的开关机、静音和配对。</w:t>
            </w:r>
          </w:p>
          <w:p w14:paraId="0ABB0A9B">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5.麦克风支持≥2个音量控制按钮，可通过音量“+”“-”按钮控制麦克风输出音量。</w:t>
            </w:r>
          </w:p>
          <w:p w14:paraId="1A895563">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6.麦克风标配充电仓，可用于充电及收纳。</w:t>
            </w:r>
          </w:p>
          <w:p w14:paraId="0D5C2EA0">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7.麦克风充电仓支持电量指示，通过灯珠亮灭数量充电仓剩余电量及充电状态。</w:t>
            </w:r>
          </w:p>
          <w:p w14:paraId="03017A55">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二、接收器</w:t>
            </w:r>
          </w:p>
          <w:p w14:paraId="736A79C4">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1.支持≥1个USB Type-C接口。</w:t>
            </w:r>
          </w:p>
          <w:p w14:paraId="4F389CA8">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2.支持≥1个3.5mm Line out音频输出接口。</w:t>
            </w:r>
          </w:p>
          <w:p w14:paraId="6DC2D8C6">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3.支持内置状态显示灯，可显示当前接收器工作状态。</w:t>
            </w:r>
          </w:p>
          <w:p w14:paraId="11F15D5B">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4.支持壁挂支架安装，实现0°或180°安装。</w:t>
            </w:r>
          </w:p>
          <w:p w14:paraId="07883E26">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5.供电电压DC≤5V。</w:t>
            </w:r>
          </w:p>
          <w:p w14:paraId="3F572A67">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6.支持通过录播系统，实现OTA自动升级。</w:t>
            </w:r>
          </w:p>
          <w:p w14:paraId="0B31DC8D">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7.支持通过Type-C接口实现手动升级。</w:t>
            </w:r>
          </w:p>
          <w:p w14:paraId="10BA81B2">
            <w:pPr>
              <w:spacing w:line="360" w:lineRule="auto"/>
              <w:contextualSpacing/>
              <w:jc w:val="left"/>
              <w:rPr>
                <w:rFonts w:hint="eastAsia" w:ascii="仿宋" w:hAnsi="仿宋" w:eastAsia="仿宋"/>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8.支持同时连接两个麦克风并工作。</w:t>
            </w:r>
          </w:p>
        </w:tc>
      </w:tr>
      <w:tr w14:paraId="106D9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464" w:type="dxa"/>
            <w:noWrap w:val="0"/>
            <w:vAlign w:val="center"/>
          </w:tcPr>
          <w:p w14:paraId="07A3CF69">
            <w:pPr>
              <w:spacing w:line="360" w:lineRule="auto"/>
              <w:contextualSpacing/>
              <w:jc w:val="center"/>
              <w:rPr>
                <w:rFonts w:hint="default"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17</w:t>
            </w:r>
          </w:p>
        </w:tc>
        <w:tc>
          <w:tcPr>
            <w:tcW w:w="900" w:type="dxa"/>
            <w:noWrap w:val="0"/>
            <w:vAlign w:val="center"/>
          </w:tcPr>
          <w:p w14:paraId="148FC07D">
            <w:pPr>
              <w:spacing w:line="360" w:lineRule="auto"/>
              <w:contextualSpacing/>
              <w:jc w:val="center"/>
              <w:rPr>
                <w:rFonts w:hint="default"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否</w:t>
            </w:r>
          </w:p>
        </w:tc>
        <w:tc>
          <w:tcPr>
            <w:tcW w:w="1241" w:type="dxa"/>
            <w:noWrap w:val="0"/>
            <w:vAlign w:val="center"/>
          </w:tcPr>
          <w:p w14:paraId="2D2F6E06">
            <w:pPr>
              <w:spacing w:line="360" w:lineRule="auto"/>
              <w:contextualSpacing/>
              <w:jc w:val="center"/>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鹅颈麦</w:t>
            </w:r>
          </w:p>
        </w:tc>
        <w:tc>
          <w:tcPr>
            <w:tcW w:w="559" w:type="dxa"/>
            <w:noWrap w:val="0"/>
            <w:vAlign w:val="center"/>
          </w:tcPr>
          <w:p w14:paraId="404CEA46">
            <w:pPr>
              <w:spacing w:line="360" w:lineRule="auto"/>
              <w:contextualSpacing/>
              <w:jc w:val="center"/>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w:t>
            </w:r>
          </w:p>
        </w:tc>
        <w:tc>
          <w:tcPr>
            <w:tcW w:w="763" w:type="dxa"/>
            <w:noWrap w:val="0"/>
            <w:vAlign w:val="center"/>
          </w:tcPr>
          <w:p w14:paraId="0BAAC9F1">
            <w:pPr>
              <w:spacing w:line="360" w:lineRule="auto"/>
              <w:contextualSpacing/>
              <w:jc w:val="center"/>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只</w:t>
            </w:r>
          </w:p>
        </w:tc>
        <w:tc>
          <w:tcPr>
            <w:tcW w:w="969" w:type="dxa"/>
            <w:noWrap w:val="0"/>
            <w:vAlign w:val="center"/>
          </w:tcPr>
          <w:p w14:paraId="2B45F8CA">
            <w:pPr>
              <w:spacing w:line="360" w:lineRule="auto"/>
              <w:contextualSpacing/>
              <w:jc w:val="center"/>
              <w:rPr>
                <w:rFonts w:hint="default"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720</w:t>
            </w:r>
          </w:p>
        </w:tc>
        <w:tc>
          <w:tcPr>
            <w:tcW w:w="1213" w:type="dxa"/>
            <w:noWrap w:val="0"/>
            <w:vAlign w:val="center"/>
          </w:tcPr>
          <w:p w14:paraId="05544505">
            <w:pPr>
              <w:spacing w:line="360" w:lineRule="auto"/>
              <w:contextualSpacing/>
              <w:jc w:val="center"/>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720</w:t>
            </w:r>
          </w:p>
        </w:tc>
        <w:tc>
          <w:tcPr>
            <w:tcW w:w="8823" w:type="dxa"/>
            <w:noWrap w:val="0"/>
            <w:vAlign w:val="center"/>
          </w:tcPr>
          <w:p w14:paraId="4137C63D">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1.拾音方式：电容式</w:t>
            </w:r>
          </w:p>
          <w:p w14:paraId="4452142E">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2.频率响应范围为：40Hz~16KHz。</w:t>
            </w:r>
          </w:p>
          <w:p w14:paraId="1A1099B5">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3.指向性：超心型指向。</w:t>
            </w:r>
          </w:p>
          <w:p w14:paraId="71C5DA8C">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4.输出电阻抗为：200Ω。</w:t>
            </w:r>
          </w:p>
          <w:p w14:paraId="0EE1A44C">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5.灵敏度为-40dB±2dB。</w:t>
            </w:r>
          </w:p>
          <w:p w14:paraId="25CDABD4">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6.供电电压为DC3V/幻象48V 。</w:t>
            </w:r>
          </w:p>
          <w:p w14:paraId="4CFFB30A">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7.采用平衡信号输出。</w:t>
            </w:r>
          </w:p>
          <w:p w14:paraId="2F37480C">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8.采用管灯进行工作状态指示。</w:t>
            </w:r>
          </w:p>
          <w:p w14:paraId="002FA974">
            <w:pPr>
              <w:spacing w:line="360" w:lineRule="auto"/>
              <w:contextualSpacing/>
              <w:jc w:val="left"/>
              <w:rPr>
                <w:rFonts w:hint="eastAsia" w:ascii="仿宋" w:hAnsi="仿宋" w:eastAsia="仿宋"/>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9.采用电子轻触式开关。</w:t>
            </w:r>
          </w:p>
        </w:tc>
      </w:tr>
      <w:tr w14:paraId="68A64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464" w:type="dxa"/>
            <w:noWrap w:val="0"/>
            <w:vAlign w:val="center"/>
          </w:tcPr>
          <w:p w14:paraId="3C31E836">
            <w:pPr>
              <w:spacing w:line="360" w:lineRule="auto"/>
              <w:contextualSpacing/>
              <w:jc w:val="center"/>
              <w:rPr>
                <w:rFonts w:hint="default"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18</w:t>
            </w:r>
          </w:p>
        </w:tc>
        <w:tc>
          <w:tcPr>
            <w:tcW w:w="900" w:type="dxa"/>
            <w:noWrap w:val="0"/>
            <w:vAlign w:val="center"/>
          </w:tcPr>
          <w:p w14:paraId="497CD26F">
            <w:pPr>
              <w:spacing w:line="360" w:lineRule="auto"/>
              <w:contextualSpacing/>
              <w:jc w:val="center"/>
              <w:rPr>
                <w:rFonts w:hint="default"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否</w:t>
            </w:r>
          </w:p>
        </w:tc>
        <w:tc>
          <w:tcPr>
            <w:tcW w:w="1241" w:type="dxa"/>
            <w:noWrap w:val="0"/>
            <w:vAlign w:val="center"/>
          </w:tcPr>
          <w:p w14:paraId="3EBC03FC">
            <w:pPr>
              <w:spacing w:line="360" w:lineRule="auto"/>
              <w:contextualSpacing/>
              <w:jc w:val="center"/>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终端互动教学系统</w:t>
            </w:r>
          </w:p>
        </w:tc>
        <w:tc>
          <w:tcPr>
            <w:tcW w:w="559" w:type="dxa"/>
            <w:noWrap w:val="0"/>
            <w:vAlign w:val="center"/>
          </w:tcPr>
          <w:p w14:paraId="1E416FF0">
            <w:pPr>
              <w:spacing w:line="360" w:lineRule="auto"/>
              <w:contextualSpacing/>
              <w:jc w:val="center"/>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50</w:t>
            </w:r>
          </w:p>
        </w:tc>
        <w:tc>
          <w:tcPr>
            <w:tcW w:w="763" w:type="dxa"/>
            <w:noWrap w:val="0"/>
            <w:vAlign w:val="center"/>
          </w:tcPr>
          <w:p w14:paraId="581B4981">
            <w:pPr>
              <w:spacing w:line="360" w:lineRule="auto"/>
              <w:contextualSpacing/>
              <w:jc w:val="center"/>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点</w:t>
            </w:r>
          </w:p>
        </w:tc>
        <w:tc>
          <w:tcPr>
            <w:tcW w:w="969" w:type="dxa"/>
            <w:noWrap w:val="0"/>
            <w:vAlign w:val="center"/>
          </w:tcPr>
          <w:p w14:paraId="2D12C722">
            <w:pPr>
              <w:spacing w:line="360" w:lineRule="auto"/>
              <w:contextualSpacing/>
              <w:jc w:val="center"/>
              <w:rPr>
                <w:rFonts w:hint="default"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850</w:t>
            </w:r>
          </w:p>
        </w:tc>
        <w:tc>
          <w:tcPr>
            <w:tcW w:w="1213" w:type="dxa"/>
            <w:noWrap w:val="0"/>
            <w:vAlign w:val="center"/>
          </w:tcPr>
          <w:p w14:paraId="717CC6DB">
            <w:pPr>
              <w:spacing w:line="360" w:lineRule="auto"/>
              <w:contextualSpacing/>
              <w:jc w:val="center"/>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42500</w:t>
            </w:r>
          </w:p>
        </w:tc>
        <w:tc>
          <w:tcPr>
            <w:tcW w:w="8823" w:type="dxa"/>
            <w:noWrap w:val="0"/>
            <w:vAlign w:val="center"/>
          </w:tcPr>
          <w:p w14:paraId="0F6321E9">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支持公网连接互动课堂，实现PC端推送给学生平板选择题、抢答、抽选、锁屏、发表观点、收集数据、主观评价、截屏推送、拍照上传、交互式课件推送等功能，支持至少4个远程班级接入，支持本地班级与远程班级共同接入授课。</w:t>
            </w:r>
          </w:p>
          <w:p w14:paraId="4160C149">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2.教师可将交互式课件资料下发给学生，并支持学生完成点击、拖拽、批注等操作，支持笔迹批注、擦除。支持学生通过交互式课件直接打开各类学科工具，包含：古诗词、数学函数、汉字、英汉词典工具。支持学生打开古诗词的原文、翻译、诗词背景和诗人简介，支持播放诗词录音。教师可通过屏幕截图或实时画面了解学生作答情况及课堂笔记。支持分组下发交互式课件，能够针对不同学生组别一键推送课件不同页码的内容。</w:t>
            </w:r>
          </w:p>
          <w:p w14:paraId="03A0AD5D">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3.▲教师可编辑和下发游戏化互动题目，支持创建趣味分类、超级分类、选词填空、知识配对、分组竞争的活动，需提供每个活动不少于9个模版。支持教师自主替换页面及活动元素背景，支持自定义元素内容，需支持添加数学公式、化学方程式到游戏元素的内容中。学生通过终端作答后，可自动呈现作答结果报告，教师端可收集全班学生在每一个选项的答题正确率及错误学生名单。（提供国家认可的第三方权威检测机构出具的检测报告复印件）</w:t>
            </w:r>
          </w:p>
          <w:p w14:paraId="309120D2">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4.▲听课模式下学生可将作业、试卷等用现场拍照即时上传教师授课端。学生在拍照作答时，支持照片编辑进行图像处理，提升可阅读性，并且图像处理区域可以自动识别纸张区域，还可以进行处理区域的手动调整。教师授课端可随机抽选、指定学生、学生一键举手进行展示，并支持对每张图片进行标注、擦除、旋转、手势放大缩小等操作，分屏支持全屏放映，切换过程不影响批注结果，展示过程学生屏幕支持教师手动管控、支持将展示内容“一对多”广播到学生智能终端。教师可按照学生排序或分组排序查看已上传的图片，选择图片进行展示。（提供国家认可的第三方权威检测机构出具的检测报告复印件）</w:t>
            </w:r>
          </w:p>
          <w:p w14:paraId="7B4DD5EC">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5.▲支持教师发起课堂即时问答，支持预设题目数量、答题时间，并推送相应题干内容至学生端供学生作答，支持单选题、多选题、判断题等多种题型。答题过程中实时统计答题进度、查看未作答学生名单。答题结束后以学生或小组形式汇总各题各选项的选择名单及题目正确率。同时支持根据答题结果进行学生抽选，并可发起两次作答对比。（提供国家认可的第三方权威检测机构出具的检测报告复印件）</w:t>
            </w:r>
          </w:p>
          <w:p w14:paraId="35065B54">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6.支持学生通过终端发表个人观点，可输入不少于6条观点。教师端采集全班观点后，自动生成观点文字排布图，并支持筛选词频展示主流观点。支持按照观点相同人数进行排序展示。支持随机抽选单个学生展示其观点。</w:t>
            </w:r>
          </w:p>
          <w:p w14:paraId="5A80CAB6">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7.▲提供小组合作学习功能，教师可通过手动或学生自选的方式进行分组，分组后教师可分别下发一个或多个任务，学生可查看任务相关学习文件资源，小组成员可进行协同编辑。支持小组内不同学生通过不同终端在同一白板操作界面上实时输入笔迹、文本、图片等内容，并可支持学生之间相互协作编辑。支持对文档内容进行复制粘贴，支持学生对教师下发资料进行截图并插入；协作任务结束后教师可查看所有小组的任务结果并给予评价。（提供国家认可的第三方权威检测机构出具的检测报告复印件）</w:t>
            </w:r>
          </w:p>
          <w:p w14:paraId="7947A4FD">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8.从平台资源库或自建资源库中调出教学资源进行备课。平台资源库提供不少于600万道精品题库、20000份精品试卷、15000个交互式课件资源，支持以教材章节结构、知识点结构、精品卷库进行选择；精品卷库提供小初高知识点微课、小初高真题试卷，其中真题试卷包括小、初、高全学科试卷，涵盖中考真题、高考真题、会考真题、中高考模拟题、期中期末测试卷、月考单元卷等各类型试卷，支持按照地区、分类、年份、年级、使用量等不少于5种维度进行筛选；教材章节结构提供习题和同步卷，同步资源提供交互课件、PPT、视频、图片、音频等资源类型，其中习题可根据学科、年级、教材、章节点、难度、题型、题类、来源范围、年份标签进行筛选查询；知识点结构中的习题，可根据学段、学科、知识点、题型、难度、题类、来源范围、年份标签进行筛选查询。支持过滤已用过的资源。</w:t>
            </w:r>
          </w:p>
          <w:p w14:paraId="2DC1905D">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9.支持教师自由组合微课、文档、图片、习题，形成课程教学资源包推送给学生，并可按照课前导学、课堂任务和课后巩固以不同场景推送，支持针对学生或小组进行教学内容的差异化分层推送，针对不同学情推送课程教学资源包。</w:t>
            </w:r>
          </w:p>
          <w:p w14:paraId="5561B7DE">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10.▲作业需支持年级统一布置：支持学校管理员对指定教师授权统一布置作业的管理员权限，已授权的单个教师可以统一布置全年级作业，支持配置定时布置、要求完成时间和限制作答时长，布置完成后支持统一删除作业。支持管理员针对统一布置的作业进行成绩导出。（提供国家认可的第三方权威检测机构出具的检测报告复印件）</w:t>
            </w:r>
          </w:p>
          <w:p w14:paraId="158E3590">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11.答题卡功能：支持教师自主创建答题卡，可编辑答题卡名称、选择章节目录，支持以图片、音频、PDF、Word形式添加题目和答案解析。答题卡支持题目分组模式，可按照题目组添加题目。支持最多上传16个文件，可直接下发至学生端，学生可下载题目和答案解析并支持打印。</w:t>
            </w:r>
          </w:p>
          <w:p w14:paraId="7D714E60">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12.▲班级作业报告-报告概览功能：教师可查看作业所下发资源的人均查看次数、人均用时、未学习学生人数和名单；每个学生查看资源的用时情况和学习进度情况，可依据数据对学生进行排序；并明确标记用时最长和最短的学生，供教师查看。学生作业情况支持导出，包含学生姓名、学生学号、答题正确情况、答题用时情况、以及每小题的答题正确情况。（提供国家认可的第三方权威检测机构出具的检测报告复印件）</w:t>
            </w:r>
          </w:p>
          <w:p w14:paraId="47B56C19">
            <w:pPr>
              <w:spacing w:line="360" w:lineRule="auto"/>
              <w:contextualSpacing/>
              <w:jc w:val="left"/>
              <w:rPr>
                <w:rFonts w:hint="eastAsia" w:ascii="仿宋" w:hAnsi="仿宋" w:eastAsia="仿宋"/>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13.支持数据看板查看学校、教师、学生的详细教学与学习数据：开通学校数、活跃教师数、教师使用率、活跃学生数、学生使用率。</w:t>
            </w:r>
          </w:p>
        </w:tc>
      </w:tr>
      <w:tr w14:paraId="667ED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464" w:type="dxa"/>
            <w:noWrap w:val="0"/>
            <w:vAlign w:val="center"/>
          </w:tcPr>
          <w:p w14:paraId="68B1F6F3">
            <w:pPr>
              <w:spacing w:line="360" w:lineRule="auto"/>
              <w:contextualSpacing/>
              <w:jc w:val="center"/>
              <w:rPr>
                <w:rFonts w:hint="default"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19</w:t>
            </w:r>
          </w:p>
        </w:tc>
        <w:tc>
          <w:tcPr>
            <w:tcW w:w="900" w:type="dxa"/>
            <w:noWrap w:val="0"/>
            <w:vAlign w:val="center"/>
          </w:tcPr>
          <w:p w14:paraId="4688039A">
            <w:pPr>
              <w:spacing w:line="360" w:lineRule="auto"/>
              <w:contextualSpacing/>
              <w:jc w:val="center"/>
              <w:rPr>
                <w:rFonts w:hint="default"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否</w:t>
            </w:r>
          </w:p>
        </w:tc>
        <w:tc>
          <w:tcPr>
            <w:tcW w:w="1241" w:type="dxa"/>
            <w:noWrap w:val="0"/>
            <w:vAlign w:val="center"/>
          </w:tcPr>
          <w:p w14:paraId="2FCEB0DE">
            <w:pPr>
              <w:spacing w:line="360" w:lineRule="auto"/>
              <w:contextualSpacing/>
              <w:jc w:val="center"/>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无线AC管理器</w:t>
            </w:r>
          </w:p>
        </w:tc>
        <w:tc>
          <w:tcPr>
            <w:tcW w:w="559" w:type="dxa"/>
            <w:noWrap w:val="0"/>
            <w:vAlign w:val="center"/>
          </w:tcPr>
          <w:p w14:paraId="553F89B0">
            <w:pPr>
              <w:spacing w:line="360" w:lineRule="auto"/>
              <w:contextualSpacing/>
              <w:jc w:val="center"/>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w:t>
            </w:r>
          </w:p>
        </w:tc>
        <w:tc>
          <w:tcPr>
            <w:tcW w:w="763" w:type="dxa"/>
            <w:noWrap w:val="0"/>
            <w:vAlign w:val="center"/>
          </w:tcPr>
          <w:p w14:paraId="3A030AAB">
            <w:pPr>
              <w:spacing w:line="360" w:lineRule="auto"/>
              <w:contextualSpacing/>
              <w:jc w:val="center"/>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台</w:t>
            </w:r>
          </w:p>
        </w:tc>
        <w:tc>
          <w:tcPr>
            <w:tcW w:w="969" w:type="dxa"/>
            <w:noWrap w:val="0"/>
            <w:vAlign w:val="center"/>
          </w:tcPr>
          <w:p w14:paraId="4255562F">
            <w:pPr>
              <w:spacing w:line="360" w:lineRule="auto"/>
              <w:contextualSpacing/>
              <w:jc w:val="center"/>
              <w:rPr>
                <w:rFonts w:hint="default"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1500</w:t>
            </w:r>
          </w:p>
        </w:tc>
        <w:tc>
          <w:tcPr>
            <w:tcW w:w="1213" w:type="dxa"/>
            <w:noWrap w:val="0"/>
            <w:vAlign w:val="center"/>
          </w:tcPr>
          <w:p w14:paraId="61A3C50F">
            <w:pPr>
              <w:spacing w:line="360" w:lineRule="auto"/>
              <w:contextualSpacing/>
              <w:jc w:val="center"/>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1500</w:t>
            </w:r>
          </w:p>
        </w:tc>
        <w:tc>
          <w:tcPr>
            <w:tcW w:w="8823" w:type="dxa"/>
            <w:noWrap w:val="0"/>
            <w:vAlign w:val="center"/>
          </w:tcPr>
          <w:p w14:paraId="35A3511E">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1.固定端口：10个10/100/1000M电口，其中最多支持4个WAN口</w:t>
            </w:r>
          </w:p>
          <w:p w14:paraId="12F10DE7">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2.内存：≥256MB</w:t>
            </w:r>
          </w:p>
          <w:p w14:paraId="36B2A4B2">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3.带机数：不少于200台</w:t>
            </w:r>
          </w:p>
          <w:p w14:paraId="1BE56BD1">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3.带宽：1000Mbps</w:t>
            </w:r>
          </w:p>
          <w:p w14:paraId="30549FE6">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5.整机容量：最大可管理数量为128</w:t>
            </w:r>
          </w:p>
          <w:p w14:paraId="0B520E41">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6.VPN:IPsec VPN（8条隧道）支持服务器与客户端模式</w:t>
            </w:r>
          </w:p>
          <w:p w14:paraId="41A11A27">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7.流量控制：支持自定义流控策略，支持基于IP的自动弹性带宽功能</w:t>
            </w:r>
          </w:p>
          <w:p w14:paraId="6C2893B6">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8.流量审计：实施流量审计、IP流量可视化</w:t>
            </w:r>
          </w:p>
          <w:p w14:paraId="63F1B9D0">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9.行为管理：支持基于时间和IP测量的应用阻断、支持网站过滤、QQ黑白名单等</w:t>
            </w:r>
          </w:p>
          <w:p w14:paraId="3B7668E9">
            <w:pPr>
              <w:spacing w:line="360" w:lineRule="auto"/>
              <w:contextualSpacing/>
              <w:jc w:val="left"/>
              <w:rPr>
                <w:rFonts w:hint="eastAsia" w:ascii="仿宋" w:hAnsi="仿宋" w:eastAsia="仿宋"/>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10.应用识别：内置自助研发应用特征，对应用进行识别，支持免费升级</w:t>
            </w:r>
          </w:p>
        </w:tc>
      </w:tr>
      <w:tr w14:paraId="473A3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464" w:type="dxa"/>
            <w:noWrap w:val="0"/>
            <w:vAlign w:val="center"/>
          </w:tcPr>
          <w:p w14:paraId="793020B5">
            <w:pPr>
              <w:spacing w:line="360" w:lineRule="auto"/>
              <w:contextualSpacing/>
              <w:jc w:val="center"/>
              <w:rPr>
                <w:rFonts w:hint="default"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20</w:t>
            </w:r>
          </w:p>
        </w:tc>
        <w:tc>
          <w:tcPr>
            <w:tcW w:w="900" w:type="dxa"/>
            <w:noWrap w:val="0"/>
            <w:vAlign w:val="center"/>
          </w:tcPr>
          <w:p w14:paraId="170141BA">
            <w:pPr>
              <w:spacing w:line="360" w:lineRule="auto"/>
              <w:contextualSpacing/>
              <w:jc w:val="center"/>
              <w:rPr>
                <w:rFonts w:hint="default"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否</w:t>
            </w:r>
          </w:p>
        </w:tc>
        <w:tc>
          <w:tcPr>
            <w:tcW w:w="1241" w:type="dxa"/>
            <w:noWrap w:val="0"/>
            <w:vAlign w:val="center"/>
          </w:tcPr>
          <w:p w14:paraId="650D03F3">
            <w:pPr>
              <w:spacing w:line="360" w:lineRule="auto"/>
              <w:contextualSpacing/>
              <w:jc w:val="center"/>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无线AP</w:t>
            </w:r>
          </w:p>
        </w:tc>
        <w:tc>
          <w:tcPr>
            <w:tcW w:w="559" w:type="dxa"/>
            <w:noWrap w:val="0"/>
            <w:vAlign w:val="center"/>
          </w:tcPr>
          <w:p w14:paraId="4B03C304">
            <w:pPr>
              <w:spacing w:line="360" w:lineRule="auto"/>
              <w:contextualSpacing/>
              <w:jc w:val="center"/>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4</w:t>
            </w:r>
          </w:p>
        </w:tc>
        <w:tc>
          <w:tcPr>
            <w:tcW w:w="763" w:type="dxa"/>
            <w:noWrap w:val="0"/>
            <w:vAlign w:val="center"/>
          </w:tcPr>
          <w:p w14:paraId="7774CDAE">
            <w:pPr>
              <w:spacing w:line="360" w:lineRule="auto"/>
              <w:contextualSpacing/>
              <w:jc w:val="center"/>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台</w:t>
            </w:r>
          </w:p>
        </w:tc>
        <w:tc>
          <w:tcPr>
            <w:tcW w:w="969" w:type="dxa"/>
            <w:noWrap w:val="0"/>
            <w:vAlign w:val="center"/>
          </w:tcPr>
          <w:p w14:paraId="666F9879">
            <w:pPr>
              <w:spacing w:line="360" w:lineRule="auto"/>
              <w:contextualSpacing/>
              <w:jc w:val="center"/>
              <w:rPr>
                <w:rFonts w:hint="default"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975</w:t>
            </w:r>
          </w:p>
        </w:tc>
        <w:tc>
          <w:tcPr>
            <w:tcW w:w="1213" w:type="dxa"/>
            <w:noWrap w:val="0"/>
            <w:vAlign w:val="center"/>
          </w:tcPr>
          <w:p w14:paraId="49CF49D2">
            <w:pPr>
              <w:spacing w:line="360" w:lineRule="auto"/>
              <w:contextualSpacing/>
              <w:jc w:val="center"/>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3900</w:t>
            </w:r>
          </w:p>
        </w:tc>
        <w:tc>
          <w:tcPr>
            <w:tcW w:w="8823" w:type="dxa"/>
            <w:noWrap w:val="0"/>
            <w:vAlign w:val="center"/>
          </w:tcPr>
          <w:p w14:paraId="4357D3BD">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1.空间流数：2.4G 2条流2X2MIMO；5G单条流</w:t>
            </w:r>
          </w:p>
          <w:p w14:paraId="5E5BEF76">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2.传输速率：2.4GHz支持802.11b/g/n300Mbps;5GHz支持802.11a/n/ac433Mbps</w:t>
            </w:r>
          </w:p>
          <w:p w14:paraId="6631516E">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3.发射功率：≤100mw</w:t>
            </w:r>
          </w:p>
          <w:p w14:paraId="2C91A8C5">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4.设备端口：1个10/100/1000Mbps自协商以太网口；1个DC口；1个Reset口</w:t>
            </w:r>
          </w:p>
          <w:p w14:paraId="11AE3B51">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5.PoE:支持802.3af/802.3at兼容供电</w:t>
            </w:r>
          </w:p>
          <w:p w14:paraId="015E8502">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6.内置天线：内置低辐射全向天线</w:t>
            </w:r>
          </w:p>
          <w:p w14:paraId="2791955A">
            <w:pPr>
              <w:spacing w:line="360" w:lineRule="auto"/>
              <w:contextualSpacing/>
              <w:jc w:val="left"/>
              <w:rPr>
                <w:rFonts w:hint="eastAsia" w:ascii="仿宋" w:hAnsi="仿宋" w:eastAsia="仿宋"/>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7.最大接入用户数：64</w:t>
            </w:r>
          </w:p>
        </w:tc>
      </w:tr>
      <w:tr w14:paraId="22732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464" w:type="dxa"/>
            <w:noWrap w:val="0"/>
            <w:vAlign w:val="center"/>
          </w:tcPr>
          <w:p w14:paraId="7E382310">
            <w:pPr>
              <w:spacing w:line="360" w:lineRule="auto"/>
              <w:contextualSpacing/>
              <w:jc w:val="center"/>
              <w:rPr>
                <w:rFonts w:hint="default"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21</w:t>
            </w:r>
          </w:p>
        </w:tc>
        <w:tc>
          <w:tcPr>
            <w:tcW w:w="900" w:type="dxa"/>
            <w:noWrap w:val="0"/>
            <w:vAlign w:val="center"/>
          </w:tcPr>
          <w:p w14:paraId="0299D453">
            <w:pPr>
              <w:spacing w:line="360" w:lineRule="auto"/>
              <w:contextualSpacing/>
              <w:jc w:val="center"/>
              <w:rPr>
                <w:rFonts w:hint="default"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否</w:t>
            </w:r>
          </w:p>
        </w:tc>
        <w:tc>
          <w:tcPr>
            <w:tcW w:w="1241" w:type="dxa"/>
            <w:noWrap w:val="0"/>
            <w:vAlign w:val="center"/>
          </w:tcPr>
          <w:p w14:paraId="3F255F16">
            <w:pPr>
              <w:spacing w:line="360" w:lineRule="auto"/>
              <w:contextualSpacing/>
              <w:jc w:val="center"/>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电源时序器</w:t>
            </w:r>
          </w:p>
        </w:tc>
        <w:tc>
          <w:tcPr>
            <w:tcW w:w="559" w:type="dxa"/>
            <w:noWrap w:val="0"/>
            <w:vAlign w:val="center"/>
          </w:tcPr>
          <w:p w14:paraId="0F629DFA">
            <w:pPr>
              <w:spacing w:line="360" w:lineRule="auto"/>
              <w:contextualSpacing/>
              <w:jc w:val="center"/>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w:t>
            </w:r>
          </w:p>
        </w:tc>
        <w:tc>
          <w:tcPr>
            <w:tcW w:w="763" w:type="dxa"/>
            <w:noWrap w:val="0"/>
            <w:vAlign w:val="center"/>
          </w:tcPr>
          <w:p w14:paraId="06815791">
            <w:pPr>
              <w:spacing w:line="360" w:lineRule="auto"/>
              <w:contextualSpacing/>
              <w:jc w:val="center"/>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个</w:t>
            </w:r>
          </w:p>
        </w:tc>
        <w:tc>
          <w:tcPr>
            <w:tcW w:w="969" w:type="dxa"/>
            <w:noWrap w:val="0"/>
            <w:vAlign w:val="center"/>
          </w:tcPr>
          <w:p w14:paraId="6B8130B0">
            <w:pPr>
              <w:spacing w:line="360" w:lineRule="auto"/>
              <w:contextualSpacing/>
              <w:jc w:val="center"/>
              <w:rPr>
                <w:rFonts w:hint="default"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900</w:t>
            </w:r>
          </w:p>
        </w:tc>
        <w:tc>
          <w:tcPr>
            <w:tcW w:w="1213" w:type="dxa"/>
            <w:noWrap w:val="0"/>
            <w:vAlign w:val="center"/>
          </w:tcPr>
          <w:p w14:paraId="23C97945">
            <w:pPr>
              <w:spacing w:line="360" w:lineRule="auto"/>
              <w:contextualSpacing/>
              <w:jc w:val="center"/>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900</w:t>
            </w:r>
          </w:p>
        </w:tc>
        <w:tc>
          <w:tcPr>
            <w:tcW w:w="8823" w:type="dxa"/>
            <w:noWrap w:val="0"/>
            <w:vAlign w:val="center"/>
          </w:tcPr>
          <w:p w14:paraId="2694C973">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1.支持实时监控电源电压的LED显示窗口。</w:t>
            </w:r>
          </w:p>
          <w:p w14:paraId="0826031B">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2.内含微控制器，从1路到8路顺序开机和从8路到1路逆序关机，外加1路交流直通输出。</w:t>
            </w:r>
          </w:p>
          <w:p w14:paraId="6163104C">
            <w:pPr>
              <w:spacing w:line="360" w:lineRule="auto"/>
              <w:contextualSpacing/>
              <w:jc w:val="left"/>
              <w:rPr>
                <w:rFonts w:hint="eastAsia" w:ascii="仿宋" w:hAnsi="仿宋" w:eastAsia="仿宋"/>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3.单路最大输出电流≤15A。</w:t>
            </w:r>
          </w:p>
        </w:tc>
      </w:tr>
      <w:tr w14:paraId="79FCE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464" w:type="dxa"/>
            <w:noWrap w:val="0"/>
            <w:vAlign w:val="center"/>
          </w:tcPr>
          <w:p w14:paraId="449BC7A7">
            <w:pPr>
              <w:spacing w:line="360" w:lineRule="auto"/>
              <w:contextualSpacing/>
              <w:jc w:val="center"/>
              <w:rPr>
                <w:rFonts w:hint="default"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22</w:t>
            </w:r>
          </w:p>
        </w:tc>
        <w:tc>
          <w:tcPr>
            <w:tcW w:w="900" w:type="dxa"/>
            <w:noWrap w:val="0"/>
            <w:vAlign w:val="center"/>
          </w:tcPr>
          <w:p w14:paraId="1B01281A">
            <w:pPr>
              <w:spacing w:line="360" w:lineRule="auto"/>
              <w:contextualSpacing/>
              <w:jc w:val="center"/>
              <w:rPr>
                <w:rFonts w:hint="default"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否</w:t>
            </w:r>
          </w:p>
        </w:tc>
        <w:tc>
          <w:tcPr>
            <w:tcW w:w="1241" w:type="dxa"/>
            <w:noWrap w:val="0"/>
            <w:vAlign w:val="center"/>
          </w:tcPr>
          <w:p w14:paraId="02BA3C7E">
            <w:pPr>
              <w:spacing w:line="360" w:lineRule="auto"/>
              <w:contextualSpacing/>
              <w:jc w:val="center"/>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PDU（电源分配单元）</w:t>
            </w:r>
          </w:p>
        </w:tc>
        <w:tc>
          <w:tcPr>
            <w:tcW w:w="559" w:type="dxa"/>
            <w:noWrap w:val="0"/>
            <w:vAlign w:val="center"/>
          </w:tcPr>
          <w:p w14:paraId="4C71AF54">
            <w:pPr>
              <w:spacing w:line="360" w:lineRule="auto"/>
              <w:contextualSpacing/>
              <w:jc w:val="center"/>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w:t>
            </w:r>
          </w:p>
        </w:tc>
        <w:tc>
          <w:tcPr>
            <w:tcW w:w="763" w:type="dxa"/>
            <w:noWrap w:val="0"/>
            <w:vAlign w:val="center"/>
          </w:tcPr>
          <w:p w14:paraId="1B290F34">
            <w:pPr>
              <w:spacing w:line="360" w:lineRule="auto"/>
              <w:contextualSpacing/>
              <w:jc w:val="center"/>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个</w:t>
            </w:r>
          </w:p>
        </w:tc>
        <w:tc>
          <w:tcPr>
            <w:tcW w:w="969" w:type="dxa"/>
            <w:noWrap w:val="0"/>
            <w:vAlign w:val="center"/>
          </w:tcPr>
          <w:p w14:paraId="082FF0D8">
            <w:pPr>
              <w:spacing w:line="360" w:lineRule="auto"/>
              <w:contextualSpacing/>
              <w:jc w:val="center"/>
              <w:rPr>
                <w:rFonts w:hint="default"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120</w:t>
            </w:r>
          </w:p>
        </w:tc>
        <w:tc>
          <w:tcPr>
            <w:tcW w:w="1213" w:type="dxa"/>
            <w:noWrap w:val="0"/>
            <w:vAlign w:val="center"/>
          </w:tcPr>
          <w:p w14:paraId="390F6ECF">
            <w:pPr>
              <w:spacing w:line="360" w:lineRule="auto"/>
              <w:contextualSpacing/>
              <w:jc w:val="center"/>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120</w:t>
            </w:r>
          </w:p>
        </w:tc>
        <w:tc>
          <w:tcPr>
            <w:tcW w:w="8823" w:type="dxa"/>
            <w:noWrap w:val="0"/>
            <w:vAlign w:val="center"/>
          </w:tcPr>
          <w:p w14:paraId="0BE046D4">
            <w:pPr>
              <w:spacing w:line="360" w:lineRule="auto"/>
              <w:contextualSpacing/>
              <w:jc w:val="left"/>
              <w:rPr>
                <w:rFonts w:hint="eastAsia" w:ascii="仿宋" w:hAnsi="仿宋" w:eastAsia="仿宋"/>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1.8个10A组合孔</w:t>
            </w:r>
          </w:p>
        </w:tc>
      </w:tr>
      <w:tr w14:paraId="00FAF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464" w:type="dxa"/>
            <w:noWrap w:val="0"/>
            <w:vAlign w:val="center"/>
          </w:tcPr>
          <w:p w14:paraId="0B676206">
            <w:pPr>
              <w:spacing w:line="360" w:lineRule="auto"/>
              <w:contextualSpacing/>
              <w:jc w:val="center"/>
              <w:rPr>
                <w:rFonts w:hint="default"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23</w:t>
            </w:r>
          </w:p>
        </w:tc>
        <w:tc>
          <w:tcPr>
            <w:tcW w:w="900" w:type="dxa"/>
            <w:noWrap w:val="0"/>
            <w:vAlign w:val="center"/>
          </w:tcPr>
          <w:p w14:paraId="2994F29D">
            <w:pPr>
              <w:spacing w:line="360" w:lineRule="auto"/>
              <w:contextualSpacing/>
              <w:jc w:val="center"/>
              <w:rPr>
                <w:rFonts w:hint="default"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否</w:t>
            </w:r>
          </w:p>
        </w:tc>
        <w:tc>
          <w:tcPr>
            <w:tcW w:w="1241" w:type="dxa"/>
            <w:noWrap w:val="0"/>
            <w:vAlign w:val="center"/>
          </w:tcPr>
          <w:p w14:paraId="6814B418">
            <w:pPr>
              <w:spacing w:line="360" w:lineRule="auto"/>
              <w:contextualSpacing/>
              <w:jc w:val="center"/>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智能终端充电柜</w:t>
            </w:r>
          </w:p>
        </w:tc>
        <w:tc>
          <w:tcPr>
            <w:tcW w:w="559" w:type="dxa"/>
            <w:noWrap w:val="0"/>
            <w:vAlign w:val="center"/>
          </w:tcPr>
          <w:p w14:paraId="4DF1544A">
            <w:pPr>
              <w:spacing w:line="360" w:lineRule="auto"/>
              <w:contextualSpacing/>
              <w:jc w:val="center"/>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w:t>
            </w:r>
          </w:p>
        </w:tc>
        <w:tc>
          <w:tcPr>
            <w:tcW w:w="763" w:type="dxa"/>
            <w:noWrap w:val="0"/>
            <w:vAlign w:val="center"/>
          </w:tcPr>
          <w:p w14:paraId="1652B9B3">
            <w:pPr>
              <w:spacing w:line="360" w:lineRule="auto"/>
              <w:contextualSpacing/>
              <w:jc w:val="center"/>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台</w:t>
            </w:r>
          </w:p>
        </w:tc>
        <w:tc>
          <w:tcPr>
            <w:tcW w:w="969" w:type="dxa"/>
            <w:noWrap w:val="0"/>
            <w:vAlign w:val="center"/>
          </w:tcPr>
          <w:p w14:paraId="136D9FB0">
            <w:pPr>
              <w:spacing w:line="360" w:lineRule="auto"/>
              <w:contextualSpacing/>
              <w:jc w:val="center"/>
              <w:rPr>
                <w:rFonts w:hint="default"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6780</w:t>
            </w:r>
          </w:p>
        </w:tc>
        <w:tc>
          <w:tcPr>
            <w:tcW w:w="1213" w:type="dxa"/>
            <w:noWrap w:val="0"/>
            <w:vAlign w:val="center"/>
          </w:tcPr>
          <w:p w14:paraId="613FE172">
            <w:pPr>
              <w:spacing w:line="360" w:lineRule="auto"/>
              <w:contextualSpacing/>
              <w:jc w:val="center"/>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6780</w:t>
            </w:r>
          </w:p>
        </w:tc>
        <w:tc>
          <w:tcPr>
            <w:tcW w:w="8823" w:type="dxa"/>
            <w:noWrap w:val="0"/>
            <w:vAlign w:val="center"/>
          </w:tcPr>
          <w:p w14:paraId="000EA727">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1.名称:充电柜</w:t>
            </w:r>
          </w:p>
          <w:p w14:paraId="663E1E28">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2.额定功率:200-600w</w:t>
            </w:r>
          </w:p>
          <w:p w14:paraId="58D80AC7">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3.输出功率:5v1-2.2A(自动识别)</w:t>
            </w:r>
          </w:p>
          <w:p w14:paraId="3AABF825">
            <w:pPr>
              <w:spacing w:line="360" w:lineRule="auto"/>
              <w:contextualSpacing/>
              <w:jc w:val="left"/>
              <w:rPr>
                <w:rFonts w:hint="eastAsia" w:ascii="仿宋" w:hAnsi="仿宋" w:eastAsia="仿宋"/>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4.充电数：≥60位</w:t>
            </w:r>
          </w:p>
        </w:tc>
      </w:tr>
      <w:tr w14:paraId="5FE9C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464" w:type="dxa"/>
            <w:noWrap w:val="0"/>
            <w:vAlign w:val="center"/>
          </w:tcPr>
          <w:p w14:paraId="7C750F47">
            <w:pPr>
              <w:spacing w:line="360" w:lineRule="auto"/>
              <w:contextualSpacing/>
              <w:jc w:val="center"/>
              <w:rPr>
                <w:rFonts w:hint="default"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24</w:t>
            </w:r>
          </w:p>
        </w:tc>
        <w:tc>
          <w:tcPr>
            <w:tcW w:w="900" w:type="dxa"/>
            <w:noWrap w:val="0"/>
            <w:vAlign w:val="center"/>
          </w:tcPr>
          <w:p w14:paraId="094100E8">
            <w:pPr>
              <w:spacing w:line="360" w:lineRule="auto"/>
              <w:contextualSpacing/>
              <w:jc w:val="center"/>
              <w:rPr>
                <w:rFonts w:hint="default"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否</w:t>
            </w:r>
          </w:p>
        </w:tc>
        <w:tc>
          <w:tcPr>
            <w:tcW w:w="1241" w:type="dxa"/>
            <w:noWrap w:val="0"/>
            <w:vAlign w:val="center"/>
          </w:tcPr>
          <w:p w14:paraId="6E1AF2B0">
            <w:pPr>
              <w:spacing w:line="360" w:lineRule="auto"/>
              <w:contextualSpacing/>
              <w:jc w:val="center"/>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电子班牌</w:t>
            </w:r>
          </w:p>
        </w:tc>
        <w:tc>
          <w:tcPr>
            <w:tcW w:w="559" w:type="dxa"/>
            <w:noWrap w:val="0"/>
            <w:vAlign w:val="center"/>
          </w:tcPr>
          <w:p w14:paraId="34ED0B4D">
            <w:pPr>
              <w:spacing w:line="360" w:lineRule="auto"/>
              <w:contextualSpacing/>
              <w:jc w:val="center"/>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w:t>
            </w:r>
          </w:p>
        </w:tc>
        <w:tc>
          <w:tcPr>
            <w:tcW w:w="763" w:type="dxa"/>
            <w:noWrap w:val="0"/>
            <w:vAlign w:val="center"/>
          </w:tcPr>
          <w:p w14:paraId="3DB2E8D9">
            <w:pPr>
              <w:spacing w:line="360" w:lineRule="auto"/>
              <w:contextualSpacing/>
              <w:jc w:val="center"/>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台</w:t>
            </w:r>
          </w:p>
        </w:tc>
        <w:tc>
          <w:tcPr>
            <w:tcW w:w="969" w:type="dxa"/>
            <w:noWrap w:val="0"/>
            <w:vAlign w:val="center"/>
          </w:tcPr>
          <w:p w14:paraId="73EF392B">
            <w:pPr>
              <w:spacing w:line="360" w:lineRule="auto"/>
              <w:contextualSpacing/>
              <w:jc w:val="center"/>
              <w:rPr>
                <w:rFonts w:hint="default"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3200</w:t>
            </w:r>
          </w:p>
        </w:tc>
        <w:tc>
          <w:tcPr>
            <w:tcW w:w="1213" w:type="dxa"/>
            <w:noWrap w:val="0"/>
            <w:vAlign w:val="center"/>
          </w:tcPr>
          <w:p w14:paraId="6963F4C1">
            <w:pPr>
              <w:spacing w:line="360" w:lineRule="auto"/>
              <w:contextualSpacing/>
              <w:jc w:val="center"/>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3200</w:t>
            </w:r>
          </w:p>
        </w:tc>
        <w:tc>
          <w:tcPr>
            <w:tcW w:w="8823" w:type="dxa"/>
            <w:noWrap w:val="0"/>
            <w:vAlign w:val="center"/>
          </w:tcPr>
          <w:p w14:paraId="4AFC3195">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1</w:t>
            </w:r>
            <w:r>
              <w:rPr>
                <w:rFonts w:hint="eastAsia" w:ascii="仿宋" w:hAnsi="仿宋" w:eastAsia="仿宋" w:cs="Times New Roman"/>
                <w:color w:val="auto"/>
                <w:sz w:val="24"/>
                <w:szCs w:val="24"/>
                <w:highlight w:val="none"/>
                <w:vertAlign w:val="baseline"/>
                <w:lang w:val="en-US" w:eastAsia="zh-CN"/>
              </w:rPr>
              <w:t xml:space="preserve">.▲采用21.5英寸横竖屏式电容显示屏，支持10点触控，屏幕分辨率≥1920*1080，显示比例16:9；屏幕亮度≥500cd/㎡。（需提供权威机构检测报告并加盖厂家公章） </w:t>
            </w:r>
          </w:p>
          <w:p w14:paraId="4BCD33A2">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 xml:space="preserve">2.▲屏体采用宽温液晶屏，屏体工作温度区间跨度不小于零下20°C-80°C。（需提供权威机构检测报告并加盖厂家公章） </w:t>
            </w:r>
          </w:p>
          <w:p w14:paraId="4C0159A8">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 xml:space="preserve">3.▲具备≥两条L型LED状态指示灯，支持通过状态指示灯不同颜色的变化，便于甄别场地的不同占用状态。（需提供权威机构检测报告并加盖厂家公章） </w:t>
            </w:r>
          </w:p>
          <w:p w14:paraId="2C74E384">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4.整机可兼容横竖屏壁挂设计，无需增加其它配件，适用于不同空间场景的需求。</w:t>
            </w:r>
          </w:p>
          <w:p w14:paraId="76A84888">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5.整机采用防水防尘结构设计，适用于学校教室半户外环境，防护等级不低于IP65。</w:t>
            </w:r>
          </w:p>
          <w:p w14:paraId="3249C317">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6.整机背部与墙面微距全贴合，背面与平整墙面间隙最大处≤2.5mm。</w:t>
            </w:r>
          </w:p>
          <w:p w14:paraId="6C1F09ED">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7.整机最大厚度不大于33mm。</w:t>
            </w:r>
          </w:p>
          <w:p w14:paraId="2343F7CF">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8.整机正面覆盖钢化玻璃。</w:t>
            </w:r>
          </w:p>
          <w:p w14:paraId="393773AD">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9.整机正面不采用贴膜方式,具备防眩光功能。</w:t>
            </w:r>
          </w:p>
          <w:p w14:paraId="275C362D">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10.可拍摄不低于200W像素的照片，支持不少于10人同时进行人脸识别。</w:t>
            </w:r>
          </w:p>
          <w:p w14:paraId="541DEEB7">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 xml:space="preserve">11.▲整机在逆光（人像处于背景照度≥80000Lux）环境下距离≤0.5m可正常进行人脸识别。（需提供权威机构检测报告并加盖厂家公章） </w:t>
            </w:r>
          </w:p>
          <w:p w14:paraId="0FA0DACF">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 xml:space="preserve">12.▲整机内置红外补光灯和双目摄像头，能同时打开彩色和黑白照片，具备活体检测功能。（需提供权威机构检测报告并加盖厂家公章） </w:t>
            </w:r>
          </w:p>
          <w:p w14:paraId="0253E522">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13.内置高灵敏度的全向麦克风，拾音半径不小于0.5m。</w:t>
            </w:r>
          </w:p>
          <w:p w14:paraId="31665EBD">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14.内置2.0立体声道功放。</w:t>
            </w:r>
          </w:p>
          <w:p w14:paraId="167CFD92">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15.刷卡器：具有内置IC卡刷卡器，支持14443协议。</w:t>
            </w:r>
          </w:p>
          <w:p w14:paraId="4FA06C06">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16.整机具备至少一路RJ45网络接口；具备不少于2路USB 2.0接口。</w:t>
            </w:r>
          </w:p>
          <w:p w14:paraId="04B86081">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17.整机采用内置天线设计，无任何天线外露。</w:t>
            </w:r>
          </w:p>
          <w:p w14:paraId="2BE1D171">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18.整机支持外接门禁控制。</w:t>
            </w:r>
          </w:p>
          <w:p w14:paraId="490BF11C">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19.支持韦根协议、BLE、I/O接口。</w:t>
            </w:r>
          </w:p>
          <w:p w14:paraId="606878DF">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20.系统运行内存不低于2GB，存储容量不低于16GB，操作系统版本不低于Android 9.0。</w:t>
            </w:r>
          </w:p>
          <w:p w14:paraId="6252A969">
            <w:pPr>
              <w:spacing w:line="360" w:lineRule="auto"/>
              <w:contextualSpacing/>
              <w:jc w:val="left"/>
              <w:rPr>
                <w:rFonts w:hint="eastAsia" w:ascii="仿宋" w:hAnsi="仿宋" w:eastAsia="仿宋"/>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21.支持远程开关机功能，远程唤醒待机功耗≤2W。</w:t>
            </w:r>
          </w:p>
        </w:tc>
      </w:tr>
      <w:tr w14:paraId="5E98B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464" w:type="dxa"/>
            <w:noWrap w:val="0"/>
            <w:vAlign w:val="center"/>
          </w:tcPr>
          <w:p w14:paraId="072F5456">
            <w:pPr>
              <w:spacing w:line="360" w:lineRule="auto"/>
              <w:contextualSpacing/>
              <w:jc w:val="center"/>
              <w:rPr>
                <w:rFonts w:hint="default"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25</w:t>
            </w:r>
          </w:p>
        </w:tc>
        <w:tc>
          <w:tcPr>
            <w:tcW w:w="900" w:type="dxa"/>
            <w:noWrap w:val="0"/>
            <w:vAlign w:val="center"/>
          </w:tcPr>
          <w:p w14:paraId="5F4444AA">
            <w:pPr>
              <w:spacing w:line="360" w:lineRule="auto"/>
              <w:contextualSpacing/>
              <w:jc w:val="center"/>
              <w:rPr>
                <w:rFonts w:hint="default"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否</w:t>
            </w:r>
          </w:p>
        </w:tc>
        <w:tc>
          <w:tcPr>
            <w:tcW w:w="1241" w:type="dxa"/>
            <w:noWrap w:val="0"/>
            <w:vAlign w:val="center"/>
          </w:tcPr>
          <w:p w14:paraId="12570372">
            <w:pPr>
              <w:spacing w:line="360" w:lineRule="auto"/>
              <w:contextualSpacing/>
              <w:jc w:val="center"/>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拆除</w:t>
            </w:r>
          </w:p>
        </w:tc>
        <w:tc>
          <w:tcPr>
            <w:tcW w:w="559" w:type="dxa"/>
            <w:noWrap w:val="0"/>
            <w:vAlign w:val="center"/>
          </w:tcPr>
          <w:p w14:paraId="7F2DE129">
            <w:pPr>
              <w:spacing w:line="360" w:lineRule="auto"/>
              <w:contextualSpacing/>
              <w:jc w:val="center"/>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w:t>
            </w:r>
          </w:p>
        </w:tc>
        <w:tc>
          <w:tcPr>
            <w:tcW w:w="763" w:type="dxa"/>
            <w:noWrap w:val="0"/>
            <w:vAlign w:val="center"/>
          </w:tcPr>
          <w:p w14:paraId="5060B69A">
            <w:pPr>
              <w:spacing w:line="360" w:lineRule="auto"/>
              <w:contextualSpacing/>
              <w:jc w:val="center"/>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项</w:t>
            </w:r>
          </w:p>
        </w:tc>
        <w:tc>
          <w:tcPr>
            <w:tcW w:w="969" w:type="dxa"/>
            <w:noWrap w:val="0"/>
            <w:vAlign w:val="center"/>
          </w:tcPr>
          <w:p w14:paraId="4CC80E39">
            <w:pPr>
              <w:spacing w:line="360" w:lineRule="auto"/>
              <w:contextualSpacing/>
              <w:jc w:val="center"/>
              <w:rPr>
                <w:rFonts w:hint="default"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5000</w:t>
            </w:r>
          </w:p>
        </w:tc>
        <w:tc>
          <w:tcPr>
            <w:tcW w:w="1213" w:type="dxa"/>
            <w:noWrap w:val="0"/>
            <w:vAlign w:val="center"/>
          </w:tcPr>
          <w:p w14:paraId="0EDA286F">
            <w:pPr>
              <w:spacing w:line="360" w:lineRule="auto"/>
              <w:contextualSpacing/>
              <w:jc w:val="center"/>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5000</w:t>
            </w:r>
          </w:p>
        </w:tc>
        <w:tc>
          <w:tcPr>
            <w:tcW w:w="8823" w:type="dxa"/>
            <w:noWrap w:val="0"/>
            <w:vAlign w:val="center"/>
          </w:tcPr>
          <w:p w14:paraId="3EB461A7">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1、讲台拆除，原教室灯光、设备拆除</w:t>
            </w:r>
          </w:p>
        </w:tc>
      </w:tr>
      <w:tr w14:paraId="797BB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464" w:type="dxa"/>
            <w:noWrap w:val="0"/>
            <w:vAlign w:val="center"/>
          </w:tcPr>
          <w:p w14:paraId="5F7EF0C2">
            <w:pPr>
              <w:spacing w:line="360" w:lineRule="auto"/>
              <w:contextualSpacing/>
              <w:jc w:val="center"/>
              <w:rPr>
                <w:rFonts w:hint="default"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26</w:t>
            </w:r>
          </w:p>
        </w:tc>
        <w:tc>
          <w:tcPr>
            <w:tcW w:w="900" w:type="dxa"/>
            <w:noWrap w:val="0"/>
            <w:vAlign w:val="center"/>
          </w:tcPr>
          <w:p w14:paraId="4686DF5B">
            <w:pPr>
              <w:spacing w:line="360" w:lineRule="auto"/>
              <w:contextualSpacing/>
              <w:jc w:val="center"/>
              <w:rPr>
                <w:rFonts w:hint="default"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否</w:t>
            </w:r>
          </w:p>
        </w:tc>
        <w:tc>
          <w:tcPr>
            <w:tcW w:w="1241" w:type="dxa"/>
            <w:noWrap w:val="0"/>
            <w:vAlign w:val="center"/>
          </w:tcPr>
          <w:p w14:paraId="4E4E16FB">
            <w:pPr>
              <w:spacing w:line="360" w:lineRule="auto"/>
              <w:contextualSpacing/>
              <w:jc w:val="center"/>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垃圾外运</w:t>
            </w:r>
          </w:p>
        </w:tc>
        <w:tc>
          <w:tcPr>
            <w:tcW w:w="559" w:type="dxa"/>
            <w:noWrap w:val="0"/>
            <w:vAlign w:val="center"/>
          </w:tcPr>
          <w:p w14:paraId="473386AB">
            <w:pPr>
              <w:spacing w:line="360" w:lineRule="auto"/>
              <w:contextualSpacing/>
              <w:jc w:val="center"/>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w:t>
            </w:r>
          </w:p>
        </w:tc>
        <w:tc>
          <w:tcPr>
            <w:tcW w:w="763" w:type="dxa"/>
            <w:noWrap w:val="0"/>
            <w:vAlign w:val="center"/>
          </w:tcPr>
          <w:p w14:paraId="3E29392C">
            <w:pPr>
              <w:spacing w:line="360" w:lineRule="auto"/>
              <w:contextualSpacing/>
              <w:jc w:val="center"/>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项</w:t>
            </w:r>
          </w:p>
        </w:tc>
        <w:tc>
          <w:tcPr>
            <w:tcW w:w="969" w:type="dxa"/>
            <w:noWrap w:val="0"/>
            <w:vAlign w:val="center"/>
          </w:tcPr>
          <w:p w14:paraId="41664C16">
            <w:pPr>
              <w:spacing w:line="360" w:lineRule="auto"/>
              <w:contextualSpacing/>
              <w:jc w:val="center"/>
              <w:rPr>
                <w:rFonts w:hint="default"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2600</w:t>
            </w:r>
          </w:p>
        </w:tc>
        <w:tc>
          <w:tcPr>
            <w:tcW w:w="1213" w:type="dxa"/>
            <w:noWrap w:val="0"/>
            <w:vAlign w:val="center"/>
          </w:tcPr>
          <w:p w14:paraId="5225C89E">
            <w:pPr>
              <w:spacing w:line="360" w:lineRule="auto"/>
              <w:contextualSpacing/>
              <w:jc w:val="center"/>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2600</w:t>
            </w:r>
          </w:p>
        </w:tc>
        <w:tc>
          <w:tcPr>
            <w:tcW w:w="8823" w:type="dxa"/>
            <w:noWrap w:val="0"/>
            <w:vAlign w:val="center"/>
          </w:tcPr>
          <w:p w14:paraId="5E37BE42">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1.垃圾外运、消纳、运距20km内</w:t>
            </w:r>
          </w:p>
        </w:tc>
      </w:tr>
      <w:tr w14:paraId="6F30A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464" w:type="dxa"/>
            <w:noWrap w:val="0"/>
            <w:vAlign w:val="center"/>
          </w:tcPr>
          <w:p w14:paraId="07D82513">
            <w:pPr>
              <w:spacing w:line="360" w:lineRule="auto"/>
              <w:contextualSpacing/>
              <w:jc w:val="center"/>
              <w:rPr>
                <w:rFonts w:hint="default"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27</w:t>
            </w:r>
          </w:p>
        </w:tc>
        <w:tc>
          <w:tcPr>
            <w:tcW w:w="900" w:type="dxa"/>
            <w:noWrap w:val="0"/>
            <w:vAlign w:val="center"/>
          </w:tcPr>
          <w:p w14:paraId="7CD0EB52">
            <w:pPr>
              <w:spacing w:line="360" w:lineRule="auto"/>
              <w:contextualSpacing/>
              <w:jc w:val="center"/>
              <w:rPr>
                <w:rFonts w:hint="default"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否</w:t>
            </w:r>
          </w:p>
        </w:tc>
        <w:tc>
          <w:tcPr>
            <w:tcW w:w="1241" w:type="dxa"/>
            <w:noWrap w:val="0"/>
            <w:vAlign w:val="center"/>
          </w:tcPr>
          <w:p w14:paraId="38F880D8">
            <w:pPr>
              <w:spacing w:line="360" w:lineRule="auto"/>
              <w:contextualSpacing/>
              <w:jc w:val="center"/>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顶面处理</w:t>
            </w:r>
          </w:p>
        </w:tc>
        <w:tc>
          <w:tcPr>
            <w:tcW w:w="559" w:type="dxa"/>
            <w:noWrap w:val="0"/>
            <w:vAlign w:val="center"/>
          </w:tcPr>
          <w:p w14:paraId="5F1FB28B">
            <w:pPr>
              <w:spacing w:line="360" w:lineRule="auto"/>
              <w:contextualSpacing/>
              <w:jc w:val="center"/>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73</w:t>
            </w:r>
          </w:p>
        </w:tc>
        <w:tc>
          <w:tcPr>
            <w:tcW w:w="763" w:type="dxa"/>
            <w:noWrap w:val="0"/>
            <w:vAlign w:val="center"/>
          </w:tcPr>
          <w:p w14:paraId="4D183FA0">
            <w:pPr>
              <w:spacing w:line="360" w:lineRule="auto"/>
              <w:contextualSpacing/>
              <w:jc w:val="center"/>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平方米</w:t>
            </w:r>
          </w:p>
        </w:tc>
        <w:tc>
          <w:tcPr>
            <w:tcW w:w="969" w:type="dxa"/>
            <w:noWrap w:val="0"/>
            <w:vAlign w:val="center"/>
          </w:tcPr>
          <w:p w14:paraId="79649806">
            <w:pPr>
              <w:spacing w:line="360" w:lineRule="auto"/>
              <w:contextualSpacing/>
              <w:jc w:val="center"/>
              <w:rPr>
                <w:rFonts w:hint="default"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65</w:t>
            </w:r>
          </w:p>
        </w:tc>
        <w:tc>
          <w:tcPr>
            <w:tcW w:w="1213" w:type="dxa"/>
            <w:noWrap w:val="0"/>
            <w:vAlign w:val="center"/>
          </w:tcPr>
          <w:p w14:paraId="3A243603">
            <w:pPr>
              <w:spacing w:line="360" w:lineRule="auto"/>
              <w:contextualSpacing/>
              <w:jc w:val="center"/>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4745</w:t>
            </w:r>
          </w:p>
        </w:tc>
        <w:tc>
          <w:tcPr>
            <w:tcW w:w="8823" w:type="dxa"/>
            <w:noWrap w:val="0"/>
            <w:vAlign w:val="center"/>
          </w:tcPr>
          <w:p w14:paraId="1B4B7005">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1.原顶乳胶漆处理</w:t>
            </w:r>
          </w:p>
          <w:p w14:paraId="5A78264D">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2.原顶面乳胶漆铲除</w:t>
            </w:r>
          </w:p>
          <w:p w14:paraId="695487B7">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3.刮抹腻子2遍并打磨2遍</w:t>
            </w:r>
          </w:p>
          <w:p w14:paraId="22FC40A4">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4.喷/滚涂乳胶漆2遍。</w:t>
            </w:r>
          </w:p>
        </w:tc>
      </w:tr>
      <w:tr w14:paraId="1EDE9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464" w:type="dxa"/>
            <w:noWrap w:val="0"/>
            <w:vAlign w:val="center"/>
          </w:tcPr>
          <w:p w14:paraId="710FA21D">
            <w:pPr>
              <w:spacing w:line="360" w:lineRule="auto"/>
              <w:contextualSpacing/>
              <w:jc w:val="center"/>
              <w:rPr>
                <w:rFonts w:hint="default"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28</w:t>
            </w:r>
          </w:p>
        </w:tc>
        <w:tc>
          <w:tcPr>
            <w:tcW w:w="900" w:type="dxa"/>
            <w:noWrap w:val="0"/>
            <w:vAlign w:val="center"/>
          </w:tcPr>
          <w:p w14:paraId="35B4760F">
            <w:pPr>
              <w:spacing w:line="360" w:lineRule="auto"/>
              <w:contextualSpacing/>
              <w:jc w:val="center"/>
              <w:rPr>
                <w:rFonts w:hint="default"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否</w:t>
            </w:r>
          </w:p>
        </w:tc>
        <w:tc>
          <w:tcPr>
            <w:tcW w:w="1241" w:type="dxa"/>
            <w:noWrap w:val="0"/>
            <w:vAlign w:val="center"/>
          </w:tcPr>
          <w:p w14:paraId="513E62F7">
            <w:pPr>
              <w:spacing w:line="360" w:lineRule="auto"/>
              <w:contextualSpacing/>
              <w:jc w:val="center"/>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前墙处理</w:t>
            </w:r>
          </w:p>
        </w:tc>
        <w:tc>
          <w:tcPr>
            <w:tcW w:w="559" w:type="dxa"/>
            <w:noWrap w:val="0"/>
            <w:vAlign w:val="center"/>
          </w:tcPr>
          <w:p w14:paraId="41EA1BF3">
            <w:pPr>
              <w:spacing w:line="360" w:lineRule="auto"/>
              <w:contextualSpacing/>
              <w:jc w:val="center"/>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21</w:t>
            </w:r>
          </w:p>
        </w:tc>
        <w:tc>
          <w:tcPr>
            <w:tcW w:w="763" w:type="dxa"/>
            <w:noWrap w:val="0"/>
            <w:vAlign w:val="center"/>
          </w:tcPr>
          <w:p w14:paraId="783C854B">
            <w:pPr>
              <w:spacing w:line="360" w:lineRule="auto"/>
              <w:contextualSpacing/>
              <w:jc w:val="center"/>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平方米</w:t>
            </w:r>
          </w:p>
        </w:tc>
        <w:tc>
          <w:tcPr>
            <w:tcW w:w="969" w:type="dxa"/>
            <w:noWrap w:val="0"/>
            <w:vAlign w:val="center"/>
          </w:tcPr>
          <w:p w14:paraId="0097CC99">
            <w:pPr>
              <w:spacing w:line="360" w:lineRule="auto"/>
              <w:contextualSpacing/>
              <w:jc w:val="center"/>
              <w:rPr>
                <w:rFonts w:hint="default"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265</w:t>
            </w:r>
          </w:p>
        </w:tc>
        <w:tc>
          <w:tcPr>
            <w:tcW w:w="1213" w:type="dxa"/>
            <w:noWrap w:val="0"/>
            <w:vAlign w:val="center"/>
          </w:tcPr>
          <w:p w14:paraId="0782A842">
            <w:pPr>
              <w:spacing w:line="360" w:lineRule="auto"/>
              <w:contextualSpacing/>
              <w:jc w:val="center"/>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5565</w:t>
            </w:r>
          </w:p>
        </w:tc>
        <w:tc>
          <w:tcPr>
            <w:tcW w:w="8823" w:type="dxa"/>
            <w:noWrap w:val="0"/>
            <w:vAlign w:val="center"/>
          </w:tcPr>
          <w:p w14:paraId="2FD0B0C9">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1.名称:木饰面碳晶板</w:t>
            </w:r>
          </w:p>
          <w:p w14:paraId="747789B8">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2.材质:原生Pvc树脂+竹炭粉</w:t>
            </w:r>
          </w:p>
          <w:p w14:paraId="1C8C1D61">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3.厚度：5mm</w:t>
            </w:r>
          </w:p>
        </w:tc>
      </w:tr>
      <w:tr w14:paraId="08F30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464" w:type="dxa"/>
            <w:noWrap w:val="0"/>
            <w:vAlign w:val="center"/>
          </w:tcPr>
          <w:p w14:paraId="1E208BFE">
            <w:pPr>
              <w:spacing w:line="360" w:lineRule="auto"/>
              <w:contextualSpacing/>
              <w:jc w:val="center"/>
              <w:rPr>
                <w:rFonts w:hint="default"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29</w:t>
            </w:r>
          </w:p>
        </w:tc>
        <w:tc>
          <w:tcPr>
            <w:tcW w:w="900" w:type="dxa"/>
            <w:noWrap w:val="0"/>
            <w:vAlign w:val="center"/>
          </w:tcPr>
          <w:p w14:paraId="2D1AB953">
            <w:pPr>
              <w:spacing w:line="360" w:lineRule="auto"/>
              <w:contextualSpacing/>
              <w:jc w:val="center"/>
              <w:rPr>
                <w:rFonts w:hint="default"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否</w:t>
            </w:r>
          </w:p>
        </w:tc>
        <w:tc>
          <w:tcPr>
            <w:tcW w:w="1241" w:type="dxa"/>
            <w:noWrap w:val="0"/>
            <w:vAlign w:val="center"/>
          </w:tcPr>
          <w:p w14:paraId="31B29DCF">
            <w:pPr>
              <w:spacing w:line="360" w:lineRule="auto"/>
              <w:contextualSpacing/>
              <w:jc w:val="center"/>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墙面处理</w:t>
            </w:r>
          </w:p>
        </w:tc>
        <w:tc>
          <w:tcPr>
            <w:tcW w:w="559" w:type="dxa"/>
            <w:noWrap w:val="0"/>
            <w:vAlign w:val="center"/>
          </w:tcPr>
          <w:p w14:paraId="6A3AFBF4">
            <w:pPr>
              <w:spacing w:line="360" w:lineRule="auto"/>
              <w:contextualSpacing/>
              <w:jc w:val="center"/>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40</w:t>
            </w:r>
          </w:p>
        </w:tc>
        <w:tc>
          <w:tcPr>
            <w:tcW w:w="763" w:type="dxa"/>
            <w:noWrap w:val="0"/>
            <w:vAlign w:val="center"/>
          </w:tcPr>
          <w:p w14:paraId="2BC01E7A">
            <w:pPr>
              <w:spacing w:line="360" w:lineRule="auto"/>
              <w:contextualSpacing/>
              <w:jc w:val="center"/>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平方米</w:t>
            </w:r>
          </w:p>
        </w:tc>
        <w:tc>
          <w:tcPr>
            <w:tcW w:w="969" w:type="dxa"/>
            <w:noWrap w:val="0"/>
            <w:vAlign w:val="center"/>
          </w:tcPr>
          <w:p w14:paraId="4E806573">
            <w:pPr>
              <w:spacing w:line="360" w:lineRule="auto"/>
              <w:contextualSpacing/>
              <w:jc w:val="center"/>
              <w:rPr>
                <w:rFonts w:hint="default"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65</w:t>
            </w:r>
          </w:p>
        </w:tc>
        <w:tc>
          <w:tcPr>
            <w:tcW w:w="1213" w:type="dxa"/>
            <w:noWrap w:val="0"/>
            <w:vAlign w:val="center"/>
          </w:tcPr>
          <w:p w14:paraId="580F58A9">
            <w:pPr>
              <w:spacing w:line="360" w:lineRule="auto"/>
              <w:contextualSpacing/>
              <w:jc w:val="center"/>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2600</w:t>
            </w:r>
          </w:p>
        </w:tc>
        <w:tc>
          <w:tcPr>
            <w:tcW w:w="8823" w:type="dxa"/>
            <w:noWrap w:val="0"/>
            <w:vAlign w:val="center"/>
          </w:tcPr>
          <w:p w14:paraId="2F58E266">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1.原墙乳胶漆处理</w:t>
            </w:r>
          </w:p>
          <w:p w14:paraId="426E0F84">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2.原顶面乳胶漆铲除</w:t>
            </w:r>
          </w:p>
          <w:p w14:paraId="7D50FA56">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3.刮抹腻子2遍并打磨2遍</w:t>
            </w:r>
          </w:p>
          <w:p w14:paraId="471F81A4">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4.喷/滚涂乳胶漆2遍。</w:t>
            </w:r>
          </w:p>
        </w:tc>
      </w:tr>
      <w:tr w14:paraId="0FAAF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464" w:type="dxa"/>
            <w:noWrap w:val="0"/>
            <w:vAlign w:val="center"/>
          </w:tcPr>
          <w:p w14:paraId="0F0CE066">
            <w:pPr>
              <w:spacing w:line="360" w:lineRule="auto"/>
              <w:contextualSpacing/>
              <w:jc w:val="center"/>
              <w:rPr>
                <w:rFonts w:hint="default"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30</w:t>
            </w:r>
          </w:p>
        </w:tc>
        <w:tc>
          <w:tcPr>
            <w:tcW w:w="900" w:type="dxa"/>
            <w:noWrap w:val="0"/>
            <w:vAlign w:val="center"/>
          </w:tcPr>
          <w:p w14:paraId="0054CAF9">
            <w:pPr>
              <w:spacing w:line="360" w:lineRule="auto"/>
              <w:contextualSpacing/>
              <w:jc w:val="center"/>
              <w:rPr>
                <w:rFonts w:hint="default"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否</w:t>
            </w:r>
          </w:p>
        </w:tc>
        <w:tc>
          <w:tcPr>
            <w:tcW w:w="1241" w:type="dxa"/>
            <w:noWrap w:val="0"/>
            <w:vAlign w:val="center"/>
          </w:tcPr>
          <w:p w14:paraId="4374CD7F">
            <w:pPr>
              <w:spacing w:line="360" w:lineRule="auto"/>
              <w:contextualSpacing/>
              <w:jc w:val="center"/>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照明灯具</w:t>
            </w:r>
          </w:p>
        </w:tc>
        <w:tc>
          <w:tcPr>
            <w:tcW w:w="559" w:type="dxa"/>
            <w:noWrap w:val="0"/>
            <w:vAlign w:val="center"/>
          </w:tcPr>
          <w:p w14:paraId="5F5CCFC7">
            <w:pPr>
              <w:spacing w:line="360" w:lineRule="auto"/>
              <w:contextualSpacing/>
              <w:jc w:val="center"/>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w:t>
            </w:r>
          </w:p>
        </w:tc>
        <w:tc>
          <w:tcPr>
            <w:tcW w:w="763" w:type="dxa"/>
            <w:noWrap w:val="0"/>
            <w:vAlign w:val="center"/>
          </w:tcPr>
          <w:p w14:paraId="0C20F219">
            <w:pPr>
              <w:spacing w:line="360" w:lineRule="auto"/>
              <w:contextualSpacing/>
              <w:jc w:val="center"/>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项</w:t>
            </w:r>
          </w:p>
        </w:tc>
        <w:tc>
          <w:tcPr>
            <w:tcW w:w="969" w:type="dxa"/>
            <w:noWrap w:val="0"/>
            <w:vAlign w:val="center"/>
          </w:tcPr>
          <w:p w14:paraId="3BEF64A3">
            <w:pPr>
              <w:spacing w:line="360" w:lineRule="auto"/>
              <w:contextualSpacing/>
              <w:jc w:val="center"/>
              <w:rPr>
                <w:rFonts w:hint="default"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6500</w:t>
            </w:r>
          </w:p>
        </w:tc>
        <w:tc>
          <w:tcPr>
            <w:tcW w:w="1213" w:type="dxa"/>
            <w:noWrap w:val="0"/>
            <w:vAlign w:val="center"/>
          </w:tcPr>
          <w:p w14:paraId="7CEEA8E7">
            <w:pPr>
              <w:spacing w:line="360" w:lineRule="auto"/>
              <w:contextualSpacing/>
              <w:jc w:val="center"/>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6500</w:t>
            </w:r>
          </w:p>
        </w:tc>
        <w:tc>
          <w:tcPr>
            <w:tcW w:w="8823" w:type="dxa"/>
            <w:noWrap w:val="0"/>
            <w:vAlign w:val="center"/>
          </w:tcPr>
          <w:p w14:paraId="5109739C">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1.铝框国标教室护眼灯120*30CM36瓦，12条</w:t>
            </w:r>
          </w:p>
        </w:tc>
      </w:tr>
      <w:tr w14:paraId="5A2F6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464" w:type="dxa"/>
            <w:noWrap w:val="0"/>
            <w:vAlign w:val="center"/>
          </w:tcPr>
          <w:p w14:paraId="6008FC1C">
            <w:pPr>
              <w:spacing w:line="360" w:lineRule="auto"/>
              <w:contextualSpacing/>
              <w:jc w:val="center"/>
              <w:rPr>
                <w:rFonts w:hint="default"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31</w:t>
            </w:r>
          </w:p>
        </w:tc>
        <w:tc>
          <w:tcPr>
            <w:tcW w:w="900" w:type="dxa"/>
            <w:noWrap w:val="0"/>
            <w:vAlign w:val="center"/>
          </w:tcPr>
          <w:p w14:paraId="6217BB5C">
            <w:pPr>
              <w:spacing w:line="360" w:lineRule="auto"/>
              <w:contextualSpacing/>
              <w:jc w:val="center"/>
              <w:rPr>
                <w:rFonts w:hint="default"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否</w:t>
            </w:r>
          </w:p>
        </w:tc>
        <w:tc>
          <w:tcPr>
            <w:tcW w:w="1241" w:type="dxa"/>
            <w:noWrap w:val="0"/>
            <w:vAlign w:val="center"/>
          </w:tcPr>
          <w:p w14:paraId="4630B1A0">
            <w:pPr>
              <w:spacing w:line="360" w:lineRule="auto"/>
              <w:contextualSpacing/>
              <w:jc w:val="center"/>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窗帘</w:t>
            </w:r>
          </w:p>
        </w:tc>
        <w:tc>
          <w:tcPr>
            <w:tcW w:w="559" w:type="dxa"/>
            <w:noWrap w:val="0"/>
            <w:vAlign w:val="center"/>
          </w:tcPr>
          <w:p w14:paraId="083E9779">
            <w:pPr>
              <w:spacing w:line="360" w:lineRule="auto"/>
              <w:contextualSpacing/>
              <w:jc w:val="center"/>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14</w:t>
            </w:r>
          </w:p>
        </w:tc>
        <w:tc>
          <w:tcPr>
            <w:tcW w:w="763" w:type="dxa"/>
            <w:noWrap w:val="0"/>
            <w:vAlign w:val="center"/>
          </w:tcPr>
          <w:p w14:paraId="3AD6C164">
            <w:pPr>
              <w:spacing w:line="360" w:lineRule="auto"/>
              <w:contextualSpacing/>
              <w:jc w:val="center"/>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米</w:t>
            </w:r>
          </w:p>
        </w:tc>
        <w:tc>
          <w:tcPr>
            <w:tcW w:w="969" w:type="dxa"/>
            <w:noWrap w:val="0"/>
            <w:vAlign w:val="center"/>
          </w:tcPr>
          <w:p w14:paraId="149888F7">
            <w:pPr>
              <w:spacing w:line="360" w:lineRule="auto"/>
              <w:contextualSpacing/>
              <w:jc w:val="center"/>
              <w:rPr>
                <w:rFonts w:hint="default"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161</w:t>
            </w:r>
          </w:p>
        </w:tc>
        <w:tc>
          <w:tcPr>
            <w:tcW w:w="1213" w:type="dxa"/>
            <w:noWrap w:val="0"/>
            <w:vAlign w:val="center"/>
          </w:tcPr>
          <w:p w14:paraId="57033138">
            <w:pPr>
              <w:spacing w:line="360" w:lineRule="auto"/>
              <w:contextualSpacing/>
              <w:jc w:val="center"/>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2254</w:t>
            </w:r>
          </w:p>
        </w:tc>
        <w:tc>
          <w:tcPr>
            <w:tcW w:w="8823" w:type="dxa"/>
            <w:noWrap w:val="0"/>
            <w:vAlign w:val="center"/>
          </w:tcPr>
          <w:p w14:paraId="010E14D7">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1.高遮光布窗帘，遮光率≥95%，高温定型、人工及材料，含轨道/罗马杆及安装。</w:t>
            </w:r>
          </w:p>
        </w:tc>
      </w:tr>
      <w:tr w14:paraId="3CB55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464" w:type="dxa"/>
            <w:noWrap w:val="0"/>
            <w:vAlign w:val="center"/>
          </w:tcPr>
          <w:p w14:paraId="2DED66AB">
            <w:pPr>
              <w:spacing w:line="360" w:lineRule="auto"/>
              <w:contextualSpacing/>
              <w:jc w:val="center"/>
              <w:rPr>
                <w:rFonts w:hint="default"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32</w:t>
            </w:r>
          </w:p>
        </w:tc>
        <w:tc>
          <w:tcPr>
            <w:tcW w:w="900" w:type="dxa"/>
            <w:noWrap w:val="0"/>
            <w:vAlign w:val="center"/>
          </w:tcPr>
          <w:p w14:paraId="3D51007C">
            <w:pPr>
              <w:spacing w:line="360" w:lineRule="auto"/>
              <w:contextualSpacing/>
              <w:jc w:val="center"/>
              <w:rPr>
                <w:rFonts w:hint="default"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否</w:t>
            </w:r>
          </w:p>
        </w:tc>
        <w:tc>
          <w:tcPr>
            <w:tcW w:w="1241" w:type="dxa"/>
            <w:noWrap w:val="0"/>
            <w:vAlign w:val="center"/>
          </w:tcPr>
          <w:p w14:paraId="73B7757A">
            <w:pPr>
              <w:spacing w:line="360" w:lineRule="auto"/>
              <w:contextualSpacing/>
              <w:jc w:val="center"/>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文化建设</w:t>
            </w:r>
          </w:p>
        </w:tc>
        <w:tc>
          <w:tcPr>
            <w:tcW w:w="559" w:type="dxa"/>
            <w:noWrap w:val="0"/>
            <w:vAlign w:val="center"/>
          </w:tcPr>
          <w:p w14:paraId="692E5B5B">
            <w:pPr>
              <w:spacing w:line="360" w:lineRule="auto"/>
              <w:contextualSpacing/>
              <w:jc w:val="center"/>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w:t>
            </w:r>
          </w:p>
        </w:tc>
        <w:tc>
          <w:tcPr>
            <w:tcW w:w="763" w:type="dxa"/>
            <w:noWrap w:val="0"/>
            <w:vAlign w:val="center"/>
          </w:tcPr>
          <w:p w14:paraId="1DD204EF">
            <w:pPr>
              <w:spacing w:line="360" w:lineRule="auto"/>
              <w:contextualSpacing/>
              <w:jc w:val="center"/>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项</w:t>
            </w:r>
          </w:p>
        </w:tc>
        <w:tc>
          <w:tcPr>
            <w:tcW w:w="969" w:type="dxa"/>
            <w:noWrap w:val="0"/>
            <w:vAlign w:val="center"/>
          </w:tcPr>
          <w:p w14:paraId="77724A18">
            <w:pPr>
              <w:spacing w:line="360" w:lineRule="auto"/>
              <w:contextualSpacing/>
              <w:jc w:val="center"/>
              <w:rPr>
                <w:rFonts w:hint="default"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13860</w:t>
            </w:r>
          </w:p>
        </w:tc>
        <w:tc>
          <w:tcPr>
            <w:tcW w:w="1213" w:type="dxa"/>
            <w:noWrap w:val="0"/>
            <w:vAlign w:val="center"/>
          </w:tcPr>
          <w:p w14:paraId="45EFD129">
            <w:pPr>
              <w:spacing w:line="360" w:lineRule="auto"/>
              <w:contextualSpacing/>
              <w:jc w:val="center"/>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13860</w:t>
            </w:r>
          </w:p>
        </w:tc>
        <w:tc>
          <w:tcPr>
            <w:tcW w:w="8823" w:type="dxa"/>
            <w:noWrap w:val="0"/>
            <w:vAlign w:val="center"/>
          </w:tcPr>
          <w:p w14:paraId="6C20FCB3">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1.前墙磁吸宣传栏</w:t>
            </w:r>
          </w:p>
          <w:p w14:paraId="77B1482F">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2.后墙黑板翻新</w:t>
            </w:r>
          </w:p>
          <w:p w14:paraId="5D7A1D4A">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3.侧墙教室完后展板</w:t>
            </w:r>
          </w:p>
        </w:tc>
      </w:tr>
      <w:tr w14:paraId="7E477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464" w:type="dxa"/>
            <w:noWrap w:val="0"/>
            <w:vAlign w:val="center"/>
          </w:tcPr>
          <w:p w14:paraId="549C75AF">
            <w:pPr>
              <w:spacing w:line="360" w:lineRule="auto"/>
              <w:contextualSpacing/>
              <w:jc w:val="center"/>
              <w:rPr>
                <w:rFonts w:hint="default"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33</w:t>
            </w:r>
          </w:p>
        </w:tc>
        <w:tc>
          <w:tcPr>
            <w:tcW w:w="900" w:type="dxa"/>
            <w:noWrap w:val="0"/>
            <w:vAlign w:val="center"/>
          </w:tcPr>
          <w:p w14:paraId="4CA46220">
            <w:pPr>
              <w:spacing w:line="360" w:lineRule="auto"/>
              <w:contextualSpacing/>
              <w:jc w:val="center"/>
              <w:rPr>
                <w:rFonts w:hint="default" w:ascii="仿宋" w:hAnsi="仿宋" w:eastAsia="仿宋"/>
                <w:color w:val="auto"/>
                <w:sz w:val="24"/>
                <w:szCs w:val="24"/>
                <w:highlight w:val="none"/>
                <w:vertAlign w:val="baseline"/>
                <w:lang w:val="en-US" w:eastAsia="zh-CN"/>
              </w:rPr>
            </w:pPr>
            <w:r>
              <w:rPr>
                <w:rFonts w:hint="eastAsia" w:ascii="仿宋" w:hAnsi="仿宋" w:eastAsia="仿宋"/>
                <w:color w:val="auto"/>
                <w:sz w:val="24"/>
                <w:szCs w:val="24"/>
                <w:highlight w:val="none"/>
                <w:vertAlign w:val="baseline"/>
                <w:lang w:val="en-US" w:eastAsia="zh-CN"/>
              </w:rPr>
              <w:t>否</w:t>
            </w:r>
          </w:p>
        </w:tc>
        <w:tc>
          <w:tcPr>
            <w:tcW w:w="1241" w:type="dxa"/>
            <w:noWrap w:val="0"/>
            <w:vAlign w:val="center"/>
          </w:tcPr>
          <w:p w14:paraId="264C38B2">
            <w:pPr>
              <w:spacing w:line="360" w:lineRule="auto"/>
              <w:contextualSpacing/>
              <w:jc w:val="center"/>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综合布线</w:t>
            </w:r>
          </w:p>
        </w:tc>
        <w:tc>
          <w:tcPr>
            <w:tcW w:w="559" w:type="dxa"/>
            <w:noWrap w:val="0"/>
            <w:vAlign w:val="center"/>
          </w:tcPr>
          <w:p w14:paraId="23CBB508">
            <w:pPr>
              <w:spacing w:line="360" w:lineRule="auto"/>
              <w:contextualSpacing/>
              <w:jc w:val="center"/>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w:t>
            </w:r>
          </w:p>
        </w:tc>
        <w:tc>
          <w:tcPr>
            <w:tcW w:w="763" w:type="dxa"/>
            <w:noWrap w:val="0"/>
            <w:vAlign w:val="center"/>
          </w:tcPr>
          <w:p w14:paraId="3FA963DB">
            <w:pPr>
              <w:spacing w:line="360" w:lineRule="auto"/>
              <w:contextualSpacing/>
              <w:jc w:val="center"/>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项</w:t>
            </w:r>
          </w:p>
        </w:tc>
        <w:tc>
          <w:tcPr>
            <w:tcW w:w="969" w:type="dxa"/>
            <w:noWrap w:val="0"/>
            <w:vAlign w:val="center"/>
          </w:tcPr>
          <w:p w14:paraId="1D109644">
            <w:pPr>
              <w:spacing w:line="360" w:lineRule="auto"/>
              <w:contextualSpacing/>
              <w:jc w:val="center"/>
              <w:rPr>
                <w:rFonts w:hint="default"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15840</w:t>
            </w:r>
          </w:p>
        </w:tc>
        <w:tc>
          <w:tcPr>
            <w:tcW w:w="1213" w:type="dxa"/>
            <w:noWrap w:val="0"/>
            <w:vAlign w:val="center"/>
          </w:tcPr>
          <w:p w14:paraId="11609DE8">
            <w:pPr>
              <w:spacing w:line="360" w:lineRule="auto"/>
              <w:contextualSpacing/>
              <w:jc w:val="center"/>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15840</w:t>
            </w:r>
          </w:p>
        </w:tc>
        <w:tc>
          <w:tcPr>
            <w:tcW w:w="8823" w:type="dxa"/>
            <w:noWrap w:val="0"/>
            <w:vAlign w:val="center"/>
          </w:tcPr>
          <w:p w14:paraId="0CDFEE26">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1.强电线路与弱电线路间距保持30公分以上，强弱电线管交叉地方用锡箔纸包裹做抗干扰处理。</w:t>
            </w:r>
          </w:p>
          <w:p w14:paraId="32436A5E">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2.按建筑套内面积计算，含86型插座底盒。</w:t>
            </w:r>
          </w:p>
          <w:p w14:paraId="3423697C">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3.所有强电采用国标单芯铜线。</w:t>
            </w:r>
          </w:p>
          <w:p w14:paraId="4C033A08">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4.灯线及接地线线径不低于1.5平方，全室内普通插座线线径不低于2.5平方。</w:t>
            </w:r>
          </w:p>
          <w:p w14:paraId="7FA7718A">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5.穿线管采用PVC阻燃管。</w:t>
            </w:r>
          </w:p>
          <w:p w14:paraId="253F85AB">
            <w:pPr>
              <w:spacing w:line="360" w:lineRule="auto"/>
              <w:contextualSpacing/>
              <w:jc w:val="left"/>
              <w:rPr>
                <w:rFonts w:hint="eastAsia" w:ascii="仿宋" w:hAnsi="仿宋" w:eastAsia="仿宋" w:cs="Times New Roman"/>
                <w:color w:val="auto"/>
                <w:sz w:val="24"/>
                <w:szCs w:val="24"/>
                <w:highlight w:val="none"/>
                <w:vertAlign w:val="baseline"/>
                <w:lang w:val="en-US" w:eastAsia="zh-CN"/>
              </w:rPr>
            </w:pPr>
            <w:r>
              <w:rPr>
                <w:rFonts w:hint="eastAsia" w:ascii="仿宋" w:hAnsi="仿宋" w:eastAsia="仿宋" w:cs="Times New Roman"/>
                <w:color w:val="auto"/>
                <w:sz w:val="24"/>
                <w:szCs w:val="24"/>
                <w:highlight w:val="none"/>
                <w:vertAlign w:val="baseline"/>
                <w:lang w:val="en-US" w:eastAsia="zh-CN"/>
              </w:rPr>
              <w:t>6.网线采用国标六类网线。包含辅材：插排、地插盒、水晶头等</w:t>
            </w:r>
          </w:p>
        </w:tc>
      </w:tr>
    </w:tbl>
    <w:p w14:paraId="131B0F30">
      <w:pPr>
        <w:keepNext w:val="0"/>
        <w:keepLines w:val="0"/>
        <w:pageBreakBefore w:val="0"/>
        <w:widowControl w:val="0"/>
        <w:kinsoku/>
        <w:wordWrap/>
        <w:overflowPunct/>
        <w:topLinePunct w:val="0"/>
        <w:autoSpaceDE w:val="0"/>
        <w:autoSpaceDN w:val="0"/>
        <w:bidi w:val="0"/>
        <w:adjustRightInd/>
        <w:snapToGrid/>
        <w:spacing w:line="440" w:lineRule="exact"/>
        <w:ind w:firstLine="422" w:firstLineChars="200"/>
        <w:jc w:val="both"/>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US" w:eastAsia="zh-CN"/>
        </w:rPr>
        <w:t>注：</w:t>
      </w:r>
      <w:r>
        <w:rPr>
          <w:rFonts w:hint="eastAsia" w:ascii="仿宋" w:hAnsi="仿宋" w:eastAsia="仿宋" w:cs="仿宋"/>
          <w:b/>
          <w:bCs/>
          <w:color w:val="auto"/>
          <w:sz w:val="21"/>
          <w:szCs w:val="21"/>
          <w:highlight w:val="none"/>
          <w:lang w:eastAsia="zh-CN"/>
        </w:rPr>
        <w:t>本技术参数中的各项技术参数和规格要求如出现引用某一特定的专利技术、商标、名称、设计、原产地或供应者等情况，则仅起参考作用。投标人可选用实质上“相当于”或“优于”该参考技术规格要求的产品投标。</w:t>
      </w:r>
    </w:p>
    <w:p w14:paraId="3A4F9962">
      <w:pPr>
        <w:bidi w:val="0"/>
        <w:rPr>
          <w:rFonts w:hint="eastAsia"/>
          <w:lang w:eastAsia="zh-CN"/>
        </w:rPr>
      </w:pPr>
    </w:p>
    <w:p w14:paraId="2EA409A3">
      <w:pPr>
        <w:keepNext w:val="0"/>
        <w:keepLines w:val="0"/>
        <w:pageBreakBefore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方正公文黑体" w:hAnsi="方正公文黑体" w:eastAsia="方正公文黑体" w:cs="方正公文黑体"/>
          <w:b/>
          <w:bCs/>
          <w:color w:val="auto"/>
          <w:sz w:val="28"/>
          <w:szCs w:val="28"/>
          <w:highlight w:val="none"/>
          <w:lang w:val="en-US" w:eastAsia="zh-CN"/>
        </w:rPr>
      </w:pPr>
      <w:r>
        <w:rPr>
          <w:rFonts w:hint="eastAsia" w:ascii="方正公文黑体" w:hAnsi="方正公文黑体" w:eastAsia="方正公文黑体" w:cs="方正公文黑体"/>
          <w:b/>
          <w:bCs/>
          <w:color w:val="auto"/>
          <w:kern w:val="2"/>
          <w:sz w:val="28"/>
          <w:szCs w:val="28"/>
          <w:lang w:val="en-US" w:eastAsia="zh-CN" w:bidi="ar-SA"/>
        </w:rPr>
        <w:t>二、</w:t>
      </w:r>
      <w:r>
        <w:rPr>
          <w:rFonts w:hint="eastAsia" w:ascii="方正公文黑体" w:hAnsi="方正公文黑体" w:eastAsia="方正公文黑体" w:cs="方正公文黑体"/>
          <w:b/>
          <w:bCs/>
          <w:color w:val="auto"/>
          <w:sz w:val="28"/>
          <w:szCs w:val="28"/>
          <w:highlight w:val="none"/>
          <w:lang w:val="en-US" w:eastAsia="zh-CN"/>
        </w:rPr>
        <w:t>其他要求</w:t>
      </w:r>
    </w:p>
    <w:p w14:paraId="4E274A4B">
      <w:pPr>
        <w:pStyle w:val="3"/>
        <w:keepNext w:val="0"/>
        <w:keepLines w:val="0"/>
        <w:pageBreakBefore w:val="0"/>
        <w:kinsoku/>
        <w:overflowPunct/>
        <w:topLinePunct w:val="0"/>
        <w:autoSpaceDE/>
        <w:autoSpaceDN/>
        <w:bidi w:val="0"/>
        <w:snapToGrid/>
        <w:spacing w:after="0" w:line="440" w:lineRule="exact"/>
        <w:ind w:left="0" w:leftChars="0" w:right="210" w:firstLine="480" w:firstLineChars="20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1.合同履行期限：合同签订生效后60日历天内完成所有设备供货、安装、调试、装修、综合布线及竣工验收，并交付使用。</w:t>
      </w:r>
    </w:p>
    <w:p w14:paraId="53AF929F">
      <w:pPr>
        <w:pStyle w:val="3"/>
        <w:keepNext w:val="0"/>
        <w:keepLines w:val="0"/>
        <w:pageBreakBefore w:val="0"/>
        <w:kinsoku/>
        <w:overflowPunct/>
        <w:topLinePunct w:val="0"/>
        <w:autoSpaceDE/>
        <w:autoSpaceDN/>
        <w:bidi w:val="0"/>
        <w:snapToGrid/>
        <w:spacing w:after="0" w:line="440" w:lineRule="exact"/>
        <w:ind w:left="0" w:leftChars="0" w:right="210" w:firstLine="480" w:firstLineChars="20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2.质量要求：符合国家及行业相关质量标准，所有产品须为全新、未使用过的原装正品，且具备完整的产品合格证明、出厂检验报告及相关技术资料。</w:t>
      </w:r>
    </w:p>
    <w:p w14:paraId="0140E7E3">
      <w:pPr>
        <w:pStyle w:val="3"/>
        <w:keepNext w:val="0"/>
        <w:keepLines w:val="0"/>
        <w:pageBreakBefore w:val="0"/>
        <w:kinsoku/>
        <w:overflowPunct/>
        <w:topLinePunct w:val="0"/>
        <w:autoSpaceDE/>
        <w:autoSpaceDN/>
        <w:bidi w:val="0"/>
        <w:snapToGrid/>
        <w:spacing w:after="0" w:line="440" w:lineRule="exact"/>
        <w:ind w:left="0" w:leftChars="0" w:right="210" w:firstLine="480" w:firstLineChars="20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质保期限：所有硬件设备自竣工验收合格之日起免费质保不少于3年，质保期内配置足额同型号备品备件，故障更换所需备品备件全部免费提供；所有软件系统自竣工验收合格之日起免费质保不少于3年并提供终身免费升级服务；装修及安装工程部分质保期不少于1年；质保期内提供免费上门服务，接到故障通知后12小时内响应，24小时内到场处置。</w:t>
      </w:r>
    </w:p>
    <w:p w14:paraId="6F9E9C55">
      <w:pPr>
        <w:pStyle w:val="3"/>
        <w:keepNext w:val="0"/>
        <w:keepLines w:val="0"/>
        <w:pageBreakBefore w:val="0"/>
        <w:kinsoku/>
        <w:overflowPunct/>
        <w:topLinePunct w:val="0"/>
        <w:autoSpaceDE/>
        <w:autoSpaceDN/>
        <w:bidi w:val="0"/>
        <w:snapToGrid/>
        <w:spacing w:after="0" w:line="440" w:lineRule="exact"/>
        <w:ind w:left="0" w:leftChars="0" w:right="210" w:firstLine="480" w:firstLineChars="200"/>
        <w:textAlignment w:val="auto"/>
        <w:rPr>
          <w:rFonts w:hint="eastAsia" w:ascii="仿宋" w:hAnsi="仿宋" w:eastAsia="仿宋"/>
          <w:b w:val="0"/>
          <w:bCs w:val="0"/>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4.服务地点：大理白族自治州财贸学校（采购人指定地点）。</w:t>
      </w:r>
    </w:p>
    <w:p w14:paraId="749D87F5">
      <w:pPr>
        <w:spacing w:line="560" w:lineRule="exact"/>
        <w:rPr>
          <w:rFonts w:hint="default" w:ascii="黑体" w:hAnsi="黑体" w:eastAsia="黑体" w:cs="黑体"/>
          <w:color w:val="auto"/>
          <w:sz w:val="32"/>
          <w:szCs w:val="32"/>
          <w:highlight w:val="none"/>
          <w:lang w:val="en-US" w:eastAsia="zh-CN"/>
        </w:rPr>
        <w:sectPr>
          <w:footerReference r:id="rId10" w:type="default"/>
          <w:pgSz w:w="16838" w:h="11906" w:orient="landscape"/>
          <w:pgMar w:top="1080" w:right="1440" w:bottom="1080" w:left="1440" w:header="1020" w:footer="851" w:gutter="0"/>
          <w:pgNumType w:fmt="decimal"/>
          <w:cols w:space="720" w:num="1"/>
          <w:docGrid w:linePitch="331" w:charSpace="0"/>
        </w:sectPr>
      </w:pPr>
    </w:p>
    <w:p w14:paraId="465B13D8">
      <w:pPr>
        <w:widowControl/>
        <w:spacing w:line="360" w:lineRule="auto"/>
        <w:jc w:val="center"/>
        <w:outlineLvl w:val="0"/>
        <w:rPr>
          <w:rFonts w:hint="eastAsia" w:ascii="宋体" w:hAnsi="宋体" w:eastAsia="宋体" w:cs="楷体"/>
          <w:b/>
          <w:color w:val="auto"/>
          <w:kern w:val="0"/>
          <w:sz w:val="36"/>
          <w:szCs w:val="20"/>
          <w:highlight w:val="none"/>
          <w:lang w:val="en-US" w:eastAsia="zh-CN" w:bidi="ar-SA"/>
        </w:rPr>
      </w:pPr>
      <w:bookmarkStart w:id="701" w:name="_Toc15128"/>
      <w:bookmarkStart w:id="702" w:name="_Toc29600"/>
      <w:bookmarkStart w:id="703" w:name="_Toc2926"/>
      <w:bookmarkStart w:id="704" w:name="_Toc8068"/>
      <w:bookmarkStart w:id="705" w:name="_Toc31582"/>
      <w:r>
        <w:rPr>
          <w:rFonts w:hint="eastAsia" w:ascii="宋体" w:hAnsi="宋体" w:eastAsia="宋体" w:cs="楷体"/>
          <w:b/>
          <w:color w:val="auto"/>
          <w:kern w:val="0"/>
          <w:sz w:val="36"/>
          <w:szCs w:val="20"/>
          <w:highlight w:val="none"/>
          <w:lang w:val="en-US" w:eastAsia="zh-CN" w:bidi="ar-SA"/>
        </w:rPr>
        <w:t>第六章</w:t>
      </w:r>
      <w:bookmarkEnd w:id="697"/>
      <w:bookmarkEnd w:id="698"/>
      <w:bookmarkEnd w:id="699"/>
      <w:r>
        <w:rPr>
          <w:rFonts w:hint="eastAsia" w:ascii="宋体" w:hAnsi="宋体" w:eastAsia="宋体" w:cs="楷体"/>
          <w:b/>
          <w:color w:val="auto"/>
          <w:kern w:val="0"/>
          <w:sz w:val="36"/>
          <w:szCs w:val="20"/>
          <w:highlight w:val="none"/>
          <w:lang w:val="en-US" w:eastAsia="zh-CN" w:bidi="ar-SA"/>
        </w:rPr>
        <w:t xml:space="preserve"> 评标办法（综合评分法）</w:t>
      </w:r>
      <w:bookmarkEnd w:id="700"/>
      <w:bookmarkEnd w:id="701"/>
      <w:bookmarkEnd w:id="702"/>
      <w:bookmarkEnd w:id="703"/>
      <w:bookmarkEnd w:id="704"/>
      <w:bookmarkEnd w:id="705"/>
    </w:p>
    <w:p w14:paraId="2DF21F2C">
      <w:pPr>
        <w:pStyle w:val="5"/>
        <w:pageBreakBefore w:val="0"/>
        <w:kinsoku/>
        <w:wordWrap/>
        <w:overflowPunct/>
        <w:topLinePunct w:val="0"/>
        <w:autoSpaceDE/>
        <w:autoSpaceDN/>
        <w:bidi w:val="0"/>
        <w:spacing w:before="0" w:beforeAutospacing="0" w:afterAutospacing="0" w:line="240" w:lineRule="auto"/>
        <w:ind w:firstLine="0" w:firstLineChars="0"/>
        <w:jc w:val="center"/>
        <w:rPr>
          <w:rFonts w:ascii="楷体" w:hAnsi="楷体" w:eastAsia="楷体" w:cs="楷体"/>
          <w:color w:val="auto"/>
          <w:sz w:val="30"/>
          <w:szCs w:val="30"/>
          <w:highlight w:val="none"/>
        </w:rPr>
      </w:pPr>
      <w:bookmarkStart w:id="706" w:name="_Toc30903"/>
      <w:bookmarkStart w:id="707" w:name="_Toc22989"/>
      <w:bookmarkStart w:id="708" w:name="_Toc7244"/>
      <w:bookmarkStart w:id="709" w:name="_Toc13363"/>
      <w:bookmarkStart w:id="710" w:name="_Toc29866"/>
      <w:bookmarkStart w:id="711" w:name="_Toc391301903"/>
      <w:bookmarkStart w:id="712" w:name="_Toc18384"/>
      <w:bookmarkStart w:id="713" w:name="_Toc396313202"/>
      <w:bookmarkStart w:id="714" w:name="_Toc503861978"/>
      <w:bookmarkStart w:id="715" w:name="_Toc28617"/>
      <w:bookmarkStart w:id="716" w:name="_Toc29310090"/>
      <w:bookmarkStart w:id="717" w:name="_Toc43545573"/>
      <w:bookmarkStart w:id="718" w:name="_Toc370729213"/>
      <w:bookmarkStart w:id="719" w:name="_Toc326218110"/>
      <w:bookmarkStart w:id="720" w:name="_Toc14572"/>
      <w:bookmarkStart w:id="721" w:name="_Toc10305053"/>
      <w:bookmarkStart w:id="722" w:name="_Toc427081174"/>
      <w:bookmarkStart w:id="723" w:name="_Toc4629729"/>
      <w:bookmarkStart w:id="724" w:name="_Toc2349844"/>
      <w:r>
        <w:rPr>
          <w:rFonts w:hint="eastAsia" w:ascii="楷体" w:hAnsi="楷体" w:eastAsia="楷体" w:cs="楷体"/>
          <w:color w:val="auto"/>
          <w:sz w:val="30"/>
          <w:szCs w:val="30"/>
          <w:highlight w:val="none"/>
        </w:rPr>
        <w:t>评标办法前附表</w:t>
      </w:r>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p>
    <w:tbl>
      <w:tblPr>
        <w:tblStyle w:val="41"/>
        <w:tblW w:w="101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7"/>
        <w:gridCol w:w="749"/>
        <w:gridCol w:w="1798"/>
        <w:gridCol w:w="6545"/>
      </w:tblGrid>
      <w:tr w14:paraId="4E66D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blHeader/>
        </w:trPr>
        <w:tc>
          <w:tcPr>
            <w:tcW w:w="1796" w:type="dxa"/>
            <w:gridSpan w:val="2"/>
            <w:shd w:val="clear" w:color="auto" w:fill="F7CAAC" w:themeFill="accent2" w:themeFillTint="66"/>
            <w:vAlign w:val="center"/>
          </w:tcPr>
          <w:p w14:paraId="5F85967E">
            <w:pPr>
              <w:keepNext w:val="0"/>
              <w:keepLines w:val="0"/>
              <w:pageBreakBefore w:val="0"/>
              <w:kinsoku/>
              <w:wordWrap w:val="0"/>
              <w:overflowPunct/>
              <w:topLinePunct w:val="0"/>
              <w:autoSpaceDE/>
              <w:autoSpaceDN/>
              <w:bidi w:val="0"/>
              <w:snapToGrid/>
              <w:spacing w:beforeAutospacing="0" w:afterAutospacing="0" w:line="240" w:lineRule="auto"/>
              <w:jc w:val="center"/>
              <w:textAlignment w:val="auto"/>
              <w:rPr>
                <w:rFonts w:ascii="仿宋" w:hAnsi="仿宋" w:eastAsia="仿宋"/>
                <w:b/>
                <w:color w:val="auto"/>
                <w:sz w:val="24"/>
                <w:szCs w:val="24"/>
                <w:highlight w:val="none"/>
              </w:rPr>
            </w:pPr>
            <w:r>
              <w:rPr>
                <w:rFonts w:hint="eastAsia" w:ascii="仿宋" w:hAnsi="仿宋" w:eastAsia="仿宋" w:cs="宋体"/>
                <w:b/>
                <w:color w:val="auto"/>
                <w:sz w:val="24"/>
                <w:szCs w:val="24"/>
                <w:highlight w:val="none"/>
              </w:rPr>
              <w:t>条款号</w:t>
            </w:r>
          </w:p>
        </w:tc>
        <w:tc>
          <w:tcPr>
            <w:tcW w:w="1798" w:type="dxa"/>
            <w:shd w:val="clear" w:color="auto" w:fill="F7CAAC" w:themeFill="accent2" w:themeFillTint="66"/>
            <w:vAlign w:val="center"/>
          </w:tcPr>
          <w:p w14:paraId="750440CF">
            <w:pPr>
              <w:keepNext w:val="0"/>
              <w:keepLines w:val="0"/>
              <w:pageBreakBefore w:val="0"/>
              <w:kinsoku/>
              <w:wordWrap w:val="0"/>
              <w:overflowPunct/>
              <w:topLinePunct w:val="0"/>
              <w:autoSpaceDE/>
              <w:autoSpaceDN/>
              <w:bidi w:val="0"/>
              <w:snapToGrid/>
              <w:spacing w:beforeAutospacing="0" w:afterAutospacing="0" w:line="240" w:lineRule="auto"/>
              <w:jc w:val="center"/>
              <w:textAlignment w:val="auto"/>
              <w:rPr>
                <w:rFonts w:ascii="仿宋" w:hAnsi="仿宋" w:eastAsia="仿宋"/>
                <w:b/>
                <w:color w:val="auto"/>
                <w:sz w:val="24"/>
                <w:szCs w:val="24"/>
                <w:highlight w:val="none"/>
              </w:rPr>
            </w:pPr>
            <w:r>
              <w:rPr>
                <w:rFonts w:hint="eastAsia" w:ascii="仿宋" w:hAnsi="仿宋" w:eastAsia="仿宋" w:cs="宋体"/>
                <w:b/>
                <w:color w:val="auto"/>
                <w:sz w:val="24"/>
                <w:szCs w:val="24"/>
                <w:highlight w:val="none"/>
              </w:rPr>
              <w:t>评审因素</w:t>
            </w:r>
          </w:p>
        </w:tc>
        <w:tc>
          <w:tcPr>
            <w:tcW w:w="6545" w:type="dxa"/>
            <w:shd w:val="clear" w:color="auto" w:fill="F7CAAC" w:themeFill="accent2" w:themeFillTint="66"/>
            <w:vAlign w:val="center"/>
          </w:tcPr>
          <w:p w14:paraId="43078F0A">
            <w:pPr>
              <w:keepNext w:val="0"/>
              <w:keepLines w:val="0"/>
              <w:pageBreakBefore w:val="0"/>
              <w:kinsoku/>
              <w:wordWrap w:val="0"/>
              <w:overflowPunct/>
              <w:topLinePunct w:val="0"/>
              <w:autoSpaceDE/>
              <w:autoSpaceDN/>
              <w:bidi w:val="0"/>
              <w:snapToGrid/>
              <w:spacing w:beforeAutospacing="0" w:afterAutospacing="0" w:line="240" w:lineRule="auto"/>
              <w:jc w:val="center"/>
              <w:textAlignment w:val="auto"/>
              <w:rPr>
                <w:rFonts w:ascii="仿宋" w:hAnsi="仿宋" w:eastAsia="仿宋"/>
                <w:b/>
                <w:color w:val="auto"/>
                <w:sz w:val="24"/>
                <w:szCs w:val="24"/>
                <w:highlight w:val="none"/>
              </w:rPr>
            </w:pPr>
            <w:r>
              <w:rPr>
                <w:rFonts w:hint="eastAsia" w:ascii="仿宋" w:hAnsi="仿宋" w:eastAsia="仿宋" w:cs="宋体"/>
                <w:b/>
                <w:color w:val="auto"/>
                <w:sz w:val="24"/>
                <w:szCs w:val="24"/>
                <w:highlight w:val="none"/>
              </w:rPr>
              <w:t>评审标准</w:t>
            </w:r>
          </w:p>
        </w:tc>
      </w:tr>
      <w:tr w14:paraId="2DD5B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47" w:type="dxa"/>
            <w:vMerge w:val="restart"/>
            <w:vAlign w:val="center"/>
          </w:tcPr>
          <w:p w14:paraId="34E0556B">
            <w:pPr>
              <w:keepNext w:val="0"/>
              <w:keepLines w:val="0"/>
              <w:pageBreakBefore w:val="0"/>
              <w:kinsoku/>
              <w:wordWrap w:val="0"/>
              <w:overflowPunct/>
              <w:topLinePunct w:val="0"/>
              <w:autoSpaceDE/>
              <w:autoSpaceDN/>
              <w:bidi w:val="0"/>
              <w:snapToGrid/>
              <w:spacing w:beforeAutospacing="0" w:afterAutospacing="0" w:line="360" w:lineRule="auto"/>
              <w:jc w:val="center"/>
              <w:textAlignment w:val="auto"/>
              <w:rPr>
                <w:rFonts w:ascii="仿宋" w:hAnsi="仿宋" w:eastAsia="仿宋"/>
                <w:b/>
                <w:bCs/>
                <w:color w:val="auto"/>
                <w:sz w:val="24"/>
                <w:szCs w:val="24"/>
                <w:highlight w:val="none"/>
              </w:rPr>
            </w:pPr>
            <w:r>
              <w:rPr>
                <w:rFonts w:ascii="仿宋" w:hAnsi="仿宋" w:eastAsia="仿宋"/>
                <w:b/>
                <w:bCs/>
                <w:color w:val="auto"/>
                <w:sz w:val="24"/>
                <w:szCs w:val="24"/>
                <w:highlight w:val="none"/>
              </w:rPr>
              <w:t>2.1.1</w:t>
            </w:r>
          </w:p>
        </w:tc>
        <w:tc>
          <w:tcPr>
            <w:tcW w:w="749" w:type="dxa"/>
            <w:vMerge w:val="restart"/>
            <w:vAlign w:val="center"/>
          </w:tcPr>
          <w:p w14:paraId="1DC60CDE">
            <w:pPr>
              <w:keepNext w:val="0"/>
              <w:keepLines w:val="0"/>
              <w:pageBreakBefore w:val="0"/>
              <w:kinsoku/>
              <w:wordWrap w:val="0"/>
              <w:overflowPunct/>
              <w:topLinePunct w:val="0"/>
              <w:autoSpaceDE/>
              <w:autoSpaceDN/>
              <w:bidi w:val="0"/>
              <w:snapToGrid/>
              <w:spacing w:beforeAutospacing="0" w:afterAutospacing="0" w:line="360" w:lineRule="auto"/>
              <w:jc w:val="center"/>
              <w:textAlignment w:val="auto"/>
              <w:rPr>
                <w:rFonts w:ascii="仿宋" w:hAnsi="仿宋" w:eastAsia="仿宋"/>
                <w:b/>
                <w:bCs/>
                <w:color w:val="auto"/>
                <w:sz w:val="24"/>
                <w:szCs w:val="24"/>
                <w:highlight w:val="none"/>
              </w:rPr>
            </w:pPr>
            <w:r>
              <w:rPr>
                <w:rFonts w:hint="eastAsia" w:ascii="仿宋" w:hAnsi="仿宋" w:eastAsia="仿宋" w:cs="宋体"/>
                <w:b/>
                <w:bCs/>
                <w:color w:val="auto"/>
                <w:sz w:val="24"/>
                <w:szCs w:val="24"/>
                <w:highlight w:val="none"/>
              </w:rPr>
              <w:t>资格</w:t>
            </w:r>
          </w:p>
          <w:p w14:paraId="70B73269">
            <w:pPr>
              <w:keepNext w:val="0"/>
              <w:keepLines w:val="0"/>
              <w:pageBreakBefore w:val="0"/>
              <w:kinsoku/>
              <w:wordWrap w:val="0"/>
              <w:overflowPunct/>
              <w:topLinePunct w:val="0"/>
              <w:autoSpaceDE/>
              <w:autoSpaceDN/>
              <w:bidi w:val="0"/>
              <w:snapToGrid/>
              <w:spacing w:beforeAutospacing="0" w:afterAutospacing="0" w:line="360" w:lineRule="auto"/>
              <w:jc w:val="center"/>
              <w:textAlignment w:val="auto"/>
              <w:rPr>
                <w:rFonts w:ascii="仿宋" w:hAnsi="仿宋" w:eastAsia="仿宋"/>
                <w:b/>
                <w:bCs/>
                <w:color w:val="auto"/>
                <w:sz w:val="24"/>
                <w:szCs w:val="24"/>
                <w:highlight w:val="none"/>
              </w:rPr>
            </w:pPr>
            <w:r>
              <w:rPr>
                <w:rFonts w:hint="eastAsia" w:ascii="仿宋" w:hAnsi="仿宋" w:eastAsia="仿宋" w:cs="宋体"/>
                <w:b/>
                <w:bCs/>
                <w:color w:val="auto"/>
                <w:sz w:val="24"/>
                <w:szCs w:val="24"/>
                <w:highlight w:val="none"/>
              </w:rPr>
              <w:t>审查</w:t>
            </w:r>
          </w:p>
          <w:p w14:paraId="137AC4D7">
            <w:pPr>
              <w:keepNext w:val="0"/>
              <w:keepLines w:val="0"/>
              <w:pageBreakBefore w:val="0"/>
              <w:kinsoku/>
              <w:wordWrap w:val="0"/>
              <w:overflowPunct/>
              <w:topLinePunct w:val="0"/>
              <w:autoSpaceDE/>
              <w:autoSpaceDN/>
              <w:bidi w:val="0"/>
              <w:snapToGrid/>
              <w:spacing w:beforeAutospacing="0" w:afterAutospacing="0" w:line="360" w:lineRule="auto"/>
              <w:jc w:val="center"/>
              <w:textAlignment w:val="auto"/>
              <w:rPr>
                <w:rFonts w:ascii="仿宋" w:hAnsi="仿宋" w:eastAsia="仿宋"/>
                <w:b/>
                <w:bCs/>
                <w:color w:val="auto"/>
                <w:sz w:val="24"/>
                <w:szCs w:val="24"/>
                <w:highlight w:val="none"/>
              </w:rPr>
            </w:pPr>
            <w:r>
              <w:rPr>
                <w:rFonts w:hint="eastAsia" w:ascii="仿宋" w:hAnsi="仿宋" w:eastAsia="仿宋" w:cs="宋体"/>
                <w:b/>
                <w:bCs/>
                <w:color w:val="auto"/>
                <w:sz w:val="24"/>
                <w:szCs w:val="24"/>
                <w:highlight w:val="none"/>
              </w:rPr>
              <w:t>标准</w:t>
            </w:r>
          </w:p>
        </w:tc>
        <w:tc>
          <w:tcPr>
            <w:tcW w:w="1798" w:type="dxa"/>
            <w:vMerge w:val="restart"/>
            <w:vAlign w:val="center"/>
          </w:tcPr>
          <w:p w14:paraId="39718F15">
            <w:pPr>
              <w:keepNext w:val="0"/>
              <w:keepLines w:val="0"/>
              <w:pageBreakBefore w:val="0"/>
              <w:kinsoku/>
              <w:wordWrap w:val="0"/>
              <w:overflowPunct/>
              <w:topLinePunct w:val="0"/>
              <w:autoSpaceDE/>
              <w:autoSpaceDN/>
              <w:bidi w:val="0"/>
              <w:snapToGrid/>
              <w:spacing w:beforeAutospacing="0" w:afterAutospacing="0" w:line="360" w:lineRule="auto"/>
              <w:jc w:val="center"/>
              <w:textAlignment w:val="auto"/>
              <w:rPr>
                <w:rFonts w:ascii="仿宋" w:hAnsi="仿宋" w:eastAsia="仿宋"/>
                <w:b/>
                <w:bCs/>
                <w:color w:val="auto"/>
                <w:sz w:val="24"/>
                <w:szCs w:val="24"/>
                <w:highlight w:val="none"/>
              </w:rPr>
            </w:pPr>
            <w:r>
              <w:rPr>
                <w:rFonts w:hint="eastAsia" w:ascii="仿宋" w:hAnsi="仿宋" w:eastAsia="仿宋" w:cs="宋体"/>
                <w:b/>
                <w:bCs/>
                <w:color w:val="auto"/>
                <w:sz w:val="24"/>
                <w:szCs w:val="24"/>
                <w:highlight w:val="none"/>
              </w:rPr>
              <w:t>资格条件</w:t>
            </w:r>
          </w:p>
        </w:tc>
        <w:tc>
          <w:tcPr>
            <w:tcW w:w="6545" w:type="dxa"/>
            <w:vAlign w:val="center"/>
          </w:tcPr>
          <w:p w14:paraId="2A9B52C8">
            <w:pPr>
              <w:pStyle w:val="22"/>
              <w:keepNext w:val="0"/>
              <w:keepLines w:val="0"/>
              <w:pageBreakBefore w:val="0"/>
              <w:kinsoku/>
              <w:wordWrap w:val="0"/>
              <w:overflowPunct/>
              <w:topLinePunct w:val="0"/>
              <w:bidi w:val="0"/>
              <w:snapToGrid/>
              <w:spacing w:line="360" w:lineRule="auto"/>
              <w:textAlignment w:val="auto"/>
              <w:rPr>
                <w:rFonts w:hint="eastAsia" w:ascii="仿宋" w:hAnsi="仿宋" w:eastAsia="仿宋" w:cs="仿宋"/>
                <w:b/>
                <w:bCs w:val="0"/>
                <w:color w:val="auto"/>
                <w:sz w:val="24"/>
                <w:szCs w:val="24"/>
                <w:highlight w:val="none"/>
                <w:lang w:eastAsia="zh-CN"/>
              </w:rPr>
            </w:pPr>
            <w:r>
              <w:rPr>
                <w:rFonts w:hint="eastAsia" w:ascii="仿宋" w:hAnsi="仿宋" w:eastAsia="仿宋" w:cs="仿宋"/>
                <w:b/>
                <w:bCs w:val="0"/>
                <w:color w:val="auto"/>
                <w:sz w:val="24"/>
                <w:szCs w:val="24"/>
                <w:highlight w:val="none"/>
                <w:lang w:eastAsia="zh-CN"/>
              </w:rPr>
              <w:t>具有独立承担民事责任的能力：</w:t>
            </w:r>
          </w:p>
          <w:p w14:paraId="329A9C49">
            <w:pPr>
              <w:pStyle w:val="22"/>
              <w:keepNext w:val="0"/>
              <w:keepLines w:val="0"/>
              <w:pageBreakBefore w:val="0"/>
              <w:kinsoku/>
              <w:wordWrap w:val="0"/>
              <w:overflowPunct/>
              <w:topLinePunct w:val="0"/>
              <w:bidi w:val="0"/>
              <w:snapToGrid/>
              <w:spacing w:line="360" w:lineRule="auto"/>
              <w:textAlignment w:val="auto"/>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提供企业有效的法人营业执照、社团组织法人营业执照、事业单位法人证书或自然人证明材料；</w:t>
            </w:r>
          </w:p>
          <w:p w14:paraId="1C4CAC40">
            <w:pPr>
              <w:pStyle w:val="22"/>
              <w:keepNext w:val="0"/>
              <w:keepLines w:val="0"/>
              <w:pageBreakBefore w:val="0"/>
              <w:kinsoku/>
              <w:wordWrap w:val="0"/>
              <w:overflowPunct/>
              <w:topLinePunct w:val="0"/>
              <w:bidi w:val="0"/>
              <w:snapToGrid/>
              <w:spacing w:line="360" w:lineRule="auto"/>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1）投标人为企业的提供营业执照；（扫描件）</w:t>
            </w:r>
          </w:p>
          <w:p w14:paraId="352BC9D9">
            <w:pPr>
              <w:pStyle w:val="22"/>
              <w:keepNext w:val="0"/>
              <w:keepLines w:val="0"/>
              <w:pageBreakBefore w:val="0"/>
              <w:kinsoku/>
              <w:wordWrap w:val="0"/>
              <w:overflowPunct/>
              <w:topLinePunct w:val="0"/>
              <w:bidi w:val="0"/>
              <w:snapToGrid/>
              <w:spacing w:line="360" w:lineRule="auto"/>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（2）投标人是事业单位的，应提供其有效的“事业单位法人证书”；（扫描件）</w:t>
            </w:r>
          </w:p>
          <w:p w14:paraId="791D1AE9">
            <w:pPr>
              <w:pStyle w:val="22"/>
              <w:keepNext w:val="0"/>
              <w:keepLines w:val="0"/>
              <w:pageBreakBefore w:val="0"/>
              <w:kinsoku/>
              <w:wordWrap w:val="0"/>
              <w:overflowPunct/>
              <w:topLinePunct w:val="0"/>
              <w:bidi w:val="0"/>
              <w:snapToGrid/>
              <w:spacing w:line="360" w:lineRule="auto"/>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（3）投标人是个体工商户的，应提供其有效的“个体工商户营业执照”；（扫描件）</w:t>
            </w:r>
          </w:p>
          <w:p w14:paraId="5F310343">
            <w:pPr>
              <w:pStyle w:val="22"/>
              <w:keepNext w:val="0"/>
              <w:keepLines w:val="0"/>
              <w:pageBreakBefore w:val="0"/>
              <w:kinsoku/>
              <w:wordWrap w:val="0"/>
              <w:overflowPunct/>
              <w:topLinePunct w:val="0"/>
              <w:bidi w:val="0"/>
              <w:snapToGrid/>
              <w:spacing w:line="360" w:lineRule="auto"/>
              <w:textAlignment w:val="auto"/>
              <w:rPr>
                <w:rFonts w:ascii="仿宋" w:hAnsi="仿宋" w:eastAsia="仿宋"/>
                <w:color w:val="auto"/>
                <w:sz w:val="24"/>
                <w:szCs w:val="24"/>
                <w:highlight w:val="none"/>
              </w:rPr>
            </w:pPr>
            <w:r>
              <w:rPr>
                <w:rFonts w:hint="eastAsia" w:ascii="仿宋" w:hAnsi="仿宋" w:eastAsia="仿宋" w:cs="仿宋"/>
                <w:bCs/>
                <w:color w:val="auto"/>
                <w:sz w:val="24"/>
                <w:szCs w:val="24"/>
                <w:highlight w:val="none"/>
                <w:lang w:val="en-US" w:eastAsia="zh-CN"/>
              </w:rPr>
              <w:t>（4）投标人是自然人的，应提供其有效的自然人身份证明。（扫描件）</w:t>
            </w:r>
          </w:p>
        </w:tc>
      </w:tr>
      <w:tr w14:paraId="55307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47" w:type="dxa"/>
            <w:vMerge w:val="continue"/>
            <w:vAlign w:val="center"/>
          </w:tcPr>
          <w:p w14:paraId="132C2B5C">
            <w:pPr>
              <w:keepNext w:val="0"/>
              <w:keepLines w:val="0"/>
              <w:pageBreakBefore w:val="0"/>
              <w:kinsoku/>
              <w:wordWrap w:val="0"/>
              <w:overflowPunct/>
              <w:topLinePunct w:val="0"/>
              <w:autoSpaceDE/>
              <w:autoSpaceDN/>
              <w:bidi w:val="0"/>
              <w:snapToGrid/>
              <w:spacing w:beforeAutospacing="0" w:afterAutospacing="0" w:line="360" w:lineRule="auto"/>
              <w:jc w:val="center"/>
              <w:textAlignment w:val="auto"/>
              <w:rPr>
                <w:rFonts w:ascii="仿宋" w:hAnsi="仿宋" w:eastAsia="仿宋"/>
                <w:color w:val="auto"/>
                <w:sz w:val="24"/>
                <w:szCs w:val="24"/>
                <w:highlight w:val="none"/>
              </w:rPr>
            </w:pPr>
          </w:p>
        </w:tc>
        <w:tc>
          <w:tcPr>
            <w:tcW w:w="749" w:type="dxa"/>
            <w:vMerge w:val="continue"/>
            <w:vAlign w:val="center"/>
          </w:tcPr>
          <w:p w14:paraId="35D725EA">
            <w:pPr>
              <w:keepNext w:val="0"/>
              <w:keepLines w:val="0"/>
              <w:pageBreakBefore w:val="0"/>
              <w:kinsoku/>
              <w:wordWrap w:val="0"/>
              <w:overflowPunct/>
              <w:topLinePunct w:val="0"/>
              <w:autoSpaceDE/>
              <w:autoSpaceDN/>
              <w:bidi w:val="0"/>
              <w:snapToGrid/>
              <w:spacing w:beforeAutospacing="0" w:afterAutospacing="0" w:line="360" w:lineRule="auto"/>
              <w:jc w:val="center"/>
              <w:textAlignment w:val="auto"/>
              <w:rPr>
                <w:rFonts w:hint="eastAsia" w:ascii="仿宋" w:hAnsi="仿宋" w:eastAsia="仿宋" w:cs="宋体"/>
                <w:color w:val="auto"/>
                <w:sz w:val="24"/>
                <w:szCs w:val="24"/>
                <w:highlight w:val="none"/>
              </w:rPr>
            </w:pPr>
          </w:p>
        </w:tc>
        <w:tc>
          <w:tcPr>
            <w:tcW w:w="1798" w:type="dxa"/>
            <w:vMerge w:val="continue"/>
            <w:vAlign w:val="center"/>
          </w:tcPr>
          <w:p w14:paraId="2CCEE267">
            <w:pPr>
              <w:keepNext w:val="0"/>
              <w:keepLines w:val="0"/>
              <w:pageBreakBefore w:val="0"/>
              <w:kinsoku/>
              <w:wordWrap w:val="0"/>
              <w:overflowPunct/>
              <w:topLinePunct w:val="0"/>
              <w:autoSpaceDE/>
              <w:autoSpaceDN/>
              <w:bidi w:val="0"/>
              <w:snapToGrid/>
              <w:spacing w:beforeAutospacing="0" w:afterAutospacing="0" w:line="360" w:lineRule="auto"/>
              <w:jc w:val="center"/>
              <w:textAlignment w:val="auto"/>
              <w:rPr>
                <w:rFonts w:hint="eastAsia" w:ascii="仿宋" w:hAnsi="仿宋" w:eastAsia="仿宋" w:cs="宋体"/>
                <w:color w:val="auto"/>
                <w:sz w:val="24"/>
                <w:szCs w:val="24"/>
                <w:highlight w:val="none"/>
              </w:rPr>
            </w:pPr>
          </w:p>
        </w:tc>
        <w:tc>
          <w:tcPr>
            <w:tcW w:w="6545" w:type="dxa"/>
            <w:vAlign w:val="center"/>
          </w:tcPr>
          <w:p w14:paraId="4A794491">
            <w:pPr>
              <w:pStyle w:val="22"/>
              <w:keepNext w:val="0"/>
              <w:keepLines w:val="0"/>
              <w:pageBreakBefore w:val="0"/>
              <w:kinsoku/>
              <w:wordWrap w:val="0"/>
              <w:overflowPunct/>
              <w:topLinePunct w:val="0"/>
              <w:bidi w:val="0"/>
              <w:snapToGrid/>
              <w:spacing w:line="360" w:lineRule="auto"/>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具有良好的商业信誉和健全的财务会计制度；</w:t>
            </w:r>
          </w:p>
          <w:p w14:paraId="6D341B52">
            <w:pPr>
              <w:pStyle w:val="22"/>
              <w:keepNext w:val="0"/>
              <w:keepLines w:val="0"/>
              <w:pageBreakBefore w:val="0"/>
              <w:kinsoku/>
              <w:wordWrap w:val="0"/>
              <w:overflowPunct/>
              <w:topLinePunct w:val="0"/>
              <w:bidi w:val="0"/>
              <w:snapToGrid/>
              <w:spacing w:line="360" w:lineRule="auto"/>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①提供202</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年至今任意一年经第三方审计的审计报告</w:t>
            </w:r>
            <w:r>
              <w:rPr>
                <w:rFonts w:hint="eastAsia" w:ascii="仿宋" w:hAnsi="仿宋" w:eastAsia="仿宋" w:cs="仿宋"/>
                <w:bCs/>
                <w:color w:val="auto"/>
                <w:sz w:val="24"/>
                <w:szCs w:val="24"/>
                <w:highlight w:val="none"/>
                <w:lang w:val="en-US" w:eastAsia="zh-CN"/>
              </w:rPr>
              <w:t>或</w:t>
            </w:r>
            <w:r>
              <w:rPr>
                <w:rFonts w:hint="eastAsia" w:ascii="仿宋" w:hAnsi="仿宋" w:eastAsia="仿宋" w:cs="仿宋"/>
                <w:bCs/>
                <w:color w:val="auto"/>
                <w:sz w:val="24"/>
                <w:szCs w:val="24"/>
                <w:highlight w:val="none"/>
              </w:rPr>
              <w:t>财务报表（包括资产负债表、利润表、现金流量表），成立不满1年的，提供自成立至今财务报表（包括资产负债表、利润表、现金流量表）；</w:t>
            </w:r>
          </w:p>
          <w:p w14:paraId="6AC1E94F">
            <w:pPr>
              <w:pStyle w:val="22"/>
              <w:keepNext w:val="0"/>
              <w:keepLines w:val="0"/>
              <w:pageBreakBefore w:val="0"/>
              <w:kinsoku/>
              <w:wordWrap w:val="0"/>
              <w:overflowPunct/>
              <w:topLinePunct w:val="0"/>
              <w:bidi w:val="0"/>
              <w:snapToGrid/>
              <w:spacing w:line="360" w:lineRule="auto"/>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②提供</w:t>
            </w:r>
            <w:r>
              <w:rPr>
                <w:rFonts w:hint="eastAsia" w:ascii="仿宋" w:hAnsi="仿宋" w:eastAsia="仿宋" w:cs="仿宋"/>
                <w:bCs/>
                <w:color w:val="auto"/>
                <w:sz w:val="24"/>
                <w:szCs w:val="24"/>
                <w:highlight w:val="none"/>
                <w:lang w:eastAsia="zh-CN"/>
              </w:rPr>
              <w:t>投标文件</w:t>
            </w:r>
            <w:r>
              <w:rPr>
                <w:rFonts w:hint="eastAsia" w:ascii="仿宋" w:hAnsi="仿宋" w:eastAsia="仿宋" w:cs="仿宋"/>
                <w:bCs/>
                <w:color w:val="auto"/>
                <w:sz w:val="24"/>
                <w:szCs w:val="24"/>
                <w:highlight w:val="none"/>
              </w:rPr>
              <w:t>提交截止时间前三个月内基本开户银行出具的资信证明文件（复印件加盖公章）；</w:t>
            </w:r>
          </w:p>
          <w:p w14:paraId="1795CCA4">
            <w:pPr>
              <w:pStyle w:val="22"/>
              <w:keepNext w:val="0"/>
              <w:keepLines w:val="0"/>
              <w:pageBreakBefore w:val="0"/>
              <w:kinsoku/>
              <w:wordWrap w:val="0"/>
              <w:overflowPunct/>
              <w:topLinePunct w:val="0"/>
              <w:bidi w:val="0"/>
              <w:snapToGrid/>
              <w:spacing w:line="360" w:lineRule="auto"/>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③非营利性单位或者社会团体或者其他机关事业单位以符合财务会计制度为准或者提供承诺函；</w:t>
            </w:r>
          </w:p>
          <w:p w14:paraId="36702C56">
            <w:pPr>
              <w:pStyle w:val="22"/>
              <w:keepNext w:val="0"/>
              <w:keepLines w:val="0"/>
              <w:pageBreakBefore w:val="0"/>
              <w:kinsoku/>
              <w:wordWrap w:val="0"/>
              <w:overflowPunct/>
              <w:topLinePunct w:val="0"/>
              <w:bidi w:val="0"/>
              <w:snapToGrid/>
              <w:spacing w:line="360" w:lineRule="auto"/>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④</w:t>
            </w:r>
            <w:r>
              <w:rPr>
                <w:rFonts w:hint="eastAsia" w:ascii="仿宋" w:hAnsi="仿宋" w:eastAsia="仿宋" w:cs="仿宋"/>
                <w:bCs/>
                <w:color w:val="auto"/>
                <w:sz w:val="24"/>
                <w:szCs w:val="24"/>
                <w:highlight w:val="none"/>
                <w:lang w:eastAsia="zh-CN"/>
              </w:rPr>
              <w:t>投标人</w:t>
            </w:r>
            <w:r>
              <w:rPr>
                <w:rFonts w:hint="eastAsia" w:ascii="仿宋" w:hAnsi="仿宋" w:eastAsia="仿宋" w:cs="仿宋"/>
                <w:bCs/>
                <w:color w:val="auto"/>
                <w:sz w:val="24"/>
                <w:szCs w:val="24"/>
                <w:highlight w:val="none"/>
              </w:rPr>
              <w:t>为自然人的提供承诺函（格式自拟）；</w:t>
            </w:r>
          </w:p>
          <w:p w14:paraId="423ED04A">
            <w:pPr>
              <w:pStyle w:val="22"/>
              <w:keepNext w:val="0"/>
              <w:keepLines w:val="0"/>
              <w:pageBreakBefore w:val="0"/>
              <w:kinsoku/>
              <w:wordWrap w:val="0"/>
              <w:overflowPunct/>
              <w:topLinePunct w:val="0"/>
              <w:bidi w:val="0"/>
              <w:snapToGrid/>
              <w:spacing w:line="360" w:lineRule="auto"/>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⑤财政部门认可的政府采购专业担保机构出具的投标担保函（需同时提供专业担保机构经财政部门认可的证明文件）。</w:t>
            </w:r>
          </w:p>
          <w:p w14:paraId="7D2ED79C">
            <w:pPr>
              <w:pStyle w:val="22"/>
              <w:keepNext w:val="0"/>
              <w:keepLines w:val="0"/>
              <w:pageBreakBefore w:val="0"/>
              <w:kinsoku/>
              <w:wordWrap w:val="0"/>
              <w:overflowPunct/>
              <w:topLinePunct w:val="0"/>
              <w:bidi w:val="0"/>
              <w:snapToGrid/>
              <w:spacing w:line="360" w:lineRule="auto"/>
              <w:textAlignment w:val="auto"/>
              <w:rPr>
                <w:rFonts w:hint="eastAsia" w:ascii="仿宋" w:hAnsi="仿宋" w:eastAsia="仿宋"/>
                <w:b/>
                <w:bCs/>
                <w:color w:val="auto"/>
                <w:sz w:val="24"/>
                <w:szCs w:val="24"/>
                <w:highlight w:val="none"/>
                <w:lang w:eastAsia="zh-CN"/>
              </w:rPr>
            </w:pPr>
            <w:r>
              <w:rPr>
                <w:rFonts w:hint="eastAsia" w:ascii="仿宋" w:hAnsi="仿宋" w:eastAsia="仿宋"/>
                <w:b/>
                <w:bCs/>
                <w:color w:val="auto"/>
                <w:sz w:val="24"/>
                <w:szCs w:val="24"/>
                <w:highlight w:val="none"/>
                <w:lang w:eastAsia="zh-CN"/>
              </w:rPr>
              <w:t>注：（</w:t>
            </w:r>
            <w:r>
              <w:rPr>
                <w:rFonts w:hint="eastAsia" w:ascii="仿宋" w:hAnsi="仿宋" w:eastAsia="仿宋"/>
                <w:b/>
                <w:bCs/>
                <w:color w:val="auto"/>
                <w:sz w:val="24"/>
                <w:szCs w:val="24"/>
                <w:highlight w:val="none"/>
                <w:lang w:val="en-US" w:eastAsia="zh-CN"/>
              </w:rPr>
              <w:t>1</w:t>
            </w:r>
            <w:r>
              <w:rPr>
                <w:rFonts w:hint="eastAsia" w:ascii="仿宋" w:hAnsi="仿宋" w:eastAsia="仿宋"/>
                <w:b/>
                <w:bCs/>
                <w:color w:val="auto"/>
                <w:sz w:val="24"/>
                <w:szCs w:val="24"/>
                <w:highlight w:val="none"/>
                <w:lang w:eastAsia="zh-CN"/>
              </w:rPr>
              <w:t>）投标人可根据自身情况提供上述任意一种证明材料。</w:t>
            </w:r>
          </w:p>
          <w:p w14:paraId="1271BCBF">
            <w:pPr>
              <w:pStyle w:val="22"/>
              <w:keepNext w:val="0"/>
              <w:keepLines w:val="0"/>
              <w:pageBreakBefore w:val="0"/>
              <w:kinsoku/>
              <w:wordWrap w:val="0"/>
              <w:overflowPunct/>
              <w:topLinePunct w:val="0"/>
              <w:bidi w:val="0"/>
              <w:snapToGrid/>
              <w:spacing w:line="360" w:lineRule="auto"/>
              <w:textAlignment w:val="auto"/>
              <w:rPr>
                <w:rFonts w:hint="eastAsia" w:ascii="仿宋" w:hAnsi="仿宋" w:eastAsia="仿宋" w:cs="宋体"/>
                <w:color w:val="auto"/>
                <w:sz w:val="24"/>
                <w:szCs w:val="24"/>
                <w:highlight w:val="none"/>
              </w:rPr>
            </w:pPr>
            <w:r>
              <w:rPr>
                <w:rFonts w:hint="eastAsia" w:ascii="仿宋" w:hAnsi="仿宋" w:eastAsia="仿宋"/>
                <w:b/>
                <w:bCs/>
                <w:color w:val="auto"/>
                <w:sz w:val="24"/>
                <w:szCs w:val="24"/>
                <w:highlight w:val="none"/>
                <w:lang w:val="en-US" w:eastAsia="zh-CN"/>
              </w:rPr>
              <w:t>（2）注：根据《关于加强审计报告查验工作的通知》（财会〔2023〕15号）规定，在2022年10月以后出具的审计报告须在注册会计师行业统一监管平台（网址：http：//acc.mof.gov.cn）取得赋码，未取得赋码的财务报告视为无效；投标人若为事业单位的，则不需提供利润表/损益表。</w:t>
            </w:r>
          </w:p>
        </w:tc>
      </w:tr>
      <w:tr w14:paraId="078FD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47" w:type="dxa"/>
            <w:vMerge w:val="continue"/>
            <w:vAlign w:val="center"/>
          </w:tcPr>
          <w:p w14:paraId="2112C74E">
            <w:pPr>
              <w:keepNext w:val="0"/>
              <w:keepLines w:val="0"/>
              <w:pageBreakBefore w:val="0"/>
              <w:kinsoku/>
              <w:wordWrap w:val="0"/>
              <w:overflowPunct/>
              <w:topLinePunct w:val="0"/>
              <w:autoSpaceDE/>
              <w:autoSpaceDN/>
              <w:bidi w:val="0"/>
              <w:snapToGrid/>
              <w:spacing w:beforeAutospacing="0" w:afterAutospacing="0" w:line="360" w:lineRule="auto"/>
              <w:jc w:val="center"/>
              <w:textAlignment w:val="auto"/>
              <w:rPr>
                <w:rFonts w:ascii="仿宋" w:hAnsi="仿宋" w:eastAsia="仿宋"/>
                <w:color w:val="auto"/>
                <w:sz w:val="24"/>
                <w:szCs w:val="24"/>
                <w:highlight w:val="none"/>
              </w:rPr>
            </w:pPr>
          </w:p>
        </w:tc>
        <w:tc>
          <w:tcPr>
            <w:tcW w:w="749" w:type="dxa"/>
            <w:vMerge w:val="continue"/>
            <w:vAlign w:val="center"/>
          </w:tcPr>
          <w:p w14:paraId="4741DC2D">
            <w:pPr>
              <w:keepNext w:val="0"/>
              <w:keepLines w:val="0"/>
              <w:pageBreakBefore w:val="0"/>
              <w:kinsoku/>
              <w:wordWrap w:val="0"/>
              <w:overflowPunct/>
              <w:topLinePunct w:val="0"/>
              <w:autoSpaceDE/>
              <w:autoSpaceDN/>
              <w:bidi w:val="0"/>
              <w:snapToGrid/>
              <w:spacing w:beforeAutospacing="0" w:afterAutospacing="0" w:line="360" w:lineRule="auto"/>
              <w:jc w:val="center"/>
              <w:textAlignment w:val="auto"/>
              <w:rPr>
                <w:rFonts w:hint="eastAsia" w:ascii="仿宋" w:hAnsi="仿宋" w:eastAsia="仿宋" w:cs="宋体"/>
                <w:color w:val="auto"/>
                <w:sz w:val="24"/>
                <w:szCs w:val="24"/>
                <w:highlight w:val="none"/>
              </w:rPr>
            </w:pPr>
          </w:p>
        </w:tc>
        <w:tc>
          <w:tcPr>
            <w:tcW w:w="1798" w:type="dxa"/>
            <w:vMerge w:val="continue"/>
            <w:vAlign w:val="center"/>
          </w:tcPr>
          <w:p w14:paraId="249E3CEE">
            <w:pPr>
              <w:keepNext w:val="0"/>
              <w:keepLines w:val="0"/>
              <w:pageBreakBefore w:val="0"/>
              <w:kinsoku/>
              <w:wordWrap w:val="0"/>
              <w:overflowPunct/>
              <w:topLinePunct w:val="0"/>
              <w:autoSpaceDE/>
              <w:autoSpaceDN/>
              <w:bidi w:val="0"/>
              <w:snapToGrid/>
              <w:spacing w:beforeAutospacing="0" w:afterAutospacing="0" w:line="360" w:lineRule="auto"/>
              <w:jc w:val="center"/>
              <w:textAlignment w:val="auto"/>
              <w:rPr>
                <w:rFonts w:hint="eastAsia" w:ascii="仿宋" w:hAnsi="仿宋" w:eastAsia="仿宋" w:cs="宋体"/>
                <w:color w:val="auto"/>
                <w:sz w:val="24"/>
                <w:szCs w:val="24"/>
                <w:highlight w:val="none"/>
              </w:rPr>
            </w:pPr>
          </w:p>
        </w:tc>
        <w:tc>
          <w:tcPr>
            <w:tcW w:w="6545" w:type="dxa"/>
            <w:vAlign w:val="center"/>
          </w:tcPr>
          <w:p w14:paraId="4835130F">
            <w:pPr>
              <w:keepNext w:val="0"/>
              <w:keepLines w:val="0"/>
              <w:pageBreakBefore w:val="0"/>
              <w:widowControl w:val="0"/>
              <w:kinsoku/>
              <w:wordWrap w:val="0"/>
              <w:overflowPunct/>
              <w:topLinePunct w:val="0"/>
              <w:autoSpaceDE/>
              <w:autoSpaceDN/>
              <w:bidi w:val="0"/>
              <w:snapToGrid/>
              <w:spacing w:line="500" w:lineRule="exact"/>
              <w:contextualSpacing/>
              <w:textAlignment w:val="auto"/>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t>具有履行合同所必需的设备和专业技术能力；</w:t>
            </w:r>
          </w:p>
          <w:p w14:paraId="79A12689">
            <w:pPr>
              <w:keepNext w:val="0"/>
              <w:keepLines w:val="0"/>
              <w:pageBreakBefore w:val="0"/>
              <w:kinsoku/>
              <w:wordWrap w:val="0"/>
              <w:overflowPunct/>
              <w:topLinePunct w:val="0"/>
              <w:autoSpaceDE/>
              <w:autoSpaceDN/>
              <w:bidi w:val="0"/>
              <w:snapToGrid/>
              <w:spacing w:line="500" w:lineRule="exact"/>
              <w:contextualSpacing/>
              <w:textAlignment w:val="auto"/>
              <w:rPr>
                <w:rFonts w:hint="eastAsia" w:ascii="仿宋" w:hAnsi="仿宋" w:eastAsia="仿宋" w:cs="宋体"/>
                <w:color w:val="auto"/>
                <w:sz w:val="24"/>
                <w:szCs w:val="24"/>
                <w:highlight w:val="none"/>
              </w:rPr>
            </w:pPr>
            <w:r>
              <w:rPr>
                <w:rFonts w:hint="eastAsia" w:ascii="仿宋" w:hAnsi="仿宋" w:eastAsia="仿宋"/>
                <w:color w:val="auto"/>
                <w:sz w:val="24"/>
                <w:szCs w:val="24"/>
                <w:highlight w:val="none"/>
                <w:lang w:eastAsia="zh-CN"/>
              </w:rPr>
              <w:t>（</w:t>
            </w:r>
            <w:r>
              <w:rPr>
                <w:rFonts w:hint="eastAsia" w:ascii="仿宋" w:hAnsi="仿宋" w:eastAsia="仿宋"/>
                <w:color w:val="auto"/>
                <w:sz w:val="24"/>
                <w:szCs w:val="24"/>
                <w:highlight w:val="none"/>
              </w:rPr>
              <w:t>提供具备履行合同所必需的设备和专业技术能力的证明材料或提供书面承诺</w:t>
            </w:r>
            <w:r>
              <w:rPr>
                <w:rFonts w:hint="eastAsia" w:ascii="仿宋" w:hAnsi="仿宋" w:eastAsia="仿宋"/>
                <w:color w:val="auto"/>
                <w:sz w:val="24"/>
                <w:szCs w:val="24"/>
                <w:highlight w:val="none"/>
                <w:lang w:eastAsia="zh-CN"/>
              </w:rPr>
              <w:t>）</w:t>
            </w:r>
          </w:p>
        </w:tc>
      </w:tr>
      <w:tr w14:paraId="73F8D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47" w:type="dxa"/>
            <w:vMerge w:val="continue"/>
            <w:vAlign w:val="center"/>
          </w:tcPr>
          <w:p w14:paraId="05B4A4CD">
            <w:pPr>
              <w:keepNext w:val="0"/>
              <w:keepLines w:val="0"/>
              <w:pageBreakBefore w:val="0"/>
              <w:kinsoku/>
              <w:wordWrap w:val="0"/>
              <w:overflowPunct/>
              <w:topLinePunct w:val="0"/>
              <w:autoSpaceDE/>
              <w:autoSpaceDN/>
              <w:bidi w:val="0"/>
              <w:snapToGrid/>
              <w:spacing w:beforeAutospacing="0" w:afterAutospacing="0" w:line="360" w:lineRule="auto"/>
              <w:jc w:val="center"/>
              <w:textAlignment w:val="auto"/>
              <w:rPr>
                <w:rFonts w:ascii="仿宋" w:hAnsi="仿宋" w:eastAsia="仿宋"/>
                <w:color w:val="auto"/>
                <w:sz w:val="24"/>
                <w:szCs w:val="24"/>
                <w:highlight w:val="none"/>
              </w:rPr>
            </w:pPr>
          </w:p>
        </w:tc>
        <w:tc>
          <w:tcPr>
            <w:tcW w:w="749" w:type="dxa"/>
            <w:vMerge w:val="continue"/>
            <w:vAlign w:val="center"/>
          </w:tcPr>
          <w:p w14:paraId="43F8436F">
            <w:pPr>
              <w:keepNext w:val="0"/>
              <w:keepLines w:val="0"/>
              <w:pageBreakBefore w:val="0"/>
              <w:kinsoku/>
              <w:wordWrap w:val="0"/>
              <w:overflowPunct/>
              <w:topLinePunct w:val="0"/>
              <w:autoSpaceDE/>
              <w:autoSpaceDN/>
              <w:bidi w:val="0"/>
              <w:snapToGrid/>
              <w:spacing w:beforeAutospacing="0" w:afterAutospacing="0" w:line="360" w:lineRule="auto"/>
              <w:jc w:val="center"/>
              <w:textAlignment w:val="auto"/>
              <w:rPr>
                <w:rFonts w:hint="eastAsia" w:ascii="仿宋" w:hAnsi="仿宋" w:eastAsia="仿宋" w:cs="宋体"/>
                <w:color w:val="auto"/>
                <w:sz w:val="24"/>
                <w:szCs w:val="24"/>
                <w:highlight w:val="none"/>
              </w:rPr>
            </w:pPr>
          </w:p>
        </w:tc>
        <w:tc>
          <w:tcPr>
            <w:tcW w:w="1798" w:type="dxa"/>
            <w:vMerge w:val="continue"/>
            <w:vAlign w:val="center"/>
          </w:tcPr>
          <w:p w14:paraId="35229BAE">
            <w:pPr>
              <w:keepNext w:val="0"/>
              <w:keepLines w:val="0"/>
              <w:pageBreakBefore w:val="0"/>
              <w:kinsoku/>
              <w:wordWrap w:val="0"/>
              <w:overflowPunct/>
              <w:topLinePunct w:val="0"/>
              <w:autoSpaceDE/>
              <w:autoSpaceDN/>
              <w:bidi w:val="0"/>
              <w:snapToGrid/>
              <w:spacing w:beforeAutospacing="0" w:afterAutospacing="0" w:line="360" w:lineRule="auto"/>
              <w:jc w:val="center"/>
              <w:textAlignment w:val="auto"/>
              <w:rPr>
                <w:rFonts w:hint="eastAsia" w:ascii="仿宋" w:hAnsi="仿宋" w:eastAsia="仿宋" w:cs="宋体"/>
                <w:color w:val="auto"/>
                <w:sz w:val="24"/>
                <w:szCs w:val="24"/>
                <w:highlight w:val="none"/>
              </w:rPr>
            </w:pPr>
          </w:p>
        </w:tc>
        <w:tc>
          <w:tcPr>
            <w:tcW w:w="6545" w:type="dxa"/>
            <w:vAlign w:val="center"/>
          </w:tcPr>
          <w:p w14:paraId="25A93415">
            <w:pPr>
              <w:keepNext w:val="0"/>
              <w:keepLines w:val="0"/>
              <w:pageBreakBefore w:val="0"/>
              <w:widowControl w:val="0"/>
              <w:kinsoku/>
              <w:wordWrap w:val="0"/>
              <w:overflowPunct/>
              <w:topLinePunct w:val="0"/>
              <w:autoSpaceDE/>
              <w:autoSpaceDN/>
              <w:bidi w:val="0"/>
              <w:snapToGrid/>
              <w:spacing w:line="500" w:lineRule="exac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有依法缴纳税收和社会保障资金的良好记录；</w:t>
            </w:r>
          </w:p>
          <w:p w14:paraId="5C0CFEEB">
            <w:pPr>
              <w:keepNext w:val="0"/>
              <w:keepLines w:val="0"/>
              <w:pageBreakBefore w:val="0"/>
              <w:widowControl w:val="0"/>
              <w:kinsoku/>
              <w:wordWrap w:val="0"/>
              <w:overflowPunct/>
              <w:topLinePunct w:val="0"/>
              <w:autoSpaceDE/>
              <w:autoSpaceDN/>
              <w:bidi w:val="0"/>
              <w:snapToGrid/>
              <w:spacing w:line="500" w:lineRule="exact"/>
              <w:textAlignment w:val="auto"/>
              <w:rPr>
                <w:rFonts w:hint="eastAsia" w:ascii="仿宋" w:hAnsi="仿宋" w:eastAsia="仿宋" w:cs="宋体"/>
                <w:color w:val="auto"/>
                <w:sz w:val="24"/>
                <w:szCs w:val="24"/>
                <w:highlight w:val="none"/>
                <w:lang w:val="en-US" w:eastAsia="zh-CN"/>
              </w:rPr>
            </w:pPr>
            <w:r>
              <w:rPr>
                <w:rFonts w:hint="eastAsia" w:ascii="仿宋" w:hAnsi="仿宋" w:eastAsia="仿宋"/>
                <w:color w:val="auto"/>
                <w:sz w:val="24"/>
                <w:szCs w:val="24"/>
                <w:highlight w:val="none"/>
                <w:lang w:eastAsia="zh-CN"/>
              </w:rPr>
              <w:t>（</w:t>
            </w:r>
            <w:r>
              <w:rPr>
                <w:rFonts w:hint="eastAsia" w:ascii="仿宋" w:hAnsi="仿宋" w:eastAsia="仿宋"/>
                <w:color w:val="auto"/>
                <w:sz w:val="24"/>
                <w:szCs w:val="24"/>
                <w:highlight w:val="none"/>
                <w:lang w:val="en-US" w:eastAsia="zh-CN"/>
              </w:rPr>
              <w:t>1</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须提供在202</w:t>
            </w:r>
            <w:r>
              <w:rPr>
                <w:rFonts w:hint="eastAsia" w:ascii="仿宋" w:hAnsi="仿宋" w:eastAsia="仿宋"/>
                <w:color w:val="auto"/>
                <w:sz w:val="24"/>
                <w:szCs w:val="24"/>
                <w:highlight w:val="none"/>
                <w:lang w:val="en-US" w:eastAsia="zh-CN"/>
              </w:rPr>
              <w:t>5</w:t>
            </w:r>
            <w:r>
              <w:rPr>
                <w:rFonts w:hint="eastAsia" w:ascii="仿宋" w:hAnsi="仿宋" w:eastAsia="仿宋"/>
                <w:color w:val="auto"/>
                <w:sz w:val="24"/>
                <w:szCs w:val="24"/>
                <w:highlight w:val="none"/>
              </w:rPr>
              <w:t>年1月至本项目</w:t>
            </w:r>
            <w:r>
              <w:rPr>
                <w:rFonts w:hint="eastAsia" w:ascii="仿宋" w:hAnsi="仿宋" w:eastAsia="仿宋"/>
                <w:color w:val="auto"/>
                <w:sz w:val="24"/>
                <w:szCs w:val="24"/>
                <w:highlight w:val="none"/>
                <w:lang w:eastAsia="zh-CN"/>
              </w:rPr>
              <w:t>投标文件</w:t>
            </w:r>
            <w:r>
              <w:rPr>
                <w:rFonts w:hint="eastAsia" w:ascii="仿宋" w:hAnsi="仿宋" w:eastAsia="仿宋"/>
                <w:color w:val="auto"/>
                <w:sz w:val="24"/>
                <w:szCs w:val="24"/>
                <w:highlight w:val="none"/>
              </w:rPr>
              <w:t>提交截止时间前任意1个月的税务局税收通用缴款书复印件或银行电子缴税（费）凭证复印件或税务局出具纳税情况的相关证明；（新成立不满1个月的公司，提供相关证明材料；依法免税的提供相应证明材料。）</w:t>
            </w:r>
          </w:p>
          <w:p w14:paraId="3515A8D5">
            <w:pPr>
              <w:keepNext w:val="0"/>
              <w:keepLines w:val="0"/>
              <w:pageBreakBefore w:val="0"/>
              <w:numPr>
                <w:ilvl w:val="0"/>
                <w:numId w:val="0"/>
              </w:numPr>
              <w:kinsoku/>
              <w:wordWrap w:val="0"/>
              <w:overflowPunct/>
              <w:topLinePunct w:val="0"/>
              <w:autoSpaceDE/>
              <w:autoSpaceDN/>
              <w:bidi w:val="0"/>
              <w:snapToGrid/>
              <w:spacing w:line="500" w:lineRule="exact"/>
              <w:textAlignment w:val="auto"/>
              <w:rPr>
                <w:rFonts w:hint="eastAsia" w:ascii="仿宋" w:hAnsi="仿宋" w:eastAsia="仿宋" w:cs="宋体"/>
                <w:color w:val="auto"/>
                <w:sz w:val="21"/>
                <w:szCs w:val="21"/>
                <w:highlight w:val="none"/>
              </w:rPr>
            </w:pPr>
            <w:r>
              <w:rPr>
                <w:rFonts w:hint="eastAsia" w:ascii="仿宋" w:hAnsi="仿宋" w:eastAsia="仿宋"/>
                <w:color w:val="auto"/>
                <w:sz w:val="24"/>
                <w:szCs w:val="24"/>
                <w:highlight w:val="none"/>
              </w:rPr>
              <w:t>（2）</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须提供在202</w:t>
            </w:r>
            <w:r>
              <w:rPr>
                <w:rFonts w:hint="eastAsia" w:ascii="仿宋" w:hAnsi="仿宋" w:eastAsia="仿宋"/>
                <w:color w:val="auto"/>
                <w:sz w:val="24"/>
                <w:szCs w:val="24"/>
                <w:highlight w:val="none"/>
                <w:lang w:val="en-US" w:eastAsia="zh-CN"/>
              </w:rPr>
              <w:t>5</w:t>
            </w:r>
            <w:r>
              <w:rPr>
                <w:rFonts w:hint="eastAsia" w:ascii="仿宋" w:hAnsi="仿宋" w:eastAsia="仿宋"/>
                <w:color w:val="auto"/>
                <w:sz w:val="24"/>
                <w:szCs w:val="24"/>
                <w:highlight w:val="none"/>
              </w:rPr>
              <w:t>年1月至本项目</w:t>
            </w:r>
            <w:r>
              <w:rPr>
                <w:rFonts w:hint="eastAsia" w:ascii="仿宋" w:hAnsi="仿宋" w:eastAsia="仿宋"/>
                <w:color w:val="auto"/>
                <w:sz w:val="24"/>
                <w:szCs w:val="24"/>
                <w:highlight w:val="none"/>
                <w:lang w:eastAsia="zh-CN"/>
              </w:rPr>
              <w:t>投标文件</w:t>
            </w:r>
            <w:r>
              <w:rPr>
                <w:rFonts w:hint="eastAsia" w:ascii="仿宋" w:hAnsi="仿宋" w:eastAsia="仿宋"/>
                <w:color w:val="auto"/>
                <w:sz w:val="24"/>
                <w:szCs w:val="24"/>
                <w:highlight w:val="none"/>
              </w:rPr>
              <w:t>提交截止时间前任意1个月的社会保险费缴款书复印件或银行电子缴税（费）凭证复印件或社保管理部门出具的有效的缴款证明；（新成立不满1个月的公司，提供相关证明材料；依法免缴的提供相应证明材料。）</w:t>
            </w:r>
          </w:p>
        </w:tc>
      </w:tr>
      <w:tr w14:paraId="2D86E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47" w:type="dxa"/>
            <w:vMerge w:val="continue"/>
            <w:vAlign w:val="center"/>
          </w:tcPr>
          <w:p w14:paraId="3E41EABE">
            <w:pPr>
              <w:keepNext w:val="0"/>
              <w:keepLines w:val="0"/>
              <w:pageBreakBefore w:val="0"/>
              <w:kinsoku/>
              <w:wordWrap w:val="0"/>
              <w:overflowPunct/>
              <w:topLinePunct w:val="0"/>
              <w:autoSpaceDE/>
              <w:autoSpaceDN/>
              <w:bidi w:val="0"/>
              <w:snapToGrid/>
              <w:spacing w:beforeAutospacing="0" w:afterAutospacing="0" w:line="360" w:lineRule="auto"/>
              <w:jc w:val="center"/>
              <w:textAlignment w:val="auto"/>
              <w:rPr>
                <w:rFonts w:ascii="仿宋" w:hAnsi="仿宋" w:eastAsia="仿宋"/>
                <w:color w:val="auto"/>
                <w:sz w:val="24"/>
                <w:szCs w:val="24"/>
                <w:highlight w:val="none"/>
              </w:rPr>
            </w:pPr>
          </w:p>
        </w:tc>
        <w:tc>
          <w:tcPr>
            <w:tcW w:w="749" w:type="dxa"/>
            <w:vMerge w:val="continue"/>
            <w:vAlign w:val="center"/>
          </w:tcPr>
          <w:p w14:paraId="294831E8">
            <w:pPr>
              <w:keepNext w:val="0"/>
              <w:keepLines w:val="0"/>
              <w:pageBreakBefore w:val="0"/>
              <w:kinsoku/>
              <w:wordWrap w:val="0"/>
              <w:overflowPunct/>
              <w:topLinePunct w:val="0"/>
              <w:autoSpaceDE/>
              <w:autoSpaceDN/>
              <w:bidi w:val="0"/>
              <w:snapToGrid/>
              <w:spacing w:beforeAutospacing="0" w:afterAutospacing="0" w:line="360" w:lineRule="auto"/>
              <w:jc w:val="center"/>
              <w:textAlignment w:val="auto"/>
              <w:rPr>
                <w:rFonts w:hint="eastAsia" w:ascii="仿宋" w:hAnsi="仿宋" w:eastAsia="仿宋" w:cs="宋体"/>
                <w:color w:val="auto"/>
                <w:sz w:val="24"/>
                <w:szCs w:val="24"/>
                <w:highlight w:val="none"/>
              </w:rPr>
            </w:pPr>
          </w:p>
        </w:tc>
        <w:tc>
          <w:tcPr>
            <w:tcW w:w="1798" w:type="dxa"/>
            <w:vMerge w:val="continue"/>
            <w:vAlign w:val="center"/>
          </w:tcPr>
          <w:p w14:paraId="31D97F0F">
            <w:pPr>
              <w:keepNext w:val="0"/>
              <w:keepLines w:val="0"/>
              <w:pageBreakBefore w:val="0"/>
              <w:kinsoku/>
              <w:wordWrap w:val="0"/>
              <w:overflowPunct/>
              <w:topLinePunct w:val="0"/>
              <w:autoSpaceDE/>
              <w:autoSpaceDN/>
              <w:bidi w:val="0"/>
              <w:snapToGrid/>
              <w:spacing w:beforeAutospacing="0" w:afterAutospacing="0" w:line="360" w:lineRule="auto"/>
              <w:jc w:val="center"/>
              <w:textAlignment w:val="auto"/>
              <w:rPr>
                <w:rFonts w:hint="eastAsia" w:ascii="仿宋" w:hAnsi="仿宋" w:eastAsia="仿宋" w:cs="宋体"/>
                <w:color w:val="auto"/>
                <w:sz w:val="24"/>
                <w:szCs w:val="24"/>
                <w:highlight w:val="none"/>
              </w:rPr>
            </w:pPr>
          </w:p>
        </w:tc>
        <w:tc>
          <w:tcPr>
            <w:tcW w:w="6545" w:type="dxa"/>
            <w:vAlign w:val="center"/>
          </w:tcPr>
          <w:p w14:paraId="0D937066">
            <w:pPr>
              <w:keepNext w:val="0"/>
              <w:keepLines w:val="0"/>
              <w:pageBreakBefore w:val="0"/>
              <w:widowControl w:val="0"/>
              <w:kinsoku/>
              <w:wordWrap w:val="0"/>
              <w:overflowPunct/>
              <w:topLinePunct w:val="0"/>
              <w:autoSpaceDE/>
              <w:autoSpaceDN/>
              <w:bidi w:val="0"/>
              <w:snapToGrid/>
              <w:spacing w:line="500" w:lineRule="exact"/>
              <w:textAlignment w:val="auto"/>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t>参加政府采购活动前三年内，在经营活动中没有重大违法记录：</w:t>
            </w:r>
          </w:p>
          <w:p w14:paraId="05DD78C1">
            <w:pPr>
              <w:keepNext w:val="0"/>
              <w:keepLines w:val="0"/>
              <w:pageBreakBefore w:val="0"/>
              <w:kinsoku/>
              <w:wordWrap w:val="0"/>
              <w:overflowPunct/>
              <w:topLinePunct w:val="0"/>
              <w:autoSpaceDE/>
              <w:autoSpaceDN/>
              <w:bidi w:val="0"/>
              <w:snapToGrid/>
              <w:spacing w:line="500" w:lineRule="exact"/>
              <w:textAlignment w:val="auto"/>
              <w:rPr>
                <w:rFonts w:hint="eastAsia" w:ascii="仿宋" w:hAnsi="仿宋" w:eastAsia="仿宋" w:cs="宋体"/>
                <w:color w:val="auto"/>
                <w:sz w:val="24"/>
                <w:szCs w:val="24"/>
                <w:highlight w:val="none"/>
              </w:rPr>
            </w:pPr>
            <w:r>
              <w:rPr>
                <w:rFonts w:hint="eastAsia" w:ascii="仿宋" w:hAnsi="仿宋" w:eastAsia="仿宋"/>
                <w:color w:val="auto"/>
                <w:sz w:val="24"/>
                <w:szCs w:val="24"/>
                <w:highlight w:val="none"/>
              </w:rPr>
              <w:t>提供</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参加政府采购活动前三年内，在经营活动中没有重大违法记录（重大违法记录是指</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因违法经营受到刑事处罚或者责令停产停业、吊销许可证或者执照、较大数额罚款等行政处罚）的书面声明；</w:t>
            </w:r>
          </w:p>
        </w:tc>
      </w:tr>
      <w:tr w14:paraId="4CF83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47" w:type="dxa"/>
            <w:vMerge w:val="continue"/>
            <w:vAlign w:val="center"/>
          </w:tcPr>
          <w:p w14:paraId="3AB7877D">
            <w:pPr>
              <w:keepNext w:val="0"/>
              <w:keepLines w:val="0"/>
              <w:pageBreakBefore w:val="0"/>
              <w:kinsoku/>
              <w:wordWrap w:val="0"/>
              <w:overflowPunct/>
              <w:topLinePunct w:val="0"/>
              <w:autoSpaceDE/>
              <w:autoSpaceDN/>
              <w:bidi w:val="0"/>
              <w:snapToGrid/>
              <w:spacing w:beforeAutospacing="0" w:afterAutospacing="0" w:line="360" w:lineRule="auto"/>
              <w:jc w:val="center"/>
              <w:textAlignment w:val="auto"/>
              <w:rPr>
                <w:rFonts w:ascii="仿宋" w:hAnsi="仿宋" w:eastAsia="仿宋"/>
                <w:color w:val="auto"/>
                <w:sz w:val="24"/>
                <w:szCs w:val="24"/>
                <w:highlight w:val="none"/>
              </w:rPr>
            </w:pPr>
          </w:p>
        </w:tc>
        <w:tc>
          <w:tcPr>
            <w:tcW w:w="749" w:type="dxa"/>
            <w:vMerge w:val="continue"/>
            <w:vAlign w:val="center"/>
          </w:tcPr>
          <w:p w14:paraId="315B51CC">
            <w:pPr>
              <w:keepNext w:val="0"/>
              <w:keepLines w:val="0"/>
              <w:pageBreakBefore w:val="0"/>
              <w:kinsoku/>
              <w:wordWrap w:val="0"/>
              <w:overflowPunct/>
              <w:topLinePunct w:val="0"/>
              <w:autoSpaceDE/>
              <w:autoSpaceDN/>
              <w:bidi w:val="0"/>
              <w:snapToGrid/>
              <w:spacing w:beforeAutospacing="0" w:afterAutospacing="0" w:line="360" w:lineRule="auto"/>
              <w:jc w:val="center"/>
              <w:textAlignment w:val="auto"/>
              <w:rPr>
                <w:rFonts w:hint="eastAsia" w:ascii="仿宋" w:hAnsi="仿宋" w:eastAsia="仿宋" w:cs="宋体"/>
                <w:color w:val="auto"/>
                <w:sz w:val="24"/>
                <w:szCs w:val="24"/>
                <w:highlight w:val="none"/>
              </w:rPr>
            </w:pPr>
          </w:p>
        </w:tc>
        <w:tc>
          <w:tcPr>
            <w:tcW w:w="1798" w:type="dxa"/>
            <w:vMerge w:val="continue"/>
            <w:vAlign w:val="center"/>
          </w:tcPr>
          <w:p w14:paraId="6813B4B7">
            <w:pPr>
              <w:keepNext w:val="0"/>
              <w:keepLines w:val="0"/>
              <w:pageBreakBefore w:val="0"/>
              <w:kinsoku/>
              <w:wordWrap w:val="0"/>
              <w:overflowPunct/>
              <w:topLinePunct w:val="0"/>
              <w:autoSpaceDE/>
              <w:autoSpaceDN/>
              <w:bidi w:val="0"/>
              <w:snapToGrid/>
              <w:spacing w:beforeAutospacing="0" w:afterAutospacing="0" w:line="360" w:lineRule="auto"/>
              <w:jc w:val="center"/>
              <w:textAlignment w:val="auto"/>
              <w:rPr>
                <w:rFonts w:hint="eastAsia" w:ascii="仿宋" w:hAnsi="仿宋" w:eastAsia="仿宋" w:cs="宋体"/>
                <w:color w:val="auto"/>
                <w:sz w:val="24"/>
                <w:szCs w:val="24"/>
                <w:highlight w:val="none"/>
              </w:rPr>
            </w:pPr>
          </w:p>
        </w:tc>
        <w:tc>
          <w:tcPr>
            <w:tcW w:w="6545" w:type="dxa"/>
            <w:vAlign w:val="center"/>
          </w:tcPr>
          <w:p w14:paraId="5D082B54">
            <w:pPr>
              <w:keepNext w:val="0"/>
              <w:keepLines w:val="0"/>
              <w:pageBreakBefore w:val="0"/>
              <w:widowControl w:val="0"/>
              <w:kinsoku/>
              <w:wordWrap w:val="0"/>
              <w:overflowPunct/>
              <w:topLinePunct w:val="0"/>
              <w:autoSpaceDE/>
              <w:autoSpaceDN/>
              <w:bidi w:val="0"/>
              <w:snapToGrid/>
              <w:spacing w:line="500" w:lineRule="exact"/>
              <w:jc w:val="both"/>
              <w:textAlignment w:val="auto"/>
              <w:rPr>
                <w:rFonts w:ascii="仿宋" w:hAnsi="仿宋" w:eastAsia="仿宋"/>
                <w:b/>
                <w:bCs/>
                <w:color w:val="auto"/>
                <w:sz w:val="24"/>
                <w:szCs w:val="24"/>
                <w:highlight w:val="none"/>
              </w:rPr>
            </w:pPr>
            <w:r>
              <w:rPr>
                <w:rFonts w:hint="eastAsia" w:ascii="仿宋" w:hAnsi="仿宋" w:eastAsia="仿宋"/>
                <w:b/>
                <w:bCs/>
                <w:color w:val="auto"/>
                <w:sz w:val="24"/>
                <w:szCs w:val="24"/>
                <w:highlight w:val="none"/>
              </w:rPr>
              <w:t>法律、行政法规规定的其他条件；</w:t>
            </w:r>
          </w:p>
          <w:p w14:paraId="0A960EF2">
            <w:pPr>
              <w:keepNext w:val="0"/>
              <w:keepLines w:val="0"/>
              <w:pageBreakBefore w:val="0"/>
              <w:widowControl w:val="0"/>
              <w:kinsoku/>
              <w:wordWrap w:val="0"/>
              <w:overflowPunct/>
              <w:topLinePunct w:val="0"/>
              <w:autoSpaceDE/>
              <w:autoSpaceDN/>
              <w:bidi w:val="0"/>
              <w:adjustRightInd/>
              <w:snapToGrid/>
              <w:spacing w:line="500" w:lineRule="exact"/>
              <w:jc w:val="both"/>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在本项目</w:t>
            </w:r>
            <w:r>
              <w:rPr>
                <w:rFonts w:hint="eastAsia" w:ascii="仿宋" w:hAnsi="仿宋" w:eastAsia="仿宋"/>
                <w:color w:val="auto"/>
                <w:sz w:val="24"/>
                <w:szCs w:val="24"/>
                <w:highlight w:val="none"/>
                <w:lang w:eastAsia="zh-CN"/>
              </w:rPr>
              <w:t>投标文件</w:t>
            </w:r>
            <w:r>
              <w:rPr>
                <w:rFonts w:hint="eastAsia" w:ascii="仿宋" w:hAnsi="仿宋" w:eastAsia="仿宋"/>
                <w:color w:val="auto"/>
                <w:sz w:val="24"/>
                <w:szCs w:val="24"/>
                <w:highlight w:val="none"/>
              </w:rPr>
              <w:t>提交截止时间前在信用中国网站（www.creditchina.gov.cn）“信用信息”查询栏中查询下载的信用报告或“信用服务”查询栏中查询的信息记录（包括失信被执行人查询、重大税收违法案件查询、政府采购严重违法失信名单）未出现不良信用信息查询记录</w:t>
            </w:r>
            <w:r>
              <w:rPr>
                <w:rFonts w:hint="eastAsia" w:ascii="仿宋" w:hAnsi="仿宋" w:eastAsia="仿宋"/>
                <w:color w:val="auto"/>
                <w:sz w:val="24"/>
                <w:szCs w:val="24"/>
                <w:highlight w:val="none"/>
                <w:lang w:val="en-US" w:eastAsia="zh-CN"/>
              </w:rPr>
              <w:t>（以采购人或采购代理机构于开标当日查询结果为准，并由采购人在查询打印件上签字后随档案一同保存）</w:t>
            </w:r>
            <w:r>
              <w:rPr>
                <w:rFonts w:hint="eastAsia" w:ascii="仿宋" w:hAnsi="仿宋" w:eastAsia="仿宋"/>
                <w:color w:val="auto"/>
                <w:sz w:val="24"/>
                <w:szCs w:val="24"/>
                <w:highlight w:val="none"/>
              </w:rPr>
              <w:t>；</w:t>
            </w:r>
          </w:p>
          <w:p w14:paraId="3636B261">
            <w:pPr>
              <w:keepNext w:val="0"/>
              <w:keepLines w:val="0"/>
              <w:pageBreakBefore w:val="0"/>
              <w:widowControl w:val="0"/>
              <w:kinsoku/>
              <w:wordWrap w:val="0"/>
              <w:overflowPunct/>
              <w:topLinePunct w:val="0"/>
              <w:autoSpaceDE/>
              <w:autoSpaceDN/>
              <w:bidi w:val="0"/>
              <w:adjustRightInd/>
              <w:snapToGrid/>
              <w:spacing w:line="500" w:lineRule="exact"/>
              <w:jc w:val="both"/>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w:t>
            </w:r>
            <w:r>
              <w:rPr>
                <w:rFonts w:hint="eastAsia" w:ascii="仿宋" w:hAnsi="仿宋" w:eastAsia="仿宋"/>
                <w:color w:val="auto"/>
                <w:sz w:val="24"/>
                <w:szCs w:val="24"/>
                <w:highlight w:val="none"/>
                <w:lang w:eastAsia="zh-CN"/>
              </w:rPr>
              <w:t>投标人</w:t>
            </w:r>
            <w:r>
              <w:rPr>
                <w:rFonts w:hint="eastAsia" w:ascii="仿宋" w:hAnsi="仿宋" w:eastAsia="仿宋"/>
                <w:color w:val="auto"/>
                <w:sz w:val="24"/>
                <w:szCs w:val="24"/>
                <w:highlight w:val="none"/>
              </w:rPr>
              <w:t>在本项目</w:t>
            </w:r>
            <w:r>
              <w:rPr>
                <w:rFonts w:hint="eastAsia" w:ascii="仿宋" w:hAnsi="仿宋" w:eastAsia="仿宋"/>
                <w:color w:val="auto"/>
                <w:sz w:val="24"/>
                <w:szCs w:val="24"/>
                <w:highlight w:val="none"/>
                <w:lang w:eastAsia="zh-CN"/>
              </w:rPr>
              <w:t>投标文件</w:t>
            </w:r>
            <w:r>
              <w:rPr>
                <w:rFonts w:hint="eastAsia" w:ascii="仿宋" w:hAnsi="仿宋" w:eastAsia="仿宋"/>
                <w:color w:val="auto"/>
                <w:sz w:val="24"/>
                <w:szCs w:val="24"/>
                <w:highlight w:val="none"/>
              </w:rPr>
              <w:t>提交截止时间前在中国政府采购网（www.ccgp.gov.cn）政府采购严重违法失信行为记录名单内无不良信息记录（被禁止在一定期限内参加政府采购活动但期限届满的除外）</w:t>
            </w:r>
            <w:r>
              <w:rPr>
                <w:rFonts w:hint="eastAsia" w:ascii="仿宋" w:hAnsi="仿宋" w:eastAsia="仿宋"/>
                <w:color w:val="auto"/>
                <w:sz w:val="24"/>
                <w:szCs w:val="24"/>
                <w:highlight w:val="none"/>
                <w:lang w:val="en-US" w:eastAsia="zh-CN"/>
              </w:rPr>
              <w:t>（以采购人或采购代理机构于开标当日查询结果为准，并由采购人在查询打印件上签字后随档案一同保存）</w:t>
            </w:r>
            <w:r>
              <w:rPr>
                <w:rFonts w:hint="eastAsia" w:ascii="仿宋" w:hAnsi="仿宋" w:eastAsia="仿宋"/>
                <w:color w:val="auto"/>
                <w:sz w:val="24"/>
                <w:szCs w:val="24"/>
                <w:highlight w:val="none"/>
              </w:rPr>
              <w:t>；</w:t>
            </w:r>
          </w:p>
          <w:p w14:paraId="4477B93C">
            <w:pPr>
              <w:keepNext w:val="0"/>
              <w:keepLines w:val="0"/>
              <w:pageBreakBefore w:val="0"/>
              <w:widowControl w:val="0"/>
              <w:kinsoku/>
              <w:wordWrap w:val="0"/>
              <w:overflowPunct/>
              <w:topLinePunct w:val="0"/>
              <w:autoSpaceDE/>
              <w:autoSpaceDN/>
              <w:bidi w:val="0"/>
              <w:adjustRightInd/>
              <w:snapToGrid/>
              <w:spacing w:line="500" w:lineRule="exact"/>
              <w:jc w:val="both"/>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w:t>
            </w:r>
            <w:r>
              <w:rPr>
                <w:rFonts w:hint="eastAsia" w:ascii="仿宋" w:hAnsi="仿宋" w:eastAsia="仿宋"/>
                <w:color w:val="auto"/>
                <w:sz w:val="24"/>
                <w:szCs w:val="24"/>
                <w:highlight w:val="none"/>
                <w:lang w:val="en-US" w:eastAsia="zh-CN"/>
              </w:rPr>
              <w:t>单位负责人为同一人或者存在直接控股、管理关系的不同单位，不得参加同一标段投标或者未划分标段的同一招标项目投标。（提供投标文件加盖公章书面声明）</w:t>
            </w:r>
            <w:r>
              <w:rPr>
                <w:rFonts w:hint="eastAsia" w:ascii="仿宋" w:hAnsi="仿宋" w:eastAsia="仿宋"/>
                <w:color w:val="auto"/>
                <w:sz w:val="24"/>
                <w:szCs w:val="24"/>
                <w:highlight w:val="none"/>
              </w:rPr>
              <w:t>；</w:t>
            </w:r>
          </w:p>
          <w:p w14:paraId="46F8C5E2">
            <w:pPr>
              <w:keepNext w:val="0"/>
              <w:keepLines w:val="0"/>
              <w:pageBreakBefore w:val="0"/>
              <w:widowControl w:val="0"/>
              <w:kinsoku/>
              <w:wordWrap w:val="0"/>
              <w:overflowPunct/>
              <w:topLinePunct w:val="0"/>
              <w:autoSpaceDE/>
              <w:autoSpaceDN/>
              <w:bidi w:val="0"/>
              <w:adjustRightInd/>
              <w:snapToGrid/>
              <w:spacing w:line="500" w:lineRule="exact"/>
              <w:jc w:val="both"/>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（4）投标人</w:t>
            </w:r>
            <w:r>
              <w:rPr>
                <w:rFonts w:hint="eastAsia" w:ascii="仿宋" w:hAnsi="仿宋" w:eastAsia="仿宋"/>
                <w:color w:val="auto"/>
                <w:sz w:val="24"/>
                <w:szCs w:val="24"/>
                <w:highlight w:val="none"/>
                <w:lang w:eastAsia="zh-CN"/>
              </w:rPr>
              <w:t>为采购项目提供整体设计、规范编制或者项目管理、监理、检测等服务的投标人，不得再参加该采购项目的其他采购活动。（</w:t>
            </w:r>
            <w:r>
              <w:rPr>
                <w:rFonts w:hint="eastAsia" w:ascii="仿宋" w:hAnsi="仿宋" w:eastAsia="仿宋"/>
                <w:color w:val="auto"/>
                <w:sz w:val="24"/>
                <w:szCs w:val="24"/>
                <w:highlight w:val="none"/>
                <w:lang w:val="en-US" w:eastAsia="zh-CN"/>
              </w:rPr>
              <w:t>提供声明</w:t>
            </w:r>
            <w:r>
              <w:rPr>
                <w:rFonts w:hint="eastAsia" w:ascii="仿宋" w:hAnsi="仿宋" w:eastAsia="仿宋"/>
                <w:color w:val="auto"/>
                <w:sz w:val="24"/>
                <w:szCs w:val="24"/>
                <w:highlight w:val="none"/>
                <w:lang w:eastAsia="zh-CN"/>
              </w:rPr>
              <w:t>）</w:t>
            </w:r>
          </w:p>
        </w:tc>
      </w:tr>
      <w:tr w14:paraId="28324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47" w:type="dxa"/>
            <w:vMerge w:val="continue"/>
            <w:vAlign w:val="center"/>
          </w:tcPr>
          <w:p w14:paraId="0ECF30E0">
            <w:pPr>
              <w:keepNext w:val="0"/>
              <w:keepLines w:val="0"/>
              <w:pageBreakBefore w:val="0"/>
              <w:kinsoku/>
              <w:wordWrap w:val="0"/>
              <w:overflowPunct/>
              <w:topLinePunct w:val="0"/>
              <w:autoSpaceDE/>
              <w:autoSpaceDN/>
              <w:bidi w:val="0"/>
              <w:snapToGrid/>
              <w:spacing w:beforeAutospacing="0" w:afterAutospacing="0" w:line="360" w:lineRule="auto"/>
              <w:jc w:val="center"/>
              <w:textAlignment w:val="auto"/>
              <w:rPr>
                <w:rFonts w:ascii="仿宋" w:hAnsi="仿宋" w:eastAsia="仿宋"/>
                <w:color w:val="auto"/>
                <w:sz w:val="24"/>
                <w:szCs w:val="24"/>
                <w:highlight w:val="none"/>
              </w:rPr>
            </w:pPr>
          </w:p>
        </w:tc>
        <w:tc>
          <w:tcPr>
            <w:tcW w:w="749" w:type="dxa"/>
            <w:vMerge w:val="continue"/>
            <w:vAlign w:val="center"/>
          </w:tcPr>
          <w:p w14:paraId="4724F673">
            <w:pPr>
              <w:keepNext w:val="0"/>
              <w:keepLines w:val="0"/>
              <w:pageBreakBefore w:val="0"/>
              <w:kinsoku/>
              <w:wordWrap w:val="0"/>
              <w:overflowPunct/>
              <w:topLinePunct w:val="0"/>
              <w:autoSpaceDE/>
              <w:autoSpaceDN/>
              <w:bidi w:val="0"/>
              <w:snapToGrid/>
              <w:spacing w:beforeAutospacing="0" w:afterAutospacing="0" w:line="360" w:lineRule="auto"/>
              <w:jc w:val="center"/>
              <w:textAlignment w:val="auto"/>
              <w:rPr>
                <w:rFonts w:hint="eastAsia" w:ascii="仿宋" w:hAnsi="仿宋" w:eastAsia="仿宋" w:cs="宋体"/>
                <w:color w:val="auto"/>
                <w:sz w:val="24"/>
                <w:szCs w:val="24"/>
                <w:highlight w:val="none"/>
              </w:rPr>
            </w:pPr>
          </w:p>
        </w:tc>
        <w:tc>
          <w:tcPr>
            <w:tcW w:w="1798" w:type="dxa"/>
            <w:vMerge w:val="continue"/>
            <w:vAlign w:val="center"/>
          </w:tcPr>
          <w:p w14:paraId="5E006F42">
            <w:pPr>
              <w:keepNext w:val="0"/>
              <w:keepLines w:val="0"/>
              <w:pageBreakBefore w:val="0"/>
              <w:kinsoku/>
              <w:wordWrap w:val="0"/>
              <w:overflowPunct/>
              <w:topLinePunct w:val="0"/>
              <w:autoSpaceDE/>
              <w:autoSpaceDN/>
              <w:bidi w:val="0"/>
              <w:snapToGrid/>
              <w:spacing w:beforeAutospacing="0" w:afterAutospacing="0" w:line="360" w:lineRule="auto"/>
              <w:jc w:val="center"/>
              <w:textAlignment w:val="auto"/>
              <w:rPr>
                <w:rFonts w:hint="eastAsia" w:ascii="仿宋" w:hAnsi="仿宋" w:eastAsia="仿宋" w:cs="宋体"/>
                <w:color w:val="auto"/>
                <w:sz w:val="24"/>
                <w:szCs w:val="24"/>
                <w:highlight w:val="none"/>
              </w:rPr>
            </w:pPr>
          </w:p>
        </w:tc>
        <w:tc>
          <w:tcPr>
            <w:tcW w:w="6545" w:type="dxa"/>
            <w:vAlign w:val="center"/>
          </w:tcPr>
          <w:p w14:paraId="5AD0E402">
            <w:pPr>
              <w:keepNext w:val="0"/>
              <w:keepLines w:val="0"/>
              <w:pageBreakBefore w:val="0"/>
              <w:kinsoku/>
              <w:wordWrap w:val="0"/>
              <w:overflowPunct/>
              <w:topLinePunct w:val="0"/>
              <w:autoSpaceDE/>
              <w:autoSpaceDN/>
              <w:bidi w:val="0"/>
              <w:snapToGrid/>
              <w:spacing w:line="500" w:lineRule="exact"/>
              <w:jc w:val="both"/>
              <w:textAlignment w:val="auto"/>
              <w:rPr>
                <w:rFonts w:hint="eastAsia" w:ascii="仿宋" w:hAnsi="仿宋" w:eastAsia="仿宋" w:cs="宋体"/>
                <w:color w:val="auto"/>
                <w:sz w:val="24"/>
                <w:szCs w:val="24"/>
                <w:highlight w:val="none"/>
              </w:rPr>
            </w:pPr>
            <w:r>
              <w:rPr>
                <w:rFonts w:hint="eastAsia" w:ascii="仿宋" w:hAnsi="仿宋" w:eastAsia="仿宋" w:cs="Times New Roman"/>
                <w:b w:val="0"/>
                <w:bCs w:val="0"/>
                <w:color w:val="auto"/>
                <w:sz w:val="24"/>
                <w:szCs w:val="24"/>
                <w:highlight w:val="none"/>
                <w:lang w:val="en-US" w:eastAsia="zh-CN"/>
              </w:rPr>
              <w:t>本项目不接受联合体投标。（提供加盖公章书面声明）</w:t>
            </w:r>
          </w:p>
        </w:tc>
      </w:tr>
    </w:tbl>
    <w:p w14:paraId="2CE57F4F">
      <w:pPr>
        <w:pStyle w:val="18"/>
        <w:pageBreakBefore w:val="0"/>
        <w:kinsoku/>
        <w:wordWrap/>
        <w:overflowPunct/>
        <w:topLinePunct w:val="0"/>
        <w:autoSpaceDE/>
        <w:autoSpaceDN/>
        <w:bidi w:val="0"/>
        <w:spacing w:beforeAutospacing="0" w:after="0" w:afterAutospacing="0"/>
        <w:rPr>
          <w:color w:val="auto"/>
          <w:highlight w:val="none"/>
        </w:rPr>
      </w:pPr>
    </w:p>
    <w:p w14:paraId="5D518F70">
      <w:pPr>
        <w:pStyle w:val="18"/>
        <w:pageBreakBefore w:val="0"/>
        <w:kinsoku/>
        <w:wordWrap/>
        <w:overflowPunct/>
        <w:topLinePunct w:val="0"/>
        <w:autoSpaceDE/>
        <w:autoSpaceDN/>
        <w:bidi w:val="0"/>
        <w:spacing w:beforeAutospacing="0" w:after="0" w:afterAutospacing="0"/>
        <w:rPr>
          <w:color w:val="auto"/>
          <w:highlight w:val="none"/>
        </w:rPr>
      </w:pPr>
    </w:p>
    <w:tbl>
      <w:tblPr>
        <w:tblStyle w:val="41"/>
        <w:tblW w:w="10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767"/>
        <w:gridCol w:w="1974"/>
        <w:gridCol w:w="6652"/>
      </w:tblGrid>
      <w:tr w14:paraId="6FBB4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blHeader/>
          <w:jc w:val="center"/>
        </w:trPr>
        <w:tc>
          <w:tcPr>
            <w:tcW w:w="1574" w:type="dxa"/>
            <w:gridSpan w:val="2"/>
            <w:shd w:val="clear" w:color="auto" w:fill="F7CAAC" w:themeFill="accent2" w:themeFillTint="66"/>
            <w:vAlign w:val="center"/>
          </w:tcPr>
          <w:p w14:paraId="5C60D49A">
            <w:pPr>
              <w:pageBreakBefore w:val="0"/>
              <w:kinsoku/>
              <w:wordWrap/>
              <w:overflowPunct/>
              <w:topLinePunct w:val="0"/>
              <w:autoSpaceDE/>
              <w:autoSpaceDN/>
              <w:bidi w:val="0"/>
              <w:spacing w:beforeAutospacing="0" w:afterAutospacing="0" w:line="360" w:lineRule="auto"/>
              <w:jc w:val="center"/>
              <w:rPr>
                <w:rFonts w:ascii="仿宋" w:hAnsi="仿宋" w:eastAsia="仿宋"/>
                <w:b/>
                <w:color w:val="auto"/>
                <w:sz w:val="24"/>
                <w:szCs w:val="24"/>
                <w:highlight w:val="none"/>
              </w:rPr>
            </w:pPr>
            <w:r>
              <w:rPr>
                <w:rFonts w:hint="eastAsia" w:ascii="仿宋" w:hAnsi="仿宋" w:eastAsia="仿宋" w:cs="宋体"/>
                <w:b/>
                <w:color w:val="auto"/>
                <w:sz w:val="24"/>
                <w:szCs w:val="24"/>
                <w:highlight w:val="none"/>
              </w:rPr>
              <w:t>条款号</w:t>
            </w:r>
          </w:p>
        </w:tc>
        <w:tc>
          <w:tcPr>
            <w:tcW w:w="1974" w:type="dxa"/>
            <w:shd w:val="clear" w:color="auto" w:fill="F7CAAC" w:themeFill="accent2" w:themeFillTint="66"/>
            <w:vAlign w:val="center"/>
          </w:tcPr>
          <w:p w14:paraId="764DCFD6">
            <w:pPr>
              <w:pageBreakBefore w:val="0"/>
              <w:kinsoku/>
              <w:wordWrap/>
              <w:overflowPunct/>
              <w:topLinePunct w:val="0"/>
              <w:autoSpaceDE/>
              <w:autoSpaceDN/>
              <w:bidi w:val="0"/>
              <w:spacing w:beforeAutospacing="0" w:afterAutospacing="0" w:line="360" w:lineRule="auto"/>
              <w:jc w:val="center"/>
              <w:rPr>
                <w:rFonts w:ascii="仿宋" w:hAnsi="仿宋" w:eastAsia="仿宋"/>
                <w:b/>
                <w:color w:val="auto"/>
                <w:sz w:val="24"/>
                <w:szCs w:val="24"/>
                <w:highlight w:val="none"/>
              </w:rPr>
            </w:pPr>
            <w:r>
              <w:rPr>
                <w:rFonts w:hint="eastAsia" w:ascii="仿宋" w:hAnsi="仿宋" w:eastAsia="仿宋" w:cs="宋体"/>
                <w:b/>
                <w:color w:val="auto"/>
                <w:sz w:val="24"/>
                <w:szCs w:val="24"/>
                <w:highlight w:val="none"/>
              </w:rPr>
              <w:t>评审因素</w:t>
            </w:r>
          </w:p>
        </w:tc>
        <w:tc>
          <w:tcPr>
            <w:tcW w:w="6652" w:type="dxa"/>
            <w:shd w:val="clear" w:color="auto" w:fill="F7CAAC" w:themeFill="accent2" w:themeFillTint="66"/>
            <w:vAlign w:val="center"/>
          </w:tcPr>
          <w:p w14:paraId="2333578D">
            <w:pPr>
              <w:pageBreakBefore w:val="0"/>
              <w:kinsoku/>
              <w:wordWrap/>
              <w:overflowPunct/>
              <w:topLinePunct w:val="0"/>
              <w:autoSpaceDE/>
              <w:autoSpaceDN/>
              <w:bidi w:val="0"/>
              <w:spacing w:beforeAutospacing="0" w:afterAutospacing="0" w:line="360" w:lineRule="auto"/>
              <w:jc w:val="center"/>
              <w:rPr>
                <w:rFonts w:ascii="仿宋" w:hAnsi="仿宋" w:eastAsia="仿宋"/>
                <w:b/>
                <w:color w:val="auto"/>
                <w:sz w:val="24"/>
                <w:szCs w:val="24"/>
                <w:highlight w:val="none"/>
              </w:rPr>
            </w:pPr>
            <w:r>
              <w:rPr>
                <w:rFonts w:hint="eastAsia" w:ascii="仿宋" w:hAnsi="仿宋" w:eastAsia="仿宋" w:cs="宋体"/>
                <w:b/>
                <w:color w:val="auto"/>
                <w:sz w:val="24"/>
                <w:szCs w:val="24"/>
                <w:highlight w:val="none"/>
              </w:rPr>
              <w:t>评审标准</w:t>
            </w:r>
          </w:p>
        </w:tc>
      </w:tr>
      <w:tr w14:paraId="7B21A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07" w:type="dxa"/>
            <w:vMerge w:val="restart"/>
            <w:vAlign w:val="center"/>
          </w:tcPr>
          <w:p w14:paraId="0ED82644">
            <w:pPr>
              <w:pageBreakBefore w:val="0"/>
              <w:kinsoku/>
              <w:wordWrap/>
              <w:overflowPunct/>
              <w:topLinePunct w:val="0"/>
              <w:autoSpaceDE/>
              <w:autoSpaceDN/>
              <w:bidi w:val="0"/>
              <w:spacing w:beforeAutospacing="0" w:afterAutospacing="0" w:line="360" w:lineRule="auto"/>
              <w:jc w:val="center"/>
              <w:rPr>
                <w:rFonts w:ascii="仿宋" w:hAnsi="仿宋" w:eastAsia="仿宋"/>
                <w:color w:val="auto"/>
                <w:sz w:val="24"/>
                <w:szCs w:val="24"/>
                <w:highlight w:val="none"/>
              </w:rPr>
            </w:pPr>
            <w:r>
              <w:rPr>
                <w:rFonts w:ascii="仿宋" w:hAnsi="仿宋" w:eastAsia="仿宋"/>
                <w:color w:val="auto"/>
                <w:sz w:val="24"/>
                <w:szCs w:val="24"/>
                <w:highlight w:val="none"/>
              </w:rPr>
              <w:t>2.1.2</w:t>
            </w:r>
          </w:p>
        </w:tc>
        <w:tc>
          <w:tcPr>
            <w:tcW w:w="767" w:type="dxa"/>
            <w:vMerge w:val="restart"/>
            <w:vAlign w:val="center"/>
          </w:tcPr>
          <w:p w14:paraId="1045ADA8">
            <w:pPr>
              <w:pageBreakBefore w:val="0"/>
              <w:kinsoku/>
              <w:wordWrap/>
              <w:overflowPunct/>
              <w:topLinePunct w:val="0"/>
              <w:autoSpaceDE/>
              <w:autoSpaceDN/>
              <w:bidi w:val="0"/>
              <w:spacing w:beforeAutospacing="0" w:afterAutospacing="0" w:line="360" w:lineRule="auto"/>
              <w:jc w:val="center"/>
              <w:rPr>
                <w:rFonts w:ascii="仿宋" w:hAnsi="仿宋" w:eastAsia="仿宋"/>
                <w:color w:val="auto"/>
                <w:sz w:val="24"/>
                <w:szCs w:val="24"/>
                <w:highlight w:val="none"/>
              </w:rPr>
            </w:pPr>
            <w:r>
              <w:rPr>
                <w:rFonts w:hint="eastAsia" w:ascii="仿宋" w:hAnsi="仿宋" w:eastAsia="仿宋" w:cs="宋体"/>
                <w:color w:val="auto"/>
                <w:sz w:val="24"/>
                <w:szCs w:val="24"/>
                <w:highlight w:val="none"/>
              </w:rPr>
              <w:t>符合性评审标准</w:t>
            </w:r>
          </w:p>
        </w:tc>
        <w:tc>
          <w:tcPr>
            <w:tcW w:w="1974" w:type="dxa"/>
            <w:vAlign w:val="center"/>
          </w:tcPr>
          <w:p w14:paraId="32293B69">
            <w:pPr>
              <w:pageBreakBefore w:val="0"/>
              <w:kinsoku/>
              <w:wordWrap/>
              <w:overflowPunct/>
              <w:topLinePunct w:val="0"/>
              <w:autoSpaceDE/>
              <w:autoSpaceDN/>
              <w:bidi w:val="0"/>
              <w:snapToGrid w:val="0"/>
              <w:spacing w:beforeAutospacing="0" w:afterAutospacing="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投标报价表</w:t>
            </w:r>
          </w:p>
        </w:tc>
        <w:tc>
          <w:tcPr>
            <w:tcW w:w="6652" w:type="dxa"/>
            <w:vAlign w:val="center"/>
          </w:tcPr>
          <w:p w14:paraId="2CD12645">
            <w:pPr>
              <w:pageBreakBefore w:val="0"/>
              <w:kinsoku/>
              <w:wordWrap/>
              <w:overflowPunct/>
              <w:topLinePunct w:val="0"/>
              <w:autoSpaceDE/>
              <w:autoSpaceDN/>
              <w:bidi w:val="0"/>
              <w:snapToGrid w:val="0"/>
              <w:spacing w:beforeAutospacing="0" w:afterAutospacing="0"/>
              <w:jc w:val="left"/>
              <w:rPr>
                <w:rFonts w:ascii="仿宋" w:hAnsi="仿宋" w:eastAsia="仿宋"/>
                <w:color w:val="auto"/>
                <w:sz w:val="24"/>
                <w:szCs w:val="24"/>
                <w:highlight w:val="none"/>
              </w:rPr>
            </w:pPr>
            <w:r>
              <w:rPr>
                <w:rFonts w:hint="eastAsia" w:ascii="仿宋" w:hAnsi="仿宋" w:eastAsia="仿宋"/>
                <w:color w:val="auto"/>
                <w:sz w:val="24"/>
                <w:szCs w:val="24"/>
                <w:highlight w:val="none"/>
              </w:rPr>
              <w:t>投标</w:t>
            </w:r>
            <w:r>
              <w:rPr>
                <w:rFonts w:hint="eastAsia" w:ascii="仿宋" w:hAnsi="仿宋" w:eastAsia="仿宋"/>
                <w:color w:val="auto"/>
                <w:sz w:val="24"/>
                <w:szCs w:val="24"/>
                <w:highlight w:val="none"/>
                <w:lang w:val="en-US" w:eastAsia="zh-CN"/>
              </w:rPr>
              <w:t>单价及</w:t>
            </w:r>
            <w:r>
              <w:rPr>
                <w:rFonts w:hint="eastAsia" w:ascii="仿宋" w:hAnsi="仿宋" w:eastAsia="仿宋"/>
                <w:color w:val="auto"/>
                <w:sz w:val="24"/>
                <w:szCs w:val="24"/>
                <w:highlight w:val="none"/>
              </w:rPr>
              <w:t>总价</w:t>
            </w:r>
            <w:r>
              <w:rPr>
                <w:rFonts w:hint="eastAsia" w:ascii="仿宋" w:hAnsi="仿宋" w:eastAsia="仿宋"/>
                <w:color w:val="auto"/>
                <w:sz w:val="24"/>
                <w:szCs w:val="24"/>
                <w:highlight w:val="none"/>
                <w:lang w:val="en-US" w:eastAsia="zh-CN"/>
              </w:rPr>
              <w:t>均未</w:t>
            </w:r>
            <w:r>
              <w:rPr>
                <w:rFonts w:hint="eastAsia" w:ascii="仿宋" w:hAnsi="仿宋" w:eastAsia="仿宋"/>
                <w:color w:val="auto"/>
                <w:sz w:val="24"/>
                <w:szCs w:val="24"/>
                <w:highlight w:val="none"/>
              </w:rPr>
              <w:t>超过采购预算。</w:t>
            </w:r>
          </w:p>
        </w:tc>
      </w:tr>
      <w:tr w14:paraId="2545A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807" w:type="dxa"/>
            <w:vMerge w:val="continue"/>
            <w:vAlign w:val="center"/>
          </w:tcPr>
          <w:p w14:paraId="5220E5C5">
            <w:pPr>
              <w:pageBreakBefore w:val="0"/>
              <w:kinsoku/>
              <w:wordWrap/>
              <w:overflowPunct/>
              <w:topLinePunct w:val="0"/>
              <w:autoSpaceDE/>
              <w:autoSpaceDN/>
              <w:bidi w:val="0"/>
              <w:spacing w:beforeAutospacing="0" w:afterAutospacing="0" w:line="360" w:lineRule="auto"/>
              <w:rPr>
                <w:rFonts w:ascii="仿宋" w:hAnsi="仿宋" w:eastAsia="仿宋"/>
                <w:color w:val="auto"/>
                <w:sz w:val="24"/>
                <w:szCs w:val="24"/>
                <w:highlight w:val="none"/>
              </w:rPr>
            </w:pPr>
          </w:p>
        </w:tc>
        <w:tc>
          <w:tcPr>
            <w:tcW w:w="767" w:type="dxa"/>
            <w:vMerge w:val="continue"/>
            <w:vAlign w:val="center"/>
          </w:tcPr>
          <w:p w14:paraId="3592F2CC">
            <w:pPr>
              <w:pageBreakBefore w:val="0"/>
              <w:kinsoku/>
              <w:wordWrap/>
              <w:overflowPunct/>
              <w:topLinePunct w:val="0"/>
              <w:autoSpaceDE/>
              <w:autoSpaceDN/>
              <w:bidi w:val="0"/>
              <w:spacing w:beforeAutospacing="0" w:afterAutospacing="0" w:line="360" w:lineRule="auto"/>
              <w:rPr>
                <w:rFonts w:ascii="仿宋" w:hAnsi="仿宋" w:eastAsia="仿宋"/>
                <w:color w:val="auto"/>
                <w:sz w:val="24"/>
                <w:szCs w:val="24"/>
                <w:highlight w:val="none"/>
              </w:rPr>
            </w:pPr>
          </w:p>
        </w:tc>
        <w:tc>
          <w:tcPr>
            <w:tcW w:w="1974" w:type="dxa"/>
            <w:vAlign w:val="center"/>
          </w:tcPr>
          <w:p w14:paraId="4498D2A0">
            <w:pPr>
              <w:pageBreakBefore w:val="0"/>
              <w:kinsoku/>
              <w:wordWrap/>
              <w:overflowPunct/>
              <w:topLinePunct w:val="0"/>
              <w:autoSpaceDE/>
              <w:autoSpaceDN/>
              <w:bidi w:val="0"/>
              <w:snapToGrid w:val="0"/>
              <w:spacing w:beforeAutospacing="0" w:afterAutospacing="0" w:line="360" w:lineRule="auto"/>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投标文件签署</w:t>
            </w:r>
          </w:p>
        </w:tc>
        <w:tc>
          <w:tcPr>
            <w:tcW w:w="6652" w:type="dxa"/>
            <w:vAlign w:val="center"/>
          </w:tcPr>
          <w:p w14:paraId="6D7C6560">
            <w:pPr>
              <w:pageBreakBefore w:val="0"/>
              <w:kinsoku/>
              <w:wordWrap/>
              <w:overflowPunct/>
              <w:topLinePunct w:val="0"/>
              <w:autoSpaceDE/>
              <w:autoSpaceDN/>
              <w:bidi w:val="0"/>
              <w:snapToGrid w:val="0"/>
              <w:spacing w:beforeAutospacing="0" w:afterAutospacing="0" w:line="360" w:lineRule="auto"/>
              <w:jc w:val="left"/>
              <w:rPr>
                <w:rFonts w:ascii="仿宋" w:hAnsi="仿宋" w:eastAsia="仿宋"/>
                <w:color w:val="auto"/>
                <w:sz w:val="24"/>
                <w:szCs w:val="24"/>
                <w:highlight w:val="none"/>
              </w:rPr>
            </w:pPr>
            <w:r>
              <w:rPr>
                <w:rFonts w:hint="eastAsia" w:ascii="仿宋" w:hAnsi="仿宋" w:eastAsia="仿宋"/>
                <w:color w:val="auto"/>
                <w:sz w:val="24"/>
                <w:szCs w:val="24"/>
                <w:highlight w:val="none"/>
              </w:rPr>
              <w:t>按照招标文件要求单位盖章并</w:t>
            </w:r>
            <w:r>
              <w:rPr>
                <w:rFonts w:hint="eastAsia" w:ascii="仿宋" w:hAnsi="仿宋" w:eastAsia="仿宋"/>
                <w:color w:val="auto"/>
                <w:sz w:val="24"/>
                <w:szCs w:val="24"/>
                <w:highlight w:val="none"/>
                <w:lang w:eastAsia="zh-CN"/>
              </w:rPr>
              <w:t>由</w:t>
            </w:r>
            <w:r>
              <w:rPr>
                <w:rFonts w:hint="eastAsia" w:ascii="仿宋" w:hAnsi="仿宋" w:eastAsia="仿宋"/>
                <w:color w:val="auto"/>
                <w:sz w:val="24"/>
                <w:szCs w:val="24"/>
                <w:highlight w:val="none"/>
              </w:rPr>
              <w:t>法定代表人或其委托代理人签字或盖章。</w:t>
            </w:r>
          </w:p>
        </w:tc>
      </w:tr>
      <w:tr w14:paraId="32CBB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07" w:type="dxa"/>
            <w:vMerge w:val="continue"/>
            <w:vAlign w:val="center"/>
          </w:tcPr>
          <w:p w14:paraId="69A47983">
            <w:pPr>
              <w:pageBreakBefore w:val="0"/>
              <w:kinsoku/>
              <w:wordWrap/>
              <w:overflowPunct/>
              <w:topLinePunct w:val="0"/>
              <w:autoSpaceDE/>
              <w:autoSpaceDN/>
              <w:bidi w:val="0"/>
              <w:spacing w:beforeAutospacing="0" w:afterAutospacing="0" w:line="360" w:lineRule="auto"/>
              <w:rPr>
                <w:rFonts w:ascii="仿宋" w:hAnsi="仿宋" w:eastAsia="仿宋"/>
                <w:color w:val="auto"/>
                <w:sz w:val="24"/>
                <w:szCs w:val="24"/>
                <w:highlight w:val="none"/>
              </w:rPr>
            </w:pPr>
          </w:p>
        </w:tc>
        <w:tc>
          <w:tcPr>
            <w:tcW w:w="767" w:type="dxa"/>
            <w:vMerge w:val="continue"/>
            <w:vAlign w:val="center"/>
          </w:tcPr>
          <w:p w14:paraId="34538EC2">
            <w:pPr>
              <w:pageBreakBefore w:val="0"/>
              <w:kinsoku/>
              <w:wordWrap/>
              <w:overflowPunct/>
              <w:topLinePunct w:val="0"/>
              <w:autoSpaceDE/>
              <w:autoSpaceDN/>
              <w:bidi w:val="0"/>
              <w:spacing w:beforeAutospacing="0" w:afterAutospacing="0" w:line="360" w:lineRule="auto"/>
              <w:rPr>
                <w:rFonts w:ascii="仿宋" w:hAnsi="仿宋" w:eastAsia="仿宋"/>
                <w:color w:val="auto"/>
                <w:sz w:val="24"/>
                <w:szCs w:val="24"/>
                <w:highlight w:val="none"/>
              </w:rPr>
            </w:pPr>
          </w:p>
        </w:tc>
        <w:tc>
          <w:tcPr>
            <w:tcW w:w="1974" w:type="dxa"/>
            <w:vAlign w:val="center"/>
          </w:tcPr>
          <w:p w14:paraId="76935419">
            <w:pPr>
              <w:pageBreakBefore w:val="0"/>
              <w:kinsoku/>
              <w:wordWrap/>
              <w:overflowPunct/>
              <w:topLinePunct w:val="0"/>
              <w:autoSpaceDE/>
              <w:autoSpaceDN/>
              <w:bidi w:val="0"/>
              <w:snapToGrid w:val="0"/>
              <w:spacing w:beforeAutospacing="0" w:afterAutospacing="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授权书</w:t>
            </w:r>
          </w:p>
        </w:tc>
        <w:tc>
          <w:tcPr>
            <w:tcW w:w="6652" w:type="dxa"/>
            <w:vAlign w:val="center"/>
          </w:tcPr>
          <w:p w14:paraId="658CCF1F">
            <w:pPr>
              <w:pageBreakBefore w:val="0"/>
              <w:kinsoku/>
              <w:wordWrap/>
              <w:overflowPunct/>
              <w:topLinePunct w:val="0"/>
              <w:autoSpaceDE/>
              <w:autoSpaceDN/>
              <w:bidi w:val="0"/>
              <w:snapToGrid w:val="0"/>
              <w:spacing w:beforeAutospacing="0" w:afterAutospacing="0"/>
              <w:jc w:val="left"/>
              <w:rPr>
                <w:rFonts w:ascii="仿宋" w:hAnsi="仿宋" w:eastAsia="仿宋"/>
                <w:color w:val="auto"/>
                <w:sz w:val="24"/>
                <w:szCs w:val="24"/>
                <w:highlight w:val="none"/>
              </w:rPr>
            </w:pPr>
            <w:r>
              <w:rPr>
                <w:rFonts w:hint="eastAsia" w:ascii="仿宋" w:hAnsi="仿宋" w:eastAsia="仿宋"/>
                <w:color w:val="auto"/>
                <w:sz w:val="24"/>
                <w:szCs w:val="24"/>
                <w:highlight w:val="none"/>
              </w:rPr>
              <w:t>法定代表人委托代理人投标，有法定代表人授权书。</w:t>
            </w:r>
          </w:p>
        </w:tc>
      </w:tr>
      <w:tr w14:paraId="63199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807" w:type="dxa"/>
            <w:vMerge w:val="continue"/>
            <w:vAlign w:val="center"/>
          </w:tcPr>
          <w:p w14:paraId="56CB5416">
            <w:pPr>
              <w:pageBreakBefore w:val="0"/>
              <w:kinsoku/>
              <w:wordWrap/>
              <w:overflowPunct/>
              <w:topLinePunct w:val="0"/>
              <w:autoSpaceDE/>
              <w:autoSpaceDN/>
              <w:bidi w:val="0"/>
              <w:spacing w:beforeAutospacing="0" w:afterAutospacing="0" w:line="360" w:lineRule="auto"/>
              <w:rPr>
                <w:rFonts w:ascii="仿宋" w:hAnsi="仿宋" w:eastAsia="仿宋"/>
                <w:color w:val="auto"/>
                <w:sz w:val="24"/>
                <w:szCs w:val="24"/>
                <w:highlight w:val="none"/>
              </w:rPr>
            </w:pPr>
          </w:p>
        </w:tc>
        <w:tc>
          <w:tcPr>
            <w:tcW w:w="767" w:type="dxa"/>
            <w:vMerge w:val="continue"/>
            <w:vAlign w:val="center"/>
          </w:tcPr>
          <w:p w14:paraId="43572195">
            <w:pPr>
              <w:pageBreakBefore w:val="0"/>
              <w:kinsoku/>
              <w:wordWrap/>
              <w:overflowPunct/>
              <w:topLinePunct w:val="0"/>
              <w:autoSpaceDE/>
              <w:autoSpaceDN/>
              <w:bidi w:val="0"/>
              <w:spacing w:beforeAutospacing="0" w:afterAutospacing="0" w:line="360" w:lineRule="auto"/>
              <w:rPr>
                <w:rFonts w:ascii="仿宋" w:hAnsi="仿宋" w:eastAsia="仿宋"/>
                <w:color w:val="auto"/>
                <w:sz w:val="24"/>
                <w:szCs w:val="24"/>
                <w:highlight w:val="none"/>
              </w:rPr>
            </w:pPr>
          </w:p>
        </w:tc>
        <w:tc>
          <w:tcPr>
            <w:tcW w:w="1974" w:type="dxa"/>
            <w:vAlign w:val="center"/>
          </w:tcPr>
          <w:p w14:paraId="0087AE76">
            <w:pPr>
              <w:pageBreakBefore w:val="0"/>
              <w:kinsoku/>
              <w:wordWrap/>
              <w:overflowPunct/>
              <w:topLinePunct w:val="0"/>
              <w:autoSpaceDE/>
              <w:autoSpaceDN/>
              <w:bidi w:val="0"/>
              <w:snapToGrid w:val="0"/>
              <w:spacing w:beforeAutospacing="0" w:afterAutospacing="0" w:line="360" w:lineRule="auto"/>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投标文件格式</w:t>
            </w:r>
          </w:p>
        </w:tc>
        <w:tc>
          <w:tcPr>
            <w:tcW w:w="6652" w:type="dxa"/>
            <w:vAlign w:val="center"/>
          </w:tcPr>
          <w:p w14:paraId="379FCBC5">
            <w:pPr>
              <w:pageBreakBefore w:val="0"/>
              <w:kinsoku/>
              <w:wordWrap/>
              <w:overflowPunct/>
              <w:topLinePunct w:val="0"/>
              <w:autoSpaceDE/>
              <w:autoSpaceDN/>
              <w:bidi w:val="0"/>
              <w:snapToGrid w:val="0"/>
              <w:spacing w:beforeAutospacing="0" w:afterAutospacing="0" w:line="360" w:lineRule="auto"/>
              <w:jc w:val="left"/>
              <w:rPr>
                <w:rFonts w:ascii="仿宋" w:hAnsi="仿宋" w:eastAsia="仿宋"/>
                <w:color w:val="auto"/>
                <w:sz w:val="24"/>
                <w:szCs w:val="24"/>
                <w:highlight w:val="none"/>
              </w:rPr>
            </w:pPr>
            <w:r>
              <w:rPr>
                <w:rFonts w:hint="eastAsia" w:ascii="仿宋" w:hAnsi="仿宋" w:eastAsia="仿宋"/>
                <w:color w:val="auto"/>
                <w:sz w:val="24"/>
                <w:szCs w:val="24"/>
                <w:highlight w:val="none"/>
              </w:rPr>
              <w:t>按招标文件规定的格式填写，内容完整或无关键字迹模糊、无法辨认。</w:t>
            </w:r>
          </w:p>
        </w:tc>
      </w:tr>
      <w:tr w14:paraId="1609C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807" w:type="dxa"/>
            <w:vMerge w:val="continue"/>
            <w:vAlign w:val="center"/>
          </w:tcPr>
          <w:p w14:paraId="71F7D152">
            <w:pPr>
              <w:pageBreakBefore w:val="0"/>
              <w:kinsoku/>
              <w:wordWrap/>
              <w:overflowPunct/>
              <w:topLinePunct w:val="0"/>
              <w:autoSpaceDE/>
              <w:autoSpaceDN/>
              <w:bidi w:val="0"/>
              <w:spacing w:beforeAutospacing="0" w:afterAutospacing="0" w:line="360" w:lineRule="auto"/>
              <w:rPr>
                <w:rFonts w:ascii="仿宋" w:hAnsi="仿宋" w:eastAsia="仿宋"/>
                <w:color w:val="auto"/>
                <w:sz w:val="24"/>
                <w:szCs w:val="24"/>
                <w:highlight w:val="none"/>
              </w:rPr>
            </w:pPr>
          </w:p>
        </w:tc>
        <w:tc>
          <w:tcPr>
            <w:tcW w:w="767" w:type="dxa"/>
            <w:vMerge w:val="continue"/>
            <w:vAlign w:val="center"/>
          </w:tcPr>
          <w:p w14:paraId="678E4411">
            <w:pPr>
              <w:pageBreakBefore w:val="0"/>
              <w:kinsoku/>
              <w:wordWrap/>
              <w:overflowPunct/>
              <w:topLinePunct w:val="0"/>
              <w:autoSpaceDE/>
              <w:autoSpaceDN/>
              <w:bidi w:val="0"/>
              <w:spacing w:beforeAutospacing="0" w:afterAutospacing="0" w:line="360" w:lineRule="auto"/>
              <w:rPr>
                <w:rFonts w:ascii="仿宋" w:hAnsi="仿宋" w:eastAsia="仿宋"/>
                <w:color w:val="auto"/>
                <w:sz w:val="24"/>
                <w:szCs w:val="24"/>
                <w:highlight w:val="none"/>
              </w:rPr>
            </w:pPr>
          </w:p>
        </w:tc>
        <w:tc>
          <w:tcPr>
            <w:tcW w:w="1974" w:type="dxa"/>
            <w:vAlign w:val="center"/>
          </w:tcPr>
          <w:p w14:paraId="69FBF8B0">
            <w:pPr>
              <w:pageBreakBefore w:val="0"/>
              <w:kinsoku/>
              <w:wordWrap/>
              <w:overflowPunct/>
              <w:topLinePunct w:val="0"/>
              <w:autoSpaceDE/>
              <w:autoSpaceDN/>
              <w:bidi w:val="0"/>
              <w:snapToGrid w:val="0"/>
              <w:spacing w:beforeAutospacing="0" w:afterAutospacing="0" w:line="360" w:lineRule="auto"/>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投标报价</w:t>
            </w:r>
          </w:p>
        </w:tc>
        <w:tc>
          <w:tcPr>
            <w:tcW w:w="6652" w:type="dxa"/>
            <w:vAlign w:val="center"/>
          </w:tcPr>
          <w:p w14:paraId="2D324D3C">
            <w:pPr>
              <w:pageBreakBefore w:val="0"/>
              <w:kinsoku/>
              <w:wordWrap/>
              <w:overflowPunct/>
              <w:topLinePunct w:val="0"/>
              <w:autoSpaceDE/>
              <w:autoSpaceDN/>
              <w:bidi w:val="0"/>
              <w:snapToGrid w:val="0"/>
              <w:spacing w:beforeAutospacing="0" w:afterAutospacing="0" w:line="360" w:lineRule="auto"/>
              <w:jc w:val="both"/>
              <w:rPr>
                <w:rFonts w:ascii="仿宋" w:hAnsi="仿宋" w:eastAsia="仿宋"/>
                <w:color w:val="auto"/>
                <w:sz w:val="24"/>
                <w:szCs w:val="24"/>
                <w:highlight w:val="none"/>
              </w:rPr>
            </w:pPr>
            <w:r>
              <w:rPr>
                <w:rFonts w:hint="eastAsia" w:ascii="仿宋" w:hAnsi="仿宋" w:eastAsia="仿宋"/>
                <w:color w:val="auto"/>
                <w:sz w:val="24"/>
                <w:szCs w:val="24"/>
                <w:highlight w:val="none"/>
              </w:rPr>
              <w:t>投标人不存在递交两份或多份内容不同的投标文件，或在一份投标文件中对同一招标货物报两个或多个报价，且</w:t>
            </w:r>
            <w:r>
              <w:rPr>
                <w:rFonts w:hint="eastAsia" w:ascii="仿宋" w:hAnsi="仿宋" w:eastAsia="仿宋"/>
                <w:color w:val="auto"/>
                <w:sz w:val="24"/>
                <w:szCs w:val="24"/>
                <w:highlight w:val="none"/>
                <w:lang w:eastAsia="zh-CN"/>
              </w:rPr>
              <w:t>未声明</w:t>
            </w:r>
            <w:r>
              <w:rPr>
                <w:rFonts w:hint="eastAsia" w:ascii="仿宋" w:hAnsi="仿宋" w:eastAsia="仿宋"/>
                <w:color w:val="auto"/>
                <w:sz w:val="24"/>
                <w:szCs w:val="24"/>
                <w:highlight w:val="none"/>
              </w:rPr>
              <w:t>哪一个为最终报价的</w:t>
            </w:r>
            <w:r>
              <w:rPr>
                <w:rFonts w:ascii="仿宋" w:hAnsi="仿宋" w:eastAsia="仿宋"/>
                <w:color w:val="auto"/>
                <w:sz w:val="24"/>
                <w:szCs w:val="24"/>
                <w:highlight w:val="none"/>
              </w:rPr>
              <w:t>(</w:t>
            </w:r>
            <w:r>
              <w:rPr>
                <w:rFonts w:hint="eastAsia" w:ascii="仿宋" w:hAnsi="仿宋" w:eastAsia="仿宋"/>
                <w:color w:val="auto"/>
                <w:sz w:val="24"/>
                <w:szCs w:val="24"/>
                <w:highlight w:val="none"/>
              </w:rPr>
              <w:t>按招标文件规定提交被选投标方案的除外</w:t>
            </w:r>
            <w:r>
              <w:rPr>
                <w:rFonts w:ascii="仿宋" w:hAnsi="仿宋" w:eastAsia="仿宋"/>
                <w:color w:val="auto"/>
                <w:sz w:val="24"/>
                <w:szCs w:val="24"/>
                <w:highlight w:val="none"/>
              </w:rPr>
              <w:t>)</w:t>
            </w:r>
            <w:r>
              <w:rPr>
                <w:rFonts w:hint="eastAsia" w:ascii="仿宋" w:hAnsi="仿宋" w:eastAsia="仿宋"/>
                <w:color w:val="auto"/>
                <w:sz w:val="24"/>
                <w:szCs w:val="24"/>
                <w:highlight w:val="none"/>
              </w:rPr>
              <w:t>。</w:t>
            </w:r>
          </w:p>
        </w:tc>
      </w:tr>
      <w:tr w14:paraId="24C59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807" w:type="dxa"/>
            <w:vMerge w:val="continue"/>
            <w:vAlign w:val="center"/>
          </w:tcPr>
          <w:p w14:paraId="7F726817">
            <w:pPr>
              <w:pageBreakBefore w:val="0"/>
              <w:kinsoku/>
              <w:wordWrap/>
              <w:overflowPunct/>
              <w:topLinePunct w:val="0"/>
              <w:autoSpaceDE/>
              <w:autoSpaceDN/>
              <w:bidi w:val="0"/>
              <w:spacing w:beforeAutospacing="0" w:afterAutospacing="0" w:line="360" w:lineRule="auto"/>
              <w:rPr>
                <w:rFonts w:ascii="仿宋" w:hAnsi="仿宋" w:eastAsia="仿宋"/>
                <w:color w:val="auto"/>
                <w:sz w:val="24"/>
                <w:szCs w:val="24"/>
                <w:highlight w:val="none"/>
              </w:rPr>
            </w:pPr>
          </w:p>
        </w:tc>
        <w:tc>
          <w:tcPr>
            <w:tcW w:w="767" w:type="dxa"/>
            <w:vMerge w:val="continue"/>
            <w:vAlign w:val="center"/>
          </w:tcPr>
          <w:p w14:paraId="4CE497E3">
            <w:pPr>
              <w:pageBreakBefore w:val="0"/>
              <w:kinsoku/>
              <w:wordWrap/>
              <w:overflowPunct/>
              <w:topLinePunct w:val="0"/>
              <w:autoSpaceDE/>
              <w:autoSpaceDN/>
              <w:bidi w:val="0"/>
              <w:spacing w:beforeAutospacing="0" w:afterAutospacing="0" w:line="360" w:lineRule="auto"/>
              <w:rPr>
                <w:rFonts w:ascii="仿宋" w:hAnsi="仿宋" w:eastAsia="仿宋"/>
                <w:color w:val="auto"/>
                <w:sz w:val="24"/>
                <w:szCs w:val="24"/>
                <w:highlight w:val="none"/>
              </w:rPr>
            </w:pPr>
          </w:p>
        </w:tc>
        <w:tc>
          <w:tcPr>
            <w:tcW w:w="1974" w:type="dxa"/>
            <w:vAlign w:val="center"/>
          </w:tcPr>
          <w:p w14:paraId="51E0B8B3">
            <w:pPr>
              <w:pageBreakBefore w:val="0"/>
              <w:kinsoku/>
              <w:wordWrap/>
              <w:overflowPunct/>
              <w:topLinePunct w:val="0"/>
              <w:autoSpaceDE/>
              <w:autoSpaceDN/>
              <w:bidi w:val="0"/>
              <w:snapToGrid w:val="0"/>
              <w:spacing w:beforeAutospacing="0" w:afterAutospacing="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投标有效期</w:t>
            </w:r>
          </w:p>
        </w:tc>
        <w:tc>
          <w:tcPr>
            <w:tcW w:w="6652" w:type="dxa"/>
            <w:vAlign w:val="center"/>
          </w:tcPr>
          <w:p w14:paraId="3F5B28F9">
            <w:pPr>
              <w:pageBreakBefore w:val="0"/>
              <w:kinsoku/>
              <w:wordWrap/>
              <w:overflowPunct/>
              <w:topLinePunct w:val="0"/>
              <w:autoSpaceDE/>
              <w:autoSpaceDN/>
              <w:bidi w:val="0"/>
              <w:snapToGrid w:val="0"/>
              <w:spacing w:beforeAutospacing="0" w:afterAutospacing="0"/>
              <w:jc w:val="both"/>
              <w:rPr>
                <w:rFonts w:ascii="仿宋" w:hAnsi="仿宋" w:eastAsia="仿宋"/>
                <w:color w:val="auto"/>
                <w:sz w:val="24"/>
                <w:szCs w:val="24"/>
                <w:highlight w:val="none"/>
              </w:rPr>
            </w:pPr>
            <w:r>
              <w:rPr>
                <w:rFonts w:hint="eastAsia" w:ascii="仿宋" w:hAnsi="仿宋" w:eastAsia="仿宋"/>
                <w:color w:val="auto"/>
                <w:sz w:val="24"/>
                <w:szCs w:val="24"/>
                <w:highlight w:val="none"/>
              </w:rPr>
              <w:t>符合招标文件第二章“投标人须知前附表”第17.1款规定</w:t>
            </w:r>
          </w:p>
        </w:tc>
      </w:tr>
      <w:tr w14:paraId="7402A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807" w:type="dxa"/>
            <w:vMerge w:val="continue"/>
            <w:vAlign w:val="center"/>
          </w:tcPr>
          <w:p w14:paraId="2DF365E1">
            <w:pPr>
              <w:pageBreakBefore w:val="0"/>
              <w:kinsoku/>
              <w:wordWrap/>
              <w:overflowPunct/>
              <w:topLinePunct w:val="0"/>
              <w:autoSpaceDE/>
              <w:autoSpaceDN/>
              <w:bidi w:val="0"/>
              <w:spacing w:beforeAutospacing="0" w:afterAutospacing="0" w:line="360" w:lineRule="auto"/>
              <w:rPr>
                <w:rFonts w:ascii="仿宋" w:hAnsi="仿宋" w:eastAsia="仿宋"/>
                <w:color w:val="auto"/>
                <w:sz w:val="24"/>
                <w:szCs w:val="24"/>
                <w:highlight w:val="none"/>
              </w:rPr>
            </w:pPr>
          </w:p>
        </w:tc>
        <w:tc>
          <w:tcPr>
            <w:tcW w:w="767" w:type="dxa"/>
            <w:vMerge w:val="continue"/>
            <w:vAlign w:val="center"/>
          </w:tcPr>
          <w:p w14:paraId="6A33F436">
            <w:pPr>
              <w:pageBreakBefore w:val="0"/>
              <w:kinsoku/>
              <w:wordWrap/>
              <w:overflowPunct/>
              <w:topLinePunct w:val="0"/>
              <w:autoSpaceDE/>
              <w:autoSpaceDN/>
              <w:bidi w:val="0"/>
              <w:spacing w:beforeAutospacing="0" w:afterAutospacing="0" w:line="360" w:lineRule="auto"/>
              <w:rPr>
                <w:rFonts w:ascii="仿宋" w:hAnsi="仿宋" w:eastAsia="仿宋"/>
                <w:color w:val="auto"/>
                <w:sz w:val="24"/>
                <w:szCs w:val="24"/>
                <w:highlight w:val="none"/>
              </w:rPr>
            </w:pPr>
          </w:p>
        </w:tc>
        <w:tc>
          <w:tcPr>
            <w:tcW w:w="1974" w:type="dxa"/>
            <w:vAlign w:val="center"/>
          </w:tcPr>
          <w:p w14:paraId="62BEFD97">
            <w:pPr>
              <w:pageBreakBefore w:val="0"/>
              <w:kinsoku/>
              <w:wordWrap/>
              <w:overflowPunct/>
              <w:topLinePunct w:val="0"/>
              <w:autoSpaceDE/>
              <w:autoSpaceDN/>
              <w:bidi w:val="0"/>
              <w:snapToGrid w:val="0"/>
              <w:spacing w:beforeAutospacing="0" w:afterAutospacing="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投标保证金</w:t>
            </w:r>
          </w:p>
        </w:tc>
        <w:tc>
          <w:tcPr>
            <w:tcW w:w="6652" w:type="dxa"/>
            <w:vAlign w:val="center"/>
          </w:tcPr>
          <w:p w14:paraId="16199D72">
            <w:pPr>
              <w:pageBreakBefore w:val="0"/>
              <w:kinsoku/>
              <w:wordWrap/>
              <w:overflowPunct/>
              <w:topLinePunct w:val="0"/>
              <w:autoSpaceDE/>
              <w:autoSpaceDN/>
              <w:bidi w:val="0"/>
              <w:snapToGrid w:val="0"/>
              <w:spacing w:beforeAutospacing="0" w:afterAutospacing="0"/>
              <w:jc w:val="both"/>
              <w:rPr>
                <w:rFonts w:ascii="仿宋" w:hAnsi="仿宋" w:eastAsia="仿宋"/>
                <w:color w:val="auto"/>
                <w:sz w:val="24"/>
                <w:szCs w:val="24"/>
                <w:highlight w:val="none"/>
              </w:rPr>
            </w:pPr>
            <w:r>
              <w:rPr>
                <w:rFonts w:hint="eastAsia" w:ascii="仿宋" w:hAnsi="仿宋" w:eastAsia="仿宋"/>
                <w:color w:val="auto"/>
                <w:sz w:val="24"/>
                <w:szCs w:val="24"/>
                <w:highlight w:val="none"/>
              </w:rPr>
              <w:t>符合招标文件第二章“投标人须知前附表”第1</w:t>
            </w:r>
            <w:r>
              <w:rPr>
                <w:rFonts w:hint="eastAsia" w:ascii="仿宋" w:hAnsi="仿宋" w:eastAsia="仿宋"/>
                <w:color w:val="auto"/>
                <w:sz w:val="24"/>
                <w:szCs w:val="24"/>
                <w:highlight w:val="none"/>
                <w:lang w:val="en-US" w:eastAsia="zh-CN"/>
              </w:rPr>
              <w:t>9</w:t>
            </w:r>
            <w:r>
              <w:rPr>
                <w:rFonts w:hint="eastAsia" w:ascii="仿宋" w:hAnsi="仿宋" w:eastAsia="仿宋"/>
                <w:color w:val="auto"/>
                <w:sz w:val="24"/>
                <w:szCs w:val="24"/>
                <w:highlight w:val="none"/>
              </w:rPr>
              <w:t>.1款规定</w:t>
            </w:r>
          </w:p>
        </w:tc>
      </w:tr>
      <w:tr w14:paraId="6052B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807" w:type="dxa"/>
            <w:vMerge w:val="continue"/>
            <w:vAlign w:val="center"/>
          </w:tcPr>
          <w:p w14:paraId="4E0242E0">
            <w:pPr>
              <w:pageBreakBefore w:val="0"/>
              <w:kinsoku/>
              <w:wordWrap/>
              <w:overflowPunct/>
              <w:topLinePunct w:val="0"/>
              <w:autoSpaceDE/>
              <w:autoSpaceDN/>
              <w:bidi w:val="0"/>
              <w:spacing w:beforeAutospacing="0" w:afterAutospacing="0" w:line="360" w:lineRule="auto"/>
              <w:rPr>
                <w:rFonts w:ascii="仿宋" w:hAnsi="仿宋" w:eastAsia="仿宋"/>
                <w:color w:val="auto"/>
                <w:sz w:val="24"/>
                <w:szCs w:val="24"/>
                <w:highlight w:val="none"/>
              </w:rPr>
            </w:pPr>
          </w:p>
        </w:tc>
        <w:tc>
          <w:tcPr>
            <w:tcW w:w="767" w:type="dxa"/>
            <w:vMerge w:val="continue"/>
            <w:vAlign w:val="center"/>
          </w:tcPr>
          <w:p w14:paraId="004C6D5B">
            <w:pPr>
              <w:pageBreakBefore w:val="0"/>
              <w:kinsoku/>
              <w:wordWrap/>
              <w:overflowPunct/>
              <w:topLinePunct w:val="0"/>
              <w:autoSpaceDE/>
              <w:autoSpaceDN/>
              <w:bidi w:val="0"/>
              <w:spacing w:beforeAutospacing="0" w:afterAutospacing="0" w:line="360" w:lineRule="auto"/>
              <w:rPr>
                <w:rFonts w:ascii="仿宋" w:hAnsi="仿宋" w:eastAsia="仿宋"/>
                <w:color w:val="auto"/>
                <w:sz w:val="24"/>
                <w:szCs w:val="24"/>
                <w:highlight w:val="none"/>
              </w:rPr>
            </w:pPr>
          </w:p>
        </w:tc>
        <w:tc>
          <w:tcPr>
            <w:tcW w:w="1974" w:type="dxa"/>
            <w:vAlign w:val="center"/>
          </w:tcPr>
          <w:p w14:paraId="30AEB983">
            <w:pPr>
              <w:pageBreakBefore w:val="0"/>
              <w:kinsoku/>
              <w:wordWrap/>
              <w:overflowPunct/>
              <w:topLinePunct w:val="0"/>
              <w:autoSpaceDE/>
              <w:autoSpaceDN/>
              <w:bidi w:val="0"/>
              <w:snapToGrid w:val="0"/>
              <w:spacing w:beforeAutospacing="0" w:afterAutospacing="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投标文件的</w:t>
            </w:r>
          </w:p>
          <w:p w14:paraId="26502D11">
            <w:pPr>
              <w:pageBreakBefore w:val="0"/>
              <w:kinsoku/>
              <w:wordWrap/>
              <w:overflowPunct/>
              <w:topLinePunct w:val="0"/>
              <w:autoSpaceDE/>
              <w:autoSpaceDN/>
              <w:bidi w:val="0"/>
              <w:snapToGrid w:val="0"/>
              <w:spacing w:beforeAutospacing="0" w:afterAutospacing="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技术应答</w:t>
            </w:r>
          </w:p>
        </w:tc>
        <w:tc>
          <w:tcPr>
            <w:tcW w:w="6652" w:type="dxa"/>
            <w:vAlign w:val="center"/>
          </w:tcPr>
          <w:p w14:paraId="3E237C8E">
            <w:pPr>
              <w:pageBreakBefore w:val="0"/>
              <w:kinsoku/>
              <w:wordWrap/>
              <w:overflowPunct/>
              <w:topLinePunct w:val="0"/>
              <w:autoSpaceDE/>
              <w:autoSpaceDN/>
              <w:bidi w:val="0"/>
              <w:snapToGrid w:val="0"/>
              <w:spacing w:beforeAutospacing="0" w:afterAutospacing="0" w:line="360" w:lineRule="auto"/>
              <w:jc w:val="both"/>
              <w:rPr>
                <w:rFonts w:ascii="仿宋" w:hAnsi="仿宋" w:eastAsia="仿宋"/>
                <w:color w:val="auto"/>
                <w:sz w:val="24"/>
                <w:szCs w:val="24"/>
                <w:highlight w:val="none"/>
              </w:rPr>
            </w:pPr>
            <w:r>
              <w:rPr>
                <w:rFonts w:hint="eastAsia" w:ascii="仿宋" w:hAnsi="仿宋" w:eastAsia="仿宋"/>
                <w:color w:val="auto"/>
                <w:sz w:val="24"/>
                <w:szCs w:val="24"/>
                <w:highlight w:val="none"/>
              </w:rPr>
              <w:t>技术应答内容未出现完全或者绝大部分复制招标文件的技术要求。</w:t>
            </w:r>
          </w:p>
        </w:tc>
      </w:tr>
      <w:tr w14:paraId="34E73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807" w:type="dxa"/>
            <w:vMerge w:val="continue"/>
            <w:vAlign w:val="center"/>
          </w:tcPr>
          <w:p w14:paraId="34B2897E">
            <w:pPr>
              <w:pageBreakBefore w:val="0"/>
              <w:kinsoku/>
              <w:wordWrap/>
              <w:overflowPunct/>
              <w:topLinePunct w:val="0"/>
              <w:autoSpaceDE/>
              <w:autoSpaceDN/>
              <w:bidi w:val="0"/>
              <w:spacing w:beforeAutospacing="0" w:afterAutospacing="0" w:line="360" w:lineRule="auto"/>
              <w:rPr>
                <w:rFonts w:ascii="仿宋" w:hAnsi="仿宋" w:eastAsia="仿宋"/>
                <w:color w:val="auto"/>
                <w:sz w:val="24"/>
                <w:szCs w:val="24"/>
                <w:highlight w:val="none"/>
              </w:rPr>
            </w:pPr>
          </w:p>
        </w:tc>
        <w:tc>
          <w:tcPr>
            <w:tcW w:w="767" w:type="dxa"/>
            <w:vMerge w:val="continue"/>
            <w:vAlign w:val="center"/>
          </w:tcPr>
          <w:p w14:paraId="2AB259C8">
            <w:pPr>
              <w:pageBreakBefore w:val="0"/>
              <w:kinsoku/>
              <w:wordWrap/>
              <w:overflowPunct/>
              <w:topLinePunct w:val="0"/>
              <w:autoSpaceDE/>
              <w:autoSpaceDN/>
              <w:bidi w:val="0"/>
              <w:spacing w:beforeAutospacing="0" w:afterAutospacing="0" w:line="360" w:lineRule="auto"/>
              <w:rPr>
                <w:rFonts w:ascii="仿宋" w:hAnsi="仿宋" w:eastAsia="仿宋"/>
                <w:color w:val="auto"/>
                <w:sz w:val="24"/>
                <w:szCs w:val="24"/>
                <w:highlight w:val="none"/>
              </w:rPr>
            </w:pPr>
          </w:p>
        </w:tc>
        <w:tc>
          <w:tcPr>
            <w:tcW w:w="1974" w:type="dxa"/>
            <w:vAlign w:val="center"/>
          </w:tcPr>
          <w:p w14:paraId="06769612">
            <w:pPr>
              <w:pageBreakBefore w:val="0"/>
              <w:kinsoku/>
              <w:wordWrap/>
              <w:overflowPunct/>
              <w:topLinePunct w:val="0"/>
              <w:autoSpaceDE/>
              <w:autoSpaceDN/>
              <w:bidi w:val="0"/>
              <w:snapToGrid w:val="0"/>
              <w:spacing w:beforeAutospacing="0" w:afterAutospacing="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采购人不能</w:t>
            </w:r>
          </w:p>
          <w:p w14:paraId="396F964A">
            <w:pPr>
              <w:pageBreakBefore w:val="0"/>
              <w:kinsoku/>
              <w:wordWrap/>
              <w:overflowPunct/>
              <w:topLinePunct w:val="0"/>
              <w:autoSpaceDE/>
              <w:autoSpaceDN/>
              <w:bidi w:val="0"/>
              <w:snapToGrid w:val="0"/>
              <w:spacing w:beforeAutospacing="0" w:afterAutospacing="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接受的条款</w:t>
            </w:r>
          </w:p>
        </w:tc>
        <w:tc>
          <w:tcPr>
            <w:tcW w:w="6652" w:type="dxa"/>
            <w:vAlign w:val="center"/>
          </w:tcPr>
          <w:p w14:paraId="23FA74DC">
            <w:pPr>
              <w:pageBreakBefore w:val="0"/>
              <w:kinsoku/>
              <w:wordWrap/>
              <w:overflowPunct/>
              <w:topLinePunct w:val="0"/>
              <w:autoSpaceDE/>
              <w:autoSpaceDN/>
              <w:bidi w:val="0"/>
              <w:snapToGrid w:val="0"/>
              <w:spacing w:beforeAutospacing="0" w:afterAutospacing="0" w:line="360" w:lineRule="auto"/>
              <w:jc w:val="both"/>
              <w:rPr>
                <w:rFonts w:ascii="仿宋" w:hAnsi="仿宋" w:eastAsia="仿宋"/>
                <w:color w:val="auto"/>
                <w:sz w:val="24"/>
                <w:szCs w:val="24"/>
                <w:highlight w:val="none"/>
              </w:rPr>
            </w:pPr>
            <w:r>
              <w:rPr>
                <w:rFonts w:hint="eastAsia" w:ascii="仿宋" w:hAnsi="仿宋" w:eastAsia="仿宋"/>
                <w:color w:val="auto"/>
                <w:sz w:val="24"/>
                <w:szCs w:val="24"/>
                <w:highlight w:val="none"/>
              </w:rPr>
              <w:t>投标文件没有采购人不能接受的条件。</w:t>
            </w:r>
          </w:p>
        </w:tc>
      </w:tr>
      <w:tr w14:paraId="5C1E6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07" w:type="dxa"/>
            <w:vMerge w:val="continue"/>
            <w:vAlign w:val="center"/>
          </w:tcPr>
          <w:p w14:paraId="53D77666">
            <w:pPr>
              <w:pageBreakBefore w:val="0"/>
              <w:kinsoku/>
              <w:wordWrap/>
              <w:overflowPunct/>
              <w:topLinePunct w:val="0"/>
              <w:autoSpaceDE/>
              <w:autoSpaceDN/>
              <w:bidi w:val="0"/>
              <w:spacing w:beforeAutospacing="0" w:afterAutospacing="0" w:line="360" w:lineRule="auto"/>
              <w:rPr>
                <w:rFonts w:ascii="仿宋" w:hAnsi="仿宋" w:eastAsia="仿宋"/>
                <w:color w:val="auto"/>
                <w:sz w:val="24"/>
                <w:szCs w:val="24"/>
                <w:highlight w:val="none"/>
              </w:rPr>
            </w:pPr>
          </w:p>
        </w:tc>
        <w:tc>
          <w:tcPr>
            <w:tcW w:w="767" w:type="dxa"/>
            <w:vMerge w:val="continue"/>
            <w:vAlign w:val="center"/>
          </w:tcPr>
          <w:p w14:paraId="1AA0E4B9">
            <w:pPr>
              <w:pageBreakBefore w:val="0"/>
              <w:kinsoku/>
              <w:wordWrap/>
              <w:overflowPunct/>
              <w:topLinePunct w:val="0"/>
              <w:autoSpaceDE/>
              <w:autoSpaceDN/>
              <w:bidi w:val="0"/>
              <w:spacing w:beforeAutospacing="0" w:afterAutospacing="0" w:line="360" w:lineRule="auto"/>
              <w:rPr>
                <w:rFonts w:ascii="仿宋" w:hAnsi="仿宋" w:eastAsia="仿宋"/>
                <w:color w:val="auto"/>
                <w:sz w:val="24"/>
                <w:szCs w:val="24"/>
                <w:highlight w:val="none"/>
              </w:rPr>
            </w:pPr>
          </w:p>
        </w:tc>
        <w:tc>
          <w:tcPr>
            <w:tcW w:w="1974" w:type="dxa"/>
            <w:vAlign w:val="center"/>
          </w:tcPr>
          <w:p w14:paraId="7CCAD69A">
            <w:pPr>
              <w:pageBreakBefore w:val="0"/>
              <w:kinsoku/>
              <w:wordWrap/>
              <w:overflowPunct/>
              <w:topLinePunct w:val="0"/>
              <w:autoSpaceDE/>
              <w:autoSpaceDN/>
              <w:bidi w:val="0"/>
              <w:snapToGrid w:val="0"/>
              <w:spacing w:beforeAutospacing="0" w:afterAutospacing="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投标人具备参加政府采购活动条件承诺书</w:t>
            </w:r>
          </w:p>
        </w:tc>
        <w:tc>
          <w:tcPr>
            <w:tcW w:w="6652" w:type="dxa"/>
            <w:vAlign w:val="center"/>
          </w:tcPr>
          <w:p w14:paraId="448D6466">
            <w:pPr>
              <w:pageBreakBefore w:val="0"/>
              <w:kinsoku/>
              <w:wordWrap/>
              <w:overflowPunct/>
              <w:topLinePunct w:val="0"/>
              <w:autoSpaceDE/>
              <w:autoSpaceDN/>
              <w:bidi w:val="0"/>
              <w:snapToGrid w:val="0"/>
              <w:spacing w:beforeAutospacing="0" w:afterAutospacing="0" w:line="360" w:lineRule="auto"/>
              <w:jc w:val="both"/>
              <w:rPr>
                <w:rFonts w:ascii="仿宋" w:hAnsi="仿宋" w:eastAsia="仿宋"/>
                <w:color w:val="auto"/>
                <w:sz w:val="24"/>
                <w:szCs w:val="24"/>
                <w:highlight w:val="none"/>
              </w:rPr>
            </w:pPr>
            <w:r>
              <w:rPr>
                <w:rFonts w:hint="eastAsia" w:ascii="仿宋" w:hAnsi="仿宋" w:eastAsia="仿宋"/>
                <w:color w:val="auto"/>
                <w:sz w:val="24"/>
                <w:szCs w:val="24"/>
                <w:highlight w:val="none"/>
              </w:rPr>
              <w:t>投标文件附有投标人具备参加政府采购活动条件承诺书。</w:t>
            </w:r>
          </w:p>
        </w:tc>
      </w:tr>
      <w:tr w14:paraId="03BCD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807" w:type="dxa"/>
            <w:vMerge w:val="continue"/>
            <w:vAlign w:val="center"/>
          </w:tcPr>
          <w:p w14:paraId="69101BE7">
            <w:pPr>
              <w:pageBreakBefore w:val="0"/>
              <w:kinsoku/>
              <w:wordWrap/>
              <w:overflowPunct/>
              <w:topLinePunct w:val="0"/>
              <w:autoSpaceDE/>
              <w:autoSpaceDN/>
              <w:bidi w:val="0"/>
              <w:spacing w:beforeAutospacing="0" w:afterAutospacing="0" w:line="360" w:lineRule="auto"/>
              <w:rPr>
                <w:rFonts w:ascii="仿宋" w:hAnsi="仿宋" w:eastAsia="仿宋"/>
                <w:color w:val="auto"/>
                <w:sz w:val="24"/>
                <w:szCs w:val="24"/>
                <w:highlight w:val="none"/>
              </w:rPr>
            </w:pPr>
          </w:p>
        </w:tc>
        <w:tc>
          <w:tcPr>
            <w:tcW w:w="767" w:type="dxa"/>
            <w:vMerge w:val="continue"/>
            <w:vAlign w:val="center"/>
          </w:tcPr>
          <w:p w14:paraId="43B39771">
            <w:pPr>
              <w:pageBreakBefore w:val="0"/>
              <w:kinsoku/>
              <w:wordWrap/>
              <w:overflowPunct/>
              <w:topLinePunct w:val="0"/>
              <w:autoSpaceDE/>
              <w:autoSpaceDN/>
              <w:bidi w:val="0"/>
              <w:spacing w:beforeAutospacing="0" w:afterAutospacing="0" w:line="360" w:lineRule="auto"/>
              <w:rPr>
                <w:rFonts w:ascii="仿宋" w:hAnsi="仿宋" w:eastAsia="仿宋"/>
                <w:color w:val="auto"/>
                <w:sz w:val="24"/>
                <w:szCs w:val="24"/>
                <w:highlight w:val="none"/>
              </w:rPr>
            </w:pPr>
          </w:p>
        </w:tc>
        <w:tc>
          <w:tcPr>
            <w:tcW w:w="1974" w:type="dxa"/>
            <w:vAlign w:val="center"/>
          </w:tcPr>
          <w:p w14:paraId="6F858C41">
            <w:pPr>
              <w:pageBreakBefore w:val="0"/>
              <w:kinsoku/>
              <w:wordWrap/>
              <w:overflowPunct/>
              <w:topLinePunct w:val="0"/>
              <w:autoSpaceDE/>
              <w:autoSpaceDN/>
              <w:bidi w:val="0"/>
              <w:snapToGrid w:val="0"/>
              <w:spacing w:beforeAutospacing="0" w:afterAutospacing="0" w:line="360" w:lineRule="auto"/>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其他实质性</w:t>
            </w:r>
          </w:p>
          <w:p w14:paraId="3509DBF8">
            <w:pPr>
              <w:pageBreakBefore w:val="0"/>
              <w:kinsoku/>
              <w:wordWrap/>
              <w:overflowPunct/>
              <w:topLinePunct w:val="0"/>
              <w:autoSpaceDE/>
              <w:autoSpaceDN/>
              <w:bidi w:val="0"/>
              <w:snapToGrid w:val="0"/>
              <w:spacing w:beforeAutospacing="0" w:afterAutospacing="0" w:line="360" w:lineRule="auto"/>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要求</w:t>
            </w:r>
          </w:p>
        </w:tc>
        <w:tc>
          <w:tcPr>
            <w:tcW w:w="6652" w:type="dxa"/>
            <w:vAlign w:val="center"/>
          </w:tcPr>
          <w:p w14:paraId="5FA91FB1">
            <w:pPr>
              <w:pageBreakBefore w:val="0"/>
              <w:kinsoku/>
              <w:wordWrap/>
              <w:overflowPunct/>
              <w:topLinePunct w:val="0"/>
              <w:autoSpaceDE/>
              <w:autoSpaceDN/>
              <w:bidi w:val="0"/>
              <w:snapToGrid w:val="0"/>
              <w:spacing w:beforeAutospacing="0" w:afterAutospacing="0" w:line="360" w:lineRule="auto"/>
              <w:jc w:val="both"/>
              <w:rPr>
                <w:rFonts w:ascii="仿宋" w:hAnsi="仿宋" w:eastAsia="仿宋"/>
                <w:color w:val="auto"/>
                <w:sz w:val="24"/>
                <w:szCs w:val="24"/>
                <w:highlight w:val="none"/>
              </w:rPr>
            </w:pPr>
            <w:r>
              <w:rPr>
                <w:rFonts w:hint="eastAsia" w:ascii="仿宋" w:hAnsi="仿宋" w:eastAsia="仿宋"/>
                <w:color w:val="auto"/>
                <w:sz w:val="24"/>
                <w:szCs w:val="24"/>
                <w:highlight w:val="none"/>
              </w:rPr>
              <w:t>未出现不符合法律、法规和招标文件中规定的其他实质性要求。</w:t>
            </w:r>
          </w:p>
        </w:tc>
      </w:tr>
    </w:tbl>
    <w:p w14:paraId="2FFC18B7">
      <w:pPr>
        <w:pageBreakBefore w:val="0"/>
        <w:kinsoku/>
        <w:wordWrap/>
        <w:overflowPunct/>
        <w:topLinePunct w:val="0"/>
        <w:autoSpaceDE/>
        <w:autoSpaceDN/>
        <w:bidi w:val="0"/>
        <w:spacing w:beforeAutospacing="0" w:afterAutospacing="0"/>
        <w:rPr>
          <w:color w:val="auto"/>
          <w:highlight w:val="none"/>
        </w:rPr>
      </w:pPr>
    </w:p>
    <w:bookmarkEnd w:id="721"/>
    <w:bookmarkEnd w:id="722"/>
    <w:bookmarkEnd w:id="723"/>
    <w:bookmarkEnd w:id="724"/>
    <w:tbl>
      <w:tblPr>
        <w:tblStyle w:val="41"/>
        <w:tblW w:w="1031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94"/>
        <w:gridCol w:w="1427"/>
        <w:gridCol w:w="1329"/>
        <w:gridCol w:w="6561"/>
      </w:tblGrid>
      <w:tr w14:paraId="5ABAE2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4" w:type="dxa"/>
            <w:shd w:val="clear" w:color="auto" w:fill="F7CAAC" w:themeFill="accent2" w:themeFillTint="66"/>
            <w:vAlign w:val="center"/>
          </w:tcPr>
          <w:p w14:paraId="69F482E4">
            <w:pPr>
              <w:pageBreakBefore w:val="0"/>
              <w:kinsoku/>
              <w:wordWrap/>
              <w:overflowPunct/>
              <w:topLinePunct w:val="0"/>
              <w:autoSpaceDE/>
              <w:autoSpaceDN/>
              <w:bidi w:val="0"/>
              <w:spacing w:beforeAutospacing="0" w:afterAutospacing="0" w:line="240" w:lineRule="auto"/>
              <w:jc w:val="center"/>
              <w:rPr>
                <w:rFonts w:ascii="仿宋" w:hAnsi="仿宋" w:eastAsia="仿宋" w:cs="宋体"/>
                <w:b/>
                <w:color w:val="auto"/>
                <w:sz w:val="24"/>
                <w:szCs w:val="24"/>
                <w:highlight w:val="none"/>
              </w:rPr>
            </w:pPr>
            <w:bookmarkStart w:id="725" w:name="_Toc54878355"/>
            <w:r>
              <w:rPr>
                <w:rFonts w:hint="eastAsia" w:ascii="仿宋" w:hAnsi="仿宋" w:eastAsia="仿宋" w:cs="宋体"/>
                <w:b/>
                <w:color w:val="auto"/>
                <w:sz w:val="24"/>
                <w:szCs w:val="24"/>
                <w:highlight w:val="none"/>
              </w:rPr>
              <w:t>条款号</w:t>
            </w:r>
          </w:p>
        </w:tc>
        <w:tc>
          <w:tcPr>
            <w:tcW w:w="1427" w:type="dxa"/>
            <w:shd w:val="clear" w:color="auto" w:fill="F7CAAC" w:themeFill="accent2" w:themeFillTint="66"/>
            <w:vAlign w:val="center"/>
          </w:tcPr>
          <w:p w14:paraId="4B7A2CAD">
            <w:pPr>
              <w:pageBreakBefore w:val="0"/>
              <w:kinsoku/>
              <w:wordWrap/>
              <w:overflowPunct/>
              <w:topLinePunct w:val="0"/>
              <w:autoSpaceDE/>
              <w:autoSpaceDN/>
              <w:bidi w:val="0"/>
              <w:spacing w:beforeAutospacing="0" w:afterAutospacing="0" w:line="240" w:lineRule="auto"/>
              <w:jc w:val="center"/>
              <w:rPr>
                <w:rFonts w:ascii="仿宋" w:hAnsi="仿宋" w:eastAsia="仿宋" w:cs="宋体"/>
                <w:b/>
                <w:color w:val="auto"/>
                <w:sz w:val="24"/>
                <w:szCs w:val="24"/>
                <w:highlight w:val="none"/>
              </w:rPr>
            </w:pPr>
            <w:r>
              <w:rPr>
                <w:rFonts w:hint="eastAsia" w:ascii="仿宋" w:hAnsi="仿宋" w:eastAsia="仿宋" w:cs="宋体"/>
                <w:b/>
                <w:color w:val="auto"/>
                <w:sz w:val="24"/>
                <w:szCs w:val="24"/>
                <w:highlight w:val="none"/>
              </w:rPr>
              <w:t>评分</w:t>
            </w:r>
          </w:p>
        </w:tc>
        <w:tc>
          <w:tcPr>
            <w:tcW w:w="7890" w:type="dxa"/>
            <w:gridSpan w:val="2"/>
            <w:shd w:val="clear" w:color="auto" w:fill="F7CAAC" w:themeFill="accent2" w:themeFillTint="66"/>
            <w:vAlign w:val="center"/>
          </w:tcPr>
          <w:p w14:paraId="44B35D94">
            <w:pPr>
              <w:pageBreakBefore w:val="0"/>
              <w:kinsoku/>
              <w:wordWrap/>
              <w:overflowPunct/>
              <w:topLinePunct w:val="0"/>
              <w:autoSpaceDE/>
              <w:autoSpaceDN/>
              <w:bidi w:val="0"/>
              <w:spacing w:beforeAutospacing="0" w:afterAutospacing="0" w:line="240" w:lineRule="auto"/>
              <w:jc w:val="center"/>
              <w:rPr>
                <w:rFonts w:ascii="仿宋" w:hAnsi="仿宋" w:eastAsia="仿宋" w:cs="宋体"/>
                <w:b/>
                <w:color w:val="auto"/>
                <w:sz w:val="24"/>
                <w:szCs w:val="24"/>
                <w:highlight w:val="none"/>
              </w:rPr>
            </w:pPr>
            <w:r>
              <w:rPr>
                <w:rFonts w:hint="eastAsia" w:ascii="仿宋" w:hAnsi="仿宋" w:eastAsia="仿宋" w:cs="宋体"/>
                <w:b/>
                <w:color w:val="auto"/>
                <w:sz w:val="24"/>
                <w:szCs w:val="24"/>
                <w:highlight w:val="none"/>
              </w:rPr>
              <w:t>评分标准</w:t>
            </w:r>
          </w:p>
        </w:tc>
      </w:tr>
      <w:tr w14:paraId="3250A5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94" w:type="dxa"/>
            <w:tcBorders>
              <w:right w:val="single" w:color="auto" w:sz="4" w:space="0"/>
            </w:tcBorders>
            <w:vAlign w:val="center"/>
          </w:tcPr>
          <w:p w14:paraId="3F42AE58">
            <w:pPr>
              <w:pageBreakBefore w:val="0"/>
              <w:kinsoku/>
              <w:wordWrap/>
              <w:overflowPunct/>
              <w:topLinePunct w:val="0"/>
              <w:autoSpaceDE/>
              <w:autoSpaceDN/>
              <w:bidi w:val="0"/>
              <w:spacing w:beforeAutospacing="0" w:afterAutospacing="0" w:line="360" w:lineRule="auto"/>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2</w:t>
            </w:r>
            <w:r>
              <w:rPr>
                <w:rFonts w:ascii="仿宋" w:hAnsi="仿宋" w:eastAsia="仿宋"/>
                <w:color w:val="auto"/>
                <w:sz w:val="24"/>
                <w:szCs w:val="24"/>
                <w:highlight w:val="none"/>
              </w:rPr>
              <w:t>.1.3</w:t>
            </w:r>
          </w:p>
        </w:tc>
        <w:tc>
          <w:tcPr>
            <w:tcW w:w="1427" w:type="dxa"/>
            <w:tcBorders>
              <w:left w:val="single" w:color="auto" w:sz="4" w:space="0"/>
              <w:bottom w:val="single" w:color="auto" w:sz="4" w:space="0"/>
            </w:tcBorders>
            <w:vAlign w:val="center"/>
          </w:tcPr>
          <w:p w14:paraId="38B4CAAF">
            <w:pPr>
              <w:pageBreakBefore w:val="0"/>
              <w:kinsoku/>
              <w:wordWrap/>
              <w:overflowPunct/>
              <w:topLinePunct w:val="0"/>
              <w:autoSpaceDE/>
              <w:autoSpaceDN/>
              <w:bidi w:val="0"/>
              <w:spacing w:beforeAutospacing="0" w:afterAutospacing="0" w:line="360" w:lineRule="auto"/>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评分权重</w:t>
            </w:r>
          </w:p>
        </w:tc>
        <w:tc>
          <w:tcPr>
            <w:tcW w:w="7890" w:type="dxa"/>
            <w:gridSpan w:val="2"/>
            <w:vAlign w:val="center"/>
          </w:tcPr>
          <w:p w14:paraId="153D648B">
            <w:pPr>
              <w:pageBreakBefore w:val="0"/>
              <w:kinsoku/>
              <w:wordWrap/>
              <w:overflowPunct/>
              <w:topLinePunct w:val="0"/>
              <w:autoSpaceDE/>
              <w:autoSpaceDN/>
              <w:bidi w:val="0"/>
              <w:spacing w:beforeAutospacing="0" w:afterAutospacing="0" w:line="360" w:lineRule="auto"/>
              <w:rPr>
                <w:rFonts w:ascii="仿宋" w:hAnsi="仿宋" w:eastAsia="仿宋"/>
                <w:color w:val="auto"/>
                <w:sz w:val="24"/>
                <w:szCs w:val="24"/>
                <w:highlight w:val="none"/>
              </w:rPr>
            </w:pPr>
            <w:r>
              <w:rPr>
                <w:rFonts w:hint="eastAsia" w:ascii="仿宋" w:hAnsi="仿宋" w:eastAsia="仿宋"/>
                <w:color w:val="auto"/>
                <w:sz w:val="24"/>
                <w:szCs w:val="24"/>
                <w:highlight w:val="none"/>
              </w:rPr>
              <w:t>报价部分F1：</w:t>
            </w:r>
            <w:r>
              <w:rPr>
                <w:rFonts w:hint="eastAsia" w:ascii="仿宋" w:hAnsi="仿宋" w:eastAsia="仿宋"/>
                <w:color w:val="auto"/>
                <w:sz w:val="24"/>
                <w:szCs w:val="24"/>
                <w:highlight w:val="none"/>
                <w:lang w:val="en-US" w:eastAsia="zh-CN"/>
              </w:rPr>
              <w:t>30</w:t>
            </w:r>
            <w:r>
              <w:rPr>
                <w:rFonts w:hint="eastAsia" w:ascii="仿宋" w:hAnsi="仿宋" w:eastAsia="仿宋"/>
                <w:color w:val="auto"/>
                <w:sz w:val="24"/>
                <w:szCs w:val="24"/>
                <w:highlight w:val="none"/>
              </w:rPr>
              <w:t>分。</w:t>
            </w:r>
          </w:p>
          <w:p w14:paraId="1E0EC960">
            <w:pPr>
              <w:pageBreakBefore w:val="0"/>
              <w:kinsoku/>
              <w:wordWrap/>
              <w:overflowPunct/>
              <w:topLinePunct w:val="0"/>
              <w:autoSpaceDE/>
              <w:autoSpaceDN/>
              <w:bidi w:val="0"/>
              <w:spacing w:beforeAutospacing="0" w:afterAutospacing="0" w:line="360" w:lineRule="auto"/>
              <w:rPr>
                <w:rFonts w:ascii="仿宋" w:hAnsi="仿宋" w:eastAsia="仿宋"/>
                <w:color w:val="auto"/>
                <w:sz w:val="24"/>
                <w:szCs w:val="24"/>
                <w:highlight w:val="none"/>
              </w:rPr>
            </w:pPr>
            <w:r>
              <w:rPr>
                <w:rFonts w:hint="eastAsia" w:ascii="仿宋" w:hAnsi="仿宋" w:eastAsia="仿宋"/>
                <w:color w:val="auto"/>
                <w:sz w:val="24"/>
                <w:szCs w:val="24"/>
                <w:highlight w:val="none"/>
              </w:rPr>
              <w:t>技术部分F2：</w:t>
            </w:r>
            <w:r>
              <w:rPr>
                <w:rFonts w:hint="eastAsia" w:ascii="仿宋" w:hAnsi="仿宋" w:eastAsia="仿宋"/>
                <w:color w:val="auto"/>
                <w:sz w:val="24"/>
                <w:szCs w:val="24"/>
                <w:highlight w:val="none"/>
                <w:lang w:val="en-US" w:eastAsia="zh-CN"/>
              </w:rPr>
              <w:t>65</w:t>
            </w:r>
            <w:r>
              <w:rPr>
                <w:rFonts w:hint="eastAsia" w:ascii="仿宋" w:hAnsi="仿宋" w:eastAsia="仿宋"/>
                <w:color w:val="auto"/>
                <w:sz w:val="24"/>
                <w:szCs w:val="24"/>
                <w:highlight w:val="none"/>
              </w:rPr>
              <w:t>分。</w:t>
            </w:r>
          </w:p>
          <w:p w14:paraId="6F449952">
            <w:pPr>
              <w:pageBreakBefore w:val="0"/>
              <w:kinsoku/>
              <w:wordWrap/>
              <w:overflowPunct/>
              <w:topLinePunct w:val="0"/>
              <w:autoSpaceDE/>
              <w:autoSpaceDN/>
              <w:bidi w:val="0"/>
              <w:spacing w:beforeAutospacing="0" w:afterAutospacing="0" w:line="360" w:lineRule="auto"/>
              <w:rPr>
                <w:rFonts w:ascii="仿宋" w:hAnsi="仿宋" w:eastAsia="仿宋"/>
                <w:color w:val="auto"/>
                <w:sz w:val="24"/>
                <w:szCs w:val="24"/>
                <w:highlight w:val="none"/>
              </w:rPr>
            </w:pPr>
            <w:r>
              <w:rPr>
                <w:rFonts w:hint="eastAsia" w:ascii="仿宋" w:hAnsi="仿宋" w:eastAsia="仿宋"/>
                <w:color w:val="auto"/>
                <w:sz w:val="24"/>
                <w:szCs w:val="24"/>
                <w:highlight w:val="none"/>
              </w:rPr>
              <w:t>商务部分F3：</w:t>
            </w:r>
            <w:r>
              <w:rPr>
                <w:rFonts w:hint="eastAsia" w:ascii="仿宋" w:hAnsi="仿宋" w:eastAsia="仿宋"/>
                <w:color w:val="auto"/>
                <w:sz w:val="24"/>
                <w:szCs w:val="24"/>
                <w:highlight w:val="none"/>
                <w:lang w:val="en-US" w:eastAsia="zh-CN"/>
              </w:rPr>
              <w:t>5</w:t>
            </w:r>
            <w:r>
              <w:rPr>
                <w:rFonts w:hint="eastAsia" w:ascii="仿宋" w:hAnsi="仿宋" w:eastAsia="仿宋"/>
                <w:color w:val="auto"/>
                <w:sz w:val="24"/>
                <w:szCs w:val="24"/>
                <w:highlight w:val="none"/>
              </w:rPr>
              <w:t>分。</w:t>
            </w:r>
          </w:p>
        </w:tc>
      </w:tr>
      <w:tr w14:paraId="01EEC0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94" w:type="dxa"/>
            <w:tcBorders>
              <w:right w:val="single" w:color="auto" w:sz="4" w:space="0"/>
            </w:tcBorders>
            <w:vAlign w:val="center"/>
          </w:tcPr>
          <w:p w14:paraId="25663D12">
            <w:pPr>
              <w:pageBreakBefore w:val="0"/>
              <w:kinsoku/>
              <w:wordWrap/>
              <w:overflowPunct/>
              <w:topLinePunct w:val="0"/>
              <w:autoSpaceDE/>
              <w:autoSpaceDN/>
              <w:bidi w:val="0"/>
              <w:spacing w:beforeAutospacing="0" w:afterAutospacing="0" w:line="360" w:lineRule="auto"/>
              <w:jc w:val="center"/>
              <w:rPr>
                <w:rFonts w:ascii="仿宋" w:hAnsi="仿宋" w:eastAsia="仿宋"/>
                <w:b/>
                <w:bCs w:val="0"/>
                <w:color w:val="auto"/>
                <w:sz w:val="24"/>
                <w:szCs w:val="24"/>
                <w:highlight w:val="none"/>
              </w:rPr>
            </w:pPr>
            <w:r>
              <w:rPr>
                <w:rFonts w:hint="eastAsia" w:ascii="仿宋" w:hAnsi="仿宋" w:eastAsia="仿宋"/>
                <w:b/>
                <w:bCs w:val="0"/>
                <w:color w:val="auto"/>
                <w:sz w:val="24"/>
                <w:szCs w:val="24"/>
                <w:highlight w:val="none"/>
              </w:rPr>
              <w:t>2</w:t>
            </w:r>
            <w:r>
              <w:rPr>
                <w:rFonts w:ascii="仿宋" w:hAnsi="仿宋" w:eastAsia="仿宋"/>
                <w:b/>
                <w:bCs w:val="0"/>
                <w:color w:val="auto"/>
                <w:sz w:val="24"/>
                <w:szCs w:val="24"/>
                <w:highlight w:val="none"/>
              </w:rPr>
              <w:t>.1.4</w:t>
            </w:r>
          </w:p>
        </w:tc>
        <w:tc>
          <w:tcPr>
            <w:tcW w:w="1427" w:type="dxa"/>
            <w:tcBorders>
              <w:top w:val="single" w:color="auto" w:sz="4" w:space="0"/>
              <w:left w:val="single" w:color="auto" w:sz="4" w:space="0"/>
            </w:tcBorders>
            <w:vAlign w:val="center"/>
          </w:tcPr>
          <w:p w14:paraId="5F9C2F5C">
            <w:pPr>
              <w:pageBreakBefore w:val="0"/>
              <w:kinsoku/>
              <w:wordWrap/>
              <w:overflowPunct/>
              <w:topLinePunct w:val="0"/>
              <w:autoSpaceDE/>
              <w:autoSpaceDN/>
              <w:bidi w:val="0"/>
              <w:spacing w:beforeAutospacing="0" w:afterAutospacing="0" w:line="360" w:lineRule="auto"/>
              <w:jc w:val="center"/>
              <w:rPr>
                <w:rFonts w:ascii="仿宋" w:hAnsi="仿宋" w:eastAsia="仿宋"/>
                <w:b/>
                <w:bCs w:val="0"/>
                <w:color w:val="auto"/>
                <w:sz w:val="24"/>
                <w:szCs w:val="24"/>
                <w:highlight w:val="none"/>
              </w:rPr>
            </w:pPr>
            <w:r>
              <w:rPr>
                <w:rFonts w:hint="eastAsia" w:ascii="仿宋" w:hAnsi="仿宋" w:eastAsia="仿宋"/>
                <w:b/>
                <w:bCs w:val="0"/>
                <w:color w:val="auto"/>
                <w:sz w:val="24"/>
                <w:szCs w:val="24"/>
                <w:highlight w:val="none"/>
              </w:rPr>
              <w:t>评标总得分计算公式</w:t>
            </w:r>
          </w:p>
        </w:tc>
        <w:tc>
          <w:tcPr>
            <w:tcW w:w="7890" w:type="dxa"/>
            <w:gridSpan w:val="2"/>
            <w:vAlign w:val="center"/>
          </w:tcPr>
          <w:p w14:paraId="43E378E8">
            <w:pPr>
              <w:pageBreakBefore w:val="0"/>
              <w:kinsoku/>
              <w:wordWrap/>
              <w:overflowPunct/>
              <w:topLinePunct w:val="0"/>
              <w:autoSpaceDE/>
              <w:autoSpaceDN/>
              <w:bidi w:val="0"/>
              <w:spacing w:beforeAutospacing="0" w:afterAutospacing="0" w:line="360" w:lineRule="auto"/>
              <w:rPr>
                <w:rFonts w:ascii="仿宋" w:hAnsi="仿宋" w:eastAsia="仿宋"/>
                <w:color w:val="auto"/>
                <w:sz w:val="24"/>
                <w:szCs w:val="24"/>
                <w:highlight w:val="none"/>
              </w:rPr>
            </w:pPr>
            <w:r>
              <w:rPr>
                <w:rFonts w:ascii="仿宋" w:hAnsi="仿宋" w:eastAsia="仿宋"/>
                <w:color w:val="auto"/>
                <w:sz w:val="24"/>
                <w:szCs w:val="24"/>
                <w:highlight w:val="none"/>
              </w:rPr>
              <w:t>投标人的评标总得分＝F1＋F2＋F3</w:t>
            </w:r>
            <w:r>
              <w:rPr>
                <w:rFonts w:hint="eastAsia" w:ascii="仿宋" w:hAnsi="仿宋" w:eastAsia="仿宋"/>
                <w:color w:val="auto"/>
                <w:sz w:val="24"/>
                <w:szCs w:val="24"/>
                <w:highlight w:val="none"/>
              </w:rPr>
              <w:t>。</w:t>
            </w:r>
          </w:p>
          <w:p w14:paraId="6991251D">
            <w:pPr>
              <w:pageBreakBefore w:val="0"/>
              <w:kinsoku/>
              <w:wordWrap/>
              <w:overflowPunct/>
              <w:topLinePunct w:val="0"/>
              <w:autoSpaceDE/>
              <w:autoSpaceDN/>
              <w:bidi w:val="0"/>
              <w:spacing w:beforeAutospacing="0" w:afterAutospacing="0" w:line="360" w:lineRule="auto"/>
              <w:rPr>
                <w:rFonts w:ascii="仿宋" w:hAnsi="仿宋" w:eastAsia="仿宋"/>
                <w:color w:val="auto"/>
                <w:sz w:val="24"/>
                <w:szCs w:val="24"/>
                <w:highlight w:val="none"/>
              </w:rPr>
            </w:pPr>
            <w:r>
              <w:rPr>
                <w:rFonts w:ascii="仿宋" w:hAnsi="仿宋" w:eastAsia="仿宋"/>
                <w:color w:val="auto"/>
                <w:sz w:val="24"/>
                <w:szCs w:val="24"/>
                <w:highlight w:val="none"/>
              </w:rPr>
              <w:t>其中：</w:t>
            </w:r>
          </w:p>
          <w:p w14:paraId="31195AEA">
            <w:pPr>
              <w:pageBreakBefore w:val="0"/>
              <w:kinsoku/>
              <w:wordWrap/>
              <w:overflowPunct/>
              <w:topLinePunct w:val="0"/>
              <w:autoSpaceDE/>
              <w:autoSpaceDN/>
              <w:bidi w:val="0"/>
              <w:spacing w:beforeAutospacing="0" w:afterAutospacing="0" w:line="360" w:lineRule="auto"/>
              <w:rPr>
                <w:rFonts w:ascii="仿宋" w:hAnsi="仿宋" w:eastAsia="仿宋"/>
                <w:color w:val="auto"/>
                <w:sz w:val="24"/>
                <w:szCs w:val="24"/>
                <w:highlight w:val="none"/>
              </w:rPr>
            </w:pPr>
            <w:r>
              <w:rPr>
                <w:rFonts w:ascii="仿宋" w:hAnsi="仿宋" w:eastAsia="仿宋"/>
                <w:color w:val="auto"/>
                <w:sz w:val="24"/>
                <w:szCs w:val="24"/>
                <w:highlight w:val="none"/>
              </w:rPr>
              <w:t>①F1、F2、F3分别为投标报价、技术部分、商务部分3项评分的汇总得分；</w:t>
            </w:r>
          </w:p>
        </w:tc>
      </w:tr>
      <w:tr w14:paraId="0C3B28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94" w:type="dxa"/>
            <w:tcBorders>
              <w:right w:val="single" w:color="auto" w:sz="4" w:space="0"/>
            </w:tcBorders>
            <w:vAlign w:val="center"/>
          </w:tcPr>
          <w:p w14:paraId="2374A24F">
            <w:pPr>
              <w:pageBreakBefore w:val="0"/>
              <w:kinsoku/>
              <w:wordWrap/>
              <w:overflowPunct/>
              <w:topLinePunct w:val="0"/>
              <w:autoSpaceDE/>
              <w:autoSpaceDN/>
              <w:bidi w:val="0"/>
              <w:spacing w:beforeAutospacing="0" w:afterAutospacing="0" w:line="360" w:lineRule="auto"/>
              <w:jc w:val="center"/>
              <w:rPr>
                <w:rFonts w:ascii="仿宋" w:hAnsi="仿宋" w:eastAsia="仿宋"/>
                <w:b/>
                <w:bCs w:val="0"/>
                <w:color w:val="auto"/>
                <w:sz w:val="24"/>
                <w:szCs w:val="24"/>
                <w:highlight w:val="none"/>
              </w:rPr>
            </w:pPr>
            <w:r>
              <w:rPr>
                <w:rFonts w:ascii="仿宋" w:hAnsi="仿宋" w:eastAsia="仿宋"/>
                <w:b/>
                <w:bCs w:val="0"/>
                <w:color w:val="auto"/>
                <w:sz w:val="24"/>
                <w:szCs w:val="24"/>
                <w:highlight w:val="none"/>
              </w:rPr>
              <w:t>2.1.5</w:t>
            </w:r>
          </w:p>
        </w:tc>
        <w:tc>
          <w:tcPr>
            <w:tcW w:w="1427" w:type="dxa"/>
            <w:tcBorders>
              <w:left w:val="single" w:color="auto" w:sz="4" w:space="0"/>
            </w:tcBorders>
            <w:vAlign w:val="center"/>
          </w:tcPr>
          <w:p w14:paraId="2C7B87C1">
            <w:pPr>
              <w:pageBreakBefore w:val="0"/>
              <w:kinsoku/>
              <w:wordWrap/>
              <w:overflowPunct/>
              <w:topLinePunct w:val="0"/>
              <w:autoSpaceDE/>
              <w:autoSpaceDN/>
              <w:bidi w:val="0"/>
              <w:spacing w:beforeAutospacing="0" w:afterAutospacing="0" w:line="360" w:lineRule="auto"/>
              <w:jc w:val="center"/>
              <w:rPr>
                <w:rFonts w:ascii="仿宋" w:hAnsi="仿宋" w:eastAsia="仿宋"/>
                <w:b/>
                <w:bCs w:val="0"/>
                <w:color w:val="auto"/>
                <w:sz w:val="24"/>
                <w:szCs w:val="24"/>
                <w:highlight w:val="none"/>
              </w:rPr>
            </w:pPr>
            <w:r>
              <w:rPr>
                <w:rFonts w:hint="eastAsia" w:ascii="仿宋" w:hAnsi="仿宋" w:eastAsia="仿宋"/>
                <w:b/>
                <w:bCs w:val="0"/>
                <w:color w:val="auto"/>
                <w:sz w:val="24"/>
                <w:szCs w:val="24"/>
                <w:highlight w:val="none"/>
              </w:rPr>
              <w:t>报价部分得分F1（满分</w:t>
            </w:r>
            <w:r>
              <w:rPr>
                <w:rFonts w:hint="eastAsia" w:ascii="仿宋" w:hAnsi="仿宋" w:eastAsia="仿宋"/>
                <w:b/>
                <w:bCs w:val="0"/>
                <w:color w:val="auto"/>
                <w:sz w:val="24"/>
                <w:szCs w:val="24"/>
                <w:highlight w:val="none"/>
                <w:lang w:val="en-US" w:eastAsia="zh-CN"/>
              </w:rPr>
              <w:t>30</w:t>
            </w:r>
            <w:r>
              <w:rPr>
                <w:rFonts w:hint="eastAsia" w:ascii="仿宋" w:hAnsi="仿宋" w:eastAsia="仿宋"/>
                <w:b/>
                <w:bCs w:val="0"/>
                <w:color w:val="auto"/>
                <w:sz w:val="24"/>
                <w:szCs w:val="24"/>
                <w:highlight w:val="none"/>
              </w:rPr>
              <w:t>分）</w:t>
            </w:r>
          </w:p>
        </w:tc>
        <w:tc>
          <w:tcPr>
            <w:tcW w:w="7890" w:type="dxa"/>
            <w:gridSpan w:val="2"/>
            <w:vAlign w:val="center"/>
          </w:tcPr>
          <w:p w14:paraId="12760688">
            <w:pPr>
              <w:spacing w:line="360" w:lineRule="auto"/>
              <w:rPr>
                <w:rFonts w:ascii="仿宋" w:hAnsi="仿宋" w:eastAsia="仿宋"/>
                <w:color w:val="auto"/>
                <w:sz w:val="24"/>
                <w:szCs w:val="24"/>
                <w:highlight w:val="none"/>
              </w:rPr>
            </w:pPr>
            <w:r>
              <w:rPr>
                <w:rFonts w:hint="eastAsia" w:ascii="仿宋" w:hAnsi="仿宋" w:eastAsia="仿宋"/>
                <w:color w:val="auto"/>
                <w:sz w:val="24"/>
                <w:szCs w:val="24"/>
                <w:highlight w:val="none"/>
              </w:rPr>
              <w:t>1.评标基准价：满足招标文件要求且投标总价最低的有效投标报价；</w:t>
            </w:r>
          </w:p>
          <w:p w14:paraId="65D36954">
            <w:pPr>
              <w:spacing w:line="360" w:lineRule="auto"/>
              <w:rPr>
                <w:rFonts w:ascii="仿宋" w:hAnsi="仿宋" w:eastAsia="仿宋"/>
                <w:color w:val="auto"/>
                <w:sz w:val="24"/>
                <w:szCs w:val="24"/>
                <w:highlight w:val="none"/>
              </w:rPr>
            </w:pPr>
            <w:r>
              <w:rPr>
                <w:rFonts w:hint="eastAsia" w:ascii="仿宋" w:hAnsi="仿宋" w:eastAsia="仿宋"/>
                <w:color w:val="auto"/>
                <w:sz w:val="24"/>
                <w:szCs w:val="24"/>
                <w:highlight w:val="none"/>
              </w:rPr>
              <w:t>2.得分计算：满足招标文件要求且投标总价最低的有效投标报价，其报价分为满分。其他投标人的报价得分统一按照下列公式计算：</w:t>
            </w:r>
          </w:p>
          <w:p w14:paraId="5380D171">
            <w:pPr>
              <w:spacing w:line="360" w:lineRule="auto"/>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rPr>
              <w:t>即：F1=[C/（B1，B2，…，Bn）]×</w:t>
            </w:r>
            <w:r>
              <w:rPr>
                <w:rFonts w:hint="eastAsia" w:ascii="仿宋" w:hAnsi="仿宋" w:eastAsia="仿宋"/>
                <w:color w:val="auto"/>
                <w:sz w:val="24"/>
                <w:szCs w:val="24"/>
                <w:highlight w:val="none"/>
                <w:lang w:val="en-US" w:eastAsia="zh-CN"/>
              </w:rPr>
              <w:t>30</w:t>
            </w:r>
          </w:p>
          <w:p w14:paraId="5C674E93">
            <w:pPr>
              <w:spacing w:line="360" w:lineRule="auto"/>
              <w:rPr>
                <w:rFonts w:ascii="仿宋" w:hAnsi="仿宋" w:eastAsia="仿宋"/>
                <w:color w:val="auto"/>
                <w:sz w:val="24"/>
                <w:szCs w:val="24"/>
                <w:highlight w:val="none"/>
              </w:rPr>
            </w:pPr>
            <w:r>
              <w:rPr>
                <w:rFonts w:hint="eastAsia" w:ascii="仿宋" w:hAnsi="仿宋" w:eastAsia="仿宋"/>
                <w:color w:val="auto"/>
                <w:sz w:val="24"/>
                <w:szCs w:val="24"/>
                <w:highlight w:val="none"/>
              </w:rPr>
              <w:t>注：C为评标基准价，即经初步审查合格且投标价格最低的有效投标报价；</w:t>
            </w:r>
          </w:p>
          <w:p w14:paraId="45400DA7">
            <w:pPr>
              <w:spacing w:line="360" w:lineRule="auto"/>
              <w:rPr>
                <w:rFonts w:ascii="仿宋" w:hAnsi="仿宋" w:eastAsia="仿宋"/>
                <w:color w:val="auto"/>
                <w:sz w:val="24"/>
                <w:szCs w:val="24"/>
                <w:highlight w:val="none"/>
              </w:rPr>
            </w:pPr>
            <w:r>
              <w:rPr>
                <w:rFonts w:hint="eastAsia" w:ascii="仿宋" w:hAnsi="仿宋" w:eastAsia="仿宋"/>
                <w:color w:val="auto"/>
                <w:sz w:val="24"/>
                <w:szCs w:val="24"/>
                <w:highlight w:val="none"/>
              </w:rPr>
              <w:t>B1，B2，…，Bn为第n个经初步审查合格的有效投标报价。</w:t>
            </w:r>
          </w:p>
          <w:p w14:paraId="6C8EAA1C">
            <w:pPr>
              <w:spacing w:line="360" w:lineRule="auto"/>
              <w:rPr>
                <w:rFonts w:ascii="仿宋" w:hAnsi="仿宋" w:eastAsia="仿宋"/>
                <w:color w:val="auto"/>
                <w:sz w:val="24"/>
                <w:szCs w:val="24"/>
                <w:highlight w:val="none"/>
              </w:rPr>
            </w:pPr>
            <w:r>
              <w:rPr>
                <w:rFonts w:hint="eastAsia" w:ascii="仿宋" w:hAnsi="仿宋" w:eastAsia="仿宋"/>
                <w:color w:val="auto"/>
                <w:sz w:val="24"/>
                <w:szCs w:val="24"/>
                <w:highlight w:val="none"/>
              </w:rPr>
              <w:t>注：1、在计算投标报价得分时，对小型或微型企业产品的价格给予10%的扣除，用扣除后的价格参与评审。</w:t>
            </w:r>
          </w:p>
          <w:p w14:paraId="6F5B9898">
            <w:pPr>
              <w:spacing w:line="360" w:lineRule="auto"/>
              <w:rPr>
                <w:rFonts w:ascii="仿宋" w:hAnsi="仿宋" w:eastAsia="仿宋"/>
                <w:color w:val="auto"/>
                <w:sz w:val="24"/>
                <w:szCs w:val="24"/>
                <w:highlight w:val="none"/>
              </w:rPr>
            </w:pPr>
            <w:r>
              <w:rPr>
                <w:rFonts w:hint="eastAsia" w:ascii="仿宋" w:hAnsi="仿宋" w:eastAsia="仿宋"/>
                <w:color w:val="auto"/>
                <w:sz w:val="24"/>
                <w:szCs w:val="24"/>
                <w:highlight w:val="none"/>
                <w:lang w:eastAsia="zh-CN"/>
              </w:rPr>
              <w:t>2.</w:t>
            </w:r>
            <w:r>
              <w:rPr>
                <w:rFonts w:hint="eastAsia" w:ascii="仿宋" w:hAnsi="仿宋" w:eastAsia="仿宋"/>
                <w:color w:val="auto"/>
                <w:sz w:val="24"/>
                <w:szCs w:val="24"/>
                <w:highlight w:val="none"/>
              </w:rPr>
              <w:t>残疾人福利性单位、监狱企业视同小型、微型企业。</w:t>
            </w:r>
          </w:p>
          <w:p w14:paraId="6FEEA23E">
            <w:pPr>
              <w:pageBreakBefore w:val="0"/>
              <w:kinsoku/>
              <w:wordWrap/>
              <w:overflowPunct/>
              <w:topLinePunct w:val="0"/>
              <w:autoSpaceDE/>
              <w:autoSpaceDN/>
              <w:bidi w:val="0"/>
              <w:spacing w:beforeAutospacing="0" w:afterAutospacing="0" w:line="360" w:lineRule="auto"/>
              <w:rPr>
                <w:rFonts w:hint="eastAsia" w:ascii="仿宋" w:hAnsi="仿宋" w:eastAsia="仿宋"/>
                <w:color w:val="auto"/>
                <w:sz w:val="24"/>
                <w:szCs w:val="24"/>
                <w:highlight w:val="none"/>
              </w:rPr>
            </w:pPr>
            <w:r>
              <w:rPr>
                <w:rFonts w:hint="eastAsia" w:ascii="仿宋" w:hAnsi="仿宋" w:eastAsia="仿宋"/>
                <w:color w:val="auto"/>
                <w:sz w:val="24"/>
                <w:szCs w:val="24"/>
                <w:highlight w:val="none"/>
                <w:lang w:eastAsia="zh-CN"/>
              </w:rPr>
              <w:t>3.</w:t>
            </w:r>
            <w:r>
              <w:rPr>
                <w:rFonts w:hint="eastAsia" w:ascii="仿宋" w:hAnsi="仿宋" w:eastAsia="仿宋"/>
                <w:color w:val="auto"/>
                <w:sz w:val="24"/>
                <w:szCs w:val="24"/>
                <w:highlight w:val="none"/>
              </w:rPr>
              <w:t>监狱企业或残疾人福利性单位属于小型、微型企业的，不重复享受政策，只进行一次价格扣除。</w:t>
            </w:r>
          </w:p>
          <w:p w14:paraId="5EB7FFCA">
            <w:pPr>
              <w:adjustRightInd w:val="0"/>
              <w:snapToGrid w:val="0"/>
              <w:spacing w:line="360" w:lineRule="auto"/>
              <w:jc w:val="both"/>
              <w:rPr>
                <w:rFonts w:hint="eastAsia" w:ascii="仿宋" w:hAnsi="仿宋" w:eastAsia="仿宋" w:cs="仿宋"/>
                <w:color w:val="auto"/>
                <w:sz w:val="24"/>
              </w:rPr>
            </w:pPr>
            <w:r>
              <w:rPr>
                <w:rFonts w:hint="eastAsia" w:ascii="仿宋" w:hAnsi="仿宋" w:eastAsia="仿宋" w:cs="仿宋"/>
                <w:color w:val="auto"/>
                <w:sz w:val="24"/>
              </w:rPr>
              <w:t>4</w:t>
            </w:r>
            <w:r>
              <w:rPr>
                <w:rFonts w:hint="eastAsia" w:ascii="仿宋" w:hAnsi="仿宋" w:eastAsia="仿宋" w:cs="仿宋"/>
                <w:color w:val="auto"/>
                <w:sz w:val="24"/>
                <w:lang w:val="en-US" w:eastAsia="zh-CN"/>
              </w:rPr>
              <w:t>.</w:t>
            </w:r>
            <w:r>
              <w:rPr>
                <w:rFonts w:hint="eastAsia" w:ascii="仿宋" w:hAnsi="仿宋" w:eastAsia="仿宋" w:cs="仿宋"/>
                <w:color w:val="auto"/>
                <w:sz w:val="24"/>
              </w:rPr>
              <w:t>根据关于促进残疾人就业政府采购政策的通知(财库[2017]141号)的规定，残疾人福利性单位优惠政策，残疾人福利性单位参与本项目投标时，提供残疾人福利性单位声明函并对声明的真实性负责，视同小型、微型企业享受价格扣除等优惠政策。</w:t>
            </w:r>
          </w:p>
          <w:p w14:paraId="5AE52A59">
            <w:pPr>
              <w:adjustRightInd w:val="0"/>
              <w:snapToGrid w:val="0"/>
              <w:spacing w:line="360" w:lineRule="auto"/>
              <w:jc w:val="both"/>
              <w:rPr>
                <w:rFonts w:hint="eastAsia" w:ascii="仿宋" w:hAnsi="仿宋" w:eastAsia="仿宋" w:cs="仿宋"/>
                <w:color w:val="auto"/>
                <w:sz w:val="24"/>
              </w:rPr>
            </w:pPr>
            <w:r>
              <w:rPr>
                <w:rFonts w:hint="eastAsia" w:ascii="仿宋" w:hAnsi="仿宋" w:eastAsia="仿宋" w:cs="仿宋"/>
                <w:color w:val="auto"/>
                <w:sz w:val="24"/>
              </w:rPr>
              <w:t>5</w:t>
            </w:r>
            <w:r>
              <w:rPr>
                <w:rFonts w:hint="eastAsia" w:ascii="仿宋" w:hAnsi="仿宋" w:eastAsia="仿宋" w:cs="仿宋"/>
                <w:color w:val="auto"/>
                <w:sz w:val="24"/>
                <w:lang w:val="en-US" w:eastAsia="zh-CN"/>
              </w:rPr>
              <w:t>.</w:t>
            </w:r>
            <w:r>
              <w:rPr>
                <w:rFonts w:hint="eastAsia" w:ascii="仿宋" w:hAnsi="仿宋" w:eastAsia="仿宋" w:cs="仿宋"/>
                <w:color w:val="auto"/>
                <w:sz w:val="24"/>
              </w:rPr>
              <w:t>各投标单位不得恶意低价竞争。</w:t>
            </w:r>
          </w:p>
          <w:p w14:paraId="60B810D1">
            <w:pPr>
              <w:adjustRightInd w:val="0"/>
              <w:snapToGrid w:val="0"/>
              <w:spacing w:line="360" w:lineRule="auto"/>
              <w:jc w:val="both"/>
              <w:rPr>
                <w:rFonts w:hint="eastAsia" w:ascii="仿宋" w:hAnsi="仿宋" w:eastAsia="仿宋" w:cs="仿宋"/>
                <w:color w:val="auto"/>
                <w:sz w:val="24"/>
              </w:rPr>
            </w:pPr>
            <w:r>
              <w:rPr>
                <w:rFonts w:hint="eastAsia" w:ascii="仿宋" w:hAnsi="仿宋" w:eastAsia="仿宋" w:cs="仿宋"/>
                <w:color w:val="auto"/>
                <w:sz w:val="24"/>
                <w:lang w:val="en-US" w:eastAsia="zh-CN"/>
              </w:rPr>
              <w:t>6.</w:t>
            </w:r>
            <w:r>
              <w:rPr>
                <w:rFonts w:hint="eastAsia" w:ascii="仿宋" w:hAnsi="仿宋" w:eastAsia="仿宋" w:cs="仿宋"/>
                <w:color w:val="auto"/>
                <w:sz w:val="24"/>
              </w:rPr>
              <w:t>在计算投标报价得分时，既有本国产品又有非本国产品参与竞争的，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未达到80%，不享受价格评审优惠。</w:t>
            </w:r>
          </w:p>
          <w:p w14:paraId="4603B832">
            <w:pPr>
              <w:adjustRightInd w:val="0"/>
              <w:snapToGrid w:val="0"/>
              <w:spacing w:line="360" w:lineRule="auto"/>
              <w:jc w:val="both"/>
              <w:rPr>
                <w:rFonts w:hint="eastAsia" w:ascii="仿宋" w:hAnsi="仿宋" w:eastAsia="仿宋" w:cs="仿宋"/>
                <w:color w:val="auto"/>
                <w:sz w:val="24"/>
              </w:rPr>
            </w:pPr>
            <w:r>
              <w:rPr>
                <w:rFonts w:hint="eastAsia" w:ascii="仿宋" w:hAnsi="仿宋" w:eastAsia="仿宋" w:cs="仿宋"/>
                <w:color w:val="auto"/>
                <w:sz w:val="24"/>
                <w:lang w:val="en-US" w:eastAsia="zh-CN"/>
              </w:rPr>
              <w:t>7.</w:t>
            </w:r>
            <w:r>
              <w:rPr>
                <w:rFonts w:hint="eastAsia" w:ascii="仿宋" w:hAnsi="仿宋" w:eastAsia="仿宋" w:cs="仿宋"/>
                <w:color w:val="auto"/>
                <w:sz w:val="24"/>
              </w:rPr>
              <w:t>当涉及政府采购政策叠加适用，统一在原投标报价的基础上逐项进行价格扣除。即若同时享受小微企业优惠政策和本国产品优惠政策的：参与评标的投标报价=投标报价×（1-10%</w:t>
            </w:r>
            <w:r>
              <w:rPr>
                <w:rFonts w:hint="eastAsia" w:ascii="仿宋" w:hAnsi="仿宋" w:eastAsia="仿宋" w:cs="仿宋"/>
                <w:color w:val="auto"/>
                <w:sz w:val="24"/>
                <w:lang w:val="en-US" w:eastAsia="zh-CN"/>
              </w:rPr>
              <w:t>-20%</w:t>
            </w:r>
            <w:r>
              <w:rPr>
                <w:rFonts w:hint="eastAsia" w:ascii="仿宋" w:hAnsi="仿宋" w:eastAsia="仿宋" w:cs="仿宋"/>
                <w:color w:val="auto"/>
                <w:sz w:val="24"/>
              </w:rPr>
              <w:t>）</w:t>
            </w:r>
          </w:p>
          <w:p w14:paraId="547D386C">
            <w:pPr>
              <w:adjustRightInd w:val="0"/>
              <w:snapToGrid w:val="0"/>
              <w:spacing w:line="360" w:lineRule="auto"/>
              <w:jc w:val="both"/>
              <w:rPr>
                <w:rFonts w:hint="eastAsia" w:ascii="仿宋" w:hAnsi="仿宋" w:eastAsia="仿宋" w:cs="仿宋"/>
                <w:color w:val="auto"/>
                <w:sz w:val="24"/>
              </w:rPr>
            </w:pPr>
            <w:r>
              <w:rPr>
                <w:rFonts w:hint="eastAsia" w:ascii="仿宋" w:hAnsi="仿宋" w:eastAsia="仿宋" w:cs="仿宋"/>
                <w:color w:val="auto"/>
                <w:sz w:val="24"/>
                <w:lang w:val="en-US" w:eastAsia="zh-CN"/>
              </w:rPr>
              <w:t>8.</w:t>
            </w:r>
            <w:r>
              <w:rPr>
                <w:rFonts w:hint="eastAsia" w:ascii="仿宋" w:hAnsi="仿宋" w:eastAsia="仿宋" w:cs="仿宋"/>
                <w:color w:val="auto"/>
                <w:sz w:val="24"/>
              </w:rPr>
              <w:t>对环境标志产品及节能产品的评审：☑适用</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lang w:eastAsia="zh-CN"/>
              </w:rPr>
              <w:t>□</w:t>
            </w:r>
            <w:r>
              <w:rPr>
                <w:rFonts w:hint="eastAsia" w:ascii="仿宋" w:hAnsi="仿宋" w:eastAsia="仿宋" w:cs="仿宋"/>
                <w:color w:val="auto"/>
                <w:sz w:val="24"/>
              </w:rPr>
              <w:t>不适用</w:t>
            </w:r>
          </w:p>
          <w:p w14:paraId="3EFEFCE2">
            <w:pPr>
              <w:pageBreakBefore w:val="0"/>
              <w:kinsoku/>
              <w:wordWrap/>
              <w:overflowPunct/>
              <w:topLinePunct w:val="0"/>
              <w:autoSpaceDE/>
              <w:autoSpaceDN/>
              <w:bidi w:val="0"/>
              <w:spacing w:beforeAutospacing="0" w:afterAutospacing="0" w:line="360" w:lineRule="auto"/>
              <w:rPr>
                <w:rFonts w:hint="eastAsia" w:ascii="仿宋" w:hAnsi="仿宋" w:eastAsia="仿宋"/>
                <w:color w:val="auto"/>
                <w:sz w:val="24"/>
                <w:szCs w:val="24"/>
                <w:highlight w:val="none"/>
              </w:rPr>
            </w:pPr>
            <w:r>
              <w:rPr>
                <w:rFonts w:hint="eastAsia" w:ascii="仿宋" w:hAnsi="仿宋" w:eastAsia="仿宋" w:cs="仿宋"/>
                <w:color w:val="auto"/>
                <w:sz w:val="24"/>
                <w:lang w:val="en-US" w:eastAsia="zh-CN"/>
              </w:rPr>
              <w:t>9</w:t>
            </w:r>
            <w:r>
              <w:rPr>
                <w:rFonts w:hint="eastAsia" w:ascii="仿宋" w:hAnsi="仿宋" w:eastAsia="仿宋" w:cs="仿宋"/>
                <w:color w:val="auto"/>
                <w:sz w:val="24"/>
              </w:rPr>
              <w:t xml:space="preserve">.支持本国产品：☑适用   </w:t>
            </w:r>
            <w:r>
              <w:rPr>
                <w:rFonts w:hint="eastAsia" w:ascii="仿宋" w:hAnsi="仿宋" w:eastAsia="仿宋" w:cs="仿宋"/>
                <w:color w:val="auto"/>
                <w:sz w:val="24"/>
                <w:lang w:eastAsia="zh-CN"/>
              </w:rPr>
              <w:t>□</w:t>
            </w:r>
            <w:r>
              <w:rPr>
                <w:rFonts w:hint="eastAsia" w:ascii="仿宋" w:hAnsi="仿宋" w:eastAsia="仿宋" w:cs="仿宋"/>
                <w:color w:val="auto"/>
                <w:sz w:val="24"/>
              </w:rPr>
              <w:t>不适用</w:t>
            </w:r>
          </w:p>
        </w:tc>
      </w:tr>
      <w:tr w14:paraId="22E177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083" w:hRule="atLeast"/>
          <w:jc w:val="center"/>
        </w:trPr>
        <w:tc>
          <w:tcPr>
            <w:tcW w:w="994" w:type="dxa"/>
            <w:vMerge w:val="restart"/>
            <w:vAlign w:val="center"/>
          </w:tcPr>
          <w:p w14:paraId="70BE6984">
            <w:pPr>
              <w:pageBreakBefore w:val="0"/>
              <w:kinsoku/>
              <w:wordWrap/>
              <w:overflowPunct/>
              <w:topLinePunct w:val="0"/>
              <w:autoSpaceDE/>
              <w:autoSpaceDN/>
              <w:bidi w:val="0"/>
              <w:spacing w:beforeAutospacing="0" w:afterAutospacing="0" w:line="360" w:lineRule="auto"/>
              <w:jc w:val="center"/>
              <w:rPr>
                <w:rFonts w:ascii="仿宋" w:hAnsi="仿宋" w:eastAsia="仿宋"/>
                <w:b/>
                <w:bCs/>
                <w:color w:val="auto"/>
                <w:sz w:val="24"/>
                <w:szCs w:val="24"/>
                <w:highlight w:val="none"/>
              </w:rPr>
            </w:pPr>
            <w:r>
              <w:rPr>
                <w:rFonts w:ascii="仿宋" w:hAnsi="仿宋" w:eastAsia="仿宋"/>
                <w:b/>
                <w:bCs/>
                <w:color w:val="auto"/>
                <w:sz w:val="24"/>
                <w:szCs w:val="24"/>
                <w:highlight w:val="none"/>
              </w:rPr>
              <w:t>2.1.6</w:t>
            </w:r>
          </w:p>
        </w:tc>
        <w:tc>
          <w:tcPr>
            <w:tcW w:w="1427" w:type="dxa"/>
            <w:vMerge w:val="restart"/>
            <w:vAlign w:val="center"/>
          </w:tcPr>
          <w:p w14:paraId="65C8F226">
            <w:pPr>
              <w:pageBreakBefore w:val="0"/>
              <w:kinsoku/>
              <w:wordWrap/>
              <w:overflowPunct/>
              <w:topLinePunct w:val="0"/>
              <w:autoSpaceDE/>
              <w:autoSpaceDN/>
              <w:bidi w:val="0"/>
              <w:spacing w:beforeAutospacing="0" w:afterAutospacing="0" w:line="360" w:lineRule="auto"/>
              <w:jc w:val="center"/>
              <w:rPr>
                <w:rFonts w:ascii="仿宋" w:hAnsi="仿宋" w:eastAsia="仿宋"/>
                <w:b/>
                <w:bCs/>
                <w:color w:val="auto"/>
                <w:kern w:val="0"/>
                <w:sz w:val="24"/>
                <w:szCs w:val="24"/>
                <w:highlight w:val="none"/>
                <w:lang w:val="zh-CN"/>
              </w:rPr>
            </w:pPr>
          </w:p>
          <w:p w14:paraId="7DAA1F0D">
            <w:pPr>
              <w:pageBreakBefore w:val="0"/>
              <w:kinsoku/>
              <w:wordWrap/>
              <w:overflowPunct/>
              <w:topLinePunct w:val="0"/>
              <w:autoSpaceDE/>
              <w:autoSpaceDN/>
              <w:bidi w:val="0"/>
              <w:spacing w:beforeAutospacing="0" w:afterAutospacing="0" w:line="360" w:lineRule="auto"/>
              <w:ind w:right="-107" w:rightChars="-51"/>
              <w:jc w:val="center"/>
              <w:rPr>
                <w:rFonts w:ascii="仿宋" w:hAnsi="仿宋" w:eastAsia="仿宋"/>
                <w:b/>
                <w:bCs/>
                <w:color w:val="auto"/>
                <w:sz w:val="24"/>
                <w:szCs w:val="24"/>
                <w:highlight w:val="none"/>
              </w:rPr>
            </w:pPr>
            <w:r>
              <w:rPr>
                <w:rFonts w:hint="eastAsia" w:ascii="仿宋" w:hAnsi="仿宋" w:eastAsia="仿宋"/>
                <w:b/>
                <w:bCs/>
                <w:color w:val="auto"/>
                <w:sz w:val="24"/>
                <w:szCs w:val="24"/>
                <w:highlight w:val="none"/>
              </w:rPr>
              <w:t>技术部分得分F2（满分</w:t>
            </w:r>
            <w:r>
              <w:rPr>
                <w:rFonts w:hint="eastAsia" w:ascii="仿宋" w:hAnsi="仿宋" w:eastAsia="仿宋"/>
                <w:b/>
                <w:bCs/>
                <w:color w:val="auto"/>
                <w:sz w:val="24"/>
                <w:szCs w:val="24"/>
                <w:highlight w:val="none"/>
                <w:lang w:val="en-US" w:eastAsia="zh-CN"/>
              </w:rPr>
              <w:t>65</w:t>
            </w:r>
            <w:r>
              <w:rPr>
                <w:rFonts w:hint="eastAsia" w:ascii="仿宋" w:hAnsi="仿宋" w:eastAsia="仿宋"/>
                <w:b/>
                <w:bCs/>
                <w:color w:val="auto"/>
                <w:sz w:val="24"/>
                <w:szCs w:val="24"/>
                <w:highlight w:val="none"/>
              </w:rPr>
              <w:t>分）</w:t>
            </w:r>
          </w:p>
        </w:tc>
        <w:tc>
          <w:tcPr>
            <w:tcW w:w="1329" w:type="dxa"/>
            <w:tcBorders>
              <w:right w:val="single" w:color="auto" w:sz="4" w:space="0"/>
            </w:tcBorders>
            <w:vAlign w:val="center"/>
          </w:tcPr>
          <w:p w14:paraId="661C3B70">
            <w:pPr>
              <w:spacing w:line="360" w:lineRule="auto"/>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技术</w:t>
            </w:r>
            <w:r>
              <w:rPr>
                <w:rFonts w:hint="eastAsia" w:ascii="仿宋" w:hAnsi="仿宋" w:eastAsia="仿宋" w:cs="仿宋"/>
                <w:b/>
                <w:bCs/>
                <w:color w:val="auto"/>
                <w:kern w:val="0"/>
                <w:sz w:val="24"/>
                <w:szCs w:val="24"/>
                <w:highlight w:val="none"/>
                <w:lang w:val="en-US" w:eastAsia="zh-CN"/>
              </w:rPr>
              <w:t>参数</w:t>
            </w:r>
            <w:r>
              <w:rPr>
                <w:rFonts w:hint="eastAsia" w:ascii="仿宋" w:hAnsi="仿宋" w:eastAsia="仿宋" w:cs="仿宋"/>
                <w:b/>
                <w:bCs/>
                <w:color w:val="auto"/>
                <w:kern w:val="0"/>
                <w:sz w:val="24"/>
                <w:szCs w:val="24"/>
                <w:highlight w:val="none"/>
              </w:rPr>
              <w:t>响应评审（满分为</w:t>
            </w:r>
            <w:r>
              <w:rPr>
                <w:rFonts w:hint="eastAsia" w:ascii="仿宋" w:hAnsi="仿宋" w:eastAsia="仿宋" w:cs="仿宋"/>
                <w:b/>
                <w:bCs/>
                <w:color w:val="auto"/>
                <w:kern w:val="0"/>
                <w:sz w:val="24"/>
                <w:szCs w:val="24"/>
                <w:highlight w:val="none"/>
                <w:lang w:val="en-US" w:eastAsia="zh-CN"/>
              </w:rPr>
              <w:t>51</w:t>
            </w:r>
            <w:r>
              <w:rPr>
                <w:rFonts w:hint="eastAsia" w:ascii="仿宋" w:hAnsi="仿宋" w:eastAsia="仿宋" w:cs="仿宋"/>
                <w:b/>
                <w:bCs/>
                <w:color w:val="auto"/>
                <w:kern w:val="0"/>
                <w:sz w:val="24"/>
                <w:szCs w:val="24"/>
                <w:highlight w:val="none"/>
              </w:rPr>
              <w:t>分）</w:t>
            </w:r>
          </w:p>
          <w:p w14:paraId="327DEDBD">
            <w:pPr>
              <w:keepNext w:val="0"/>
              <w:keepLines w:val="0"/>
              <w:pageBreakBefore w:val="0"/>
              <w:widowControl w:val="0"/>
              <w:kinsoku/>
              <w:wordWrap/>
              <w:overflowPunct/>
              <w:topLinePunct w:val="0"/>
              <w:autoSpaceDE w:val="0"/>
              <w:autoSpaceDN w:val="0"/>
              <w:bidi w:val="0"/>
              <w:adjustRightInd/>
              <w:snapToGrid/>
              <w:spacing w:after="0" w:line="360" w:lineRule="auto"/>
              <w:jc w:val="center"/>
              <w:textAlignment w:val="auto"/>
              <w:rPr>
                <w:rFonts w:hint="eastAsia" w:ascii="仿宋" w:hAnsi="仿宋" w:eastAsia="仿宋" w:cs="仿宋"/>
                <w:b/>
                <w:bCs/>
                <w:color w:val="auto"/>
                <w:sz w:val="24"/>
                <w:szCs w:val="24"/>
                <w:highlight w:val="none"/>
              </w:rPr>
            </w:pPr>
          </w:p>
        </w:tc>
        <w:tc>
          <w:tcPr>
            <w:tcW w:w="6561" w:type="dxa"/>
            <w:tcBorders>
              <w:left w:val="single" w:color="auto" w:sz="4" w:space="0"/>
            </w:tcBorders>
            <w:vAlign w:val="center"/>
          </w:tcPr>
          <w:p w14:paraId="27BFFE5C">
            <w:pPr>
              <w:keepNext w:val="0"/>
              <w:keepLines w:val="0"/>
              <w:pageBreakBefore w:val="0"/>
              <w:kinsoku/>
              <w:wordWrap w:val="0"/>
              <w:overflowPunct/>
              <w:topLinePunct w:val="0"/>
              <w:autoSpaceDE/>
              <w:autoSpaceDN/>
              <w:bidi w:val="0"/>
              <w:snapToGrid/>
              <w:spacing w:line="440" w:lineRule="exac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一、技术参数响应评审（满分为51分）</w:t>
            </w:r>
          </w:p>
          <w:p w14:paraId="3EA8A597">
            <w:pPr>
              <w:keepNext w:val="0"/>
              <w:keepLines w:val="0"/>
              <w:pageBreakBefore w:val="0"/>
              <w:kinsoku/>
              <w:wordWrap w:val="0"/>
              <w:overflowPunct/>
              <w:topLinePunct w:val="0"/>
              <w:autoSpaceDE/>
              <w:autoSpaceDN/>
              <w:bidi w:val="0"/>
              <w:snapToGrid/>
              <w:spacing w:line="440" w:lineRule="exac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评审因素：</w:t>
            </w:r>
            <w:r>
              <w:rPr>
                <w:rFonts w:hint="eastAsia" w:ascii="仿宋" w:hAnsi="仿宋" w:eastAsia="仿宋" w:cs="仿宋"/>
                <w:b w:val="0"/>
                <w:bCs w:val="0"/>
                <w:color w:val="auto"/>
                <w:sz w:val="24"/>
                <w:szCs w:val="24"/>
                <w:highlight w:val="none"/>
                <w:lang w:val="en-US" w:eastAsia="zh-CN"/>
              </w:rPr>
              <w:t>评委将综合考虑投标人投标产品的技术性能、可靠性、稳定性、产品的操作性、维护性以及对招标文件的响应程度等因素综合打分</w:t>
            </w:r>
            <w:r>
              <w:rPr>
                <w:rFonts w:hint="eastAsia" w:ascii="仿宋" w:hAnsi="仿宋" w:eastAsia="仿宋" w:cs="仿宋"/>
                <w:b/>
                <w:bCs/>
                <w:color w:val="auto"/>
                <w:sz w:val="24"/>
                <w:szCs w:val="24"/>
                <w:highlight w:val="none"/>
                <w:lang w:val="en-US" w:eastAsia="zh-CN"/>
              </w:rPr>
              <w:t>。</w:t>
            </w:r>
          </w:p>
          <w:p w14:paraId="66E571B0">
            <w:pPr>
              <w:keepNext w:val="0"/>
              <w:keepLines w:val="0"/>
              <w:pageBreakBefore w:val="0"/>
              <w:kinsoku/>
              <w:wordWrap w:val="0"/>
              <w:overflowPunct/>
              <w:topLinePunct w:val="0"/>
              <w:autoSpaceDE/>
              <w:autoSpaceDN/>
              <w:bidi w:val="0"/>
              <w:snapToGrid/>
              <w:spacing w:line="440" w:lineRule="exac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技术参数响应程度按以下原则进行评分：</w:t>
            </w:r>
          </w:p>
          <w:p w14:paraId="0B4752FE">
            <w:pPr>
              <w:keepNext w:val="0"/>
              <w:keepLines w:val="0"/>
              <w:pageBreakBefore w:val="0"/>
              <w:kinsoku/>
              <w:wordWrap w:val="0"/>
              <w:overflowPunct/>
              <w:topLinePunct w:val="0"/>
              <w:autoSpaceDE/>
              <w:autoSpaceDN/>
              <w:bidi w:val="0"/>
              <w:snapToGrid/>
              <w:spacing w:line="440" w:lineRule="exac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a.招标文件第五章《采购需求及技术参数》中，标注“▲”号的为重要技术参数，共有40项，每出现1项标注（“▲”）的重要技术参数不满足招标文件要求扣0.5分，满分20分，扣完为止。</w:t>
            </w:r>
          </w:p>
          <w:p w14:paraId="4A479CE2">
            <w:pPr>
              <w:keepNext w:val="0"/>
              <w:keepLines w:val="0"/>
              <w:pageBreakBefore w:val="0"/>
              <w:kinsoku/>
              <w:wordWrap w:val="0"/>
              <w:overflowPunct/>
              <w:topLinePunct w:val="0"/>
              <w:autoSpaceDE/>
              <w:autoSpaceDN/>
              <w:bidi w:val="0"/>
              <w:snapToGrid/>
              <w:spacing w:line="440" w:lineRule="exac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b.招标文件第五章《采购需求及技术参数》中，非“▲”号技术参数为一般技术参数共310项，每出现1项一般技术参数不满足招标文件要求扣0.1分，满分31分，扣完为止。</w:t>
            </w:r>
          </w:p>
          <w:p w14:paraId="11D90911">
            <w:pPr>
              <w:keepNext w:val="0"/>
              <w:keepLines w:val="0"/>
              <w:pageBreakBefore w:val="0"/>
              <w:kinsoku/>
              <w:wordWrap w:val="0"/>
              <w:overflowPunct/>
              <w:topLinePunct w:val="0"/>
              <w:autoSpaceDE/>
              <w:autoSpaceDN/>
              <w:bidi w:val="0"/>
              <w:snapToGrid/>
              <w:spacing w:line="440" w:lineRule="exac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注：投标人除如实填写《技术条款偏离表》外，投标文件中须提供最新技术支持资料印证《技术条款偏离表》，“技术参数及要求”中有“▲”号标识或需提供产品截图证明或需提供产品功能截图的均为重要技术参数，重要技术参数必须提供证明材料”。投标人完全复制粘贴招标文件的技术要求的且没有提供相关技术证明材料的不得分。</w:t>
            </w:r>
          </w:p>
        </w:tc>
      </w:tr>
      <w:tr w14:paraId="1A4D0F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94" w:type="dxa"/>
            <w:vMerge w:val="continue"/>
            <w:vAlign w:val="center"/>
          </w:tcPr>
          <w:p w14:paraId="3658016F">
            <w:pPr>
              <w:keepNext w:val="0"/>
              <w:keepLines w:val="0"/>
              <w:pageBreakBefore w:val="0"/>
              <w:widowControl w:val="0"/>
              <w:kinsoku/>
              <w:wordWrap/>
              <w:overflowPunct/>
              <w:topLinePunct w:val="0"/>
              <w:autoSpaceDE w:val="0"/>
              <w:autoSpaceDN w:val="0"/>
              <w:bidi w:val="0"/>
              <w:adjustRightInd/>
              <w:snapToGrid/>
              <w:spacing w:after="0" w:line="360" w:lineRule="auto"/>
              <w:textAlignment w:val="auto"/>
              <w:rPr>
                <w:color w:val="auto"/>
                <w:highlight w:val="none"/>
              </w:rPr>
            </w:pPr>
          </w:p>
        </w:tc>
        <w:tc>
          <w:tcPr>
            <w:tcW w:w="1427" w:type="dxa"/>
            <w:vMerge w:val="continue"/>
            <w:vAlign w:val="center"/>
          </w:tcPr>
          <w:p w14:paraId="1BCB4904">
            <w:pPr>
              <w:keepNext w:val="0"/>
              <w:keepLines w:val="0"/>
              <w:pageBreakBefore w:val="0"/>
              <w:widowControl w:val="0"/>
              <w:kinsoku/>
              <w:wordWrap/>
              <w:overflowPunct/>
              <w:topLinePunct w:val="0"/>
              <w:autoSpaceDE w:val="0"/>
              <w:autoSpaceDN w:val="0"/>
              <w:bidi w:val="0"/>
              <w:adjustRightInd/>
              <w:snapToGrid/>
              <w:spacing w:after="0" w:line="360" w:lineRule="auto"/>
              <w:textAlignment w:val="auto"/>
              <w:rPr>
                <w:color w:val="auto"/>
                <w:highlight w:val="none"/>
              </w:rPr>
            </w:pPr>
          </w:p>
        </w:tc>
        <w:tc>
          <w:tcPr>
            <w:tcW w:w="1329" w:type="dxa"/>
            <w:tcBorders>
              <w:right w:val="single" w:color="auto" w:sz="4" w:space="0"/>
            </w:tcBorders>
            <w:vAlign w:val="center"/>
          </w:tcPr>
          <w:p w14:paraId="659280A4">
            <w:pPr>
              <w:shd w:val="clear"/>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项目实施</w:t>
            </w:r>
            <w:r>
              <w:rPr>
                <w:rFonts w:hint="eastAsia" w:ascii="仿宋" w:hAnsi="仿宋" w:eastAsia="仿宋" w:cs="仿宋"/>
                <w:b/>
                <w:bCs/>
                <w:color w:val="auto"/>
                <w:sz w:val="24"/>
                <w:highlight w:val="none"/>
              </w:rPr>
              <w:t>方案评审（满分</w:t>
            </w:r>
            <w:r>
              <w:rPr>
                <w:rFonts w:hint="eastAsia" w:ascii="仿宋" w:hAnsi="仿宋" w:eastAsia="仿宋" w:cs="仿宋"/>
                <w:b/>
                <w:bCs/>
                <w:color w:val="auto"/>
                <w:sz w:val="24"/>
                <w:highlight w:val="none"/>
                <w:lang w:val="en-US" w:eastAsia="zh-CN"/>
              </w:rPr>
              <w:t>10</w:t>
            </w:r>
            <w:r>
              <w:rPr>
                <w:rFonts w:hint="eastAsia" w:ascii="仿宋" w:hAnsi="仿宋" w:eastAsia="仿宋" w:cs="仿宋"/>
                <w:b/>
                <w:bCs/>
                <w:color w:val="auto"/>
                <w:sz w:val="24"/>
                <w:highlight w:val="none"/>
              </w:rPr>
              <w:t>分）</w:t>
            </w:r>
          </w:p>
        </w:tc>
        <w:tc>
          <w:tcPr>
            <w:tcW w:w="6561" w:type="dxa"/>
            <w:tcBorders>
              <w:left w:val="single" w:color="auto" w:sz="4" w:space="0"/>
            </w:tcBorders>
            <w:vAlign w:val="center"/>
          </w:tcPr>
          <w:p w14:paraId="66B5421B">
            <w:pPr>
              <w:shd w:val="clear"/>
              <w:spacing w:line="360" w:lineRule="auto"/>
              <w:jc w:val="left"/>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二、项目实施方案（满分10分）</w:t>
            </w:r>
          </w:p>
          <w:p w14:paraId="3A2EB587">
            <w:pPr>
              <w:shd w:val="clear"/>
              <w:spacing w:line="360" w:lineRule="auto"/>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供货方案评审内容包括但不限于：</w:t>
            </w:r>
          </w:p>
          <w:p w14:paraId="5E70370E">
            <w:pPr>
              <w:shd w:val="clear"/>
              <w:spacing w:line="360" w:lineRule="auto"/>
              <w:jc w:val="left"/>
              <w:rPr>
                <w:rFonts w:hint="eastAsia" w:ascii="仿宋" w:hAnsi="仿宋" w:eastAsia="仿宋" w:cs="仿宋"/>
                <w:b/>
                <w:bCs/>
                <w:color w:val="auto"/>
                <w:sz w:val="24"/>
                <w:szCs w:val="24"/>
                <w:highlight w:val="none"/>
                <w:lang w:val="en-US" w:eastAsia="zh-CN"/>
              </w:rPr>
            </w:pPr>
            <w:r>
              <w:rPr>
                <w:rFonts w:hint="default" w:ascii="仿宋" w:hAnsi="仿宋" w:eastAsia="仿宋" w:cs="仿宋"/>
                <w:b/>
                <w:bCs/>
                <w:color w:val="auto"/>
                <w:sz w:val="24"/>
                <w:szCs w:val="24"/>
                <w:highlight w:val="none"/>
                <w:lang w:val="en-US" w:eastAsia="zh-CN"/>
              </w:rPr>
              <w:t>①</w:t>
            </w:r>
            <w:r>
              <w:rPr>
                <w:rFonts w:hint="eastAsia" w:ascii="仿宋" w:hAnsi="仿宋" w:eastAsia="仿宋" w:cs="仿宋"/>
                <w:b/>
                <w:bCs/>
                <w:color w:val="auto"/>
                <w:sz w:val="24"/>
                <w:szCs w:val="24"/>
                <w:highlight w:val="none"/>
                <w:lang w:val="en-US" w:eastAsia="zh-CN"/>
              </w:rPr>
              <w:t>项目整体供货实施计划及供货周期安排；</w:t>
            </w:r>
          </w:p>
          <w:p w14:paraId="19FA64D6">
            <w:pPr>
              <w:shd w:val="clear"/>
              <w:spacing w:line="360" w:lineRule="auto"/>
              <w:jc w:val="left"/>
              <w:rPr>
                <w:rFonts w:hint="eastAsia" w:ascii="仿宋" w:hAnsi="仿宋" w:eastAsia="仿宋" w:cs="仿宋"/>
                <w:b/>
                <w:bCs/>
                <w:color w:val="auto"/>
                <w:sz w:val="24"/>
                <w:szCs w:val="24"/>
                <w:highlight w:val="none"/>
                <w:lang w:val="en-US" w:eastAsia="zh-CN"/>
              </w:rPr>
            </w:pPr>
            <w:r>
              <w:rPr>
                <w:rFonts w:hint="default" w:ascii="仿宋" w:hAnsi="仿宋" w:eastAsia="仿宋" w:cs="仿宋"/>
                <w:b/>
                <w:bCs/>
                <w:color w:val="auto"/>
                <w:sz w:val="24"/>
                <w:szCs w:val="24"/>
                <w:highlight w:val="none"/>
                <w:lang w:val="en-US" w:eastAsia="zh-CN"/>
              </w:rPr>
              <w:t>②</w:t>
            </w:r>
            <w:r>
              <w:rPr>
                <w:rFonts w:hint="eastAsia" w:ascii="仿宋" w:hAnsi="仿宋" w:eastAsia="仿宋" w:cs="仿宋"/>
                <w:b/>
                <w:bCs/>
                <w:color w:val="auto"/>
                <w:sz w:val="24"/>
                <w:szCs w:val="24"/>
                <w:highlight w:val="none"/>
                <w:lang w:val="en-US" w:eastAsia="zh-CN"/>
              </w:rPr>
              <w:t>设备仓储运输、包装方案及质量保障措施；</w:t>
            </w:r>
          </w:p>
          <w:p w14:paraId="0A629804">
            <w:pPr>
              <w:shd w:val="clear"/>
              <w:spacing w:line="360" w:lineRule="auto"/>
              <w:jc w:val="left"/>
              <w:rPr>
                <w:rFonts w:hint="eastAsia" w:ascii="仿宋" w:hAnsi="仿宋" w:eastAsia="仿宋" w:cs="仿宋"/>
                <w:b/>
                <w:bCs/>
                <w:color w:val="auto"/>
                <w:sz w:val="24"/>
                <w:szCs w:val="24"/>
                <w:highlight w:val="none"/>
                <w:lang w:val="en-US" w:eastAsia="zh-CN"/>
              </w:rPr>
            </w:pPr>
            <w:r>
              <w:rPr>
                <w:rFonts w:hint="default" w:ascii="仿宋" w:hAnsi="仿宋" w:eastAsia="仿宋" w:cs="仿宋"/>
                <w:b/>
                <w:bCs/>
                <w:color w:val="auto"/>
                <w:sz w:val="24"/>
                <w:szCs w:val="24"/>
                <w:highlight w:val="none"/>
                <w:lang w:val="en-US" w:eastAsia="zh-CN"/>
              </w:rPr>
              <w:t>③</w:t>
            </w:r>
            <w:r>
              <w:rPr>
                <w:rFonts w:hint="eastAsia" w:ascii="仿宋" w:hAnsi="仿宋" w:eastAsia="仿宋" w:cs="仿宋"/>
                <w:b/>
                <w:bCs/>
                <w:color w:val="auto"/>
                <w:sz w:val="24"/>
                <w:szCs w:val="24"/>
                <w:highlight w:val="none"/>
                <w:lang w:val="en-US" w:eastAsia="zh-CN"/>
              </w:rPr>
              <w:t>针对本项目的人员组织配置安排，以及供货进度保障预案。</w:t>
            </w:r>
          </w:p>
          <w:p w14:paraId="4D369DDD">
            <w:pPr>
              <w:shd w:val="clear"/>
              <w:spacing w:line="360" w:lineRule="auto"/>
              <w:jc w:val="left"/>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④安装调试及技术服务方案；</w:t>
            </w:r>
          </w:p>
          <w:p w14:paraId="57C105B4">
            <w:pPr>
              <w:shd w:val="clear"/>
              <w:spacing w:line="360" w:lineRule="auto"/>
              <w:jc w:val="left"/>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⑤根据招标文件及现场勘测情况，契合项目建设要求的文化建设设计方案。</w:t>
            </w:r>
          </w:p>
          <w:p w14:paraId="7A897839">
            <w:pPr>
              <w:shd w:val="clear"/>
              <w:spacing w:line="360" w:lineRule="auto"/>
              <w:jc w:val="left"/>
              <w:rPr>
                <w:rFonts w:hint="default"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评分标准：</w:t>
            </w:r>
          </w:p>
          <w:p w14:paraId="61759386">
            <w:pPr>
              <w:shd w:val="clear"/>
              <w:spacing w:line="360" w:lineRule="auto"/>
              <w:jc w:val="left"/>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lang w:val="en-US" w:eastAsia="zh-CN"/>
              </w:rPr>
              <w:t>评标委员会根据投标人提供的</w:t>
            </w:r>
            <w:r>
              <w:rPr>
                <w:rFonts w:hint="eastAsia" w:ascii="仿宋" w:hAnsi="仿宋" w:eastAsia="仿宋" w:cs="Times New Roman"/>
                <w:color w:val="auto"/>
                <w:sz w:val="24"/>
                <w:szCs w:val="24"/>
                <w:highlight w:val="none"/>
              </w:rPr>
              <w:t>以上</w:t>
            </w:r>
            <w:r>
              <w:rPr>
                <w:rFonts w:hint="eastAsia" w:ascii="仿宋" w:hAnsi="仿宋" w:eastAsia="仿宋" w:cs="Times New Roman"/>
                <w:color w:val="auto"/>
                <w:sz w:val="24"/>
                <w:szCs w:val="24"/>
                <w:highlight w:val="none"/>
                <w:lang w:val="en-US" w:eastAsia="zh-CN"/>
              </w:rPr>
              <w:t>5</w:t>
            </w:r>
            <w:r>
              <w:rPr>
                <w:rFonts w:hint="eastAsia" w:ascii="仿宋" w:hAnsi="仿宋" w:eastAsia="仿宋" w:cs="Times New Roman"/>
                <w:color w:val="auto"/>
                <w:sz w:val="24"/>
                <w:szCs w:val="24"/>
                <w:highlight w:val="none"/>
              </w:rPr>
              <w:t>项内容</w:t>
            </w:r>
            <w:r>
              <w:rPr>
                <w:rFonts w:hint="eastAsia" w:ascii="仿宋" w:hAnsi="仿宋" w:eastAsia="仿宋" w:cs="Times New Roman"/>
                <w:color w:val="auto"/>
                <w:sz w:val="24"/>
                <w:szCs w:val="24"/>
                <w:highlight w:val="none"/>
                <w:lang w:val="en-US" w:eastAsia="zh-CN"/>
              </w:rPr>
              <w:t>的完整性、可行性、规范性、针对性进行综合评审并</w:t>
            </w:r>
            <w:r>
              <w:rPr>
                <w:rFonts w:hint="eastAsia" w:ascii="仿宋" w:hAnsi="仿宋" w:eastAsia="仿宋" w:cs="Times New Roman"/>
                <w:color w:val="auto"/>
                <w:sz w:val="24"/>
                <w:szCs w:val="24"/>
                <w:highlight w:val="none"/>
              </w:rPr>
              <w:t>逐项</w:t>
            </w:r>
            <w:r>
              <w:rPr>
                <w:rFonts w:hint="eastAsia" w:ascii="仿宋" w:hAnsi="仿宋" w:eastAsia="仿宋" w:cs="Times New Roman"/>
                <w:color w:val="auto"/>
                <w:sz w:val="24"/>
                <w:szCs w:val="24"/>
                <w:highlight w:val="none"/>
                <w:lang w:val="en-US" w:eastAsia="zh-CN"/>
              </w:rPr>
              <w:t>进行赋分</w:t>
            </w:r>
            <w:r>
              <w:rPr>
                <w:rFonts w:hint="eastAsia" w:ascii="仿宋" w:hAnsi="仿宋" w:eastAsia="仿宋" w:cs="Times New Roman"/>
                <w:color w:val="auto"/>
                <w:sz w:val="24"/>
                <w:szCs w:val="24"/>
                <w:highlight w:val="none"/>
              </w:rPr>
              <w:t>，每项</w:t>
            </w:r>
            <w:r>
              <w:rPr>
                <w:rFonts w:hint="eastAsia" w:ascii="仿宋" w:hAnsi="仿宋" w:eastAsia="仿宋" w:cs="Times New Roman"/>
                <w:color w:val="auto"/>
                <w:sz w:val="24"/>
                <w:szCs w:val="24"/>
                <w:highlight w:val="none"/>
                <w:lang w:val="en-US" w:eastAsia="zh-CN"/>
              </w:rPr>
              <w:t>2</w:t>
            </w:r>
            <w:r>
              <w:rPr>
                <w:rFonts w:hint="eastAsia" w:ascii="仿宋" w:hAnsi="仿宋" w:eastAsia="仿宋" w:cs="Times New Roman"/>
                <w:color w:val="auto"/>
                <w:sz w:val="24"/>
                <w:szCs w:val="24"/>
                <w:highlight w:val="none"/>
              </w:rPr>
              <w:t>分，满分</w:t>
            </w:r>
            <w:r>
              <w:rPr>
                <w:rFonts w:hint="eastAsia" w:ascii="仿宋" w:hAnsi="仿宋" w:eastAsia="仿宋" w:cs="Times New Roman"/>
                <w:color w:val="auto"/>
                <w:sz w:val="24"/>
                <w:szCs w:val="24"/>
                <w:highlight w:val="none"/>
                <w:lang w:val="en-US" w:eastAsia="zh-CN"/>
              </w:rPr>
              <w:t>10</w:t>
            </w:r>
            <w:r>
              <w:rPr>
                <w:rFonts w:hint="eastAsia" w:ascii="仿宋" w:hAnsi="仿宋" w:eastAsia="仿宋" w:cs="Times New Roman"/>
                <w:color w:val="auto"/>
                <w:sz w:val="24"/>
                <w:szCs w:val="24"/>
                <w:highlight w:val="none"/>
              </w:rPr>
              <w:t>分；</w:t>
            </w:r>
          </w:p>
          <w:p w14:paraId="01F0C06F">
            <w:pPr>
              <w:shd w:val="clear"/>
              <w:spacing w:line="360" w:lineRule="auto"/>
              <w:jc w:val="left"/>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（1）每项评审标准：提供的内容完整、详实可行，有针对性及可操作性，得</w:t>
            </w:r>
            <w:r>
              <w:rPr>
                <w:rFonts w:hint="eastAsia" w:ascii="仿宋" w:hAnsi="仿宋" w:eastAsia="仿宋" w:cs="Times New Roman"/>
                <w:color w:val="auto"/>
                <w:sz w:val="24"/>
                <w:szCs w:val="24"/>
                <w:highlight w:val="none"/>
                <w:lang w:val="en-US" w:eastAsia="zh-CN"/>
              </w:rPr>
              <w:t>2</w:t>
            </w:r>
            <w:r>
              <w:rPr>
                <w:rFonts w:hint="eastAsia" w:ascii="仿宋" w:hAnsi="仿宋" w:eastAsia="仿宋" w:cs="Times New Roman"/>
                <w:color w:val="auto"/>
                <w:sz w:val="24"/>
                <w:szCs w:val="24"/>
                <w:highlight w:val="none"/>
              </w:rPr>
              <w:t>分/项；</w:t>
            </w:r>
          </w:p>
          <w:p w14:paraId="4C568CF7">
            <w:pPr>
              <w:shd w:val="clear"/>
              <w:spacing w:line="360" w:lineRule="auto"/>
              <w:jc w:val="left"/>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（2）提供了常规、通用的内容，不完善（不全面）或有瑕疵的，得</w:t>
            </w:r>
            <w:r>
              <w:rPr>
                <w:rFonts w:hint="eastAsia" w:ascii="仿宋" w:hAnsi="仿宋" w:eastAsia="仿宋" w:cs="Times New Roman"/>
                <w:color w:val="auto"/>
                <w:sz w:val="24"/>
                <w:szCs w:val="24"/>
                <w:highlight w:val="none"/>
                <w:lang w:val="en-US" w:eastAsia="zh-CN"/>
              </w:rPr>
              <w:t>1.2</w:t>
            </w:r>
            <w:r>
              <w:rPr>
                <w:rFonts w:hint="eastAsia" w:ascii="仿宋" w:hAnsi="仿宋" w:eastAsia="仿宋" w:cs="Times New Roman"/>
                <w:color w:val="auto"/>
                <w:sz w:val="24"/>
                <w:szCs w:val="24"/>
                <w:highlight w:val="none"/>
              </w:rPr>
              <w:t>分/项；</w:t>
            </w:r>
          </w:p>
          <w:p w14:paraId="5F03E99B">
            <w:pPr>
              <w:shd w:val="clear"/>
              <w:spacing w:line="360" w:lineRule="auto"/>
              <w:jc w:val="left"/>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（3）提供的方案欠佳或方案不可行或出现重大偏差的，得</w:t>
            </w:r>
            <w:r>
              <w:rPr>
                <w:rFonts w:hint="eastAsia" w:ascii="仿宋" w:hAnsi="仿宋" w:eastAsia="仿宋" w:cs="Times New Roman"/>
                <w:color w:val="auto"/>
                <w:sz w:val="24"/>
                <w:szCs w:val="24"/>
                <w:highlight w:val="none"/>
                <w:lang w:val="en-US" w:eastAsia="zh-CN"/>
              </w:rPr>
              <w:t>0.4</w:t>
            </w:r>
            <w:r>
              <w:rPr>
                <w:rFonts w:hint="eastAsia" w:ascii="仿宋" w:hAnsi="仿宋" w:eastAsia="仿宋" w:cs="Times New Roman"/>
                <w:color w:val="auto"/>
                <w:sz w:val="24"/>
                <w:szCs w:val="24"/>
                <w:highlight w:val="none"/>
              </w:rPr>
              <w:t>分/项；</w:t>
            </w:r>
          </w:p>
          <w:p w14:paraId="388F426D">
            <w:pPr>
              <w:shd w:val="clear"/>
              <w:spacing w:line="360" w:lineRule="auto"/>
              <w:jc w:val="left"/>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（4）未提供相应方案，得0分/项。</w:t>
            </w:r>
          </w:p>
          <w:p w14:paraId="25EF9890">
            <w:pPr>
              <w:shd w:val="clear"/>
              <w:spacing w:line="360" w:lineRule="auto"/>
              <w:jc w:val="left"/>
              <w:rPr>
                <w:rFonts w:hint="eastAsia" w:ascii="仿宋" w:hAnsi="仿宋" w:eastAsia="仿宋" w:cs="Times New Roman"/>
                <w:b/>
                <w:bCs/>
                <w:color w:val="auto"/>
                <w:sz w:val="24"/>
                <w:szCs w:val="24"/>
                <w:highlight w:val="none"/>
              </w:rPr>
            </w:pPr>
            <w:r>
              <w:rPr>
                <w:rFonts w:hint="eastAsia" w:ascii="仿宋" w:hAnsi="仿宋" w:eastAsia="仿宋" w:cs="Times New Roman"/>
                <w:b/>
                <w:bCs/>
                <w:color w:val="auto"/>
                <w:sz w:val="24"/>
                <w:szCs w:val="24"/>
                <w:highlight w:val="none"/>
              </w:rPr>
              <w:t>注：1.内容不完善（不全面）或有瑕疵是指：内容与项目实际情况不符、内容与项目无关、内容表述错误、内容前后表述矛盾、内容凭空编造、逻辑混乱以及不可能实现的夸大等情形。</w:t>
            </w:r>
          </w:p>
          <w:p w14:paraId="087768BF">
            <w:pPr>
              <w:shd w:val="clear"/>
              <w:spacing w:line="360" w:lineRule="auto"/>
              <w:rPr>
                <w:rFonts w:hint="eastAsia" w:ascii="仿宋" w:hAnsi="仿宋" w:eastAsia="仿宋" w:cs="Times New Roman"/>
                <w:b/>
                <w:bCs/>
                <w:color w:val="auto"/>
                <w:sz w:val="24"/>
                <w:szCs w:val="24"/>
                <w:highlight w:val="none"/>
              </w:rPr>
            </w:pPr>
            <w:r>
              <w:rPr>
                <w:rFonts w:hint="eastAsia" w:ascii="仿宋" w:hAnsi="仿宋" w:eastAsia="仿宋" w:cs="Times New Roman"/>
                <w:b/>
                <w:bCs/>
                <w:color w:val="auto"/>
                <w:sz w:val="24"/>
                <w:szCs w:val="24"/>
                <w:highlight w:val="none"/>
              </w:rPr>
              <w:t>2.出现重大偏差是指：内容与项目不匹配、项目信息错误（包括时间、地点、名称等）、不符合本项目涉及的相关规范或标准要求等情形。</w:t>
            </w:r>
          </w:p>
        </w:tc>
      </w:tr>
      <w:tr w14:paraId="052B8B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94" w:type="dxa"/>
            <w:vMerge w:val="continue"/>
            <w:vAlign w:val="center"/>
          </w:tcPr>
          <w:p w14:paraId="68C7C5A8">
            <w:pPr>
              <w:keepNext w:val="0"/>
              <w:keepLines w:val="0"/>
              <w:pageBreakBefore w:val="0"/>
              <w:widowControl w:val="0"/>
              <w:kinsoku/>
              <w:wordWrap/>
              <w:overflowPunct/>
              <w:topLinePunct w:val="0"/>
              <w:autoSpaceDE w:val="0"/>
              <w:autoSpaceDN w:val="0"/>
              <w:bidi w:val="0"/>
              <w:adjustRightInd/>
              <w:snapToGrid/>
              <w:spacing w:after="0" w:line="360" w:lineRule="auto"/>
              <w:textAlignment w:val="auto"/>
              <w:rPr>
                <w:color w:val="auto"/>
                <w:highlight w:val="none"/>
              </w:rPr>
            </w:pPr>
          </w:p>
        </w:tc>
        <w:tc>
          <w:tcPr>
            <w:tcW w:w="1427" w:type="dxa"/>
            <w:vMerge w:val="continue"/>
            <w:vAlign w:val="center"/>
          </w:tcPr>
          <w:p w14:paraId="1E22016A">
            <w:pPr>
              <w:keepNext w:val="0"/>
              <w:keepLines w:val="0"/>
              <w:pageBreakBefore w:val="0"/>
              <w:widowControl w:val="0"/>
              <w:kinsoku/>
              <w:wordWrap/>
              <w:overflowPunct/>
              <w:topLinePunct w:val="0"/>
              <w:autoSpaceDE w:val="0"/>
              <w:autoSpaceDN w:val="0"/>
              <w:bidi w:val="0"/>
              <w:adjustRightInd/>
              <w:snapToGrid/>
              <w:spacing w:after="0" w:line="360" w:lineRule="auto"/>
              <w:textAlignment w:val="auto"/>
              <w:rPr>
                <w:color w:val="auto"/>
                <w:highlight w:val="none"/>
              </w:rPr>
            </w:pPr>
          </w:p>
        </w:tc>
        <w:tc>
          <w:tcPr>
            <w:tcW w:w="1329" w:type="dxa"/>
            <w:tcBorders>
              <w:right w:val="single" w:color="auto" w:sz="4" w:space="0"/>
            </w:tcBorders>
            <w:vAlign w:val="center"/>
          </w:tcPr>
          <w:p w14:paraId="038C9EF3">
            <w:pPr>
              <w:shd w:val="clear"/>
              <w:spacing w:line="360" w:lineRule="auto"/>
              <w:jc w:val="center"/>
              <w:rPr>
                <w:color w:val="auto"/>
                <w:highlight w:val="none"/>
              </w:rPr>
            </w:pPr>
            <w:r>
              <w:rPr>
                <w:rFonts w:hint="eastAsia" w:ascii="仿宋" w:hAnsi="仿宋" w:eastAsia="仿宋" w:cs="仿宋"/>
                <w:b/>
                <w:bCs/>
                <w:color w:val="auto"/>
                <w:kern w:val="0"/>
                <w:sz w:val="24"/>
                <w:highlight w:val="none"/>
              </w:rPr>
              <w:t>质量保证及承诺（满分</w:t>
            </w:r>
            <w:r>
              <w:rPr>
                <w:rFonts w:hint="eastAsia" w:ascii="仿宋" w:hAnsi="仿宋" w:eastAsia="仿宋" w:cs="仿宋"/>
                <w:b/>
                <w:bCs/>
                <w:color w:val="auto"/>
                <w:kern w:val="0"/>
                <w:sz w:val="24"/>
                <w:highlight w:val="none"/>
                <w:lang w:val="en-US" w:eastAsia="zh-CN"/>
              </w:rPr>
              <w:t>4</w:t>
            </w:r>
            <w:r>
              <w:rPr>
                <w:rFonts w:hint="eastAsia" w:ascii="仿宋" w:hAnsi="仿宋" w:eastAsia="仿宋" w:cs="仿宋"/>
                <w:b/>
                <w:bCs/>
                <w:color w:val="auto"/>
                <w:kern w:val="0"/>
                <w:sz w:val="24"/>
                <w:highlight w:val="none"/>
              </w:rPr>
              <w:t>分）</w:t>
            </w:r>
          </w:p>
        </w:tc>
        <w:tc>
          <w:tcPr>
            <w:tcW w:w="6561" w:type="dxa"/>
            <w:tcBorders>
              <w:left w:val="single" w:color="auto" w:sz="4" w:space="0"/>
            </w:tcBorders>
            <w:vAlign w:val="center"/>
          </w:tcPr>
          <w:p w14:paraId="23FC8BA8">
            <w:pPr>
              <w:shd w:val="clear"/>
              <w:spacing w:line="360" w:lineRule="auto"/>
              <w:jc w:val="both"/>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lang w:val="en-US" w:eastAsia="zh-CN"/>
              </w:rPr>
              <w:t>三、</w:t>
            </w:r>
            <w:r>
              <w:rPr>
                <w:rFonts w:hint="eastAsia" w:ascii="仿宋" w:hAnsi="仿宋" w:eastAsia="仿宋" w:cs="仿宋"/>
                <w:b/>
                <w:bCs/>
                <w:color w:val="auto"/>
                <w:kern w:val="0"/>
                <w:sz w:val="24"/>
                <w:highlight w:val="none"/>
              </w:rPr>
              <w:t>质量保证及承诺（满分</w:t>
            </w:r>
            <w:r>
              <w:rPr>
                <w:rFonts w:hint="eastAsia" w:ascii="仿宋" w:hAnsi="仿宋" w:eastAsia="仿宋" w:cs="仿宋"/>
                <w:b/>
                <w:bCs/>
                <w:color w:val="auto"/>
                <w:kern w:val="0"/>
                <w:sz w:val="24"/>
                <w:highlight w:val="none"/>
                <w:lang w:val="en-US" w:eastAsia="zh-CN"/>
              </w:rPr>
              <w:t>4</w:t>
            </w:r>
            <w:r>
              <w:rPr>
                <w:rFonts w:hint="eastAsia" w:ascii="仿宋" w:hAnsi="仿宋" w:eastAsia="仿宋" w:cs="仿宋"/>
                <w:b/>
                <w:bCs/>
                <w:color w:val="auto"/>
                <w:kern w:val="0"/>
                <w:sz w:val="24"/>
                <w:highlight w:val="none"/>
              </w:rPr>
              <w:t>分）</w:t>
            </w:r>
          </w:p>
          <w:p w14:paraId="584B6125">
            <w:pPr>
              <w:shd w:val="clear"/>
              <w:spacing w:line="360" w:lineRule="auto"/>
              <w:jc w:val="left"/>
              <w:rPr>
                <w:rFonts w:hint="eastAsia" w:ascii="仿宋" w:hAnsi="仿宋" w:eastAsia="仿宋" w:cs="Times New Roman"/>
                <w:b w:val="0"/>
                <w:bCs w:val="0"/>
                <w:color w:val="auto"/>
                <w:sz w:val="24"/>
                <w:highlight w:val="none"/>
                <w:lang w:eastAsia="zh-CN"/>
              </w:rPr>
            </w:pPr>
            <w:r>
              <w:rPr>
                <w:rFonts w:hint="eastAsia" w:ascii="仿宋" w:hAnsi="仿宋" w:eastAsia="仿宋" w:cs="Times New Roman"/>
                <w:b w:val="0"/>
                <w:bCs w:val="0"/>
                <w:color w:val="auto"/>
                <w:sz w:val="24"/>
                <w:highlight w:val="none"/>
                <w:lang w:eastAsia="zh-CN"/>
              </w:rPr>
              <w:t>质量保证及承诺内容包括但不限于：</w:t>
            </w:r>
          </w:p>
          <w:p w14:paraId="6DC96859">
            <w:pPr>
              <w:shd w:val="clear"/>
              <w:spacing w:line="360" w:lineRule="auto"/>
              <w:jc w:val="left"/>
              <w:rPr>
                <w:rFonts w:hint="eastAsia" w:ascii="仿宋" w:hAnsi="仿宋" w:eastAsia="仿宋" w:cs="Times New Roman"/>
                <w:b/>
                <w:bCs/>
                <w:color w:val="auto"/>
                <w:sz w:val="24"/>
                <w:highlight w:val="none"/>
                <w:lang w:eastAsia="zh-CN"/>
              </w:rPr>
            </w:pPr>
            <w:r>
              <w:rPr>
                <w:rFonts w:hint="eastAsia" w:ascii="仿宋" w:hAnsi="仿宋" w:eastAsia="仿宋" w:cs="Times New Roman"/>
                <w:b/>
                <w:bCs/>
                <w:color w:val="auto"/>
                <w:sz w:val="24"/>
                <w:highlight w:val="none"/>
                <w:lang w:eastAsia="zh-CN"/>
              </w:rPr>
              <w:t>①整体质保期限、质保期内售后服务响应时间与处理机制；②故障抢修、定期巡检的具体安排；</w:t>
            </w:r>
          </w:p>
          <w:p w14:paraId="02BA487E">
            <w:pPr>
              <w:shd w:val="clear"/>
              <w:spacing w:line="360" w:lineRule="auto"/>
              <w:jc w:val="left"/>
              <w:rPr>
                <w:rFonts w:hint="eastAsia" w:ascii="仿宋" w:hAnsi="仿宋" w:eastAsia="仿宋" w:cs="Times New Roman"/>
                <w:b/>
                <w:bCs/>
                <w:color w:val="auto"/>
                <w:sz w:val="24"/>
                <w:highlight w:val="none"/>
                <w:lang w:eastAsia="zh-CN"/>
              </w:rPr>
            </w:pPr>
            <w:r>
              <w:rPr>
                <w:rFonts w:hint="eastAsia" w:ascii="仿宋" w:hAnsi="仿宋" w:eastAsia="仿宋" w:cs="Times New Roman"/>
                <w:b/>
                <w:bCs/>
                <w:color w:val="auto"/>
                <w:sz w:val="24"/>
                <w:highlight w:val="none"/>
                <w:lang w:eastAsia="zh-CN"/>
              </w:rPr>
              <w:t>③质量问题的赔付约定；</w:t>
            </w:r>
          </w:p>
          <w:p w14:paraId="002BCE4C">
            <w:pPr>
              <w:shd w:val="clear"/>
              <w:spacing w:line="360" w:lineRule="auto"/>
              <w:jc w:val="left"/>
              <w:rPr>
                <w:rFonts w:hint="eastAsia" w:ascii="仿宋" w:hAnsi="仿宋" w:eastAsia="仿宋"/>
                <w:b/>
                <w:bCs/>
                <w:color w:val="auto"/>
                <w:sz w:val="24"/>
                <w:highlight w:val="none"/>
              </w:rPr>
            </w:pPr>
            <w:r>
              <w:rPr>
                <w:rFonts w:hint="eastAsia" w:ascii="仿宋" w:hAnsi="仿宋" w:eastAsia="仿宋" w:cs="Times New Roman"/>
                <w:b/>
                <w:bCs/>
                <w:color w:val="auto"/>
                <w:sz w:val="24"/>
                <w:highlight w:val="none"/>
                <w:lang w:eastAsia="zh-CN"/>
              </w:rPr>
              <w:t>④非质保期内的维修服务保障方案；</w:t>
            </w:r>
          </w:p>
          <w:p w14:paraId="273D3C7E">
            <w:pPr>
              <w:pStyle w:val="18"/>
              <w:shd w:val="clear"/>
              <w:rPr>
                <w:rFonts w:hint="default"/>
                <w:b/>
                <w:bCs/>
                <w:color w:val="auto"/>
                <w:highlight w:val="none"/>
                <w:lang w:val="en-US" w:eastAsia="zh-CN"/>
              </w:rPr>
            </w:pPr>
            <w:r>
              <w:rPr>
                <w:rFonts w:hint="eastAsia" w:ascii="仿宋" w:hAnsi="仿宋" w:eastAsia="仿宋" w:cs="Times New Roman"/>
                <w:b/>
                <w:bCs/>
                <w:color w:val="auto"/>
                <w:sz w:val="24"/>
                <w:szCs w:val="24"/>
                <w:highlight w:val="none"/>
                <w:lang w:val="en-US" w:eastAsia="zh-CN"/>
              </w:rPr>
              <w:t>评分标准：</w:t>
            </w:r>
          </w:p>
          <w:p w14:paraId="4E15FC9C">
            <w:pPr>
              <w:shd w:val="clear"/>
              <w:spacing w:line="360" w:lineRule="auto"/>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评标委员会根据投标人提供的</w:t>
            </w:r>
            <w:r>
              <w:rPr>
                <w:rFonts w:hint="eastAsia" w:ascii="仿宋" w:hAnsi="仿宋" w:eastAsia="仿宋"/>
                <w:color w:val="auto"/>
                <w:sz w:val="24"/>
                <w:szCs w:val="24"/>
                <w:highlight w:val="none"/>
              </w:rPr>
              <w:t>以上</w:t>
            </w:r>
            <w:r>
              <w:rPr>
                <w:rFonts w:hint="eastAsia" w:ascii="仿宋" w:hAnsi="仿宋" w:eastAsia="仿宋"/>
                <w:color w:val="auto"/>
                <w:sz w:val="24"/>
                <w:szCs w:val="24"/>
                <w:highlight w:val="none"/>
                <w:lang w:val="en-US" w:eastAsia="zh-CN"/>
              </w:rPr>
              <w:t>4</w:t>
            </w:r>
            <w:r>
              <w:rPr>
                <w:rFonts w:hint="eastAsia" w:ascii="仿宋" w:hAnsi="仿宋" w:eastAsia="仿宋"/>
                <w:color w:val="auto"/>
                <w:sz w:val="24"/>
                <w:szCs w:val="24"/>
                <w:highlight w:val="none"/>
              </w:rPr>
              <w:t>项内容</w:t>
            </w:r>
            <w:r>
              <w:rPr>
                <w:rFonts w:hint="eastAsia" w:ascii="仿宋" w:hAnsi="仿宋" w:eastAsia="仿宋"/>
                <w:color w:val="auto"/>
                <w:sz w:val="24"/>
                <w:szCs w:val="24"/>
                <w:highlight w:val="none"/>
                <w:lang w:val="en-US" w:eastAsia="zh-CN"/>
              </w:rPr>
              <w:t>的完整性、可行性、规范性、针对性进行综合评审并</w:t>
            </w:r>
            <w:r>
              <w:rPr>
                <w:rFonts w:hint="eastAsia" w:ascii="仿宋" w:hAnsi="仿宋" w:eastAsia="仿宋"/>
                <w:color w:val="auto"/>
                <w:sz w:val="24"/>
                <w:szCs w:val="24"/>
                <w:highlight w:val="none"/>
              </w:rPr>
              <w:t>逐项</w:t>
            </w:r>
            <w:r>
              <w:rPr>
                <w:rFonts w:hint="eastAsia" w:ascii="仿宋" w:hAnsi="仿宋" w:eastAsia="仿宋"/>
                <w:color w:val="auto"/>
                <w:sz w:val="24"/>
                <w:szCs w:val="24"/>
                <w:highlight w:val="none"/>
                <w:lang w:val="en-US" w:eastAsia="zh-CN"/>
              </w:rPr>
              <w:t>进行赋分</w:t>
            </w:r>
            <w:r>
              <w:rPr>
                <w:rFonts w:hint="eastAsia" w:ascii="仿宋" w:hAnsi="仿宋" w:eastAsia="仿宋"/>
                <w:color w:val="auto"/>
                <w:sz w:val="24"/>
                <w:szCs w:val="24"/>
                <w:highlight w:val="none"/>
              </w:rPr>
              <w:t>，每项</w:t>
            </w:r>
            <w:r>
              <w:rPr>
                <w:rFonts w:hint="eastAsia" w:ascii="仿宋" w:hAnsi="仿宋" w:eastAsia="仿宋"/>
                <w:color w:val="auto"/>
                <w:sz w:val="24"/>
                <w:szCs w:val="24"/>
                <w:highlight w:val="none"/>
                <w:lang w:val="en-US" w:eastAsia="zh-CN"/>
              </w:rPr>
              <w:t>1</w:t>
            </w:r>
            <w:r>
              <w:rPr>
                <w:rFonts w:hint="eastAsia" w:ascii="仿宋" w:hAnsi="仿宋" w:eastAsia="仿宋"/>
                <w:color w:val="auto"/>
                <w:sz w:val="24"/>
                <w:szCs w:val="24"/>
                <w:highlight w:val="none"/>
              </w:rPr>
              <w:t>分，满分</w:t>
            </w:r>
            <w:r>
              <w:rPr>
                <w:rFonts w:hint="eastAsia" w:ascii="仿宋" w:hAnsi="仿宋" w:eastAsia="仿宋"/>
                <w:color w:val="auto"/>
                <w:sz w:val="24"/>
                <w:szCs w:val="24"/>
                <w:highlight w:val="none"/>
                <w:lang w:val="en-US" w:eastAsia="zh-CN"/>
              </w:rPr>
              <w:t>4</w:t>
            </w:r>
            <w:r>
              <w:rPr>
                <w:rFonts w:hint="eastAsia" w:ascii="仿宋" w:hAnsi="仿宋" w:eastAsia="仿宋"/>
                <w:color w:val="auto"/>
                <w:sz w:val="24"/>
                <w:szCs w:val="24"/>
                <w:highlight w:val="none"/>
              </w:rPr>
              <w:t>分；</w:t>
            </w:r>
          </w:p>
          <w:p w14:paraId="366C8A04">
            <w:pPr>
              <w:shd w:val="clear"/>
              <w:spacing w:line="360" w:lineRule="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（1）提供的内容完整、详实可行，有针对性及可操作性，得</w:t>
            </w:r>
            <w:r>
              <w:rPr>
                <w:rFonts w:hint="eastAsia" w:ascii="仿宋" w:hAnsi="仿宋" w:eastAsia="仿宋"/>
                <w:color w:val="auto"/>
                <w:sz w:val="24"/>
                <w:szCs w:val="24"/>
                <w:highlight w:val="none"/>
                <w:lang w:val="en-US" w:eastAsia="zh-CN"/>
              </w:rPr>
              <w:t>1</w:t>
            </w:r>
            <w:r>
              <w:rPr>
                <w:rFonts w:hint="eastAsia" w:ascii="仿宋" w:hAnsi="仿宋" w:eastAsia="仿宋"/>
                <w:color w:val="auto"/>
                <w:sz w:val="24"/>
                <w:szCs w:val="24"/>
                <w:highlight w:val="none"/>
              </w:rPr>
              <w:t>分/项；</w:t>
            </w:r>
          </w:p>
          <w:p w14:paraId="654A20CD">
            <w:pPr>
              <w:shd w:val="clear"/>
              <w:spacing w:line="360" w:lineRule="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（2）提供了常规、通用的内容，不完善（不全面）或有瑕疵的，得</w:t>
            </w:r>
            <w:r>
              <w:rPr>
                <w:rFonts w:hint="eastAsia" w:ascii="仿宋" w:hAnsi="仿宋" w:eastAsia="仿宋"/>
                <w:color w:val="auto"/>
                <w:sz w:val="24"/>
                <w:szCs w:val="24"/>
                <w:highlight w:val="none"/>
                <w:lang w:val="en-US" w:eastAsia="zh-CN"/>
              </w:rPr>
              <w:t>0.6</w:t>
            </w:r>
            <w:r>
              <w:rPr>
                <w:rFonts w:hint="eastAsia" w:ascii="仿宋" w:hAnsi="仿宋" w:eastAsia="仿宋"/>
                <w:color w:val="auto"/>
                <w:sz w:val="24"/>
                <w:szCs w:val="24"/>
                <w:highlight w:val="none"/>
              </w:rPr>
              <w:t>分/项；</w:t>
            </w:r>
          </w:p>
          <w:p w14:paraId="3B83156D">
            <w:pPr>
              <w:shd w:val="clear"/>
              <w:spacing w:line="360" w:lineRule="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（3）提供的方案欠佳或方案不可行或出现重大偏差的，得0.</w:t>
            </w:r>
            <w:r>
              <w:rPr>
                <w:rFonts w:hint="eastAsia" w:ascii="仿宋" w:hAnsi="仿宋" w:eastAsia="仿宋"/>
                <w:color w:val="auto"/>
                <w:sz w:val="24"/>
                <w:szCs w:val="24"/>
                <w:highlight w:val="none"/>
                <w:lang w:val="en-US" w:eastAsia="zh-CN"/>
              </w:rPr>
              <w:t>2</w:t>
            </w:r>
            <w:r>
              <w:rPr>
                <w:rFonts w:hint="eastAsia" w:ascii="仿宋" w:hAnsi="仿宋" w:eastAsia="仿宋"/>
                <w:color w:val="auto"/>
                <w:sz w:val="24"/>
                <w:szCs w:val="24"/>
                <w:highlight w:val="none"/>
              </w:rPr>
              <w:t>分/项；</w:t>
            </w:r>
          </w:p>
          <w:p w14:paraId="43586779">
            <w:pPr>
              <w:shd w:val="clear"/>
              <w:spacing w:line="360" w:lineRule="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（4）未提供相应方案，得0分/项。</w:t>
            </w:r>
          </w:p>
          <w:p w14:paraId="1979AE51">
            <w:pPr>
              <w:shd w:val="clear"/>
              <w:spacing w:line="360" w:lineRule="auto"/>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t>注：1.内容不完善（不全面）或有瑕疵是指：内容与项目实际情况不符、内容与项目无关、内容表述错误、内容前后表述矛盾、内容凭空编造、逻辑混乱以及不可能实现的夸大等情形。</w:t>
            </w:r>
          </w:p>
          <w:p w14:paraId="7167F250">
            <w:pPr>
              <w:shd w:val="clear"/>
              <w:spacing w:line="360" w:lineRule="auto"/>
              <w:rPr>
                <w:rFonts w:hint="eastAsia" w:ascii="仿宋" w:hAnsi="仿宋" w:eastAsia="仿宋" w:cs="仿宋"/>
                <w:b/>
                <w:bCs w:val="0"/>
                <w:color w:val="auto"/>
                <w:kern w:val="0"/>
                <w:sz w:val="24"/>
                <w:szCs w:val="24"/>
                <w:highlight w:val="none"/>
              </w:rPr>
            </w:pPr>
            <w:r>
              <w:rPr>
                <w:rFonts w:hint="eastAsia" w:ascii="仿宋" w:hAnsi="仿宋" w:eastAsia="仿宋"/>
                <w:b/>
                <w:bCs/>
                <w:color w:val="auto"/>
                <w:sz w:val="24"/>
                <w:szCs w:val="24"/>
                <w:highlight w:val="none"/>
              </w:rPr>
              <w:t>2.出现重大偏差是指：内容与项目不匹配、项目信息错误（包括时间、地点、名称等）、不符合本项目涉及的相关规范或标准要求等情形。</w:t>
            </w:r>
          </w:p>
        </w:tc>
      </w:tr>
      <w:tr w14:paraId="0728C5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29" w:hRule="atLeast"/>
          <w:jc w:val="center"/>
        </w:trPr>
        <w:tc>
          <w:tcPr>
            <w:tcW w:w="994" w:type="dxa"/>
            <w:vMerge w:val="continue"/>
            <w:vAlign w:val="center"/>
          </w:tcPr>
          <w:p w14:paraId="16F714DB">
            <w:pPr>
              <w:pageBreakBefore w:val="0"/>
              <w:kinsoku/>
              <w:wordWrap/>
              <w:overflowPunct/>
              <w:topLinePunct w:val="0"/>
              <w:autoSpaceDE/>
              <w:autoSpaceDN/>
              <w:bidi w:val="0"/>
              <w:spacing w:beforeAutospacing="0" w:afterAutospacing="0" w:line="360" w:lineRule="auto"/>
              <w:jc w:val="center"/>
              <w:rPr>
                <w:rFonts w:ascii="仿宋" w:hAnsi="仿宋" w:eastAsia="仿宋"/>
                <w:color w:val="auto"/>
                <w:sz w:val="24"/>
                <w:szCs w:val="24"/>
                <w:highlight w:val="none"/>
              </w:rPr>
            </w:pPr>
          </w:p>
        </w:tc>
        <w:tc>
          <w:tcPr>
            <w:tcW w:w="1427" w:type="dxa"/>
            <w:tcBorders>
              <w:top w:val="single" w:color="auto" w:sz="4" w:space="0"/>
            </w:tcBorders>
            <w:vAlign w:val="center"/>
          </w:tcPr>
          <w:p w14:paraId="6413A842">
            <w:pPr>
              <w:pStyle w:val="240"/>
              <w:pageBreakBefore w:val="0"/>
              <w:kinsoku/>
              <w:wordWrap/>
              <w:overflowPunct/>
              <w:topLinePunct w:val="0"/>
              <w:autoSpaceDE/>
              <w:autoSpaceDN/>
              <w:bidi w:val="0"/>
              <w:spacing w:beforeAutospacing="0" w:afterAutospacing="0" w:line="360" w:lineRule="auto"/>
              <w:ind w:right="-105" w:rightChars="-50" w:firstLine="0"/>
              <w:jc w:val="center"/>
              <w:rPr>
                <w:rFonts w:ascii="仿宋" w:hAnsi="仿宋" w:eastAsia="仿宋"/>
                <w:b/>
                <w:bCs/>
                <w:color w:val="auto"/>
                <w:kern w:val="2"/>
                <w:sz w:val="24"/>
                <w:szCs w:val="24"/>
                <w:highlight w:val="none"/>
              </w:rPr>
            </w:pPr>
            <w:r>
              <w:rPr>
                <w:rFonts w:hint="eastAsia" w:ascii="仿宋" w:hAnsi="仿宋" w:eastAsia="仿宋"/>
                <w:b/>
                <w:bCs/>
                <w:color w:val="auto"/>
                <w:kern w:val="2"/>
                <w:sz w:val="24"/>
                <w:szCs w:val="24"/>
                <w:highlight w:val="none"/>
              </w:rPr>
              <w:t>商务部分得分F3（满分</w:t>
            </w:r>
            <w:r>
              <w:rPr>
                <w:rFonts w:hint="eastAsia" w:ascii="仿宋" w:hAnsi="仿宋" w:eastAsia="仿宋"/>
                <w:b/>
                <w:bCs/>
                <w:color w:val="auto"/>
                <w:kern w:val="2"/>
                <w:sz w:val="24"/>
                <w:szCs w:val="24"/>
                <w:highlight w:val="none"/>
                <w:lang w:val="en-US" w:eastAsia="zh-CN"/>
              </w:rPr>
              <w:t>5</w:t>
            </w:r>
            <w:r>
              <w:rPr>
                <w:rFonts w:hint="eastAsia" w:ascii="仿宋" w:hAnsi="仿宋" w:eastAsia="仿宋"/>
                <w:b/>
                <w:bCs/>
                <w:color w:val="auto"/>
                <w:kern w:val="2"/>
                <w:sz w:val="24"/>
                <w:szCs w:val="24"/>
                <w:highlight w:val="none"/>
              </w:rPr>
              <w:t>分）</w:t>
            </w:r>
          </w:p>
        </w:tc>
        <w:tc>
          <w:tcPr>
            <w:tcW w:w="1329" w:type="dxa"/>
            <w:tcBorders>
              <w:right w:val="single" w:color="auto" w:sz="4" w:space="0"/>
            </w:tcBorders>
            <w:vAlign w:val="center"/>
          </w:tcPr>
          <w:p w14:paraId="57F15E4F">
            <w:pPr>
              <w:shd w:val="clear"/>
              <w:spacing w:line="360" w:lineRule="auto"/>
              <w:jc w:val="center"/>
              <w:rPr>
                <w:rFonts w:hint="eastAsia" w:ascii="仿宋" w:hAnsi="仿宋" w:eastAsia="仿宋"/>
                <w:b/>
                <w:bCs/>
                <w:color w:val="auto"/>
                <w:sz w:val="24"/>
                <w:highlight w:val="none"/>
              </w:rPr>
            </w:pPr>
            <w:r>
              <w:rPr>
                <w:rFonts w:hint="eastAsia" w:ascii="仿宋" w:hAnsi="仿宋" w:eastAsia="仿宋"/>
                <w:b/>
                <w:bCs/>
                <w:color w:val="auto"/>
                <w:sz w:val="24"/>
                <w:highlight w:val="none"/>
              </w:rPr>
              <w:t>售后服务</w:t>
            </w:r>
          </w:p>
          <w:p w14:paraId="3A45605B">
            <w:pPr>
              <w:shd w:val="clear"/>
              <w:spacing w:line="360" w:lineRule="auto"/>
              <w:jc w:val="center"/>
              <w:rPr>
                <w:rFonts w:hint="eastAsia" w:ascii="仿宋" w:hAnsi="仿宋" w:eastAsia="仿宋"/>
                <w:b/>
                <w:bCs/>
                <w:color w:val="auto"/>
                <w:sz w:val="24"/>
                <w:highlight w:val="none"/>
              </w:rPr>
            </w:pPr>
            <w:r>
              <w:rPr>
                <w:rFonts w:hint="eastAsia" w:ascii="仿宋" w:hAnsi="仿宋" w:eastAsia="仿宋"/>
                <w:b/>
                <w:bCs/>
                <w:color w:val="auto"/>
                <w:sz w:val="24"/>
                <w:highlight w:val="none"/>
              </w:rPr>
              <w:t>承诺评审</w:t>
            </w:r>
          </w:p>
          <w:p w14:paraId="07486D48">
            <w:pPr>
              <w:shd w:val="clear"/>
              <w:spacing w:line="360" w:lineRule="auto"/>
              <w:jc w:val="center"/>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b/>
                <w:bCs/>
                <w:color w:val="auto"/>
                <w:sz w:val="24"/>
                <w:highlight w:val="none"/>
              </w:rPr>
              <w:t>（满分</w:t>
            </w:r>
            <w:r>
              <w:rPr>
                <w:rFonts w:hint="eastAsia" w:ascii="仿宋" w:hAnsi="仿宋" w:eastAsia="仿宋"/>
                <w:b/>
                <w:bCs/>
                <w:color w:val="auto"/>
                <w:sz w:val="24"/>
                <w:highlight w:val="none"/>
                <w:lang w:val="en-US" w:eastAsia="zh-CN"/>
              </w:rPr>
              <w:t>5</w:t>
            </w:r>
            <w:r>
              <w:rPr>
                <w:rFonts w:hint="eastAsia" w:ascii="仿宋" w:hAnsi="仿宋" w:eastAsia="仿宋"/>
                <w:b/>
                <w:bCs/>
                <w:color w:val="auto"/>
                <w:sz w:val="24"/>
                <w:highlight w:val="none"/>
              </w:rPr>
              <w:t>分）</w:t>
            </w:r>
          </w:p>
        </w:tc>
        <w:tc>
          <w:tcPr>
            <w:tcW w:w="6561" w:type="dxa"/>
            <w:tcBorders>
              <w:left w:val="single" w:color="auto" w:sz="4" w:space="0"/>
            </w:tcBorders>
            <w:vAlign w:val="center"/>
          </w:tcPr>
          <w:p w14:paraId="74C84E71">
            <w:pPr>
              <w:shd w:val="clear"/>
              <w:spacing w:line="360" w:lineRule="auto"/>
              <w:jc w:val="both"/>
              <w:rPr>
                <w:rFonts w:hint="eastAsia" w:ascii="仿宋" w:hAnsi="仿宋" w:eastAsia="仿宋"/>
                <w:b/>
                <w:bCs/>
                <w:color w:val="auto"/>
                <w:sz w:val="24"/>
                <w:highlight w:val="none"/>
              </w:rPr>
            </w:pPr>
            <w:r>
              <w:rPr>
                <w:rFonts w:hint="eastAsia" w:ascii="仿宋" w:hAnsi="仿宋" w:eastAsia="仿宋"/>
                <w:b/>
                <w:bCs/>
                <w:color w:val="auto"/>
                <w:sz w:val="24"/>
                <w:highlight w:val="none"/>
                <w:lang w:val="en-US" w:eastAsia="zh-CN"/>
              </w:rPr>
              <w:t>一、</w:t>
            </w:r>
            <w:r>
              <w:rPr>
                <w:rFonts w:hint="eastAsia" w:ascii="仿宋" w:hAnsi="仿宋" w:eastAsia="仿宋"/>
                <w:b/>
                <w:bCs/>
                <w:color w:val="auto"/>
                <w:sz w:val="24"/>
                <w:highlight w:val="none"/>
              </w:rPr>
              <w:t>售后服务承诺（满分</w:t>
            </w:r>
            <w:r>
              <w:rPr>
                <w:rFonts w:hint="eastAsia" w:ascii="仿宋" w:hAnsi="仿宋" w:eastAsia="仿宋"/>
                <w:b/>
                <w:bCs/>
                <w:color w:val="auto"/>
                <w:sz w:val="24"/>
                <w:highlight w:val="none"/>
                <w:lang w:val="en-US" w:eastAsia="zh-CN"/>
              </w:rPr>
              <w:t>5</w:t>
            </w:r>
            <w:r>
              <w:rPr>
                <w:rFonts w:hint="eastAsia" w:ascii="仿宋" w:hAnsi="仿宋" w:eastAsia="仿宋"/>
                <w:b/>
                <w:bCs/>
                <w:color w:val="auto"/>
                <w:sz w:val="24"/>
                <w:highlight w:val="none"/>
              </w:rPr>
              <w:t>分）</w:t>
            </w:r>
          </w:p>
          <w:p w14:paraId="69DC8837">
            <w:pPr>
              <w:shd w:val="clear"/>
              <w:spacing w:line="360" w:lineRule="auto"/>
              <w:contextualSpacing/>
              <w:rPr>
                <w:rFonts w:hint="eastAsia" w:ascii="仿宋" w:hAnsi="仿宋" w:eastAsia="仿宋" w:cs="Times New Roman"/>
                <w:b w:val="0"/>
                <w:bCs w:val="0"/>
                <w:color w:val="auto"/>
                <w:sz w:val="24"/>
                <w:highlight w:val="none"/>
                <w:lang w:val="en-US" w:eastAsia="zh-CN"/>
              </w:rPr>
            </w:pPr>
            <w:r>
              <w:rPr>
                <w:rFonts w:hint="eastAsia" w:ascii="仿宋" w:hAnsi="仿宋" w:eastAsia="仿宋" w:cs="Times New Roman"/>
                <w:b w:val="0"/>
                <w:bCs w:val="0"/>
                <w:color w:val="auto"/>
                <w:sz w:val="24"/>
                <w:highlight w:val="none"/>
              </w:rPr>
              <w:t>售后服务承诺</w:t>
            </w:r>
            <w:r>
              <w:rPr>
                <w:rFonts w:hint="eastAsia" w:ascii="仿宋" w:hAnsi="仿宋" w:eastAsia="仿宋" w:cs="Times New Roman"/>
                <w:b w:val="0"/>
                <w:bCs w:val="0"/>
                <w:color w:val="auto"/>
                <w:sz w:val="24"/>
                <w:highlight w:val="none"/>
                <w:lang w:val="en-US" w:eastAsia="zh-CN"/>
              </w:rPr>
              <w:t>内容包含但不仅限于：</w:t>
            </w:r>
          </w:p>
          <w:p w14:paraId="52722260">
            <w:pPr>
              <w:shd w:val="clear"/>
              <w:spacing w:line="360" w:lineRule="auto"/>
              <w:contextualSpacing/>
              <w:rPr>
                <w:rFonts w:hint="eastAsia" w:ascii="仿宋" w:hAnsi="仿宋" w:eastAsia="仿宋" w:cs="Times New Roman"/>
                <w:b/>
                <w:bCs/>
                <w:color w:val="auto"/>
                <w:sz w:val="24"/>
                <w:highlight w:val="none"/>
                <w:lang w:val="en-US" w:eastAsia="zh-CN"/>
              </w:rPr>
            </w:pPr>
            <w:r>
              <w:rPr>
                <w:rFonts w:hint="eastAsia" w:ascii="仿宋" w:hAnsi="仿宋" w:eastAsia="仿宋" w:cs="Times New Roman"/>
                <w:b/>
                <w:bCs/>
                <w:color w:val="auto"/>
                <w:sz w:val="24"/>
                <w:highlight w:val="none"/>
                <w:lang w:val="en-US" w:eastAsia="zh-CN"/>
              </w:rPr>
              <w:t>①免费质保期说明；</w:t>
            </w:r>
          </w:p>
          <w:p w14:paraId="6CC2819F">
            <w:pPr>
              <w:shd w:val="clear"/>
              <w:spacing w:line="360" w:lineRule="auto"/>
              <w:contextualSpacing/>
              <w:rPr>
                <w:rFonts w:hint="eastAsia" w:ascii="仿宋" w:hAnsi="仿宋" w:eastAsia="仿宋" w:cs="Times New Roman"/>
                <w:b/>
                <w:bCs/>
                <w:color w:val="auto"/>
                <w:sz w:val="24"/>
                <w:highlight w:val="none"/>
                <w:lang w:val="en-US" w:eastAsia="zh-CN"/>
              </w:rPr>
            </w:pPr>
            <w:r>
              <w:rPr>
                <w:rFonts w:hint="eastAsia" w:ascii="仿宋" w:hAnsi="仿宋" w:eastAsia="仿宋" w:cs="Times New Roman"/>
                <w:b/>
                <w:bCs/>
                <w:color w:val="auto"/>
                <w:sz w:val="24"/>
                <w:highlight w:val="none"/>
                <w:lang w:val="en-US" w:eastAsia="zh-CN"/>
              </w:rPr>
              <w:t>②质保期内上门维修响应时间及解决时效、质保期后的收费标准；</w:t>
            </w:r>
          </w:p>
          <w:p w14:paraId="5DA4D0B7">
            <w:pPr>
              <w:shd w:val="clear"/>
              <w:spacing w:line="360" w:lineRule="auto"/>
              <w:contextualSpacing/>
              <w:rPr>
                <w:rFonts w:hint="eastAsia" w:ascii="仿宋" w:hAnsi="仿宋" w:eastAsia="仿宋" w:cs="Times New Roman"/>
                <w:b/>
                <w:bCs/>
                <w:color w:val="auto"/>
                <w:sz w:val="24"/>
                <w:highlight w:val="none"/>
                <w:lang w:val="en-US" w:eastAsia="zh-CN"/>
              </w:rPr>
            </w:pPr>
            <w:r>
              <w:rPr>
                <w:rFonts w:hint="eastAsia" w:ascii="仿宋" w:hAnsi="仿宋" w:eastAsia="仿宋" w:cs="Times New Roman"/>
                <w:b/>
                <w:bCs/>
                <w:color w:val="auto"/>
                <w:sz w:val="24"/>
                <w:highlight w:val="none"/>
                <w:lang w:val="en-US" w:eastAsia="zh-CN"/>
              </w:rPr>
              <w:t>③售后服务团队配置；</w:t>
            </w:r>
          </w:p>
          <w:p w14:paraId="0D9F6655">
            <w:pPr>
              <w:shd w:val="clear"/>
              <w:spacing w:line="360" w:lineRule="auto"/>
              <w:contextualSpacing/>
              <w:rPr>
                <w:rFonts w:hint="eastAsia" w:ascii="仿宋" w:hAnsi="仿宋" w:eastAsia="仿宋" w:cs="Times New Roman"/>
                <w:b/>
                <w:bCs/>
                <w:color w:val="auto"/>
                <w:sz w:val="24"/>
                <w:highlight w:val="none"/>
                <w:lang w:val="en-US" w:eastAsia="zh-CN"/>
              </w:rPr>
            </w:pPr>
            <w:r>
              <w:rPr>
                <w:rFonts w:hint="eastAsia" w:ascii="仿宋" w:hAnsi="仿宋" w:eastAsia="仿宋" w:cs="Times New Roman"/>
                <w:b/>
                <w:bCs/>
                <w:color w:val="auto"/>
                <w:sz w:val="24"/>
                <w:highlight w:val="none"/>
                <w:lang w:val="en-US" w:eastAsia="zh-CN"/>
              </w:rPr>
              <w:t>④定期巡检维护方案；</w:t>
            </w:r>
          </w:p>
          <w:p w14:paraId="7BD76E9B">
            <w:pPr>
              <w:shd w:val="clear"/>
              <w:spacing w:line="360" w:lineRule="auto"/>
              <w:contextualSpacing/>
              <w:rPr>
                <w:rFonts w:hint="eastAsia" w:ascii="仿宋" w:hAnsi="仿宋" w:eastAsia="仿宋" w:cs="Times New Roman"/>
                <w:b/>
                <w:bCs/>
                <w:color w:val="auto"/>
                <w:sz w:val="24"/>
                <w:highlight w:val="none"/>
              </w:rPr>
            </w:pPr>
            <w:r>
              <w:rPr>
                <w:rFonts w:hint="eastAsia" w:ascii="仿宋" w:hAnsi="仿宋" w:eastAsia="仿宋" w:cs="Times New Roman"/>
                <w:b/>
                <w:bCs/>
                <w:color w:val="auto"/>
                <w:sz w:val="24"/>
                <w:highlight w:val="none"/>
                <w:lang w:val="en-US" w:eastAsia="zh-CN"/>
              </w:rPr>
              <w:t>⑤人员培训安排、备件保障方案、退换货机制。</w:t>
            </w:r>
          </w:p>
          <w:p w14:paraId="1453E5A0">
            <w:pPr>
              <w:pStyle w:val="18"/>
              <w:shd w:val="clear"/>
              <w:rPr>
                <w:rFonts w:hint="default"/>
                <w:b/>
                <w:bCs/>
                <w:color w:val="auto"/>
                <w:highlight w:val="none"/>
                <w:lang w:val="en-US" w:eastAsia="zh-CN"/>
              </w:rPr>
            </w:pPr>
            <w:r>
              <w:rPr>
                <w:rFonts w:hint="eastAsia" w:ascii="仿宋" w:hAnsi="仿宋" w:eastAsia="仿宋" w:cs="Times New Roman"/>
                <w:b/>
                <w:bCs/>
                <w:color w:val="auto"/>
                <w:sz w:val="24"/>
                <w:szCs w:val="24"/>
                <w:highlight w:val="none"/>
                <w:lang w:val="en-US" w:eastAsia="zh-CN"/>
              </w:rPr>
              <w:t>评分标准：</w:t>
            </w:r>
          </w:p>
          <w:p w14:paraId="4F190BD9">
            <w:pPr>
              <w:shd w:val="clear"/>
              <w:spacing w:line="360" w:lineRule="auto"/>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评标委员会根据投标人提供的</w:t>
            </w:r>
            <w:r>
              <w:rPr>
                <w:rFonts w:hint="eastAsia" w:ascii="仿宋" w:hAnsi="仿宋" w:eastAsia="仿宋"/>
                <w:color w:val="auto"/>
                <w:sz w:val="24"/>
                <w:szCs w:val="24"/>
                <w:highlight w:val="none"/>
              </w:rPr>
              <w:t>以上</w:t>
            </w:r>
            <w:r>
              <w:rPr>
                <w:rFonts w:hint="eastAsia" w:ascii="仿宋" w:hAnsi="仿宋" w:eastAsia="仿宋"/>
                <w:color w:val="auto"/>
                <w:sz w:val="24"/>
                <w:szCs w:val="24"/>
                <w:highlight w:val="none"/>
                <w:lang w:val="en-US" w:eastAsia="zh-CN"/>
              </w:rPr>
              <w:t>5</w:t>
            </w:r>
            <w:r>
              <w:rPr>
                <w:rFonts w:hint="eastAsia" w:ascii="仿宋" w:hAnsi="仿宋" w:eastAsia="仿宋"/>
                <w:color w:val="auto"/>
                <w:sz w:val="24"/>
                <w:szCs w:val="24"/>
                <w:highlight w:val="none"/>
              </w:rPr>
              <w:t>项内容</w:t>
            </w:r>
            <w:r>
              <w:rPr>
                <w:rFonts w:hint="eastAsia" w:ascii="仿宋" w:hAnsi="仿宋" w:eastAsia="仿宋"/>
                <w:color w:val="auto"/>
                <w:sz w:val="24"/>
                <w:szCs w:val="24"/>
                <w:highlight w:val="none"/>
                <w:lang w:val="en-US" w:eastAsia="zh-CN"/>
              </w:rPr>
              <w:t>的完整性、可行性、针对性进行综合评审并</w:t>
            </w:r>
            <w:r>
              <w:rPr>
                <w:rFonts w:hint="eastAsia" w:ascii="仿宋" w:hAnsi="仿宋" w:eastAsia="仿宋"/>
                <w:color w:val="auto"/>
                <w:sz w:val="24"/>
                <w:szCs w:val="24"/>
                <w:highlight w:val="none"/>
              </w:rPr>
              <w:t>逐项</w:t>
            </w:r>
            <w:r>
              <w:rPr>
                <w:rFonts w:hint="eastAsia" w:ascii="仿宋" w:hAnsi="仿宋" w:eastAsia="仿宋"/>
                <w:color w:val="auto"/>
                <w:sz w:val="24"/>
                <w:szCs w:val="24"/>
                <w:highlight w:val="none"/>
                <w:lang w:val="en-US" w:eastAsia="zh-CN"/>
              </w:rPr>
              <w:t>进行赋分</w:t>
            </w:r>
            <w:r>
              <w:rPr>
                <w:rFonts w:hint="eastAsia" w:ascii="仿宋" w:hAnsi="仿宋" w:eastAsia="仿宋"/>
                <w:color w:val="auto"/>
                <w:sz w:val="24"/>
                <w:szCs w:val="24"/>
                <w:highlight w:val="none"/>
              </w:rPr>
              <w:t>，每项</w:t>
            </w:r>
            <w:r>
              <w:rPr>
                <w:rFonts w:hint="eastAsia" w:ascii="仿宋" w:hAnsi="仿宋" w:eastAsia="仿宋"/>
                <w:color w:val="auto"/>
                <w:sz w:val="24"/>
                <w:szCs w:val="24"/>
                <w:highlight w:val="none"/>
                <w:lang w:val="en-US" w:eastAsia="zh-CN"/>
              </w:rPr>
              <w:t>1</w:t>
            </w:r>
            <w:r>
              <w:rPr>
                <w:rFonts w:hint="eastAsia" w:ascii="仿宋" w:hAnsi="仿宋" w:eastAsia="仿宋"/>
                <w:color w:val="auto"/>
                <w:sz w:val="24"/>
                <w:szCs w:val="24"/>
                <w:highlight w:val="none"/>
              </w:rPr>
              <w:t>分，满分</w:t>
            </w:r>
            <w:r>
              <w:rPr>
                <w:rFonts w:hint="eastAsia" w:ascii="仿宋" w:hAnsi="仿宋" w:eastAsia="仿宋"/>
                <w:color w:val="auto"/>
                <w:sz w:val="24"/>
                <w:szCs w:val="24"/>
                <w:highlight w:val="none"/>
                <w:lang w:val="en-US" w:eastAsia="zh-CN"/>
              </w:rPr>
              <w:t>5</w:t>
            </w:r>
            <w:r>
              <w:rPr>
                <w:rFonts w:hint="eastAsia" w:ascii="仿宋" w:hAnsi="仿宋" w:eastAsia="仿宋"/>
                <w:color w:val="auto"/>
                <w:sz w:val="24"/>
                <w:szCs w:val="24"/>
                <w:highlight w:val="none"/>
              </w:rPr>
              <w:t>分；</w:t>
            </w:r>
          </w:p>
          <w:p w14:paraId="1729F03B">
            <w:pPr>
              <w:shd w:val="clear"/>
              <w:spacing w:line="360" w:lineRule="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（1）每项评审标准：提供的内容完整、详实可行，有针对性及可操作性，得</w:t>
            </w:r>
            <w:r>
              <w:rPr>
                <w:rFonts w:hint="eastAsia" w:ascii="仿宋" w:hAnsi="仿宋" w:eastAsia="仿宋"/>
                <w:color w:val="auto"/>
                <w:sz w:val="24"/>
                <w:szCs w:val="24"/>
                <w:highlight w:val="none"/>
                <w:lang w:val="en-US" w:eastAsia="zh-CN"/>
              </w:rPr>
              <w:t>1</w:t>
            </w:r>
            <w:r>
              <w:rPr>
                <w:rFonts w:hint="eastAsia" w:ascii="仿宋" w:hAnsi="仿宋" w:eastAsia="仿宋"/>
                <w:color w:val="auto"/>
                <w:sz w:val="24"/>
                <w:szCs w:val="24"/>
                <w:highlight w:val="none"/>
              </w:rPr>
              <w:t>分/项；</w:t>
            </w:r>
          </w:p>
          <w:p w14:paraId="27C0ECBA">
            <w:pPr>
              <w:shd w:val="clear"/>
              <w:spacing w:line="360" w:lineRule="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（2）提供了常规、通用的内容，不完善（不全面）或有瑕疵的，得</w:t>
            </w:r>
            <w:r>
              <w:rPr>
                <w:rFonts w:hint="eastAsia" w:ascii="仿宋" w:hAnsi="仿宋" w:eastAsia="仿宋"/>
                <w:color w:val="auto"/>
                <w:sz w:val="24"/>
                <w:szCs w:val="24"/>
                <w:highlight w:val="none"/>
                <w:lang w:val="en-US" w:eastAsia="zh-CN"/>
              </w:rPr>
              <w:t>0.6</w:t>
            </w:r>
            <w:r>
              <w:rPr>
                <w:rFonts w:hint="eastAsia" w:ascii="仿宋" w:hAnsi="仿宋" w:eastAsia="仿宋"/>
                <w:color w:val="auto"/>
                <w:sz w:val="24"/>
                <w:szCs w:val="24"/>
                <w:highlight w:val="none"/>
              </w:rPr>
              <w:t>分/项；</w:t>
            </w:r>
          </w:p>
          <w:p w14:paraId="638C7534">
            <w:pPr>
              <w:shd w:val="clear"/>
              <w:spacing w:line="360" w:lineRule="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（3）提供的方案欠佳或方案不可行或出现重大偏差的，得0.</w:t>
            </w:r>
            <w:r>
              <w:rPr>
                <w:rFonts w:hint="eastAsia" w:ascii="仿宋" w:hAnsi="仿宋" w:eastAsia="仿宋"/>
                <w:color w:val="auto"/>
                <w:sz w:val="24"/>
                <w:szCs w:val="24"/>
                <w:highlight w:val="none"/>
                <w:lang w:val="en-US" w:eastAsia="zh-CN"/>
              </w:rPr>
              <w:t>2</w:t>
            </w:r>
            <w:r>
              <w:rPr>
                <w:rFonts w:hint="eastAsia" w:ascii="仿宋" w:hAnsi="仿宋" w:eastAsia="仿宋"/>
                <w:color w:val="auto"/>
                <w:sz w:val="24"/>
                <w:szCs w:val="24"/>
                <w:highlight w:val="none"/>
              </w:rPr>
              <w:t>分/项；</w:t>
            </w:r>
          </w:p>
          <w:p w14:paraId="1072BC80">
            <w:pPr>
              <w:shd w:val="clear"/>
              <w:spacing w:line="360" w:lineRule="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（4）未提供相应方案，得0分/项。</w:t>
            </w:r>
          </w:p>
          <w:p w14:paraId="5FE5B40B">
            <w:pPr>
              <w:shd w:val="clear"/>
              <w:spacing w:line="360" w:lineRule="auto"/>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t>注：1.内容不完善（不全面）或有瑕疵是指：内容与项目实际情况不符、内容与项目无关、内容表述错误、内容前后表述矛盾、内容凭空编造、逻辑混乱以及不可能实现的夸大等情形。</w:t>
            </w:r>
          </w:p>
          <w:p w14:paraId="473B61DD">
            <w:pPr>
              <w:shd w:val="clear"/>
              <w:spacing w:line="360" w:lineRule="auto"/>
              <w:contextualSpacing/>
              <w:rPr>
                <w:rFonts w:hint="eastAsia" w:ascii="仿宋" w:hAnsi="仿宋" w:eastAsia="仿宋" w:cs="仿宋"/>
                <w:b w:val="0"/>
                <w:bCs w:val="0"/>
                <w:color w:val="auto"/>
                <w:sz w:val="24"/>
                <w:szCs w:val="24"/>
                <w:highlight w:val="none"/>
                <w:lang w:val="en-US" w:eastAsia="zh-CN"/>
              </w:rPr>
            </w:pPr>
            <w:r>
              <w:rPr>
                <w:rFonts w:hint="eastAsia" w:ascii="仿宋" w:hAnsi="仿宋" w:eastAsia="仿宋"/>
                <w:b/>
                <w:bCs/>
                <w:color w:val="auto"/>
                <w:sz w:val="24"/>
                <w:szCs w:val="24"/>
                <w:highlight w:val="none"/>
              </w:rPr>
              <w:t>2.出现重大偏差是指：内容与项目不匹配、项目信息错误（包括时间、地点、名称等）、不符合本项目涉及的相关规范或标准要求等情形。</w:t>
            </w:r>
          </w:p>
        </w:tc>
      </w:tr>
      <w:bookmarkEnd w:id="725"/>
    </w:tbl>
    <w:p w14:paraId="0FB66233">
      <w:pPr>
        <w:pStyle w:val="5"/>
        <w:spacing w:before="240" w:after="240" w:line="240" w:lineRule="auto"/>
        <w:jc w:val="center"/>
        <w:rPr>
          <w:rFonts w:ascii="仿宋" w:hAnsi="仿宋" w:eastAsia="仿宋"/>
          <w:color w:val="auto"/>
          <w:sz w:val="28"/>
          <w:szCs w:val="28"/>
          <w:highlight w:val="none"/>
        </w:rPr>
      </w:pPr>
      <w:bookmarkStart w:id="726" w:name="_Toc5505"/>
      <w:bookmarkStart w:id="727" w:name="_Toc7476"/>
      <w:bookmarkStart w:id="728" w:name="_Toc14366"/>
      <w:bookmarkStart w:id="729" w:name="_Toc26032"/>
      <w:bookmarkStart w:id="730" w:name="_Toc19503"/>
      <w:r>
        <w:rPr>
          <w:rFonts w:hint="eastAsia" w:ascii="仿宋" w:hAnsi="仿宋" w:eastAsia="仿宋"/>
          <w:color w:val="auto"/>
          <w:sz w:val="28"/>
          <w:szCs w:val="28"/>
          <w:highlight w:val="none"/>
        </w:rPr>
        <w:t>一、评标方法</w:t>
      </w:r>
      <w:bookmarkEnd w:id="726"/>
      <w:bookmarkEnd w:id="727"/>
      <w:bookmarkEnd w:id="728"/>
      <w:bookmarkEnd w:id="729"/>
      <w:bookmarkEnd w:id="730"/>
    </w:p>
    <w:p w14:paraId="1537741D">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根据《中华人民共和国政府采购法》、</w:t>
      </w:r>
      <w:r>
        <w:rPr>
          <w:rFonts w:hint="eastAsia" w:ascii="仿宋" w:hAnsi="仿宋" w:eastAsia="仿宋"/>
          <w:color w:val="auto"/>
          <w:kern w:val="0"/>
          <w:sz w:val="24"/>
          <w:szCs w:val="24"/>
          <w:highlight w:val="none"/>
        </w:rPr>
        <w:t>《中华人民共和国政府采购法实施条例》、</w:t>
      </w:r>
      <w:r>
        <w:rPr>
          <w:rFonts w:hint="eastAsia" w:ascii="仿宋" w:hAnsi="仿宋" w:eastAsia="仿宋"/>
          <w:color w:val="auto"/>
          <w:sz w:val="24"/>
          <w:szCs w:val="24"/>
          <w:highlight w:val="none"/>
        </w:rPr>
        <w:t>《政府采购货物和服务招投标管理办法【财政部令87号】》等有关规定等有关法律法规，结合本项目实际情况制定本办法。</w:t>
      </w:r>
    </w:p>
    <w:p w14:paraId="4CE84660">
      <w:pPr>
        <w:spacing w:line="360" w:lineRule="auto"/>
        <w:ind w:firstLine="480" w:firstLineChars="200"/>
        <w:rPr>
          <w:rFonts w:ascii="仿宋" w:hAnsi="仿宋" w:eastAsia="仿宋"/>
          <w:color w:val="auto"/>
          <w:sz w:val="24"/>
          <w:szCs w:val="24"/>
          <w:highlight w:val="none"/>
        </w:rPr>
      </w:pPr>
      <w:bookmarkStart w:id="731" w:name="_Toc364392660"/>
      <w:bookmarkStart w:id="732" w:name="_Toc396313203"/>
      <w:bookmarkStart w:id="733" w:name="_Toc391301904"/>
      <w:r>
        <w:rPr>
          <w:rFonts w:hint="eastAsia" w:ascii="仿宋" w:hAnsi="仿宋" w:eastAsia="仿宋"/>
          <w:color w:val="auto"/>
          <w:sz w:val="24"/>
          <w:szCs w:val="24"/>
          <w:highlight w:val="none"/>
        </w:rPr>
        <w:t>1.1本评标委员会对满足招标文件实质性要求的投标文件，按照本章前附表规定的评分标准进行打分，并按上述评标总得分计算公式计算评标总得分，按评标总得分由高到低的顺序推荐中标候选人排序；评标总得分相同时根据中华人民共和国财政部令第87号—政府采购货物和服务招标投标管理办法第五十七条　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2A4F4252">
      <w:pPr>
        <w:pStyle w:val="241"/>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1.2大中小企业划分标准</w:t>
      </w:r>
    </w:p>
    <w:p w14:paraId="269A7774">
      <w:pPr>
        <w:widowControl/>
        <w:spacing w:line="360" w:lineRule="auto"/>
        <w:ind w:firstLine="482"/>
        <w:jc w:val="center"/>
        <w:rPr>
          <w:rFonts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统计上大中小微型企业划分标准</w:t>
      </w:r>
    </w:p>
    <w:tbl>
      <w:tblPr>
        <w:tblStyle w:val="41"/>
        <w:tblW w:w="977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49"/>
        <w:gridCol w:w="1629"/>
        <w:gridCol w:w="813"/>
        <w:gridCol w:w="1491"/>
        <w:gridCol w:w="1713"/>
        <w:gridCol w:w="1441"/>
        <w:gridCol w:w="1241"/>
      </w:tblGrid>
      <w:tr w14:paraId="1A4F4B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449" w:type="dxa"/>
            <w:vAlign w:val="center"/>
          </w:tcPr>
          <w:p w14:paraId="000307BB">
            <w:pPr>
              <w:widowControl/>
              <w:rPr>
                <w:rFonts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行业名称</w:t>
            </w:r>
          </w:p>
        </w:tc>
        <w:tc>
          <w:tcPr>
            <w:tcW w:w="1629" w:type="dxa"/>
            <w:vAlign w:val="center"/>
          </w:tcPr>
          <w:p w14:paraId="35A15DEA">
            <w:pPr>
              <w:widowControl/>
              <w:rPr>
                <w:rFonts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指标名称</w:t>
            </w:r>
          </w:p>
        </w:tc>
        <w:tc>
          <w:tcPr>
            <w:tcW w:w="813" w:type="dxa"/>
            <w:vAlign w:val="center"/>
          </w:tcPr>
          <w:p w14:paraId="1FC76D91">
            <w:pPr>
              <w:widowControl/>
              <w:rPr>
                <w:rFonts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计量单位</w:t>
            </w:r>
          </w:p>
        </w:tc>
        <w:tc>
          <w:tcPr>
            <w:tcW w:w="1491" w:type="dxa"/>
            <w:vAlign w:val="center"/>
          </w:tcPr>
          <w:p w14:paraId="4C60B2FC">
            <w:pPr>
              <w:widowControl/>
              <w:rPr>
                <w:rFonts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大型</w:t>
            </w:r>
          </w:p>
        </w:tc>
        <w:tc>
          <w:tcPr>
            <w:tcW w:w="1713" w:type="dxa"/>
            <w:vAlign w:val="center"/>
          </w:tcPr>
          <w:p w14:paraId="0770CD1B">
            <w:pPr>
              <w:widowControl/>
              <w:rPr>
                <w:rFonts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中型</w:t>
            </w:r>
          </w:p>
        </w:tc>
        <w:tc>
          <w:tcPr>
            <w:tcW w:w="1441" w:type="dxa"/>
            <w:vAlign w:val="center"/>
          </w:tcPr>
          <w:p w14:paraId="44C8C236">
            <w:pPr>
              <w:widowControl/>
              <w:rPr>
                <w:rFonts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小型</w:t>
            </w:r>
          </w:p>
        </w:tc>
        <w:tc>
          <w:tcPr>
            <w:tcW w:w="1241" w:type="dxa"/>
            <w:vAlign w:val="center"/>
          </w:tcPr>
          <w:p w14:paraId="215FE3A3">
            <w:pPr>
              <w:widowControl/>
              <w:rPr>
                <w:rFonts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微型</w:t>
            </w:r>
          </w:p>
        </w:tc>
      </w:tr>
      <w:tr w14:paraId="681D25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449" w:type="dxa"/>
            <w:vAlign w:val="center"/>
          </w:tcPr>
          <w:p w14:paraId="7C1D4910">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农、林、牧、渔业</w:t>
            </w:r>
          </w:p>
        </w:tc>
        <w:tc>
          <w:tcPr>
            <w:tcW w:w="1629" w:type="dxa"/>
            <w:vAlign w:val="center"/>
          </w:tcPr>
          <w:p w14:paraId="23E3ADFD">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营业收入(Y)</w:t>
            </w:r>
          </w:p>
        </w:tc>
        <w:tc>
          <w:tcPr>
            <w:tcW w:w="813" w:type="dxa"/>
            <w:vAlign w:val="center"/>
          </w:tcPr>
          <w:p w14:paraId="27B886C6">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万元</w:t>
            </w:r>
          </w:p>
        </w:tc>
        <w:tc>
          <w:tcPr>
            <w:tcW w:w="1491" w:type="dxa"/>
            <w:vAlign w:val="center"/>
          </w:tcPr>
          <w:p w14:paraId="08203F90">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Y≥20000</w:t>
            </w:r>
          </w:p>
        </w:tc>
        <w:tc>
          <w:tcPr>
            <w:tcW w:w="1713" w:type="dxa"/>
            <w:vAlign w:val="center"/>
          </w:tcPr>
          <w:p w14:paraId="2E32039F">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500≤Y＜20000</w:t>
            </w:r>
          </w:p>
        </w:tc>
        <w:tc>
          <w:tcPr>
            <w:tcW w:w="1441" w:type="dxa"/>
            <w:vAlign w:val="center"/>
          </w:tcPr>
          <w:p w14:paraId="6769EB35">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50≤Y＜500</w:t>
            </w:r>
          </w:p>
        </w:tc>
        <w:tc>
          <w:tcPr>
            <w:tcW w:w="1241" w:type="dxa"/>
            <w:vAlign w:val="center"/>
          </w:tcPr>
          <w:p w14:paraId="11113030">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Y＜50</w:t>
            </w:r>
          </w:p>
        </w:tc>
      </w:tr>
      <w:tr w14:paraId="4768A3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449" w:type="dxa"/>
            <w:vMerge w:val="restart"/>
            <w:vAlign w:val="center"/>
          </w:tcPr>
          <w:p w14:paraId="4926D49B">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工业 *</w:t>
            </w:r>
          </w:p>
        </w:tc>
        <w:tc>
          <w:tcPr>
            <w:tcW w:w="1629" w:type="dxa"/>
            <w:vAlign w:val="center"/>
          </w:tcPr>
          <w:p w14:paraId="47515568">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从业人员(X)</w:t>
            </w:r>
          </w:p>
        </w:tc>
        <w:tc>
          <w:tcPr>
            <w:tcW w:w="813" w:type="dxa"/>
            <w:vAlign w:val="center"/>
          </w:tcPr>
          <w:p w14:paraId="6A75AE40">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人</w:t>
            </w:r>
          </w:p>
        </w:tc>
        <w:tc>
          <w:tcPr>
            <w:tcW w:w="1491" w:type="dxa"/>
            <w:vAlign w:val="center"/>
          </w:tcPr>
          <w:p w14:paraId="07629033">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X≥1000</w:t>
            </w:r>
          </w:p>
        </w:tc>
        <w:tc>
          <w:tcPr>
            <w:tcW w:w="1713" w:type="dxa"/>
            <w:vAlign w:val="center"/>
          </w:tcPr>
          <w:p w14:paraId="3860464D">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300≤X＜1000</w:t>
            </w:r>
          </w:p>
        </w:tc>
        <w:tc>
          <w:tcPr>
            <w:tcW w:w="1441" w:type="dxa"/>
            <w:vAlign w:val="center"/>
          </w:tcPr>
          <w:p w14:paraId="6124C164">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20≤X＜300</w:t>
            </w:r>
          </w:p>
        </w:tc>
        <w:tc>
          <w:tcPr>
            <w:tcW w:w="1241" w:type="dxa"/>
            <w:vAlign w:val="center"/>
          </w:tcPr>
          <w:p w14:paraId="2E908C31">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X＜20</w:t>
            </w:r>
          </w:p>
        </w:tc>
      </w:tr>
      <w:tr w14:paraId="18A0E2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449" w:type="dxa"/>
            <w:vMerge w:val="continue"/>
            <w:vAlign w:val="center"/>
          </w:tcPr>
          <w:p w14:paraId="0DAB54E0">
            <w:pPr>
              <w:widowControl/>
              <w:rPr>
                <w:rFonts w:ascii="仿宋" w:hAnsi="仿宋" w:eastAsia="仿宋" w:cs="仿宋"/>
                <w:color w:val="auto"/>
                <w:kern w:val="0"/>
                <w:sz w:val="24"/>
                <w:szCs w:val="24"/>
                <w:highlight w:val="none"/>
              </w:rPr>
            </w:pPr>
          </w:p>
        </w:tc>
        <w:tc>
          <w:tcPr>
            <w:tcW w:w="1629" w:type="dxa"/>
            <w:vAlign w:val="center"/>
          </w:tcPr>
          <w:p w14:paraId="36909B21">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营业收入(Y)</w:t>
            </w:r>
          </w:p>
        </w:tc>
        <w:tc>
          <w:tcPr>
            <w:tcW w:w="813" w:type="dxa"/>
            <w:vAlign w:val="center"/>
          </w:tcPr>
          <w:p w14:paraId="4AF20902">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万元</w:t>
            </w:r>
          </w:p>
        </w:tc>
        <w:tc>
          <w:tcPr>
            <w:tcW w:w="1491" w:type="dxa"/>
            <w:vAlign w:val="center"/>
          </w:tcPr>
          <w:p w14:paraId="501B3A99">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Y≥40000</w:t>
            </w:r>
          </w:p>
        </w:tc>
        <w:tc>
          <w:tcPr>
            <w:tcW w:w="1713" w:type="dxa"/>
            <w:vAlign w:val="center"/>
          </w:tcPr>
          <w:p w14:paraId="7E1BBD2D">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2000≤Y＜40000</w:t>
            </w:r>
          </w:p>
        </w:tc>
        <w:tc>
          <w:tcPr>
            <w:tcW w:w="1441" w:type="dxa"/>
            <w:vAlign w:val="center"/>
          </w:tcPr>
          <w:p w14:paraId="0A650D96">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300≤Y＜2000</w:t>
            </w:r>
          </w:p>
        </w:tc>
        <w:tc>
          <w:tcPr>
            <w:tcW w:w="1241" w:type="dxa"/>
            <w:vAlign w:val="center"/>
          </w:tcPr>
          <w:p w14:paraId="6748E4B7">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Y＜300</w:t>
            </w:r>
          </w:p>
        </w:tc>
      </w:tr>
      <w:tr w14:paraId="100277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449" w:type="dxa"/>
            <w:vMerge w:val="restart"/>
            <w:vAlign w:val="center"/>
          </w:tcPr>
          <w:p w14:paraId="624A7E05">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建筑业</w:t>
            </w:r>
          </w:p>
        </w:tc>
        <w:tc>
          <w:tcPr>
            <w:tcW w:w="1629" w:type="dxa"/>
            <w:vAlign w:val="center"/>
          </w:tcPr>
          <w:p w14:paraId="405C37AD">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营业收入(Y)</w:t>
            </w:r>
          </w:p>
        </w:tc>
        <w:tc>
          <w:tcPr>
            <w:tcW w:w="813" w:type="dxa"/>
            <w:vAlign w:val="center"/>
          </w:tcPr>
          <w:p w14:paraId="6D0812CD">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万元</w:t>
            </w:r>
          </w:p>
        </w:tc>
        <w:tc>
          <w:tcPr>
            <w:tcW w:w="1491" w:type="dxa"/>
            <w:vAlign w:val="center"/>
          </w:tcPr>
          <w:p w14:paraId="32C7F514">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Y≥80000</w:t>
            </w:r>
          </w:p>
        </w:tc>
        <w:tc>
          <w:tcPr>
            <w:tcW w:w="1713" w:type="dxa"/>
            <w:vAlign w:val="center"/>
          </w:tcPr>
          <w:p w14:paraId="13488B39">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6000≤Y＜80000</w:t>
            </w:r>
          </w:p>
        </w:tc>
        <w:tc>
          <w:tcPr>
            <w:tcW w:w="1441" w:type="dxa"/>
            <w:vAlign w:val="center"/>
          </w:tcPr>
          <w:p w14:paraId="53758D76">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300≤Y＜6000</w:t>
            </w:r>
          </w:p>
        </w:tc>
        <w:tc>
          <w:tcPr>
            <w:tcW w:w="1241" w:type="dxa"/>
            <w:vAlign w:val="center"/>
          </w:tcPr>
          <w:p w14:paraId="46326F3C">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Y＜300</w:t>
            </w:r>
          </w:p>
        </w:tc>
      </w:tr>
      <w:tr w14:paraId="73B807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449" w:type="dxa"/>
            <w:vMerge w:val="continue"/>
            <w:vAlign w:val="center"/>
          </w:tcPr>
          <w:p w14:paraId="465CB932">
            <w:pPr>
              <w:widowControl/>
              <w:rPr>
                <w:rFonts w:ascii="仿宋" w:hAnsi="仿宋" w:eastAsia="仿宋" w:cs="仿宋"/>
                <w:color w:val="auto"/>
                <w:kern w:val="0"/>
                <w:sz w:val="24"/>
                <w:szCs w:val="24"/>
                <w:highlight w:val="none"/>
              </w:rPr>
            </w:pPr>
          </w:p>
        </w:tc>
        <w:tc>
          <w:tcPr>
            <w:tcW w:w="1629" w:type="dxa"/>
            <w:vAlign w:val="center"/>
          </w:tcPr>
          <w:p w14:paraId="0AAF5759">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资产总额(Z)</w:t>
            </w:r>
          </w:p>
        </w:tc>
        <w:tc>
          <w:tcPr>
            <w:tcW w:w="813" w:type="dxa"/>
            <w:vAlign w:val="center"/>
          </w:tcPr>
          <w:p w14:paraId="3A88E7EE">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万元</w:t>
            </w:r>
          </w:p>
        </w:tc>
        <w:tc>
          <w:tcPr>
            <w:tcW w:w="1491" w:type="dxa"/>
            <w:vAlign w:val="center"/>
          </w:tcPr>
          <w:p w14:paraId="220BF1C7">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Z≥80000</w:t>
            </w:r>
          </w:p>
        </w:tc>
        <w:tc>
          <w:tcPr>
            <w:tcW w:w="1713" w:type="dxa"/>
            <w:vAlign w:val="center"/>
          </w:tcPr>
          <w:p w14:paraId="75AB1A60">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5000≤Z＜80000</w:t>
            </w:r>
          </w:p>
        </w:tc>
        <w:tc>
          <w:tcPr>
            <w:tcW w:w="1441" w:type="dxa"/>
            <w:vAlign w:val="center"/>
          </w:tcPr>
          <w:p w14:paraId="13BE3150">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300≤Z＜5000</w:t>
            </w:r>
          </w:p>
        </w:tc>
        <w:tc>
          <w:tcPr>
            <w:tcW w:w="1241" w:type="dxa"/>
            <w:vAlign w:val="center"/>
          </w:tcPr>
          <w:p w14:paraId="2ED50756">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Z＜300</w:t>
            </w:r>
          </w:p>
        </w:tc>
      </w:tr>
      <w:tr w14:paraId="22E9C9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449" w:type="dxa"/>
            <w:vMerge w:val="restart"/>
            <w:vAlign w:val="center"/>
          </w:tcPr>
          <w:p w14:paraId="46B428DC">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批发业</w:t>
            </w:r>
          </w:p>
        </w:tc>
        <w:tc>
          <w:tcPr>
            <w:tcW w:w="1629" w:type="dxa"/>
            <w:vAlign w:val="center"/>
          </w:tcPr>
          <w:p w14:paraId="73B8FBC9">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从业人员(X)</w:t>
            </w:r>
          </w:p>
        </w:tc>
        <w:tc>
          <w:tcPr>
            <w:tcW w:w="813" w:type="dxa"/>
            <w:vAlign w:val="center"/>
          </w:tcPr>
          <w:p w14:paraId="7EABA357">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人</w:t>
            </w:r>
          </w:p>
        </w:tc>
        <w:tc>
          <w:tcPr>
            <w:tcW w:w="1491" w:type="dxa"/>
            <w:vAlign w:val="center"/>
          </w:tcPr>
          <w:p w14:paraId="4FFDB332">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X≥200</w:t>
            </w:r>
          </w:p>
        </w:tc>
        <w:tc>
          <w:tcPr>
            <w:tcW w:w="1713" w:type="dxa"/>
            <w:vAlign w:val="center"/>
          </w:tcPr>
          <w:p w14:paraId="70AF8FBA">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20≤X＜200</w:t>
            </w:r>
          </w:p>
        </w:tc>
        <w:tc>
          <w:tcPr>
            <w:tcW w:w="1441" w:type="dxa"/>
            <w:vAlign w:val="center"/>
          </w:tcPr>
          <w:p w14:paraId="69100CA7">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5≤X＜20</w:t>
            </w:r>
          </w:p>
        </w:tc>
        <w:tc>
          <w:tcPr>
            <w:tcW w:w="1241" w:type="dxa"/>
            <w:vAlign w:val="center"/>
          </w:tcPr>
          <w:p w14:paraId="3410CA61">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X＜5</w:t>
            </w:r>
          </w:p>
        </w:tc>
      </w:tr>
      <w:tr w14:paraId="07DF86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449" w:type="dxa"/>
            <w:vMerge w:val="continue"/>
            <w:vAlign w:val="center"/>
          </w:tcPr>
          <w:p w14:paraId="18141B5F">
            <w:pPr>
              <w:widowControl/>
              <w:rPr>
                <w:rFonts w:ascii="仿宋" w:hAnsi="仿宋" w:eastAsia="仿宋" w:cs="仿宋"/>
                <w:color w:val="auto"/>
                <w:kern w:val="0"/>
                <w:sz w:val="24"/>
                <w:szCs w:val="24"/>
                <w:highlight w:val="none"/>
              </w:rPr>
            </w:pPr>
          </w:p>
        </w:tc>
        <w:tc>
          <w:tcPr>
            <w:tcW w:w="1629" w:type="dxa"/>
            <w:vAlign w:val="center"/>
          </w:tcPr>
          <w:p w14:paraId="712B013C">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营业收入(Y)</w:t>
            </w:r>
          </w:p>
        </w:tc>
        <w:tc>
          <w:tcPr>
            <w:tcW w:w="813" w:type="dxa"/>
            <w:vAlign w:val="center"/>
          </w:tcPr>
          <w:p w14:paraId="4D7F4657">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万元</w:t>
            </w:r>
          </w:p>
        </w:tc>
        <w:tc>
          <w:tcPr>
            <w:tcW w:w="1491" w:type="dxa"/>
            <w:vAlign w:val="center"/>
          </w:tcPr>
          <w:p w14:paraId="3E773EB3">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Y≥40000</w:t>
            </w:r>
          </w:p>
        </w:tc>
        <w:tc>
          <w:tcPr>
            <w:tcW w:w="1713" w:type="dxa"/>
            <w:vAlign w:val="center"/>
          </w:tcPr>
          <w:p w14:paraId="579C4289">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5000≤Y＜40000</w:t>
            </w:r>
          </w:p>
        </w:tc>
        <w:tc>
          <w:tcPr>
            <w:tcW w:w="1441" w:type="dxa"/>
            <w:vAlign w:val="center"/>
          </w:tcPr>
          <w:p w14:paraId="20774CFC">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1000≤Y＜5000</w:t>
            </w:r>
          </w:p>
        </w:tc>
        <w:tc>
          <w:tcPr>
            <w:tcW w:w="1241" w:type="dxa"/>
            <w:vAlign w:val="center"/>
          </w:tcPr>
          <w:p w14:paraId="4E0EC61C">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Y＜1000</w:t>
            </w:r>
          </w:p>
        </w:tc>
      </w:tr>
      <w:tr w14:paraId="0BA2B5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449" w:type="dxa"/>
            <w:vMerge w:val="restart"/>
            <w:vAlign w:val="center"/>
          </w:tcPr>
          <w:p w14:paraId="19A05FFB">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零售业</w:t>
            </w:r>
          </w:p>
        </w:tc>
        <w:tc>
          <w:tcPr>
            <w:tcW w:w="1629" w:type="dxa"/>
            <w:vAlign w:val="center"/>
          </w:tcPr>
          <w:p w14:paraId="0A4AAA4A">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从业人员(X)</w:t>
            </w:r>
          </w:p>
        </w:tc>
        <w:tc>
          <w:tcPr>
            <w:tcW w:w="813" w:type="dxa"/>
            <w:vAlign w:val="center"/>
          </w:tcPr>
          <w:p w14:paraId="765FB50D">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人</w:t>
            </w:r>
          </w:p>
        </w:tc>
        <w:tc>
          <w:tcPr>
            <w:tcW w:w="1491" w:type="dxa"/>
            <w:vAlign w:val="center"/>
          </w:tcPr>
          <w:p w14:paraId="5FE342B8">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X≥300</w:t>
            </w:r>
          </w:p>
        </w:tc>
        <w:tc>
          <w:tcPr>
            <w:tcW w:w="1713" w:type="dxa"/>
            <w:vAlign w:val="center"/>
          </w:tcPr>
          <w:p w14:paraId="7D85CD73">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50≤X＜300</w:t>
            </w:r>
          </w:p>
        </w:tc>
        <w:tc>
          <w:tcPr>
            <w:tcW w:w="1441" w:type="dxa"/>
            <w:vAlign w:val="center"/>
          </w:tcPr>
          <w:p w14:paraId="4A7D998F">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10≤X＜50 </w:t>
            </w:r>
          </w:p>
        </w:tc>
        <w:tc>
          <w:tcPr>
            <w:tcW w:w="1241" w:type="dxa"/>
            <w:vAlign w:val="center"/>
          </w:tcPr>
          <w:p w14:paraId="60973BD7">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X＜10</w:t>
            </w:r>
          </w:p>
        </w:tc>
      </w:tr>
      <w:tr w14:paraId="717F8C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449" w:type="dxa"/>
            <w:vMerge w:val="continue"/>
            <w:vAlign w:val="center"/>
          </w:tcPr>
          <w:p w14:paraId="3CCB5DE8">
            <w:pPr>
              <w:widowControl/>
              <w:rPr>
                <w:rFonts w:ascii="仿宋" w:hAnsi="仿宋" w:eastAsia="仿宋" w:cs="仿宋"/>
                <w:color w:val="auto"/>
                <w:kern w:val="0"/>
                <w:sz w:val="24"/>
                <w:szCs w:val="24"/>
                <w:highlight w:val="none"/>
              </w:rPr>
            </w:pPr>
          </w:p>
        </w:tc>
        <w:tc>
          <w:tcPr>
            <w:tcW w:w="1629" w:type="dxa"/>
            <w:vAlign w:val="center"/>
          </w:tcPr>
          <w:p w14:paraId="35F7FBC4">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营业收入(Y)</w:t>
            </w:r>
          </w:p>
        </w:tc>
        <w:tc>
          <w:tcPr>
            <w:tcW w:w="813" w:type="dxa"/>
            <w:vAlign w:val="center"/>
          </w:tcPr>
          <w:p w14:paraId="2251694E">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万元</w:t>
            </w:r>
          </w:p>
        </w:tc>
        <w:tc>
          <w:tcPr>
            <w:tcW w:w="1491" w:type="dxa"/>
            <w:vAlign w:val="center"/>
          </w:tcPr>
          <w:p w14:paraId="6964BAC9">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Y≥20000</w:t>
            </w:r>
          </w:p>
        </w:tc>
        <w:tc>
          <w:tcPr>
            <w:tcW w:w="1713" w:type="dxa"/>
            <w:vAlign w:val="center"/>
          </w:tcPr>
          <w:p w14:paraId="22A032D9">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500≤Y＜20000</w:t>
            </w:r>
          </w:p>
        </w:tc>
        <w:tc>
          <w:tcPr>
            <w:tcW w:w="1441" w:type="dxa"/>
            <w:vAlign w:val="center"/>
          </w:tcPr>
          <w:p w14:paraId="48EBD720">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100≤Y＜500 </w:t>
            </w:r>
          </w:p>
        </w:tc>
        <w:tc>
          <w:tcPr>
            <w:tcW w:w="1241" w:type="dxa"/>
            <w:vAlign w:val="center"/>
          </w:tcPr>
          <w:p w14:paraId="76AF2D22">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Y＜100</w:t>
            </w:r>
          </w:p>
        </w:tc>
      </w:tr>
      <w:tr w14:paraId="761FD2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449" w:type="dxa"/>
            <w:vMerge w:val="restart"/>
            <w:vAlign w:val="center"/>
          </w:tcPr>
          <w:p w14:paraId="1C5E6145">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交通运输业 *</w:t>
            </w:r>
          </w:p>
        </w:tc>
        <w:tc>
          <w:tcPr>
            <w:tcW w:w="1629" w:type="dxa"/>
            <w:vAlign w:val="center"/>
          </w:tcPr>
          <w:p w14:paraId="4936DC0F">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从业人员(X)</w:t>
            </w:r>
          </w:p>
        </w:tc>
        <w:tc>
          <w:tcPr>
            <w:tcW w:w="813" w:type="dxa"/>
            <w:vAlign w:val="center"/>
          </w:tcPr>
          <w:p w14:paraId="104FD8A5">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人</w:t>
            </w:r>
          </w:p>
        </w:tc>
        <w:tc>
          <w:tcPr>
            <w:tcW w:w="1491" w:type="dxa"/>
            <w:vAlign w:val="center"/>
          </w:tcPr>
          <w:p w14:paraId="3AB006F5">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X≥1000</w:t>
            </w:r>
          </w:p>
        </w:tc>
        <w:tc>
          <w:tcPr>
            <w:tcW w:w="1713" w:type="dxa"/>
            <w:vAlign w:val="center"/>
          </w:tcPr>
          <w:p w14:paraId="541CCEDC">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300≤X＜1000</w:t>
            </w:r>
          </w:p>
        </w:tc>
        <w:tc>
          <w:tcPr>
            <w:tcW w:w="1441" w:type="dxa"/>
            <w:vAlign w:val="center"/>
          </w:tcPr>
          <w:p w14:paraId="0A1D7EF3">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20≤X＜300</w:t>
            </w:r>
          </w:p>
        </w:tc>
        <w:tc>
          <w:tcPr>
            <w:tcW w:w="1241" w:type="dxa"/>
            <w:vAlign w:val="center"/>
          </w:tcPr>
          <w:p w14:paraId="6BAB0748">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X＜20</w:t>
            </w:r>
          </w:p>
        </w:tc>
      </w:tr>
      <w:tr w14:paraId="5BA747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449" w:type="dxa"/>
            <w:vMerge w:val="continue"/>
            <w:vAlign w:val="center"/>
          </w:tcPr>
          <w:p w14:paraId="192B5DA5">
            <w:pPr>
              <w:widowControl/>
              <w:rPr>
                <w:rFonts w:ascii="仿宋" w:hAnsi="仿宋" w:eastAsia="仿宋" w:cs="仿宋"/>
                <w:color w:val="auto"/>
                <w:kern w:val="0"/>
                <w:sz w:val="24"/>
                <w:szCs w:val="24"/>
                <w:highlight w:val="none"/>
              </w:rPr>
            </w:pPr>
          </w:p>
        </w:tc>
        <w:tc>
          <w:tcPr>
            <w:tcW w:w="1629" w:type="dxa"/>
            <w:vAlign w:val="center"/>
          </w:tcPr>
          <w:p w14:paraId="3F676BC0">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营业收入(Y)</w:t>
            </w:r>
          </w:p>
        </w:tc>
        <w:tc>
          <w:tcPr>
            <w:tcW w:w="813" w:type="dxa"/>
            <w:vAlign w:val="center"/>
          </w:tcPr>
          <w:p w14:paraId="74986A73">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万元</w:t>
            </w:r>
          </w:p>
        </w:tc>
        <w:tc>
          <w:tcPr>
            <w:tcW w:w="1491" w:type="dxa"/>
            <w:vAlign w:val="center"/>
          </w:tcPr>
          <w:p w14:paraId="57F72E5A">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Y≥30000</w:t>
            </w:r>
          </w:p>
        </w:tc>
        <w:tc>
          <w:tcPr>
            <w:tcW w:w="1713" w:type="dxa"/>
            <w:vAlign w:val="center"/>
          </w:tcPr>
          <w:p w14:paraId="1DB56771">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3000≤Y＜30000</w:t>
            </w:r>
          </w:p>
        </w:tc>
        <w:tc>
          <w:tcPr>
            <w:tcW w:w="1441" w:type="dxa"/>
            <w:vAlign w:val="center"/>
          </w:tcPr>
          <w:p w14:paraId="01246E29">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200≤Y＜3000</w:t>
            </w:r>
          </w:p>
        </w:tc>
        <w:tc>
          <w:tcPr>
            <w:tcW w:w="1241" w:type="dxa"/>
            <w:vAlign w:val="center"/>
          </w:tcPr>
          <w:p w14:paraId="20E582E8">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Y＜200</w:t>
            </w:r>
          </w:p>
        </w:tc>
      </w:tr>
      <w:tr w14:paraId="576A98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449" w:type="dxa"/>
            <w:vMerge w:val="restart"/>
            <w:vAlign w:val="center"/>
          </w:tcPr>
          <w:p w14:paraId="719674F5">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仓储业*</w:t>
            </w:r>
          </w:p>
        </w:tc>
        <w:tc>
          <w:tcPr>
            <w:tcW w:w="1629" w:type="dxa"/>
            <w:vAlign w:val="center"/>
          </w:tcPr>
          <w:p w14:paraId="4ED1F391">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从业人员(X)</w:t>
            </w:r>
          </w:p>
        </w:tc>
        <w:tc>
          <w:tcPr>
            <w:tcW w:w="813" w:type="dxa"/>
            <w:vAlign w:val="center"/>
          </w:tcPr>
          <w:p w14:paraId="5EBCA3AF">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人</w:t>
            </w:r>
          </w:p>
        </w:tc>
        <w:tc>
          <w:tcPr>
            <w:tcW w:w="1491" w:type="dxa"/>
            <w:vAlign w:val="center"/>
          </w:tcPr>
          <w:p w14:paraId="7F0DBE78">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X≥200</w:t>
            </w:r>
          </w:p>
        </w:tc>
        <w:tc>
          <w:tcPr>
            <w:tcW w:w="1713" w:type="dxa"/>
            <w:vAlign w:val="center"/>
          </w:tcPr>
          <w:p w14:paraId="026FADBF">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100≤X＜200</w:t>
            </w:r>
          </w:p>
        </w:tc>
        <w:tc>
          <w:tcPr>
            <w:tcW w:w="1441" w:type="dxa"/>
            <w:vAlign w:val="center"/>
          </w:tcPr>
          <w:p w14:paraId="053CFE41">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20≤X＜100</w:t>
            </w:r>
          </w:p>
        </w:tc>
        <w:tc>
          <w:tcPr>
            <w:tcW w:w="1241" w:type="dxa"/>
            <w:vAlign w:val="center"/>
          </w:tcPr>
          <w:p w14:paraId="790B5FE0">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X＜20</w:t>
            </w:r>
          </w:p>
        </w:tc>
      </w:tr>
      <w:tr w14:paraId="753368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449" w:type="dxa"/>
            <w:vMerge w:val="continue"/>
            <w:vAlign w:val="center"/>
          </w:tcPr>
          <w:p w14:paraId="23979276">
            <w:pPr>
              <w:widowControl/>
              <w:rPr>
                <w:rFonts w:ascii="仿宋" w:hAnsi="仿宋" w:eastAsia="仿宋" w:cs="仿宋"/>
                <w:color w:val="auto"/>
                <w:kern w:val="0"/>
                <w:sz w:val="24"/>
                <w:szCs w:val="24"/>
                <w:highlight w:val="none"/>
              </w:rPr>
            </w:pPr>
          </w:p>
        </w:tc>
        <w:tc>
          <w:tcPr>
            <w:tcW w:w="1629" w:type="dxa"/>
            <w:vAlign w:val="center"/>
          </w:tcPr>
          <w:p w14:paraId="0F68142D">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营业收入(Y)</w:t>
            </w:r>
          </w:p>
        </w:tc>
        <w:tc>
          <w:tcPr>
            <w:tcW w:w="813" w:type="dxa"/>
            <w:vAlign w:val="center"/>
          </w:tcPr>
          <w:p w14:paraId="1F705B47">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万元</w:t>
            </w:r>
          </w:p>
        </w:tc>
        <w:tc>
          <w:tcPr>
            <w:tcW w:w="1491" w:type="dxa"/>
            <w:vAlign w:val="center"/>
          </w:tcPr>
          <w:p w14:paraId="1AF52CFB">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Y≥30000</w:t>
            </w:r>
          </w:p>
        </w:tc>
        <w:tc>
          <w:tcPr>
            <w:tcW w:w="1713" w:type="dxa"/>
            <w:vAlign w:val="center"/>
          </w:tcPr>
          <w:p w14:paraId="0D28766D">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1000≤Y＜30000</w:t>
            </w:r>
          </w:p>
        </w:tc>
        <w:tc>
          <w:tcPr>
            <w:tcW w:w="1441" w:type="dxa"/>
            <w:vAlign w:val="center"/>
          </w:tcPr>
          <w:p w14:paraId="5AFF18B2">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100≤Y＜1000</w:t>
            </w:r>
          </w:p>
        </w:tc>
        <w:tc>
          <w:tcPr>
            <w:tcW w:w="1241" w:type="dxa"/>
            <w:vAlign w:val="center"/>
          </w:tcPr>
          <w:p w14:paraId="18272285">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Y＜100</w:t>
            </w:r>
          </w:p>
        </w:tc>
      </w:tr>
      <w:tr w14:paraId="6D646E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449" w:type="dxa"/>
            <w:vMerge w:val="restart"/>
            <w:vAlign w:val="center"/>
          </w:tcPr>
          <w:p w14:paraId="257F11CD">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邮政业</w:t>
            </w:r>
          </w:p>
        </w:tc>
        <w:tc>
          <w:tcPr>
            <w:tcW w:w="1629" w:type="dxa"/>
            <w:vAlign w:val="center"/>
          </w:tcPr>
          <w:p w14:paraId="15D4DDC8">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从业人员(X)</w:t>
            </w:r>
          </w:p>
        </w:tc>
        <w:tc>
          <w:tcPr>
            <w:tcW w:w="813" w:type="dxa"/>
            <w:vAlign w:val="center"/>
          </w:tcPr>
          <w:p w14:paraId="1D8B9DD4">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人</w:t>
            </w:r>
          </w:p>
        </w:tc>
        <w:tc>
          <w:tcPr>
            <w:tcW w:w="1491" w:type="dxa"/>
            <w:vAlign w:val="center"/>
          </w:tcPr>
          <w:p w14:paraId="3892337D">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X≥1000</w:t>
            </w:r>
          </w:p>
        </w:tc>
        <w:tc>
          <w:tcPr>
            <w:tcW w:w="1713" w:type="dxa"/>
            <w:vAlign w:val="center"/>
          </w:tcPr>
          <w:p w14:paraId="01582FB8">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300≤X＜1000</w:t>
            </w:r>
          </w:p>
        </w:tc>
        <w:tc>
          <w:tcPr>
            <w:tcW w:w="1441" w:type="dxa"/>
            <w:vAlign w:val="center"/>
          </w:tcPr>
          <w:p w14:paraId="14894E4E">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20≤X＜300</w:t>
            </w:r>
          </w:p>
        </w:tc>
        <w:tc>
          <w:tcPr>
            <w:tcW w:w="1241" w:type="dxa"/>
            <w:vAlign w:val="center"/>
          </w:tcPr>
          <w:p w14:paraId="32E90406">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X＜20</w:t>
            </w:r>
          </w:p>
        </w:tc>
      </w:tr>
      <w:tr w14:paraId="09C6DF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449" w:type="dxa"/>
            <w:vMerge w:val="continue"/>
            <w:vAlign w:val="center"/>
          </w:tcPr>
          <w:p w14:paraId="3A1D5107">
            <w:pPr>
              <w:widowControl/>
              <w:rPr>
                <w:rFonts w:ascii="仿宋" w:hAnsi="仿宋" w:eastAsia="仿宋" w:cs="仿宋"/>
                <w:color w:val="auto"/>
                <w:kern w:val="0"/>
                <w:sz w:val="24"/>
                <w:szCs w:val="24"/>
                <w:highlight w:val="none"/>
              </w:rPr>
            </w:pPr>
          </w:p>
        </w:tc>
        <w:tc>
          <w:tcPr>
            <w:tcW w:w="1629" w:type="dxa"/>
            <w:vAlign w:val="center"/>
          </w:tcPr>
          <w:p w14:paraId="30B5ABFC">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营业收入(Y)</w:t>
            </w:r>
          </w:p>
        </w:tc>
        <w:tc>
          <w:tcPr>
            <w:tcW w:w="813" w:type="dxa"/>
            <w:vAlign w:val="center"/>
          </w:tcPr>
          <w:p w14:paraId="6ACDD2B7">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万元</w:t>
            </w:r>
          </w:p>
        </w:tc>
        <w:tc>
          <w:tcPr>
            <w:tcW w:w="1491" w:type="dxa"/>
            <w:vAlign w:val="center"/>
          </w:tcPr>
          <w:p w14:paraId="0E979B25">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Y≥30000</w:t>
            </w:r>
          </w:p>
        </w:tc>
        <w:tc>
          <w:tcPr>
            <w:tcW w:w="1713" w:type="dxa"/>
            <w:vAlign w:val="center"/>
          </w:tcPr>
          <w:p w14:paraId="01CB6D51">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2000≤Y＜30000</w:t>
            </w:r>
          </w:p>
        </w:tc>
        <w:tc>
          <w:tcPr>
            <w:tcW w:w="1441" w:type="dxa"/>
            <w:vAlign w:val="center"/>
          </w:tcPr>
          <w:p w14:paraId="2CF3F1A7">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100≤Y＜2000</w:t>
            </w:r>
          </w:p>
        </w:tc>
        <w:tc>
          <w:tcPr>
            <w:tcW w:w="1241" w:type="dxa"/>
            <w:vAlign w:val="center"/>
          </w:tcPr>
          <w:p w14:paraId="2161EA0D">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Y＜100</w:t>
            </w:r>
          </w:p>
        </w:tc>
      </w:tr>
      <w:tr w14:paraId="1E0CBB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449" w:type="dxa"/>
            <w:vMerge w:val="restart"/>
            <w:vAlign w:val="center"/>
          </w:tcPr>
          <w:p w14:paraId="51B5B4CA">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住宿业</w:t>
            </w:r>
          </w:p>
        </w:tc>
        <w:tc>
          <w:tcPr>
            <w:tcW w:w="1629" w:type="dxa"/>
            <w:vAlign w:val="center"/>
          </w:tcPr>
          <w:p w14:paraId="339BB7AF">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从业人员(X)</w:t>
            </w:r>
          </w:p>
        </w:tc>
        <w:tc>
          <w:tcPr>
            <w:tcW w:w="813" w:type="dxa"/>
            <w:vAlign w:val="center"/>
          </w:tcPr>
          <w:p w14:paraId="3ED06B79">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人</w:t>
            </w:r>
          </w:p>
        </w:tc>
        <w:tc>
          <w:tcPr>
            <w:tcW w:w="1491" w:type="dxa"/>
            <w:vAlign w:val="center"/>
          </w:tcPr>
          <w:p w14:paraId="0D5C873A">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X≥300</w:t>
            </w:r>
          </w:p>
        </w:tc>
        <w:tc>
          <w:tcPr>
            <w:tcW w:w="1713" w:type="dxa"/>
            <w:vAlign w:val="center"/>
          </w:tcPr>
          <w:p w14:paraId="49380DC5">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100≤X＜300 </w:t>
            </w:r>
          </w:p>
        </w:tc>
        <w:tc>
          <w:tcPr>
            <w:tcW w:w="1441" w:type="dxa"/>
            <w:vAlign w:val="center"/>
          </w:tcPr>
          <w:p w14:paraId="7585CBB7">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10≤X＜100</w:t>
            </w:r>
          </w:p>
        </w:tc>
        <w:tc>
          <w:tcPr>
            <w:tcW w:w="1241" w:type="dxa"/>
            <w:vAlign w:val="center"/>
          </w:tcPr>
          <w:p w14:paraId="6513D09D">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X＜10</w:t>
            </w:r>
          </w:p>
        </w:tc>
      </w:tr>
      <w:tr w14:paraId="21165F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449" w:type="dxa"/>
            <w:vMerge w:val="continue"/>
            <w:vAlign w:val="center"/>
          </w:tcPr>
          <w:p w14:paraId="6F6D59BE">
            <w:pPr>
              <w:widowControl/>
              <w:rPr>
                <w:rFonts w:ascii="仿宋" w:hAnsi="仿宋" w:eastAsia="仿宋" w:cs="仿宋"/>
                <w:color w:val="auto"/>
                <w:kern w:val="0"/>
                <w:sz w:val="24"/>
                <w:szCs w:val="24"/>
                <w:highlight w:val="none"/>
              </w:rPr>
            </w:pPr>
          </w:p>
        </w:tc>
        <w:tc>
          <w:tcPr>
            <w:tcW w:w="1629" w:type="dxa"/>
            <w:vAlign w:val="center"/>
          </w:tcPr>
          <w:p w14:paraId="294C9A06">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营业收入(Y)</w:t>
            </w:r>
          </w:p>
        </w:tc>
        <w:tc>
          <w:tcPr>
            <w:tcW w:w="813" w:type="dxa"/>
            <w:vAlign w:val="center"/>
          </w:tcPr>
          <w:p w14:paraId="752B37AD">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万元</w:t>
            </w:r>
          </w:p>
        </w:tc>
        <w:tc>
          <w:tcPr>
            <w:tcW w:w="1491" w:type="dxa"/>
            <w:vAlign w:val="center"/>
          </w:tcPr>
          <w:p w14:paraId="65A3C269">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Y≥10000</w:t>
            </w:r>
          </w:p>
        </w:tc>
        <w:tc>
          <w:tcPr>
            <w:tcW w:w="1713" w:type="dxa"/>
            <w:vAlign w:val="center"/>
          </w:tcPr>
          <w:p w14:paraId="36E78AED">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2000≤Y＜10000</w:t>
            </w:r>
          </w:p>
        </w:tc>
        <w:tc>
          <w:tcPr>
            <w:tcW w:w="1441" w:type="dxa"/>
            <w:vAlign w:val="center"/>
          </w:tcPr>
          <w:p w14:paraId="1E30B06D">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100≤Y＜2000</w:t>
            </w:r>
          </w:p>
        </w:tc>
        <w:tc>
          <w:tcPr>
            <w:tcW w:w="1241" w:type="dxa"/>
            <w:vAlign w:val="center"/>
          </w:tcPr>
          <w:p w14:paraId="419F598B">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Y＜100</w:t>
            </w:r>
          </w:p>
        </w:tc>
      </w:tr>
      <w:tr w14:paraId="4A2653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449" w:type="dxa"/>
            <w:vMerge w:val="restart"/>
            <w:vAlign w:val="center"/>
          </w:tcPr>
          <w:p w14:paraId="38025ACB">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餐饮业</w:t>
            </w:r>
          </w:p>
        </w:tc>
        <w:tc>
          <w:tcPr>
            <w:tcW w:w="1629" w:type="dxa"/>
            <w:vAlign w:val="center"/>
          </w:tcPr>
          <w:p w14:paraId="176A8A75">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从业人员(X)</w:t>
            </w:r>
          </w:p>
        </w:tc>
        <w:tc>
          <w:tcPr>
            <w:tcW w:w="813" w:type="dxa"/>
            <w:vAlign w:val="center"/>
          </w:tcPr>
          <w:p w14:paraId="1A3CEB3A">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人</w:t>
            </w:r>
          </w:p>
        </w:tc>
        <w:tc>
          <w:tcPr>
            <w:tcW w:w="1491" w:type="dxa"/>
            <w:vAlign w:val="center"/>
          </w:tcPr>
          <w:p w14:paraId="186EBFC8">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X≥300</w:t>
            </w:r>
          </w:p>
        </w:tc>
        <w:tc>
          <w:tcPr>
            <w:tcW w:w="1713" w:type="dxa"/>
            <w:vAlign w:val="center"/>
          </w:tcPr>
          <w:p w14:paraId="51DC4F61">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100≤X＜300 </w:t>
            </w:r>
          </w:p>
        </w:tc>
        <w:tc>
          <w:tcPr>
            <w:tcW w:w="1441" w:type="dxa"/>
            <w:vAlign w:val="center"/>
          </w:tcPr>
          <w:p w14:paraId="68414D4C">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10≤X＜100</w:t>
            </w:r>
          </w:p>
        </w:tc>
        <w:tc>
          <w:tcPr>
            <w:tcW w:w="1241" w:type="dxa"/>
            <w:vAlign w:val="center"/>
          </w:tcPr>
          <w:p w14:paraId="0F7CAF49">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X＜10</w:t>
            </w:r>
          </w:p>
        </w:tc>
      </w:tr>
      <w:tr w14:paraId="75A1C5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449" w:type="dxa"/>
            <w:vMerge w:val="continue"/>
            <w:vAlign w:val="center"/>
          </w:tcPr>
          <w:p w14:paraId="0357A62F">
            <w:pPr>
              <w:widowControl/>
              <w:rPr>
                <w:rFonts w:ascii="仿宋" w:hAnsi="仿宋" w:eastAsia="仿宋" w:cs="仿宋"/>
                <w:color w:val="auto"/>
                <w:kern w:val="0"/>
                <w:sz w:val="24"/>
                <w:szCs w:val="24"/>
                <w:highlight w:val="none"/>
              </w:rPr>
            </w:pPr>
          </w:p>
        </w:tc>
        <w:tc>
          <w:tcPr>
            <w:tcW w:w="1629" w:type="dxa"/>
            <w:vAlign w:val="center"/>
          </w:tcPr>
          <w:p w14:paraId="08F07640">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营业收入(Y)</w:t>
            </w:r>
          </w:p>
        </w:tc>
        <w:tc>
          <w:tcPr>
            <w:tcW w:w="813" w:type="dxa"/>
            <w:vAlign w:val="center"/>
          </w:tcPr>
          <w:p w14:paraId="6D51FF9F">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万元</w:t>
            </w:r>
          </w:p>
        </w:tc>
        <w:tc>
          <w:tcPr>
            <w:tcW w:w="1491" w:type="dxa"/>
            <w:vAlign w:val="center"/>
          </w:tcPr>
          <w:p w14:paraId="01ECE0DA">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Y≥10000</w:t>
            </w:r>
          </w:p>
        </w:tc>
        <w:tc>
          <w:tcPr>
            <w:tcW w:w="1713" w:type="dxa"/>
            <w:vAlign w:val="center"/>
          </w:tcPr>
          <w:p w14:paraId="14C63927">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2000≤Y＜10000</w:t>
            </w:r>
          </w:p>
        </w:tc>
        <w:tc>
          <w:tcPr>
            <w:tcW w:w="1441" w:type="dxa"/>
            <w:vAlign w:val="center"/>
          </w:tcPr>
          <w:p w14:paraId="0024B73C">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100≤Y＜2000</w:t>
            </w:r>
          </w:p>
        </w:tc>
        <w:tc>
          <w:tcPr>
            <w:tcW w:w="1241" w:type="dxa"/>
            <w:vAlign w:val="center"/>
          </w:tcPr>
          <w:p w14:paraId="24D44024">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Y＜100</w:t>
            </w:r>
          </w:p>
        </w:tc>
      </w:tr>
      <w:tr w14:paraId="5D6F40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449" w:type="dxa"/>
            <w:vMerge w:val="restart"/>
            <w:vAlign w:val="center"/>
          </w:tcPr>
          <w:p w14:paraId="5063BAED">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信息传输业 *</w:t>
            </w:r>
          </w:p>
        </w:tc>
        <w:tc>
          <w:tcPr>
            <w:tcW w:w="1629" w:type="dxa"/>
            <w:vAlign w:val="center"/>
          </w:tcPr>
          <w:p w14:paraId="02B4571A">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从业人员(X)</w:t>
            </w:r>
          </w:p>
        </w:tc>
        <w:tc>
          <w:tcPr>
            <w:tcW w:w="813" w:type="dxa"/>
            <w:vAlign w:val="center"/>
          </w:tcPr>
          <w:p w14:paraId="3239054B">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人</w:t>
            </w:r>
          </w:p>
        </w:tc>
        <w:tc>
          <w:tcPr>
            <w:tcW w:w="1491" w:type="dxa"/>
            <w:vAlign w:val="center"/>
          </w:tcPr>
          <w:p w14:paraId="3274998A">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X≥2000</w:t>
            </w:r>
          </w:p>
        </w:tc>
        <w:tc>
          <w:tcPr>
            <w:tcW w:w="1713" w:type="dxa"/>
            <w:vAlign w:val="center"/>
          </w:tcPr>
          <w:p w14:paraId="304026F6">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100≤X＜2000</w:t>
            </w:r>
          </w:p>
        </w:tc>
        <w:tc>
          <w:tcPr>
            <w:tcW w:w="1441" w:type="dxa"/>
            <w:vAlign w:val="center"/>
          </w:tcPr>
          <w:p w14:paraId="59FBC028">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10≤X＜100</w:t>
            </w:r>
          </w:p>
        </w:tc>
        <w:tc>
          <w:tcPr>
            <w:tcW w:w="1241" w:type="dxa"/>
            <w:vAlign w:val="center"/>
          </w:tcPr>
          <w:p w14:paraId="3A4B9FF9">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X＜10</w:t>
            </w:r>
          </w:p>
        </w:tc>
      </w:tr>
      <w:tr w14:paraId="58880E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449" w:type="dxa"/>
            <w:vMerge w:val="continue"/>
            <w:vAlign w:val="center"/>
          </w:tcPr>
          <w:p w14:paraId="20FCD781">
            <w:pPr>
              <w:widowControl/>
              <w:rPr>
                <w:rFonts w:ascii="仿宋" w:hAnsi="仿宋" w:eastAsia="仿宋" w:cs="仿宋"/>
                <w:color w:val="auto"/>
                <w:kern w:val="0"/>
                <w:sz w:val="24"/>
                <w:szCs w:val="24"/>
                <w:highlight w:val="none"/>
              </w:rPr>
            </w:pPr>
          </w:p>
        </w:tc>
        <w:tc>
          <w:tcPr>
            <w:tcW w:w="1629" w:type="dxa"/>
            <w:vAlign w:val="center"/>
          </w:tcPr>
          <w:p w14:paraId="099059F3">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营业收入(Y)</w:t>
            </w:r>
          </w:p>
        </w:tc>
        <w:tc>
          <w:tcPr>
            <w:tcW w:w="813" w:type="dxa"/>
            <w:vAlign w:val="center"/>
          </w:tcPr>
          <w:p w14:paraId="6F8FCC83">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万元</w:t>
            </w:r>
          </w:p>
        </w:tc>
        <w:tc>
          <w:tcPr>
            <w:tcW w:w="1491" w:type="dxa"/>
            <w:vAlign w:val="center"/>
          </w:tcPr>
          <w:p w14:paraId="08F9FB7C">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Y≥100000</w:t>
            </w:r>
          </w:p>
        </w:tc>
        <w:tc>
          <w:tcPr>
            <w:tcW w:w="1713" w:type="dxa"/>
            <w:vAlign w:val="center"/>
          </w:tcPr>
          <w:p w14:paraId="6A22EFBC">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1000≤Y＜100000</w:t>
            </w:r>
          </w:p>
        </w:tc>
        <w:tc>
          <w:tcPr>
            <w:tcW w:w="1441" w:type="dxa"/>
            <w:vAlign w:val="center"/>
          </w:tcPr>
          <w:p w14:paraId="6AC7756E">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100≤Y＜1000</w:t>
            </w:r>
          </w:p>
        </w:tc>
        <w:tc>
          <w:tcPr>
            <w:tcW w:w="1241" w:type="dxa"/>
            <w:vAlign w:val="center"/>
          </w:tcPr>
          <w:p w14:paraId="0D171607">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Y＜100</w:t>
            </w:r>
          </w:p>
        </w:tc>
      </w:tr>
      <w:tr w14:paraId="15073E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449" w:type="dxa"/>
            <w:vMerge w:val="restart"/>
            <w:vAlign w:val="center"/>
          </w:tcPr>
          <w:p w14:paraId="5E8B98CE">
            <w:pPr>
              <w:widowControl/>
              <w:rPr>
                <w:rFonts w:ascii="仿宋" w:hAnsi="仿宋" w:eastAsia="仿宋" w:cs="仿宋"/>
                <w:color w:val="auto"/>
                <w:spacing w:val="-12"/>
                <w:kern w:val="0"/>
                <w:sz w:val="24"/>
                <w:szCs w:val="24"/>
                <w:highlight w:val="none"/>
              </w:rPr>
            </w:pPr>
            <w:r>
              <w:rPr>
                <w:rFonts w:hint="eastAsia" w:ascii="仿宋" w:hAnsi="仿宋" w:eastAsia="仿宋" w:cs="仿宋"/>
                <w:color w:val="auto"/>
                <w:spacing w:val="-12"/>
                <w:kern w:val="0"/>
                <w:sz w:val="24"/>
                <w:szCs w:val="24"/>
                <w:highlight w:val="none"/>
              </w:rPr>
              <w:t>软件和信息技术服</w:t>
            </w:r>
            <w:r>
              <w:rPr>
                <w:rFonts w:hint="eastAsia" w:ascii="仿宋" w:hAnsi="仿宋" w:eastAsia="仿宋" w:cs="仿宋"/>
                <w:color w:val="auto"/>
                <w:kern w:val="0"/>
                <w:sz w:val="24"/>
                <w:szCs w:val="24"/>
                <w:highlight w:val="none"/>
              </w:rPr>
              <w:t>务业</w:t>
            </w:r>
          </w:p>
        </w:tc>
        <w:tc>
          <w:tcPr>
            <w:tcW w:w="1629" w:type="dxa"/>
            <w:vAlign w:val="center"/>
          </w:tcPr>
          <w:p w14:paraId="62367E56">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从业人员(X)</w:t>
            </w:r>
          </w:p>
        </w:tc>
        <w:tc>
          <w:tcPr>
            <w:tcW w:w="813" w:type="dxa"/>
            <w:vAlign w:val="center"/>
          </w:tcPr>
          <w:p w14:paraId="42277178">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人</w:t>
            </w:r>
          </w:p>
        </w:tc>
        <w:tc>
          <w:tcPr>
            <w:tcW w:w="1491" w:type="dxa"/>
            <w:vAlign w:val="center"/>
          </w:tcPr>
          <w:p w14:paraId="47B811D5">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X≥300</w:t>
            </w:r>
          </w:p>
        </w:tc>
        <w:tc>
          <w:tcPr>
            <w:tcW w:w="1713" w:type="dxa"/>
            <w:vAlign w:val="center"/>
          </w:tcPr>
          <w:p w14:paraId="664D6115">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100≤X＜300 </w:t>
            </w:r>
          </w:p>
        </w:tc>
        <w:tc>
          <w:tcPr>
            <w:tcW w:w="1441" w:type="dxa"/>
            <w:vAlign w:val="center"/>
          </w:tcPr>
          <w:p w14:paraId="3B05C7D7">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10≤X＜100</w:t>
            </w:r>
          </w:p>
        </w:tc>
        <w:tc>
          <w:tcPr>
            <w:tcW w:w="1241" w:type="dxa"/>
            <w:vAlign w:val="center"/>
          </w:tcPr>
          <w:p w14:paraId="76051639">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X＜10</w:t>
            </w:r>
          </w:p>
        </w:tc>
      </w:tr>
      <w:tr w14:paraId="30F69E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449" w:type="dxa"/>
            <w:vMerge w:val="continue"/>
            <w:vAlign w:val="center"/>
          </w:tcPr>
          <w:p w14:paraId="6A08ED37">
            <w:pPr>
              <w:widowControl/>
              <w:rPr>
                <w:rFonts w:ascii="仿宋" w:hAnsi="仿宋" w:eastAsia="仿宋" w:cs="仿宋"/>
                <w:color w:val="auto"/>
                <w:spacing w:val="-12"/>
                <w:kern w:val="0"/>
                <w:sz w:val="24"/>
                <w:szCs w:val="24"/>
                <w:highlight w:val="none"/>
              </w:rPr>
            </w:pPr>
          </w:p>
        </w:tc>
        <w:tc>
          <w:tcPr>
            <w:tcW w:w="1629" w:type="dxa"/>
            <w:vAlign w:val="center"/>
          </w:tcPr>
          <w:p w14:paraId="4431B982">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营业收入(Y)</w:t>
            </w:r>
          </w:p>
        </w:tc>
        <w:tc>
          <w:tcPr>
            <w:tcW w:w="813" w:type="dxa"/>
            <w:vAlign w:val="center"/>
          </w:tcPr>
          <w:p w14:paraId="3643C4DF">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万元</w:t>
            </w:r>
          </w:p>
        </w:tc>
        <w:tc>
          <w:tcPr>
            <w:tcW w:w="1491" w:type="dxa"/>
            <w:vAlign w:val="center"/>
          </w:tcPr>
          <w:p w14:paraId="35A002F3">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Y≥10000</w:t>
            </w:r>
          </w:p>
        </w:tc>
        <w:tc>
          <w:tcPr>
            <w:tcW w:w="1713" w:type="dxa"/>
            <w:vAlign w:val="center"/>
          </w:tcPr>
          <w:p w14:paraId="1AAAAA72">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1000≤Y＜10000</w:t>
            </w:r>
          </w:p>
        </w:tc>
        <w:tc>
          <w:tcPr>
            <w:tcW w:w="1441" w:type="dxa"/>
            <w:vAlign w:val="center"/>
          </w:tcPr>
          <w:p w14:paraId="7BC65371">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50≤Y＜1000</w:t>
            </w:r>
          </w:p>
        </w:tc>
        <w:tc>
          <w:tcPr>
            <w:tcW w:w="1241" w:type="dxa"/>
            <w:vAlign w:val="center"/>
          </w:tcPr>
          <w:p w14:paraId="7A66762F">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Y＜50</w:t>
            </w:r>
          </w:p>
        </w:tc>
      </w:tr>
      <w:tr w14:paraId="70A408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449" w:type="dxa"/>
            <w:vMerge w:val="restart"/>
            <w:vAlign w:val="center"/>
          </w:tcPr>
          <w:p w14:paraId="1AE2D22A">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房地产开发经营</w:t>
            </w:r>
          </w:p>
        </w:tc>
        <w:tc>
          <w:tcPr>
            <w:tcW w:w="1629" w:type="dxa"/>
            <w:vAlign w:val="center"/>
          </w:tcPr>
          <w:p w14:paraId="561FDC3E">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营业收入(Y)</w:t>
            </w:r>
          </w:p>
        </w:tc>
        <w:tc>
          <w:tcPr>
            <w:tcW w:w="813" w:type="dxa"/>
            <w:vAlign w:val="center"/>
          </w:tcPr>
          <w:p w14:paraId="543AC409">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万元</w:t>
            </w:r>
          </w:p>
        </w:tc>
        <w:tc>
          <w:tcPr>
            <w:tcW w:w="1491" w:type="dxa"/>
            <w:vAlign w:val="center"/>
          </w:tcPr>
          <w:p w14:paraId="5CAB8147">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Y≥200000</w:t>
            </w:r>
          </w:p>
        </w:tc>
        <w:tc>
          <w:tcPr>
            <w:tcW w:w="1713" w:type="dxa"/>
            <w:vAlign w:val="center"/>
          </w:tcPr>
          <w:p w14:paraId="27C2AD34">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1000≤Y＜200000</w:t>
            </w:r>
          </w:p>
        </w:tc>
        <w:tc>
          <w:tcPr>
            <w:tcW w:w="1441" w:type="dxa"/>
            <w:vAlign w:val="center"/>
          </w:tcPr>
          <w:p w14:paraId="42AF2125">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100≤Y＜1000</w:t>
            </w:r>
          </w:p>
        </w:tc>
        <w:tc>
          <w:tcPr>
            <w:tcW w:w="1241" w:type="dxa"/>
            <w:vAlign w:val="center"/>
          </w:tcPr>
          <w:p w14:paraId="47C77F49">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Y＜100</w:t>
            </w:r>
          </w:p>
        </w:tc>
      </w:tr>
      <w:tr w14:paraId="26FC5D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449" w:type="dxa"/>
            <w:vMerge w:val="continue"/>
            <w:vAlign w:val="center"/>
          </w:tcPr>
          <w:p w14:paraId="57AA8CB2">
            <w:pPr>
              <w:widowControl/>
              <w:rPr>
                <w:rFonts w:ascii="仿宋" w:hAnsi="仿宋" w:eastAsia="仿宋" w:cs="仿宋"/>
                <w:color w:val="auto"/>
                <w:kern w:val="0"/>
                <w:sz w:val="24"/>
                <w:szCs w:val="24"/>
                <w:highlight w:val="none"/>
              </w:rPr>
            </w:pPr>
          </w:p>
        </w:tc>
        <w:tc>
          <w:tcPr>
            <w:tcW w:w="1629" w:type="dxa"/>
            <w:vAlign w:val="center"/>
          </w:tcPr>
          <w:p w14:paraId="4ACD4DEA">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资产总额(Z)</w:t>
            </w:r>
          </w:p>
        </w:tc>
        <w:tc>
          <w:tcPr>
            <w:tcW w:w="813" w:type="dxa"/>
            <w:vAlign w:val="center"/>
          </w:tcPr>
          <w:p w14:paraId="7987BA78">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万元</w:t>
            </w:r>
          </w:p>
        </w:tc>
        <w:tc>
          <w:tcPr>
            <w:tcW w:w="1491" w:type="dxa"/>
            <w:vAlign w:val="center"/>
          </w:tcPr>
          <w:p w14:paraId="2E8860AD">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Z≥10000</w:t>
            </w:r>
          </w:p>
        </w:tc>
        <w:tc>
          <w:tcPr>
            <w:tcW w:w="1713" w:type="dxa"/>
            <w:vAlign w:val="center"/>
          </w:tcPr>
          <w:p w14:paraId="284B274C">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5000≤Z＜10000</w:t>
            </w:r>
          </w:p>
        </w:tc>
        <w:tc>
          <w:tcPr>
            <w:tcW w:w="1441" w:type="dxa"/>
            <w:vAlign w:val="center"/>
          </w:tcPr>
          <w:p w14:paraId="12E8422F">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2000≤Z＜5000 </w:t>
            </w:r>
          </w:p>
        </w:tc>
        <w:tc>
          <w:tcPr>
            <w:tcW w:w="1241" w:type="dxa"/>
            <w:vAlign w:val="center"/>
          </w:tcPr>
          <w:p w14:paraId="7345B49A">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Z＜2000</w:t>
            </w:r>
          </w:p>
        </w:tc>
      </w:tr>
      <w:tr w14:paraId="7BB131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449" w:type="dxa"/>
            <w:vMerge w:val="restart"/>
            <w:vAlign w:val="center"/>
          </w:tcPr>
          <w:p w14:paraId="533AED2F">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物业管理</w:t>
            </w:r>
          </w:p>
        </w:tc>
        <w:tc>
          <w:tcPr>
            <w:tcW w:w="1629" w:type="dxa"/>
            <w:vAlign w:val="center"/>
          </w:tcPr>
          <w:p w14:paraId="4701050C">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从业人员(X)</w:t>
            </w:r>
          </w:p>
        </w:tc>
        <w:tc>
          <w:tcPr>
            <w:tcW w:w="813" w:type="dxa"/>
            <w:vAlign w:val="center"/>
          </w:tcPr>
          <w:p w14:paraId="105A8F19">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人</w:t>
            </w:r>
          </w:p>
        </w:tc>
        <w:tc>
          <w:tcPr>
            <w:tcW w:w="1491" w:type="dxa"/>
            <w:vAlign w:val="center"/>
          </w:tcPr>
          <w:p w14:paraId="773390B4">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X≥1000</w:t>
            </w:r>
          </w:p>
        </w:tc>
        <w:tc>
          <w:tcPr>
            <w:tcW w:w="1713" w:type="dxa"/>
            <w:vAlign w:val="center"/>
          </w:tcPr>
          <w:p w14:paraId="34AE78CE">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300≤X＜1000</w:t>
            </w:r>
          </w:p>
        </w:tc>
        <w:tc>
          <w:tcPr>
            <w:tcW w:w="1441" w:type="dxa"/>
            <w:vAlign w:val="center"/>
          </w:tcPr>
          <w:p w14:paraId="427C5FDA">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100≤X＜300 </w:t>
            </w:r>
          </w:p>
        </w:tc>
        <w:tc>
          <w:tcPr>
            <w:tcW w:w="1241" w:type="dxa"/>
            <w:vAlign w:val="center"/>
          </w:tcPr>
          <w:p w14:paraId="08EB6A62">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X＜100</w:t>
            </w:r>
          </w:p>
        </w:tc>
      </w:tr>
      <w:tr w14:paraId="13378E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449" w:type="dxa"/>
            <w:vMerge w:val="continue"/>
            <w:vAlign w:val="center"/>
          </w:tcPr>
          <w:p w14:paraId="7E0ADDA1">
            <w:pPr>
              <w:widowControl/>
              <w:rPr>
                <w:rFonts w:ascii="仿宋" w:hAnsi="仿宋" w:eastAsia="仿宋" w:cs="仿宋"/>
                <w:color w:val="auto"/>
                <w:kern w:val="0"/>
                <w:sz w:val="24"/>
                <w:szCs w:val="24"/>
                <w:highlight w:val="none"/>
              </w:rPr>
            </w:pPr>
          </w:p>
        </w:tc>
        <w:tc>
          <w:tcPr>
            <w:tcW w:w="1629" w:type="dxa"/>
            <w:vAlign w:val="center"/>
          </w:tcPr>
          <w:p w14:paraId="430D6CE6">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营业收入(Y)</w:t>
            </w:r>
          </w:p>
        </w:tc>
        <w:tc>
          <w:tcPr>
            <w:tcW w:w="813" w:type="dxa"/>
            <w:vAlign w:val="center"/>
          </w:tcPr>
          <w:p w14:paraId="6DFBC050">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万元</w:t>
            </w:r>
          </w:p>
        </w:tc>
        <w:tc>
          <w:tcPr>
            <w:tcW w:w="1491" w:type="dxa"/>
            <w:vAlign w:val="center"/>
          </w:tcPr>
          <w:p w14:paraId="0B7C2CEE">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Y≥5000</w:t>
            </w:r>
          </w:p>
        </w:tc>
        <w:tc>
          <w:tcPr>
            <w:tcW w:w="1713" w:type="dxa"/>
            <w:vAlign w:val="center"/>
          </w:tcPr>
          <w:p w14:paraId="3170D1B9">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1000≤Y＜5000 </w:t>
            </w:r>
          </w:p>
        </w:tc>
        <w:tc>
          <w:tcPr>
            <w:tcW w:w="1441" w:type="dxa"/>
            <w:vAlign w:val="center"/>
          </w:tcPr>
          <w:p w14:paraId="59ACDE7F">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500≤Y＜1000</w:t>
            </w:r>
          </w:p>
        </w:tc>
        <w:tc>
          <w:tcPr>
            <w:tcW w:w="1241" w:type="dxa"/>
            <w:vAlign w:val="center"/>
          </w:tcPr>
          <w:p w14:paraId="45238F14">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Y＜500</w:t>
            </w:r>
          </w:p>
        </w:tc>
      </w:tr>
      <w:tr w14:paraId="42ACD1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449" w:type="dxa"/>
            <w:vMerge w:val="restart"/>
            <w:vAlign w:val="center"/>
          </w:tcPr>
          <w:p w14:paraId="7BF201C6">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租赁和商务服务业</w:t>
            </w:r>
          </w:p>
        </w:tc>
        <w:tc>
          <w:tcPr>
            <w:tcW w:w="1629" w:type="dxa"/>
            <w:vAlign w:val="center"/>
          </w:tcPr>
          <w:p w14:paraId="4ECC83E9">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从业人员(X)</w:t>
            </w:r>
          </w:p>
        </w:tc>
        <w:tc>
          <w:tcPr>
            <w:tcW w:w="813" w:type="dxa"/>
            <w:vAlign w:val="center"/>
          </w:tcPr>
          <w:p w14:paraId="0D8E9539">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人</w:t>
            </w:r>
          </w:p>
        </w:tc>
        <w:tc>
          <w:tcPr>
            <w:tcW w:w="1491" w:type="dxa"/>
            <w:vAlign w:val="center"/>
          </w:tcPr>
          <w:p w14:paraId="2A5DC274">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X≥300</w:t>
            </w:r>
          </w:p>
        </w:tc>
        <w:tc>
          <w:tcPr>
            <w:tcW w:w="1713" w:type="dxa"/>
            <w:vAlign w:val="center"/>
          </w:tcPr>
          <w:p w14:paraId="2C03749E">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100≤X＜300 </w:t>
            </w:r>
          </w:p>
        </w:tc>
        <w:tc>
          <w:tcPr>
            <w:tcW w:w="1441" w:type="dxa"/>
            <w:vAlign w:val="center"/>
          </w:tcPr>
          <w:p w14:paraId="3A73CE67">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10≤X＜100</w:t>
            </w:r>
          </w:p>
        </w:tc>
        <w:tc>
          <w:tcPr>
            <w:tcW w:w="1241" w:type="dxa"/>
            <w:vAlign w:val="center"/>
          </w:tcPr>
          <w:p w14:paraId="0EB0642C">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X＜10</w:t>
            </w:r>
          </w:p>
        </w:tc>
      </w:tr>
      <w:tr w14:paraId="4FA060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449" w:type="dxa"/>
            <w:vMerge w:val="continue"/>
            <w:vAlign w:val="center"/>
          </w:tcPr>
          <w:p w14:paraId="21D7AA17">
            <w:pPr>
              <w:widowControl/>
              <w:rPr>
                <w:rFonts w:ascii="仿宋" w:hAnsi="仿宋" w:eastAsia="仿宋" w:cs="仿宋"/>
                <w:color w:val="auto"/>
                <w:kern w:val="0"/>
                <w:sz w:val="24"/>
                <w:szCs w:val="24"/>
                <w:highlight w:val="none"/>
              </w:rPr>
            </w:pPr>
          </w:p>
        </w:tc>
        <w:tc>
          <w:tcPr>
            <w:tcW w:w="1629" w:type="dxa"/>
            <w:vAlign w:val="center"/>
          </w:tcPr>
          <w:p w14:paraId="2172F62E">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资产总额(Z)</w:t>
            </w:r>
          </w:p>
        </w:tc>
        <w:tc>
          <w:tcPr>
            <w:tcW w:w="813" w:type="dxa"/>
            <w:vAlign w:val="center"/>
          </w:tcPr>
          <w:p w14:paraId="5F984E1A">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万元</w:t>
            </w:r>
          </w:p>
        </w:tc>
        <w:tc>
          <w:tcPr>
            <w:tcW w:w="1491" w:type="dxa"/>
            <w:vAlign w:val="center"/>
          </w:tcPr>
          <w:p w14:paraId="1EF584EB">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Z≥120000</w:t>
            </w:r>
          </w:p>
        </w:tc>
        <w:tc>
          <w:tcPr>
            <w:tcW w:w="1713" w:type="dxa"/>
            <w:vAlign w:val="center"/>
          </w:tcPr>
          <w:p w14:paraId="278AF9D0">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8000≤Z＜120000</w:t>
            </w:r>
          </w:p>
        </w:tc>
        <w:tc>
          <w:tcPr>
            <w:tcW w:w="1441" w:type="dxa"/>
            <w:vAlign w:val="center"/>
          </w:tcPr>
          <w:p w14:paraId="481EBB36">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100≤Z＜8000</w:t>
            </w:r>
          </w:p>
        </w:tc>
        <w:tc>
          <w:tcPr>
            <w:tcW w:w="1241" w:type="dxa"/>
            <w:vAlign w:val="center"/>
          </w:tcPr>
          <w:p w14:paraId="7F48F728">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Z＜100</w:t>
            </w:r>
          </w:p>
        </w:tc>
      </w:tr>
      <w:tr w14:paraId="309A8F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449" w:type="dxa"/>
            <w:vAlign w:val="center"/>
          </w:tcPr>
          <w:p w14:paraId="3C3BAF14">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其他未列明行业 *</w:t>
            </w:r>
          </w:p>
        </w:tc>
        <w:tc>
          <w:tcPr>
            <w:tcW w:w="1629" w:type="dxa"/>
            <w:vAlign w:val="center"/>
          </w:tcPr>
          <w:p w14:paraId="36AFC7D1">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从业人员(X)</w:t>
            </w:r>
          </w:p>
        </w:tc>
        <w:tc>
          <w:tcPr>
            <w:tcW w:w="813" w:type="dxa"/>
            <w:vAlign w:val="center"/>
          </w:tcPr>
          <w:p w14:paraId="62F1BE9B">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人</w:t>
            </w:r>
          </w:p>
        </w:tc>
        <w:tc>
          <w:tcPr>
            <w:tcW w:w="1491" w:type="dxa"/>
            <w:vAlign w:val="center"/>
          </w:tcPr>
          <w:p w14:paraId="0C900F1E">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X≥300</w:t>
            </w:r>
          </w:p>
        </w:tc>
        <w:tc>
          <w:tcPr>
            <w:tcW w:w="1713" w:type="dxa"/>
            <w:vAlign w:val="center"/>
          </w:tcPr>
          <w:p w14:paraId="5A74C5D1">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100≤X＜300 </w:t>
            </w:r>
          </w:p>
        </w:tc>
        <w:tc>
          <w:tcPr>
            <w:tcW w:w="1441" w:type="dxa"/>
            <w:vAlign w:val="center"/>
          </w:tcPr>
          <w:p w14:paraId="48CD9539">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10≤X＜100</w:t>
            </w:r>
          </w:p>
        </w:tc>
        <w:tc>
          <w:tcPr>
            <w:tcW w:w="1241" w:type="dxa"/>
            <w:vAlign w:val="center"/>
          </w:tcPr>
          <w:p w14:paraId="4073E4C1">
            <w:pPr>
              <w:widowControl/>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X＜10</w:t>
            </w:r>
          </w:p>
        </w:tc>
      </w:tr>
    </w:tbl>
    <w:p w14:paraId="1440806B">
      <w:pPr>
        <w:spacing w:line="360" w:lineRule="auto"/>
        <w:ind w:firstLine="514" w:firstLineChars="200"/>
        <w:rPr>
          <w:rFonts w:ascii="仿宋" w:hAnsi="仿宋" w:eastAsia="仿宋" w:cs="仿宋"/>
          <w:b/>
          <w:color w:val="auto"/>
          <w:spacing w:val="8"/>
          <w:kern w:val="0"/>
          <w:sz w:val="24"/>
          <w:szCs w:val="24"/>
          <w:highlight w:val="none"/>
        </w:rPr>
      </w:pPr>
      <w:r>
        <w:rPr>
          <w:rFonts w:hint="eastAsia" w:ascii="仿宋" w:hAnsi="仿宋" w:eastAsia="仿宋" w:cs="仿宋"/>
          <w:b/>
          <w:color w:val="auto"/>
          <w:spacing w:val="8"/>
          <w:kern w:val="0"/>
          <w:sz w:val="24"/>
          <w:szCs w:val="24"/>
          <w:highlight w:val="none"/>
        </w:rPr>
        <w:t>说明：</w:t>
      </w:r>
    </w:p>
    <w:p w14:paraId="22A97E7C">
      <w:pPr>
        <w:pStyle w:val="241"/>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（1）大型、中型和小型企业须同时满足所列指标的下限，否则下划一档；微型企业只</w:t>
      </w:r>
      <w:r>
        <w:rPr>
          <w:rFonts w:hint="eastAsia" w:ascii="仿宋" w:hAnsi="仿宋" w:eastAsia="仿宋" w:cs="仿宋"/>
          <w:color w:val="auto"/>
          <w:sz w:val="24"/>
          <w:highlight w:val="none"/>
          <w:lang w:eastAsia="zh-CN"/>
        </w:rPr>
        <w:t>需</w:t>
      </w:r>
      <w:r>
        <w:rPr>
          <w:rFonts w:hint="eastAsia" w:ascii="仿宋" w:hAnsi="仿宋" w:eastAsia="仿宋" w:cs="仿宋"/>
          <w:color w:val="auto"/>
          <w:sz w:val="24"/>
          <w:highlight w:val="none"/>
        </w:rPr>
        <w:t>满足所列指标中的一项即可。</w:t>
      </w:r>
    </w:p>
    <w:p w14:paraId="0B409DE8">
      <w:pPr>
        <w:pStyle w:val="241"/>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111AA838">
      <w:pPr>
        <w:pStyle w:val="241"/>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（3）企业划分指标以现行统计制度为准。</w:t>
      </w:r>
    </w:p>
    <w:p w14:paraId="3CD4CF52">
      <w:pPr>
        <w:pStyle w:val="241"/>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1）从业人员，是指期末从业人员数，没有期末从业人员数的，采用全年平均人员数代替。</w:t>
      </w:r>
    </w:p>
    <w:p w14:paraId="06846D84">
      <w:pPr>
        <w:pStyle w:val="241"/>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p>
    <w:p w14:paraId="279107A4">
      <w:pPr>
        <w:pStyle w:val="241"/>
        <w:spacing w:line="360" w:lineRule="auto"/>
        <w:ind w:firstLine="480" w:firstLineChars="200"/>
        <w:rPr>
          <w:rFonts w:ascii="仿宋" w:hAnsi="仿宋" w:eastAsia="仿宋"/>
          <w:color w:val="auto"/>
          <w:sz w:val="24"/>
          <w:highlight w:val="none"/>
        </w:rPr>
      </w:pPr>
      <w:r>
        <w:rPr>
          <w:rFonts w:hint="eastAsia" w:ascii="仿宋" w:hAnsi="仿宋" w:eastAsia="仿宋" w:cs="仿宋"/>
          <w:color w:val="auto"/>
          <w:sz w:val="24"/>
          <w:highlight w:val="none"/>
        </w:rPr>
        <w:t>3）资产总额，采用资产总计代替</w:t>
      </w:r>
      <w:r>
        <w:rPr>
          <w:rFonts w:hint="eastAsia" w:ascii="仿宋" w:hAnsi="仿宋" w:eastAsia="仿宋"/>
          <w:color w:val="auto"/>
          <w:sz w:val="24"/>
          <w:highlight w:val="none"/>
        </w:rPr>
        <w:t>。</w:t>
      </w:r>
    </w:p>
    <w:p w14:paraId="18B8C780">
      <w:pPr>
        <w:pStyle w:val="241"/>
        <w:spacing w:line="360" w:lineRule="auto"/>
        <w:ind w:firstLine="482" w:firstLineChars="200"/>
        <w:rPr>
          <w:rFonts w:hint="eastAsia" w:ascii="仿宋" w:hAnsi="仿宋" w:eastAsia="仿宋"/>
          <w:b/>
          <w:bCs/>
          <w:color w:val="auto"/>
          <w:sz w:val="24"/>
          <w:highlight w:val="none"/>
        </w:rPr>
      </w:pPr>
      <w:r>
        <w:rPr>
          <w:rFonts w:hint="eastAsia" w:ascii="仿宋" w:hAnsi="仿宋" w:eastAsia="仿宋"/>
          <w:b/>
          <w:bCs/>
          <w:color w:val="auto"/>
          <w:sz w:val="24"/>
          <w:highlight w:val="none"/>
        </w:rPr>
        <w:t>（4）根据中小企业划分标准，本项目所属行业为</w:t>
      </w:r>
      <w:r>
        <w:rPr>
          <w:rFonts w:hint="eastAsia" w:ascii="仿宋" w:hAnsi="仿宋" w:eastAsia="仿宋"/>
          <w:b/>
          <w:bCs/>
          <w:color w:val="auto"/>
          <w:sz w:val="24"/>
          <w:highlight w:val="none"/>
          <w:lang w:val="en-US" w:eastAsia="zh-CN"/>
        </w:rPr>
        <w:t>工</w:t>
      </w:r>
      <w:r>
        <w:rPr>
          <w:rFonts w:hint="eastAsia" w:ascii="仿宋" w:hAnsi="仿宋" w:eastAsia="仿宋"/>
          <w:b/>
          <w:bCs/>
          <w:color w:val="auto"/>
          <w:sz w:val="24"/>
          <w:highlight w:val="none"/>
        </w:rPr>
        <w:t>业。</w:t>
      </w:r>
    </w:p>
    <w:p w14:paraId="2CA16A07">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bCs/>
          <w:color w:val="auto"/>
          <w:sz w:val="24"/>
          <w:highlight w:val="none"/>
          <w:lang w:val="en-US" w:eastAsia="zh-CN"/>
        </w:rPr>
      </w:pPr>
      <w:r>
        <w:rPr>
          <w:rFonts w:hint="eastAsia" w:ascii="仿宋" w:hAnsi="仿宋" w:eastAsia="仿宋"/>
          <w:color w:val="auto"/>
          <w:sz w:val="28"/>
          <w:szCs w:val="28"/>
          <w:highlight w:val="none"/>
          <w:lang w:val="en-US" w:eastAsia="zh-CN"/>
        </w:rPr>
        <w:t>1.3</w:t>
      </w:r>
      <w:r>
        <w:rPr>
          <w:rFonts w:hint="eastAsia" w:ascii="仿宋" w:hAnsi="仿宋" w:eastAsia="仿宋" w:cs="仿宋"/>
          <w:b/>
          <w:bCs/>
          <w:color w:val="auto"/>
          <w:sz w:val="24"/>
          <w:highlight w:val="none"/>
          <w:lang w:val="en-US" w:eastAsia="zh-CN"/>
        </w:rPr>
        <w:t>政府采购中实施本国产品标准及相关政策</w:t>
      </w:r>
    </w:p>
    <w:p w14:paraId="7297CC2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1.3.1本项目政府采购活动中既有本国产品又有非本国产品参与竞争的，依法对本国产品给予价格评审优惠，对本国产品的报价给予20%的价格扣除，用扣除后的价格参与评审。</w:t>
      </w:r>
    </w:p>
    <w:p w14:paraId="7A5CDB6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1.3.2当采购项目或者采购包中含有多种产品，投标人为该采购项目或者采购包提供的符合本国产品标准的产品成本之和占该投标人提供的全部产品成本之和的比例达到80%以上时（投标人需在“投标文件格式”的“投标分项报价表”中填写比例数值），依法对该投标人提供的全部产品给予价格评审优惠，即对该投标人提供的全部产品的总报价给予20%的价格扣除，用扣除后的价格参与评审。投标人未填写比例数值，或比例数值未达到80%的，将不享受本国产品价格评审优惠。</w:t>
      </w:r>
    </w:p>
    <w:p w14:paraId="285C424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1.3.3投标人需按照招标文件的要求提供《关于符合本国产品标准的声明函》（以下简称《声明函》），如不提供将不享受本国产品价格评审优惠。</w:t>
      </w:r>
    </w:p>
    <w:p w14:paraId="759C0A0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1.3.4投标人需在《声明函》中逐一、准确填写产品名称、厂名、生产厂址三项信息（《声明函》中用斜线划除的地方无需填写），三项信息中任意一项未填写的视为该项产品不符合本国产品标准，不享受本国产品价格评审优惠。</w:t>
      </w:r>
    </w:p>
    <w:p w14:paraId="26A9749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1.3.5评标过程中，如发现投标人在《声明函》内容含义不明确、同类事项与投标（响应）文件表述不一致或者有明显文字错误等情况的，评标委员会应当以书面形式要求投标人作出必要的澄清、说明或者补正。经澄清、说明或者补正的《声明函》仍然不符合《国务院办公厅关于在政府采购中实施本国产品标准及相关政策的通知》（国办发〔2025〕34号）和招标文件规定的，投标人提供的相关产品视为不符合本国产品标准。</w:t>
      </w:r>
    </w:p>
    <w:p w14:paraId="43C4487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1.3.6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CBDEB0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1.3.7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3BFF22EA">
      <w:pPr>
        <w:pStyle w:val="5"/>
        <w:spacing w:before="240" w:after="240" w:line="240" w:lineRule="auto"/>
        <w:jc w:val="center"/>
        <w:rPr>
          <w:rFonts w:ascii="仿宋" w:hAnsi="仿宋" w:eastAsia="仿宋"/>
          <w:color w:val="auto"/>
          <w:sz w:val="28"/>
          <w:szCs w:val="28"/>
          <w:highlight w:val="none"/>
        </w:rPr>
      </w:pPr>
      <w:bookmarkStart w:id="734" w:name="_Toc4215"/>
      <w:bookmarkStart w:id="735" w:name="_Toc2670"/>
      <w:bookmarkStart w:id="736" w:name="_Toc54878356"/>
      <w:bookmarkStart w:id="737" w:name="_Toc17104"/>
      <w:bookmarkStart w:id="738" w:name="_Toc1190"/>
      <w:bookmarkStart w:id="739" w:name="_Toc24749"/>
      <w:bookmarkStart w:id="740" w:name="_Toc13522"/>
      <w:r>
        <w:rPr>
          <w:rFonts w:hint="eastAsia" w:ascii="仿宋" w:hAnsi="仿宋" w:eastAsia="仿宋"/>
          <w:color w:val="auto"/>
          <w:sz w:val="28"/>
          <w:szCs w:val="28"/>
          <w:highlight w:val="none"/>
        </w:rPr>
        <w:t>二、评标委员会</w:t>
      </w:r>
      <w:bookmarkEnd w:id="731"/>
      <w:bookmarkEnd w:id="732"/>
      <w:bookmarkEnd w:id="733"/>
      <w:bookmarkEnd w:id="734"/>
      <w:bookmarkEnd w:id="735"/>
      <w:bookmarkEnd w:id="736"/>
      <w:bookmarkEnd w:id="737"/>
      <w:bookmarkEnd w:id="738"/>
      <w:bookmarkEnd w:id="739"/>
      <w:bookmarkEnd w:id="740"/>
    </w:p>
    <w:p w14:paraId="76999405">
      <w:pPr>
        <w:pStyle w:val="110"/>
        <w:spacing w:line="360" w:lineRule="auto"/>
        <w:ind w:firstLine="480"/>
        <w:rPr>
          <w:rFonts w:ascii="仿宋" w:hAnsi="仿宋" w:eastAsia="仿宋"/>
          <w:color w:val="auto"/>
          <w:sz w:val="24"/>
          <w:szCs w:val="24"/>
          <w:highlight w:val="none"/>
        </w:rPr>
      </w:pPr>
      <w:r>
        <w:rPr>
          <w:rFonts w:hint="eastAsia" w:ascii="仿宋" w:hAnsi="仿宋" w:eastAsia="仿宋"/>
          <w:color w:val="auto"/>
          <w:sz w:val="24"/>
          <w:szCs w:val="24"/>
          <w:highlight w:val="none"/>
        </w:rPr>
        <w:t>2.1评标委员会由有关技术、经济等方面的专家组成，成员人数应当为5人及以上单数。</w:t>
      </w:r>
    </w:p>
    <w:p w14:paraId="09D394FC">
      <w:pPr>
        <w:pStyle w:val="110"/>
        <w:spacing w:line="360" w:lineRule="auto"/>
        <w:ind w:firstLine="480"/>
        <w:rPr>
          <w:rFonts w:ascii="仿宋" w:hAnsi="仿宋" w:eastAsia="仿宋"/>
          <w:color w:val="auto"/>
          <w:sz w:val="24"/>
          <w:szCs w:val="24"/>
          <w:highlight w:val="none"/>
        </w:rPr>
      </w:pPr>
      <w:r>
        <w:rPr>
          <w:rFonts w:hint="eastAsia" w:ascii="仿宋" w:hAnsi="仿宋" w:eastAsia="仿宋"/>
          <w:color w:val="auto"/>
          <w:sz w:val="24"/>
          <w:szCs w:val="24"/>
          <w:highlight w:val="none"/>
        </w:rPr>
        <w:t>2.2招标采购单位就招标文件征询过意见的专家，不得再作为评标专家参加评标。评标专家应当熟悉政府采购、招标投标的相关政策法规，熟悉市场行情，有良好的职业道德，遵守招标纪律，从事相关领域工作满八年并具有高级职称或者具有同等专业水平。</w:t>
      </w:r>
    </w:p>
    <w:p w14:paraId="0598B27F">
      <w:pPr>
        <w:pStyle w:val="5"/>
        <w:spacing w:before="240" w:after="240" w:line="360" w:lineRule="auto"/>
        <w:jc w:val="center"/>
        <w:rPr>
          <w:rFonts w:ascii="仿宋" w:hAnsi="仿宋" w:eastAsia="仿宋"/>
          <w:color w:val="auto"/>
          <w:sz w:val="28"/>
          <w:szCs w:val="28"/>
          <w:highlight w:val="none"/>
        </w:rPr>
      </w:pPr>
      <w:bookmarkStart w:id="741" w:name="_Toc3108"/>
      <w:bookmarkStart w:id="742" w:name="_Toc24966"/>
      <w:bookmarkStart w:id="743" w:name="_Toc396313204"/>
      <w:bookmarkStart w:id="744" w:name="_Toc5460"/>
      <w:bookmarkStart w:id="745" w:name="_Toc391301905"/>
      <w:bookmarkStart w:id="746" w:name="_Toc54878357"/>
      <w:bookmarkStart w:id="747" w:name="_Toc364392661"/>
      <w:bookmarkStart w:id="748" w:name="_Toc12280"/>
      <w:bookmarkStart w:id="749" w:name="_Toc26933"/>
      <w:bookmarkStart w:id="750" w:name="_Toc12142"/>
      <w:bookmarkStart w:id="751" w:name="_Toc16659"/>
      <w:r>
        <w:rPr>
          <w:rFonts w:hint="eastAsia" w:ascii="仿宋" w:hAnsi="仿宋" w:eastAsia="仿宋"/>
          <w:color w:val="auto"/>
          <w:sz w:val="28"/>
          <w:szCs w:val="28"/>
          <w:highlight w:val="none"/>
        </w:rPr>
        <w:t>三、评标原则</w:t>
      </w:r>
      <w:bookmarkEnd w:id="741"/>
      <w:bookmarkEnd w:id="742"/>
      <w:bookmarkEnd w:id="743"/>
      <w:bookmarkEnd w:id="744"/>
      <w:bookmarkEnd w:id="745"/>
      <w:bookmarkEnd w:id="746"/>
      <w:bookmarkEnd w:id="747"/>
      <w:bookmarkEnd w:id="748"/>
      <w:bookmarkEnd w:id="749"/>
      <w:bookmarkEnd w:id="750"/>
      <w:bookmarkEnd w:id="751"/>
    </w:p>
    <w:p w14:paraId="32960D20">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3.1评标遵循“公平、公正、科学、择优、保密”的原则。</w:t>
      </w:r>
    </w:p>
    <w:p w14:paraId="5296BC96">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3.2只对有效投标文件进行评审，投标文件以外的资料信息不作为评标的依据和参考。</w:t>
      </w:r>
    </w:p>
    <w:p w14:paraId="68B66DFD">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3.3询标只针对投标文件中的疑问和问题，投标人澄清问题不允许超出要求的范围或修改投标文件的实质性内容。</w:t>
      </w:r>
    </w:p>
    <w:p w14:paraId="2C1E1D7C">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3.4评标委员会专家对所有投标文件一一进行独立审核和评价，客观公正的对每个投标文件进行独立打分。</w:t>
      </w:r>
    </w:p>
    <w:p w14:paraId="5B18E429">
      <w:pPr>
        <w:pStyle w:val="5"/>
        <w:spacing w:before="240" w:after="240" w:line="360" w:lineRule="auto"/>
        <w:jc w:val="center"/>
        <w:rPr>
          <w:rFonts w:ascii="仿宋" w:hAnsi="仿宋" w:eastAsia="仿宋"/>
          <w:color w:val="auto"/>
          <w:sz w:val="28"/>
          <w:szCs w:val="28"/>
          <w:highlight w:val="none"/>
        </w:rPr>
      </w:pPr>
      <w:bookmarkStart w:id="752" w:name="_Toc28071"/>
      <w:bookmarkStart w:id="753" w:name="_Toc32658"/>
      <w:bookmarkStart w:id="754" w:name="_Toc396313205"/>
      <w:bookmarkStart w:id="755" w:name="_Toc391301906"/>
      <w:bookmarkStart w:id="756" w:name="_Toc15432"/>
      <w:bookmarkStart w:id="757" w:name="_Toc364392662"/>
      <w:bookmarkStart w:id="758" w:name="_Toc14305"/>
      <w:bookmarkStart w:id="759" w:name="_Toc21918"/>
      <w:bookmarkStart w:id="760" w:name="_Toc12762"/>
      <w:bookmarkStart w:id="761" w:name="_Toc54878358"/>
      <w:bookmarkStart w:id="762" w:name="_Toc387"/>
      <w:r>
        <w:rPr>
          <w:rFonts w:hint="eastAsia" w:ascii="仿宋" w:hAnsi="仿宋" w:eastAsia="仿宋"/>
          <w:color w:val="auto"/>
          <w:sz w:val="28"/>
          <w:szCs w:val="28"/>
          <w:highlight w:val="none"/>
        </w:rPr>
        <w:t>四、评标纪律</w:t>
      </w:r>
      <w:bookmarkEnd w:id="752"/>
      <w:bookmarkEnd w:id="753"/>
      <w:bookmarkEnd w:id="754"/>
      <w:bookmarkEnd w:id="755"/>
      <w:bookmarkEnd w:id="756"/>
      <w:bookmarkEnd w:id="757"/>
      <w:bookmarkEnd w:id="758"/>
      <w:bookmarkEnd w:id="759"/>
      <w:bookmarkEnd w:id="760"/>
      <w:bookmarkEnd w:id="761"/>
      <w:bookmarkEnd w:id="762"/>
    </w:p>
    <w:p w14:paraId="6D144FC9">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4.1评标委员会的成员应严格自律,自觉接受有关部门的监督。</w:t>
      </w:r>
    </w:p>
    <w:p w14:paraId="0638C1C3">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4.2评标过程中，评标委员会成员不得擅离职守，影响评标程序正常进行。</w:t>
      </w:r>
    </w:p>
    <w:p w14:paraId="43C419CB">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4.3评标委员会的成员不得与投标人、其他利害关系人私下接触，不得向投标人、其他利害关系人泄露对投标文件的评审、比较、中标候选人的推荐以及与评标有关的其它情况。</w:t>
      </w:r>
    </w:p>
    <w:p w14:paraId="67EF2C1B">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4.4评标委员会如有需询问、澄清的问题由专职联络员负责联系负责转告。</w:t>
      </w:r>
    </w:p>
    <w:p w14:paraId="4A6E2F2E">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4.5不允许任何人把投标文件及其汇总材料带出评标会场（已经公开的价格等资料除外），所有资料不得复制，完成评标后所有材料如数交还。</w:t>
      </w:r>
    </w:p>
    <w:p w14:paraId="53572CD7">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4.6违反上述规定对评标造成不良影响的，后果由责任者承担。</w:t>
      </w:r>
    </w:p>
    <w:p w14:paraId="31231CD2">
      <w:pPr>
        <w:pStyle w:val="5"/>
        <w:spacing w:before="240" w:after="240" w:line="360" w:lineRule="auto"/>
        <w:jc w:val="center"/>
        <w:rPr>
          <w:rFonts w:ascii="仿宋" w:hAnsi="仿宋" w:eastAsia="仿宋"/>
          <w:color w:val="auto"/>
          <w:sz w:val="28"/>
          <w:szCs w:val="28"/>
          <w:highlight w:val="none"/>
        </w:rPr>
      </w:pPr>
      <w:bookmarkStart w:id="763" w:name="_Toc396313207"/>
      <w:bookmarkStart w:id="764" w:name="_Toc364392664"/>
      <w:bookmarkStart w:id="765" w:name="_Toc54878360"/>
      <w:bookmarkStart w:id="766" w:name="_Toc391301908"/>
      <w:bookmarkStart w:id="767" w:name="_Toc21391"/>
      <w:bookmarkStart w:id="768" w:name="_Toc7552"/>
      <w:bookmarkStart w:id="769" w:name="_Toc27403"/>
      <w:bookmarkStart w:id="770" w:name="_Toc25406"/>
      <w:bookmarkStart w:id="771" w:name="_Toc27184"/>
      <w:bookmarkStart w:id="772" w:name="_Toc19007"/>
      <w:bookmarkStart w:id="773" w:name="_Toc10637"/>
      <w:r>
        <w:rPr>
          <w:rFonts w:hint="eastAsia" w:ascii="仿宋" w:hAnsi="仿宋" w:eastAsia="仿宋"/>
          <w:color w:val="auto"/>
          <w:sz w:val="28"/>
          <w:szCs w:val="28"/>
          <w:highlight w:val="none"/>
        </w:rPr>
        <w:t>五、评标程序</w:t>
      </w:r>
      <w:bookmarkEnd w:id="763"/>
      <w:bookmarkEnd w:id="764"/>
      <w:bookmarkEnd w:id="765"/>
      <w:bookmarkEnd w:id="766"/>
      <w:r>
        <w:rPr>
          <w:rFonts w:hint="eastAsia" w:ascii="仿宋" w:hAnsi="仿宋" w:eastAsia="仿宋"/>
          <w:color w:val="auto"/>
          <w:sz w:val="28"/>
          <w:szCs w:val="28"/>
          <w:highlight w:val="none"/>
        </w:rPr>
        <w:t>和标准</w:t>
      </w:r>
      <w:bookmarkEnd w:id="767"/>
      <w:bookmarkEnd w:id="768"/>
      <w:bookmarkEnd w:id="769"/>
      <w:bookmarkEnd w:id="770"/>
      <w:bookmarkEnd w:id="771"/>
      <w:bookmarkEnd w:id="772"/>
      <w:bookmarkEnd w:id="773"/>
    </w:p>
    <w:p w14:paraId="46888C4B">
      <w:pPr>
        <w:spacing w:line="360" w:lineRule="auto"/>
        <w:ind w:firstLine="480" w:firstLineChars="200"/>
        <w:outlineLvl w:val="1"/>
        <w:rPr>
          <w:rFonts w:ascii="仿宋" w:hAnsi="仿宋" w:eastAsia="仿宋"/>
          <w:color w:val="auto"/>
          <w:sz w:val="24"/>
          <w:szCs w:val="24"/>
          <w:highlight w:val="none"/>
        </w:rPr>
      </w:pPr>
      <w:bookmarkStart w:id="774" w:name="_Toc8044"/>
      <w:bookmarkStart w:id="775" w:name="_Toc9484"/>
      <w:bookmarkStart w:id="776" w:name="_Toc22837"/>
      <w:bookmarkStart w:id="777" w:name="_Toc29948"/>
      <w:bookmarkStart w:id="778" w:name="_Toc13915"/>
      <w:bookmarkStart w:id="779" w:name="_Toc27277"/>
      <w:bookmarkStart w:id="780" w:name="_Toc391301910"/>
      <w:bookmarkStart w:id="781" w:name="_Toc364392665"/>
      <w:bookmarkStart w:id="782" w:name="_Toc396313209"/>
      <w:r>
        <w:rPr>
          <w:rFonts w:hint="eastAsia" w:ascii="仿宋" w:hAnsi="仿宋" w:eastAsia="仿宋"/>
          <w:bCs/>
          <w:color w:val="auto"/>
          <w:sz w:val="24"/>
          <w:szCs w:val="24"/>
          <w:highlight w:val="none"/>
        </w:rPr>
        <w:t>5.1资格审查、符合性审查</w:t>
      </w:r>
      <w:bookmarkEnd w:id="774"/>
      <w:bookmarkEnd w:id="775"/>
      <w:bookmarkEnd w:id="776"/>
      <w:bookmarkEnd w:id="777"/>
      <w:bookmarkEnd w:id="778"/>
      <w:bookmarkEnd w:id="779"/>
    </w:p>
    <w:p w14:paraId="324936A3">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5.1.1资格审查：采购人或者采购代理机构依据法律法规和招标文件的规定，对投标文件中的资格证明文件进行审查（具体详见《评标方法前附表》），有一项不符合的，该投标文件按无效投标处理。</w:t>
      </w:r>
    </w:p>
    <w:p w14:paraId="6532C8A4">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5.1.2符合性审查：评标委员会依据招标文件的规定，对符合资格的投标人的投标文件进行符合性审查（具体详见《评标方法前附表》），有一项不符合的，该投标文件按无效投标处理。</w:t>
      </w:r>
    </w:p>
    <w:p w14:paraId="25FD6B73">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5.1.3符合本章第5.1.1、5.1.2项规定的投标文件视为符合招标文件的商务、技术等实质性要求评审，可以进行技术和商务评估，综合比较与评价。</w:t>
      </w:r>
    </w:p>
    <w:p w14:paraId="62F7F00A">
      <w:pPr>
        <w:spacing w:line="360" w:lineRule="auto"/>
        <w:ind w:firstLine="480" w:firstLineChars="200"/>
        <w:outlineLvl w:val="1"/>
        <w:rPr>
          <w:rFonts w:ascii="仿宋" w:hAnsi="仿宋" w:eastAsia="仿宋"/>
          <w:color w:val="auto"/>
          <w:sz w:val="24"/>
          <w:szCs w:val="24"/>
          <w:highlight w:val="none"/>
        </w:rPr>
      </w:pPr>
      <w:bookmarkStart w:id="783" w:name="_Toc13907"/>
      <w:bookmarkStart w:id="784" w:name="_Toc489145775"/>
      <w:bookmarkStart w:id="785" w:name="_Toc528186516"/>
      <w:bookmarkStart w:id="786" w:name="_Toc14381"/>
      <w:bookmarkStart w:id="787" w:name="_Toc9420"/>
      <w:bookmarkStart w:id="788" w:name="_Toc778"/>
      <w:bookmarkStart w:id="789" w:name="_Toc20021"/>
      <w:bookmarkStart w:id="790" w:name="_Toc9004"/>
      <w:bookmarkStart w:id="791" w:name="_Toc321836408"/>
      <w:bookmarkStart w:id="792" w:name="_Toc29323"/>
      <w:bookmarkStart w:id="793" w:name="_Toc5743"/>
      <w:bookmarkStart w:id="794" w:name="_Toc489197879"/>
      <w:bookmarkStart w:id="795" w:name="_Toc23715"/>
      <w:r>
        <w:rPr>
          <w:rFonts w:hint="eastAsia" w:ascii="仿宋" w:hAnsi="仿宋" w:eastAsia="仿宋"/>
          <w:color w:val="auto"/>
          <w:sz w:val="24"/>
          <w:szCs w:val="24"/>
          <w:highlight w:val="none"/>
        </w:rPr>
        <w:t>5.2分值构成与评分标准</w:t>
      </w:r>
      <w:bookmarkEnd w:id="783"/>
      <w:bookmarkEnd w:id="784"/>
      <w:bookmarkEnd w:id="785"/>
      <w:bookmarkEnd w:id="786"/>
      <w:bookmarkEnd w:id="787"/>
      <w:bookmarkEnd w:id="788"/>
      <w:bookmarkEnd w:id="789"/>
      <w:bookmarkEnd w:id="790"/>
      <w:bookmarkEnd w:id="791"/>
      <w:bookmarkEnd w:id="792"/>
      <w:bookmarkEnd w:id="793"/>
      <w:bookmarkEnd w:id="794"/>
      <w:bookmarkEnd w:id="795"/>
    </w:p>
    <w:p w14:paraId="2C6B83E0">
      <w:pPr>
        <w:spacing w:line="360" w:lineRule="auto"/>
        <w:ind w:firstLine="480" w:firstLineChars="200"/>
        <w:outlineLvl w:val="2"/>
        <w:rPr>
          <w:rFonts w:ascii="仿宋" w:hAnsi="仿宋" w:eastAsia="仿宋"/>
          <w:color w:val="auto"/>
          <w:sz w:val="24"/>
          <w:szCs w:val="24"/>
          <w:highlight w:val="none"/>
        </w:rPr>
      </w:pPr>
      <w:bookmarkStart w:id="796" w:name="_Toc12108"/>
      <w:bookmarkStart w:id="797" w:name="_Toc24758"/>
      <w:bookmarkStart w:id="798" w:name="_Toc23130"/>
      <w:bookmarkStart w:id="799" w:name="_Toc29808"/>
      <w:bookmarkStart w:id="800" w:name="_Toc6384"/>
      <w:bookmarkStart w:id="801" w:name="_Toc1482"/>
      <w:r>
        <w:rPr>
          <w:rFonts w:hint="eastAsia" w:ascii="仿宋" w:hAnsi="仿宋" w:eastAsia="仿宋"/>
          <w:color w:val="auto"/>
          <w:sz w:val="24"/>
          <w:szCs w:val="24"/>
          <w:highlight w:val="none"/>
        </w:rPr>
        <w:t>5.2.1分值构成</w:t>
      </w:r>
      <w:bookmarkEnd w:id="796"/>
      <w:bookmarkEnd w:id="797"/>
      <w:bookmarkEnd w:id="798"/>
      <w:bookmarkEnd w:id="799"/>
      <w:bookmarkEnd w:id="800"/>
      <w:bookmarkEnd w:id="801"/>
    </w:p>
    <w:p w14:paraId="246435E0">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（1）投标报价：详见《评标方法前附表》；</w:t>
      </w:r>
    </w:p>
    <w:p w14:paraId="44576B68">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（2）技术部分：详见《评标方法前附表》；</w:t>
      </w:r>
    </w:p>
    <w:p w14:paraId="32C64183">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（3）商务部分：详见《评标方法前附表》。</w:t>
      </w:r>
    </w:p>
    <w:p w14:paraId="67EE1067">
      <w:pPr>
        <w:spacing w:line="360" w:lineRule="auto"/>
        <w:ind w:firstLine="480" w:firstLineChars="200"/>
        <w:outlineLvl w:val="2"/>
        <w:rPr>
          <w:rFonts w:ascii="仿宋" w:hAnsi="仿宋" w:eastAsia="仿宋"/>
          <w:color w:val="auto"/>
          <w:sz w:val="24"/>
          <w:szCs w:val="24"/>
          <w:highlight w:val="none"/>
        </w:rPr>
      </w:pPr>
      <w:bookmarkStart w:id="802" w:name="_Toc6077"/>
      <w:bookmarkStart w:id="803" w:name="_Toc27477"/>
      <w:bookmarkStart w:id="804" w:name="_Toc31720"/>
      <w:bookmarkStart w:id="805" w:name="_Toc31076"/>
      <w:bookmarkStart w:id="806" w:name="_Toc1208"/>
      <w:bookmarkStart w:id="807" w:name="_Toc28686"/>
      <w:r>
        <w:rPr>
          <w:rFonts w:hint="eastAsia" w:ascii="仿宋" w:hAnsi="仿宋" w:eastAsia="仿宋"/>
          <w:color w:val="auto"/>
          <w:sz w:val="24"/>
          <w:szCs w:val="24"/>
          <w:highlight w:val="none"/>
        </w:rPr>
        <w:t>5.2.2评标基准价计算方法</w:t>
      </w:r>
      <w:bookmarkEnd w:id="802"/>
      <w:r>
        <w:rPr>
          <w:rFonts w:hint="eastAsia" w:ascii="仿宋" w:hAnsi="仿宋" w:eastAsia="仿宋"/>
          <w:color w:val="auto"/>
          <w:sz w:val="24"/>
          <w:szCs w:val="24"/>
          <w:highlight w:val="none"/>
          <w:lang w:eastAsia="zh-CN"/>
        </w:rPr>
        <w:t>：</w:t>
      </w:r>
      <w:r>
        <w:rPr>
          <w:rFonts w:hint="eastAsia" w:ascii="仿宋" w:hAnsi="仿宋" w:eastAsia="仿宋"/>
          <w:color w:val="auto"/>
          <w:sz w:val="24"/>
          <w:szCs w:val="24"/>
          <w:highlight w:val="none"/>
        </w:rPr>
        <w:t>详见《评标方法前附表》。</w:t>
      </w:r>
      <w:bookmarkEnd w:id="803"/>
      <w:bookmarkEnd w:id="804"/>
      <w:bookmarkEnd w:id="805"/>
      <w:bookmarkEnd w:id="806"/>
      <w:bookmarkEnd w:id="807"/>
    </w:p>
    <w:p w14:paraId="6C0DEA76">
      <w:pPr>
        <w:spacing w:line="360" w:lineRule="auto"/>
        <w:ind w:firstLine="480" w:firstLineChars="200"/>
        <w:outlineLvl w:val="2"/>
        <w:rPr>
          <w:rFonts w:ascii="仿宋" w:hAnsi="仿宋" w:eastAsia="仿宋"/>
          <w:color w:val="auto"/>
          <w:sz w:val="24"/>
          <w:szCs w:val="24"/>
          <w:highlight w:val="none"/>
        </w:rPr>
      </w:pPr>
      <w:bookmarkStart w:id="808" w:name="_Toc11590"/>
      <w:bookmarkStart w:id="809" w:name="_Toc26765"/>
      <w:bookmarkStart w:id="810" w:name="_Toc4502"/>
      <w:bookmarkStart w:id="811" w:name="_Toc28418"/>
      <w:bookmarkStart w:id="812" w:name="_Toc2326"/>
      <w:bookmarkStart w:id="813" w:name="_Toc5197"/>
      <w:r>
        <w:rPr>
          <w:rFonts w:hint="eastAsia" w:ascii="仿宋" w:hAnsi="仿宋" w:eastAsia="仿宋"/>
          <w:color w:val="auto"/>
          <w:sz w:val="24"/>
          <w:szCs w:val="24"/>
          <w:highlight w:val="none"/>
        </w:rPr>
        <w:t>5.2.3评分标准</w:t>
      </w:r>
      <w:bookmarkEnd w:id="808"/>
      <w:bookmarkEnd w:id="809"/>
      <w:bookmarkEnd w:id="810"/>
      <w:bookmarkEnd w:id="811"/>
      <w:bookmarkEnd w:id="812"/>
      <w:bookmarkEnd w:id="813"/>
    </w:p>
    <w:p w14:paraId="0A779126">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按招标文件中规定的评标方法和标准，对满足招标文件实质性要求评审的投标文件进行技术和商务评估，综合比较与评价。</w:t>
      </w:r>
    </w:p>
    <w:p w14:paraId="476A728D">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（1）投标报价评分标准：详见《评标方法前附表》；</w:t>
      </w:r>
    </w:p>
    <w:p w14:paraId="60C02913">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（2）技术部分评分标准：详见《评标方法前附表》；</w:t>
      </w:r>
    </w:p>
    <w:p w14:paraId="67F5B684">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（3）商务部分评分标准：详见《评标方法前附表》。</w:t>
      </w:r>
    </w:p>
    <w:p w14:paraId="05AB1AEE">
      <w:pPr>
        <w:spacing w:line="360" w:lineRule="auto"/>
        <w:ind w:firstLine="480" w:firstLineChars="200"/>
        <w:outlineLvl w:val="1"/>
        <w:rPr>
          <w:rFonts w:ascii="仿宋" w:hAnsi="仿宋" w:eastAsia="仿宋"/>
          <w:color w:val="auto"/>
          <w:sz w:val="24"/>
          <w:szCs w:val="24"/>
          <w:highlight w:val="none"/>
        </w:rPr>
      </w:pPr>
      <w:bookmarkStart w:id="814" w:name="_Toc489145776"/>
      <w:bookmarkStart w:id="815" w:name="_Toc321836409"/>
      <w:bookmarkStart w:id="816" w:name="_Toc489197880"/>
      <w:bookmarkStart w:id="817" w:name="_Toc26720"/>
      <w:bookmarkStart w:id="818" w:name="_Toc30421"/>
      <w:bookmarkStart w:id="819" w:name="_Toc7817"/>
      <w:bookmarkStart w:id="820" w:name="_Toc14741"/>
      <w:bookmarkStart w:id="821" w:name="_Toc7486"/>
      <w:bookmarkStart w:id="822" w:name="_Toc10841"/>
      <w:bookmarkStart w:id="823" w:name="_Toc9812"/>
      <w:bookmarkStart w:id="824" w:name="_Toc25086"/>
      <w:bookmarkStart w:id="825" w:name="_Toc528186517"/>
      <w:bookmarkStart w:id="826" w:name="_Toc481"/>
      <w:r>
        <w:rPr>
          <w:rFonts w:hint="eastAsia" w:ascii="仿宋" w:hAnsi="仿宋" w:eastAsia="仿宋"/>
          <w:color w:val="auto"/>
          <w:sz w:val="24"/>
          <w:szCs w:val="24"/>
          <w:highlight w:val="none"/>
        </w:rPr>
        <w:t>5.3</w:t>
      </w:r>
      <w:bookmarkEnd w:id="814"/>
      <w:bookmarkEnd w:id="815"/>
      <w:bookmarkEnd w:id="816"/>
      <w:r>
        <w:rPr>
          <w:rFonts w:hint="eastAsia" w:ascii="仿宋" w:hAnsi="仿宋" w:eastAsia="仿宋"/>
          <w:color w:val="auto"/>
          <w:sz w:val="24"/>
          <w:szCs w:val="24"/>
          <w:highlight w:val="none"/>
        </w:rPr>
        <w:t>综合比较与评价</w:t>
      </w:r>
      <w:bookmarkEnd w:id="817"/>
      <w:bookmarkEnd w:id="818"/>
      <w:bookmarkEnd w:id="819"/>
      <w:bookmarkEnd w:id="820"/>
      <w:bookmarkEnd w:id="821"/>
      <w:bookmarkEnd w:id="822"/>
      <w:bookmarkEnd w:id="823"/>
      <w:bookmarkEnd w:id="824"/>
      <w:bookmarkEnd w:id="825"/>
      <w:bookmarkEnd w:id="826"/>
    </w:p>
    <w:p w14:paraId="260E67C2">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5.3.1评标委员会按本章5.2.3规定的评分标准进行打分，并计算出投标人的评标总得分。对投标人的价格分等客观评分项的评分应当一致，对其他需要借助专业知识评判的主观评分项，应当严格按照评分细则公正评分。</w:t>
      </w:r>
    </w:p>
    <w:p w14:paraId="3D2746A5">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（1）按本章《评标方法前附表》的规定对投标报价计算出得分F1（保留小数点后两位，小数点后第三位“四舍五入”）；</w:t>
      </w:r>
    </w:p>
    <w:p w14:paraId="21E6FFD2">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（2）按本章《评标方法前附表》的规定对技术部分评分，得分F2；</w:t>
      </w:r>
    </w:p>
    <w:p w14:paraId="67E0F024">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（3）按本章《评标方法前附表》的规定对商务部分评分，得分F3；</w:t>
      </w:r>
    </w:p>
    <w:p w14:paraId="5FCB8992">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（4）按本章《评标方法前附表》的规定计算评标总得分。</w:t>
      </w:r>
    </w:p>
    <w:p w14:paraId="7EE35E13">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5.3.2技术部分（F2）和商务部分（F3）得分由评标委员会成员独立评分，投标人各项评分因素得分为该项因素各评委评分的算术平均值（保留小数点后两位），小数点后第三位“四舍五入”。</w:t>
      </w:r>
    </w:p>
    <w:p w14:paraId="1A73E9A4">
      <w:pPr>
        <w:spacing w:line="360" w:lineRule="auto"/>
        <w:ind w:firstLine="482" w:firstLineChars="200"/>
        <w:outlineLvl w:val="9"/>
        <w:rPr>
          <w:rFonts w:hint="eastAsia" w:ascii="仿宋" w:hAnsi="仿宋" w:eastAsia="仿宋" w:cs="Times New Roman"/>
          <w:b/>
          <w:bCs/>
          <w:color w:val="auto"/>
          <w:sz w:val="24"/>
          <w:szCs w:val="24"/>
          <w:highlight w:val="none"/>
          <w:lang w:val="en-US" w:eastAsia="zh-CN"/>
        </w:rPr>
      </w:pPr>
      <w:r>
        <w:rPr>
          <w:rFonts w:hint="eastAsia" w:ascii="仿宋" w:hAnsi="仿宋" w:eastAsia="仿宋" w:cs="Times New Roman"/>
          <w:b/>
          <w:bCs/>
          <w:color w:val="auto"/>
          <w:sz w:val="24"/>
          <w:szCs w:val="24"/>
          <w:highlight w:val="none"/>
          <w:lang w:val="en-US" w:eastAsia="zh-CN"/>
        </w:rPr>
        <w:t>5.3.3低于成本价不正当竞争预防措施</w:t>
      </w:r>
    </w:p>
    <w:p w14:paraId="437CBAE3">
      <w:pPr>
        <w:spacing w:line="360" w:lineRule="auto"/>
        <w:ind w:firstLine="480" w:firstLineChars="200"/>
        <w:outlineLvl w:val="9"/>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1）在评标过程中，评审委员会认为投标人的报价明显低于其他通过符合性审查的投标人的报价，有可能影响工程质量或者不能诚信履约的，应当要求其在评标现场合理的时间内提供书面说明，必要时提交相关证明材料；投标人不能证明其报价合理性的，评审委员会应当将其作为无效投标处理。投标人书面说明应当按照国家财务会计制度的规定要求，逐项就投标人提供的货物、工程和服务的主营业务成本（应根据投标人企业类型予以区别）、税金及附加、销售费用、管理费用、财务费用等成本构成事项详细陈述〔若响应文件未附财务报告的，则还需提供完整的财务状况报告（含三表一附注）〕。</w:t>
      </w:r>
    </w:p>
    <w:p w14:paraId="39B628F7">
      <w:pPr>
        <w:spacing w:line="360" w:lineRule="auto"/>
        <w:ind w:firstLine="480" w:firstLineChars="200"/>
        <w:outlineLvl w:val="9"/>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2）根据《关于推动解决政府采购异常低价问题的通知》财库〔2026〕2号，为整治政府采购领域“内卷式”竞争，形成优质优价、良性竞争的市场秩序，评审中出现下列情形之一的，评审委员会应当启动异常低价投标（响应）审查程序：</w:t>
      </w:r>
    </w:p>
    <w:p w14:paraId="2FF5916F">
      <w:pPr>
        <w:spacing w:line="360" w:lineRule="auto"/>
        <w:ind w:firstLine="480" w:firstLineChars="200"/>
        <w:outlineLvl w:val="9"/>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1）投标（响应）报价低于全部通过符合性审查投标人投标（响应）报价平均值50%的，即投标（响应）报价&lt;全部通过符合性审查投标人投标（响应）报价平均值×50%；</w:t>
      </w:r>
    </w:p>
    <w:p w14:paraId="4F4D32D1">
      <w:pPr>
        <w:spacing w:line="360" w:lineRule="auto"/>
        <w:ind w:firstLine="480" w:firstLineChars="200"/>
        <w:outlineLvl w:val="9"/>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2）投标（响应）报价低于通过符合性审查的次低报价投标人投标（响应）报价50%的，即投标（响应）报价&lt;通过符合性审查的次低报价投标人投标（响应）报价×50%；</w:t>
      </w:r>
    </w:p>
    <w:p w14:paraId="23C60283">
      <w:pPr>
        <w:spacing w:line="360" w:lineRule="auto"/>
        <w:ind w:firstLine="480" w:firstLineChars="200"/>
        <w:outlineLvl w:val="9"/>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3）投标（响应）报价低于采购项目最高限价45%的，即投标（响应）报价&lt;采购项目最高限价×45%；</w:t>
      </w:r>
    </w:p>
    <w:p w14:paraId="13C1A683">
      <w:pPr>
        <w:spacing w:line="360" w:lineRule="auto"/>
        <w:ind w:firstLine="480" w:firstLineChars="200"/>
        <w:outlineLvl w:val="9"/>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4）评审委员会基于专业判断，认为投标人报价过低，有可能影响产品质量或者不能诚信履约的其他情形。</w:t>
      </w:r>
    </w:p>
    <w:p w14:paraId="29EB3E35">
      <w:pPr>
        <w:spacing w:line="360" w:lineRule="auto"/>
        <w:ind w:firstLine="480" w:firstLineChars="200"/>
        <w:outlineLvl w:val="9"/>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5）采购人可以结合具体项目实际情况，提高上述第1项至第3项中启动异常低价投标（响应）审查的数值标准，但最高不得超过65%。</w:t>
      </w:r>
    </w:p>
    <w:p w14:paraId="57AE705B">
      <w:pPr>
        <w:spacing w:line="360" w:lineRule="auto"/>
        <w:ind w:firstLine="480" w:firstLineChars="200"/>
        <w:outlineLvl w:val="9"/>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相关法律法规对投标人报价有规定的，从其规定。</w:t>
      </w:r>
    </w:p>
    <w:p w14:paraId="6FF3EAD6">
      <w:pPr>
        <w:spacing w:line="360" w:lineRule="auto"/>
        <w:ind w:firstLine="480" w:firstLineChars="200"/>
        <w:outlineLvl w:val="9"/>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3）评审委员会启动异常低价投标（响应）审查后，属于前述第1项至第4项情形的，应当要求相关投标人在评审现场合理的时间内对投标（响应）价格作出解释，并提供项目具体成本测算等与报价合理性相关的书面说明及必要的证明材料，包括但不限于原材料成本、人工成本、制造费用等，给予相关投标人的合理时间一般不少于30分钟。其中，属于第3项情形，投标人已随投标（响应）文件一并提交相关书面说明及必要的证明材料的，在评审现场可不再重复提交。</w:t>
      </w:r>
    </w:p>
    <w:p w14:paraId="090331B3">
      <w:pPr>
        <w:spacing w:line="360" w:lineRule="auto"/>
        <w:ind w:firstLine="480" w:firstLineChars="200"/>
        <w:outlineLvl w:val="9"/>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4）投标人书面说明应当签字确认或者加盖公章，否则无效。书面说明的签字确认，投标人为法人的，由其法定代表人或者代理人签字确认：投标人为其他组织的，由其主要负责人或者代理人签字确认；投标人为自然人的，由其本人或者代理人签字确认。</w:t>
      </w:r>
    </w:p>
    <w:p w14:paraId="7084ACCB">
      <w:pPr>
        <w:spacing w:line="360" w:lineRule="auto"/>
        <w:ind w:firstLine="480" w:firstLineChars="200"/>
        <w:outlineLvl w:val="9"/>
      </w:pPr>
      <w:r>
        <w:rPr>
          <w:rFonts w:hint="eastAsia" w:ascii="仿宋" w:hAnsi="仿宋" w:eastAsia="仿宋" w:cs="Times New Roman"/>
          <w:color w:val="auto"/>
          <w:sz w:val="24"/>
          <w:szCs w:val="24"/>
          <w:highlight w:val="none"/>
          <w:lang w:val="en-US" w:eastAsia="zh-CN"/>
        </w:rPr>
        <w:t>（5）投标人提供书面说明后，评审委员会应当结合采购项目采购需求、专业实际情况、投标人财务状况报告、与其他投标人比较情况等就投标人书面说明进行审查评价。投标人拒绝或者变相拒绝（包括未在规定时间内提供的）提供有效书面说明或者书面说明不能证明其报价合理性的，评审委员会应当将其响应文件作为无效处理。</w:t>
      </w:r>
    </w:p>
    <w:p w14:paraId="241B0173">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5.3.</w:t>
      </w:r>
      <w:r>
        <w:rPr>
          <w:rFonts w:hint="eastAsia" w:ascii="仿宋" w:hAnsi="仿宋" w:eastAsia="仿宋"/>
          <w:color w:val="auto"/>
          <w:sz w:val="24"/>
          <w:szCs w:val="24"/>
          <w:highlight w:val="none"/>
          <w:lang w:val="en-US" w:eastAsia="zh-CN"/>
        </w:rPr>
        <w:t>4</w:t>
      </w:r>
      <w:r>
        <w:rPr>
          <w:rFonts w:hint="eastAsia" w:ascii="仿宋" w:hAnsi="仿宋" w:eastAsia="仿宋"/>
          <w:color w:val="auto"/>
          <w:sz w:val="24"/>
          <w:szCs w:val="24"/>
          <w:highlight w:val="none"/>
        </w:rPr>
        <w:t>评标委员会成员要依法独立评审，并对评审意见承担个人责任。评标委员会成员对需要共同认定的事项存在争议的，应当按照少数服从多数的原则作出结论。持不同意见的评标委员会成员应当在评标报告上签署不同意见及理由，否则视为同意评标报告。</w:t>
      </w:r>
    </w:p>
    <w:p w14:paraId="644EF00D">
      <w:pPr>
        <w:spacing w:line="360" w:lineRule="auto"/>
        <w:ind w:firstLine="480" w:firstLineChars="200"/>
        <w:outlineLvl w:val="1"/>
        <w:rPr>
          <w:rFonts w:ascii="仿宋" w:hAnsi="仿宋" w:eastAsia="仿宋"/>
          <w:color w:val="auto"/>
          <w:sz w:val="24"/>
          <w:szCs w:val="24"/>
          <w:highlight w:val="none"/>
        </w:rPr>
      </w:pPr>
      <w:bookmarkStart w:id="827" w:name="_Toc1893"/>
      <w:bookmarkStart w:id="828" w:name="_Toc321836412"/>
      <w:bookmarkStart w:id="829" w:name="_Toc4175"/>
      <w:bookmarkStart w:id="830" w:name="_Toc489197881"/>
      <w:bookmarkStart w:id="831" w:name="_Toc489145777"/>
      <w:bookmarkStart w:id="832" w:name="_Toc24105"/>
      <w:bookmarkStart w:id="833" w:name="_Toc18094"/>
      <w:bookmarkStart w:id="834" w:name="_Toc25297"/>
      <w:bookmarkStart w:id="835" w:name="_Toc528186518"/>
      <w:bookmarkStart w:id="836" w:name="_Toc21642"/>
      <w:bookmarkStart w:id="837" w:name="_Toc3127"/>
      <w:bookmarkStart w:id="838" w:name="_Toc31390"/>
      <w:bookmarkStart w:id="839" w:name="_Toc24544"/>
      <w:r>
        <w:rPr>
          <w:rFonts w:hint="eastAsia" w:ascii="仿宋" w:hAnsi="仿宋" w:eastAsia="仿宋"/>
          <w:color w:val="auto"/>
          <w:sz w:val="24"/>
          <w:szCs w:val="24"/>
          <w:highlight w:val="none"/>
        </w:rPr>
        <w:t>5.4投标文件的澄清</w:t>
      </w:r>
      <w:bookmarkEnd w:id="827"/>
      <w:bookmarkEnd w:id="828"/>
      <w:bookmarkEnd w:id="829"/>
      <w:bookmarkEnd w:id="830"/>
      <w:bookmarkEnd w:id="831"/>
      <w:bookmarkEnd w:id="832"/>
      <w:bookmarkEnd w:id="833"/>
      <w:bookmarkEnd w:id="834"/>
      <w:bookmarkEnd w:id="835"/>
      <w:bookmarkEnd w:id="836"/>
      <w:bookmarkEnd w:id="837"/>
      <w:bookmarkEnd w:id="838"/>
      <w:bookmarkEnd w:id="839"/>
    </w:p>
    <w:p w14:paraId="423C2ABF">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5.4.1投标文件中出现含义不明确、同类问题表述不一致或者有明显文字和计算错误的内容，评标委员会将以书面形式要求投标人作出必要的澄清、说明或者补正。投标人的澄清、说明或者补正应当采用书面形式，并加盖公章，或者由法定代表人或其授权的代表签字。投标人的澄清、说明或者补正不得超出投标文件的范围或者改变投标文件的实质性内容。</w:t>
      </w:r>
    </w:p>
    <w:p w14:paraId="08BEB63B">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5.4.2评标委员会不接受投标人主动提出的澄清、说明或者补正。</w:t>
      </w:r>
    </w:p>
    <w:p w14:paraId="17DD21D0">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5.4.3评标委员会对投标人提交的澄清、说明或者补正有疑问的，可以要求投标人进一步澄清、说明或者补正。</w:t>
      </w:r>
    </w:p>
    <w:p w14:paraId="1BD2F9A9">
      <w:pPr>
        <w:spacing w:line="360" w:lineRule="auto"/>
        <w:ind w:firstLine="480" w:firstLineChars="200"/>
        <w:outlineLvl w:val="1"/>
        <w:rPr>
          <w:rFonts w:ascii="仿宋" w:hAnsi="仿宋" w:eastAsia="仿宋"/>
          <w:color w:val="auto"/>
          <w:sz w:val="24"/>
          <w:szCs w:val="24"/>
          <w:highlight w:val="none"/>
        </w:rPr>
      </w:pPr>
      <w:bookmarkStart w:id="840" w:name="_Toc489145778"/>
      <w:bookmarkStart w:id="841" w:name="_Toc18892"/>
      <w:bookmarkStart w:id="842" w:name="_Toc321836413"/>
      <w:bookmarkStart w:id="843" w:name="_Toc18966"/>
      <w:bookmarkStart w:id="844" w:name="_Toc489197882"/>
      <w:bookmarkStart w:id="845" w:name="_Toc10582"/>
      <w:bookmarkStart w:id="846" w:name="_Toc5455"/>
      <w:bookmarkStart w:id="847" w:name="_Toc8014"/>
      <w:bookmarkStart w:id="848" w:name="_Toc528186519"/>
      <w:bookmarkStart w:id="849" w:name="_Toc12088"/>
      <w:bookmarkStart w:id="850" w:name="_Toc13737"/>
      <w:bookmarkStart w:id="851" w:name="_Toc27170"/>
      <w:bookmarkStart w:id="852" w:name="_Toc28835"/>
      <w:r>
        <w:rPr>
          <w:rFonts w:hint="eastAsia" w:ascii="仿宋" w:hAnsi="仿宋" w:eastAsia="仿宋"/>
          <w:color w:val="auto"/>
          <w:sz w:val="24"/>
          <w:szCs w:val="24"/>
          <w:highlight w:val="none"/>
        </w:rPr>
        <w:t>5.5评标结果</w:t>
      </w:r>
      <w:bookmarkEnd w:id="840"/>
      <w:bookmarkEnd w:id="841"/>
      <w:bookmarkEnd w:id="842"/>
      <w:bookmarkEnd w:id="843"/>
      <w:bookmarkEnd w:id="844"/>
      <w:bookmarkEnd w:id="845"/>
      <w:bookmarkEnd w:id="846"/>
      <w:bookmarkEnd w:id="847"/>
      <w:bookmarkEnd w:id="848"/>
      <w:bookmarkEnd w:id="849"/>
      <w:bookmarkEnd w:id="850"/>
      <w:bookmarkEnd w:id="851"/>
      <w:bookmarkEnd w:id="852"/>
    </w:p>
    <w:p w14:paraId="57DC004E">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5.5.1评标委员会按评标总得分由高到低顺序推荐中标候选人，评标总得分相同时根据中华人民共和国财政部令第87号——政府采购货物和服务招标投标管理办法第五十七条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并提出书面评标报告。</w:t>
      </w:r>
    </w:p>
    <w:p w14:paraId="5FF0682E">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5.5.2采购人根据评标委员会提出的书面评标报告和推荐的中标候选人名单，确定中标人。</w:t>
      </w:r>
    </w:p>
    <w:p w14:paraId="6ABB37FB">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5.5.3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bookmarkEnd w:id="780"/>
      <w:bookmarkEnd w:id="781"/>
      <w:bookmarkEnd w:id="782"/>
    </w:p>
    <w:p w14:paraId="78CD6803">
      <w:pPr>
        <w:spacing w:line="360" w:lineRule="auto"/>
        <w:ind w:firstLine="480" w:firstLineChars="200"/>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5.6提供的核心产品为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3478F9D5">
      <w:pPr>
        <w:spacing w:line="360" w:lineRule="auto"/>
        <w:ind w:firstLine="480" w:firstLineChars="200"/>
        <w:rPr>
          <w:rFonts w:hint="default" w:ascii="仿宋" w:hAnsi="仿宋" w:eastAsia="仿宋"/>
          <w:color w:val="auto"/>
          <w:sz w:val="24"/>
          <w:szCs w:val="24"/>
          <w:highlight w:val="none"/>
          <w:lang w:val="en-US" w:eastAsia="zh-CN"/>
        </w:rPr>
      </w:pPr>
    </w:p>
    <w:sectPr>
      <w:pgSz w:w="11906" w:h="16838"/>
      <w:pgMar w:top="1440" w:right="1080" w:bottom="1440" w:left="1080" w:header="1020" w:footer="851" w:gutter="0"/>
      <w:pgNumType w:fmt="decimal"/>
      <w:cols w:space="720" w:num="1"/>
      <w:docGrid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3F7295D3-6DBD-4F67-A6E2-9C03B1FEB347}"/>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6D567E43-3D3D-4F7B-8281-A9E908E2737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embedRegular r:id="rId3" w:fontKey="{C01F35FA-BD1E-4053-9DFA-33D6E3BD32D1}"/>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modern"/>
    <w:pitch w:val="default"/>
    <w:sig w:usb0="E00006FF" w:usb1="0000FCFF" w:usb2="00000001" w:usb3="00000000" w:csb0="600001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4" w:fontKey="{5CBB66EF-601B-4D4D-BD2B-F843103AC3B5}"/>
  </w:font>
  <w:font w:name="华文新魏">
    <w:panose1 w:val="02010800040101010101"/>
    <w:charset w:val="86"/>
    <w:family w:val="auto"/>
    <w:pitch w:val="default"/>
    <w:sig w:usb0="00000001" w:usb1="080F0000" w:usb2="00000000" w:usb3="00000000" w:csb0="00040000" w:csb1="00000000"/>
  </w:font>
  <w:font w:name="Verdana">
    <w:panose1 w:val="020B0604030504040204"/>
    <w:charset w:val="00"/>
    <w:family w:val="swiss"/>
    <w:pitch w:val="default"/>
    <w:sig w:usb0="A00006FF" w:usb1="4000205B" w:usb2="00000010" w:usb3="00000000" w:csb0="2000019F" w:csb1="00000000"/>
  </w:font>
  <w:font w:name="隶书">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New York">
    <w:altName w:val="Segoe Print"/>
    <w:panose1 w:val="02040503060506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entury Gothic">
    <w:panose1 w:val="020B0502020202020204"/>
    <w:charset w:val="00"/>
    <w:family w:val="swiss"/>
    <w:pitch w:val="default"/>
    <w:sig w:usb0="00000287" w:usb1="00000000" w:usb2="00000000" w:usb3="00000000" w:csb0="2000009F" w:csb1="DFD70000"/>
  </w:font>
  <w:font w:name="等线">
    <w:panose1 w:val="02010600030101010101"/>
    <w:charset w:val="86"/>
    <w:family w:val="auto"/>
    <w:pitch w:val="default"/>
    <w:sig w:usb0="A00002BF" w:usb1="38CF7CFA" w:usb2="00000016" w:usb3="00000000" w:csb0="0004000F" w:csb1="00000000"/>
  </w:font>
  <w:font w:name="time">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embedRegular r:id="rId5" w:fontKey="{F0392B40-ECA6-4C92-A5C9-8C0C7510BDF3}"/>
  </w:font>
  <w:font w:name="华文中宋">
    <w:panose1 w:val="02010600040101010101"/>
    <w:charset w:val="86"/>
    <w:family w:val="auto"/>
    <w:pitch w:val="default"/>
    <w:sig w:usb0="00000287" w:usb1="080F0000" w:usb2="00000000" w:usb3="00000000" w:csb0="0004009F" w:csb1="DFD70000"/>
    <w:embedRegular r:id="rId6" w:fontKey="{DF3A1D21-0533-44B6-8A8F-43194F88A4D1}"/>
  </w:font>
  <w:font w:name="华文仿宋">
    <w:panose1 w:val="02010600040101010101"/>
    <w:charset w:val="86"/>
    <w:family w:val="auto"/>
    <w:pitch w:val="default"/>
    <w:sig w:usb0="00000287" w:usb1="080F0000" w:usb2="00000000" w:usb3="00000000" w:csb0="0004009F" w:csb1="DFD70000"/>
    <w:embedRegular r:id="rId7" w:fontKey="{FE319205-7BC6-439D-B925-D07116FB1533}"/>
  </w:font>
  <w:font w:name="Wingdings 2">
    <w:panose1 w:val="05020102010507070707"/>
    <w:charset w:val="02"/>
    <w:family w:val="roman"/>
    <w:pitch w:val="default"/>
    <w:sig w:usb0="00000000" w:usb1="00000000" w:usb2="00000000" w:usb3="00000000" w:csb0="80000000" w:csb1="00000000"/>
    <w:embedRegular r:id="rId8" w:fontKey="{BAB265BF-6C54-4B19-9971-BB38B48AE57E}"/>
  </w:font>
  <w:font w:name="方正公文黑体">
    <w:panose1 w:val="02000500000000000000"/>
    <w:charset w:val="86"/>
    <w:family w:val="auto"/>
    <w:pitch w:val="default"/>
    <w:sig w:usb0="A00002BF" w:usb1="38CF7CFA" w:usb2="00000016" w:usb3="00000000" w:csb0="00040001" w:csb1="00000000"/>
    <w:embedRegular r:id="rId9" w:fontKey="{970B2B12-7F21-41E3-9624-9F9D8BBCCDA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00821">
    <w:pPr>
      <w:pStyle w:val="27"/>
    </w:pPr>
    <w:r>
      <w:rPr>
        <w:rFonts w:hint="eastAsia"/>
        <w:lang w:val="en-US"/>
      </w:rPr>
      <w:drawing>
        <wp:anchor distT="0" distB="0" distL="114300" distR="114300" simplePos="0" relativeHeight="251664384" behindDoc="0" locked="0" layoutInCell="1" allowOverlap="1">
          <wp:simplePos x="0" y="0"/>
          <wp:positionH relativeFrom="column">
            <wp:posOffset>20955</wp:posOffset>
          </wp:positionH>
          <wp:positionV relativeFrom="paragraph">
            <wp:posOffset>-248285</wp:posOffset>
          </wp:positionV>
          <wp:extent cx="2438400" cy="407670"/>
          <wp:effectExtent l="0" t="0" r="0" b="11430"/>
          <wp:wrapNone/>
          <wp:docPr id="6" name="图片 1" descr="e0d3b57eafa17c7fc6d4b1d31c06f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e0d3b57eafa17c7fc6d4b1d31c06f24"/>
                  <pic:cNvPicPr>
                    <a:picLocks noChangeAspect="1"/>
                  </pic:cNvPicPr>
                </pic:nvPicPr>
                <pic:blipFill>
                  <a:blip r:embed="rId1"/>
                  <a:stretch>
                    <a:fillRect/>
                  </a:stretch>
                </pic:blipFill>
                <pic:spPr>
                  <a:xfrm>
                    <a:off x="0" y="0"/>
                    <a:ext cx="2438400" cy="407670"/>
                  </a:xfrm>
                  <a:prstGeom prst="rect">
                    <a:avLst/>
                  </a:prstGeom>
                  <a:noFill/>
                  <a:ln>
                    <a:noFill/>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B272C">
    <w:pPr>
      <w:pStyle w:val="27"/>
      <w:framePr w:wrap="around" w:vAnchor="text" w:hAnchor="margin" w:xAlign="center" w:y="1"/>
      <w:rPr>
        <w:rStyle w:val="45"/>
      </w:rPr>
    </w:pPr>
    <w:r>
      <w:fldChar w:fldCharType="begin"/>
    </w:r>
    <w:r>
      <w:rPr>
        <w:rStyle w:val="45"/>
      </w:rPr>
      <w:instrText xml:space="preserve">PAGE  </w:instrText>
    </w:r>
    <w:r>
      <w:fldChar w:fldCharType="separate"/>
    </w:r>
    <w:r>
      <w:rPr>
        <w:rStyle w:val="45"/>
      </w:rPr>
      <w:t>51</w:t>
    </w:r>
    <w:r>
      <w:fldChar w:fldCharType="end"/>
    </w:r>
  </w:p>
  <w:p w14:paraId="0EACE0C9">
    <w:pPr>
      <w:pStyle w:val="27"/>
      <w:ind w:right="360"/>
      <w:rPr>
        <w:sz w:val="21"/>
      </w:rPr>
    </w:pPr>
    <w:r>
      <mc:AlternateContent>
        <mc:Choice Requires="wps">
          <w:drawing>
            <wp:anchor distT="0" distB="0" distL="0" distR="0" simplePos="0" relativeHeight="251659264" behindDoc="0" locked="0" layoutInCell="1" allowOverlap="1">
              <wp:simplePos x="0" y="0"/>
              <wp:positionH relativeFrom="margin">
                <wp:align>right</wp:align>
              </wp:positionH>
              <wp:positionV relativeFrom="paragraph">
                <wp:posOffset>0</wp:posOffset>
              </wp:positionV>
              <wp:extent cx="66675" cy="172720"/>
              <wp:effectExtent l="0" t="0" r="0" b="0"/>
              <wp:wrapSquare wrapText="bothSides"/>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66675" cy="172720"/>
                      </a:xfrm>
                      <a:prstGeom prst="rect">
                        <a:avLst/>
                      </a:prstGeom>
                      <a:noFill/>
                      <a:ln>
                        <a:noFill/>
                      </a:ln>
                    </wps:spPr>
                    <wps:txbx>
                      <w:txbxContent>
                        <w:p w14:paraId="3606B33A">
                          <w:pPr>
                            <w:pStyle w:val="27"/>
                            <w:rPr>
                              <w:rStyle w:val="45"/>
                              <w:sz w:val="21"/>
                            </w:rPr>
                          </w:pPr>
                          <w:r>
                            <w:rPr>
                              <w:sz w:val="21"/>
                            </w:rPr>
                            <w:fldChar w:fldCharType="begin"/>
                          </w:r>
                          <w:r>
                            <w:rPr>
                              <w:rStyle w:val="45"/>
                              <w:sz w:val="21"/>
                            </w:rPr>
                            <w:instrText xml:space="preserve">Page</w:instrText>
                          </w:r>
                          <w:r>
                            <w:rPr>
                              <w:sz w:val="21"/>
                            </w:rPr>
                            <w:fldChar w:fldCharType="separate"/>
                          </w:r>
                          <w:r>
                            <w:rPr>
                              <w:rStyle w:val="45"/>
                              <w:sz w:val="21"/>
                            </w:rPr>
                            <w:t>51</w:t>
                          </w:r>
                          <w:r>
                            <w:rPr>
                              <w:sz w:val="21"/>
                            </w:rPr>
                            <w:fldChar w:fldCharType="end"/>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top:0pt;height:13.6pt;width:5.25pt;mso-position-horizontal:right;mso-position-horizontal-relative:margin;mso-wrap-distance-bottom:0pt;mso-wrap-distance-left:0pt;mso-wrap-distance-right:0pt;mso-wrap-distance-top:0pt;z-index:251659264;mso-width-relative:page;mso-height-relative:page;" filled="f" stroked="f" coordsize="21600,21600" o:gfxdata="UEsDBAoAAAAAAIdO4kAAAAAAAAAAAAAAAAAEAAAAZHJzL1BLAwQUAAAACACHTuJAbSfsK9MAAAAD&#10;AQAADwAAAGRycy9kb3ducmV2LnhtbE2PzU7DMBCE70i8g7WVuFG7kSiQZlMhBCckRBoOHJ14m1iN&#10;1yF2f3h7XC70stJoRjPfFuuTG8SBpmA9IyzmCgRx643lDuGzfr19ABGiZqMHz4TwQwHW5fVVoXPj&#10;j1zRYRM7kUo45Bqhj3HMpQxtT06HuR+Jk7f1k9MxyamTZtLHVO4GmSm1lE5bTgu9Hum5p3a32TuE&#10;py+uXuz3e/NRbStb14+K35Y7xJvZQq1ARDrF/zCc8RM6lImp8Xs2QQwI6ZH4d8+eugPRIGT3Gciy&#10;kJfs5S9QSwMEFAAAAAgAh07iQM8UGX8KAgAAAwQAAA4AAABkcnMvZTJvRG9jLnhtbK1TS44TMRDd&#10;I3EHy3vSSSQS1EpnNEw0CGn4SAMHcNzubou2y5SddIcDwA1YsWHPuXIOyu50mM9mFmyssl1+9d6r&#10;8uqiNy3bK/QabMFnkylnykoota0L/vnT9YtXnPkgbClasKrgB+X5xfr5s1XncjWHBtpSISMQ6/PO&#10;FbwJweVZ5mWjjPATcMrSZQVoRKAt1lmJoiN002bz6XSRdYClQ5DKezrdDJf8hIhPAYSq0lJtQO6M&#10;smFARdWKQJJ8o53n68S2qpQMH6rKq8DagpPSkFYqQvE2rtl6JfIahWu0PFEQT6HwQJMR2lLRM9RG&#10;BMF2qB9BGS0RPFRhIsFkg5DkCKmYTR94c9sIp5IWstq7s+n+/8HK9/uPyHRJk8CZFYYafvz54/jr&#10;z/H3dzaL9nTO55R16ygv9K+hj6lRqnc3IL94ZuGqEbZWl4jQNUqURC+9zO48HXB8BNl276CkOmIX&#10;IAH1FZoISG4wQqfWHM6tUX1gkg4Xi8XyJWeSbmbL+XKeOpeJfHzr0Ic3CgyLQcGRGp+wxf7GB1JB&#10;qWNKLGXhWrdtan5r7x1QYjxJ3CPdgXjot/3Jiy2UB1KBMMwS/SQKGsBvnHU0RwX3X3cCFWftW0tO&#10;xKEbAxyD7RgIK+lpwQNnQ3gVhuHcOdR1Q8iD1xYuya1KJynR1oHFiSfNRlJ4muM4fHf3Kevf313/&#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0n7CvTAAAAAwEAAA8AAAAAAAAAAQAgAAAAIgAAAGRy&#10;cy9kb3ducmV2LnhtbFBLAQIUABQAAAAIAIdO4kDPFBl/CgIAAAMEAAAOAAAAAAAAAAEAIAAAACIB&#10;AABkcnMvZTJvRG9jLnhtbFBLBQYAAAAABgAGAFkBAACeBQAAAAA=&#10;">
              <v:fill on="f" focussize="0,0"/>
              <v:stroke on="f"/>
              <v:imagedata o:title=""/>
              <o:lock v:ext="edit" aspectratio="f"/>
              <v:textbox inset="0mm,0mm,0mm,0mm">
                <w:txbxContent>
                  <w:p w14:paraId="3606B33A">
                    <w:pPr>
                      <w:pStyle w:val="27"/>
                      <w:rPr>
                        <w:rStyle w:val="45"/>
                        <w:sz w:val="21"/>
                      </w:rPr>
                    </w:pPr>
                    <w:r>
                      <w:rPr>
                        <w:sz w:val="21"/>
                      </w:rPr>
                      <w:fldChar w:fldCharType="begin"/>
                    </w:r>
                    <w:r>
                      <w:rPr>
                        <w:rStyle w:val="45"/>
                        <w:sz w:val="21"/>
                      </w:rPr>
                      <w:instrText xml:space="preserve">Page</w:instrText>
                    </w:r>
                    <w:r>
                      <w:rPr>
                        <w:sz w:val="21"/>
                      </w:rPr>
                      <w:fldChar w:fldCharType="separate"/>
                    </w:r>
                    <w:r>
                      <w:rPr>
                        <w:rStyle w:val="45"/>
                        <w:sz w:val="21"/>
                      </w:rPr>
                      <w:t>51</w:t>
                    </w:r>
                    <w:r>
                      <w:rPr>
                        <w:sz w:val="21"/>
                      </w:rPr>
                      <w:fldChar w:fldCharType="end"/>
                    </w:r>
                  </w:p>
                </w:txbxContent>
              </v:textbox>
              <w10:wrap type="squar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047E7">
    <w:pPr>
      <w:pStyle w:val="27"/>
      <w:jc w:val="right"/>
    </w:pPr>
    <w:r>
      <w:rPr>
        <w:rFonts w:hint="eastAsia"/>
        <w:lang w:val="en-US"/>
      </w:rPr>
      <w:drawing>
        <wp:anchor distT="0" distB="0" distL="114300" distR="114300" simplePos="0" relativeHeight="251662336" behindDoc="0" locked="0" layoutInCell="1" allowOverlap="1">
          <wp:simplePos x="0" y="0"/>
          <wp:positionH relativeFrom="column">
            <wp:posOffset>20955</wp:posOffset>
          </wp:positionH>
          <wp:positionV relativeFrom="paragraph">
            <wp:posOffset>-248285</wp:posOffset>
          </wp:positionV>
          <wp:extent cx="2438400" cy="407670"/>
          <wp:effectExtent l="0" t="0" r="0" b="11430"/>
          <wp:wrapNone/>
          <wp:docPr id="4" name="图片 1" descr="e0d3b57eafa17c7fc6d4b1d31c06f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e0d3b57eafa17c7fc6d4b1d31c06f24"/>
                  <pic:cNvPicPr>
                    <a:picLocks noChangeAspect="1"/>
                  </pic:cNvPicPr>
                </pic:nvPicPr>
                <pic:blipFill>
                  <a:blip r:embed="rId1"/>
                  <a:stretch>
                    <a:fillRect/>
                  </a:stretch>
                </pic:blipFill>
                <pic:spPr>
                  <a:xfrm>
                    <a:off x="0" y="0"/>
                    <a:ext cx="2438400" cy="407670"/>
                  </a:xfrm>
                  <a:prstGeom prst="rect">
                    <a:avLst/>
                  </a:prstGeom>
                  <a:noFill/>
                  <a:ln>
                    <a:noFill/>
                  </a:ln>
                </pic:spPr>
              </pic:pic>
            </a:graphicData>
          </a:graphic>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C4113">
    <w:pPr>
      <w:pStyle w:val="27"/>
      <w:jc w:val="right"/>
    </w:pPr>
    <w:r>
      <w:rPr>
        <w:rFonts w:hint="eastAsia"/>
        <w:lang w:val="en-US"/>
      </w:rPr>
      <w:drawing>
        <wp:anchor distT="0" distB="0" distL="114300" distR="114300" simplePos="0" relativeHeight="251663360" behindDoc="0" locked="0" layoutInCell="1" allowOverlap="1">
          <wp:simplePos x="0" y="0"/>
          <wp:positionH relativeFrom="column">
            <wp:posOffset>20955</wp:posOffset>
          </wp:positionH>
          <wp:positionV relativeFrom="paragraph">
            <wp:posOffset>-248285</wp:posOffset>
          </wp:positionV>
          <wp:extent cx="2438400" cy="407670"/>
          <wp:effectExtent l="0" t="0" r="0" b="11430"/>
          <wp:wrapNone/>
          <wp:docPr id="5" name="图片 1" descr="e0d3b57eafa17c7fc6d4b1d31c06f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e0d3b57eafa17c7fc6d4b1d31c06f24"/>
                  <pic:cNvPicPr>
                    <a:picLocks noChangeAspect="1"/>
                  </pic:cNvPicPr>
                </pic:nvPicPr>
                <pic:blipFill>
                  <a:blip r:embed="rId1"/>
                  <a:stretch>
                    <a:fillRect/>
                  </a:stretch>
                </pic:blipFill>
                <pic:spPr>
                  <a:xfrm>
                    <a:off x="0" y="0"/>
                    <a:ext cx="2438400" cy="407670"/>
                  </a:xfrm>
                  <a:prstGeom prst="rect">
                    <a:avLst/>
                  </a:prstGeom>
                  <a:noFill/>
                  <a:ln>
                    <a:noFill/>
                  </a:ln>
                </pic:spPr>
              </pic:pic>
            </a:graphicData>
          </a:graphic>
        </wp:anchor>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96F06">
    <w:pPr>
      <w:pStyle w:val="27"/>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895108">
                          <w:pPr>
                            <w:pStyle w:val="2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9895108">
                    <w:pPr>
                      <w:pStyle w:val="27"/>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val="en-US"/>
      </w:rPr>
      <w:drawing>
        <wp:anchor distT="0" distB="0" distL="114300" distR="114300" simplePos="0" relativeHeight="251665408" behindDoc="0" locked="0" layoutInCell="1" allowOverlap="1">
          <wp:simplePos x="0" y="0"/>
          <wp:positionH relativeFrom="column">
            <wp:posOffset>20955</wp:posOffset>
          </wp:positionH>
          <wp:positionV relativeFrom="paragraph">
            <wp:posOffset>-248285</wp:posOffset>
          </wp:positionV>
          <wp:extent cx="2438400" cy="407670"/>
          <wp:effectExtent l="0" t="0" r="0" b="11430"/>
          <wp:wrapNone/>
          <wp:docPr id="8" name="图片 1" descr="e0d3b57eafa17c7fc6d4b1d31c06f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e0d3b57eafa17c7fc6d4b1d31c06f24"/>
                  <pic:cNvPicPr>
                    <a:picLocks noChangeAspect="1"/>
                  </pic:cNvPicPr>
                </pic:nvPicPr>
                <pic:blipFill>
                  <a:blip r:embed="rId1"/>
                  <a:stretch>
                    <a:fillRect/>
                  </a:stretch>
                </pic:blipFill>
                <pic:spPr>
                  <a:xfrm>
                    <a:off x="0" y="0"/>
                    <a:ext cx="2438400" cy="407670"/>
                  </a:xfrm>
                  <a:prstGeom prst="rect">
                    <a:avLst/>
                  </a:prstGeom>
                  <a:noFill/>
                  <a:ln>
                    <a:noFill/>
                  </a:ln>
                </pic:spPr>
              </pic:pic>
            </a:graphicData>
          </a:graphic>
        </wp:anchor>
      </w:drawing>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D2619">
    <w:pPr>
      <w:pStyle w:val="27"/>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508C60">
                          <w:pPr>
                            <w:pStyle w:val="2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4508C60">
                    <w:pPr>
                      <w:pStyle w:val="27"/>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val="en-US"/>
      </w:rPr>
      <w:drawing>
        <wp:anchor distT="0" distB="0" distL="114300" distR="114300" simplePos="0" relativeHeight="251667456" behindDoc="0" locked="0" layoutInCell="1" allowOverlap="1">
          <wp:simplePos x="0" y="0"/>
          <wp:positionH relativeFrom="column">
            <wp:posOffset>20955</wp:posOffset>
          </wp:positionH>
          <wp:positionV relativeFrom="paragraph">
            <wp:posOffset>-248285</wp:posOffset>
          </wp:positionV>
          <wp:extent cx="2438400" cy="407670"/>
          <wp:effectExtent l="0" t="0" r="0" b="11430"/>
          <wp:wrapNone/>
          <wp:docPr id="7" name="图片 1" descr="e0d3b57eafa17c7fc6d4b1d31c06f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e0d3b57eafa17c7fc6d4b1d31c06f24"/>
                  <pic:cNvPicPr>
                    <a:picLocks noChangeAspect="1"/>
                  </pic:cNvPicPr>
                </pic:nvPicPr>
                <pic:blipFill>
                  <a:blip r:embed="rId1"/>
                  <a:stretch>
                    <a:fillRect/>
                  </a:stretch>
                </pic:blipFill>
                <pic:spPr>
                  <a:xfrm>
                    <a:off x="0" y="0"/>
                    <a:ext cx="2438400" cy="407670"/>
                  </a:xfrm>
                  <a:prstGeom prst="rect">
                    <a:avLst/>
                  </a:prstGeom>
                  <a:noFill/>
                  <a:ln>
                    <a:noFill/>
                  </a:ln>
                </pic:spPr>
              </pic:pic>
            </a:graphicData>
          </a:graphic>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7C99C">
    <w:pPr>
      <w:pStyle w:val="29"/>
      <w:pBdr>
        <w:top w:val="none" w:color="auto" w:sz="0" w:space="0"/>
        <w:left w:val="none" w:color="auto" w:sz="0" w:space="0"/>
        <w:bottom w:val="thickThinSmallGap" w:color="auto" w:sz="12" w:space="1"/>
        <w:right w:val="none" w:color="auto" w:sz="0" w:space="0"/>
        <w:between w:val="none" w:color="auto" w:sz="0" w:space="0"/>
      </w:pBdr>
      <w:jc w:val="both"/>
    </w:pPr>
    <w:r>
      <w:rPr>
        <w:rFonts w:hint="eastAsia" w:ascii="楷体" w:hAnsi="楷体" w:eastAsia="楷体" w:cs="楷体"/>
        <w:b/>
        <w:bCs/>
        <w:sz w:val="18"/>
        <w:szCs w:val="18"/>
        <w:lang w:val="en-US" w:eastAsia="zh-CN"/>
      </w:rPr>
      <w:t>大理白族自治州财贸学校职业教育贯通培养试点项目非集采部分（货物）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E1F91">
    <w:pPr>
      <w:pStyle w:val="29"/>
      <w:pBdr>
        <w:top w:val="none" w:color="auto" w:sz="0" w:space="0"/>
        <w:left w:val="none" w:color="auto" w:sz="0" w:space="0"/>
        <w:bottom w:val="thickThinSmallGap" w:color="auto" w:sz="12" w:space="1"/>
        <w:right w:val="none" w:color="auto" w:sz="0" w:space="0"/>
        <w:between w:val="none" w:color="auto" w:sz="0" w:space="0"/>
      </w:pBdr>
      <w:jc w:val="both"/>
      <w:rPr>
        <w:sz w:val="11"/>
        <w:szCs w:val="11"/>
      </w:rPr>
    </w:pPr>
    <w:r>
      <w:rPr>
        <w:rFonts w:hint="eastAsia" w:ascii="楷体" w:hAnsi="楷体" w:eastAsia="楷体" w:cs="楷体"/>
        <w:b/>
        <w:bCs/>
        <w:sz w:val="18"/>
        <w:szCs w:val="18"/>
        <w:lang w:val="en-US" w:eastAsia="zh-CN"/>
      </w:rPr>
      <w:t>大理白族自治州财贸学校职业教育贯通培养试点项目非集采部分（货物）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DDECD3BC"/>
    <w:multiLevelType w:val="singleLevel"/>
    <w:tmpl w:val="DDECD3BC"/>
    <w:lvl w:ilvl="0" w:tentative="0">
      <w:start w:val="6"/>
      <w:numFmt w:val="decimal"/>
      <w:suff w:val="space"/>
      <w:lvlText w:val="%1."/>
      <w:lvlJc w:val="left"/>
    </w:lvl>
  </w:abstractNum>
  <w:abstractNum w:abstractNumId="2">
    <w:nsid w:val="DEABE1DB"/>
    <w:multiLevelType w:val="singleLevel"/>
    <w:tmpl w:val="DEABE1DB"/>
    <w:lvl w:ilvl="0" w:tentative="0">
      <w:start w:val="23"/>
      <w:numFmt w:val="decimal"/>
      <w:suff w:val="space"/>
      <w:lvlText w:val="%1."/>
      <w:lvlJc w:val="left"/>
    </w:lvl>
  </w:abstractNum>
  <w:abstractNum w:abstractNumId="3">
    <w:nsid w:val="FFEFC674"/>
    <w:multiLevelType w:val="singleLevel"/>
    <w:tmpl w:val="FFEFC674"/>
    <w:lvl w:ilvl="0" w:tentative="0">
      <w:start w:val="1"/>
      <w:numFmt w:val="decimal"/>
      <w:suff w:val="nothing"/>
      <w:lvlText w:val="（%1）"/>
      <w:lvlJc w:val="left"/>
    </w:lvl>
  </w:abstractNum>
  <w:abstractNum w:abstractNumId="4">
    <w:nsid w:val="57C2761B"/>
    <w:multiLevelType w:val="singleLevel"/>
    <w:tmpl w:val="57C2761B"/>
    <w:lvl w:ilvl="0" w:tentative="0">
      <w:start w:val="4"/>
      <w:numFmt w:val="chineseCounting"/>
      <w:suff w:val="space"/>
      <w:lvlText w:val="第%1章"/>
      <w:lvlJc w:val="left"/>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attachedTemplate r:id="rId1"/>
  <w:documentProtection w:enforcement="0"/>
  <w:defaultTabStop w:val="420"/>
  <w:displayHorizontalDrawingGridEvery w:val="1"/>
  <w:displayVerticalDrawingGridEvery w:val="1"/>
  <w:noPunctuationKerning w:val="1"/>
  <w:characterSpacingControl w:val="doNotCompress"/>
  <w:hdrShapeDefaults>
    <o:shapelayout v:ext="edit">
      <o:idmap v:ext="edit" data="2"/>
    </o:shapelayout>
  </w:hdrShapeDefaults>
  <w:compat>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BkMzI4YWIxZDU5MWEzMmRmNjY4YmEzOTllMDZhNjMifQ=="/>
  </w:docVars>
  <w:rsids>
    <w:rsidRoot w:val="004D3DAF"/>
    <w:rsid w:val="0000078C"/>
    <w:rsid w:val="00000CA6"/>
    <w:rsid w:val="000014F9"/>
    <w:rsid w:val="0000153C"/>
    <w:rsid w:val="00001B50"/>
    <w:rsid w:val="00001C1C"/>
    <w:rsid w:val="00001F08"/>
    <w:rsid w:val="000020A7"/>
    <w:rsid w:val="00002370"/>
    <w:rsid w:val="0000237F"/>
    <w:rsid w:val="000024B4"/>
    <w:rsid w:val="00002F5A"/>
    <w:rsid w:val="000030EC"/>
    <w:rsid w:val="00003B41"/>
    <w:rsid w:val="00004095"/>
    <w:rsid w:val="00004999"/>
    <w:rsid w:val="00005281"/>
    <w:rsid w:val="000064EC"/>
    <w:rsid w:val="00006C35"/>
    <w:rsid w:val="00007889"/>
    <w:rsid w:val="00007DE0"/>
    <w:rsid w:val="00007E33"/>
    <w:rsid w:val="000109D9"/>
    <w:rsid w:val="000110D2"/>
    <w:rsid w:val="00011E5C"/>
    <w:rsid w:val="00011E67"/>
    <w:rsid w:val="0001238A"/>
    <w:rsid w:val="000127E0"/>
    <w:rsid w:val="00012B1D"/>
    <w:rsid w:val="00012C6C"/>
    <w:rsid w:val="0001376C"/>
    <w:rsid w:val="00013913"/>
    <w:rsid w:val="00013D32"/>
    <w:rsid w:val="00014031"/>
    <w:rsid w:val="0001416D"/>
    <w:rsid w:val="00014AE9"/>
    <w:rsid w:val="00014B74"/>
    <w:rsid w:val="00014C89"/>
    <w:rsid w:val="00014CD9"/>
    <w:rsid w:val="00015236"/>
    <w:rsid w:val="000157C2"/>
    <w:rsid w:val="00015D2A"/>
    <w:rsid w:val="0001604F"/>
    <w:rsid w:val="00016413"/>
    <w:rsid w:val="00016929"/>
    <w:rsid w:val="00016A70"/>
    <w:rsid w:val="00016E06"/>
    <w:rsid w:val="00017547"/>
    <w:rsid w:val="000176C4"/>
    <w:rsid w:val="00017732"/>
    <w:rsid w:val="000177C7"/>
    <w:rsid w:val="00017844"/>
    <w:rsid w:val="00017C9C"/>
    <w:rsid w:val="00020431"/>
    <w:rsid w:val="000207C3"/>
    <w:rsid w:val="00020F8D"/>
    <w:rsid w:val="0002119B"/>
    <w:rsid w:val="000214EA"/>
    <w:rsid w:val="00021BE2"/>
    <w:rsid w:val="0002200A"/>
    <w:rsid w:val="000220ED"/>
    <w:rsid w:val="00022A60"/>
    <w:rsid w:val="000234A0"/>
    <w:rsid w:val="000237A5"/>
    <w:rsid w:val="00023FBC"/>
    <w:rsid w:val="00024FD7"/>
    <w:rsid w:val="000256B5"/>
    <w:rsid w:val="00025717"/>
    <w:rsid w:val="00025BA8"/>
    <w:rsid w:val="0002629E"/>
    <w:rsid w:val="000274AC"/>
    <w:rsid w:val="0002753A"/>
    <w:rsid w:val="000276C4"/>
    <w:rsid w:val="00027921"/>
    <w:rsid w:val="0003017F"/>
    <w:rsid w:val="00030493"/>
    <w:rsid w:val="000304A5"/>
    <w:rsid w:val="00030E85"/>
    <w:rsid w:val="00031230"/>
    <w:rsid w:val="000319DF"/>
    <w:rsid w:val="00032A9F"/>
    <w:rsid w:val="0003335D"/>
    <w:rsid w:val="000335FD"/>
    <w:rsid w:val="0003411E"/>
    <w:rsid w:val="000341A0"/>
    <w:rsid w:val="00035561"/>
    <w:rsid w:val="00035B0F"/>
    <w:rsid w:val="00035CCA"/>
    <w:rsid w:val="00036672"/>
    <w:rsid w:val="000366DC"/>
    <w:rsid w:val="000369F6"/>
    <w:rsid w:val="0003769E"/>
    <w:rsid w:val="000376EF"/>
    <w:rsid w:val="00037E8C"/>
    <w:rsid w:val="000404AB"/>
    <w:rsid w:val="00040559"/>
    <w:rsid w:val="00040656"/>
    <w:rsid w:val="0004098A"/>
    <w:rsid w:val="00040F88"/>
    <w:rsid w:val="00040FF6"/>
    <w:rsid w:val="000410F7"/>
    <w:rsid w:val="00041461"/>
    <w:rsid w:val="000417B8"/>
    <w:rsid w:val="00042BA8"/>
    <w:rsid w:val="000433EE"/>
    <w:rsid w:val="00043501"/>
    <w:rsid w:val="000437B3"/>
    <w:rsid w:val="000448E1"/>
    <w:rsid w:val="000451AF"/>
    <w:rsid w:val="000456B1"/>
    <w:rsid w:val="00045B84"/>
    <w:rsid w:val="00045F15"/>
    <w:rsid w:val="00045FE6"/>
    <w:rsid w:val="00046207"/>
    <w:rsid w:val="000465E2"/>
    <w:rsid w:val="00046ED8"/>
    <w:rsid w:val="00047070"/>
    <w:rsid w:val="00047150"/>
    <w:rsid w:val="00047341"/>
    <w:rsid w:val="0004770F"/>
    <w:rsid w:val="00047D2D"/>
    <w:rsid w:val="00050067"/>
    <w:rsid w:val="000500C1"/>
    <w:rsid w:val="00050880"/>
    <w:rsid w:val="00051707"/>
    <w:rsid w:val="00052761"/>
    <w:rsid w:val="00052BE7"/>
    <w:rsid w:val="00052FB8"/>
    <w:rsid w:val="0005319E"/>
    <w:rsid w:val="000536C5"/>
    <w:rsid w:val="0005393F"/>
    <w:rsid w:val="00053BC0"/>
    <w:rsid w:val="00053DBB"/>
    <w:rsid w:val="00053E8C"/>
    <w:rsid w:val="00054001"/>
    <w:rsid w:val="000548B1"/>
    <w:rsid w:val="00054C29"/>
    <w:rsid w:val="000554C8"/>
    <w:rsid w:val="000556A6"/>
    <w:rsid w:val="00055E55"/>
    <w:rsid w:val="0005699F"/>
    <w:rsid w:val="00057008"/>
    <w:rsid w:val="00057AB9"/>
    <w:rsid w:val="0006078F"/>
    <w:rsid w:val="00060791"/>
    <w:rsid w:val="00060DE3"/>
    <w:rsid w:val="00060EF9"/>
    <w:rsid w:val="0006120B"/>
    <w:rsid w:val="0006168B"/>
    <w:rsid w:val="00061845"/>
    <w:rsid w:val="00062159"/>
    <w:rsid w:val="000625CF"/>
    <w:rsid w:val="00063207"/>
    <w:rsid w:val="000638D8"/>
    <w:rsid w:val="00063F31"/>
    <w:rsid w:val="000641EB"/>
    <w:rsid w:val="000642F0"/>
    <w:rsid w:val="000646CA"/>
    <w:rsid w:val="00064A94"/>
    <w:rsid w:val="00064AA1"/>
    <w:rsid w:val="00064E95"/>
    <w:rsid w:val="00065417"/>
    <w:rsid w:val="000659EE"/>
    <w:rsid w:val="00065B15"/>
    <w:rsid w:val="00066602"/>
    <w:rsid w:val="000668EE"/>
    <w:rsid w:val="000669FE"/>
    <w:rsid w:val="00066AD1"/>
    <w:rsid w:val="000673EB"/>
    <w:rsid w:val="00067422"/>
    <w:rsid w:val="000679D0"/>
    <w:rsid w:val="00070148"/>
    <w:rsid w:val="000702E7"/>
    <w:rsid w:val="00070DA0"/>
    <w:rsid w:val="0007141C"/>
    <w:rsid w:val="0007148E"/>
    <w:rsid w:val="00071651"/>
    <w:rsid w:val="000716B9"/>
    <w:rsid w:val="00071BDD"/>
    <w:rsid w:val="00071FE9"/>
    <w:rsid w:val="00072682"/>
    <w:rsid w:val="00072AF7"/>
    <w:rsid w:val="00072D3F"/>
    <w:rsid w:val="000733C3"/>
    <w:rsid w:val="000735D6"/>
    <w:rsid w:val="000736EC"/>
    <w:rsid w:val="00073B26"/>
    <w:rsid w:val="000742DC"/>
    <w:rsid w:val="000751E4"/>
    <w:rsid w:val="00075AFA"/>
    <w:rsid w:val="00075DF9"/>
    <w:rsid w:val="00076402"/>
    <w:rsid w:val="00076B49"/>
    <w:rsid w:val="00076EDB"/>
    <w:rsid w:val="00077480"/>
    <w:rsid w:val="00080087"/>
    <w:rsid w:val="0008016B"/>
    <w:rsid w:val="00080567"/>
    <w:rsid w:val="00080E42"/>
    <w:rsid w:val="00081246"/>
    <w:rsid w:val="0008167C"/>
    <w:rsid w:val="000816CB"/>
    <w:rsid w:val="00081A63"/>
    <w:rsid w:val="00081D72"/>
    <w:rsid w:val="00082004"/>
    <w:rsid w:val="0008239B"/>
    <w:rsid w:val="000823C3"/>
    <w:rsid w:val="000828B7"/>
    <w:rsid w:val="00082948"/>
    <w:rsid w:val="000830A4"/>
    <w:rsid w:val="0008332D"/>
    <w:rsid w:val="000833B7"/>
    <w:rsid w:val="0008341E"/>
    <w:rsid w:val="0008363D"/>
    <w:rsid w:val="0008406B"/>
    <w:rsid w:val="00084EA4"/>
    <w:rsid w:val="000851FE"/>
    <w:rsid w:val="0008557E"/>
    <w:rsid w:val="00085AA8"/>
    <w:rsid w:val="00086044"/>
    <w:rsid w:val="000863D7"/>
    <w:rsid w:val="00086855"/>
    <w:rsid w:val="000868D4"/>
    <w:rsid w:val="00086AD3"/>
    <w:rsid w:val="00087568"/>
    <w:rsid w:val="00087655"/>
    <w:rsid w:val="00087F2B"/>
    <w:rsid w:val="00090455"/>
    <w:rsid w:val="000919B4"/>
    <w:rsid w:val="00092D0D"/>
    <w:rsid w:val="000931CE"/>
    <w:rsid w:val="00093237"/>
    <w:rsid w:val="00093327"/>
    <w:rsid w:val="00094575"/>
    <w:rsid w:val="00094CBE"/>
    <w:rsid w:val="000950FB"/>
    <w:rsid w:val="000953B3"/>
    <w:rsid w:val="00095B01"/>
    <w:rsid w:val="000962AD"/>
    <w:rsid w:val="0009645E"/>
    <w:rsid w:val="000965BE"/>
    <w:rsid w:val="00096620"/>
    <w:rsid w:val="00096CDB"/>
    <w:rsid w:val="00096F26"/>
    <w:rsid w:val="0009757D"/>
    <w:rsid w:val="00097799"/>
    <w:rsid w:val="00097B77"/>
    <w:rsid w:val="000A00E6"/>
    <w:rsid w:val="000A03BB"/>
    <w:rsid w:val="000A0CA5"/>
    <w:rsid w:val="000A0D8F"/>
    <w:rsid w:val="000A1250"/>
    <w:rsid w:val="000A1316"/>
    <w:rsid w:val="000A1AD7"/>
    <w:rsid w:val="000A1E53"/>
    <w:rsid w:val="000A1E99"/>
    <w:rsid w:val="000A1F81"/>
    <w:rsid w:val="000A26CF"/>
    <w:rsid w:val="000A27D7"/>
    <w:rsid w:val="000A2A74"/>
    <w:rsid w:val="000A2B8E"/>
    <w:rsid w:val="000A2B92"/>
    <w:rsid w:val="000A395D"/>
    <w:rsid w:val="000A421E"/>
    <w:rsid w:val="000A48FE"/>
    <w:rsid w:val="000A4ADA"/>
    <w:rsid w:val="000A4D1D"/>
    <w:rsid w:val="000A5651"/>
    <w:rsid w:val="000A5833"/>
    <w:rsid w:val="000A5DB5"/>
    <w:rsid w:val="000A5E1A"/>
    <w:rsid w:val="000A5E52"/>
    <w:rsid w:val="000A6C29"/>
    <w:rsid w:val="000A77FB"/>
    <w:rsid w:val="000B023C"/>
    <w:rsid w:val="000B1AE8"/>
    <w:rsid w:val="000B1F44"/>
    <w:rsid w:val="000B2553"/>
    <w:rsid w:val="000B29EE"/>
    <w:rsid w:val="000B2B03"/>
    <w:rsid w:val="000B2D07"/>
    <w:rsid w:val="000B3278"/>
    <w:rsid w:val="000B3685"/>
    <w:rsid w:val="000B3833"/>
    <w:rsid w:val="000B3ED6"/>
    <w:rsid w:val="000B47F8"/>
    <w:rsid w:val="000B496C"/>
    <w:rsid w:val="000B4BAC"/>
    <w:rsid w:val="000B4BD2"/>
    <w:rsid w:val="000B4EFD"/>
    <w:rsid w:val="000B514E"/>
    <w:rsid w:val="000B65E5"/>
    <w:rsid w:val="000B6B5F"/>
    <w:rsid w:val="000B78EF"/>
    <w:rsid w:val="000C0334"/>
    <w:rsid w:val="000C0A0D"/>
    <w:rsid w:val="000C161C"/>
    <w:rsid w:val="000C17BB"/>
    <w:rsid w:val="000C17C0"/>
    <w:rsid w:val="000C2237"/>
    <w:rsid w:val="000C24CD"/>
    <w:rsid w:val="000C2740"/>
    <w:rsid w:val="000C2930"/>
    <w:rsid w:val="000C2E0A"/>
    <w:rsid w:val="000C2F95"/>
    <w:rsid w:val="000C346B"/>
    <w:rsid w:val="000C361A"/>
    <w:rsid w:val="000C3B0A"/>
    <w:rsid w:val="000C41B5"/>
    <w:rsid w:val="000C4E30"/>
    <w:rsid w:val="000C5240"/>
    <w:rsid w:val="000C52F6"/>
    <w:rsid w:val="000C5684"/>
    <w:rsid w:val="000C56FF"/>
    <w:rsid w:val="000C5745"/>
    <w:rsid w:val="000C57D4"/>
    <w:rsid w:val="000C582E"/>
    <w:rsid w:val="000C59E5"/>
    <w:rsid w:val="000C68E0"/>
    <w:rsid w:val="000C6A04"/>
    <w:rsid w:val="000C6EBC"/>
    <w:rsid w:val="000C6ED4"/>
    <w:rsid w:val="000C7047"/>
    <w:rsid w:val="000C7E68"/>
    <w:rsid w:val="000D0515"/>
    <w:rsid w:val="000D0637"/>
    <w:rsid w:val="000D0999"/>
    <w:rsid w:val="000D111E"/>
    <w:rsid w:val="000D2682"/>
    <w:rsid w:val="000D2C10"/>
    <w:rsid w:val="000D3DB2"/>
    <w:rsid w:val="000D3DC0"/>
    <w:rsid w:val="000D43BA"/>
    <w:rsid w:val="000D47FC"/>
    <w:rsid w:val="000D4BAB"/>
    <w:rsid w:val="000D4EC0"/>
    <w:rsid w:val="000D4EC3"/>
    <w:rsid w:val="000D53D3"/>
    <w:rsid w:val="000D559B"/>
    <w:rsid w:val="000D5EE1"/>
    <w:rsid w:val="000D6320"/>
    <w:rsid w:val="000D6424"/>
    <w:rsid w:val="000D6692"/>
    <w:rsid w:val="000D6FE6"/>
    <w:rsid w:val="000D7257"/>
    <w:rsid w:val="000D72BD"/>
    <w:rsid w:val="000D7459"/>
    <w:rsid w:val="000D7719"/>
    <w:rsid w:val="000D79FC"/>
    <w:rsid w:val="000D7D46"/>
    <w:rsid w:val="000E0699"/>
    <w:rsid w:val="000E09C0"/>
    <w:rsid w:val="000E1AF7"/>
    <w:rsid w:val="000E1BC4"/>
    <w:rsid w:val="000E1D93"/>
    <w:rsid w:val="000E1DA3"/>
    <w:rsid w:val="000E1EDF"/>
    <w:rsid w:val="000E235B"/>
    <w:rsid w:val="000E2999"/>
    <w:rsid w:val="000E2AB3"/>
    <w:rsid w:val="000E2F93"/>
    <w:rsid w:val="000E33BC"/>
    <w:rsid w:val="000E35D0"/>
    <w:rsid w:val="000E39D1"/>
    <w:rsid w:val="000E3B52"/>
    <w:rsid w:val="000E437E"/>
    <w:rsid w:val="000E72C7"/>
    <w:rsid w:val="000E744C"/>
    <w:rsid w:val="000F0681"/>
    <w:rsid w:val="000F13D1"/>
    <w:rsid w:val="000F1BCB"/>
    <w:rsid w:val="000F1FE3"/>
    <w:rsid w:val="000F2072"/>
    <w:rsid w:val="000F23A6"/>
    <w:rsid w:val="000F2C1F"/>
    <w:rsid w:val="000F3184"/>
    <w:rsid w:val="000F35CB"/>
    <w:rsid w:val="000F3B82"/>
    <w:rsid w:val="000F3BB7"/>
    <w:rsid w:val="000F3C93"/>
    <w:rsid w:val="000F3CBB"/>
    <w:rsid w:val="000F3FEA"/>
    <w:rsid w:val="000F4146"/>
    <w:rsid w:val="000F42CA"/>
    <w:rsid w:val="000F4D8D"/>
    <w:rsid w:val="000F5083"/>
    <w:rsid w:val="000F556A"/>
    <w:rsid w:val="000F5DC6"/>
    <w:rsid w:val="000F5E44"/>
    <w:rsid w:val="000F5F9E"/>
    <w:rsid w:val="000F6178"/>
    <w:rsid w:val="000F63BD"/>
    <w:rsid w:val="000F643D"/>
    <w:rsid w:val="000F66D4"/>
    <w:rsid w:val="000F6C27"/>
    <w:rsid w:val="000F6E2A"/>
    <w:rsid w:val="000F6E5C"/>
    <w:rsid w:val="000F7DFC"/>
    <w:rsid w:val="0010091A"/>
    <w:rsid w:val="001012D9"/>
    <w:rsid w:val="001016A2"/>
    <w:rsid w:val="0010192C"/>
    <w:rsid w:val="0010211A"/>
    <w:rsid w:val="001022FF"/>
    <w:rsid w:val="0010291C"/>
    <w:rsid w:val="00102DDE"/>
    <w:rsid w:val="00102FE7"/>
    <w:rsid w:val="001031EA"/>
    <w:rsid w:val="001033BC"/>
    <w:rsid w:val="00103485"/>
    <w:rsid w:val="001035B7"/>
    <w:rsid w:val="00103618"/>
    <w:rsid w:val="00103C04"/>
    <w:rsid w:val="001041F8"/>
    <w:rsid w:val="00104796"/>
    <w:rsid w:val="00104D0F"/>
    <w:rsid w:val="00104D36"/>
    <w:rsid w:val="00105B08"/>
    <w:rsid w:val="00106141"/>
    <w:rsid w:val="001061B1"/>
    <w:rsid w:val="00106245"/>
    <w:rsid w:val="00106BCB"/>
    <w:rsid w:val="00106C12"/>
    <w:rsid w:val="00106E70"/>
    <w:rsid w:val="00107C0C"/>
    <w:rsid w:val="00107E53"/>
    <w:rsid w:val="00107F33"/>
    <w:rsid w:val="001102A2"/>
    <w:rsid w:val="00110455"/>
    <w:rsid w:val="0011133A"/>
    <w:rsid w:val="0011197E"/>
    <w:rsid w:val="00111C17"/>
    <w:rsid w:val="00111E09"/>
    <w:rsid w:val="001124B7"/>
    <w:rsid w:val="00112E42"/>
    <w:rsid w:val="001131EC"/>
    <w:rsid w:val="001132C9"/>
    <w:rsid w:val="00113A32"/>
    <w:rsid w:val="0011463B"/>
    <w:rsid w:val="001153A2"/>
    <w:rsid w:val="00115A43"/>
    <w:rsid w:val="00115C2B"/>
    <w:rsid w:val="00116825"/>
    <w:rsid w:val="001168AA"/>
    <w:rsid w:val="00117497"/>
    <w:rsid w:val="00117925"/>
    <w:rsid w:val="00117A59"/>
    <w:rsid w:val="00117E6A"/>
    <w:rsid w:val="00120209"/>
    <w:rsid w:val="001204D0"/>
    <w:rsid w:val="0012070E"/>
    <w:rsid w:val="00120727"/>
    <w:rsid w:val="00120846"/>
    <w:rsid w:val="00120917"/>
    <w:rsid w:val="00120EE9"/>
    <w:rsid w:val="00120FD4"/>
    <w:rsid w:val="0012133B"/>
    <w:rsid w:val="001217E2"/>
    <w:rsid w:val="00121A4A"/>
    <w:rsid w:val="00121A67"/>
    <w:rsid w:val="00121E00"/>
    <w:rsid w:val="00121E25"/>
    <w:rsid w:val="00122473"/>
    <w:rsid w:val="00122851"/>
    <w:rsid w:val="00122A7E"/>
    <w:rsid w:val="00122C12"/>
    <w:rsid w:val="00122D6D"/>
    <w:rsid w:val="001231B9"/>
    <w:rsid w:val="001231D0"/>
    <w:rsid w:val="001233F0"/>
    <w:rsid w:val="00123B14"/>
    <w:rsid w:val="001260F1"/>
    <w:rsid w:val="001262F4"/>
    <w:rsid w:val="00126C2D"/>
    <w:rsid w:val="00126CF4"/>
    <w:rsid w:val="00126D39"/>
    <w:rsid w:val="00126F05"/>
    <w:rsid w:val="00127303"/>
    <w:rsid w:val="00130528"/>
    <w:rsid w:val="0013055D"/>
    <w:rsid w:val="00130981"/>
    <w:rsid w:val="00131284"/>
    <w:rsid w:val="00131512"/>
    <w:rsid w:val="001316D3"/>
    <w:rsid w:val="00131DE1"/>
    <w:rsid w:val="001320BB"/>
    <w:rsid w:val="001324C8"/>
    <w:rsid w:val="00132B9B"/>
    <w:rsid w:val="00132FCA"/>
    <w:rsid w:val="00132FCB"/>
    <w:rsid w:val="00133005"/>
    <w:rsid w:val="001335A0"/>
    <w:rsid w:val="001337F9"/>
    <w:rsid w:val="00133DDC"/>
    <w:rsid w:val="00133F5A"/>
    <w:rsid w:val="0013483D"/>
    <w:rsid w:val="00134B08"/>
    <w:rsid w:val="00134C45"/>
    <w:rsid w:val="00134D6A"/>
    <w:rsid w:val="00134DB2"/>
    <w:rsid w:val="0013547B"/>
    <w:rsid w:val="001358F1"/>
    <w:rsid w:val="001363A5"/>
    <w:rsid w:val="0013698E"/>
    <w:rsid w:val="00136D89"/>
    <w:rsid w:val="00136EB4"/>
    <w:rsid w:val="00137599"/>
    <w:rsid w:val="001401A2"/>
    <w:rsid w:val="00140B52"/>
    <w:rsid w:val="0014139B"/>
    <w:rsid w:val="001420A7"/>
    <w:rsid w:val="001422BE"/>
    <w:rsid w:val="001425DB"/>
    <w:rsid w:val="001425FB"/>
    <w:rsid w:val="00142D3D"/>
    <w:rsid w:val="00142E96"/>
    <w:rsid w:val="00143437"/>
    <w:rsid w:val="00143B58"/>
    <w:rsid w:val="00143D07"/>
    <w:rsid w:val="00143D9E"/>
    <w:rsid w:val="00144004"/>
    <w:rsid w:val="001442CF"/>
    <w:rsid w:val="00144BBB"/>
    <w:rsid w:val="00144CBE"/>
    <w:rsid w:val="00144E77"/>
    <w:rsid w:val="00145612"/>
    <w:rsid w:val="00145651"/>
    <w:rsid w:val="001459B3"/>
    <w:rsid w:val="00145D3A"/>
    <w:rsid w:val="001467D4"/>
    <w:rsid w:val="00146B1D"/>
    <w:rsid w:val="00146C66"/>
    <w:rsid w:val="00146FD3"/>
    <w:rsid w:val="001505AF"/>
    <w:rsid w:val="00151C18"/>
    <w:rsid w:val="00151D78"/>
    <w:rsid w:val="001522DE"/>
    <w:rsid w:val="0015297B"/>
    <w:rsid w:val="00152C59"/>
    <w:rsid w:val="00152FF8"/>
    <w:rsid w:val="00153507"/>
    <w:rsid w:val="00153EFB"/>
    <w:rsid w:val="0015416A"/>
    <w:rsid w:val="001547AD"/>
    <w:rsid w:val="00154A59"/>
    <w:rsid w:val="0015531F"/>
    <w:rsid w:val="001562E1"/>
    <w:rsid w:val="00156504"/>
    <w:rsid w:val="00157866"/>
    <w:rsid w:val="00157CCD"/>
    <w:rsid w:val="00160303"/>
    <w:rsid w:val="00160393"/>
    <w:rsid w:val="00160EAD"/>
    <w:rsid w:val="00162699"/>
    <w:rsid w:val="0016402D"/>
    <w:rsid w:val="0016407E"/>
    <w:rsid w:val="0016423C"/>
    <w:rsid w:val="0016488C"/>
    <w:rsid w:val="00164D7D"/>
    <w:rsid w:val="00165945"/>
    <w:rsid w:val="001659D4"/>
    <w:rsid w:val="00165F94"/>
    <w:rsid w:val="00166152"/>
    <w:rsid w:val="00166433"/>
    <w:rsid w:val="001668ED"/>
    <w:rsid w:val="00166A18"/>
    <w:rsid w:val="00166C8A"/>
    <w:rsid w:val="00166EE5"/>
    <w:rsid w:val="00167E7D"/>
    <w:rsid w:val="0017012A"/>
    <w:rsid w:val="00170166"/>
    <w:rsid w:val="00170367"/>
    <w:rsid w:val="00170F2C"/>
    <w:rsid w:val="0017191F"/>
    <w:rsid w:val="00171938"/>
    <w:rsid w:val="001723AD"/>
    <w:rsid w:val="001724D3"/>
    <w:rsid w:val="00172525"/>
    <w:rsid w:val="00172B83"/>
    <w:rsid w:val="0017335D"/>
    <w:rsid w:val="0017393B"/>
    <w:rsid w:val="001739CF"/>
    <w:rsid w:val="001739D0"/>
    <w:rsid w:val="001739D1"/>
    <w:rsid w:val="00173A1C"/>
    <w:rsid w:val="00174519"/>
    <w:rsid w:val="00174A51"/>
    <w:rsid w:val="001752C0"/>
    <w:rsid w:val="001754AC"/>
    <w:rsid w:val="00175A0F"/>
    <w:rsid w:val="00175C85"/>
    <w:rsid w:val="00175D05"/>
    <w:rsid w:val="0017620A"/>
    <w:rsid w:val="001767B8"/>
    <w:rsid w:val="00176CD4"/>
    <w:rsid w:val="00176CDF"/>
    <w:rsid w:val="00176E89"/>
    <w:rsid w:val="00176EDA"/>
    <w:rsid w:val="00177680"/>
    <w:rsid w:val="00177B72"/>
    <w:rsid w:val="00177B86"/>
    <w:rsid w:val="00180159"/>
    <w:rsid w:val="00180190"/>
    <w:rsid w:val="0018044A"/>
    <w:rsid w:val="00180ADF"/>
    <w:rsid w:val="00180B5D"/>
    <w:rsid w:val="00182000"/>
    <w:rsid w:val="001827BE"/>
    <w:rsid w:val="00182AF5"/>
    <w:rsid w:val="00182DE7"/>
    <w:rsid w:val="001832A5"/>
    <w:rsid w:val="0018331A"/>
    <w:rsid w:val="00183443"/>
    <w:rsid w:val="00183499"/>
    <w:rsid w:val="0018422B"/>
    <w:rsid w:val="001842A0"/>
    <w:rsid w:val="001846DF"/>
    <w:rsid w:val="00184ACC"/>
    <w:rsid w:val="00185758"/>
    <w:rsid w:val="00185E76"/>
    <w:rsid w:val="0018675C"/>
    <w:rsid w:val="00186C23"/>
    <w:rsid w:val="00187674"/>
    <w:rsid w:val="0018786B"/>
    <w:rsid w:val="0019076F"/>
    <w:rsid w:val="00190DEF"/>
    <w:rsid w:val="001913CC"/>
    <w:rsid w:val="001916EE"/>
    <w:rsid w:val="00191A79"/>
    <w:rsid w:val="00192111"/>
    <w:rsid w:val="00192197"/>
    <w:rsid w:val="0019265B"/>
    <w:rsid w:val="00192AB6"/>
    <w:rsid w:val="00192CE6"/>
    <w:rsid w:val="00192E82"/>
    <w:rsid w:val="001938E9"/>
    <w:rsid w:val="0019428E"/>
    <w:rsid w:val="001946B5"/>
    <w:rsid w:val="00194750"/>
    <w:rsid w:val="00195130"/>
    <w:rsid w:val="0019522B"/>
    <w:rsid w:val="0019625C"/>
    <w:rsid w:val="0019630B"/>
    <w:rsid w:val="001965D4"/>
    <w:rsid w:val="001976E7"/>
    <w:rsid w:val="00197814"/>
    <w:rsid w:val="00197E69"/>
    <w:rsid w:val="001A01D2"/>
    <w:rsid w:val="001A08F3"/>
    <w:rsid w:val="001A0EBF"/>
    <w:rsid w:val="001A1355"/>
    <w:rsid w:val="001A1947"/>
    <w:rsid w:val="001A1FA2"/>
    <w:rsid w:val="001A237E"/>
    <w:rsid w:val="001A25B0"/>
    <w:rsid w:val="001A2793"/>
    <w:rsid w:val="001A2D69"/>
    <w:rsid w:val="001A3311"/>
    <w:rsid w:val="001A40EF"/>
    <w:rsid w:val="001A5085"/>
    <w:rsid w:val="001A50EC"/>
    <w:rsid w:val="001A51C5"/>
    <w:rsid w:val="001A572C"/>
    <w:rsid w:val="001A71FD"/>
    <w:rsid w:val="001A7839"/>
    <w:rsid w:val="001A7858"/>
    <w:rsid w:val="001A78A3"/>
    <w:rsid w:val="001A7CC8"/>
    <w:rsid w:val="001A7D7D"/>
    <w:rsid w:val="001A7FF4"/>
    <w:rsid w:val="001B011F"/>
    <w:rsid w:val="001B0182"/>
    <w:rsid w:val="001B0475"/>
    <w:rsid w:val="001B0685"/>
    <w:rsid w:val="001B08C4"/>
    <w:rsid w:val="001B0C53"/>
    <w:rsid w:val="001B166B"/>
    <w:rsid w:val="001B1707"/>
    <w:rsid w:val="001B1A8D"/>
    <w:rsid w:val="001B1B02"/>
    <w:rsid w:val="001B1CD9"/>
    <w:rsid w:val="001B23EE"/>
    <w:rsid w:val="001B3362"/>
    <w:rsid w:val="001B378B"/>
    <w:rsid w:val="001B3B0D"/>
    <w:rsid w:val="001B3D74"/>
    <w:rsid w:val="001B3EDC"/>
    <w:rsid w:val="001B45DB"/>
    <w:rsid w:val="001B4903"/>
    <w:rsid w:val="001B4996"/>
    <w:rsid w:val="001B4B4F"/>
    <w:rsid w:val="001B4EF9"/>
    <w:rsid w:val="001B5012"/>
    <w:rsid w:val="001B56E7"/>
    <w:rsid w:val="001B5DF1"/>
    <w:rsid w:val="001B6F30"/>
    <w:rsid w:val="001B7114"/>
    <w:rsid w:val="001B75E2"/>
    <w:rsid w:val="001B7701"/>
    <w:rsid w:val="001B7BBE"/>
    <w:rsid w:val="001C06E1"/>
    <w:rsid w:val="001C097A"/>
    <w:rsid w:val="001C0E81"/>
    <w:rsid w:val="001C1699"/>
    <w:rsid w:val="001C1D29"/>
    <w:rsid w:val="001C1ECE"/>
    <w:rsid w:val="001C20BF"/>
    <w:rsid w:val="001C23F2"/>
    <w:rsid w:val="001C244F"/>
    <w:rsid w:val="001C2493"/>
    <w:rsid w:val="001C2692"/>
    <w:rsid w:val="001C2E74"/>
    <w:rsid w:val="001C2EFB"/>
    <w:rsid w:val="001C3509"/>
    <w:rsid w:val="001C37A7"/>
    <w:rsid w:val="001C3B82"/>
    <w:rsid w:val="001C42F9"/>
    <w:rsid w:val="001C43D6"/>
    <w:rsid w:val="001C5648"/>
    <w:rsid w:val="001C5984"/>
    <w:rsid w:val="001C5F5D"/>
    <w:rsid w:val="001C6C59"/>
    <w:rsid w:val="001D02AE"/>
    <w:rsid w:val="001D03C2"/>
    <w:rsid w:val="001D04D4"/>
    <w:rsid w:val="001D0573"/>
    <w:rsid w:val="001D0F0B"/>
    <w:rsid w:val="001D19A6"/>
    <w:rsid w:val="001D1A26"/>
    <w:rsid w:val="001D1EBF"/>
    <w:rsid w:val="001D20B8"/>
    <w:rsid w:val="001D243E"/>
    <w:rsid w:val="001D27AE"/>
    <w:rsid w:val="001D2F65"/>
    <w:rsid w:val="001D3135"/>
    <w:rsid w:val="001D31F4"/>
    <w:rsid w:val="001D354B"/>
    <w:rsid w:val="001D3793"/>
    <w:rsid w:val="001D404A"/>
    <w:rsid w:val="001D4D88"/>
    <w:rsid w:val="001D4DDE"/>
    <w:rsid w:val="001D5479"/>
    <w:rsid w:val="001D5C56"/>
    <w:rsid w:val="001D6321"/>
    <w:rsid w:val="001D6C68"/>
    <w:rsid w:val="001D7024"/>
    <w:rsid w:val="001D70F1"/>
    <w:rsid w:val="001D71D7"/>
    <w:rsid w:val="001D7A9F"/>
    <w:rsid w:val="001D7F2D"/>
    <w:rsid w:val="001E0194"/>
    <w:rsid w:val="001E1624"/>
    <w:rsid w:val="001E1699"/>
    <w:rsid w:val="001E1825"/>
    <w:rsid w:val="001E1853"/>
    <w:rsid w:val="001E1B1A"/>
    <w:rsid w:val="001E1E20"/>
    <w:rsid w:val="001E2218"/>
    <w:rsid w:val="001E2A5A"/>
    <w:rsid w:val="001E35E9"/>
    <w:rsid w:val="001E3C9E"/>
    <w:rsid w:val="001E3FA9"/>
    <w:rsid w:val="001E4081"/>
    <w:rsid w:val="001E41B6"/>
    <w:rsid w:val="001E44DC"/>
    <w:rsid w:val="001E4831"/>
    <w:rsid w:val="001E4AB8"/>
    <w:rsid w:val="001E5202"/>
    <w:rsid w:val="001E5C4F"/>
    <w:rsid w:val="001E680D"/>
    <w:rsid w:val="001E6E80"/>
    <w:rsid w:val="001E6F82"/>
    <w:rsid w:val="001E70E9"/>
    <w:rsid w:val="001E756A"/>
    <w:rsid w:val="001E77D1"/>
    <w:rsid w:val="001E7BAA"/>
    <w:rsid w:val="001F0091"/>
    <w:rsid w:val="001F08DB"/>
    <w:rsid w:val="001F0D2C"/>
    <w:rsid w:val="001F1091"/>
    <w:rsid w:val="001F1298"/>
    <w:rsid w:val="001F164E"/>
    <w:rsid w:val="001F16D4"/>
    <w:rsid w:val="001F182A"/>
    <w:rsid w:val="001F2B87"/>
    <w:rsid w:val="001F2CD2"/>
    <w:rsid w:val="001F2DCF"/>
    <w:rsid w:val="001F2E9C"/>
    <w:rsid w:val="001F35B6"/>
    <w:rsid w:val="001F3787"/>
    <w:rsid w:val="001F43F7"/>
    <w:rsid w:val="001F4C11"/>
    <w:rsid w:val="001F51C4"/>
    <w:rsid w:val="001F51F1"/>
    <w:rsid w:val="001F5231"/>
    <w:rsid w:val="001F5A33"/>
    <w:rsid w:val="001F6565"/>
    <w:rsid w:val="001F6E46"/>
    <w:rsid w:val="001F7046"/>
    <w:rsid w:val="001F7A37"/>
    <w:rsid w:val="001F7AFA"/>
    <w:rsid w:val="001F7D09"/>
    <w:rsid w:val="0020152B"/>
    <w:rsid w:val="0020158C"/>
    <w:rsid w:val="00201B61"/>
    <w:rsid w:val="00203401"/>
    <w:rsid w:val="00204143"/>
    <w:rsid w:val="002043FD"/>
    <w:rsid w:val="002044EE"/>
    <w:rsid w:val="00205004"/>
    <w:rsid w:val="00205E97"/>
    <w:rsid w:val="0020636E"/>
    <w:rsid w:val="00206AA8"/>
    <w:rsid w:val="00206BF1"/>
    <w:rsid w:val="00206D5D"/>
    <w:rsid w:val="00206F4A"/>
    <w:rsid w:val="0020757A"/>
    <w:rsid w:val="0020765E"/>
    <w:rsid w:val="0020768D"/>
    <w:rsid w:val="00207691"/>
    <w:rsid w:val="002078CE"/>
    <w:rsid w:val="0021030B"/>
    <w:rsid w:val="00210539"/>
    <w:rsid w:val="002113D4"/>
    <w:rsid w:val="0021167D"/>
    <w:rsid w:val="002120D4"/>
    <w:rsid w:val="00212881"/>
    <w:rsid w:val="00212CED"/>
    <w:rsid w:val="00213264"/>
    <w:rsid w:val="00214369"/>
    <w:rsid w:val="002147F3"/>
    <w:rsid w:val="00215143"/>
    <w:rsid w:val="00215284"/>
    <w:rsid w:val="002159F3"/>
    <w:rsid w:val="002163D8"/>
    <w:rsid w:val="002164B5"/>
    <w:rsid w:val="002167C7"/>
    <w:rsid w:val="0021681A"/>
    <w:rsid w:val="002169E5"/>
    <w:rsid w:val="00216A14"/>
    <w:rsid w:val="00216F25"/>
    <w:rsid w:val="00216F5F"/>
    <w:rsid w:val="00216FDD"/>
    <w:rsid w:val="00217890"/>
    <w:rsid w:val="00217AB5"/>
    <w:rsid w:val="00217C90"/>
    <w:rsid w:val="00217CBF"/>
    <w:rsid w:val="00220593"/>
    <w:rsid w:val="00220A8F"/>
    <w:rsid w:val="00221022"/>
    <w:rsid w:val="0022186B"/>
    <w:rsid w:val="00221CAF"/>
    <w:rsid w:val="00222EF3"/>
    <w:rsid w:val="00223104"/>
    <w:rsid w:val="0022368A"/>
    <w:rsid w:val="00223733"/>
    <w:rsid w:val="002238BB"/>
    <w:rsid w:val="00223A2B"/>
    <w:rsid w:val="00224912"/>
    <w:rsid w:val="00224C17"/>
    <w:rsid w:val="00224D58"/>
    <w:rsid w:val="0022566F"/>
    <w:rsid w:val="00225A31"/>
    <w:rsid w:val="002269E1"/>
    <w:rsid w:val="00226C53"/>
    <w:rsid w:val="00226F57"/>
    <w:rsid w:val="00226F92"/>
    <w:rsid w:val="0022703B"/>
    <w:rsid w:val="0022775E"/>
    <w:rsid w:val="00227C08"/>
    <w:rsid w:val="00230018"/>
    <w:rsid w:val="002300C7"/>
    <w:rsid w:val="002308E2"/>
    <w:rsid w:val="00230B9D"/>
    <w:rsid w:val="00231251"/>
    <w:rsid w:val="002316E3"/>
    <w:rsid w:val="002318D1"/>
    <w:rsid w:val="002329F2"/>
    <w:rsid w:val="002335DC"/>
    <w:rsid w:val="00233629"/>
    <w:rsid w:val="002349D1"/>
    <w:rsid w:val="00234FFE"/>
    <w:rsid w:val="0023514C"/>
    <w:rsid w:val="00235640"/>
    <w:rsid w:val="00236392"/>
    <w:rsid w:val="0023639D"/>
    <w:rsid w:val="00236685"/>
    <w:rsid w:val="00236689"/>
    <w:rsid w:val="002367CA"/>
    <w:rsid w:val="00236D14"/>
    <w:rsid w:val="00236F9F"/>
    <w:rsid w:val="00237A64"/>
    <w:rsid w:val="00237D56"/>
    <w:rsid w:val="0024035E"/>
    <w:rsid w:val="00240B17"/>
    <w:rsid w:val="00240F29"/>
    <w:rsid w:val="0024123A"/>
    <w:rsid w:val="0024124C"/>
    <w:rsid w:val="00242153"/>
    <w:rsid w:val="0024242D"/>
    <w:rsid w:val="002425FE"/>
    <w:rsid w:val="00243537"/>
    <w:rsid w:val="002437A9"/>
    <w:rsid w:val="00243972"/>
    <w:rsid w:val="002439FC"/>
    <w:rsid w:val="00244128"/>
    <w:rsid w:val="002445A6"/>
    <w:rsid w:val="002445FD"/>
    <w:rsid w:val="00244EFC"/>
    <w:rsid w:val="0024640F"/>
    <w:rsid w:val="002464CB"/>
    <w:rsid w:val="002469F8"/>
    <w:rsid w:val="00246C2E"/>
    <w:rsid w:val="00246DFC"/>
    <w:rsid w:val="00247AF9"/>
    <w:rsid w:val="00247F10"/>
    <w:rsid w:val="00250448"/>
    <w:rsid w:val="00250BDD"/>
    <w:rsid w:val="00250F67"/>
    <w:rsid w:val="002515B6"/>
    <w:rsid w:val="00252E23"/>
    <w:rsid w:val="002538D3"/>
    <w:rsid w:val="00254B17"/>
    <w:rsid w:val="00254C91"/>
    <w:rsid w:val="002552B2"/>
    <w:rsid w:val="00255456"/>
    <w:rsid w:val="00255464"/>
    <w:rsid w:val="00255733"/>
    <w:rsid w:val="00255B7B"/>
    <w:rsid w:val="00255BFB"/>
    <w:rsid w:val="00255C1D"/>
    <w:rsid w:val="00256055"/>
    <w:rsid w:val="00256143"/>
    <w:rsid w:val="0025634D"/>
    <w:rsid w:val="002568CC"/>
    <w:rsid w:val="0025696F"/>
    <w:rsid w:val="0025762A"/>
    <w:rsid w:val="00257AE0"/>
    <w:rsid w:val="002606CB"/>
    <w:rsid w:val="00260C1D"/>
    <w:rsid w:val="00260CD8"/>
    <w:rsid w:val="0026124E"/>
    <w:rsid w:val="002616D4"/>
    <w:rsid w:val="00262268"/>
    <w:rsid w:val="00262C35"/>
    <w:rsid w:val="00263078"/>
    <w:rsid w:val="0026334B"/>
    <w:rsid w:val="002639EC"/>
    <w:rsid w:val="00263F76"/>
    <w:rsid w:val="00264356"/>
    <w:rsid w:val="0026454B"/>
    <w:rsid w:val="002647EC"/>
    <w:rsid w:val="0026489D"/>
    <w:rsid w:val="00264B8F"/>
    <w:rsid w:val="00264E21"/>
    <w:rsid w:val="00265664"/>
    <w:rsid w:val="00265BD8"/>
    <w:rsid w:val="00266958"/>
    <w:rsid w:val="0026751F"/>
    <w:rsid w:val="00267590"/>
    <w:rsid w:val="00267827"/>
    <w:rsid w:val="002703CB"/>
    <w:rsid w:val="002716E8"/>
    <w:rsid w:val="00272029"/>
    <w:rsid w:val="0027208C"/>
    <w:rsid w:val="002720FF"/>
    <w:rsid w:val="00272272"/>
    <w:rsid w:val="002728D3"/>
    <w:rsid w:val="00273939"/>
    <w:rsid w:val="0027397D"/>
    <w:rsid w:val="002739A3"/>
    <w:rsid w:val="00273ABD"/>
    <w:rsid w:val="00273F1A"/>
    <w:rsid w:val="002742C7"/>
    <w:rsid w:val="00274498"/>
    <w:rsid w:val="0027454D"/>
    <w:rsid w:val="00274B34"/>
    <w:rsid w:val="00274B6C"/>
    <w:rsid w:val="00275141"/>
    <w:rsid w:val="00275CAA"/>
    <w:rsid w:val="002764A2"/>
    <w:rsid w:val="002765AD"/>
    <w:rsid w:val="00276630"/>
    <w:rsid w:val="002769EA"/>
    <w:rsid w:val="00277147"/>
    <w:rsid w:val="00277949"/>
    <w:rsid w:val="00277A62"/>
    <w:rsid w:val="002806CA"/>
    <w:rsid w:val="00280B1F"/>
    <w:rsid w:val="00281590"/>
    <w:rsid w:val="002817AF"/>
    <w:rsid w:val="00281957"/>
    <w:rsid w:val="00281C4F"/>
    <w:rsid w:val="002820F2"/>
    <w:rsid w:val="00282407"/>
    <w:rsid w:val="0028253F"/>
    <w:rsid w:val="00282574"/>
    <w:rsid w:val="00282CB1"/>
    <w:rsid w:val="00282E92"/>
    <w:rsid w:val="0028351A"/>
    <w:rsid w:val="00283718"/>
    <w:rsid w:val="00283782"/>
    <w:rsid w:val="00283BE6"/>
    <w:rsid w:val="002840F9"/>
    <w:rsid w:val="00284852"/>
    <w:rsid w:val="0028519F"/>
    <w:rsid w:val="002851CC"/>
    <w:rsid w:val="00285373"/>
    <w:rsid w:val="002856F8"/>
    <w:rsid w:val="00285830"/>
    <w:rsid w:val="002864F7"/>
    <w:rsid w:val="002876AF"/>
    <w:rsid w:val="002878A4"/>
    <w:rsid w:val="0029051E"/>
    <w:rsid w:val="002906DD"/>
    <w:rsid w:val="0029099B"/>
    <w:rsid w:val="00290FCB"/>
    <w:rsid w:val="002911CA"/>
    <w:rsid w:val="00291378"/>
    <w:rsid w:val="0029244F"/>
    <w:rsid w:val="00292E7F"/>
    <w:rsid w:val="0029365F"/>
    <w:rsid w:val="0029372C"/>
    <w:rsid w:val="00293A98"/>
    <w:rsid w:val="002947F6"/>
    <w:rsid w:val="00294C93"/>
    <w:rsid w:val="00295627"/>
    <w:rsid w:val="00295764"/>
    <w:rsid w:val="00295C8E"/>
    <w:rsid w:val="0029662F"/>
    <w:rsid w:val="002966A9"/>
    <w:rsid w:val="0029676E"/>
    <w:rsid w:val="00296782"/>
    <w:rsid w:val="0029684D"/>
    <w:rsid w:val="00296C56"/>
    <w:rsid w:val="00296FC9"/>
    <w:rsid w:val="002A07D0"/>
    <w:rsid w:val="002A0B57"/>
    <w:rsid w:val="002A0C38"/>
    <w:rsid w:val="002A130B"/>
    <w:rsid w:val="002A1451"/>
    <w:rsid w:val="002A1E08"/>
    <w:rsid w:val="002A1ED1"/>
    <w:rsid w:val="002A31DC"/>
    <w:rsid w:val="002A3BBE"/>
    <w:rsid w:val="002A3C21"/>
    <w:rsid w:val="002A3F17"/>
    <w:rsid w:val="002A3F90"/>
    <w:rsid w:val="002A4981"/>
    <w:rsid w:val="002A4FE3"/>
    <w:rsid w:val="002A5655"/>
    <w:rsid w:val="002A5727"/>
    <w:rsid w:val="002A651D"/>
    <w:rsid w:val="002A6D5A"/>
    <w:rsid w:val="002A7799"/>
    <w:rsid w:val="002A7902"/>
    <w:rsid w:val="002A7BC9"/>
    <w:rsid w:val="002B017D"/>
    <w:rsid w:val="002B10ED"/>
    <w:rsid w:val="002B1267"/>
    <w:rsid w:val="002B16DC"/>
    <w:rsid w:val="002B1C84"/>
    <w:rsid w:val="002B2146"/>
    <w:rsid w:val="002B2502"/>
    <w:rsid w:val="002B2634"/>
    <w:rsid w:val="002B28F5"/>
    <w:rsid w:val="002B294F"/>
    <w:rsid w:val="002B2F8A"/>
    <w:rsid w:val="002B3036"/>
    <w:rsid w:val="002B3696"/>
    <w:rsid w:val="002B3D91"/>
    <w:rsid w:val="002B460F"/>
    <w:rsid w:val="002B477D"/>
    <w:rsid w:val="002B4E52"/>
    <w:rsid w:val="002B4EFF"/>
    <w:rsid w:val="002B54C4"/>
    <w:rsid w:val="002B599C"/>
    <w:rsid w:val="002B5CDB"/>
    <w:rsid w:val="002B5D5C"/>
    <w:rsid w:val="002B7062"/>
    <w:rsid w:val="002B75E1"/>
    <w:rsid w:val="002C07B7"/>
    <w:rsid w:val="002C07EA"/>
    <w:rsid w:val="002C0DAD"/>
    <w:rsid w:val="002C0F93"/>
    <w:rsid w:val="002C11DC"/>
    <w:rsid w:val="002C139C"/>
    <w:rsid w:val="002C1A2B"/>
    <w:rsid w:val="002C21FA"/>
    <w:rsid w:val="002C2265"/>
    <w:rsid w:val="002C28D8"/>
    <w:rsid w:val="002C36BB"/>
    <w:rsid w:val="002C4E38"/>
    <w:rsid w:val="002C50D9"/>
    <w:rsid w:val="002C54D1"/>
    <w:rsid w:val="002C5C6E"/>
    <w:rsid w:val="002C6E95"/>
    <w:rsid w:val="002D01B6"/>
    <w:rsid w:val="002D1041"/>
    <w:rsid w:val="002D16C5"/>
    <w:rsid w:val="002D17B2"/>
    <w:rsid w:val="002D1BA7"/>
    <w:rsid w:val="002D23E5"/>
    <w:rsid w:val="002D2DB4"/>
    <w:rsid w:val="002D3123"/>
    <w:rsid w:val="002D3BDA"/>
    <w:rsid w:val="002D46A5"/>
    <w:rsid w:val="002D5884"/>
    <w:rsid w:val="002D5953"/>
    <w:rsid w:val="002D5AC0"/>
    <w:rsid w:val="002D5EF6"/>
    <w:rsid w:val="002D697C"/>
    <w:rsid w:val="002D6A05"/>
    <w:rsid w:val="002D6A8D"/>
    <w:rsid w:val="002D6D03"/>
    <w:rsid w:val="002D6DFE"/>
    <w:rsid w:val="002D705B"/>
    <w:rsid w:val="002E017E"/>
    <w:rsid w:val="002E071F"/>
    <w:rsid w:val="002E08D2"/>
    <w:rsid w:val="002E0DE7"/>
    <w:rsid w:val="002E1447"/>
    <w:rsid w:val="002E2E55"/>
    <w:rsid w:val="002E373A"/>
    <w:rsid w:val="002E3D68"/>
    <w:rsid w:val="002E3E61"/>
    <w:rsid w:val="002E4AF8"/>
    <w:rsid w:val="002E5004"/>
    <w:rsid w:val="002E5208"/>
    <w:rsid w:val="002E52BD"/>
    <w:rsid w:val="002E5991"/>
    <w:rsid w:val="002E5A57"/>
    <w:rsid w:val="002E5C6A"/>
    <w:rsid w:val="002E66DC"/>
    <w:rsid w:val="002E6BB6"/>
    <w:rsid w:val="002E71C5"/>
    <w:rsid w:val="002E79B7"/>
    <w:rsid w:val="002E79EA"/>
    <w:rsid w:val="002E7CAD"/>
    <w:rsid w:val="002F005C"/>
    <w:rsid w:val="002F0FBC"/>
    <w:rsid w:val="002F1471"/>
    <w:rsid w:val="002F1582"/>
    <w:rsid w:val="002F182C"/>
    <w:rsid w:val="002F2996"/>
    <w:rsid w:val="002F2E4F"/>
    <w:rsid w:val="002F2E65"/>
    <w:rsid w:val="002F2F42"/>
    <w:rsid w:val="002F3BD3"/>
    <w:rsid w:val="002F4240"/>
    <w:rsid w:val="002F4630"/>
    <w:rsid w:val="002F47B8"/>
    <w:rsid w:val="002F4C49"/>
    <w:rsid w:val="002F4C4C"/>
    <w:rsid w:val="002F4E28"/>
    <w:rsid w:val="002F525B"/>
    <w:rsid w:val="002F55B3"/>
    <w:rsid w:val="002F5A11"/>
    <w:rsid w:val="002F6671"/>
    <w:rsid w:val="002F724E"/>
    <w:rsid w:val="002F78AC"/>
    <w:rsid w:val="003002F6"/>
    <w:rsid w:val="00300304"/>
    <w:rsid w:val="003007E3"/>
    <w:rsid w:val="00301DE1"/>
    <w:rsid w:val="0030246D"/>
    <w:rsid w:val="003027A0"/>
    <w:rsid w:val="003028B2"/>
    <w:rsid w:val="00302ABE"/>
    <w:rsid w:val="003036A2"/>
    <w:rsid w:val="003036FC"/>
    <w:rsid w:val="0030380C"/>
    <w:rsid w:val="00303924"/>
    <w:rsid w:val="00303A69"/>
    <w:rsid w:val="00303EBF"/>
    <w:rsid w:val="00304272"/>
    <w:rsid w:val="00305418"/>
    <w:rsid w:val="003058EC"/>
    <w:rsid w:val="00305B72"/>
    <w:rsid w:val="003060A9"/>
    <w:rsid w:val="003061D2"/>
    <w:rsid w:val="00306821"/>
    <w:rsid w:val="00306C2B"/>
    <w:rsid w:val="003074BF"/>
    <w:rsid w:val="00307A4E"/>
    <w:rsid w:val="00310773"/>
    <w:rsid w:val="003108F8"/>
    <w:rsid w:val="0031097A"/>
    <w:rsid w:val="00311158"/>
    <w:rsid w:val="00311310"/>
    <w:rsid w:val="00311F63"/>
    <w:rsid w:val="00313403"/>
    <w:rsid w:val="00314107"/>
    <w:rsid w:val="003150CE"/>
    <w:rsid w:val="00315FCC"/>
    <w:rsid w:val="00315FE2"/>
    <w:rsid w:val="00316287"/>
    <w:rsid w:val="0031656F"/>
    <w:rsid w:val="003169E9"/>
    <w:rsid w:val="00317145"/>
    <w:rsid w:val="00317666"/>
    <w:rsid w:val="00317F18"/>
    <w:rsid w:val="00320B51"/>
    <w:rsid w:val="00320DFD"/>
    <w:rsid w:val="00321493"/>
    <w:rsid w:val="00321D57"/>
    <w:rsid w:val="0032236D"/>
    <w:rsid w:val="00322D14"/>
    <w:rsid w:val="00323BC9"/>
    <w:rsid w:val="00324799"/>
    <w:rsid w:val="00324D18"/>
    <w:rsid w:val="00325417"/>
    <w:rsid w:val="0032541F"/>
    <w:rsid w:val="003255AD"/>
    <w:rsid w:val="00325810"/>
    <w:rsid w:val="00325B33"/>
    <w:rsid w:val="00325B69"/>
    <w:rsid w:val="00325C1C"/>
    <w:rsid w:val="00325C6F"/>
    <w:rsid w:val="00325F5E"/>
    <w:rsid w:val="00325FBD"/>
    <w:rsid w:val="003262A0"/>
    <w:rsid w:val="00326A98"/>
    <w:rsid w:val="003276C6"/>
    <w:rsid w:val="00327C18"/>
    <w:rsid w:val="0033079D"/>
    <w:rsid w:val="00330CD4"/>
    <w:rsid w:val="00331A22"/>
    <w:rsid w:val="00332422"/>
    <w:rsid w:val="00332687"/>
    <w:rsid w:val="00332A16"/>
    <w:rsid w:val="00332D99"/>
    <w:rsid w:val="00333107"/>
    <w:rsid w:val="003333F5"/>
    <w:rsid w:val="0033395A"/>
    <w:rsid w:val="0033498D"/>
    <w:rsid w:val="00334DBD"/>
    <w:rsid w:val="003350F7"/>
    <w:rsid w:val="00335189"/>
    <w:rsid w:val="00335BF3"/>
    <w:rsid w:val="00336AFC"/>
    <w:rsid w:val="00336C34"/>
    <w:rsid w:val="00337265"/>
    <w:rsid w:val="00337A47"/>
    <w:rsid w:val="003401BC"/>
    <w:rsid w:val="00340825"/>
    <w:rsid w:val="0034097F"/>
    <w:rsid w:val="0034099B"/>
    <w:rsid w:val="0034164D"/>
    <w:rsid w:val="00341724"/>
    <w:rsid w:val="00342013"/>
    <w:rsid w:val="00343032"/>
    <w:rsid w:val="003431B1"/>
    <w:rsid w:val="00343200"/>
    <w:rsid w:val="003435D6"/>
    <w:rsid w:val="00343881"/>
    <w:rsid w:val="00343CB7"/>
    <w:rsid w:val="003447E1"/>
    <w:rsid w:val="00344A15"/>
    <w:rsid w:val="003452B6"/>
    <w:rsid w:val="0034544D"/>
    <w:rsid w:val="0034616F"/>
    <w:rsid w:val="00346595"/>
    <w:rsid w:val="0034678D"/>
    <w:rsid w:val="00346DCC"/>
    <w:rsid w:val="003475B3"/>
    <w:rsid w:val="003478CE"/>
    <w:rsid w:val="003479CF"/>
    <w:rsid w:val="00347DF9"/>
    <w:rsid w:val="00347DFD"/>
    <w:rsid w:val="00347FB6"/>
    <w:rsid w:val="00350EA2"/>
    <w:rsid w:val="00350EE1"/>
    <w:rsid w:val="003512CE"/>
    <w:rsid w:val="00351D4A"/>
    <w:rsid w:val="00353536"/>
    <w:rsid w:val="00354AAE"/>
    <w:rsid w:val="0035500E"/>
    <w:rsid w:val="00355C4C"/>
    <w:rsid w:val="003560EC"/>
    <w:rsid w:val="003561E9"/>
    <w:rsid w:val="0035667F"/>
    <w:rsid w:val="00356993"/>
    <w:rsid w:val="003572AC"/>
    <w:rsid w:val="003572C0"/>
    <w:rsid w:val="0035764A"/>
    <w:rsid w:val="00357942"/>
    <w:rsid w:val="003579D8"/>
    <w:rsid w:val="00357B9B"/>
    <w:rsid w:val="0036096A"/>
    <w:rsid w:val="00360E81"/>
    <w:rsid w:val="0036100E"/>
    <w:rsid w:val="003613C6"/>
    <w:rsid w:val="003619C8"/>
    <w:rsid w:val="003619E1"/>
    <w:rsid w:val="00362495"/>
    <w:rsid w:val="00362AC7"/>
    <w:rsid w:val="00363A18"/>
    <w:rsid w:val="003642A2"/>
    <w:rsid w:val="003643A4"/>
    <w:rsid w:val="0036446F"/>
    <w:rsid w:val="00364A07"/>
    <w:rsid w:val="00364CBF"/>
    <w:rsid w:val="0036543A"/>
    <w:rsid w:val="00365D91"/>
    <w:rsid w:val="00365FD5"/>
    <w:rsid w:val="00366B48"/>
    <w:rsid w:val="003676AA"/>
    <w:rsid w:val="00367F1D"/>
    <w:rsid w:val="00367F6D"/>
    <w:rsid w:val="00370139"/>
    <w:rsid w:val="003701CB"/>
    <w:rsid w:val="00370298"/>
    <w:rsid w:val="00370A0B"/>
    <w:rsid w:val="00370AB1"/>
    <w:rsid w:val="00370B56"/>
    <w:rsid w:val="00371A37"/>
    <w:rsid w:val="00371E81"/>
    <w:rsid w:val="00372651"/>
    <w:rsid w:val="003728BB"/>
    <w:rsid w:val="00372A58"/>
    <w:rsid w:val="003734BA"/>
    <w:rsid w:val="00373B70"/>
    <w:rsid w:val="003742C0"/>
    <w:rsid w:val="003742C6"/>
    <w:rsid w:val="003747DA"/>
    <w:rsid w:val="00374AA5"/>
    <w:rsid w:val="00375399"/>
    <w:rsid w:val="00376147"/>
    <w:rsid w:val="00376309"/>
    <w:rsid w:val="0037670C"/>
    <w:rsid w:val="003769DF"/>
    <w:rsid w:val="00376DCE"/>
    <w:rsid w:val="00376DF3"/>
    <w:rsid w:val="00377C8A"/>
    <w:rsid w:val="00377ED2"/>
    <w:rsid w:val="00380BFF"/>
    <w:rsid w:val="00380E57"/>
    <w:rsid w:val="003810CC"/>
    <w:rsid w:val="003814CA"/>
    <w:rsid w:val="00381C73"/>
    <w:rsid w:val="00381EAB"/>
    <w:rsid w:val="003821EB"/>
    <w:rsid w:val="00382E39"/>
    <w:rsid w:val="00383304"/>
    <w:rsid w:val="003836D6"/>
    <w:rsid w:val="00383986"/>
    <w:rsid w:val="00383E21"/>
    <w:rsid w:val="00383F20"/>
    <w:rsid w:val="00384BB4"/>
    <w:rsid w:val="00384C3F"/>
    <w:rsid w:val="00385151"/>
    <w:rsid w:val="00385246"/>
    <w:rsid w:val="003852AF"/>
    <w:rsid w:val="00385907"/>
    <w:rsid w:val="00385D14"/>
    <w:rsid w:val="00386017"/>
    <w:rsid w:val="00386CD7"/>
    <w:rsid w:val="003874F8"/>
    <w:rsid w:val="00387558"/>
    <w:rsid w:val="00387F26"/>
    <w:rsid w:val="00387FA6"/>
    <w:rsid w:val="0039025C"/>
    <w:rsid w:val="003903E5"/>
    <w:rsid w:val="0039061F"/>
    <w:rsid w:val="0039187A"/>
    <w:rsid w:val="00392020"/>
    <w:rsid w:val="0039210A"/>
    <w:rsid w:val="003928C4"/>
    <w:rsid w:val="003930C0"/>
    <w:rsid w:val="00393AA3"/>
    <w:rsid w:val="00394004"/>
    <w:rsid w:val="00394510"/>
    <w:rsid w:val="0039497B"/>
    <w:rsid w:val="003949B4"/>
    <w:rsid w:val="00395320"/>
    <w:rsid w:val="0039685F"/>
    <w:rsid w:val="00397564"/>
    <w:rsid w:val="003978AA"/>
    <w:rsid w:val="0039791C"/>
    <w:rsid w:val="00397A8D"/>
    <w:rsid w:val="00397D03"/>
    <w:rsid w:val="003A021D"/>
    <w:rsid w:val="003A0471"/>
    <w:rsid w:val="003A0DF4"/>
    <w:rsid w:val="003A10A4"/>
    <w:rsid w:val="003A11FF"/>
    <w:rsid w:val="003A1379"/>
    <w:rsid w:val="003A14AE"/>
    <w:rsid w:val="003A195A"/>
    <w:rsid w:val="003A2437"/>
    <w:rsid w:val="003A2543"/>
    <w:rsid w:val="003A2CE0"/>
    <w:rsid w:val="003A2FC6"/>
    <w:rsid w:val="003A333D"/>
    <w:rsid w:val="003A3456"/>
    <w:rsid w:val="003A3766"/>
    <w:rsid w:val="003A3793"/>
    <w:rsid w:val="003A3B15"/>
    <w:rsid w:val="003A3F0E"/>
    <w:rsid w:val="003A47C3"/>
    <w:rsid w:val="003A4A51"/>
    <w:rsid w:val="003A4E6F"/>
    <w:rsid w:val="003A533F"/>
    <w:rsid w:val="003A65B7"/>
    <w:rsid w:val="003A65BD"/>
    <w:rsid w:val="003A665F"/>
    <w:rsid w:val="003A6980"/>
    <w:rsid w:val="003A6B36"/>
    <w:rsid w:val="003A6BB8"/>
    <w:rsid w:val="003A6D42"/>
    <w:rsid w:val="003A7346"/>
    <w:rsid w:val="003A7414"/>
    <w:rsid w:val="003A7754"/>
    <w:rsid w:val="003A776A"/>
    <w:rsid w:val="003A799C"/>
    <w:rsid w:val="003A7CB3"/>
    <w:rsid w:val="003A7D1A"/>
    <w:rsid w:val="003B0167"/>
    <w:rsid w:val="003B06F2"/>
    <w:rsid w:val="003B0F15"/>
    <w:rsid w:val="003B1302"/>
    <w:rsid w:val="003B1383"/>
    <w:rsid w:val="003B15DF"/>
    <w:rsid w:val="003B18B9"/>
    <w:rsid w:val="003B1C51"/>
    <w:rsid w:val="003B2D74"/>
    <w:rsid w:val="003B32E4"/>
    <w:rsid w:val="003B33BF"/>
    <w:rsid w:val="003B3477"/>
    <w:rsid w:val="003B3F20"/>
    <w:rsid w:val="003B4254"/>
    <w:rsid w:val="003B451B"/>
    <w:rsid w:val="003B472E"/>
    <w:rsid w:val="003B47AF"/>
    <w:rsid w:val="003B487D"/>
    <w:rsid w:val="003B4AE9"/>
    <w:rsid w:val="003B5026"/>
    <w:rsid w:val="003B516F"/>
    <w:rsid w:val="003B609A"/>
    <w:rsid w:val="003B64C7"/>
    <w:rsid w:val="003B6598"/>
    <w:rsid w:val="003B65DA"/>
    <w:rsid w:val="003B6AF3"/>
    <w:rsid w:val="003B6FA5"/>
    <w:rsid w:val="003B7827"/>
    <w:rsid w:val="003B7BDC"/>
    <w:rsid w:val="003B7C9F"/>
    <w:rsid w:val="003C019A"/>
    <w:rsid w:val="003C0292"/>
    <w:rsid w:val="003C0645"/>
    <w:rsid w:val="003C08A6"/>
    <w:rsid w:val="003C0CDA"/>
    <w:rsid w:val="003C1452"/>
    <w:rsid w:val="003C1717"/>
    <w:rsid w:val="003C1B47"/>
    <w:rsid w:val="003C25CF"/>
    <w:rsid w:val="003C2823"/>
    <w:rsid w:val="003C28DE"/>
    <w:rsid w:val="003C2EEC"/>
    <w:rsid w:val="003C2F6F"/>
    <w:rsid w:val="003C43D3"/>
    <w:rsid w:val="003C4564"/>
    <w:rsid w:val="003C4893"/>
    <w:rsid w:val="003C4909"/>
    <w:rsid w:val="003C53E3"/>
    <w:rsid w:val="003C6366"/>
    <w:rsid w:val="003C68E1"/>
    <w:rsid w:val="003C6FDB"/>
    <w:rsid w:val="003C7470"/>
    <w:rsid w:val="003C757E"/>
    <w:rsid w:val="003D00AA"/>
    <w:rsid w:val="003D014E"/>
    <w:rsid w:val="003D01B4"/>
    <w:rsid w:val="003D0211"/>
    <w:rsid w:val="003D0490"/>
    <w:rsid w:val="003D068C"/>
    <w:rsid w:val="003D07D7"/>
    <w:rsid w:val="003D0824"/>
    <w:rsid w:val="003D0A07"/>
    <w:rsid w:val="003D0DAF"/>
    <w:rsid w:val="003D0DB5"/>
    <w:rsid w:val="003D0E6E"/>
    <w:rsid w:val="003D127A"/>
    <w:rsid w:val="003D137F"/>
    <w:rsid w:val="003D1BF7"/>
    <w:rsid w:val="003D1E20"/>
    <w:rsid w:val="003D211A"/>
    <w:rsid w:val="003D2D58"/>
    <w:rsid w:val="003D3044"/>
    <w:rsid w:val="003D34C1"/>
    <w:rsid w:val="003D357F"/>
    <w:rsid w:val="003D3A82"/>
    <w:rsid w:val="003D3F63"/>
    <w:rsid w:val="003D4400"/>
    <w:rsid w:val="003D46CE"/>
    <w:rsid w:val="003D4B8A"/>
    <w:rsid w:val="003D5190"/>
    <w:rsid w:val="003D616E"/>
    <w:rsid w:val="003D61D2"/>
    <w:rsid w:val="003D6662"/>
    <w:rsid w:val="003D6A02"/>
    <w:rsid w:val="003D6BDA"/>
    <w:rsid w:val="003E0023"/>
    <w:rsid w:val="003E02A4"/>
    <w:rsid w:val="003E0D32"/>
    <w:rsid w:val="003E20E3"/>
    <w:rsid w:val="003E24CD"/>
    <w:rsid w:val="003E2576"/>
    <w:rsid w:val="003E2BFC"/>
    <w:rsid w:val="003E2EBC"/>
    <w:rsid w:val="003E3309"/>
    <w:rsid w:val="003E33E3"/>
    <w:rsid w:val="003E40E9"/>
    <w:rsid w:val="003E4A87"/>
    <w:rsid w:val="003E4EB5"/>
    <w:rsid w:val="003E59B3"/>
    <w:rsid w:val="003E7178"/>
    <w:rsid w:val="003E7901"/>
    <w:rsid w:val="003E7C85"/>
    <w:rsid w:val="003F0312"/>
    <w:rsid w:val="003F03EC"/>
    <w:rsid w:val="003F0466"/>
    <w:rsid w:val="003F05D1"/>
    <w:rsid w:val="003F0877"/>
    <w:rsid w:val="003F136A"/>
    <w:rsid w:val="003F25F6"/>
    <w:rsid w:val="003F2A04"/>
    <w:rsid w:val="003F33CC"/>
    <w:rsid w:val="003F45D7"/>
    <w:rsid w:val="003F4608"/>
    <w:rsid w:val="003F47FE"/>
    <w:rsid w:val="003F4A3B"/>
    <w:rsid w:val="003F4B0E"/>
    <w:rsid w:val="003F4BE7"/>
    <w:rsid w:val="003F5306"/>
    <w:rsid w:val="003F56B8"/>
    <w:rsid w:val="003F575F"/>
    <w:rsid w:val="003F57E8"/>
    <w:rsid w:val="003F5BA5"/>
    <w:rsid w:val="003F5D8A"/>
    <w:rsid w:val="003F6338"/>
    <w:rsid w:val="003F634A"/>
    <w:rsid w:val="003F63BB"/>
    <w:rsid w:val="003F732B"/>
    <w:rsid w:val="003F741D"/>
    <w:rsid w:val="003F7688"/>
    <w:rsid w:val="003F7748"/>
    <w:rsid w:val="003F7A31"/>
    <w:rsid w:val="003F7C71"/>
    <w:rsid w:val="00400AF9"/>
    <w:rsid w:val="00400B53"/>
    <w:rsid w:val="00400E0B"/>
    <w:rsid w:val="00401989"/>
    <w:rsid w:val="00402582"/>
    <w:rsid w:val="00402825"/>
    <w:rsid w:val="00403004"/>
    <w:rsid w:val="004031EB"/>
    <w:rsid w:val="00403643"/>
    <w:rsid w:val="004037EE"/>
    <w:rsid w:val="00403982"/>
    <w:rsid w:val="0040456A"/>
    <w:rsid w:val="004047BD"/>
    <w:rsid w:val="004060B6"/>
    <w:rsid w:val="004062CD"/>
    <w:rsid w:val="00406D79"/>
    <w:rsid w:val="00406E81"/>
    <w:rsid w:val="00407108"/>
    <w:rsid w:val="004079C8"/>
    <w:rsid w:val="00410C9A"/>
    <w:rsid w:val="0041113B"/>
    <w:rsid w:val="0041115E"/>
    <w:rsid w:val="004111D1"/>
    <w:rsid w:val="00411832"/>
    <w:rsid w:val="00411AED"/>
    <w:rsid w:val="00412385"/>
    <w:rsid w:val="0041255B"/>
    <w:rsid w:val="00412C78"/>
    <w:rsid w:val="00413394"/>
    <w:rsid w:val="004134FD"/>
    <w:rsid w:val="004142D4"/>
    <w:rsid w:val="004148A3"/>
    <w:rsid w:val="00414BEB"/>
    <w:rsid w:val="004152FB"/>
    <w:rsid w:val="004162E5"/>
    <w:rsid w:val="00416C39"/>
    <w:rsid w:val="0041739D"/>
    <w:rsid w:val="00417DDB"/>
    <w:rsid w:val="00420618"/>
    <w:rsid w:val="004208A9"/>
    <w:rsid w:val="00420A20"/>
    <w:rsid w:val="00420A5B"/>
    <w:rsid w:val="00420B3E"/>
    <w:rsid w:val="00420DCF"/>
    <w:rsid w:val="00421303"/>
    <w:rsid w:val="00421595"/>
    <w:rsid w:val="0042173A"/>
    <w:rsid w:val="00421847"/>
    <w:rsid w:val="00421876"/>
    <w:rsid w:val="00421A63"/>
    <w:rsid w:val="00421E4B"/>
    <w:rsid w:val="004227E6"/>
    <w:rsid w:val="004230F3"/>
    <w:rsid w:val="00423295"/>
    <w:rsid w:val="00424225"/>
    <w:rsid w:val="00424417"/>
    <w:rsid w:val="004245B7"/>
    <w:rsid w:val="0042467F"/>
    <w:rsid w:val="00424B86"/>
    <w:rsid w:val="00424F0F"/>
    <w:rsid w:val="004251B8"/>
    <w:rsid w:val="004259A2"/>
    <w:rsid w:val="00425B09"/>
    <w:rsid w:val="00425F97"/>
    <w:rsid w:val="004263C2"/>
    <w:rsid w:val="004266AD"/>
    <w:rsid w:val="00426C44"/>
    <w:rsid w:val="0042729C"/>
    <w:rsid w:val="00430145"/>
    <w:rsid w:val="00430971"/>
    <w:rsid w:val="00430A23"/>
    <w:rsid w:val="00430E46"/>
    <w:rsid w:val="00430FFB"/>
    <w:rsid w:val="00431568"/>
    <w:rsid w:val="004319CA"/>
    <w:rsid w:val="00431A6A"/>
    <w:rsid w:val="004324E5"/>
    <w:rsid w:val="004327D4"/>
    <w:rsid w:val="00433481"/>
    <w:rsid w:val="00433739"/>
    <w:rsid w:val="00433A95"/>
    <w:rsid w:val="00434826"/>
    <w:rsid w:val="004351A3"/>
    <w:rsid w:val="00435A02"/>
    <w:rsid w:val="0043600A"/>
    <w:rsid w:val="00436175"/>
    <w:rsid w:val="00436507"/>
    <w:rsid w:val="00436E46"/>
    <w:rsid w:val="00437A88"/>
    <w:rsid w:val="00440215"/>
    <w:rsid w:val="0044089F"/>
    <w:rsid w:val="00440D99"/>
    <w:rsid w:val="00440FC2"/>
    <w:rsid w:val="00441D3D"/>
    <w:rsid w:val="00442467"/>
    <w:rsid w:val="00442574"/>
    <w:rsid w:val="0044276C"/>
    <w:rsid w:val="00443B7A"/>
    <w:rsid w:val="00443E8C"/>
    <w:rsid w:val="00444289"/>
    <w:rsid w:val="004444FD"/>
    <w:rsid w:val="004449F0"/>
    <w:rsid w:val="00444A1D"/>
    <w:rsid w:val="0044516C"/>
    <w:rsid w:val="00445F27"/>
    <w:rsid w:val="00446AEE"/>
    <w:rsid w:val="00447072"/>
    <w:rsid w:val="00447B93"/>
    <w:rsid w:val="00450B74"/>
    <w:rsid w:val="00451173"/>
    <w:rsid w:val="00452ACA"/>
    <w:rsid w:val="00452F5F"/>
    <w:rsid w:val="00452F9C"/>
    <w:rsid w:val="00453AF3"/>
    <w:rsid w:val="00453E86"/>
    <w:rsid w:val="00453F21"/>
    <w:rsid w:val="00455008"/>
    <w:rsid w:val="0045536E"/>
    <w:rsid w:val="00455DDA"/>
    <w:rsid w:val="004565CF"/>
    <w:rsid w:val="00456794"/>
    <w:rsid w:val="00456C4F"/>
    <w:rsid w:val="00456DBD"/>
    <w:rsid w:val="00457BD4"/>
    <w:rsid w:val="00460903"/>
    <w:rsid w:val="00460F10"/>
    <w:rsid w:val="00461300"/>
    <w:rsid w:val="004614E7"/>
    <w:rsid w:val="00461C4F"/>
    <w:rsid w:val="00461EDA"/>
    <w:rsid w:val="00461EE1"/>
    <w:rsid w:val="00462187"/>
    <w:rsid w:val="004622CD"/>
    <w:rsid w:val="0046236D"/>
    <w:rsid w:val="00462BB9"/>
    <w:rsid w:val="00462E90"/>
    <w:rsid w:val="004631DB"/>
    <w:rsid w:val="004649C1"/>
    <w:rsid w:val="00464BF6"/>
    <w:rsid w:val="00464E21"/>
    <w:rsid w:val="00465614"/>
    <w:rsid w:val="004663B3"/>
    <w:rsid w:val="0046764D"/>
    <w:rsid w:val="00467B7A"/>
    <w:rsid w:val="004700FE"/>
    <w:rsid w:val="004705E8"/>
    <w:rsid w:val="00470854"/>
    <w:rsid w:val="00470F98"/>
    <w:rsid w:val="00471742"/>
    <w:rsid w:val="004717FC"/>
    <w:rsid w:val="00471EC6"/>
    <w:rsid w:val="0047332A"/>
    <w:rsid w:val="004734EE"/>
    <w:rsid w:val="0047353A"/>
    <w:rsid w:val="004736A8"/>
    <w:rsid w:val="004741F1"/>
    <w:rsid w:val="00474491"/>
    <w:rsid w:val="0047497D"/>
    <w:rsid w:val="00474AA5"/>
    <w:rsid w:val="00474C6C"/>
    <w:rsid w:val="00474C9B"/>
    <w:rsid w:val="0047510F"/>
    <w:rsid w:val="0047512C"/>
    <w:rsid w:val="00475192"/>
    <w:rsid w:val="00475895"/>
    <w:rsid w:val="004758ED"/>
    <w:rsid w:val="00475E06"/>
    <w:rsid w:val="004763EB"/>
    <w:rsid w:val="004765DC"/>
    <w:rsid w:val="00477422"/>
    <w:rsid w:val="00477F96"/>
    <w:rsid w:val="00480729"/>
    <w:rsid w:val="00480997"/>
    <w:rsid w:val="00480A33"/>
    <w:rsid w:val="004817F2"/>
    <w:rsid w:val="004821D0"/>
    <w:rsid w:val="00482606"/>
    <w:rsid w:val="00482BF3"/>
    <w:rsid w:val="0048364D"/>
    <w:rsid w:val="004838A1"/>
    <w:rsid w:val="00483BE8"/>
    <w:rsid w:val="00483C93"/>
    <w:rsid w:val="0048408C"/>
    <w:rsid w:val="004842D6"/>
    <w:rsid w:val="004848BB"/>
    <w:rsid w:val="0048491D"/>
    <w:rsid w:val="00484927"/>
    <w:rsid w:val="004854E5"/>
    <w:rsid w:val="00485D32"/>
    <w:rsid w:val="004861B2"/>
    <w:rsid w:val="004863BC"/>
    <w:rsid w:val="004867D9"/>
    <w:rsid w:val="00486BAA"/>
    <w:rsid w:val="00487B29"/>
    <w:rsid w:val="00487C9B"/>
    <w:rsid w:val="004907CE"/>
    <w:rsid w:val="00490E6B"/>
    <w:rsid w:val="004911F4"/>
    <w:rsid w:val="0049159D"/>
    <w:rsid w:val="0049167D"/>
    <w:rsid w:val="0049176E"/>
    <w:rsid w:val="00491CD4"/>
    <w:rsid w:val="00491D1C"/>
    <w:rsid w:val="00491FB1"/>
    <w:rsid w:val="0049206D"/>
    <w:rsid w:val="00492EC1"/>
    <w:rsid w:val="004933CF"/>
    <w:rsid w:val="0049355F"/>
    <w:rsid w:val="0049397E"/>
    <w:rsid w:val="004944FD"/>
    <w:rsid w:val="00494683"/>
    <w:rsid w:val="00494AD4"/>
    <w:rsid w:val="00494E0A"/>
    <w:rsid w:val="0049515F"/>
    <w:rsid w:val="004951A9"/>
    <w:rsid w:val="0049598C"/>
    <w:rsid w:val="00495EDF"/>
    <w:rsid w:val="004963BC"/>
    <w:rsid w:val="00496EA2"/>
    <w:rsid w:val="004972F5"/>
    <w:rsid w:val="004A00D5"/>
    <w:rsid w:val="004A0492"/>
    <w:rsid w:val="004A054A"/>
    <w:rsid w:val="004A05D0"/>
    <w:rsid w:val="004A10B6"/>
    <w:rsid w:val="004A18C4"/>
    <w:rsid w:val="004A1BD6"/>
    <w:rsid w:val="004A1D50"/>
    <w:rsid w:val="004A1F12"/>
    <w:rsid w:val="004A229F"/>
    <w:rsid w:val="004A324B"/>
    <w:rsid w:val="004A33B6"/>
    <w:rsid w:val="004A344D"/>
    <w:rsid w:val="004A4202"/>
    <w:rsid w:val="004A4241"/>
    <w:rsid w:val="004A46DD"/>
    <w:rsid w:val="004A5838"/>
    <w:rsid w:val="004A607D"/>
    <w:rsid w:val="004A6132"/>
    <w:rsid w:val="004A63E4"/>
    <w:rsid w:val="004A65E7"/>
    <w:rsid w:val="004A6CA1"/>
    <w:rsid w:val="004A6D04"/>
    <w:rsid w:val="004A6FF3"/>
    <w:rsid w:val="004A7075"/>
    <w:rsid w:val="004A71C9"/>
    <w:rsid w:val="004A72BF"/>
    <w:rsid w:val="004A73AF"/>
    <w:rsid w:val="004A7490"/>
    <w:rsid w:val="004A7605"/>
    <w:rsid w:val="004A761D"/>
    <w:rsid w:val="004A7B1E"/>
    <w:rsid w:val="004B04B7"/>
    <w:rsid w:val="004B07BB"/>
    <w:rsid w:val="004B0808"/>
    <w:rsid w:val="004B1383"/>
    <w:rsid w:val="004B1D16"/>
    <w:rsid w:val="004B258C"/>
    <w:rsid w:val="004B3156"/>
    <w:rsid w:val="004B345F"/>
    <w:rsid w:val="004B3962"/>
    <w:rsid w:val="004B3C34"/>
    <w:rsid w:val="004B3C56"/>
    <w:rsid w:val="004B43F2"/>
    <w:rsid w:val="004B4831"/>
    <w:rsid w:val="004B4930"/>
    <w:rsid w:val="004B5BF1"/>
    <w:rsid w:val="004B6720"/>
    <w:rsid w:val="004B6A6E"/>
    <w:rsid w:val="004B6BE9"/>
    <w:rsid w:val="004B70E4"/>
    <w:rsid w:val="004B72C9"/>
    <w:rsid w:val="004B7AB3"/>
    <w:rsid w:val="004C0054"/>
    <w:rsid w:val="004C03E2"/>
    <w:rsid w:val="004C0D3C"/>
    <w:rsid w:val="004C0E88"/>
    <w:rsid w:val="004C1BEE"/>
    <w:rsid w:val="004C1EC5"/>
    <w:rsid w:val="004C2427"/>
    <w:rsid w:val="004C348A"/>
    <w:rsid w:val="004C3F59"/>
    <w:rsid w:val="004C481B"/>
    <w:rsid w:val="004C4926"/>
    <w:rsid w:val="004C49B2"/>
    <w:rsid w:val="004C52C5"/>
    <w:rsid w:val="004C569B"/>
    <w:rsid w:val="004C5873"/>
    <w:rsid w:val="004C5E01"/>
    <w:rsid w:val="004C6154"/>
    <w:rsid w:val="004C66CD"/>
    <w:rsid w:val="004C6CF8"/>
    <w:rsid w:val="004C6E8F"/>
    <w:rsid w:val="004C6EE9"/>
    <w:rsid w:val="004C6FAD"/>
    <w:rsid w:val="004C72AF"/>
    <w:rsid w:val="004C74BF"/>
    <w:rsid w:val="004D0109"/>
    <w:rsid w:val="004D0430"/>
    <w:rsid w:val="004D0456"/>
    <w:rsid w:val="004D0834"/>
    <w:rsid w:val="004D08D1"/>
    <w:rsid w:val="004D1A7A"/>
    <w:rsid w:val="004D231C"/>
    <w:rsid w:val="004D25FA"/>
    <w:rsid w:val="004D29CD"/>
    <w:rsid w:val="004D2DB3"/>
    <w:rsid w:val="004D2ED8"/>
    <w:rsid w:val="004D3A36"/>
    <w:rsid w:val="004D3DAF"/>
    <w:rsid w:val="004D47D3"/>
    <w:rsid w:val="004D49E1"/>
    <w:rsid w:val="004D4D5A"/>
    <w:rsid w:val="004D506C"/>
    <w:rsid w:val="004D5843"/>
    <w:rsid w:val="004D5A09"/>
    <w:rsid w:val="004D5EEA"/>
    <w:rsid w:val="004D5F18"/>
    <w:rsid w:val="004D6013"/>
    <w:rsid w:val="004D6661"/>
    <w:rsid w:val="004D675E"/>
    <w:rsid w:val="004D6D7F"/>
    <w:rsid w:val="004D6F40"/>
    <w:rsid w:val="004D711A"/>
    <w:rsid w:val="004D78F4"/>
    <w:rsid w:val="004E000B"/>
    <w:rsid w:val="004E02F2"/>
    <w:rsid w:val="004E0B85"/>
    <w:rsid w:val="004E0F70"/>
    <w:rsid w:val="004E1087"/>
    <w:rsid w:val="004E159E"/>
    <w:rsid w:val="004E1671"/>
    <w:rsid w:val="004E175D"/>
    <w:rsid w:val="004E1C96"/>
    <w:rsid w:val="004E2114"/>
    <w:rsid w:val="004E2604"/>
    <w:rsid w:val="004E346E"/>
    <w:rsid w:val="004E3C24"/>
    <w:rsid w:val="004E4046"/>
    <w:rsid w:val="004E40C5"/>
    <w:rsid w:val="004E4106"/>
    <w:rsid w:val="004E4B15"/>
    <w:rsid w:val="004E53C6"/>
    <w:rsid w:val="004E553D"/>
    <w:rsid w:val="004E5AB8"/>
    <w:rsid w:val="004E5B7B"/>
    <w:rsid w:val="004E5C03"/>
    <w:rsid w:val="004E5DE9"/>
    <w:rsid w:val="004E6DE8"/>
    <w:rsid w:val="004E7538"/>
    <w:rsid w:val="004E7672"/>
    <w:rsid w:val="004F0819"/>
    <w:rsid w:val="004F09B8"/>
    <w:rsid w:val="004F0D17"/>
    <w:rsid w:val="004F0FB6"/>
    <w:rsid w:val="004F15EF"/>
    <w:rsid w:val="004F17EE"/>
    <w:rsid w:val="004F1951"/>
    <w:rsid w:val="004F31EC"/>
    <w:rsid w:val="004F328F"/>
    <w:rsid w:val="004F333E"/>
    <w:rsid w:val="004F3EDD"/>
    <w:rsid w:val="004F46FF"/>
    <w:rsid w:val="004F48AD"/>
    <w:rsid w:val="004F5077"/>
    <w:rsid w:val="004F5169"/>
    <w:rsid w:val="004F5911"/>
    <w:rsid w:val="004F5935"/>
    <w:rsid w:val="004F5AAE"/>
    <w:rsid w:val="004F5AAF"/>
    <w:rsid w:val="004F6036"/>
    <w:rsid w:val="004F6F30"/>
    <w:rsid w:val="004F76C8"/>
    <w:rsid w:val="004F78E4"/>
    <w:rsid w:val="004F7E00"/>
    <w:rsid w:val="004F7EBF"/>
    <w:rsid w:val="00500019"/>
    <w:rsid w:val="005003C6"/>
    <w:rsid w:val="00500B04"/>
    <w:rsid w:val="005011EC"/>
    <w:rsid w:val="00501A10"/>
    <w:rsid w:val="005026E8"/>
    <w:rsid w:val="005029C7"/>
    <w:rsid w:val="00502E26"/>
    <w:rsid w:val="00503454"/>
    <w:rsid w:val="00503583"/>
    <w:rsid w:val="00503E8E"/>
    <w:rsid w:val="00503FAF"/>
    <w:rsid w:val="005045A9"/>
    <w:rsid w:val="0050485E"/>
    <w:rsid w:val="00505ECF"/>
    <w:rsid w:val="0050614C"/>
    <w:rsid w:val="0050640B"/>
    <w:rsid w:val="00506876"/>
    <w:rsid w:val="00506C7B"/>
    <w:rsid w:val="00507504"/>
    <w:rsid w:val="00510585"/>
    <w:rsid w:val="0051069C"/>
    <w:rsid w:val="00510C66"/>
    <w:rsid w:val="00511210"/>
    <w:rsid w:val="005127E2"/>
    <w:rsid w:val="00512BB6"/>
    <w:rsid w:val="00512E3A"/>
    <w:rsid w:val="00513337"/>
    <w:rsid w:val="0051454E"/>
    <w:rsid w:val="00515109"/>
    <w:rsid w:val="00515B6D"/>
    <w:rsid w:val="00515C2C"/>
    <w:rsid w:val="00515D22"/>
    <w:rsid w:val="00517002"/>
    <w:rsid w:val="00520606"/>
    <w:rsid w:val="00521739"/>
    <w:rsid w:val="00521CD1"/>
    <w:rsid w:val="00521CF6"/>
    <w:rsid w:val="00521F0A"/>
    <w:rsid w:val="0052220E"/>
    <w:rsid w:val="00522381"/>
    <w:rsid w:val="00522881"/>
    <w:rsid w:val="00522B2F"/>
    <w:rsid w:val="00523C29"/>
    <w:rsid w:val="005242F5"/>
    <w:rsid w:val="00524630"/>
    <w:rsid w:val="00524ED9"/>
    <w:rsid w:val="00525028"/>
    <w:rsid w:val="00525DAE"/>
    <w:rsid w:val="00525FF3"/>
    <w:rsid w:val="005265C8"/>
    <w:rsid w:val="0052719B"/>
    <w:rsid w:val="00527CF7"/>
    <w:rsid w:val="00530644"/>
    <w:rsid w:val="005311AA"/>
    <w:rsid w:val="005313AB"/>
    <w:rsid w:val="005317E8"/>
    <w:rsid w:val="00531A00"/>
    <w:rsid w:val="00531A40"/>
    <w:rsid w:val="0053269C"/>
    <w:rsid w:val="005334A4"/>
    <w:rsid w:val="00533877"/>
    <w:rsid w:val="00533E82"/>
    <w:rsid w:val="00534EDD"/>
    <w:rsid w:val="005352FA"/>
    <w:rsid w:val="0053532D"/>
    <w:rsid w:val="005354D3"/>
    <w:rsid w:val="00535C23"/>
    <w:rsid w:val="00535D55"/>
    <w:rsid w:val="00535DA1"/>
    <w:rsid w:val="00535FB0"/>
    <w:rsid w:val="00536132"/>
    <w:rsid w:val="005365F8"/>
    <w:rsid w:val="00536771"/>
    <w:rsid w:val="00536F8C"/>
    <w:rsid w:val="00537014"/>
    <w:rsid w:val="005373B6"/>
    <w:rsid w:val="00537CD9"/>
    <w:rsid w:val="00540AC0"/>
    <w:rsid w:val="00540BB9"/>
    <w:rsid w:val="005413A3"/>
    <w:rsid w:val="00541CBD"/>
    <w:rsid w:val="005425BC"/>
    <w:rsid w:val="005426DD"/>
    <w:rsid w:val="00542AD8"/>
    <w:rsid w:val="00542CB9"/>
    <w:rsid w:val="00544C56"/>
    <w:rsid w:val="005456DA"/>
    <w:rsid w:val="00545A35"/>
    <w:rsid w:val="00545B58"/>
    <w:rsid w:val="005469A8"/>
    <w:rsid w:val="00547155"/>
    <w:rsid w:val="00547909"/>
    <w:rsid w:val="00547E99"/>
    <w:rsid w:val="0055012A"/>
    <w:rsid w:val="00550B77"/>
    <w:rsid w:val="00551377"/>
    <w:rsid w:val="00551505"/>
    <w:rsid w:val="0055166C"/>
    <w:rsid w:val="00551D08"/>
    <w:rsid w:val="00551FBD"/>
    <w:rsid w:val="00552169"/>
    <w:rsid w:val="0055280B"/>
    <w:rsid w:val="0055299B"/>
    <w:rsid w:val="00552FB5"/>
    <w:rsid w:val="00553596"/>
    <w:rsid w:val="00553BDA"/>
    <w:rsid w:val="00553DB1"/>
    <w:rsid w:val="00554EED"/>
    <w:rsid w:val="00555114"/>
    <w:rsid w:val="00555409"/>
    <w:rsid w:val="00555EDE"/>
    <w:rsid w:val="00556BB3"/>
    <w:rsid w:val="005600A0"/>
    <w:rsid w:val="0056020D"/>
    <w:rsid w:val="0056072D"/>
    <w:rsid w:val="00560CEE"/>
    <w:rsid w:val="00560DD6"/>
    <w:rsid w:val="00560F53"/>
    <w:rsid w:val="0056108E"/>
    <w:rsid w:val="00561F66"/>
    <w:rsid w:val="00562269"/>
    <w:rsid w:val="005623B4"/>
    <w:rsid w:val="005627E6"/>
    <w:rsid w:val="005631E0"/>
    <w:rsid w:val="0056331A"/>
    <w:rsid w:val="005635A7"/>
    <w:rsid w:val="00564439"/>
    <w:rsid w:val="00564723"/>
    <w:rsid w:val="00564CB5"/>
    <w:rsid w:val="00564D6E"/>
    <w:rsid w:val="005659A1"/>
    <w:rsid w:val="00565B29"/>
    <w:rsid w:val="00565C5E"/>
    <w:rsid w:val="00565E38"/>
    <w:rsid w:val="00565EB5"/>
    <w:rsid w:val="00566445"/>
    <w:rsid w:val="00566598"/>
    <w:rsid w:val="005665AE"/>
    <w:rsid w:val="005667A0"/>
    <w:rsid w:val="0056682F"/>
    <w:rsid w:val="0056693E"/>
    <w:rsid w:val="00567243"/>
    <w:rsid w:val="0056767C"/>
    <w:rsid w:val="00567BCA"/>
    <w:rsid w:val="00567C65"/>
    <w:rsid w:val="00567E24"/>
    <w:rsid w:val="00570113"/>
    <w:rsid w:val="00570779"/>
    <w:rsid w:val="00570A34"/>
    <w:rsid w:val="0057101B"/>
    <w:rsid w:val="0057133C"/>
    <w:rsid w:val="0057198A"/>
    <w:rsid w:val="00572128"/>
    <w:rsid w:val="005729AA"/>
    <w:rsid w:val="00572A6E"/>
    <w:rsid w:val="00572FE0"/>
    <w:rsid w:val="0057304B"/>
    <w:rsid w:val="00573127"/>
    <w:rsid w:val="00573147"/>
    <w:rsid w:val="00573E07"/>
    <w:rsid w:val="00574560"/>
    <w:rsid w:val="00574A75"/>
    <w:rsid w:val="00574BC4"/>
    <w:rsid w:val="00575645"/>
    <w:rsid w:val="0057569D"/>
    <w:rsid w:val="005771B9"/>
    <w:rsid w:val="0058003C"/>
    <w:rsid w:val="0058190A"/>
    <w:rsid w:val="00581FA6"/>
    <w:rsid w:val="0058201D"/>
    <w:rsid w:val="005823BA"/>
    <w:rsid w:val="00582700"/>
    <w:rsid w:val="00582985"/>
    <w:rsid w:val="00583690"/>
    <w:rsid w:val="0058370E"/>
    <w:rsid w:val="00583EF8"/>
    <w:rsid w:val="00583F81"/>
    <w:rsid w:val="00584312"/>
    <w:rsid w:val="00584646"/>
    <w:rsid w:val="00584CFA"/>
    <w:rsid w:val="005850ED"/>
    <w:rsid w:val="0058527E"/>
    <w:rsid w:val="005859A7"/>
    <w:rsid w:val="00585C7D"/>
    <w:rsid w:val="00586647"/>
    <w:rsid w:val="005868C8"/>
    <w:rsid w:val="005869D5"/>
    <w:rsid w:val="00586EFA"/>
    <w:rsid w:val="005872CC"/>
    <w:rsid w:val="00587452"/>
    <w:rsid w:val="00587A76"/>
    <w:rsid w:val="00590693"/>
    <w:rsid w:val="00590ED3"/>
    <w:rsid w:val="00590F28"/>
    <w:rsid w:val="005916AD"/>
    <w:rsid w:val="005916C2"/>
    <w:rsid w:val="00591DDD"/>
    <w:rsid w:val="005925BB"/>
    <w:rsid w:val="005929DA"/>
    <w:rsid w:val="00593251"/>
    <w:rsid w:val="00593275"/>
    <w:rsid w:val="005933B8"/>
    <w:rsid w:val="005935A5"/>
    <w:rsid w:val="005945BC"/>
    <w:rsid w:val="0059461F"/>
    <w:rsid w:val="005947DF"/>
    <w:rsid w:val="00594DE5"/>
    <w:rsid w:val="0059597E"/>
    <w:rsid w:val="00595A8A"/>
    <w:rsid w:val="00596750"/>
    <w:rsid w:val="005971D0"/>
    <w:rsid w:val="00597DB6"/>
    <w:rsid w:val="00597E8C"/>
    <w:rsid w:val="005A0ACB"/>
    <w:rsid w:val="005A0BED"/>
    <w:rsid w:val="005A13B5"/>
    <w:rsid w:val="005A1827"/>
    <w:rsid w:val="005A20BA"/>
    <w:rsid w:val="005A259F"/>
    <w:rsid w:val="005A2BF9"/>
    <w:rsid w:val="005A2F3A"/>
    <w:rsid w:val="005A2F56"/>
    <w:rsid w:val="005A47E3"/>
    <w:rsid w:val="005A5EF5"/>
    <w:rsid w:val="005A6397"/>
    <w:rsid w:val="005A6795"/>
    <w:rsid w:val="005A6904"/>
    <w:rsid w:val="005A6DDD"/>
    <w:rsid w:val="005A70D0"/>
    <w:rsid w:val="005A7318"/>
    <w:rsid w:val="005A7E6B"/>
    <w:rsid w:val="005A7F7E"/>
    <w:rsid w:val="005B00EC"/>
    <w:rsid w:val="005B010C"/>
    <w:rsid w:val="005B0A83"/>
    <w:rsid w:val="005B0E5E"/>
    <w:rsid w:val="005B0EB9"/>
    <w:rsid w:val="005B35F9"/>
    <w:rsid w:val="005B3940"/>
    <w:rsid w:val="005B3AB9"/>
    <w:rsid w:val="005B3F26"/>
    <w:rsid w:val="005B42F0"/>
    <w:rsid w:val="005B49FF"/>
    <w:rsid w:val="005B4DF5"/>
    <w:rsid w:val="005B4E7C"/>
    <w:rsid w:val="005B51FF"/>
    <w:rsid w:val="005B5C1D"/>
    <w:rsid w:val="005B5E82"/>
    <w:rsid w:val="005B610B"/>
    <w:rsid w:val="005B70EF"/>
    <w:rsid w:val="005B71ED"/>
    <w:rsid w:val="005B7387"/>
    <w:rsid w:val="005B7C21"/>
    <w:rsid w:val="005B7D49"/>
    <w:rsid w:val="005C045A"/>
    <w:rsid w:val="005C08E7"/>
    <w:rsid w:val="005C0A8A"/>
    <w:rsid w:val="005C0E4C"/>
    <w:rsid w:val="005C0F97"/>
    <w:rsid w:val="005C194E"/>
    <w:rsid w:val="005C1979"/>
    <w:rsid w:val="005C22C9"/>
    <w:rsid w:val="005C28E6"/>
    <w:rsid w:val="005C2F2C"/>
    <w:rsid w:val="005C3138"/>
    <w:rsid w:val="005C319B"/>
    <w:rsid w:val="005C31F7"/>
    <w:rsid w:val="005C4078"/>
    <w:rsid w:val="005C46F1"/>
    <w:rsid w:val="005C4CAF"/>
    <w:rsid w:val="005C6321"/>
    <w:rsid w:val="005C6585"/>
    <w:rsid w:val="005C696F"/>
    <w:rsid w:val="005C7DBC"/>
    <w:rsid w:val="005D0062"/>
    <w:rsid w:val="005D00E4"/>
    <w:rsid w:val="005D0A4F"/>
    <w:rsid w:val="005D1091"/>
    <w:rsid w:val="005D11F0"/>
    <w:rsid w:val="005D1891"/>
    <w:rsid w:val="005D3292"/>
    <w:rsid w:val="005D387F"/>
    <w:rsid w:val="005D388A"/>
    <w:rsid w:val="005D3DA6"/>
    <w:rsid w:val="005D400B"/>
    <w:rsid w:val="005D4762"/>
    <w:rsid w:val="005D4A98"/>
    <w:rsid w:val="005D4E84"/>
    <w:rsid w:val="005D53D9"/>
    <w:rsid w:val="005D553D"/>
    <w:rsid w:val="005D6404"/>
    <w:rsid w:val="005D6620"/>
    <w:rsid w:val="005D7B52"/>
    <w:rsid w:val="005E0282"/>
    <w:rsid w:val="005E02B1"/>
    <w:rsid w:val="005E03AA"/>
    <w:rsid w:val="005E03CD"/>
    <w:rsid w:val="005E0751"/>
    <w:rsid w:val="005E0888"/>
    <w:rsid w:val="005E115A"/>
    <w:rsid w:val="005E12B2"/>
    <w:rsid w:val="005E304D"/>
    <w:rsid w:val="005E3555"/>
    <w:rsid w:val="005E38F1"/>
    <w:rsid w:val="005E3A6A"/>
    <w:rsid w:val="005E3DF3"/>
    <w:rsid w:val="005E4209"/>
    <w:rsid w:val="005E45E2"/>
    <w:rsid w:val="005E4CEA"/>
    <w:rsid w:val="005E4F2C"/>
    <w:rsid w:val="005E518D"/>
    <w:rsid w:val="005E574D"/>
    <w:rsid w:val="005E5A28"/>
    <w:rsid w:val="005E5BC9"/>
    <w:rsid w:val="005E6810"/>
    <w:rsid w:val="005E71FD"/>
    <w:rsid w:val="005E7296"/>
    <w:rsid w:val="005E75DA"/>
    <w:rsid w:val="005F000F"/>
    <w:rsid w:val="005F0B01"/>
    <w:rsid w:val="005F105C"/>
    <w:rsid w:val="005F1852"/>
    <w:rsid w:val="005F1B69"/>
    <w:rsid w:val="005F1E81"/>
    <w:rsid w:val="005F2062"/>
    <w:rsid w:val="005F2763"/>
    <w:rsid w:val="005F2B77"/>
    <w:rsid w:val="005F2F7B"/>
    <w:rsid w:val="005F3D3E"/>
    <w:rsid w:val="005F3DC5"/>
    <w:rsid w:val="005F5088"/>
    <w:rsid w:val="005F5155"/>
    <w:rsid w:val="005F5244"/>
    <w:rsid w:val="005F54CE"/>
    <w:rsid w:val="005F5C27"/>
    <w:rsid w:val="005F5F38"/>
    <w:rsid w:val="005F6BF9"/>
    <w:rsid w:val="005F6CC0"/>
    <w:rsid w:val="005F6CCA"/>
    <w:rsid w:val="005F7662"/>
    <w:rsid w:val="005F7D9D"/>
    <w:rsid w:val="0060056B"/>
    <w:rsid w:val="00600873"/>
    <w:rsid w:val="00600BD3"/>
    <w:rsid w:val="00600E0E"/>
    <w:rsid w:val="0060139A"/>
    <w:rsid w:val="006015A7"/>
    <w:rsid w:val="006018C0"/>
    <w:rsid w:val="00601B7D"/>
    <w:rsid w:val="00601C6F"/>
    <w:rsid w:val="00601EA9"/>
    <w:rsid w:val="00602A29"/>
    <w:rsid w:val="0060309C"/>
    <w:rsid w:val="0060373D"/>
    <w:rsid w:val="00603A3E"/>
    <w:rsid w:val="00603CF6"/>
    <w:rsid w:val="00604365"/>
    <w:rsid w:val="00605577"/>
    <w:rsid w:val="006066D3"/>
    <w:rsid w:val="00606A53"/>
    <w:rsid w:val="00606B88"/>
    <w:rsid w:val="00606C16"/>
    <w:rsid w:val="00606F6E"/>
    <w:rsid w:val="00607803"/>
    <w:rsid w:val="006078E8"/>
    <w:rsid w:val="0060796E"/>
    <w:rsid w:val="00610117"/>
    <w:rsid w:val="006129B9"/>
    <w:rsid w:val="00612ADA"/>
    <w:rsid w:val="00612D51"/>
    <w:rsid w:val="00613806"/>
    <w:rsid w:val="006139A0"/>
    <w:rsid w:val="00613C6E"/>
    <w:rsid w:val="00614A2F"/>
    <w:rsid w:val="00614EDB"/>
    <w:rsid w:val="006159BA"/>
    <w:rsid w:val="00615BF3"/>
    <w:rsid w:val="00616169"/>
    <w:rsid w:val="00616661"/>
    <w:rsid w:val="006169BF"/>
    <w:rsid w:val="006169F3"/>
    <w:rsid w:val="006174F5"/>
    <w:rsid w:val="0062037C"/>
    <w:rsid w:val="00620745"/>
    <w:rsid w:val="006211F4"/>
    <w:rsid w:val="00621879"/>
    <w:rsid w:val="0062267F"/>
    <w:rsid w:val="006227FE"/>
    <w:rsid w:val="00622A76"/>
    <w:rsid w:val="006232BF"/>
    <w:rsid w:val="0062369F"/>
    <w:rsid w:val="00623BD7"/>
    <w:rsid w:val="00623F4E"/>
    <w:rsid w:val="00624025"/>
    <w:rsid w:val="006240A2"/>
    <w:rsid w:val="00624226"/>
    <w:rsid w:val="00624383"/>
    <w:rsid w:val="006245BA"/>
    <w:rsid w:val="00624624"/>
    <w:rsid w:val="006248B6"/>
    <w:rsid w:val="00624D88"/>
    <w:rsid w:val="0062502C"/>
    <w:rsid w:val="006253BE"/>
    <w:rsid w:val="00625A65"/>
    <w:rsid w:val="0062625C"/>
    <w:rsid w:val="0062644C"/>
    <w:rsid w:val="00626C6D"/>
    <w:rsid w:val="0062771E"/>
    <w:rsid w:val="00627CCF"/>
    <w:rsid w:val="00627F73"/>
    <w:rsid w:val="00630408"/>
    <w:rsid w:val="00630634"/>
    <w:rsid w:val="00631685"/>
    <w:rsid w:val="00631807"/>
    <w:rsid w:val="0063180F"/>
    <w:rsid w:val="00632BA4"/>
    <w:rsid w:val="00632D85"/>
    <w:rsid w:val="006337D6"/>
    <w:rsid w:val="00633FC0"/>
    <w:rsid w:val="0063406F"/>
    <w:rsid w:val="00635791"/>
    <w:rsid w:val="006357BE"/>
    <w:rsid w:val="00635FDD"/>
    <w:rsid w:val="00636054"/>
    <w:rsid w:val="006364E2"/>
    <w:rsid w:val="0063719A"/>
    <w:rsid w:val="006379E1"/>
    <w:rsid w:val="00637BC9"/>
    <w:rsid w:val="0064012C"/>
    <w:rsid w:val="0064094E"/>
    <w:rsid w:val="0064112E"/>
    <w:rsid w:val="00641143"/>
    <w:rsid w:val="00641F7E"/>
    <w:rsid w:val="0064289B"/>
    <w:rsid w:val="00643815"/>
    <w:rsid w:val="00644768"/>
    <w:rsid w:val="0064476A"/>
    <w:rsid w:val="00644A51"/>
    <w:rsid w:val="00644C12"/>
    <w:rsid w:val="00644D54"/>
    <w:rsid w:val="00644E74"/>
    <w:rsid w:val="00644F44"/>
    <w:rsid w:val="006450E9"/>
    <w:rsid w:val="00645387"/>
    <w:rsid w:val="00645421"/>
    <w:rsid w:val="00645B82"/>
    <w:rsid w:val="00645BA7"/>
    <w:rsid w:val="0064630C"/>
    <w:rsid w:val="00646569"/>
    <w:rsid w:val="00650626"/>
    <w:rsid w:val="006507B2"/>
    <w:rsid w:val="00650EFA"/>
    <w:rsid w:val="006515F8"/>
    <w:rsid w:val="00653622"/>
    <w:rsid w:val="00653A9B"/>
    <w:rsid w:val="00653B71"/>
    <w:rsid w:val="00654666"/>
    <w:rsid w:val="006549B6"/>
    <w:rsid w:val="00654F2F"/>
    <w:rsid w:val="00654F4B"/>
    <w:rsid w:val="00655032"/>
    <w:rsid w:val="006554A6"/>
    <w:rsid w:val="00655E8B"/>
    <w:rsid w:val="006560A8"/>
    <w:rsid w:val="00656216"/>
    <w:rsid w:val="00656352"/>
    <w:rsid w:val="00656865"/>
    <w:rsid w:val="006570A9"/>
    <w:rsid w:val="0065744C"/>
    <w:rsid w:val="00657C16"/>
    <w:rsid w:val="00657CDB"/>
    <w:rsid w:val="006601AF"/>
    <w:rsid w:val="00661194"/>
    <w:rsid w:val="00662066"/>
    <w:rsid w:val="006621A2"/>
    <w:rsid w:val="006628FB"/>
    <w:rsid w:val="00662A71"/>
    <w:rsid w:val="00663136"/>
    <w:rsid w:val="00663901"/>
    <w:rsid w:val="00664307"/>
    <w:rsid w:val="0066463C"/>
    <w:rsid w:val="006647DF"/>
    <w:rsid w:val="006648DA"/>
    <w:rsid w:val="006648F2"/>
    <w:rsid w:val="006650A2"/>
    <w:rsid w:val="006651BB"/>
    <w:rsid w:val="006654E3"/>
    <w:rsid w:val="0066583A"/>
    <w:rsid w:val="00665B31"/>
    <w:rsid w:val="00666138"/>
    <w:rsid w:val="006663C2"/>
    <w:rsid w:val="00666727"/>
    <w:rsid w:val="0066677C"/>
    <w:rsid w:val="006668F2"/>
    <w:rsid w:val="0066723B"/>
    <w:rsid w:val="00667300"/>
    <w:rsid w:val="006675E2"/>
    <w:rsid w:val="00667696"/>
    <w:rsid w:val="00667F54"/>
    <w:rsid w:val="006701B1"/>
    <w:rsid w:val="0067097E"/>
    <w:rsid w:val="00670BDF"/>
    <w:rsid w:val="00670DEE"/>
    <w:rsid w:val="0067128A"/>
    <w:rsid w:val="00671934"/>
    <w:rsid w:val="00671CA1"/>
    <w:rsid w:val="00671DC5"/>
    <w:rsid w:val="00671F26"/>
    <w:rsid w:val="00672BA3"/>
    <w:rsid w:val="00672DD3"/>
    <w:rsid w:val="00673033"/>
    <w:rsid w:val="00673724"/>
    <w:rsid w:val="006737E3"/>
    <w:rsid w:val="00673AB1"/>
    <w:rsid w:val="006740A0"/>
    <w:rsid w:val="0067446F"/>
    <w:rsid w:val="00674908"/>
    <w:rsid w:val="00674A17"/>
    <w:rsid w:val="00674B3C"/>
    <w:rsid w:val="00677D20"/>
    <w:rsid w:val="00677F73"/>
    <w:rsid w:val="006800F9"/>
    <w:rsid w:val="006801D5"/>
    <w:rsid w:val="006808DB"/>
    <w:rsid w:val="00681507"/>
    <w:rsid w:val="00681CC5"/>
    <w:rsid w:val="006826C8"/>
    <w:rsid w:val="00683158"/>
    <w:rsid w:val="0068398B"/>
    <w:rsid w:val="00683AAD"/>
    <w:rsid w:val="00684079"/>
    <w:rsid w:val="00685B41"/>
    <w:rsid w:val="00686518"/>
    <w:rsid w:val="006866DA"/>
    <w:rsid w:val="00686F2B"/>
    <w:rsid w:val="0068767F"/>
    <w:rsid w:val="00687804"/>
    <w:rsid w:val="006878E1"/>
    <w:rsid w:val="00690087"/>
    <w:rsid w:val="00690426"/>
    <w:rsid w:val="006904A0"/>
    <w:rsid w:val="00690CD3"/>
    <w:rsid w:val="00690D30"/>
    <w:rsid w:val="00691B67"/>
    <w:rsid w:val="006922CD"/>
    <w:rsid w:val="00692409"/>
    <w:rsid w:val="00692591"/>
    <w:rsid w:val="0069288A"/>
    <w:rsid w:val="006929C0"/>
    <w:rsid w:val="006936E1"/>
    <w:rsid w:val="00693B33"/>
    <w:rsid w:val="00693E24"/>
    <w:rsid w:val="00694115"/>
    <w:rsid w:val="006942BB"/>
    <w:rsid w:val="00694C14"/>
    <w:rsid w:val="00695063"/>
    <w:rsid w:val="00695601"/>
    <w:rsid w:val="00695725"/>
    <w:rsid w:val="0069579E"/>
    <w:rsid w:val="00695AEE"/>
    <w:rsid w:val="00696078"/>
    <w:rsid w:val="006960FE"/>
    <w:rsid w:val="00696147"/>
    <w:rsid w:val="00696936"/>
    <w:rsid w:val="00697595"/>
    <w:rsid w:val="006977EF"/>
    <w:rsid w:val="00697800"/>
    <w:rsid w:val="006A0334"/>
    <w:rsid w:val="006A042A"/>
    <w:rsid w:val="006A05A0"/>
    <w:rsid w:val="006A072E"/>
    <w:rsid w:val="006A0750"/>
    <w:rsid w:val="006A097D"/>
    <w:rsid w:val="006A1AD4"/>
    <w:rsid w:val="006A2811"/>
    <w:rsid w:val="006A33D2"/>
    <w:rsid w:val="006A3837"/>
    <w:rsid w:val="006A3C24"/>
    <w:rsid w:val="006A4387"/>
    <w:rsid w:val="006A52C6"/>
    <w:rsid w:val="006A5326"/>
    <w:rsid w:val="006A5D35"/>
    <w:rsid w:val="006A5FCA"/>
    <w:rsid w:val="006A67C7"/>
    <w:rsid w:val="006A693B"/>
    <w:rsid w:val="006A713F"/>
    <w:rsid w:val="006A7A27"/>
    <w:rsid w:val="006A7B35"/>
    <w:rsid w:val="006B0205"/>
    <w:rsid w:val="006B043F"/>
    <w:rsid w:val="006B045D"/>
    <w:rsid w:val="006B05E1"/>
    <w:rsid w:val="006B0683"/>
    <w:rsid w:val="006B0738"/>
    <w:rsid w:val="006B101C"/>
    <w:rsid w:val="006B1344"/>
    <w:rsid w:val="006B1743"/>
    <w:rsid w:val="006B1BAD"/>
    <w:rsid w:val="006B1C99"/>
    <w:rsid w:val="006B1D1C"/>
    <w:rsid w:val="006B1F99"/>
    <w:rsid w:val="006B284B"/>
    <w:rsid w:val="006B3356"/>
    <w:rsid w:val="006B370E"/>
    <w:rsid w:val="006B3821"/>
    <w:rsid w:val="006B3951"/>
    <w:rsid w:val="006B39B4"/>
    <w:rsid w:val="006B3F81"/>
    <w:rsid w:val="006B4137"/>
    <w:rsid w:val="006B4589"/>
    <w:rsid w:val="006B48A2"/>
    <w:rsid w:val="006B4CB1"/>
    <w:rsid w:val="006B519A"/>
    <w:rsid w:val="006B5A33"/>
    <w:rsid w:val="006B5E0E"/>
    <w:rsid w:val="006B6469"/>
    <w:rsid w:val="006B7036"/>
    <w:rsid w:val="006B706C"/>
    <w:rsid w:val="006B72C3"/>
    <w:rsid w:val="006B7421"/>
    <w:rsid w:val="006B7A7A"/>
    <w:rsid w:val="006B7DCC"/>
    <w:rsid w:val="006B7E81"/>
    <w:rsid w:val="006C04E7"/>
    <w:rsid w:val="006C09AE"/>
    <w:rsid w:val="006C0CDA"/>
    <w:rsid w:val="006C1BF4"/>
    <w:rsid w:val="006C1C2F"/>
    <w:rsid w:val="006C1F98"/>
    <w:rsid w:val="006C2447"/>
    <w:rsid w:val="006C2579"/>
    <w:rsid w:val="006C2D54"/>
    <w:rsid w:val="006C2FC1"/>
    <w:rsid w:val="006C3867"/>
    <w:rsid w:val="006C4D42"/>
    <w:rsid w:val="006C4E21"/>
    <w:rsid w:val="006C5B76"/>
    <w:rsid w:val="006C5B81"/>
    <w:rsid w:val="006C652E"/>
    <w:rsid w:val="006C6871"/>
    <w:rsid w:val="006C6F63"/>
    <w:rsid w:val="006C70B0"/>
    <w:rsid w:val="006C7BA2"/>
    <w:rsid w:val="006C7C92"/>
    <w:rsid w:val="006C7D99"/>
    <w:rsid w:val="006C7F77"/>
    <w:rsid w:val="006C7F96"/>
    <w:rsid w:val="006C7FEF"/>
    <w:rsid w:val="006D0C64"/>
    <w:rsid w:val="006D0F1C"/>
    <w:rsid w:val="006D17EE"/>
    <w:rsid w:val="006D1AD1"/>
    <w:rsid w:val="006D1DA6"/>
    <w:rsid w:val="006D1DD7"/>
    <w:rsid w:val="006D2867"/>
    <w:rsid w:val="006D28D3"/>
    <w:rsid w:val="006D31D0"/>
    <w:rsid w:val="006D3351"/>
    <w:rsid w:val="006D34E3"/>
    <w:rsid w:val="006D37BA"/>
    <w:rsid w:val="006D39F7"/>
    <w:rsid w:val="006D3A71"/>
    <w:rsid w:val="006D490B"/>
    <w:rsid w:val="006D4A7E"/>
    <w:rsid w:val="006D4F0C"/>
    <w:rsid w:val="006D53F1"/>
    <w:rsid w:val="006D5BD9"/>
    <w:rsid w:val="006D5C05"/>
    <w:rsid w:val="006D5F06"/>
    <w:rsid w:val="006D6645"/>
    <w:rsid w:val="006D6A0E"/>
    <w:rsid w:val="006D6FB8"/>
    <w:rsid w:val="006D74F2"/>
    <w:rsid w:val="006D75CD"/>
    <w:rsid w:val="006D7993"/>
    <w:rsid w:val="006D7FAC"/>
    <w:rsid w:val="006E155C"/>
    <w:rsid w:val="006E1A56"/>
    <w:rsid w:val="006E23CB"/>
    <w:rsid w:val="006E33A7"/>
    <w:rsid w:val="006E3646"/>
    <w:rsid w:val="006E388A"/>
    <w:rsid w:val="006E3AD5"/>
    <w:rsid w:val="006E478E"/>
    <w:rsid w:val="006E4CF0"/>
    <w:rsid w:val="006E568B"/>
    <w:rsid w:val="006E5B15"/>
    <w:rsid w:val="006E5EBC"/>
    <w:rsid w:val="006E5F28"/>
    <w:rsid w:val="006E641D"/>
    <w:rsid w:val="006E6931"/>
    <w:rsid w:val="006E751D"/>
    <w:rsid w:val="006F1015"/>
    <w:rsid w:val="006F137F"/>
    <w:rsid w:val="006F1F19"/>
    <w:rsid w:val="006F22C5"/>
    <w:rsid w:val="006F2820"/>
    <w:rsid w:val="006F2C86"/>
    <w:rsid w:val="006F38D4"/>
    <w:rsid w:val="006F4043"/>
    <w:rsid w:val="006F4286"/>
    <w:rsid w:val="006F42EE"/>
    <w:rsid w:val="006F52E8"/>
    <w:rsid w:val="006F5723"/>
    <w:rsid w:val="006F5A6A"/>
    <w:rsid w:val="006F5D20"/>
    <w:rsid w:val="006F5F3D"/>
    <w:rsid w:val="006F675F"/>
    <w:rsid w:val="006F6812"/>
    <w:rsid w:val="006F6C76"/>
    <w:rsid w:val="006F6DE6"/>
    <w:rsid w:val="006F6F2D"/>
    <w:rsid w:val="006F74BD"/>
    <w:rsid w:val="006F783C"/>
    <w:rsid w:val="006F7E11"/>
    <w:rsid w:val="006F7EBD"/>
    <w:rsid w:val="00700804"/>
    <w:rsid w:val="007009E9"/>
    <w:rsid w:val="007010B1"/>
    <w:rsid w:val="007015FA"/>
    <w:rsid w:val="007022B3"/>
    <w:rsid w:val="00702513"/>
    <w:rsid w:val="00702B89"/>
    <w:rsid w:val="00702E62"/>
    <w:rsid w:val="0070337C"/>
    <w:rsid w:val="00704126"/>
    <w:rsid w:val="00704622"/>
    <w:rsid w:val="00704B35"/>
    <w:rsid w:val="007056B4"/>
    <w:rsid w:val="00705732"/>
    <w:rsid w:val="007057A4"/>
    <w:rsid w:val="00705E98"/>
    <w:rsid w:val="00706088"/>
    <w:rsid w:val="00706472"/>
    <w:rsid w:val="007066EF"/>
    <w:rsid w:val="0070773A"/>
    <w:rsid w:val="0070787D"/>
    <w:rsid w:val="00707A62"/>
    <w:rsid w:val="00707C62"/>
    <w:rsid w:val="00707CED"/>
    <w:rsid w:val="00707E76"/>
    <w:rsid w:val="0071020A"/>
    <w:rsid w:val="00710C34"/>
    <w:rsid w:val="007115ED"/>
    <w:rsid w:val="007122B4"/>
    <w:rsid w:val="00712509"/>
    <w:rsid w:val="00713A6D"/>
    <w:rsid w:val="00713C7F"/>
    <w:rsid w:val="00714338"/>
    <w:rsid w:val="007147F1"/>
    <w:rsid w:val="00714FC3"/>
    <w:rsid w:val="007151BD"/>
    <w:rsid w:val="007156CD"/>
    <w:rsid w:val="00715BFA"/>
    <w:rsid w:val="00715E4B"/>
    <w:rsid w:val="00715EAC"/>
    <w:rsid w:val="007164DC"/>
    <w:rsid w:val="007168ED"/>
    <w:rsid w:val="00717292"/>
    <w:rsid w:val="00717630"/>
    <w:rsid w:val="00717737"/>
    <w:rsid w:val="007179F6"/>
    <w:rsid w:val="00720800"/>
    <w:rsid w:val="007213DF"/>
    <w:rsid w:val="00721D3F"/>
    <w:rsid w:val="0072216F"/>
    <w:rsid w:val="00722357"/>
    <w:rsid w:val="00722770"/>
    <w:rsid w:val="007230B7"/>
    <w:rsid w:val="00723C36"/>
    <w:rsid w:val="00724796"/>
    <w:rsid w:val="00724EF3"/>
    <w:rsid w:val="00724F0E"/>
    <w:rsid w:val="007255E3"/>
    <w:rsid w:val="00725795"/>
    <w:rsid w:val="007258DE"/>
    <w:rsid w:val="00725C68"/>
    <w:rsid w:val="0072670D"/>
    <w:rsid w:val="007269D6"/>
    <w:rsid w:val="00726AD2"/>
    <w:rsid w:val="0072706A"/>
    <w:rsid w:val="007270ED"/>
    <w:rsid w:val="007271B0"/>
    <w:rsid w:val="0072776A"/>
    <w:rsid w:val="00727916"/>
    <w:rsid w:val="00727AE9"/>
    <w:rsid w:val="00730EFA"/>
    <w:rsid w:val="007312F5"/>
    <w:rsid w:val="007328F3"/>
    <w:rsid w:val="00732CB1"/>
    <w:rsid w:val="00732FDD"/>
    <w:rsid w:val="007333DD"/>
    <w:rsid w:val="007335B5"/>
    <w:rsid w:val="007340D7"/>
    <w:rsid w:val="00734391"/>
    <w:rsid w:val="00735D38"/>
    <w:rsid w:val="00735EA4"/>
    <w:rsid w:val="00736A9E"/>
    <w:rsid w:val="007373C8"/>
    <w:rsid w:val="007376E4"/>
    <w:rsid w:val="00737C79"/>
    <w:rsid w:val="00737DC2"/>
    <w:rsid w:val="007404CE"/>
    <w:rsid w:val="00740B02"/>
    <w:rsid w:val="007411D9"/>
    <w:rsid w:val="007416A7"/>
    <w:rsid w:val="00741D6B"/>
    <w:rsid w:val="00741FA1"/>
    <w:rsid w:val="007424D3"/>
    <w:rsid w:val="00742F9C"/>
    <w:rsid w:val="0074336C"/>
    <w:rsid w:val="00743596"/>
    <w:rsid w:val="00743A4B"/>
    <w:rsid w:val="00743C1A"/>
    <w:rsid w:val="00744AC3"/>
    <w:rsid w:val="00745028"/>
    <w:rsid w:val="0074524D"/>
    <w:rsid w:val="00745311"/>
    <w:rsid w:val="007457E5"/>
    <w:rsid w:val="00745A39"/>
    <w:rsid w:val="00746372"/>
    <w:rsid w:val="00746807"/>
    <w:rsid w:val="00746A37"/>
    <w:rsid w:val="00747497"/>
    <w:rsid w:val="00747875"/>
    <w:rsid w:val="00747BAB"/>
    <w:rsid w:val="00747DFC"/>
    <w:rsid w:val="00750CDC"/>
    <w:rsid w:val="007515AD"/>
    <w:rsid w:val="007521B4"/>
    <w:rsid w:val="00752988"/>
    <w:rsid w:val="007534E7"/>
    <w:rsid w:val="007535DA"/>
    <w:rsid w:val="00753D18"/>
    <w:rsid w:val="007546B5"/>
    <w:rsid w:val="00754901"/>
    <w:rsid w:val="00754E6F"/>
    <w:rsid w:val="00754E74"/>
    <w:rsid w:val="00755321"/>
    <w:rsid w:val="00756305"/>
    <w:rsid w:val="007570B0"/>
    <w:rsid w:val="00757915"/>
    <w:rsid w:val="00757DB3"/>
    <w:rsid w:val="00757E17"/>
    <w:rsid w:val="00757F8F"/>
    <w:rsid w:val="007601A5"/>
    <w:rsid w:val="0076039C"/>
    <w:rsid w:val="0076086E"/>
    <w:rsid w:val="00760894"/>
    <w:rsid w:val="00760D63"/>
    <w:rsid w:val="00761717"/>
    <w:rsid w:val="007621A0"/>
    <w:rsid w:val="007622A1"/>
    <w:rsid w:val="00763125"/>
    <w:rsid w:val="007639F3"/>
    <w:rsid w:val="00763E88"/>
    <w:rsid w:val="0076453E"/>
    <w:rsid w:val="0076484F"/>
    <w:rsid w:val="00764DE1"/>
    <w:rsid w:val="0076519C"/>
    <w:rsid w:val="00765580"/>
    <w:rsid w:val="0076693B"/>
    <w:rsid w:val="00766A2F"/>
    <w:rsid w:val="00766B21"/>
    <w:rsid w:val="00766E43"/>
    <w:rsid w:val="007672B1"/>
    <w:rsid w:val="007700C9"/>
    <w:rsid w:val="00770311"/>
    <w:rsid w:val="007708B4"/>
    <w:rsid w:val="00771006"/>
    <w:rsid w:val="0077116F"/>
    <w:rsid w:val="007711A5"/>
    <w:rsid w:val="007716A4"/>
    <w:rsid w:val="00771D61"/>
    <w:rsid w:val="00771E00"/>
    <w:rsid w:val="00772FCB"/>
    <w:rsid w:val="00773350"/>
    <w:rsid w:val="00773AD3"/>
    <w:rsid w:val="00773DE1"/>
    <w:rsid w:val="00773EC1"/>
    <w:rsid w:val="007746D1"/>
    <w:rsid w:val="007756A1"/>
    <w:rsid w:val="00776296"/>
    <w:rsid w:val="00776563"/>
    <w:rsid w:val="00776970"/>
    <w:rsid w:val="00776B86"/>
    <w:rsid w:val="00776ECB"/>
    <w:rsid w:val="007773E5"/>
    <w:rsid w:val="007777E3"/>
    <w:rsid w:val="00781226"/>
    <w:rsid w:val="00781846"/>
    <w:rsid w:val="00781CDB"/>
    <w:rsid w:val="00781F9E"/>
    <w:rsid w:val="00782751"/>
    <w:rsid w:val="007834FC"/>
    <w:rsid w:val="007838B3"/>
    <w:rsid w:val="0078401D"/>
    <w:rsid w:val="0078418B"/>
    <w:rsid w:val="00784D5E"/>
    <w:rsid w:val="00784E89"/>
    <w:rsid w:val="00785461"/>
    <w:rsid w:val="007857BF"/>
    <w:rsid w:val="00785899"/>
    <w:rsid w:val="00785B31"/>
    <w:rsid w:val="00785B55"/>
    <w:rsid w:val="00786752"/>
    <w:rsid w:val="00786CB7"/>
    <w:rsid w:val="00790701"/>
    <w:rsid w:val="007913EC"/>
    <w:rsid w:val="0079158B"/>
    <w:rsid w:val="00791AB0"/>
    <w:rsid w:val="00792299"/>
    <w:rsid w:val="007927D7"/>
    <w:rsid w:val="00792B1E"/>
    <w:rsid w:val="00792D66"/>
    <w:rsid w:val="007942A5"/>
    <w:rsid w:val="007943CA"/>
    <w:rsid w:val="0079459D"/>
    <w:rsid w:val="007947A5"/>
    <w:rsid w:val="00795DF8"/>
    <w:rsid w:val="00796300"/>
    <w:rsid w:val="00796347"/>
    <w:rsid w:val="0079652A"/>
    <w:rsid w:val="00796650"/>
    <w:rsid w:val="007967B9"/>
    <w:rsid w:val="007967CF"/>
    <w:rsid w:val="00796CF7"/>
    <w:rsid w:val="00797E2C"/>
    <w:rsid w:val="00797F7E"/>
    <w:rsid w:val="007A095B"/>
    <w:rsid w:val="007A1CBD"/>
    <w:rsid w:val="007A230D"/>
    <w:rsid w:val="007A2A69"/>
    <w:rsid w:val="007A2D02"/>
    <w:rsid w:val="007A2D42"/>
    <w:rsid w:val="007A3010"/>
    <w:rsid w:val="007A3066"/>
    <w:rsid w:val="007A35BE"/>
    <w:rsid w:val="007A3FD6"/>
    <w:rsid w:val="007A4484"/>
    <w:rsid w:val="007A45F1"/>
    <w:rsid w:val="007A53AF"/>
    <w:rsid w:val="007A5BC6"/>
    <w:rsid w:val="007A5EA1"/>
    <w:rsid w:val="007A5EEA"/>
    <w:rsid w:val="007A6194"/>
    <w:rsid w:val="007A6561"/>
    <w:rsid w:val="007A6A3B"/>
    <w:rsid w:val="007A75C6"/>
    <w:rsid w:val="007A7F8A"/>
    <w:rsid w:val="007B00B8"/>
    <w:rsid w:val="007B023E"/>
    <w:rsid w:val="007B041D"/>
    <w:rsid w:val="007B0436"/>
    <w:rsid w:val="007B0FCA"/>
    <w:rsid w:val="007B10B5"/>
    <w:rsid w:val="007B1AC1"/>
    <w:rsid w:val="007B1ADA"/>
    <w:rsid w:val="007B2000"/>
    <w:rsid w:val="007B2DCE"/>
    <w:rsid w:val="007B302C"/>
    <w:rsid w:val="007B312E"/>
    <w:rsid w:val="007B4E83"/>
    <w:rsid w:val="007B4EC3"/>
    <w:rsid w:val="007B538A"/>
    <w:rsid w:val="007B5639"/>
    <w:rsid w:val="007B677D"/>
    <w:rsid w:val="007B6F3B"/>
    <w:rsid w:val="007B711C"/>
    <w:rsid w:val="007B7280"/>
    <w:rsid w:val="007B75F6"/>
    <w:rsid w:val="007C0809"/>
    <w:rsid w:val="007C138B"/>
    <w:rsid w:val="007C1921"/>
    <w:rsid w:val="007C1D10"/>
    <w:rsid w:val="007C216C"/>
    <w:rsid w:val="007C254D"/>
    <w:rsid w:val="007C2DC6"/>
    <w:rsid w:val="007C3046"/>
    <w:rsid w:val="007C3253"/>
    <w:rsid w:val="007C3261"/>
    <w:rsid w:val="007C3933"/>
    <w:rsid w:val="007C3D58"/>
    <w:rsid w:val="007C4573"/>
    <w:rsid w:val="007C4D14"/>
    <w:rsid w:val="007C515F"/>
    <w:rsid w:val="007C5DF3"/>
    <w:rsid w:val="007C666B"/>
    <w:rsid w:val="007C69A7"/>
    <w:rsid w:val="007C6ACD"/>
    <w:rsid w:val="007C7252"/>
    <w:rsid w:val="007C74C4"/>
    <w:rsid w:val="007C74E3"/>
    <w:rsid w:val="007D0222"/>
    <w:rsid w:val="007D08AD"/>
    <w:rsid w:val="007D1570"/>
    <w:rsid w:val="007D1875"/>
    <w:rsid w:val="007D1921"/>
    <w:rsid w:val="007D1B30"/>
    <w:rsid w:val="007D35FA"/>
    <w:rsid w:val="007D3D9E"/>
    <w:rsid w:val="007D50E3"/>
    <w:rsid w:val="007D5672"/>
    <w:rsid w:val="007D61D6"/>
    <w:rsid w:val="007D6713"/>
    <w:rsid w:val="007D7055"/>
    <w:rsid w:val="007D734B"/>
    <w:rsid w:val="007D774D"/>
    <w:rsid w:val="007D7865"/>
    <w:rsid w:val="007D7CF3"/>
    <w:rsid w:val="007E0C99"/>
    <w:rsid w:val="007E0D4B"/>
    <w:rsid w:val="007E10FC"/>
    <w:rsid w:val="007E1359"/>
    <w:rsid w:val="007E1EF8"/>
    <w:rsid w:val="007E2400"/>
    <w:rsid w:val="007E3155"/>
    <w:rsid w:val="007E3412"/>
    <w:rsid w:val="007E38EE"/>
    <w:rsid w:val="007E3A8E"/>
    <w:rsid w:val="007E3AAC"/>
    <w:rsid w:val="007E4868"/>
    <w:rsid w:val="007E4E50"/>
    <w:rsid w:val="007E52FF"/>
    <w:rsid w:val="007E56BF"/>
    <w:rsid w:val="007E5C37"/>
    <w:rsid w:val="007E5C91"/>
    <w:rsid w:val="007E5E93"/>
    <w:rsid w:val="007E6192"/>
    <w:rsid w:val="007E6568"/>
    <w:rsid w:val="007E6A09"/>
    <w:rsid w:val="007E783D"/>
    <w:rsid w:val="007F0053"/>
    <w:rsid w:val="007F01B2"/>
    <w:rsid w:val="007F0201"/>
    <w:rsid w:val="007F0CC7"/>
    <w:rsid w:val="007F10A2"/>
    <w:rsid w:val="007F12D5"/>
    <w:rsid w:val="007F16C6"/>
    <w:rsid w:val="007F18B5"/>
    <w:rsid w:val="007F1AD0"/>
    <w:rsid w:val="007F2C38"/>
    <w:rsid w:val="007F380D"/>
    <w:rsid w:val="007F3FCC"/>
    <w:rsid w:val="007F4E47"/>
    <w:rsid w:val="007F5232"/>
    <w:rsid w:val="007F5565"/>
    <w:rsid w:val="007F5953"/>
    <w:rsid w:val="007F5F64"/>
    <w:rsid w:val="007F6535"/>
    <w:rsid w:val="007F6802"/>
    <w:rsid w:val="007F69A8"/>
    <w:rsid w:val="007F6BDA"/>
    <w:rsid w:val="007F7558"/>
    <w:rsid w:val="008000A0"/>
    <w:rsid w:val="00800374"/>
    <w:rsid w:val="008003AE"/>
    <w:rsid w:val="00800532"/>
    <w:rsid w:val="008008CB"/>
    <w:rsid w:val="00801EC8"/>
    <w:rsid w:val="00802651"/>
    <w:rsid w:val="0080269B"/>
    <w:rsid w:val="00803199"/>
    <w:rsid w:val="008037CA"/>
    <w:rsid w:val="00803EAA"/>
    <w:rsid w:val="008040DD"/>
    <w:rsid w:val="00804162"/>
    <w:rsid w:val="00805330"/>
    <w:rsid w:val="00806521"/>
    <w:rsid w:val="0080687F"/>
    <w:rsid w:val="008068F2"/>
    <w:rsid w:val="008069CF"/>
    <w:rsid w:val="0080726D"/>
    <w:rsid w:val="008072AF"/>
    <w:rsid w:val="0080759A"/>
    <w:rsid w:val="008075C8"/>
    <w:rsid w:val="00807C3A"/>
    <w:rsid w:val="00810089"/>
    <w:rsid w:val="0081090D"/>
    <w:rsid w:val="008109F8"/>
    <w:rsid w:val="008111AD"/>
    <w:rsid w:val="00811368"/>
    <w:rsid w:val="008114AC"/>
    <w:rsid w:val="008116C1"/>
    <w:rsid w:val="00811B81"/>
    <w:rsid w:val="00811B9E"/>
    <w:rsid w:val="00811F59"/>
    <w:rsid w:val="008127AA"/>
    <w:rsid w:val="00812C30"/>
    <w:rsid w:val="00812E96"/>
    <w:rsid w:val="00813046"/>
    <w:rsid w:val="00813BBF"/>
    <w:rsid w:val="00813C18"/>
    <w:rsid w:val="00813EBE"/>
    <w:rsid w:val="0081427D"/>
    <w:rsid w:val="00814532"/>
    <w:rsid w:val="00814B21"/>
    <w:rsid w:val="00814DE4"/>
    <w:rsid w:val="00815020"/>
    <w:rsid w:val="00815191"/>
    <w:rsid w:val="00815452"/>
    <w:rsid w:val="008157CC"/>
    <w:rsid w:val="00815B76"/>
    <w:rsid w:val="00815EC4"/>
    <w:rsid w:val="00816600"/>
    <w:rsid w:val="00817561"/>
    <w:rsid w:val="00817A23"/>
    <w:rsid w:val="008213EA"/>
    <w:rsid w:val="008218CE"/>
    <w:rsid w:val="00821F08"/>
    <w:rsid w:val="008223CC"/>
    <w:rsid w:val="008225B4"/>
    <w:rsid w:val="00822658"/>
    <w:rsid w:val="00822FD6"/>
    <w:rsid w:val="00823226"/>
    <w:rsid w:val="0082335D"/>
    <w:rsid w:val="008235E2"/>
    <w:rsid w:val="00823B86"/>
    <w:rsid w:val="00823D6E"/>
    <w:rsid w:val="008240FA"/>
    <w:rsid w:val="00824B5A"/>
    <w:rsid w:val="008250F2"/>
    <w:rsid w:val="0082513F"/>
    <w:rsid w:val="00825C0D"/>
    <w:rsid w:val="00826195"/>
    <w:rsid w:val="008269CD"/>
    <w:rsid w:val="00826DA0"/>
    <w:rsid w:val="00826F99"/>
    <w:rsid w:val="008272A0"/>
    <w:rsid w:val="008275D7"/>
    <w:rsid w:val="00827DD0"/>
    <w:rsid w:val="00827E38"/>
    <w:rsid w:val="008301CE"/>
    <w:rsid w:val="008302AA"/>
    <w:rsid w:val="008304B3"/>
    <w:rsid w:val="00830513"/>
    <w:rsid w:val="0083063A"/>
    <w:rsid w:val="00830A9C"/>
    <w:rsid w:val="00831955"/>
    <w:rsid w:val="00832D6F"/>
    <w:rsid w:val="00832DEE"/>
    <w:rsid w:val="00833096"/>
    <w:rsid w:val="008330DC"/>
    <w:rsid w:val="00833572"/>
    <w:rsid w:val="008347EA"/>
    <w:rsid w:val="00835193"/>
    <w:rsid w:val="00835515"/>
    <w:rsid w:val="0083585D"/>
    <w:rsid w:val="00835CED"/>
    <w:rsid w:val="00835DAE"/>
    <w:rsid w:val="00836157"/>
    <w:rsid w:val="00836558"/>
    <w:rsid w:val="00836984"/>
    <w:rsid w:val="00837063"/>
    <w:rsid w:val="0084042F"/>
    <w:rsid w:val="0084078E"/>
    <w:rsid w:val="00841188"/>
    <w:rsid w:val="00841800"/>
    <w:rsid w:val="00841BCA"/>
    <w:rsid w:val="00841C96"/>
    <w:rsid w:val="00842256"/>
    <w:rsid w:val="0084289F"/>
    <w:rsid w:val="00842E70"/>
    <w:rsid w:val="00842E7C"/>
    <w:rsid w:val="00843687"/>
    <w:rsid w:val="00843859"/>
    <w:rsid w:val="00843A75"/>
    <w:rsid w:val="008445E1"/>
    <w:rsid w:val="00844EA2"/>
    <w:rsid w:val="00844FFF"/>
    <w:rsid w:val="008450B7"/>
    <w:rsid w:val="008454E5"/>
    <w:rsid w:val="00846029"/>
    <w:rsid w:val="00846600"/>
    <w:rsid w:val="0084723C"/>
    <w:rsid w:val="00847311"/>
    <w:rsid w:val="00850C20"/>
    <w:rsid w:val="00850DF1"/>
    <w:rsid w:val="00851866"/>
    <w:rsid w:val="00851BFA"/>
    <w:rsid w:val="00852047"/>
    <w:rsid w:val="00852125"/>
    <w:rsid w:val="00852EF6"/>
    <w:rsid w:val="0085450D"/>
    <w:rsid w:val="00854602"/>
    <w:rsid w:val="008553A8"/>
    <w:rsid w:val="00855A49"/>
    <w:rsid w:val="00856575"/>
    <w:rsid w:val="0085718A"/>
    <w:rsid w:val="00857473"/>
    <w:rsid w:val="0085762A"/>
    <w:rsid w:val="00857958"/>
    <w:rsid w:val="00857A15"/>
    <w:rsid w:val="00857ED7"/>
    <w:rsid w:val="00860394"/>
    <w:rsid w:val="008605EC"/>
    <w:rsid w:val="00860F4B"/>
    <w:rsid w:val="00861B1F"/>
    <w:rsid w:val="00861D53"/>
    <w:rsid w:val="0086210A"/>
    <w:rsid w:val="00862C4E"/>
    <w:rsid w:val="00863167"/>
    <w:rsid w:val="008632CF"/>
    <w:rsid w:val="00863799"/>
    <w:rsid w:val="008644EE"/>
    <w:rsid w:val="00864699"/>
    <w:rsid w:val="008653E2"/>
    <w:rsid w:val="0086581F"/>
    <w:rsid w:val="00865898"/>
    <w:rsid w:val="00865D87"/>
    <w:rsid w:val="008670CA"/>
    <w:rsid w:val="00867BB1"/>
    <w:rsid w:val="00867BE7"/>
    <w:rsid w:val="00867C05"/>
    <w:rsid w:val="00867CA1"/>
    <w:rsid w:val="00870374"/>
    <w:rsid w:val="008705EB"/>
    <w:rsid w:val="008710C9"/>
    <w:rsid w:val="008711A2"/>
    <w:rsid w:val="0087122F"/>
    <w:rsid w:val="0087136D"/>
    <w:rsid w:val="00871BBA"/>
    <w:rsid w:val="008721D9"/>
    <w:rsid w:val="0087259A"/>
    <w:rsid w:val="00873130"/>
    <w:rsid w:val="0087413C"/>
    <w:rsid w:val="008747BD"/>
    <w:rsid w:val="00874D78"/>
    <w:rsid w:val="008751C9"/>
    <w:rsid w:val="00875543"/>
    <w:rsid w:val="008764EE"/>
    <w:rsid w:val="0087692C"/>
    <w:rsid w:val="00876DF6"/>
    <w:rsid w:val="008772A4"/>
    <w:rsid w:val="00877662"/>
    <w:rsid w:val="00877931"/>
    <w:rsid w:val="00880266"/>
    <w:rsid w:val="008803A7"/>
    <w:rsid w:val="008808DF"/>
    <w:rsid w:val="00880D73"/>
    <w:rsid w:val="00880F55"/>
    <w:rsid w:val="008811F6"/>
    <w:rsid w:val="00881247"/>
    <w:rsid w:val="00881C3C"/>
    <w:rsid w:val="0088201E"/>
    <w:rsid w:val="008821EA"/>
    <w:rsid w:val="008823EC"/>
    <w:rsid w:val="00883603"/>
    <w:rsid w:val="00883B22"/>
    <w:rsid w:val="00883B9C"/>
    <w:rsid w:val="00883CE7"/>
    <w:rsid w:val="00884480"/>
    <w:rsid w:val="008847E5"/>
    <w:rsid w:val="00884915"/>
    <w:rsid w:val="00884B69"/>
    <w:rsid w:val="00884CEA"/>
    <w:rsid w:val="008850A1"/>
    <w:rsid w:val="008851D5"/>
    <w:rsid w:val="008859A5"/>
    <w:rsid w:val="008860BC"/>
    <w:rsid w:val="008860DF"/>
    <w:rsid w:val="00886E72"/>
    <w:rsid w:val="008874C5"/>
    <w:rsid w:val="0088778B"/>
    <w:rsid w:val="008901D8"/>
    <w:rsid w:val="00890211"/>
    <w:rsid w:val="00890A61"/>
    <w:rsid w:val="00890A99"/>
    <w:rsid w:val="00890E95"/>
    <w:rsid w:val="00890EAE"/>
    <w:rsid w:val="008911F3"/>
    <w:rsid w:val="008918DE"/>
    <w:rsid w:val="00891F2C"/>
    <w:rsid w:val="008922A7"/>
    <w:rsid w:val="00892505"/>
    <w:rsid w:val="00892678"/>
    <w:rsid w:val="008926B6"/>
    <w:rsid w:val="00892B3B"/>
    <w:rsid w:val="00892D75"/>
    <w:rsid w:val="00892EBC"/>
    <w:rsid w:val="00892F90"/>
    <w:rsid w:val="008932F2"/>
    <w:rsid w:val="00893403"/>
    <w:rsid w:val="00893437"/>
    <w:rsid w:val="00894533"/>
    <w:rsid w:val="008945BB"/>
    <w:rsid w:val="00894660"/>
    <w:rsid w:val="00894772"/>
    <w:rsid w:val="00895135"/>
    <w:rsid w:val="00895BC2"/>
    <w:rsid w:val="00895F18"/>
    <w:rsid w:val="00897A04"/>
    <w:rsid w:val="00897BC9"/>
    <w:rsid w:val="00897E34"/>
    <w:rsid w:val="008A0458"/>
    <w:rsid w:val="008A0F63"/>
    <w:rsid w:val="008A1987"/>
    <w:rsid w:val="008A19AE"/>
    <w:rsid w:val="008A2372"/>
    <w:rsid w:val="008A323E"/>
    <w:rsid w:val="008A34AF"/>
    <w:rsid w:val="008A4204"/>
    <w:rsid w:val="008A4B14"/>
    <w:rsid w:val="008A4B46"/>
    <w:rsid w:val="008A5B2B"/>
    <w:rsid w:val="008A5E01"/>
    <w:rsid w:val="008A5FBC"/>
    <w:rsid w:val="008A643A"/>
    <w:rsid w:val="008A6E92"/>
    <w:rsid w:val="008A7007"/>
    <w:rsid w:val="008A744E"/>
    <w:rsid w:val="008B007B"/>
    <w:rsid w:val="008B0361"/>
    <w:rsid w:val="008B057A"/>
    <w:rsid w:val="008B0E83"/>
    <w:rsid w:val="008B0F43"/>
    <w:rsid w:val="008B1825"/>
    <w:rsid w:val="008B2009"/>
    <w:rsid w:val="008B2F54"/>
    <w:rsid w:val="008B34E8"/>
    <w:rsid w:val="008B3500"/>
    <w:rsid w:val="008B3B1B"/>
    <w:rsid w:val="008B3C5B"/>
    <w:rsid w:val="008B43DB"/>
    <w:rsid w:val="008B467B"/>
    <w:rsid w:val="008B4BDD"/>
    <w:rsid w:val="008B51AF"/>
    <w:rsid w:val="008B559F"/>
    <w:rsid w:val="008B61E7"/>
    <w:rsid w:val="008B63BC"/>
    <w:rsid w:val="008B6629"/>
    <w:rsid w:val="008B68DE"/>
    <w:rsid w:val="008B6A30"/>
    <w:rsid w:val="008B71C3"/>
    <w:rsid w:val="008B74A4"/>
    <w:rsid w:val="008B74DC"/>
    <w:rsid w:val="008B78DF"/>
    <w:rsid w:val="008C00E1"/>
    <w:rsid w:val="008C074B"/>
    <w:rsid w:val="008C1309"/>
    <w:rsid w:val="008C1D9A"/>
    <w:rsid w:val="008C2331"/>
    <w:rsid w:val="008C247D"/>
    <w:rsid w:val="008C25CE"/>
    <w:rsid w:val="008C2E48"/>
    <w:rsid w:val="008C3687"/>
    <w:rsid w:val="008C37AB"/>
    <w:rsid w:val="008C3DF2"/>
    <w:rsid w:val="008C42BC"/>
    <w:rsid w:val="008C4691"/>
    <w:rsid w:val="008C4A5D"/>
    <w:rsid w:val="008C4DD4"/>
    <w:rsid w:val="008C5526"/>
    <w:rsid w:val="008C5547"/>
    <w:rsid w:val="008C562D"/>
    <w:rsid w:val="008C5AA8"/>
    <w:rsid w:val="008C60D9"/>
    <w:rsid w:val="008C621C"/>
    <w:rsid w:val="008C64AD"/>
    <w:rsid w:val="008C6524"/>
    <w:rsid w:val="008C69B6"/>
    <w:rsid w:val="008C7179"/>
    <w:rsid w:val="008C73E9"/>
    <w:rsid w:val="008C754F"/>
    <w:rsid w:val="008C7D5C"/>
    <w:rsid w:val="008D0997"/>
    <w:rsid w:val="008D0B98"/>
    <w:rsid w:val="008D1074"/>
    <w:rsid w:val="008D19D7"/>
    <w:rsid w:val="008D1A01"/>
    <w:rsid w:val="008D2AB9"/>
    <w:rsid w:val="008D31AB"/>
    <w:rsid w:val="008D32D4"/>
    <w:rsid w:val="008D3414"/>
    <w:rsid w:val="008D3DC3"/>
    <w:rsid w:val="008D438B"/>
    <w:rsid w:val="008D4423"/>
    <w:rsid w:val="008D4971"/>
    <w:rsid w:val="008D4B25"/>
    <w:rsid w:val="008D4F73"/>
    <w:rsid w:val="008D523C"/>
    <w:rsid w:val="008D5C94"/>
    <w:rsid w:val="008D63E6"/>
    <w:rsid w:val="008D698D"/>
    <w:rsid w:val="008D6B62"/>
    <w:rsid w:val="008D6B67"/>
    <w:rsid w:val="008D6E1B"/>
    <w:rsid w:val="008D6F52"/>
    <w:rsid w:val="008D6FBE"/>
    <w:rsid w:val="008D74C4"/>
    <w:rsid w:val="008D7A20"/>
    <w:rsid w:val="008D7AC4"/>
    <w:rsid w:val="008D7AFF"/>
    <w:rsid w:val="008D7E95"/>
    <w:rsid w:val="008E03E8"/>
    <w:rsid w:val="008E0449"/>
    <w:rsid w:val="008E1A1A"/>
    <w:rsid w:val="008E1DA8"/>
    <w:rsid w:val="008E1DB3"/>
    <w:rsid w:val="008E2B8B"/>
    <w:rsid w:val="008E2FB3"/>
    <w:rsid w:val="008E3226"/>
    <w:rsid w:val="008E3969"/>
    <w:rsid w:val="008E3D3E"/>
    <w:rsid w:val="008E48B1"/>
    <w:rsid w:val="008E4CE9"/>
    <w:rsid w:val="008E4E92"/>
    <w:rsid w:val="008E505C"/>
    <w:rsid w:val="008E50B8"/>
    <w:rsid w:val="008E5823"/>
    <w:rsid w:val="008E59E9"/>
    <w:rsid w:val="008E6042"/>
    <w:rsid w:val="008E6095"/>
    <w:rsid w:val="008E6474"/>
    <w:rsid w:val="008E7016"/>
    <w:rsid w:val="008E72D2"/>
    <w:rsid w:val="008E7909"/>
    <w:rsid w:val="008F0BE7"/>
    <w:rsid w:val="008F1648"/>
    <w:rsid w:val="008F1677"/>
    <w:rsid w:val="008F20EA"/>
    <w:rsid w:val="008F2369"/>
    <w:rsid w:val="008F253C"/>
    <w:rsid w:val="008F2C76"/>
    <w:rsid w:val="008F2DE7"/>
    <w:rsid w:val="008F320C"/>
    <w:rsid w:val="008F3787"/>
    <w:rsid w:val="008F388A"/>
    <w:rsid w:val="008F419E"/>
    <w:rsid w:val="008F4836"/>
    <w:rsid w:val="008F5A28"/>
    <w:rsid w:val="008F5BC0"/>
    <w:rsid w:val="008F5BE6"/>
    <w:rsid w:val="008F60AE"/>
    <w:rsid w:val="008F610D"/>
    <w:rsid w:val="008F6C93"/>
    <w:rsid w:val="008F6E86"/>
    <w:rsid w:val="008F6EA4"/>
    <w:rsid w:val="008F734B"/>
    <w:rsid w:val="008F7697"/>
    <w:rsid w:val="008F79C8"/>
    <w:rsid w:val="008F7CA8"/>
    <w:rsid w:val="009004DB"/>
    <w:rsid w:val="00900941"/>
    <w:rsid w:val="00900D03"/>
    <w:rsid w:val="00901312"/>
    <w:rsid w:val="00901320"/>
    <w:rsid w:val="00901567"/>
    <w:rsid w:val="00901791"/>
    <w:rsid w:val="009018E1"/>
    <w:rsid w:val="00901991"/>
    <w:rsid w:val="00902045"/>
    <w:rsid w:val="00902819"/>
    <w:rsid w:val="00902C94"/>
    <w:rsid w:val="00902F6F"/>
    <w:rsid w:val="00903398"/>
    <w:rsid w:val="00903D64"/>
    <w:rsid w:val="00903F05"/>
    <w:rsid w:val="00904662"/>
    <w:rsid w:val="00904973"/>
    <w:rsid w:val="00904CFB"/>
    <w:rsid w:val="00905ECA"/>
    <w:rsid w:val="00906197"/>
    <w:rsid w:val="0090662F"/>
    <w:rsid w:val="00906EC0"/>
    <w:rsid w:val="0090790D"/>
    <w:rsid w:val="00907D3F"/>
    <w:rsid w:val="0091022A"/>
    <w:rsid w:val="00910F4B"/>
    <w:rsid w:val="00912272"/>
    <w:rsid w:val="00912979"/>
    <w:rsid w:val="00912B75"/>
    <w:rsid w:val="00912EB2"/>
    <w:rsid w:val="00913033"/>
    <w:rsid w:val="0091315D"/>
    <w:rsid w:val="00913547"/>
    <w:rsid w:val="00913749"/>
    <w:rsid w:val="00913FED"/>
    <w:rsid w:val="009141F2"/>
    <w:rsid w:val="00914284"/>
    <w:rsid w:val="00914522"/>
    <w:rsid w:val="00914974"/>
    <w:rsid w:val="009156D7"/>
    <w:rsid w:val="00915C07"/>
    <w:rsid w:val="0091719E"/>
    <w:rsid w:val="0091732F"/>
    <w:rsid w:val="00917B89"/>
    <w:rsid w:val="00917C46"/>
    <w:rsid w:val="00917E71"/>
    <w:rsid w:val="0092029D"/>
    <w:rsid w:val="00920C01"/>
    <w:rsid w:val="00920F87"/>
    <w:rsid w:val="00921732"/>
    <w:rsid w:val="00921C44"/>
    <w:rsid w:val="009221FB"/>
    <w:rsid w:val="0092246A"/>
    <w:rsid w:val="009225C7"/>
    <w:rsid w:val="0092327C"/>
    <w:rsid w:val="009232E5"/>
    <w:rsid w:val="009233E2"/>
    <w:rsid w:val="00923422"/>
    <w:rsid w:val="00923A5C"/>
    <w:rsid w:val="00923CEA"/>
    <w:rsid w:val="00924101"/>
    <w:rsid w:val="00924499"/>
    <w:rsid w:val="00924692"/>
    <w:rsid w:val="00924740"/>
    <w:rsid w:val="00924D9E"/>
    <w:rsid w:val="00924E4D"/>
    <w:rsid w:val="009250F9"/>
    <w:rsid w:val="00925661"/>
    <w:rsid w:val="00925BE5"/>
    <w:rsid w:val="00925E1B"/>
    <w:rsid w:val="00925E38"/>
    <w:rsid w:val="00926494"/>
    <w:rsid w:val="009268FE"/>
    <w:rsid w:val="00926AE6"/>
    <w:rsid w:val="00927564"/>
    <w:rsid w:val="00927DDA"/>
    <w:rsid w:val="009315D9"/>
    <w:rsid w:val="0093170A"/>
    <w:rsid w:val="0093173C"/>
    <w:rsid w:val="0093240C"/>
    <w:rsid w:val="009326CF"/>
    <w:rsid w:val="009329EE"/>
    <w:rsid w:val="00932A70"/>
    <w:rsid w:val="00932F43"/>
    <w:rsid w:val="00933130"/>
    <w:rsid w:val="009348D4"/>
    <w:rsid w:val="00934904"/>
    <w:rsid w:val="00935268"/>
    <w:rsid w:val="00936636"/>
    <w:rsid w:val="0093667F"/>
    <w:rsid w:val="00936CCD"/>
    <w:rsid w:val="00936F58"/>
    <w:rsid w:val="00936FFB"/>
    <w:rsid w:val="00937594"/>
    <w:rsid w:val="00937BBE"/>
    <w:rsid w:val="009400D5"/>
    <w:rsid w:val="00940492"/>
    <w:rsid w:val="00940645"/>
    <w:rsid w:val="00940968"/>
    <w:rsid w:val="00940A0E"/>
    <w:rsid w:val="00940ECC"/>
    <w:rsid w:val="0094133F"/>
    <w:rsid w:val="00941914"/>
    <w:rsid w:val="00941E19"/>
    <w:rsid w:val="0094222D"/>
    <w:rsid w:val="009430DF"/>
    <w:rsid w:val="009437BF"/>
    <w:rsid w:val="009444BE"/>
    <w:rsid w:val="00944BF7"/>
    <w:rsid w:val="00944C77"/>
    <w:rsid w:val="00945480"/>
    <w:rsid w:val="00945974"/>
    <w:rsid w:val="00945A70"/>
    <w:rsid w:val="00945AE6"/>
    <w:rsid w:val="00945E4C"/>
    <w:rsid w:val="00946067"/>
    <w:rsid w:val="009466F7"/>
    <w:rsid w:val="00946B43"/>
    <w:rsid w:val="00946DD3"/>
    <w:rsid w:val="00947A4F"/>
    <w:rsid w:val="0095016E"/>
    <w:rsid w:val="009522B8"/>
    <w:rsid w:val="009522E8"/>
    <w:rsid w:val="00952DBA"/>
    <w:rsid w:val="009536CA"/>
    <w:rsid w:val="00953EE8"/>
    <w:rsid w:val="00954129"/>
    <w:rsid w:val="009541D7"/>
    <w:rsid w:val="0095487D"/>
    <w:rsid w:val="00954950"/>
    <w:rsid w:val="00955411"/>
    <w:rsid w:val="00956A23"/>
    <w:rsid w:val="009576E7"/>
    <w:rsid w:val="00957B0A"/>
    <w:rsid w:val="00957B63"/>
    <w:rsid w:val="009609C6"/>
    <w:rsid w:val="0096151C"/>
    <w:rsid w:val="0096172A"/>
    <w:rsid w:val="009624D0"/>
    <w:rsid w:val="00962556"/>
    <w:rsid w:val="009625ED"/>
    <w:rsid w:val="00962AE2"/>
    <w:rsid w:val="00963CAE"/>
    <w:rsid w:val="00964E78"/>
    <w:rsid w:val="009652B6"/>
    <w:rsid w:val="00965B1F"/>
    <w:rsid w:val="00965B81"/>
    <w:rsid w:val="00965C61"/>
    <w:rsid w:val="00965D89"/>
    <w:rsid w:val="00965EB8"/>
    <w:rsid w:val="009668F9"/>
    <w:rsid w:val="00966954"/>
    <w:rsid w:val="00966CC6"/>
    <w:rsid w:val="00967D6B"/>
    <w:rsid w:val="00970963"/>
    <w:rsid w:val="00970D68"/>
    <w:rsid w:val="00970DB1"/>
    <w:rsid w:val="00970F95"/>
    <w:rsid w:val="00971A76"/>
    <w:rsid w:val="00971CF6"/>
    <w:rsid w:val="00972A8F"/>
    <w:rsid w:val="00972EC0"/>
    <w:rsid w:val="00972EC2"/>
    <w:rsid w:val="00972F16"/>
    <w:rsid w:val="009732CD"/>
    <w:rsid w:val="00973436"/>
    <w:rsid w:val="009736F0"/>
    <w:rsid w:val="00974652"/>
    <w:rsid w:val="0097475C"/>
    <w:rsid w:val="00974D90"/>
    <w:rsid w:val="00975348"/>
    <w:rsid w:val="009758CA"/>
    <w:rsid w:val="00976C3B"/>
    <w:rsid w:val="00976CFB"/>
    <w:rsid w:val="00977260"/>
    <w:rsid w:val="009773A4"/>
    <w:rsid w:val="00977581"/>
    <w:rsid w:val="0097774A"/>
    <w:rsid w:val="00980D2A"/>
    <w:rsid w:val="00980F5D"/>
    <w:rsid w:val="00981B51"/>
    <w:rsid w:val="009824D4"/>
    <w:rsid w:val="0098281F"/>
    <w:rsid w:val="00982F07"/>
    <w:rsid w:val="00982FFA"/>
    <w:rsid w:val="009834AB"/>
    <w:rsid w:val="0098402F"/>
    <w:rsid w:val="00984ED8"/>
    <w:rsid w:val="00985124"/>
    <w:rsid w:val="00985522"/>
    <w:rsid w:val="0098569E"/>
    <w:rsid w:val="00985A2C"/>
    <w:rsid w:val="00985C34"/>
    <w:rsid w:val="0098631B"/>
    <w:rsid w:val="00986442"/>
    <w:rsid w:val="0098690F"/>
    <w:rsid w:val="009869A2"/>
    <w:rsid w:val="00987028"/>
    <w:rsid w:val="00987A6B"/>
    <w:rsid w:val="00990995"/>
    <w:rsid w:val="00990D98"/>
    <w:rsid w:val="00990F4A"/>
    <w:rsid w:val="0099193C"/>
    <w:rsid w:val="00992794"/>
    <w:rsid w:val="00992EBC"/>
    <w:rsid w:val="0099344F"/>
    <w:rsid w:val="00993803"/>
    <w:rsid w:val="00993A67"/>
    <w:rsid w:val="0099430A"/>
    <w:rsid w:val="009945AC"/>
    <w:rsid w:val="00994F37"/>
    <w:rsid w:val="009950AA"/>
    <w:rsid w:val="009953AA"/>
    <w:rsid w:val="00995577"/>
    <w:rsid w:val="009956DC"/>
    <w:rsid w:val="0099705B"/>
    <w:rsid w:val="009A1E6E"/>
    <w:rsid w:val="009A2085"/>
    <w:rsid w:val="009A2158"/>
    <w:rsid w:val="009A3995"/>
    <w:rsid w:val="009A3B7C"/>
    <w:rsid w:val="009A435A"/>
    <w:rsid w:val="009A4526"/>
    <w:rsid w:val="009A51C6"/>
    <w:rsid w:val="009A587C"/>
    <w:rsid w:val="009A5AB2"/>
    <w:rsid w:val="009A5CC2"/>
    <w:rsid w:val="009A5EFD"/>
    <w:rsid w:val="009A64FD"/>
    <w:rsid w:val="009A65E0"/>
    <w:rsid w:val="009A6DAC"/>
    <w:rsid w:val="009A6FE9"/>
    <w:rsid w:val="009A7378"/>
    <w:rsid w:val="009A74FF"/>
    <w:rsid w:val="009A7695"/>
    <w:rsid w:val="009A7F39"/>
    <w:rsid w:val="009B040F"/>
    <w:rsid w:val="009B08C8"/>
    <w:rsid w:val="009B1337"/>
    <w:rsid w:val="009B1599"/>
    <w:rsid w:val="009B1637"/>
    <w:rsid w:val="009B1C17"/>
    <w:rsid w:val="009B1D55"/>
    <w:rsid w:val="009B1F64"/>
    <w:rsid w:val="009B54D3"/>
    <w:rsid w:val="009B5A18"/>
    <w:rsid w:val="009B5D1B"/>
    <w:rsid w:val="009B5E46"/>
    <w:rsid w:val="009B6133"/>
    <w:rsid w:val="009B640B"/>
    <w:rsid w:val="009B6D16"/>
    <w:rsid w:val="009B719A"/>
    <w:rsid w:val="009C00A6"/>
    <w:rsid w:val="009C044B"/>
    <w:rsid w:val="009C0F0F"/>
    <w:rsid w:val="009C100D"/>
    <w:rsid w:val="009C135E"/>
    <w:rsid w:val="009C159B"/>
    <w:rsid w:val="009C282E"/>
    <w:rsid w:val="009C28AF"/>
    <w:rsid w:val="009C2D95"/>
    <w:rsid w:val="009C3F39"/>
    <w:rsid w:val="009C4863"/>
    <w:rsid w:val="009C4886"/>
    <w:rsid w:val="009C5166"/>
    <w:rsid w:val="009C54A4"/>
    <w:rsid w:val="009C5686"/>
    <w:rsid w:val="009C6B94"/>
    <w:rsid w:val="009C7043"/>
    <w:rsid w:val="009C7823"/>
    <w:rsid w:val="009D0185"/>
    <w:rsid w:val="009D0A97"/>
    <w:rsid w:val="009D24E4"/>
    <w:rsid w:val="009D2904"/>
    <w:rsid w:val="009D2C4B"/>
    <w:rsid w:val="009D3208"/>
    <w:rsid w:val="009D32FC"/>
    <w:rsid w:val="009D36BD"/>
    <w:rsid w:val="009D38ED"/>
    <w:rsid w:val="009D3A78"/>
    <w:rsid w:val="009D4286"/>
    <w:rsid w:val="009D42C3"/>
    <w:rsid w:val="009D43B1"/>
    <w:rsid w:val="009D468B"/>
    <w:rsid w:val="009D4E29"/>
    <w:rsid w:val="009D4F28"/>
    <w:rsid w:val="009D5088"/>
    <w:rsid w:val="009D548E"/>
    <w:rsid w:val="009D58B8"/>
    <w:rsid w:val="009D5B11"/>
    <w:rsid w:val="009D5DE3"/>
    <w:rsid w:val="009D5FC1"/>
    <w:rsid w:val="009D6151"/>
    <w:rsid w:val="009D6319"/>
    <w:rsid w:val="009D642C"/>
    <w:rsid w:val="009D6776"/>
    <w:rsid w:val="009D6E99"/>
    <w:rsid w:val="009D774E"/>
    <w:rsid w:val="009D7894"/>
    <w:rsid w:val="009D7A38"/>
    <w:rsid w:val="009D7A57"/>
    <w:rsid w:val="009D7BCB"/>
    <w:rsid w:val="009E00CA"/>
    <w:rsid w:val="009E0289"/>
    <w:rsid w:val="009E09F4"/>
    <w:rsid w:val="009E0ACD"/>
    <w:rsid w:val="009E0EF8"/>
    <w:rsid w:val="009E0EF9"/>
    <w:rsid w:val="009E13E3"/>
    <w:rsid w:val="009E1418"/>
    <w:rsid w:val="009E181C"/>
    <w:rsid w:val="009E25CC"/>
    <w:rsid w:val="009E2E74"/>
    <w:rsid w:val="009E309C"/>
    <w:rsid w:val="009E3153"/>
    <w:rsid w:val="009E37CB"/>
    <w:rsid w:val="009E3F70"/>
    <w:rsid w:val="009E441D"/>
    <w:rsid w:val="009E4844"/>
    <w:rsid w:val="009E50D8"/>
    <w:rsid w:val="009E50E2"/>
    <w:rsid w:val="009E5319"/>
    <w:rsid w:val="009E54E2"/>
    <w:rsid w:val="009E58BF"/>
    <w:rsid w:val="009E6522"/>
    <w:rsid w:val="009E68C3"/>
    <w:rsid w:val="009E6E1F"/>
    <w:rsid w:val="009E6EC1"/>
    <w:rsid w:val="009E7BA0"/>
    <w:rsid w:val="009E7EE7"/>
    <w:rsid w:val="009E7F25"/>
    <w:rsid w:val="009F0635"/>
    <w:rsid w:val="009F0915"/>
    <w:rsid w:val="009F0AA1"/>
    <w:rsid w:val="009F2009"/>
    <w:rsid w:val="009F2615"/>
    <w:rsid w:val="009F27D2"/>
    <w:rsid w:val="009F288D"/>
    <w:rsid w:val="009F2F24"/>
    <w:rsid w:val="009F34DD"/>
    <w:rsid w:val="009F378E"/>
    <w:rsid w:val="009F3B9C"/>
    <w:rsid w:val="009F3C07"/>
    <w:rsid w:val="009F3D16"/>
    <w:rsid w:val="009F43F5"/>
    <w:rsid w:val="009F518A"/>
    <w:rsid w:val="009F533A"/>
    <w:rsid w:val="009F538C"/>
    <w:rsid w:val="009F5D4D"/>
    <w:rsid w:val="009F5D78"/>
    <w:rsid w:val="009F61F7"/>
    <w:rsid w:val="009F62B6"/>
    <w:rsid w:val="009F6625"/>
    <w:rsid w:val="009F6A52"/>
    <w:rsid w:val="009F7192"/>
    <w:rsid w:val="00A00112"/>
    <w:rsid w:val="00A00784"/>
    <w:rsid w:val="00A00A2D"/>
    <w:rsid w:val="00A010F4"/>
    <w:rsid w:val="00A01537"/>
    <w:rsid w:val="00A016E5"/>
    <w:rsid w:val="00A01703"/>
    <w:rsid w:val="00A0174B"/>
    <w:rsid w:val="00A017C1"/>
    <w:rsid w:val="00A01E46"/>
    <w:rsid w:val="00A01F02"/>
    <w:rsid w:val="00A030F1"/>
    <w:rsid w:val="00A03C89"/>
    <w:rsid w:val="00A044BE"/>
    <w:rsid w:val="00A045FD"/>
    <w:rsid w:val="00A047CB"/>
    <w:rsid w:val="00A04904"/>
    <w:rsid w:val="00A0491B"/>
    <w:rsid w:val="00A050ED"/>
    <w:rsid w:val="00A05C97"/>
    <w:rsid w:val="00A06143"/>
    <w:rsid w:val="00A06522"/>
    <w:rsid w:val="00A065DE"/>
    <w:rsid w:val="00A07538"/>
    <w:rsid w:val="00A076D4"/>
    <w:rsid w:val="00A100AB"/>
    <w:rsid w:val="00A101AE"/>
    <w:rsid w:val="00A1032C"/>
    <w:rsid w:val="00A10B7B"/>
    <w:rsid w:val="00A116D2"/>
    <w:rsid w:val="00A11BFA"/>
    <w:rsid w:val="00A11FFE"/>
    <w:rsid w:val="00A120DC"/>
    <w:rsid w:val="00A1227A"/>
    <w:rsid w:val="00A124BF"/>
    <w:rsid w:val="00A12856"/>
    <w:rsid w:val="00A12947"/>
    <w:rsid w:val="00A12A9F"/>
    <w:rsid w:val="00A1325F"/>
    <w:rsid w:val="00A13A16"/>
    <w:rsid w:val="00A13CBA"/>
    <w:rsid w:val="00A13CC0"/>
    <w:rsid w:val="00A13DAE"/>
    <w:rsid w:val="00A14D39"/>
    <w:rsid w:val="00A158A1"/>
    <w:rsid w:val="00A15CEF"/>
    <w:rsid w:val="00A16378"/>
    <w:rsid w:val="00A16A1E"/>
    <w:rsid w:val="00A174BB"/>
    <w:rsid w:val="00A1757D"/>
    <w:rsid w:val="00A17BF7"/>
    <w:rsid w:val="00A20595"/>
    <w:rsid w:val="00A2059F"/>
    <w:rsid w:val="00A2122F"/>
    <w:rsid w:val="00A21290"/>
    <w:rsid w:val="00A21848"/>
    <w:rsid w:val="00A21D55"/>
    <w:rsid w:val="00A221EE"/>
    <w:rsid w:val="00A224EC"/>
    <w:rsid w:val="00A22847"/>
    <w:rsid w:val="00A23AC2"/>
    <w:rsid w:val="00A23BA4"/>
    <w:rsid w:val="00A23BB7"/>
    <w:rsid w:val="00A23D0D"/>
    <w:rsid w:val="00A24226"/>
    <w:rsid w:val="00A24BAE"/>
    <w:rsid w:val="00A24BD9"/>
    <w:rsid w:val="00A24E71"/>
    <w:rsid w:val="00A25794"/>
    <w:rsid w:val="00A25913"/>
    <w:rsid w:val="00A2753A"/>
    <w:rsid w:val="00A2756B"/>
    <w:rsid w:val="00A2778E"/>
    <w:rsid w:val="00A27F2B"/>
    <w:rsid w:val="00A307E7"/>
    <w:rsid w:val="00A3097E"/>
    <w:rsid w:val="00A30ADA"/>
    <w:rsid w:val="00A318FF"/>
    <w:rsid w:val="00A31CDA"/>
    <w:rsid w:val="00A31EE8"/>
    <w:rsid w:val="00A326E6"/>
    <w:rsid w:val="00A327C1"/>
    <w:rsid w:val="00A3478D"/>
    <w:rsid w:val="00A34A2C"/>
    <w:rsid w:val="00A34FE6"/>
    <w:rsid w:val="00A350CA"/>
    <w:rsid w:val="00A35114"/>
    <w:rsid w:val="00A35136"/>
    <w:rsid w:val="00A35194"/>
    <w:rsid w:val="00A35479"/>
    <w:rsid w:val="00A35557"/>
    <w:rsid w:val="00A359C7"/>
    <w:rsid w:val="00A35A0F"/>
    <w:rsid w:val="00A35C83"/>
    <w:rsid w:val="00A36211"/>
    <w:rsid w:val="00A36824"/>
    <w:rsid w:val="00A37606"/>
    <w:rsid w:val="00A37651"/>
    <w:rsid w:val="00A37B73"/>
    <w:rsid w:val="00A37BD2"/>
    <w:rsid w:val="00A37EDC"/>
    <w:rsid w:val="00A4055E"/>
    <w:rsid w:val="00A40611"/>
    <w:rsid w:val="00A40769"/>
    <w:rsid w:val="00A41C87"/>
    <w:rsid w:val="00A41EE4"/>
    <w:rsid w:val="00A42A6C"/>
    <w:rsid w:val="00A42E7E"/>
    <w:rsid w:val="00A439A6"/>
    <w:rsid w:val="00A44494"/>
    <w:rsid w:val="00A4464E"/>
    <w:rsid w:val="00A44812"/>
    <w:rsid w:val="00A45A44"/>
    <w:rsid w:val="00A46061"/>
    <w:rsid w:val="00A464AA"/>
    <w:rsid w:val="00A46786"/>
    <w:rsid w:val="00A501A9"/>
    <w:rsid w:val="00A50574"/>
    <w:rsid w:val="00A516EF"/>
    <w:rsid w:val="00A51A26"/>
    <w:rsid w:val="00A51B50"/>
    <w:rsid w:val="00A52727"/>
    <w:rsid w:val="00A52D9D"/>
    <w:rsid w:val="00A52DD2"/>
    <w:rsid w:val="00A532B7"/>
    <w:rsid w:val="00A534B5"/>
    <w:rsid w:val="00A53607"/>
    <w:rsid w:val="00A542DD"/>
    <w:rsid w:val="00A5470D"/>
    <w:rsid w:val="00A54C4F"/>
    <w:rsid w:val="00A54ED7"/>
    <w:rsid w:val="00A55764"/>
    <w:rsid w:val="00A56336"/>
    <w:rsid w:val="00A56AC9"/>
    <w:rsid w:val="00A57693"/>
    <w:rsid w:val="00A5778E"/>
    <w:rsid w:val="00A57C12"/>
    <w:rsid w:val="00A60138"/>
    <w:rsid w:val="00A6125B"/>
    <w:rsid w:val="00A61616"/>
    <w:rsid w:val="00A61779"/>
    <w:rsid w:val="00A61925"/>
    <w:rsid w:val="00A620F5"/>
    <w:rsid w:val="00A63F30"/>
    <w:rsid w:val="00A641A0"/>
    <w:rsid w:val="00A64455"/>
    <w:rsid w:val="00A64567"/>
    <w:rsid w:val="00A65212"/>
    <w:rsid w:val="00A6522C"/>
    <w:rsid w:val="00A652E8"/>
    <w:rsid w:val="00A65EAB"/>
    <w:rsid w:val="00A65F55"/>
    <w:rsid w:val="00A660F0"/>
    <w:rsid w:val="00A66364"/>
    <w:rsid w:val="00A66562"/>
    <w:rsid w:val="00A66C42"/>
    <w:rsid w:val="00A66E93"/>
    <w:rsid w:val="00A67577"/>
    <w:rsid w:val="00A67763"/>
    <w:rsid w:val="00A678FB"/>
    <w:rsid w:val="00A67AA6"/>
    <w:rsid w:val="00A67B54"/>
    <w:rsid w:val="00A70336"/>
    <w:rsid w:val="00A709C1"/>
    <w:rsid w:val="00A71500"/>
    <w:rsid w:val="00A716C0"/>
    <w:rsid w:val="00A719ED"/>
    <w:rsid w:val="00A7203C"/>
    <w:rsid w:val="00A72F19"/>
    <w:rsid w:val="00A73126"/>
    <w:rsid w:val="00A73D90"/>
    <w:rsid w:val="00A74231"/>
    <w:rsid w:val="00A743BE"/>
    <w:rsid w:val="00A747BC"/>
    <w:rsid w:val="00A749E8"/>
    <w:rsid w:val="00A74E3F"/>
    <w:rsid w:val="00A750EA"/>
    <w:rsid w:val="00A7510F"/>
    <w:rsid w:val="00A7571B"/>
    <w:rsid w:val="00A7583D"/>
    <w:rsid w:val="00A7692E"/>
    <w:rsid w:val="00A76AF2"/>
    <w:rsid w:val="00A76BFC"/>
    <w:rsid w:val="00A772FC"/>
    <w:rsid w:val="00A77E86"/>
    <w:rsid w:val="00A8072D"/>
    <w:rsid w:val="00A80BDE"/>
    <w:rsid w:val="00A80F6D"/>
    <w:rsid w:val="00A81360"/>
    <w:rsid w:val="00A81993"/>
    <w:rsid w:val="00A81D67"/>
    <w:rsid w:val="00A83D79"/>
    <w:rsid w:val="00A84137"/>
    <w:rsid w:val="00A84654"/>
    <w:rsid w:val="00A84898"/>
    <w:rsid w:val="00A84D07"/>
    <w:rsid w:val="00A8595E"/>
    <w:rsid w:val="00A86606"/>
    <w:rsid w:val="00A867A6"/>
    <w:rsid w:val="00A86E95"/>
    <w:rsid w:val="00A876E2"/>
    <w:rsid w:val="00A87935"/>
    <w:rsid w:val="00A87C0B"/>
    <w:rsid w:val="00A87EE8"/>
    <w:rsid w:val="00A900A7"/>
    <w:rsid w:val="00A90428"/>
    <w:rsid w:val="00A90977"/>
    <w:rsid w:val="00A90A9B"/>
    <w:rsid w:val="00A910CE"/>
    <w:rsid w:val="00A91856"/>
    <w:rsid w:val="00A920AA"/>
    <w:rsid w:val="00A926FA"/>
    <w:rsid w:val="00A92C4F"/>
    <w:rsid w:val="00A92D3C"/>
    <w:rsid w:val="00A92E2A"/>
    <w:rsid w:val="00A93220"/>
    <w:rsid w:val="00A932D8"/>
    <w:rsid w:val="00A93E13"/>
    <w:rsid w:val="00A93ED4"/>
    <w:rsid w:val="00A94984"/>
    <w:rsid w:val="00A94D98"/>
    <w:rsid w:val="00A95258"/>
    <w:rsid w:val="00A95710"/>
    <w:rsid w:val="00A958A7"/>
    <w:rsid w:val="00A95AAC"/>
    <w:rsid w:val="00A960BE"/>
    <w:rsid w:val="00A963A7"/>
    <w:rsid w:val="00A9651C"/>
    <w:rsid w:val="00A968AA"/>
    <w:rsid w:val="00A96C5E"/>
    <w:rsid w:val="00A97465"/>
    <w:rsid w:val="00A97AD0"/>
    <w:rsid w:val="00A97CCF"/>
    <w:rsid w:val="00A97FD2"/>
    <w:rsid w:val="00AA0169"/>
    <w:rsid w:val="00AA02F0"/>
    <w:rsid w:val="00AA0755"/>
    <w:rsid w:val="00AA09B2"/>
    <w:rsid w:val="00AA0EAC"/>
    <w:rsid w:val="00AA1330"/>
    <w:rsid w:val="00AA19A5"/>
    <w:rsid w:val="00AA2268"/>
    <w:rsid w:val="00AA2671"/>
    <w:rsid w:val="00AA2893"/>
    <w:rsid w:val="00AA29B1"/>
    <w:rsid w:val="00AA2C2F"/>
    <w:rsid w:val="00AA2D9A"/>
    <w:rsid w:val="00AA2DE0"/>
    <w:rsid w:val="00AA3373"/>
    <w:rsid w:val="00AA3489"/>
    <w:rsid w:val="00AA352C"/>
    <w:rsid w:val="00AA35A9"/>
    <w:rsid w:val="00AA38F9"/>
    <w:rsid w:val="00AA42FD"/>
    <w:rsid w:val="00AA4A39"/>
    <w:rsid w:val="00AA4C4A"/>
    <w:rsid w:val="00AA54AC"/>
    <w:rsid w:val="00AA5BBC"/>
    <w:rsid w:val="00AA6712"/>
    <w:rsid w:val="00AA6EE7"/>
    <w:rsid w:val="00AA7257"/>
    <w:rsid w:val="00AA7C0D"/>
    <w:rsid w:val="00AA7D04"/>
    <w:rsid w:val="00AB02E7"/>
    <w:rsid w:val="00AB1A56"/>
    <w:rsid w:val="00AB20F7"/>
    <w:rsid w:val="00AB2856"/>
    <w:rsid w:val="00AB2A5C"/>
    <w:rsid w:val="00AB328B"/>
    <w:rsid w:val="00AB3BB0"/>
    <w:rsid w:val="00AB4591"/>
    <w:rsid w:val="00AB4DBA"/>
    <w:rsid w:val="00AB527E"/>
    <w:rsid w:val="00AB5404"/>
    <w:rsid w:val="00AB5C12"/>
    <w:rsid w:val="00AB5D96"/>
    <w:rsid w:val="00AB5DFF"/>
    <w:rsid w:val="00AB5E88"/>
    <w:rsid w:val="00AB6622"/>
    <w:rsid w:val="00AB72E0"/>
    <w:rsid w:val="00AC01AC"/>
    <w:rsid w:val="00AC0619"/>
    <w:rsid w:val="00AC07A0"/>
    <w:rsid w:val="00AC09E7"/>
    <w:rsid w:val="00AC0F3D"/>
    <w:rsid w:val="00AC1302"/>
    <w:rsid w:val="00AC1F7D"/>
    <w:rsid w:val="00AC20B4"/>
    <w:rsid w:val="00AC240D"/>
    <w:rsid w:val="00AC2CF4"/>
    <w:rsid w:val="00AC3103"/>
    <w:rsid w:val="00AC3681"/>
    <w:rsid w:val="00AC36F8"/>
    <w:rsid w:val="00AC3784"/>
    <w:rsid w:val="00AC3AC3"/>
    <w:rsid w:val="00AC405C"/>
    <w:rsid w:val="00AC4DFB"/>
    <w:rsid w:val="00AC51FB"/>
    <w:rsid w:val="00AC56D9"/>
    <w:rsid w:val="00AC583A"/>
    <w:rsid w:val="00AC5876"/>
    <w:rsid w:val="00AC5E15"/>
    <w:rsid w:val="00AC6266"/>
    <w:rsid w:val="00AC62B5"/>
    <w:rsid w:val="00AC6AF8"/>
    <w:rsid w:val="00AC6E21"/>
    <w:rsid w:val="00AC6E85"/>
    <w:rsid w:val="00AC73A3"/>
    <w:rsid w:val="00AC74D1"/>
    <w:rsid w:val="00AC7595"/>
    <w:rsid w:val="00AC7989"/>
    <w:rsid w:val="00AC79A8"/>
    <w:rsid w:val="00AC7DE2"/>
    <w:rsid w:val="00AD025C"/>
    <w:rsid w:val="00AD05D3"/>
    <w:rsid w:val="00AD0606"/>
    <w:rsid w:val="00AD068A"/>
    <w:rsid w:val="00AD0944"/>
    <w:rsid w:val="00AD1229"/>
    <w:rsid w:val="00AD137D"/>
    <w:rsid w:val="00AD28D5"/>
    <w:rsid w:val="00AD2DCB"/>
    <w:rsid w:val="00AD3B89"/>
    <w:rsid w:val="00AD40EF"/>
    <w:rsid w:val="00AD44F7"/>
    <w:rsid w:val="00AD5288"/>
    <w:rsid w:val="00AD55B1"/>
    <w:rsid w:val="00AD5CF1"/>
    <w:rsid w:val="00AD5DFB"/>
    <w:rsid w:val="00AD5FCC"/>
    <w:rsid w:val="00AD6491"/>
    <w:rsid w:val="00AD6637"/>
    <w:rsid w:val="00AD77ED"/>
    <w:rsid w:val="00AD7F3B"/>
    <w:rsid w:val="00AE0380"/>
    <w:rsid w:val="00AE1AE5"/>
    <w:rsid w:val="00AE1FA1"/>
    <w:rsid w:val="00AE2950"/>
    <w:rsid w:val="00AE2C5E"/>
    <w:rsid w:val="00AE3E41"/>
    <w:rsid w:val="00AE3E74"/>
    <w:rsid w:val="00AE4256"/>
    <w:rsid w:val="00AE4912"/>
    <w:rsid w:val="00AE4AA4"/>
    <w:rsid w:val="00AE50E4"/>
    <w:rsid w:val="00AE5520"/>
    <w:rsid w:val="00AE6537"/>
    <w:rsid w:val="00AE6800"/>
    <w:rsid w:val="00AE6822"/>
    <w:rsid w:val="00AE6ADA"/>
    <w:rsid w:val="00AE6F23"/>
    <w:rsid w:val="00AE7B15"/>
    <w:rsid w:val="00AE7BBA"/>
    <w:rsid w:val="00AF00CD"/>
    <w:rsid w:val="00AF02DE"/>
    <w:rsid w:val="00AF0369"/>
    <w:rsid w:val="00AF0AA0"/>
    <w:rsid w:val="00AF0EF6"/>
    <w:rsid w:val="00AF11D4"/>
    <w:rsid w:val="00AF1651"/>
    <w:rsid w:val="00AF175D"/>
    <w:rsid w:val="00AF1F16"/>
    <w:rsid w:val="00AF1F20"/>
    <w:rsid w:val="00AF2494"/>
    <w:rsid w:val="00AF25B0"/>
    <w:rsid w:val="00AF25FC"/>
    <w:rsid w:val="00AF2C22"/>
    <w:rsid w:val="00AF2FAF"/>
    <w:rsid w:val="00AF3378"/>
    <w:rsid w:val="00AF341A"/>
    <w:rsid w:val="00AF3830"/>
    <w:rsid w:val="00AF3E70"/>
    <w:rsid w:val="00AF3EA7"/>
    <w:rsid w:val="00AF4010"/>
    <w:rsid w:val="00AF434F"/>
    <w:rsid w:val="00AF4A3F"/>
    <w:rsid w:val="00AF4A88"/>
    <w:rsid w:val="00AF4AC7"/>
    <w:rsid w:val="00AF5619"/>
    <w:rsid w:val="00AF6451"/>
    <w:rsid w:val="00AF7374"/>
    <w:rsid w:val="00AF783C"/>
    <w:rsid w:val="00AF7ED5"/>
    <w:rsid w:val="00B01148"/>
    <w:rsid w:val="00B015BA"/>
    <w:rsid w:val="00B01DE2"/>
    <w:rsid w:val="00B0206A"/>
    <w:rsid w:val="00B02B22"/>
    <w:rsid w:val="00B034F2"/>
    <w:rsid w:val="00B036A2"/>
    <w:rsid w:val="00B03CF8"/>
    <w:rsid w:val="00B03E35"/>
    <w:rsid w:val="00B04A57"/>
    <w:rsid w:val="00B04F7F"/>
    <w:rsid w:val="00B05030"/>
    <w:rsid w:val="00B075F3"/>
    <w:rsid w:val="00B07D25"/>
    <w:rsid w:val="00B07E3D"/>
    <w:rsid w:val="00B07EF7"/>
    <w:rsid w:val="00B10067"/>
    <w:rsid w:val="00B103C5"/>
    <w:rsid w:val="00B1056F"/>
    <w:rsid w:val="00B1060E"/>
    <w:rsid w:val="00B10854"/>
    <w:rsid w:val="00B10B13"/>
    <w:rsid w:val="00B114C1"/>
    <w:rsid w:val="00B11C3D"/>
    <w:rsid w:val="00B11D48"/>
    <w:rsid w:val="00B11D63"/>
    <w:rsid w:val="00B11FA2"/>
    <w:rsid w:val="00B11FAB"/>
    <w:rsid w:val="00B125D4"/>
    <w:rsid w:val="00B1269C"/>
    <w:rsid w:val="00B1295A"/>
    <w:rsid w:val="00B13141"/>
    <w:rsid w:val="00B13634"/>
    <w:rsid w:val="00B13769"/>
    <w:rsid w:val="00B13B78"/>
    <w:rsid w:val="00B14044"/>
    <w:rsid w:val="00B1467D"/>
    <w:rsid w:val="00B14C5B"/>
    <w:rsid w:val="00B1502B"/>
    <w:rsid w:val="00B1576F"/>
    <w:rsid w:val="00B15811"/>
    <w:rsid w:val="00B15CCA"/>
    <w:rsid w:val="00B15D01"/>
    <w:rsid w:val="00B1640F"/>
    <w:rsid w:val="00B16608"/>
    <w:rsid w:val="00B17FEF"/>
    <w:rsid w:val="00B20255"/>
    <w:rsid w:val="00B2061B"/>
    <w:rsid w:val="00B2080D"/>
    <w:rsid w:val="00B20E1D"/>
    <w:rsid w:val="00B218E3"/>
    <w:rsid w:val="00B218E6"/>
    <w:rsid w:val="00B223EC"/>
    <w:rsid w:val="00B227E5"/>
    <w:rsid w:val="00B229D0"/>
    <w:rsid w:val="00B23A2E"/>
    <w:rsid w:val="00B23EC1"/>
    <w:rsid w:val="00B23FB0"/>
    <w:rsid w:val="00B241F0"/>
    <w:rsid w:val="00B24783"/>
    <w:rsid w:val="00B24E92"/>
    <w:rsid w:val="00B2504B"/>
    <w:rsid w:val="00B252A0"/>
    <w:rsid w:val="00B25493"/>
    <w:rsid w:val="00B2553F"/>
    <w:rsid w:val="00B2593F"/>
    <w:rsid w:val="00B25ACD"/>
    <w:rsid w:val="00B25D99"/>
    <w:rsid w:val="00B26162"/>
    <w:rsid w:val="00B2666B"/>
    <w:rsid w:val="00B26E37"/>
    <w:rsid w:val="00B2703C"/>
    <w:rsid w:val="00B303B0"/>
    <w:rsid w:val="00B31A91"/>
    <w:rsid w:val="00B31D6C"/>
    <w:rsid w:val="00B324B0"/>
    <w:rsid w:val="00B325CD"/>
    <w:rsid w:val="00B3283D"/>
    <w:rsid w:val="00B32C62"/>
    <w:rsid w:val="00B336BC"/>
    <w:rsid w:val="00B33812"/>
    <w:rsid w:val="00B33B96"/>
    <w:rsid w:val="00B33DC1"/>
    <w:rsid w:val="00B34087"/>
    <w:rsid w:val="00B3448D"/>
    <w:rsid w:val="00B345A3"/>
    <w:rsid w:val="00B34ABB"/>
    <w:rsid w:val="00B34C3E"/>
    <w:rsid w:val="00B350C1"/>
    <w:rsid w:val="00B3586C"/>
    <w:rsid w:val="00B36384"/>
    <w:rsid w:val="00B36687"/>
    <w:rsid w:val="00B3682D"/>
    <w:rsid w:val="00B36C33"/>
    <w:rsid w:val="00B36F42"/>
    <w:rsid w:val="00B372FF"/>
    <w:rsid w:val="00B3744B"/>
    <w:rsid w:val="00B37AEE"/>
    <w:rsid w:val="00B37B10"/>
    <w:rsid w:val="00B37E0C"/>
    <w:rsid w:val="00B37E48"/>
    <w:rsid w:val="00B40467"/>
    <w:rsid w:val="00B40A96"/>
    <w:rsid w:val="00B40BDF"/>
    <w:rsid w:val="00B41230"/>
    <w:rsid w:val="00B414D8"/>
    <w:rsid w:val="00B416DD"/>
    <w:rsid w:val="00B4244D"/>
    <w:rsid w:val="00B4315A"/>
    <w:rsid w:val="00B43C8E"/>
    <w:rsid w:val="00B44065"/>
    <w:rsid w:val="00B44D23"/>
    <w:rsid w:val="00B4556F"/>
    <w:rsid w:val="00B45D67"/>
    <w:rsid w:val="00B463B3"/>
    <w:rsid w:val="00B4690B"/>
    <w:rsid w:val="00B46B24"/>
    <w:rsid w:val="00B46BB6"/>
    <w:rsid w:val="00B46C7F"/>
    <w:rsid w:val="00B46CBE"/>
    <w:rsid w:val="00B50FA6"/>
    <w:rsid w:val="00B51239"/>
    <w:rsid w:val="00B51328"/>
    <w:rsid w:val="00B5135E"/>
    <w:rsid w:val="00B516FC"/>
    <w:rsid w:val="00B519DA"/>
    <w:rsid w:val="00B51A67"/>
    <w:rsid w:val="00B51D04"/>
    <w:rsid w:val="00B51E4B"/>
    <w:rsid w:val="00B51EF8"/>
    <w:rsid w:val="00B5220F"/>
    <w:rsid w:val="00B5273B"/>
    <w:rsid w:val="00B527CC"/>
    <w:rsid w:val="00B53B7A"/>
    <w:rsid w:val="00B53D25"/>
    <w:rsid w:val="00B53DB4"/>
    <w:rsid w:val="00B546C5"/>
    <w:rsid w:val="00B54C62"/>
    <w:rsid w:val="00B54D2D"/>
    <w:rsid w:val="00B5585B"/>
    <w:rsid w:val="00B5643A"/>
    <w:rsid w:val="00B56549"/>
    <w:rsid w:val="00B56580"/>
    <w:rsid w:val="00B56FCB"/>
    <w:rsid w:val="00B5705F"/>
    <w:rsid w:val="00B57107"/>
    <w:rsid w:val="00B573F5"/>
    <w:rsid w:val="00B57AA0"/>
    <w:rsid w:val="00B57CD4"/>
    <w:rsid w:val="00B606F0"/>
    <w:rsid w:val="00B61227"/>
    <w:rsid w:val="00B615DE"/>
    <w:rsid w:val="00B617E7"/>
    <w:rsid w:val="00B61A6A"/>
    <w:rsid w:val="00B62855"/>
    <w:rsid w:val="00B637D0"/>
    <w:rsid w:val="00B639EE"/>
    <w:rsid w:val="00B63FDC"/>
    <w:rsid w:val="00B6401C"/>
    <w:rsid w:val="00B64D02"/>
    <w:rsid w:val="00B64F97"/>
    <w:rsid w:val="00B65149"/>
    <w:rsid w:val="00B65916"/>
    <w:rsid w:val="00B65CF3"/>
    <w:rsid w:val="00B66516"/>
    <w:rsid w:val="00B666C3"/>
    <w:rsid w:val="00B66B81"/>
    <w:rsid w:val="00B66D65"/>
    <w:rsid w:val="00B66DB3"/>
    <w:rsid w:val="00B66F28"/>
    <w:rsid w:val="00B67956"/>
    <w:rsid w:val="00B67C4E"/>
    <w:rsid w:val="00B67E37"/>
    <w:rsid w:val="00B67F00"/>
    <w:rsid w:val="00B701B5"/>
    <w:rsid w:val="00B7048E"/>
    <w:rsid w:val="00B70874"/>
    <w:rsid w:val="00B70B98"/>
    <w:rsid w:val="00B71E3B"/>
    <w:rsid w:val="00B721AD"/>
    <w:rsid w:val="00B726D0"/>
    <w:rsid w:val="00B726E2"/>
    <w:rsid w:val="00B72ED1"/>
    <w:rsid w:val="00B72FA6"/>
    <w:rsid w:val="00B7300F"/>
    <w:rsid w:val="00B73737"/>
    <w:rsid w:val="00B73C3C"/>
    <w:rsid w:val="00B73C89"/>
    <w:rsid w:val="00B740AA"/>
    <w:rsid w:val="00B744E1"/>
    <w:rsid w:val="00B74879"/>
    <w:rsid w:val="00B749A5"/>
    <w:rsid w:val="00B74B3F"/>
    <w:rsid w:val="00B75032"/>
    <w:rsid w:val="00B76169"/>
    <w:rsid w:val="00B76192"/>
    <w:rsid w:val="00B76483"/>
    <w:rsid w:val="00B767BD"/>
    <w:rsid w:val="00B76B6B"/>
    <w:rsid w:val="00B76CCF"/>
    <w:rsid w:val="00B76D7F"/>
    <w:rsid w:val="00B77A07"/>
    <w:rsid w:val="00B77FB1"/>
    <w:rsid w:val="00B807F5"/>
    <w:rsid w:val="00B80F89"/>
    <w:rsid w:val="00B81657"/>
    <w:rsid w:val="00B8178E"/>
    <w:rsid w:val="00B81AB4"/>
    <w:rsid w:val="00B82096"/>
    <w:rsid w:val="00B82229"/>
    <w:rsid w:val="00B82506"/>
    <w:rsid w:val="00B82F60"/>
    <w:rsid w:val="00B83C6F"/>
    <w:rsid w:val="00B83C82"/>
    <w:rsid w:val="00B84E1B"/>
    <w:rsid w:val="00B853D5"/>
    <w:rsid w:val="00B8548E"/>
    <w:rsid w:val="00B855D3"/>
    <w:rsid w:val="00B856C7"/>
    <w:rsid w:val="00B861D9"/>
    <w:rsid w:val="00B86590"/>
    <w:rsid w:val="00B865F2"/>
    <w:rsid w:val="00B86FD3"/>
    <w:rsid w:val="00B8712D"/>
    <w:rsid w:val="00B874DB"/>
    <w:rsid w:val="00B874EB"/>
    <w:rsid w:val="00B87560"/>
    <w:rsid w:val="00B87676"/>
    <w:rsid w:val="00B8781E"/>
    <w:rsid w:val="00B879AD"/>
    <w:rsid w:val="00B87CCF"/>
    <w:rsid w:val="00B87E20"/>
    <w:rsid w:val="00B90F48"/>
    <w:rsid w:val="00B912BF"/>
    <w:rsid w:val="00B91D1F"/>
    <w:rsid w:val="00B91D58"/>
    <w:rsid w:val="00B92881"/>
    <w:rsid w:val="00B92BA7"/>
    <w:rsid w:val="00B92BEF"/>
    <w:rsid w:val="00B9381C"/>
    <w:rsid w:val="00B9388B"/>
    <w:rsid w:val="00B93C95"/>
    <w:rsid w:val="00B94A73"/>
    <w:rsid w:val="00B94D77"/>
    <w:rsid w:val="00B94D92"/>
    <w:rsid w:val="00B9502A"/>
    <w:rsid w:val="00B95495"/>
    <w:rsid w:val="00B959EB"/>
    <w:rsid w:val="00B97675"/>
    <w:rsid w:val="00B97745"/>
    <w:rsid w:val="00B97A54"/>
    <w:rsid w:val="00BA0215"/>
    <w:rsid w:val="00BA0F76"/>
    <w:rsid w:val="00BA109E"/>
    <w:rsid w:val="00BA116D"/>
    <w:rsid w:val="00BA1495"/>
    <w:rsid w:val="00BA14F7"/>
    <w:rsid w:val="00BA173D"/>
    <w:rsid w:val="00BA196B"/>
    <w:rsid w:val="00BA1983"/>
    <w:rsid w:val="00BA198E"/>
    <w:rsid w:val="00BA1C93"/>
    <w:rsid w:val="00BA2176"/>
    <w:rsid w:val="00BA2361"/>
    <w:rsid w:val="00BA2432"/>
    <w:rsid w:val="00BA2FAA"/>
    <w:rsid w:val="00BA33BE"/>
    <w:rsid w:val="00BA373C"/>
    <w:rsid w:val="00BA37C6"/>
    <w:rsid w:val="00BA3B09"/>
    <w:rsid w:val="00BA405B"/>
    <w:rsid w:val="00BA4653"/>
    <w:rsid w:val="00BA4AC1"/>
    <w:rsid w:val="00BA4B37"/>
    <w:rsid w:val="00BA4B82"/>
    <w:rsid w:val="00BA5AD3"/>
    <w:rsid w:val="00BA5E0F"/>
    <w:rsid w:val="00BA5EAA"/>
    <w:rsid w:val="00BA6426"/>
    <w:rsid w:val="00BA6611"/>
    <w:rsid w:val="00BA6EA2"/>
    <w:rsid w:val="00BA6F7B"/>
    <w:rsid w:val="00BA7A42"/>
    <w:rsid w:val="00BB03C7"/>
    <w:rsid w:val="00BB03D4"/>
    <w:rsid w:val="00BB09F9"/>
    <w:rsid w:val="00BB0AD0"/>
    <w:rsid w:val="00BB0C55"/>
    <w:rsid w:val="00BB11B5"/>
    <w:rsid w:val="00BB1314"/>
    <w:rsid w:val="00BB13C5"/>
    <w:rsid w:val="00BB1475"/>
    <w:rsid w:val="00BB1494"/>
    <w:rsid w:val="00BB1ADC"/>
    <w:rsid w:val="00BB1E60"/>
    <w:rsid w:val="00BB263D"/>
    <w:rsid w:val="00BB2A91"/>
    <w:rsid w:val="00BB3465"/>
    <w:rsid w:val="00BB3D7A"/>
    <w:rsid w:val="00BB3F75"/>
    <w:rsid w:val="00BB3FA9"/>
    <w:rsid w:val="00BB4233"/>
    <w:rsid w:val="00BB4329"/>
    <w:rsid w:val="00BB4377"/>
    <w:rsid w:val="00BB4520"/>
    <w:rsid w:val="00BB4C93"/>
    <w:rsid w:val="00BB52B6"/>
    <w:rsid w:val="00BB5500"/>
    <w:rsid w:val="00BB571B"/>
    <w:rsid w:val="00BB59A1"/>
    <w:rsid w:val="00BB59A4"/>
    <w:rsid w:val="00BB6698"/>
    <w:rsid w:val="00BB6896"/>
    <w:rsid w:val="00BB6BBE"/>
    <w:rsid w:val="00BB7214"/>
    <w:rsid w:val="00BB75EB"/>
    <w:rsid w:val="00BB7DDD"/>
    <w:rsid w:val="00BB7E42"/>
    <w:rsid w:val="00BC113E"/>
    <w:rsid w:val="00BC11C3"/>
    <w:rsid w:val="00BC1563"/>
    <w:rsid w:val="00BC19B4"/>
    <w:rsid w:val="00BC1E86"/>
    <w:rsid w:val="00BC1EA8"/>
    <w:rsid w:val="00BC20F9"/>
    <w:rsid w:val="00BC23EB"/>
    <w:rsid w:val="00BC29B7"/>
    <w:rsid w:val="00BC2B00"/>
    <w:rsid w:val="00BC3CDC"/>
    <w:rsid w:val="00BC4214"/>
    <w:rsid w:val="00BC4984"/>
    <w:rsid w:val="00BC4C9F"/>
    <w:rsid w:val="00BC4E16"/>
    <w:rsid w:val="00BC52D5"/>
    <w:rsid w:val="00BC5A33"/>
    <w:rsid w:val="00BC60B3"/>
    <w:rsid w:val="00BC6183"/>
    <w:rsid w:val="00BC635A"/>
    <w:rsid w:val="00BC6823"/>
    <w:rsid w:val="00BC747C"/>
    <w:rsid w:val="00BC766B"/>
    <w:rsid w:val="00BC7E1D"/>
    <w:rsid w:val="00BC7EA1"/>
    <w:rsid w:val="00BD09C6"/>
    <w:rsid w:val="00BD13F2"/>
    <w:rsid w:val="00BD2615"/>
    <w:rsid w:val="00BD2C23"/>
    <w:rsid w:val="00BD30A9"/>
    <w:rsid w:val="00BD3755"/>
    <w:rsid w:val="00BD3D16"/>
    <w:rsid w:val="00BD3D5C"/>
    <w:rsid w:val="00BD3F89"/>
    <w:rsid w:val="00BD46D7"/>
    <w:rsid w:val="00BD4B3E"/>
    <w:rsid w:val="00BD4F5C"/>
    <w:rsid w:val="00BD4FEF"/>
    <w:rsid w:val="00BD5027"/>
    <w:rsid w:val="00BD649E"/>
    <w:rsid w:val="00BD64C7"/>
    <w:rsid w:val="00BD7DA6"/>
    <w:rsid w:val="00BE0011"/>
    <w:rsid w:val="00BE0233"/>
    <w:rsid w:val="00BE040E"/>
    <w:rsid w:val="00BE0AE7"/>
    <w:rsid w:val="00BE13FE"/>
    <w:rsid w:val="00BE18ED"/>
    <w:rsid w:val="00BE257B"/>
    <w:rsid w:val="00BE2790"/>
    <w:rsid w:val="00BE2CD9"/>
    <w:rsid w:val="00BE4508"/>
    <w:rsid w:val="00BE4A89"/>
    <w:rsid w:val="00BE4AD5"/>
    <w:rsid w:val="00BE4F51"/>
    <w:rsid w:val="00BE5353"/>
    <w:rsid w:val="00BE5DCB"/>
    <w:rsid w:val="00BE5EA9"/>
    <w:rsid w:val="00BE6206"/>
    <w:rsid w:val="00BE6C3B"/>
    <w:rsid w:val="00BE6F95"/>
    <w:rsid w:val="00BE7BAC"/>
    <w:rsid w:val="00BF031B"/>
    <w:rsid w:val="00BF04E3"/>
    <w:rsid w:val="00BF0C25"/>
    <w:rsid w:val="00BF117A"/>
    <w:rsid w:val="00BF11D7"/>
    <w:rsid w:val="00BF1727"/>
    <w:rsid w:val="00BF2144"/>
    <w:rsid w:val="00BF22A1"/>
    <w:rsid w:val="00BF2314"/>
    <w:rsid w:val="00BF2FFF"/>
    <w:rsid w:val="00BF349F"/>
    <w:rsid w:val="00BF35E2"/>
    <w:rsid w:val="00BF37E0"/>
    <w:rsid w:val="00BF3B18"/>
    <w:rsid w:val="00BF4018"/>
    <w:rsid w:val="00BF41D0"/>
    <w:rsid w:val="00BF4209"/>
    <w:rsid w:val="00BF4443"/>
    <w:rsid w:val="00BF44C5"/>
    <w:rsid w:val="00BF4F82"/>
    <w:rsid w:val="00BF5256"/>
    <w:rsid w:val="00BF5343"/>
    <w:rsid w:val="00BF5484"/>
    <w:rsid w:val="00BF684E"/>
    <w:rsid w:val="00BF6BEC"/>
    <w:rsid w:val="00BF6F90"/>
    <w:rsid w:val="00C000E2"/>
    <w:rsid w:val="00C002BC"/>
    <w:rsid w:val="00C00557"/>
    <w:rsid w:val="00C00AA0"/>
    <w:rsid w:val="00C00AAA"/>
    <w:rsid w:val="00C00FCE"/>
    <w:rsid w:val="00C01A06"/>
    <w:rsid w:val="00C01E00"/>
    <w:rsid w:val="00C0205F"/>
    <w:rsid w:val="00C025A8"/>
    <w:rsid w:val="00C03116"/>
    <w:rsid w:val="00C033AC"/>
    <w:rsid w:val="00C0415F"/>
    <w:rsid w:val="00C0457C"/>
    <w:rsid w:val="00C04C82"/>
    <w:rsid w:val="00C051EF"/>
    <w:rsid w:val="00C05201"/>
    <w:rsid w:val="00C05261"/>
    <w:rsid w:val="00C05274"/>
    <w:rsid w:val="00C05C3F"/>
    <w:rsid w:val="00C073E3"/>
    <w:rsid w:val="00C07BF6"/>
    <w:rsid w:val="00C10382"/>
    <w:rsid w:val="00C107B4"/>
    <w:rsid w:val="00C107FA"/>
    <w:rsid w:val="00C10A6C"/>
    <w:rsid w:val="00C10CA1"/>
    <w:rsid w:val="00C10E53"/>
    <w:rsid w:val="00C11331"/>
    <w:rsid w:val="00C11C6A"/>
    <w:rsid w:val="00C1243F"/>
    <w:rsid w:val="00C12780"/>
    <w:rsid w:val="00C12E12"/>
    <w:rsid w:val="00C132D6"/>
    <w:rsid w:val="00C13A8A"/>
    <w:rsid w:val="00C13BD0"/>
    <w:rsid w:val="00C146E0"/>
    <w:rsid w:val="00C148F1"/>
    <w:rsid w:val="00C14B1A"/>
    <w:rsid w:val="00C14FAF"/>
    <w:rsid w:val="00C15023"/>
    <w:rsid w:val="00C150E7"/>
    <w:rsid w:val="00C1592B"/>
    <w:rsid w:val="00C15BA9"/>
    <w:rsid w:val="00C15C31"/>
    <w:rsid w:val="00C15CBD"/>
    <w:rsid w:val="00C15F53"/>
    <w:rsid w:val="00C1600C"/>
    <w:rsid w:val="00C16881"/>
    <w:rsid w:val="00C16BAA"/>
    <w:rsid w:val="00C17563"/>
    <w:rsid w:val="00C1794B"/>
    <w:rsid w:val="00C2075A"/>
    <w:rsid w:val="00C20A8B"/>
    <w:rsid w:val="00C20C38"/>
    <w:rsid w:val="00C20C7D"/>
    <w:rsid w:val="00C21A13"/>
    <w:rsid w:val="00C22407"/>
    <w:rsid w:val="00C22747"/>
    <w:rsid w:val="00C22AD1"/>
    <w:rsid w:val="00C22B45"/>
    <w:rsid w:val="00C22CF4"/>
    <w:rsid w:val="00C23AFB"/>
    <w:rsid w:val="00C23CC5"/>
    <w:rsid w:val="00C23D66"/>
    <w:rsid w:val="00C24152"/>
    <w:rsid w:val="00C2418B"/>
    <w:rsid w:val="00C24563"/>
    <w:rsid w:val="00C246A7"/>
    <w:rsid w:val="00C246F0"/>
    <w:rsid w:val="00C25279"/>
    <w:rsid w:val="00C2542A"/>
    <w:rsid w:val="00C2595E"/>
    <w:rsid w:val="00C25DF7"/>
    <w:rsid w:val="00C261BB"/>
    <w:rsid w:val="00C26CBB"/>
    <w:rsid w:val="00C26CC2"/>
    <w:rsid w:val="00C270CB"/>
    <w:rsid w:val="00C273F1"/>
    <w:rsid w:val="00C27C55"/>
    <w:rsid w:val="00C27CD4"/>
    <w:rsid w:val="00C30081"/>
    <w:rsid w:val="00C3010F"/>
    <w:rsid w:val="00C305D2"/>
    <w:rsid w:val="00C30753"/>
    <w:rsid w:val="00C30823"/>
    <w:rsid w:val="00C30891"/>
    <w:rsid w:val="00C308BC"/>
    <w:rsid w:val="00C3092C"/>
    <w:rsid w:val="00C3118B"/>
    <w:rsid w:val="00C312FE"/>
    <w:rsid w:val="00C3143C"/>
    <w:rsid w:val="00C31A53"/>
    <w:rsid w:val="00C31BD0"/>
    <w:rsid w:val="00C31EF3"/>
    <w:rsid w:val="00C32455"/>
    <w:rsid w:val="00C32934"/>
    <w:rsid w:val="00C3457A"/>
    <w:rsid w:val="00C34C3F"/>
    <w:rsid w:val="00C35172"/>
    <w:rsid w:val="00C35275"/>
    <w:rsid w:val="00C35349"/>
    <w:rsid w:val="00C35611"/>
    <w:rsid w:val="00C3645D"/>
    <w:rsid w:val="00C36DE0"/>
    <w:rsid w:val="00C36ED7"/>
    <w:rsid w:val="00C376A3"/>
    <w:rsid w:val="00C378AC"/>
    <w:rsid w:val="00C4035D"/>
    <w:rsid w:val="00C408E4"/>
    <w:rsid w:val="00C40A94"/>
    <w:rsid w:val="00C40BCC"/>
    <w:rsid w:val="00C40E61"/>
    <w:rsid w:val="00C40EEE"/>
    <w:rsid w:val="00C41850"/>
    <w:rsid w:val="00C41C4F"/>
    <w:rsid w:val="00C4259D"/>
    <w:rsid w:val="00C42973"/>
    <w:rsid w:val="00C42A61"/>
    <w:rsid w:val="00C43075"/>
    <w:rsid w:val="00C43ECB"/>
    <w:rsid w:val="00C43EFA"/>
    <w:rsid w:val="00C442DF"/>
    <w:rsid w:val="00C44743"/>
    <w:rsid w:val="00C4479E"/>
    <w:rsid w:val="00C4486D"/>
    <w:rsid w:val="00C448B3"/>
    <w:rsid w:val="00C44A68"/>
    <w:rsid w:val="00C44B77"/>
    <w:rsid w:val="00C45439"/>
    <w:rsid w:val="00C46F92"/>
    <w:rsid w:val="00C47909"/>
    <w:rsid w:val="00C47969"/>
    <w:rsid w:val="00C47F84"/>
    <w:rsid w:val="00C5094F"/>
    <w:rsid w:val="00C50D4A"/>
    <w:rsid w:val="00C50DFA"/>
    <w:rsid w:val="00C50F5A"/>
    <w:rsid w:val="00C514AC"/>
    <w:rsid w:val="00C51516"/>
    <w:rsid w:val="00C51CDA"/>
    <w:rsid w:val="00C51D1E"/>
    <w:rsid w:val="00C52924"/>
    <w:rsid w:val="00C52A90"/>
    <w:rsid w:val="00C52E7F"/>
    <w:rsid w:val="00C5359D"/>
    <w:rsid w:val="00C543DB"/>
    <w:rsid w:val="00C55958"/>
    <w:rsid w:val="00C56821"/>
    <w:rsid w:val="00C5685E"/>
    <w:rsid w:val="00C56996"/>
    <w:rsid w:val="00C56A06"/>
    <w:rsid w:val="00C56B21"/>
    <w:rsid w:val="00C5716E"/>
    <w:rsid w:val="00C5779C"/>
    <w:rsid w:val="00C604A1"/>
    <w:rsid w:val="00C60765"/>
    <w:rsid w:val="00C60E24"/>
    <w:rsid w:val="00C61CDF"/>
    <w:rsid w:val="00C62328"/>
    <w:rsid w:val="00C62727"/>
    <w:rsid w:val="00C6299E"/>
    <w:rsid w:val="00C62B68"/>
    <w:rsid w:val="00C62CFA"/>
    <w:rsid w:val="00C634A7"/>
    <w:rsid w:val="00C6361C"/>
    <w:rsid w:val="00C63C37"/>
    <w:rsid w:val="00C647FA"/>
    <w:rsid w:val="00C64DFC"/>
    <w:rsid w:val="00C65959"/>
    <w:rsid w:val="00C65B2F"/>
    <w:rsid w:val="00C663DD"/>
    <w:rsid w:val="00C66886"/>
    <w:rsid w:val="00C66BA4"/>
    <w:rsid w:val="00C66C08"/>
    <w:rsid w:val="00C66C66"/>
    <w:rsid w:val="00C672A5"/>
    <w:rsid w:val="00C6746B"/>
    <w:rsid w:val="00C70236"/>
    <w:rsid w:val="00C70726"/>
    <w:rsid w:val="00C70C60"/>
    <w:rsid w:val="00C71021"/>
    <w:rsid w:val="00C720A2"/>
    <w:rsid w:val="00C72922"/>
    <w:rsid w:val="00C72E5F"/>
    <w:rsid w:val="00C72F94"/>
    <w:rsid w:val="00C73005"/>
    <w:rsid w:val="00C74020"/>
    <w:rsid w:val="00C74834"/>
    <w:rsid w:val="00C759B4"/>
    <w:rsid w:val="00C75CD9"/>
    <w:rsid w:val="00C7689D"/>
    <w:rsid w:val="00C76F9F"/>
    <w:rsid w:val="00C7705A"/>
    <w:rsid w:val="00C77853"/>
    <w:rsid w:val="00C77A87"/>
    <w:rsid w:val="00C8044B"/>
    <w:rsid w:val="00C8142A"/>
    <w:rsid w:val="00C82016"/>
    <w:rsid w:val="00C82571"/>
    <w:rsid w:val="00C8274D"/>
    <w:rsid w:val="00C83152"/>
    <w:rsid w:val="00C83348"/>
    <w:rsid w:val="00C83E73"/>
    <w:rsid w:val="00C844E1"/>
    <w:rsid w:val="00C84E4B"/>
    <w:rsid w:val="00C8587D"/>
    <w:rsid w:val="00C85C4B"/>
    <w:rsid w:val="00C86CFC"/>
    <w:rsid w:val="00C86FF2"/>
    <w:rsid w:val="00C8732F"/>
    <w:rsid w:val="00C879CE"/>
    <w:rsid w:val="00C905AA"/>
    <w:rsid w:val="00C9075B"/>
    <w:rsid w:val="00C908A5"/>
    <w:rsid w:val="00C90CB7"/>
    <w:rsid w:val="00C913B7"/>
    <w:rsid w:val="00C919C0"/>
    <w:rsid w:val="00C91AFD"/>
    <w:rsid w:val="00C920E2"/>
    <w:rsid w:val="00C92528"/>
    <w:rsid w:val="00C925A8"/>
    <w:rsid w:val="00C92CD0"/>
    <w:rsid w:val="00C94647"/>
    <w:rsid w:val="00C955D8"/>
    <w:rsid w:val="00C95C06"/>
    <w:rsid w:val="00C95DD2"/>
    <w:rsid w:val="00C96280"/>
    <w:rsid w:val="00C962F1"/>
    <w:rsid w:val="00C96E81"/>
    <w:rsid w:val="00C97138"/>
    <w:rsid w:val="00C974B2"/>
    <w:rsid w:val="00C97F98"/>
    <w:rsid w:val="00CA035B"/>
    <w:rsid w:val="00CA09C2"/>
    <w:rsid w:val="00CA0BB4"/>
    <w:rsid w:val="00CA1232"/>
    <w:rsid w:val="00CA25C5"/>
    <w:rsid w:val="00CA281B"/>
    <w:rsid w:val="00CA2D61"/>
    <w:rsid w:val="00CA2F3E"/>
    <w:rsid w:val="00CA335B"/>
    <w:rsid w:val="00CA36AD"/>
    <w:rsid w:val="00CA3EA0"/>
    <w:rsid w:val="00CA40D3"/>
    <w:rsid w:val="00CA425D"/>
    <w:rsid w:val="00CA4524"/>
    <w:rsid w:val="00CA45F0"/>
    <w:rsid w:val="00CA4E29"/>
    <w:rsid w:val="00CA5044"/>
    <w:rsid w:val="00CA5FD3"/>
    <w:rsid w:val="00CA62C9"/>
    <w:rsid w:val="00CA6AA4"/>
    <w:rsid w:val="00CA6B1C"/>
    <w:rsid w:val="00CA6BD7"/>
    <w:rsid w:val="00CA6DFB"/>
    <w:rsid w:val="00CA6FDF"/>
    <w:rsid w:val="00CA7063"/>
    <w:rsid w:val="00CA72C6"/>
    <w:rsid w:val="00CA7870"/>
    <w:rsid w:val="00CA7B10"/>
    <w:rsid w:val="00CA7DB3"/>
    <w:rsid w:val="00CB00CF"/>
    <w:rsid w:val="00CB01EC"/>
    <w:rsid w:val="00CB0362"/>
    <w:rsid w:val="00CB0BF5"/>
    <w:rsid w:val="00CB1B42"/>
    <w:rsid w:val="00CB1EB1"/>
    <w:rsid w:val="00CB1FC8"/>
    <w:rsid w:val="00CB205D"/>
    <w:rsid w:val="00CB275A"/>
    <w:rsid w:val="00CB2C8B"/>
    <w:rsid w:val="00CB2EC0"/>
    <w:rsid w:val="00CB30BC"/>
    <w:rsid w:val="00CB37DF"/>
    <w:rsid w:val="00CB3D90"/>
    <w:rsid w:val="00CB3DB5"/>
    <w:rsid w:val="00CB3F41"/>
    <w:rsid w:val="00CB5FA5"/>
    <w:rsid w:val="00CB6113"/>
    <w:rsid w:val="00CB670E"/>
    <w:rsid w:val="00CB7103"/>
    <w:rsid w:val="00CB7859"/>
    <w:rsid w:val="00CB79CC"/>
    <w:rsid w:val="00CC0003"/>
    <w:rsid w:val="00CC009C"/>
    <w:rsid w:val="00CC14AF"/>
    <w:rsid w:val="00CC1C19"/>
    <w:rsid w:val="00CC1CE9"/>
    <w:rsid w:val="00CC21AA"/>
    <w:rsid w:val="00CC246F"/>
    <w:rsid w:val="00CC26FF"/>
    <w:rsid w:val="00CC2872"/>
    <w:rsid w:val="00CC2910"/>
    <w:rsid w:val="00CC2A9B"/>
    <w:rsid w:val="00CC2B30"/>
    <w:rsid w:val="00CC35E8"/>
    <w:rsid w:val="00CC369F"/>
    <w:rsid w:val="00CC3A75"/>
    <w:rsid w:val="00CC3E05"/>
    <w:rsid w:val="00CC4597"/>
    <w:rsid w:val="00CC4EC6"/>
    <w:rsid w:val="00CC5AD6"/>
    <w:rsid w:val="00CC6A19"/>
    <w:rsid w:val="00CC6E59"/>
    <w:rsid w:val="00CC77F0"/>
    <w:rsid w:val="00CC78A1"/>
    <w:rsid w:val="00CD0009"/>
    <w:rsid w:val="00CD08B4"/>
    <w:rsid w:val="00CD154C"/>
    <w:rsid w:val="00CD2D1A"/>
    <w:rsid w:val="00CD387A"/>
    <w:rsid w:val="00CD3D17"/>
    <w:rsid w:val="00CD4248"/>
    <w:rsid w:val="00CD483F"/>
    <w:rsid w:val="00CD5830"/>
    <w:rsid w:val="00CD5E0C"/>
    <w:rsid w:val="00CD65F5"/>
    <w:rsid w:val="00CD688D"/>
    <w:rsid w:val="00CD6BC5"/>
    <w:rsid w:val="00CD6DB7"/>
    <w:rsid w:val="00CD7488"/>
    <w:rsid w:val="00CD7741"/>
    <w:rsid w:val="00CE049A"/>
    <w:rsid w:val="00CE0816"/>
    <w:rsid w:val="00CE0A9B"/>
    <w:rsid w:val="00CE0E24"/>
    <w:rsid w:val="00CE0EC4"/>
    <w:rsid w:val="00CE0F1A"/>
    <w:rsid w:val="00CE11BC"/>
    <w:rsid w:val="00CE19D9"/>
    <w:rsid w:val="00CE28C8"/>
    <w:rsid w:val="00CE30F4"/>
    <w:rsid w:val="00CE351A"/>
    <w:rsid w:val="00CE4267"/>
    <w:rsid w:val="00CE45DE"/>
    <w:rsid w:val="00CE5B59"/>
    <w:rsid w:val="00CE600A"/>
    <w:rsid w:val="00CE6113"/>
    <w:rsid w:val="00CE633F"/>
    <w:rsid w:val="00CE6711"/>
    <w:rsid w:val="00CE6CDE"/>
    <w:rsid w:val="00CE7BAB"/>
    <w:rsid w:val="00CE7F36"/>
    <w:rsid w:val="00CF0756"/>
    <w:rsid w:val="00CF0A89"/>
    <w:rsid w:val="00CF1248"/>
    <w:rsid w:val="00CF1415"/>
    <w:rsid w:val="00CF1512"/>
    <w:rsid w:val="00CF1517"/>
    <w:rsid w:val="00CF1618"/>
    <w:rsid w:val="00CF1C50"/>
    <w:rsid w:val="00CF205D"/>
    <w:rsid w:val="00CF29C2"/>
    <w:rsid w:val="00CF33B6"/>
    <w:rsid w:val="00CF33F4"/>
    <w:rsid w:val="00CF35B3"/>
    <w:rsid w:val="00CF37F7"/>
    <w:rsid w:val="00CF3A9C"/>
    <w:rsid w:val="00CF3F9E"/>
    <w:rsid w:val="00CF4D42"/>
    <w:rsid w:val="00CF6AAC"/>
    <w:rsid w:val="00CF7309"/>
    <w:rsid w:val="00CF760A"/>
    <w:rsid w:val="00CF7795"/>
    <w:rsid w:val="00CF7E66"/>
    <w:rsid w:val="00CF7FF5"/>
    <w:rsid w:val="00D00245"/>
    <w:rsid w:val="00D004F4"/>
    <w:rsid w:val="00D0061C"/>
    <w:rsid w:val="00D00C5B"/>
    <w:rsid w:val="00D00DEB"/>
    <w:rsid w:val="00D00E28"/>
    <w:rsid w:val="00D01306"/>
    <w:rsid w:val="00D01478"/>
    <w:rsid w:val="00D014BD"/>
    <w:rsid w:val="00D01AB9"/>
    <w:rsid w:val="00D01D97"/>
    <w:rsid w:val="00D02370"/>
    <w:rsid w:val="00D02504"/>
    <w:rsid w:val="00D02882"/>
    <w:rsid w:val="00D02D85"/>
    <w:rsid w:val="00D02F0B"/>
    <w:rsid w:val="00D03115"/>
    <w:rsid w:val="00D0396B"/>
    <w:rsid w:val="00D03F76"/>
    <w:rsid w:val="00D04279"/>
    <w:rsid w:val="00D0472C"/>
    <w:rsid w:val="00D048D6"/>
    <w:rsid w:val="00D04BA2"/>
    <w:rsid w:val="00D050C2"/>
    <w:rsid w:val="00D05386"/>
    <w:rsid w:val="00D05D30"/>
    <w:rsid w:val="00D06FD0"/>
    <w:rsid w:val="00D0736B"/>
    <w:rsid w:val="00D0772A"/>
    <w:rsid w:val="00D07BFF"/>
    <w:rsid w:val="00D10385"/>
    <w:rsid w:val="00D108D2"/>
    <w:rsid w:val="00D11732"/>
    <w:rsid w:val="00D117CD"/>
    <w:rsid w:val="00D11A25"/>
    <w:rsid w:val="00D11CA9"/>
    <w:rsid w:val="00D129D1"/>
    <w:rsid w:val="00D12A7A"/>
    <w:rsid w:val="00D131AC"/>
    <w:rsid w:val="00D140D2"/>
    <w:rsid w:val="00D140F2"/>
    <w:rsid w:val="00D1459B"/>
    <w:rsid w:val="00D14878"/>
    <w:rsid w:val="00D14C75"/>
    <w:rsid w:val="00D14D96"/>
    <w:rsid w:val="00D1501E"/>
    <w:rsid w:val="00D15317"/>
    <w:rsid w:val="00D15416"/>
    <w:rsid w:val="00D15578"/>
    <w:rsid w:val="00D15D33"/>
    <w:rsid w:val="00D15F08"/>
    <w:rsid w:val="00D1639B"/>
    <w:rsid w:val="00D16548"/>
    <w:rsid w:val="00D166F3"/>
    <w:rsid w:val="00D16A55"/>
    <w:rsid w:val="00D16A7F"/>
    <w:rsid w:val="00D16BBC"/>
    <w:rsid w:val="00D16E52"/>
    <w:rsid w:val="00D171BF"/>
    <w:rsid w:val="00D17235"/>
    <w:rsid w:val="00D176BE"/>
    <w:rsid w:val="00D17700"/>
    <w:rsid w:val="00D17A05"/>
    <w:rsid w:val="00D17ABF"/>
    <w:rsid w:val="00D17D26"/>
    <w:rsid w:val="00D2072F"/>
    <w:rsid w:val="00D20B99"/>
    <w:rsid w:val="00D20CA3"/>
    <w:rsid w:val="00D212FA"/>
    <w:rsid w:val="00D21963"/>
    <w:rsid w:val="00D219EE"/>
    <w:rsid w:val="00D21C2D"/>
    <w:rsid w:val="00D21E90"/>
    <w:rsid w:val="00D21FAF"/>
    <w:rsid w:val="00D22223"/>
    <w:rsid w:val="00D22A1F"/>
    <w:rsid w:val="00D22EB5"/>
    <w:rsid w:val="00D23166"/>
    <w:rsid w:val="00D23C99"/>
    <w:rsid w:val="00D23E10"/>
    <w:rsid w:val="00D23FBC"/>
    <w:rsid w:val="00D2428C"/>
    <w:rsid w:val="00D246D5"/>
    <w:rsid w:val="00D2480D"/>
    <w:rsid w:val="00D26A06"/>
    <w:rsid w:val="00D2729D"/>
    <w:rsid w:val="00D27AF7"/>
    <w:rsid w:val="00D27EC9"/>
    <w:rsid w:val="00D27F0D"/>
    <w:rsid w:val="00D30150"/>
    <w:rsid w:val="00D30A04"/>
    <w:rsid w:val="00D31580"/>
    <w:rsid w:val="00D31F92"/>
    <w:rsid w:val="00D3200B"/>
    <w:rsid w:val="00D32538"/>
    <w:rsid w:val="00D3288C"/>
    <w:rsid w:val="00D338B8"/>
    <w:rsid w:val="00D33E6D"/>
    <w:rsid w:val="00D34755"/>
    <w:rsid w:val="00D34B65"/>
    <w:rsid w:val="00D363BE"/>
    <w:rsid w:val="00D367D4"/>
    <w:rsid w:val="00D37D56"/>
    <w:rsid w:val="00D37DA4"/>
    <w:rsid w:val="00D37E43"/>
    <w:rsid w:val="00D40163"/>
    <w:rsid w:val="00D40636"/>
    <w:rsid w:val="00D408DF"/>
    <w:rsid w:val="00D40BBA"/>
    <w:rsid w:val="00D40C87"/>
    <w:rsid w:val="00D414B4"/>
    <w:rsid w:val="00D41DE4"/>
    <w:rsid w:val="00D4245C"/>
    <w:rsid w:val="00D42812"/>
    <w:rsid w:val="00D42A25"/>
    <w:rsid w:val="00D43438"/>
    <w:rsid w:val="00D4346A"/>
    <w:rsid w:val="00D43A70"/>
    <w:rsid w:val="00D43BD5"/>
    <w:rsid w:val="00D43CF4"/>
    <w:rsid w:val="00D440C0"/>
    <w:rsid w:val="00D44375"/>
    <w:rsid w:val="00D443E9"/>
    <w:rsid w:val="00D4453D"/>
    <w:rsid w:val="00D44556"/>
    <w:rsid w:val="00D44914"/>
    <w:rsid w:val="00D44A5A"/>
    <w:rsid w:val="00D44B6C"/>
    <w:rsid w:val="00D4516B"/>
    <w:rsid w:val="00D453B7"/>
    <w:rsid w:val="00D456D2"/>
    <w:rsid w:val="00D46039"/>
    <w:rsid w:val="00D460AD"/>
    <w:rsid w:val="00D46146"/>
    <w:rsid w:val="00D4634D"/>
    <w:rsid w:val="00D46574"/>
    <w:rsid w:val="00D4695C"/>
    <w:rsid w:val="00D46DF3"/>
    <w:rsid w:val="00D47079"/>
    <w:rsid w:val="00D47D53"/>
    <w:rsid w:val="00D47DD1"/>
    <w:rsid w:val="00D503F3"/>
    <w:rsid w:val="00D5079A"/>
    <w:rsid w:val="00D50C57"/>
    <w:rsid w:val="00D50CFD"/>
    <w:rsid w:val="00D50DC0"/>
    <w:rsid w:val="00D51502"/>
    <w:rsid w:val="00D517F4"/>
    <w:rsid w:val="00D51842"/>
    <w:rsid w:val="00D52043"/>
    <w:rsid w:val="00D52118"/>
    <w:rsid w:val="00D5264E"/>
    <w:rsid w:val="00D5288D"/>
    <w:rsid w:val="00D52A73"/>
    <w:rsid w:val="00D52E44"/>
    <w:rsid w:val="00D53036"/>
    <w:rsid w:val="00D531AB"/>
    <w:rsid w:val="00D53216"/>
    <w:rsid w:val="00D53945"/>
    <w:rsid w:val="00D53AB7"/>
    <w:rsid w:val="00D54023"/>
    <w:rsid w:val="00D54BA9"/>
    <w:rsid w:val="00D54F47"/>
    <w:rsid w:val="00D5511A"/>
    <w:rsid w:val="00D551D9"/>
    <w:rsid w:val="00D55E63"/>
    <w:rsid w:val="00D5601D"/>
    <w:rsid w:val="00D56565"/>
    <w:rsid w:val="00D5668A"/>
    <w:rsid w:val="00D56C60"/>
    <w:rsid w:val="00D5736E"/>
    <w:rsid w:val="00D5743A"/>
    <w:rsid w:val="00D57959"/>
    <w:rsid w:val="00D601B0"/>
    <w:rsid w:val="00D6110F"/>
    <w:rsid w:val="00D6129D"/>
    <w:rsid w:val="00D616FA"/>
    <w:rsid w:val="00D61BC9"/>
    <w:rsid w:val="00D61CA6"/>
    <w:rsid w:val="00D61FDD"/>
    <w:rsid w:val="00D6241C"/>
    <w:rsid w:val="00D62817"/>
    <w:rsid w:val="00D6368F"/>
    <w:rsid w:val="00D63815"/>
    <w:rsid w:val="00D63FF3"/>
    <w:rsid w:val="00D6475F"/>
    <w:rsid w:val="00D648D6"/>
    <w:rsid w:val="00D64C6C"/>
    <w:rsid w:val="00D651A3"/>
    <w:rsid w:val="00D65833"/>
    <w:rsid w:val="00D659D7"/>
    <w:rsid w:val="00D6617E"/>
    <w:rsid w:val="00D6646D"/>
    <w:rsid w:val="00D66E11"/>
    <w:rsid w:val="00D67AEF"/>
    <w:rsid w:val="00D67C73"/>
    <w:rsid w:val="00D70770"/>
    <w:rsid w:val="00D70F07"/>
    <w:rsid w:val="00D70F84"/>
    <w:rsid w:val="00D71401"/>
    <w:rsid w:val="00D71456"/>
    <w:rsid w:val="00D72607"/>
    <w:rsid w:val="00D726D8"/>
    <w:rsid w:val="00D72B91"/>
    <w:rsid w:val="00D73262"/>
    <w:rsid w:val="00D73537"/>
    <w:rsid w:val="00D735EA"/>
    <w:rsid w:val="00D747BB"/>
    <w:rsid w:val="00D74819"/>
    <w:rsid w:val="00D75211"/>
    <w:rsid w:val="00D7575E"/>
    <w:rsid w:val="00D75892"/>
    <w:rsid w:val="00D759B1"/>
    <w:rsid w:val="00D75E45"/>
    <w:rsid w:val="00D75FF2"/>
    <w:rsid w:val="00D76663"/>
    <w:rsid w:val="00D76DD1"/>
    <w:rsid w:val="00D76ED6"/>
    <w:rsid w:val="00D77BEF"/>
    <w:rsid w:val="00D804D0"/>
    <w:rsid w:val="00D807A1"/>
    <w:rsid w:val="00D80862"/>
    <w:rsid w:val="00D80908"/>
    <w:rsid w:val="00D81614"/>
    <w:rsid w:val="00D81CE5"/>
    <w:rsid w:val="00D81FF2"/>
    <w:rsid w:val="00D82F7B"/>
    <w:rsid w:val="00D8369B"/>
    <w:rsid w:val="00D83C4F"/>
    <w:rsid w:val="00D83D60"/>
    <w:rsid w:val="00D84DCC"/>
    <w:rsid w:val="00D85598"/>
    <w:rsid w:val="00D859F0"/>
    <w:rsid w:val="00D85A46"/>
    <w:rsid w:val="00D85AF8"/>
    <w:rsid w:val="00D86F95"/>
    <w:rsid w:val="00D875F1"/>
    <w:rsid w:val="00D87CB9"/>
    <w:rsid w:val="00D90902"/>
    <w:rsid w:val="00D91760"/>
    <w:rsid w:val="00D91B0A"/>
    <w:rsid w:val="00D91D63"/>
    <w:rsid w:val="00D91D87"/>
    <w:rsid w:val="00D91F5D"/>
    <w:rsid w:val="00D92002"/>
    <w:rsid w:val="00D92A88"/>
    <w:rsid w:val="00D92AAE"/>
    <w:rsid w:val="00D92D2C"/>
    <w:rsid w:val="00D935B2"/>
    <w:rsid w:val="00D93C23"/>
    <w:rsid w:val="00D93FD0"/>
    <w:rsid w:val="00D9416E"/>
    <w:rsid w:val="00D95845"/>
    <w:rsid w:val="00D95950"/>
    <w:rsid w:val="00D95BBF"/>
    <w:rsid w:val="00D95D8E"/>
    <w:rsid w:val="00D95EBF"/>
    <w:rsid w:val="00D96004"/>
    <w:rsid w:val="00D96272"/>
    <w:rsid w:val="00D962B7"/>
    <w:rsid w:val="00D96DAC"/>
    <w:rsid w:val="00D96E41"/>
    <w:rsid w:val="00D97945"/>
    <w:rsid w:val="00D97C05"/>
    <w:rsid w:val="00DA0585"/>
    <w:rsid w:val="00DA1950"/>
    <w:rsid w:val="00DA1BE4"/>
    <w:rsid w:val="00DA20E9"/>
    <w:rsid w:val="00DA25D8"/>
    <w:rsid w:val="00DA384B"/>
    <w:rsid w:val="00DA4C3A"/>
    <w:rsid w:val="00DA4F87"/>
    <w:rsid w:val="00DA500F"/>
    <w:rsid w:val="00DA5EDC"/>
    <w:rsid w:val="00DA64B9"/>
    <w:rsid w:val="00DA7911"/>
    <w:rsid w:val="00DA7D03"/>
    <w:rsid w:val="00DB02C6"/>
    <w:rsid w:val="00DB0E56"/>
    <w:rsid w:val="00DB0FF3"/>
    <w:rsid w:val="00DB1916"/>
    <w:rsid w:val="00DB1DA4"/>
    <w:rsid w:val="00DB1FF8"/>
    <w:rsid w:val="00DB2033"/>
    <w:rsid w:val="00DB26DC"/>
    <w:rsid w:val="00DB2D73"/>
    <w:rsid w:val="00DB31D7"/>
    <w:rsid w:val="00DB3455"/>
    <w:rsid w:val="00DB3EAE"/>
    <w:rsid w:val="00DB4012"/>
    <w:rsid w:val="00DB41DE"/>
    <w:rsid w:val="00DB4369"/>
    <w:rsid w:val="00DB4705"/>
    <w:rsid w:val="00DB4D05"/>
    <w:rsid w:val="00DB4DD9"/>
    <w:rsid w:val="00DB5262"/>
    <w:rsid w:val="00DB5409"/>
    <w:rsid w:val="00DB63FB"/>
    <w:rsid w:val="00DB6966"/>
    <w:rsid w:val="00DB6BB4"/>
    <w:rsid w:val="00DB71A8"/>
    <w:rsid w:val="00DB71AD"/>
    <w:rsid w:val="00DB7759"/>
    <w:rsid w:val="00DC0FE4"/>
    <w:rsid w:val="00DC1143"/>
    <w:rsid w:val="00DC1191"/>
    <w:rsid w:val="00DC13F6"/>
    <w:rsid w:val="00DC174C"/>
    <w:rsid w:val="00DC184C"/>
    <w:rsid w:val="00DC20E0"/>
    <w:rsid w:val="00DC2C7D"/>
    <w:rsid w:val="00DC32E7"/>
    <w:rsid w:val="00DC373D"/>
    <w:rsid w:val="00DC37C6"/>
    <w:rsid w:val="00DC430A"/>
    <w:rsid w:val="00DC4322"/>
    <w:rsid w:val="00DC4618"/>
    <w:rsid w:val="00DC47AD"/>
    <w:rsid w:val="00DC4EA4"/>
    <w:rsid w:val="00DC4F4F"/>
    <w:rsid w:val="00DC560A"/>
    <w:rsid w:val="00DC5917"/>
    <w:rsid w:val="00DC5943"/>
    <w:rsid w:val="00DC60C2"/>
    <w:rsid w:val="00DC6381"/>
    <w:rsid w:val="00DC6690"/>
    <w:rsid w:val="00DC683A"/>
    <w:rsid w:val="00DC69EF"/>
    <w:rsid w:val="00DC70B3"/>
    <w:rsid w:val="00DC73C6"/>
    <w:rsid w:val="00DC7434"/>
    <w:rsid w:val="00DC76BB"/>
    <w:rsid w:val="00DC76CF"/>
    <w:rsid w:val="00DD028B"/>
    <w:rsid w:val="00DD0406"/>
    <w:rsid w:val="00DD044D"/>
    <w:rsid w:val="00DD18AF"/>
    <w:rsid w:val="00DD1E30"/>
    <w:rsid w:val="00DD1EDB"/>
    <w:rsid w:val="00DD27BB"/>
    <w:rsid w:val="00DD3475"/>
    <w:rsid w:val="00DD3768"/>
    <w:rsid w:val="00DD3C96"/>
    <w:rsid w:val="00DD4640"/>
    <w:rsid w:val="00DD4D1F"/>
    <w:rsid w:val="00DD5EA1"/>
    <w:rsid w:val="00DD5ED9"/>
    <w:rsid w:val="00DD625D"/>
    <w:rsid w:val="00DD6659"/>
    <w:rsid w:val="00DD6B63"/>
    <w:rsid w:val="00DD714E"/>
    <w:rsid w:val="00DD7BA8"/>
    <w:rsid w:val="00DE05A8"/>
    <w:rsid w:val="00DE0797"/>
    <w:rsid w:val="00DE0DFF"/>
    <w:rsid w:val="00DE13B4"/>
    <w:rsid w:val="00DE151E"/>
    <w:rsid w:val="00DE15F2"/>
    <w:rsid w:val="00DE1950"/>
    <w:rsid w:val="00DE1E2E"/>
    <w:rsid w:val="00DE2581"/>
    <w:rsid w:val="00DE2A9A"/>
    <w:rsid w:val="00DE2B40"/>
    <w:rsid w:val="00DE2B81"/>
    <w:rsid w:val="00DE2CF3"/>
    <w:rsid w:val="00DE31F4"/>
    <w:rsid w:val="00DE3718"/>
    <w:rsid w:val="00DE3DCB"/>
    <w:rsid w:val="00DE3E39"/>
    <w:rsid w:val="00DE4093"/>
    <w:rsid w:val="00DE43D9"/>
    <w:rsid w:val="00DE627F"/>
    <w:rsid w:val="00DE6484"/>
    <w:rsid w:val="00DE6831"/>
    <w:rsid w:val="00DE6D1E"/>
    <w:rsid w:val="00DE6F6F"/>
    <w:rsid w:val="00DE7098"/>
    <w:rsid w:val="00DE7D01"/>
    <w:rsid w:val="00DE7F39"/>
    <w:rsid w:val="00DF0993"/>
    <w:rsid w:val="00DF1193"/>
    <w:rsid w:val="00DF18CF"/>
    <w:rsid w:val="00DF2B42"/>
    <w:rsid w:val="00DF2EC3"/>
    <w:rsid w:val="00DF2FB5"/>
    <w:rsid w:val="00DF3597"/>
    <w:rsid w:val="00DF38DD"/>
    <w:rsid w:val="00DF3A48"/>
    <w:rsid w:val="00DF4070"/>
    <w:rsid w:val="00DF4209"/>
    <w:rsid w:val="00DF4286"/>
    <w:rsid w:val="00DF4314"/>
    <w:rsid w:val="00DF449C"/>
    <w:rsid w:val="00DF4BFF"/>
    <w:rsid w:val="00DF5060"/>
    <w:rsid w:val="00DF52DE"/>
    <w:rsid w:val="00DF5337"/>
    <w:rsid w:val="00DF5469"/>
    <w:rsid w:val="00DF584F"/>
    <w:rsid w:val="00DF5C16"/>
    <w:rsid w:val="00DF6774"/>
    <w:rsid w:val="00DF6BD2"/>
    <w:rsid w:val="00DF6E21"/>
    <w:rsid w:val="00DF6F72"/>
    <w:rsid w:val="00DF76B0"/>
    <w:rsid w:val="00DF7C98"/>
    <w:rsid w:val="00E006CF"/>
    <w:rsid w:val="00E00882"/>
    <w:rsid w:val="00E00D59"/>
    <w:rsid w:val="00E01A3E"/>
    <w:rsid w:val="00E021FD"/>
    <w:rsid w:val="00E022E4"/>
    <w:rsid w:val="00E028C9"/>
    <w:rsid w:val="00E02AAE"/>
    <w:rsid w:val="00E03150"/>
    <w:rsid w:val="00E03373"/>
    <w:rsid w:val="00E0364E"/>
    <w:rsid w:val="00E03815"/>
    <w:rsid w:val="00E039A2"/>
    <w:rsid w:val="00E03AD2"/>
    <w:rsid w:val="00E03DB8"/>
    <w:rsid w:val="00E041A7"/>
    <w:rsid w:val="00E042CA"/>
    <w:rsid w:val="00E0431B"/>
    <w:rsid w:val="00E04673"/>
    <w:rsid w:val="00E05220"/>
    <w:rsid w:val="00E05343"/>
    <w:rsid w:val="00E05375"/>
    <w:rsid w:val="00E0542C"/>
    <w:rsid w:val="00E05724"/>
    <w:rsid w:val="00E057DC"/>
    <w:rsid w:val="00E05A21"/>
    <w:rsid w:val="00E05A5E"/>
    <w:rsid w:val="00E0631D"/>
    <w:rsid w:val="00E06805"/>
    <w:rsid w:val="00E0688E"/>
    <w:rsid w:val="00E1016D"/>
    <w:rsid w:val="00E1026C"/>
    <w:rsid w:val="00E105C3"/>
    <w:rsid w:val="00E10E38"/>
    <w:rsid w:val="00E10E60"/>
    <w:rsid w:val="00E1194B"/>
    <w:rsid w:val="00E1247E"/>
    <w:rsid w:val="00E12ECE"/>
    <w:rsid w:val="00E13A57"/>
    <w:rsid w:val="00E141C3"/>
    <w:rsid w:val="00E14471"/>
    <w:rsid w:val="00E145BB"/>
    <w:rsid w:val="00E14A9C"/>
    <w:rsid w:val="00E14BAD"/>
    <w:rsid w:val="00E14D1E"/>
    <w:rsid w:val="00E15753"/>
    <w:rsid w:val="00E15F57"/>
    <w:rsid w:val="00E161B8"/>
    <w:rsid w:val="00E16AD6"/>
    <w:rsid w:val="00E16E90"/>
    <w:rsid w:val="00E175EB"/>
    <w:rsid w:val="00E17AB8"/>
    <w:rsid w:val="00E203F6"/>
    <w:rsid w:val="00E2054F"/>
    <w:rsid w:val="00E20715"/>
    <w:rsid w:val="00E20D55"/>
    <w:rsid w:val="00E21203"/>
    <w:rsid w:val="00E21237"/>
    <w:rsid w:val="00E214CF"/>
    <w:rsid w:val="00E21774"/>
    <w:rsid w:val="00E21BCF"/>
    <w:rsid w:val="00E221DB"/>
    <w:rsid w:val="00E22403"/>
    <w:rsid w:val="00E22624"/>
    <w:rsid w:val="00E22B4B"/>
    <w:rsid w:val="00E22CCA"/>
    <w:rsid w:val="00E22F4F"/>
    <w:rsid w:val="00E23D4F"/>
    <w:rsid w:val="00E254D3"/>
    <w:rsid w:val="00E257A2"/>
    <w:rsid w:val="00E2594A"/>
    <w:rsid w:val="00E25C50"/>
    <w:rsid w:val="00E263D9"/>
    <w:rsid w:val="00E2789C"/>
    <w:rsid w:val="00E279A0"/>
    <w:rsid w:val="00E303F9"/>
    <w:rsid w:val="00E3041A"/>
    <w:rsid w:val="00E310EC"/>
    <w:rsid w:val="00E31367"/>
    <w:rsid w:val="00E3156B"/>
    <w:rsid w:val="00E31F00"/>
    <w:rsid w:val="00E31FC7"/>
    <w:rsid w:val="00E32134"/>
    <w:rsid w:val="00E3250A"/>
    <w:rsid w:val="00E32781"/>
    <w:rsid w:val="00E329C8"/>
    <w:rsid w:val="00E34C58"/>
    <w:rsid w:val="00E3563B"/>
    <w:rsid w:val="00E3572C"/>
    <w:rsid w:val="00E363E3"/>
    <w:rsid w:val="00E36946"/>
    <w:rsid w:val="00E36FC4"/>
    <w:rsid w:val="00E3720E"/>
    <w:rsid w:val="00E377A9"/>
    <w:rsid w:val="00E3793D"/>
    <w:rsid w:val="00E37E99"/>
    <w:rsid w:val="00E40CF2"/>
    <w:rsid w:val="00E41839"/>
    <w:rsid w:val="00E41D94"/>
    <w:rsid w:val="00E41DDC"/>
    <w:rsid w:val="00E41EDF"/>
    <w:rsid w:val="00E42FF1"/>
    <w:rsid w:val="00E4349F"/>
    <w:rsid w:val="00E437D5"/>
    <w:rsid w:val="00E43F08"/>
    <w:rsid w:val="00E4442E"/>
    <w:rsid w:val="00E44A1A"/>
    <w:rsid w:val="00E44AC5"/>
    <w:rsid w:val="00E44CF7"/>
    <w:rsid w:val="00E4537B"/>
    <w:rsid w:val="00E45673"/>
    <w:rsid w:val="00E45FFC"/>
    <w:rsid w:val="00E46E4A"/>
    <w:rsid w:val="00E478E6"/>
    <w:rsid w:val="00E47973"/>
    <w:rsid w:val="00E47C08"/>
    <w:rsid w:val="00E47E24"/>
    <w:rsid w:val="00E500F2"/>
    <w:rsid w:val="00E50710"/>
    <w:rsid w:val="00E516BC"/>
    <w:rsid w:val="00E520F2"/>
    <w:rsid w:val="00E5288F"/>
    <w:rsid w:val="00E52AB1"/>
    <w:rsid w:val="00E52EEB"/>
    <w:rsid w:val="00E52F47"/>
    <w:rsid w:val="00E533CD"/>
    <w:rsid w:val="00E53886"/>
    <w:rsid w:val="00E53C5E"/>
    <w:rsid w:val="00E54A1E"/>
    <w:rsid w:val="00E54BB4"/>
    <w:rsid w:val="00E5601A"/>
    <w:rsid w:val="00E56C64"/>
    <w:rsid w:val="00E56E40"/>
    <w:rsid w:val="00E5744F"/>
    <w:rsid w:val="00E57EEB"/>
    <w:rsid w:val="00E604DD"/>
    <w:rsid w:val="00E60556"/>
    <w:rsid w:val="00E608EA"/>
    <w:rsid w:val="00E60B58"/>
    <w:rsid w:val="00E6117D"/>
    <w:rsid w:val="00E61567"/>
    <w:rsid w:val="00E619CF"/>
    <w:rsid w:val="00E61AB5"/>
    <w:rsid w:val="00E61B61"/>
    <w:rsid w:val="00E61C19"/>
    <w:rsid w:val="00E61C8D"/>
    <w:rsid w:val="00E61E79"/>
    <w:rsid w:val="00E6204E"/>
    <w:rsid w:val="00E62B19"/>
    <w:rsid w:val="00E62E67"/>
    <w:rsid w:val="00E6301F"/>
    <w:rsid w:val="00E630F3"/>
    <w:rsid w:val="00E632F5"/>
    <w:rsid w:val="00E6345D"/>
    <w:rsid w:val="00E63558"/>
    <w:rsid w:val="00E635C4"/>
    <w:rsid w:val="00E647B8"/>
    <w:rsid w:val="00E64BEE"/>
    <w:rsid w:val="00E655A5"/>
    <w:rsid w:val="00E65A1E"/>
    <w:rsid w:val="00E65A4D"/>
    <w:rsid w:val="00E65AAB"/>
    <w:rsid w:val="00E65E9E"/>
    <w:rsid w:val="00E66B46"/>
    <w:rsid w:val="00E66C06"/>
    <w:rsid w:val="00E66E50"/>
    <w:rsid w:val="00E677E3"/>
    <w:rsid w:val="00E7030B"/>
    <w:rsid w:val="00E70AD3"/>
    <w:rsid w:val="00E70CDB"/>
    <w:rsid w:val="00E70E4E"/>
    <w:rsid w:val="00E70F49"/>
    <w:rsid w:val="00E70F98"/>
    <w:rsid w:val="00E71215"/>
    <w:rsid w:val="00E71DAD"/>
    <w:rsid w:val="00E71E1E"/>
    <w:rsid w:val="00E720BC"/>
    <w:rsid w:val="00E7263F"/>
    <w:rsid w:val="00E7278A"/>
    <w:rsid w:val="00E729DB"/>
    <w:rsid w:val="00E72B67"/>
    <w:rsid w:val="00E738A4"/>
    <w:rsid w:val="00E73DAB"/>
    <w:rsid w:val="00E7429C"/>
    <w:rsid w:val="00E742F2"/>
    <w:rsid w:val="00E74878"/>
    <w:rsid w:val="00E748F8"/>
    <w:rsid w:val="00E75529"/>
    <w:rsid w:val="00E758AF"/>
    <w:rsid w:val="00E77222"/>
    <w:rsid w:val="00E77A37"/>
    <w:rsid w:val="00E77CEA"/>
    <w:rsid w:val="00E80163"/>
    <w:rsid w:val="00E804A4"/>
    <w:rsid w:val="00E8064F"/>
    <w:rsid w:val="00E8069B"/>
    <w:rsid w:val="00E80981"/>
    <w:rsid w:val="00E81026"/>
    <w:rsid w:val="00E81780"/>
    <w:rsid w:val="00E81F21"/>
    <w:rsid w:val="00E822C2"/>
    <w:rsid w:val="00E826AB"/>
    <w:rsid w:val="00E82B16"/>
    <w:rsid w:val="00E83742"/>
    <w:rsid w:val="00E83973"/>
    <w:rsid w:val="00E83A56"/>
    <w:rsid w:val="00E83A99"/>
    <w:rsid w:val="00E83FB0"/>
    <w:rsid w:val="00E8439F"/>
    <w:rsid w:val="00E846C3"/>
    <w:rsid w:val="00E848C4"/>
    <w:rsid w:val="00E84999"/>
    <w:rsid w:val="00E84DC7"/>
    <w:rsid w:val="00E8500F"/>
    <w:rsid w:val="00E85633"/>
    <w:rsid w:val="00E85C33"/>
    <w:rsid w:val="00E85E2B"/>
    <w:rsid w:val="00E860C0"/>
    <w:rsid w:val="00E861A7"/>
    <w:rsid w:val="00E86DA2"/>
    <w:rsid w:val="00E87DDD"/>
    <w:rsid w:val="00E87EEB"/>
    <w:rsid w:val="00E90886"/>
    <w:rsid w:val="00E908F9"/>
    <w:rsid w:val="00E90AEE"/>
    <w:rsid w:val="00E90B73"/>
    <w:rsid w:val="00E90D3E"/>
    <w:rsid w:val="00E9159B"/>
    <w:rsid w:val="00E91EA9"/>
    <w:rsid w:val="00E923CD"/>
    <w:rsid w:val="00E92E7E"/>
    <w:rsid w:val="00E93141"/>
    <w:rsid w:val="00E93263"/>
    <w:rsid w:val="00E9346D"/>
    <w:rsid w:val="00E93B3B"/>
    <w:rsid w:val="00E93F35"/>
    <w:rsid w:val="00E946BD"/>
    <w:rsid w:val="00E94ABC"/>
    <w:rsid w:val="00E95445"/>
    <w:rsid w:val="00E95968"/>
    <w:rsid w:val="00E96099"/>
    <w:rsid w:val="00E96A46"/>
    <w:rsid w:val="00E9714A"/>
    <w:rsid w:val="00E9734E"/>
    <w:rsid w:val="00E97495"/>
    <w:rsid w:val="00E9767C"/>
    <w:rsid w:val="00E976A4"/>
    <w:rsid w:val="00EA045D"/>
    <w:rsid w:val="00EA08E3"/>
    <w:rsid w:val="00EA08E9"/>
    <w:rsid w:val="00EA09AD"/>
    <w:rsid w:val="00EA13F7"/>
    <w:rsid w:val="00EA222C"/>
    <w:rsid w:val="00EA2258"/>
    <w:rsid w:val="00EA25C3"/>
    <w:rsid w:val="00EA271B"/>
    <w:rsid w:val="00EA473A"/>
    <w:rsid w:val="00EA4D31"/>
    <w:rsid w:val="00EA6CB4"/>
    <w:rsid w:val="00EA6E73"/>
    <w:rsid w:val="00EA72B4"/>
    <w:rsid w:val="00EA7373"/>
    <w:rsid w:val="00EB00D6"/>
    <w:rsid w:val="00EB180E"/>
    <w:rsid w:val="00EB1AFC"/>
    <w:rsid w:val="00EB2121"/>
    <w:rsid w:val="00EB2C57"/>
    <w:rsid w:val="00EB2CE3"/>
    <w:rsid w:val="00EB2F2D"/>
    <w:rsid w:val="00EB30EA"/>
    <w:rsid w:val="00EB42DB"/>
    <w:rsid w:val="00EB4783"/>
    <w:rsid w:val="00EB47ED"/>
    <w:rsid w:val="00EB4871"/>
    <w:rsid w:val="00EB53F6"/>
    <w:rsid w:val="00EB5FC8"/>
    <w:rsid w:val="00EB61E8"/>
    <w:rsid w:val="00EB69AF"/>
    <w:rsid w:val="00EB6AE8"/>
    <w:rsid w:val="00EB726B"/>
    <w:rsid w:val="00EB72CF"/>
    <w:rsid w:val="00EB7342"/>
    <w:rsid w:val="00EB7517"/>
    <w:rsid w:val="00EB7B09"/>
    <w:rsid w:val="00EC0854"/>
    <w:rsid w:val="00EC0B21"/>
    <w:rsid w:val="00EC0F7A"/>
    <w:rsid w:val="00EC133E"/>
    <w:rsid w:val="00EC1DB3"/>
    <w:rsid w:val="00EC2AC7"/>
    <w:rsid w:val="00EC2E4A"/>
    <w:rsid w:val="00EC30A1"/>
    <w:rsid w:val="00EC3E6A"/>
    <w:rsid w:val="00EC45C0"/>
    <w:rsid w:val="00EC496B"/>
    <w:rsid w:val="00EC4B15"/>
    <w:rsid w:val="00EC4FB8"/>
    <w:rsid w:val="00EC5A24"/>
    <w:rsid w:val="00EC695D"/>
    <w:rsid w:val="00EC6D8A"/>
    <w:rsid w:val="00EC70F3"/>
    <w:rsid w:val="00EC7402"/>
    <w:rsid w:val="00EC7B9F"/>
    <w:rsid w:val="00EC7CC0"/>
    <w:rsid w:val="00ED0162"/>
    <w:rsid w:val="00ED0E85"/>
    <w:rsid w:val="00ED0FD0"/>
    <w:rsid w:val="00ED1A00"/>
    <w:rsid w:val="00ED1BC5"/>
    <w:rsid w:val="00ED2002"/>
    <w:rsid w:val="00ED31BC"/>
    <w:rsid w:val="00ED3212"/>
    <w:rsid w:val="00ED33A6"/>
    <w:rsid w:val="00ED3B06"/>
    <w:rsid w:val="00ED43DE"/>
    <w:rsid w:val="00ED4926"/>
    <w:rsid w:val="00ED4E44"/>
    <w:rsid w:val="00ED4E99"/>
    <w:rsid w:val="00ED562B"/>
    <w:rsid w:val="00ED5C24"/>
    <w:rsid w:val="00ED5CA3"/>
    <w:rsid w:val="00ED650D"/>
    <w:rsid w:val="00ED695A"/>
    <w:rsid w:val="00ED6CB0"/>
    <w:rsid w:val="00ED6E93"/>
    <w:rsid w:val="00ED71CC"/>
    <w:rsid w:val="00ED723F"/>
    <w:rsid w:val="00ED7289"/>
    <w:rsid w:val="00ED7430"/>
    <w:rsid w:val="00ED7988"/>
    <w:rsid w:val="00ED7BB8"/>
    <w:rsid w:val="00ED7F32"/>
    <w:rsid w:val="00EE01D9"/>
    <w:rsid w:val="00EE0C66"/>
    <w:rsid w:val="00EE1021"/>
    <w:rsid w:val="00EE2359"/>
    <w:rsid w:val="00EE2759"/>
    <w:rsid w:val="00EE298B"/>
    <w:rsid w:val="00EE2995"/>
    <w:rsid w:val="00EE2F5C"/>
    <w:rsid w:val="00EE2F9A"/>
    <w:rsid w:val="00EE33DB"/>
    <w:rsid w:val="00EE409F"/>
    <w:rsid w:val="00EE45C4"/>
    <w:rsid w:val="00EE4A6B"/>
    <w:rsid w:val="00EE62F9"/>
    <w:rsid w:val="00EE6357"/>
    <w:rsid w:val="00EE63F0"/>
    <w:rsid w:val="00EE6637"/>
    <w:rsid w:val="00EE66EB"/>
    <w:rsid w:val="00EE7023"/>
    <w:rsid w:val="00EE71CF"/>
    <w:rsid w:val="00EE7672"/>
    <w:rsid w:val="00EE7728"/>
    <w:rsid w:val="00EE7D19"/>
    <w:rsid w:val="00EE7D70"/>
    <w:rsid w:val="00EE7F0F"/>
    <w:rsid w:val="00EE7F3F"/>
    <w:rsid w:val="00EF0814"/>
    <w:rsid w:val="00EF1C7E"/>
    <w:rsid w:val="00EF2BA8"/>
    <w:rsid w:val="00EF2ED1"/>
    <w:rsid w:val="00EF3256"/>
    <w:rsid w:val="00EF32B3"/>
    <w:rsid w:val="00EF3483"/>
    <w:rsid w:val="00EF3711"/>
    <w:rsid w:val="00EF3935"/>
    <w:rsid w:val="00EF393A"/>
    <w:rsid w:val="00EF3945"/>
    <w:rsid w:val="00EF3C94"/>
    <w:rsid w:val="00EF44B0"/>
    <w:rsid w:val="00EF49BA"/>
    <w:rsid w:val="00EF4C44"/>
    <w:rsid w:val="00EF54E5"/>
    <w:rsid w:val="00EF563A"/>
    <w:rsid w:val="00EF5645"/>
    <w:rsid w:val="00EF56A5"/>
    <w:rsid w:val="00EF5F1D"/>
    <w:rsid w:val="00EF7491"/>
    <w:rsid w:val="00EF783C"/>
    <w:rsid w:val="00EF7EFE"/>
    <w:rsid w:val="00F000B9"/>
    <w:rsid w:val="00F000CE"/>
    <w:rsid w:val="00F00D1E"/>
    <w:rsid w:val="00F01112"/>
    <w:rsid w:val="00F011F2"/>
    <w:rsid w:val="00F013BC"/>
    <w:rsid w:val="00F0142B"/>
    <w:rsid w:val="00F019E2"/>
    <w:rsid w:val="00F01BC2"/>
    <w:rsid w:val="00F01CE8"/>
    <w:rsid w:val="00F0205B"/>
    <w:rsid w:val="00F027C3"/>
    <w:rsid w:val="00F02C8D"/>
    <w:rsid w:val="00F03021"/>
    <w:rsid w:val="00F041B3"/>
    <w:rsid w:val="00F04321"/>
    <w:rsid w:val="00F045B5"/>
    <w:rsid w:val="00F04833"/>
    <w:rsid w:val="00F04A03"/>
    <w:rsid w:val="00F04A21"/>
    <w:rsid w:val="00F05411"/>
    <w:rsid w:val="00F055FE"/>
    <w:rsid w:val="00F05C3B"/>
    <w:rsid w:val="00F05E5D"/>
    <w:rsid w:val="00F0757F"/>
    <w:rsid w:val="00F1025B"/>
    <w:rsid w:val="00F1045B"/>
    <w:rsid w:val="00F10658"/>
    <w:rsid w:val="00F1159A"/>
    <w:rsid w:val="00F119C9"/>
    <w:rsid w:val="00F11C30"/>
    <w:rsid w:val="00F12FCD"/>
    <w:rsid w:val="00F14FE9"/>
    <w:rsid w:val="00F156F8"/>
    <w:rsid w:val="00F15E81"/>
    <w:rsid w:val="00F1626D"/>
    <w:rsid w:val="00F17844"/>
    <w:rsid w:val="00F21208"/>
    <w:rsid w:val="00F212CE"/>
    <w:rsid w:val="00F212ED"/>
    <w:rsid w:val="00F213FA"/>
    <w:rsid w:val="00F2189E"/>
    <w:rsid w:val="00F23221"/>
    <w:rsid w:val="00F2339C"/>
    <w:rsid w:val="00F233B3"/>
    <w:rsid w:val="00F23998"/>
    <w:rsid w:val="00F23F65"/>
    <w:rsid w:val="00F24153"/>
    <w:rsid w:val="00F2440B"/>
    <w:rsid w:val="00F24B72"/>
    <w:rsid w:val="00F24CB5"/>
    <w:rsid w:val="00F24D88"/>
    <w:rsid w:val="00F253B3"/>
    <w:rsid w:val="00F25D4C"/>
    <w:rsid w:val="00F25E37"/>
    <w:rsid w:val="00F25FDA"/>
    <w:rsid w:val="00F26A5A"/>
    <w:rsid w:val="00F2707F"/>
    <w:rsid w:val="00F27494"/>
    <w:rsid w:val="00F27FB4"/>
    <w:rsid w:val="00F301B8"/>
    <w:rsid w:val="00F30448"/>
    <w:rsid w:val="00F30AF1"/>
    <w:rsid w:val="00F31325"/>
    <w:rsid w:val="00F31C1F"/>
    <w:rsid w:val="00F32298"/>
    <w:rsid w:val="00F3255B"/>
    <w:rsid w:val="00F32D00"/>
    <w:rsid w:val="00F33125"/>
    <w:rsid w:val="00F33696"/>
    <w:rsid w:val="00F33C5A"/>
    <w:rsid w:val="00F340C8"/>
    <w:rsid w:val="00F34155"/>
    <w:rsid w:val="00F342BB"/>
    <w:rsid w:val="00F34372"/>
    <w:rsid w:val="00F351EB"/>
    <w:rsid w:val="00F3549D"/>
    <w:rsid w:val="00F356AF"/>
    <w:rsid w:val="00F359CA"/>
    <w:rsid w:val="00F35E34"/>
    <w:rsid w:val="00F362F3"/>
    <w:rsid w:val="00F36CDA"/>
    <w:rsid w:val="00F37193"/>
    <w:rsid w:val="00F3754C"/>
    <w:rsid w:val="00F3754D"/>
    <w:rsid w:val="00F37D4C"/>
    <w:rsid w:val="00F37F28"/>
    <w:rsid w:val="00F402A5"/>
    <w:rsid w:val="00F41008"/>
    <w:rsid w:val="00F42C7A"/>
    <w:rsid w:val="00F430B3"/>
    <w:rsid w:val="00F4358A"/>
    <w:rsid w:val="00F4363C"/>
    <w:rsid w:val="00F44760"/>
    <w:rsid w:val="00F44B20"/>
    <w:rsid w:val="00F44DBD"/>
    <w:rsid w:val="00F45132"/>
    <w:rsid w:val="00F45162"/>
    <w:rsid w:val="00F45835"/>
    <w:rsid w:val="00F4613A"/>
    <w:rsid w:val="00F461C5"/>
    <w:rsid w:val="00F46373"/>
    <w:rsid w:val="00F46E06"/>
    <w:rsid w:val="00F47BDD"/>
    <w:rsid w:val="00F47EC8"/>
    <w:rsid w:val="00F51590"/>
    <w:rsid w:val="00F5191A"/>
    <w:rsid w:val="00F53E7D"/>
    <w:rsid w:val="00F54326"/>
    <w:rsid w:val="00F55802"/>
    <w:rsid w:val="00F55C40"/>
    <w:rsid w:val="00F560D4"/>
    <w:rsid w:val="00F561C1"/>
    <w:rsid w:val="00F5659A"/>
    <w:rsid w:val="00F565E1"/>
    <w:rsid w:val="00F56605"/>
    <w:rsid w:val="00F56CBC"/>
    <w:rsid w:val="00F57E51"/>
    <w:rsid w:val="00F614B2"/>
    <w:rsid w:val="00F62193"/>
    <w:rsid w:val="00F624F3"/>
    <w:rsid w:val="00F62578"/>
    <w:rsid w:val="00F6274D"/>
    <w:rsid w:val="00F62C80"/>
    <w:rsid w:val="00F62C81"/>
    <w:rsid w:val="00F63D03"/>
    <w:rsid w:val="00F641DC"/>
    <w:rsid w:val="00F64718"/>
    <w:rsid w:val="00F64A9E"/>
    <w:rsid w:val="00F65015"/>
    <w:rsid w:val="00F6537D"/>
    <w:rsid w:val="00F6587F"/>
    <w:rsid w:val="00F6660D"/>
    <w:rsid w:val="00F66695"/>
    <w:rsid w:val="00F66800"/>
    <w:rsid w:val="00F66858"/>
    <w:rsid w:val="00F66A78"/>
    <w:rsid w:val="00F66B83"/>
    <w:rsid w:val="00F66D8E"/>
    <w:rsid w:val="00F67464"/>
    <w:rsid w:val="00F67592"/>
    <w:rsid w:val="00F679B1"/>
    <w:rsid w:val="00F67BEA"/>
    <w:rsid w:val="00F67E1F"/>
    <w:rsid w:val="00F70205"/>
    <w:rsid w:val="00F7050A"/>
    <w:rsid w:val="00F7065E"/>
    <w:rsid w:val="00F70822"/>
    <w:rsid w:val="00F71FBA"/>
    <w:rsid w:val="00F72B66"/>
    <w:rsid w:val="00F73384"/>
    <w:rsid w:val="00F73CFF"/>
    <w:rsid w:val="00F74BD6"/>
    <w:rsid w:val="00F74DD1"/>
    <w:rsid w:val="00F75BEF"/>
    <w:rsid w:val="00F75D01"/>
    <w:rsid w:val="00F7635F"/>
    <w:rsid w:val="00F766CF"/>
    <w:rsid w:val="00F76A04"/>
    <w:rsid w:val="00F76AE1"/>
    <w:rsid w:val="00F76DDF"/>
    <w:rsid w:val="00F77834"/>
    <w:rsid w:val="00F804A9"/>
    <w:rsid w:val="00F804BE"/>
    <w:rsid w:val="00F80671"/>
    <w:rsid w:val="00F80AB3"/>
    <w:rsid w:val="00F80C5B"/>
    <w:rsid w:val="00F80F94"/>
    <w:rsid w:val="00F81BD5"/>
    <w:rsid w:val="00F81E04"/>
    <w:rsid w:val="00F82A22"/>
    <w:rsid w:val="00F82AE7"/>
    <w:rsid w:val="00F82D1A"/>
    <w:rsid w:val="00F8308A"/>
    <w:rsid w:val="00F83573"/>
    <w:rsid w:val="00F838B1"/>
    <w:rsid w:val="00F842E6"/>
    <w:rsid w:val="00F8482D"/>
    <w:rsid w:val="00F8513A"/>
    <w:rsid w:val="00F85761"/>
    <w:rsid w:val="00F85D81"/>
    <w:rsid w:val="00F85FD6"/>
    <w:rsid w:val="00F86595"/>
    <w:rsid w:val="00F865EB"/>
    <w:rsid w:val="00F8690D"/>
    <w:rsid w:val="00F874C4"/>
    <w:rsid w:val="00F87624"/>
    <w:rsid w:val="00F87E62"/>
    <w:rsid w:val="00F901A6"/>
    <w:rsid w:val="00F90F1A"/>
    <w:rsid w:val="00F91473"/>
    <w:rsid w:val="00F914E6"/>
    <w:rsid w:val="00F918AA"/>
    <w:rsid w:val="00F9192C"/>
    <w:rsid w:val="00F91A6B"/>
    <w:rsid w:val="00F9204C"/>
    <w:rsid w:val="00F9235A"/>
    <w:rsid w:val="00F929C2"/>
    <w:rsid w:val="00F92B8E"/>
    <w:rsid w:val="00F93332"/>
    <w:rsid w:val="00F93546"/>
    <w:rsid w:val="00F938A7"/>
    <w:rsid w:val="00F93969"/>
    <w:rsid w:val="00F93AAF"/>
    <w:rsid w:val="00F93D80"/>
    <w:rsid w:val="00F9423C"/>
    <w:rsid w:val="00F94DDF"/>
    <w:rsid w:val="00F952B2"/>
    <w:rsid w:val="00F95969"/>
    <w:rsid w:val="00F95E68"/>
    <w:rsid w:val="00F95FB3"/>
    <w:rsid w:val="00F961E1"/>
    <w:rsid w:val="00F977EA"/>
    <w:rsid w:val="00FA05A9"/>
    <w:rsid w:val="00FA09CE"/>
    <w:rsid w:val="00FA0E0A"/>
    <w:rsid w:val="00FA0F91"/>
    <w:rsid w:val="00FA1278"/>
    <w:rsid w:val="00FA12DD"/>
    <w:rsid w:val="00FA2950"/>
    <w:rsid w:val="00FA2B64"/>
    <w:rsid w:val="00FA309F"/>
    <w:rsid w:val="00FA34EF"/>
    <w:rsid w:val="00FA36B0"/>
    <w:rsid w:val="00FA399E"/>
    <w:rsid w:val="00FA4165"/>
    <w:rsid w:val="00FA4932"/>
    <w:rsid w:val="00FA52CC"/>
    <w:rsid w:val="00FA5344"/>
    <w:rsid w:val="00FA59AE"/>
    <w:rsid w:val="00FA5B4B"/>
    <w:rsid w:val="00FA5B84"/>
    <w:rsid w:val="00FA5DBD"/>
    <w:rsid w:val="00FA5EA4"/>
    <w:rsid w:val="00FA617D"/>
    <w:rsid w:val="00FA61FC"/>
    <w:rsid w:val="00FA635C"/>
    <w:rsid w:val="00FA6DF9"/>
    <w:rsid w:val="00FA7460"/>
    <w:rsid w:val="00FB04D4"/>
    <w:rsid w:val="00FB06C3"/>
    <w:rsid w:val="00FB0969"/>
    <w:rsid w:val="00FB1C9C"/>
    <w:rsid w:val="00FB2758"/>
    <w:rsid w:val="00FB2AD8"/>
    <w:rsid w:val="00FB2BE8"/>
    <w:rsid w:val="00FB3CA7"/>
    <w:rsid w:val="00FB43FB"/>
    <w:rsid w:val="00FB444A"/>
    <w:rsid w:val="00FB48F6"/>
    <w:rsid w:val="00FB4990"/>
    <w:rsid w:val="00FB4DB9"/>
    <w:rsid w:val="00FB5C06"/>
    <w:rsid w:val="00FB5D62"/>
    <w:rsid w:val="00FB651A"/>
    <w:rsid w:val="00FB65E6"/>
    <w:rsid w:val="00FB667E"/>
    <w:rsid w:val="00FB682A"/>
    <w:rsid w:val="00FB704F"/>
    <w:rsid w:val="00FB7576"/>
    <w:rsid w:val="00FB779F"/>
    <w:rsid w:val="00FB785C"/>
    <w:rsid w:val="00FB78CA"/>
    <w:rsid w:val="00FC00A5"/>
    <w:rsid w:val="00FC0363"/>
    <w:rsid w:val="00FC0628"/>
    <w:rsid w:val="00FC0CF5"/>
    <w:rsid w:val="00FC1442"/>
    <w:rsid w:val="00FC1B77"/>
    <w:rsid w:val="00FC1FEB"/>
    <w:rsid w:val="00FC205E"/>
    <w:rsid w:val="00FC2402"/>
    <w:rsid w:val="00FC241E"/>
    <w:rsid w:val="00FC2A78"/>
    <w:rsid w:val="00FC3076"/>
    <w:rsid w:val="00FC342B"/>
    <w:rsid w:val="00FC3438"/>
    <w:rsid w:val="00FC34DB"/>
    <w:rsid w:val="00FC3634"/>
    <w:rsid w:val="00FC3A5B"/>
    <w:rsid w:val="00FC4069"/>
    <w:rsid w:val="00FC439E"/>
    <w:rsid w:val="00FC452C"/>
    <w:rsid w:val="00FC453E"/>
    <w:rsid w:val="00FC4750"/>
    <w:rsid w:val="00FC519D"/>
    <w:rsid w:val="00FC5407"/>
    <w:rsid w:val="00FC56D2"/>
    <w:rsid w:val="00FC57D6"/>
    <w:rsid w:val="00FC583B"/>
    <w:rsid w:val="00FC598D"/>
    <w:rsid w:val="00FC6725"/>
    <w:rsid w:val="00FC6EF6"/>
    <w:rsid w:val="00FC782B"/>
    <w:rsid w:val="00FC7839"/>
    <w:rsid w:val="00FC7A21"/>
    <w:rsid w:val="00FC7CFC"/>
    <w:rsid w:val="00FC7DBE"/>
    <w:rsid w:val="00FD0637"/>
    <w:rsid w:val="00FD0977"/>
    <w:rsid w:val="00FD0EFE"/>
    <w:rsid w:val="00FD1284"/>
    <w:rsid w:val="00FD1A1D"/>
    <w:rsid w:val="00FD1A55"/>
    <w:rsid w:val="00FD2074"/>
    <w:rsid w:val="00FD2235"/>
    <w:rsid w:val="00FD2374"/>
    <w:rsid w:val="00FD295E"/>
    <w:rsid w:val="00FD2A13"/>
    <w:rsid w:val="00FD2F72"/>
    <w:rsid w:val="00FD3759"/>
    <w:rsid w:val="00FD3D8E"/>
    <w:rsid w:val="00FD4366"/>
    <w:rsid w:val="00FD4877"/>
    <w:rsid w:val="00FD4BAE"/>
    <w:rsid w:val="00FD4C65"/>
    <w:rsid w:val="00FD54CE"/>
    <w:rsid w:val="00FD555A"/>
    <w:rsid w:val="00FD5BFC"/>
    <w:rsid w:val="00FD5DC0"/>
    <w:rsid w:val="00FD6031"/>
    <w:rsid w:val="00FD61C5"/>
    <w:rsid w:val="00FD660B"/>
    <w:rsid w:val="00FD7D8E"/>
    <w:rsid w:val="00FD7EEF"/>
    <w:rsid w:val="00FE0199"/>
    <w:rsid w:val="00FE035E"/>
    <w:rsid w:val="00FE0B6B"/>
    <w:rsid w:val="00FE0E09"/>
    <w:rsid w:val="00FE1AFA"/>
    <w:rsid w:val="00FE1F49"/>
    <w:rsid w:val="00FE2190"/>
    <w:rsid w:val="00FE288A"/>
    <w:rsid w:val="00FE3665"/>
    <w:rsid w:val="00FE3C4A"/>
    <w:rsid w:val="00FE4B9C"/>
    <w:rsid w:val="00FE508E"/>
    <w:rsid w:val="00FE5F50"/>
    <w:rsid w:val="00FE67F1"/>
    <w:rsid w:val="00FE6B10"/>
    <w:rsid w:val="00FE7539"/>
    <w:rsid w:val="00FE7AA4"/>
    <w:rsid w:val="00FE7AE5"/>
    <w:rsid w:val="00FF02C0"/>
    <w:rsid w:val="00FF0C8C"/>
    <w:rsid w:val="00FF15A3"/>
    <w:rsid w:val="00FF209D"/>
    <w:rsid w:val="00FF2BA5"/>
    <w:rsid w:val="00FF2BF7"/>
    <w:rsid w:val="00FF3AEA"/>
    <w:rsid w:val="00FF3D06"/>
    <w:rsid w:val="00FF406D"/>
    <w:rsid w:val="00FF425A"/>
    <w:rsid w:val="00FF4342"/>
    <w:rsid w:val="00FF44BB"/>
    <w:rsid w:val="00FF4C09"/>
    <w:rsid w:val="00FF530B"/>
    <w:rsid w:val="00FF6055"/>
    <w:rsid w:val="00FF6095"/>
    <w:rsid w:val="00FF6146"/>
    <w:rsid w:val="00FF68FB"/>
    <w:rsid w:val="00FF6A0F"/>
    <w:rsid w:val="00FF6C6B"/>
    <w:rsid w:val="00FF6D24"/>
    <w:rsid w:val="00FF7531"/>
    <w:rsid w:val="00FF7C3B"/>
    <w:rsid w:val="00FF7D09"/>
    <w:rsid w:val="0145494F"/>
    <w:rsid w:val="0153724B"/>
    <w:rsid w:val="016150E5"/>
    <w:rsid w:val="01731398"/>
    <w:rsid w:val="01752FEF"/>
    <w:rsid w:val="01763BCE"/>
    <w:rsid w:val="01955D51"/>
    <w:rsid w:val="0198159D"/>
    <w:rsid w:val="019D7891"/>
    <w:rsid w:val="02141938"/>
    <w:rsid w:val="021555D4"/>
    <w:rsid w:val="022B2C0A"/>
    <w:rsid w:val="02354A10"/>
    <w:rsid w:val="02407DB7"/>
    <w:rsid w:val="02685C0C"/>
    <w:rsid w:val="02B5285C"/>
    <w:rsid w:val="02BD2550"/>
    <w:rsid w:val="02C91AF7"/>
    <w:rsid w:val="02C969E9"/>
    <w:rsid w:val="02D35930"/>
    <w:rsid w:val="02DF57A3"/>
    <w:rsid w:val="03074DDC"/>
    <w:rsid w:val="031A4A2D"/>
    <w:rsid w:val="03301EBC"/>
    <w:rsid w:val="03A64862"/>
    <w:rsid w:val="03C7077C"/>
    <w:rsid w:val="03EE3347"/>
    <w:rsid w:val="04197748"/>
    <w:rsid w:val="0428457E"/>
    <w:rsid w:val="045A6DB0"/>
    <w:rsid w:val="0475538F"/>
    <w:rsid w:val="048556A1"/>
    <w:rsid w:val="04B26F25"/>
    <w:rsid w:val="04EB46F4"/>
    <w:rsid w:val="04F44E03"/>
    <w:rsid w:val="051A6AE4"/>
    <w:rsid w:val="05C475BB"/>
    <w:rsid w:val="064A4110"/>
    <w:rsid w:val="06E66F31"/>
    <w:rsid w:val="07140111"/>
    <w:rsid w:val="071E2D3E"/>
    <w:rsid w:val="073D0CEA"/>
    <w:rsid w:val="07866B6B"/>
    <w:rsid w:val="07A25DD3"/>
    <w:rsid w:val="07B04F69"/>
    <w:rsid w:val="07C37441"/>
    <w:rsid w:val="07E52AB2"/>
    <w:rsid w:val="082A3964"/>
    <w:rsid w:val="08354F90"/>
    <w:rsid w:val="08547C0D"/>
    <w:rsid w:val="08707232"/>
    <w:rsid w:val="08896684"/>
    <w:rsid w:val="08A0418F"/>
    <w:rsid w:val="08E12275"/>
    <w:rsid w:val="08E4113E"/>
    <w:rsid w:val="08F7671A"/>
    <w:rsid w:val="08FE2EF9"/>
    <w:rsid w:val="09047045"/>
    <w:rsid w:val="090A0421"/>
    <w:rsid w:val="091062B7"/>
    <w:rsid w:val="09304FAA"/>
    <w:rsid w:val="099834FE"/>
    <w:rsid w:val="09E322B9"/>
    <w:rsid w:val="0A03621B"/>
    <w:rsid w:val="0A0D52EB"/>
    <w:rsid w:val="0A577EA6"/>
    <w:rsid w:val="0A5A084D"/>
    <w:rsid w:val="0AC671D2"/>
    <w:rsid w:val="0AEB3BC3"/>
    <w:rsid w:val="0B2A52A2"/>
    <w:rsid w:val="0B2A595D"/>
    <w:rsid w:val="0B502E8B"/>
    <w:rsid w:val="0B5E62E3"/>
    <w:rsid w:val="0BB52F3C"/>
    <w:rsid w:val="0BC22495"/>
    <w:rsid w:val="0BE25C03"/>
    <w:rsid w:val="0BED2CDE"/>
    <w:rsid w:val="0BF2233B"/>
    <w:rsid w:val="0C147346"/>
    <w:rsid w:val="0C422B71"/>
    <w:rsid w:val="0C5E3BDC"/>
    <w:rsid w:val="0C6C454B"/>
    <w:rsid w:val="0C716777"/>
    <w:rsid w:val="0C9233AD"/>
    <w:rsid w:val="0CB33E12"/>
    <w:rsid w:val="0CE14DA5"/>
    <w:rsid w:val="0CED6202"/>
    <w:rsid w:val="0CF737A4"/>
    <w:rsid w:val="0D1D5A80"/>
    <w:rsid w:val="0D7351DC"/>
    <w:rsid w:val="0D8D0FB5"/>
    <w:rsid w:val="0D925D63"/>
    <w:rsid w:val="0D951880"/>
    <w:rsid w:val="0D9645C4"/>
    <w:rsid w:val="0DA3127A"/>
    <w:rsid w:val="0DBA6A03"/>
    <w:rsid w:val="0DC1557D"/>
    <w:rsid w:val="0DEF71E2"/>
    <w:rsid w:val="0DFC3643"/>
    <w:rsid w:val="0E0620AA"/>
    <w:rsid w:val="0E6235A3"/>
    <w:rsid w:val="0EA578A0"/>
    <w:rsid w:val="0EC23F51"/>
    <w:rsid w:val="0EF425D6"/>
    <w:rsid w:val="0F017E07"/>
    <w:rsid w:val="0F083010"/>
    <w:rsid w:val="0F0B4282"/>
    <w:rsid w:val="0F3A26DF"/>
    <w:rsid w:val="0F6A31A0"/>
    <w:rsid w:val="0F7737E6"/>
    <w:rsid w:val="0F9B0EE8"/>
    <w:rsid w:val="0FC246B3"/>
    <w:rsid w:val="0FFC0435"/>
    <w:rsid w:val="10417A9D"/>
    <w:rsid w:val="1055163A"/>
    <w:rsid w:val="10636830"/>
    <w:rsid w:val="10811BEC"/>
    <w:rsid w:val="108237A8"/>
    <w:rsid w:val="10A50CC4"/>
    <w:rsid w:val="10AC1D95"/>
    <w:rsid w:val="10BE2E9B"/>
    <w:rsid w:val="10DE12D0"/>
    <w:rsid w:val="10E160A6"/>
    <w:rsid w:val="10E34150"/>
    <w:rsid w:val="10F252B6"/>
    <w:rsid w:val="11010513"/>
    <w:rsid w:val="11255F18"/>
    <w:rsid w:val="116C45D0"/>
    <w:rsid w:val="11E608FC"/>
    <w:rsid w:val="11FA2385"/>
    <w:rsid w:val="11FF1926"/>
    <w:rsid w:val="120F1651"/>
    <w:rsid w:val="12201A76"/>
    <w:rsid w:val="124C7216"/>
    <w:rsid w:val="12683DA7"/>
    <w:rsid w:val="126E3CB0"/>
    <w:rsid w:val="129515A6"/>
    <w:rsid w:val="12B47FD6"/>
    <w:rsid w:val="12C329EB"/>
    <w:rsid w:val="12D9220E"/>
    <w:rsid w:val="138A5BED"/>
    <w:rsid w:val="139A439A"/>
    <w:rsid w:val="13BE6A2B"/>
    <w:rsid w:val="13C46365"/>
    <w:rsid w:val="13EC0ACD"/>
    <w:rsid w:val="13F33C0D"/>
    <w:rsid w:val="13FD21A1"/>
    <w:rsid w:val="14035295"/>
    <w:rsid w:val="14491BC3"/>
    <w:rsid w:val="145F2767"/>
    <w:rsid w:val="14A8376F"/>
    <w:rsid w:val="14B20F69"/>
    <w:rsid w:val="14B922F8"/>
    <w:rsid w:val="14CD2B60"/>
    <w:rsid w:val="14D03633"/>
    <w:rsid w:val="15262717"/>
    <w:rsid w:val="154124C2"/>
    <w:rsid w:val="15702464"/>
    <w:rsid w:val="157601E9"/>
    <w:rsid w:val="15824126"/>
    <w:rsid w:val="159266A5"/>
    <w:rsid w:val="15DE6265"/>
    <w:rsid w:val="161C754B"/>
    <w:rsid w:val="16300DC9"/>
    <w:rsid w:val="164976AB"/>
    <w:rsid w:val="16731205"/>
    <w:rsid w:val="16A7228C"/>
    <w:rsid w:val="16F76CFE"/>
    <w:rsid w:val="17035549"/>
    <w:rsid w:val="172D13B8"/>
    <w:rsid w:val="17334565"/>
    <w:rsid w:val="1733471B"/>
    <w:rsid w:val="175722E2"/>
    <w:rsid w:val="177A1C19"/>
    <w:rsid w:val="17A310C5"/>
    <w:rsid w:val="17B22107"/>
    <w:rsid w:val="17EA6E79"/>
    <w:rsid w:val="17EC37F2"/>
    <w:rsid w:val="17F13B56"/>
    <w:rsid w:val="18320EF5"/>
    <w:rsid w:val="183323C1"/>
    <w:rsid w:val="18524A9D"/>
    <w:rsid w:val="188914A3"/>
    <w:rsid w:val="1892513D"/>
    <w:rsid w:val="18B65B84"/>
    <w:rsid w:val="18BC0DF7"/>
    <w:rsid w:val="191929BA"/>
    <w:rsid w:val="19330665"/>
    <w:rsid w:val="193913C0"/>
    <w:rsid w:val="19437E0E"/>
    <w:rsid w:val="19630350"/>
    <w:rsid w:val="197A254F"/>
    <w:rsid w:val="197F0DB4"/>
    <w:rsid w:val="198C771F"/>
    <w:rsid w:val="1990411A"/>
    <w:rsid w:val="19981C95"/>
    <w:rsid w:val="19CA0B03"/>
    <w:rsid w:val="19FA1478"/>
    <w:rsid w:val="19FA3A4F"/>
    <w:rsid w:val="1A264C56"/>
    <w:rsid w:val="1A617502"/>
    <w:rsid w:val="1A975A4B"/>
    <w:rsid w:val="1A995436"/>
    <w:rsid w:val="1ACB21D2"/>
    <w:rsid w:val="1B095075"/>
    <w:rsid w:val="1B291859"/>
    <w:rsid w:val="1B304996"/>
    <w:rsid w:val="1B5309A0"/>
    <w:rsid w:val="1B547144"/>
    <w:rsid w:val="1B5C1C2F"/>
    <w:rsid w:val="1B5E413C"/>
    <w:rsid w:val="1B640A5C"/>
    <w:rsid w:val="1B705134"/>
    <w:rsid w:val="1B7370E9"/>
    <w:rsid w:val="1B766EE0"/>
    <w:rsid w:val="1B776B0F"/>
    <w:rsid w:val="1B8F2806"/>
    <w:rsid w:val="1B9018A7"/>
    <w:rsid w:val="1BAF62EF"/>
    <w:rsid w:val="1BCB0C5B"/>
    <w:rsid w:val="1BD06BAD"/>
    <w:rsid w:val="1C0C30FF"/>
    <w:rsid w:val="1C1B3898"/>
    <w:rsid w:val="1C1B73F4"/>
    <w:rsid w:val="1C2155B1"/>
    <w:rsid w:val="1C2F22BE"/>
    <w:rsid w:val="1C903DB6"/>
    <w:rsid w:val="1CA4388D"/>
    <w:rsid w:val="1CA553E4"/>
    <w:rsid w:val="1CD8600C"/>
    <w:rsid w:val="1CDD30B0"/>
    <w:rsid w:val="1CE7377A"/>
    <w:rsid w:val="1D0E5366"/>
    <w:rsid w:val="1D46666D"/>
    <w:rsid w:val="1D71569B"/>
    <w:rsid w:val="1D7E40DE"/>
    <w:rsid w:val="1DBE097F"/>
    <w:rsid w:val="1DCF0F79"/>
    <w:rsid w:val="1E116D00"/>
    <w:rsid w:val="1E14059F"/>
    <w:rsid w:val="1E177425"/>
    <w:rsid w:val="1E594203"/>
    <w:rsid w:val="1E775440"/>
    <w:rsid w:val="1E8822A3"/>
    <w:rsid w:val="1EB27F3B"/>
    <w:rsid w:val="1EC67B81"/>
    <w:rsid w:val="1EDC7F5E"/>
    <w:rsid w:val="1EE6018D"/>
    <w:rsid w:val="1EF14181"/>
    <w:rsid w:val="1EF673C0"/>
    <w:rsid w:val="1EFC4C0E"/>
    <w:rsid w:val="1F5570C1"/>
    <w:rsid w:val="1F5A5233"/>
    <w:rsid w:val="1F710EEF"/>
    <w:rsid w:val="1F8B53A8"/>
    <w:rsid w:val="1FE30F60"/>
    <w:rsid w:val="1FE50445"/>
    <w:rsid w:val="206E51BF"/>
    <w:rsid w:val="207B1775"/>
    <w:rsid w:val="20C60575"/>
    <w:rsid w:val="20EC5803"/>
    <w:rsid w:val="20F40223"/>
    <w:rsid w:val="2103790C"/>
    <w:rsid w:val="21106D33"/>
    <w:rsid w:val="211D3C0E"/>
    <w:rsid w:val="212E5E1B"/>
    <w:rsid w:val="21957C48"/>
    <w:rsid w:val="21A764A1"/>
    <w:rsid w:val="21A9264A"/>
    <w:rsid w:val="21C64817"/>
    <w:rsid w:val="22173DF1"/>
    <w:rsid w:val="22200C37"/>
    <w:rsid w:val="22610D99"/>
    <w:rsid w:val="226E339A"/>
    <w:rsid w:val="227B299A"/>
    <w:rsid w:val="229C608B"/>
    <w:rsid w:val="229F2B18"/>
    <w:rsid w:val="23073E84"/>
    <w:rsid w:val="231774AE"/>
    <w:rsid w:val="23420114"/>
    <w:rsid w:val="23566329"/>
    <w:rsid w:val="237B5B9C"/>
    <w:rsid w:val="23B24779"/>
    <w:rsid w:val="23C77FF9"/>
    <w:rsid w:val="23D24BE4"/>
    <w:rsid w:val="24004629"/>
    <w:rsid w:val="240374ED"/>
    <w:rsid w:val="242D4168"/>
    <w:rsid w:val="24350DA1"/>
    <w:rsid w:val="244305ED"/>
    <w:rsid w:val="245902D7"/>
    <w:rsid w:val="245929A3"/>
    <w:rsid w:val="24616C60"/>
    <w:rsid w:val="248E3DFB"/>
    <w:rsid w:val="24A02C63"/>
    <w:rsid w:val="24AE4AD9"/>
    <w:rsid w:val="24D9144B"/>
    <w:rsid w:val="24EA02AB"/>
    <w:rsid w:val="251001B6"/>
    <w:rsid w:val="25227A45"/>
    <w:rsid w:val="25702536"/>
    <w:rsid w:val="258353CC"/>
    <w:rsid w:val="25AE2C37"/>
    <w:rsid w:val="25DD571A"/>
    <w:rsid w:val="25DF21EC"/>
    <w:rsid w:val="260141F4"/>
    <w:rsid w:val="261750D0"/>
    <w:rsid w:val="262035EF"/>
    <w:rsid w:val="263225EE"/>
    <w:rsid w:val="265C69B1"/>
    <w:rsid w:val="266C3711"/>
    <w:rsid w:val="267B5038"/>
    <w:rsid w:val="268A1F0F"/>
    <w:rsid w:val="26976A3D"/>
    <w:rsid w:val="26A250DC"/>
    <w:rsid w:val="26AA7CF2"/>
    <w:rsid w:val="272D0F38"/>
    <w:rsid w:val="273E3482"/>
    <w:rsid w:val="27530606"/>
    <w:rsid w:val="275D6D46"/>
    <w:rsid w:val="279D6870"/>
    <w:rsid w:val="279E5E8A"/>
    <w:rsid w:val="27DA63B5"/>
    <w:rsid w:val="27FA25B3"/>
    <w:rsid w:val="280576EE"/>
    <w:rsid w:val="28456C82"/>
    <w:rsid w:val="286E581F"/>
    <w:rsid w:val="287E651C"/>
    <w:rsid w:val="28954CDC"/>
    <w:rsid w:val="28C971A7"/>
    <w:rsid w:val="28D61E8B"/>
    <w:rsid w:val="28D635FE"/>
    <w:rsid w:val="28F11C08"/>
    <w:rsid w:val="28F74D45"/>
    <w:rsid w:val="28FA5EBC"/>
    <w:rsid w:val="2914053D"/>
    <w:rsid w:val="292741C5"/>
    <w:rsid w:val="293146FB"/>
    <w:rsid w:val="296434D8"/>
    <w:rsid w:val="29934D88"/>
    <w:rsid w:val="2A0B15DB"/>
    <w:rsid w:val="2A122B2B"/>
    <w:rsid w:val="2A24053A"/>
    <w:rsid w:val="2A75032D"/>
    <w:rsid w:val="2A8C061D"/>
    <w:rsid w:val="2AE01EFD"/>
    <w:rsid w:val="2AF35D6D"/>
    <w:rsid w:val="2B4029D3"/>
    <w:rsid w:val="2B471FB3"/>
    <w:rsid w:val="2B6F4647"/>
    <w:rsid w:val="2BCE5C54"/>
    <w:rsid w:val="2BD37501"/>
    <w:rsid w:val="2BF11F1F"/>
    <w:rsid w:val="2C324A12"/>
    <w:rsid w:val="2C360C08"/>
    <w:rsid w:val="2C391DE3"/>
    <w:rsid w:val="2C44272B"/>
    <w:rsid w:val="2C5612F4"/>
    <w:rsid w:val="2C6C4BD5"/>
    <w:rsid w:val="2C8624FF"/>
    <w:rsid w:val="2C990F68"/>
    <w:rsid w:val="2D047A30"/>
    <w:rsid w:val="2D05756A"/>
    <w:rsid w:val="2D2A09B7"/>
    <w:rsid w:val="2D4D3C25"/>
    <w:rsid w:val="2D560447"/>
    <w:rsid w:val="2DB61634"/>
    <w:rsid w:val="2DC73F1D"/>
    <w:rsid w:val="2DC95F1F"/>
    <w:rsid w:val="2DCF6290"/>
    <w:rsid w:val="2E4400FC"/>
    <w:rsid w:val="2E465037"/>
    <w:rsid w:val="2E496F7F"/>
    <w:rsid w:val="2E544C9C"/>
    <w:rsid w:val="2E8D1750"/>
    <w:rsid w:val="2ECE475F"/>
    <w:rsid w:val="2F107B6F"/>
    <w:rsid w:val="2F3469DA"/>
    <w:rsid w:val="2F406C8E"/>
    <w:rsid w:val="2F460B97"/>
    <w:rsid w:val="2F776887"/>
    <w:rsid w:val="2F9B65C3"/>
    <w:rsid w:val="2FA56243"/>
    <w:rsid w:val="2FAB145D"/>
    <w:rsid w:val="2FAC6889"/>
    <w:rsid w:val="300A1801"/>
    <w:rsid w:val="301E5C00"/>
    <w:rsid w:val="30865547"/>
    <w:rsid w:val="30F9518E"/>
    <w:rsid w:val="312A1C20"/>
    <w:rsid w:val="31644F41"/>
    <w:rsid w:val="31660EA8"/>
    <w:rsid w:val="31BE7920"/>
    <w:rsid w:val="31D851EB"/>
    <w:rsid w:val="31DD2470"/>
    <w:rsid w:val="31F836FD"/>
    <w:rsid w:val="322067BB"/>
    <w:rsid w:val="32753F8A"/>
    <w:rsid w:val="32CC2D9E"/>
    <w:rsid w:val="32D004F6"/>
    <w:rsid w:val="331A61FF"/>
    <w:rsid w:val="33484B1B"/>
    <w:rsid w:val="334D5A38"/>
    <w:rsid w:val="337A5080"/>
    <w:rsid w:val="33862AE4"/>
    <w:rsid w:val="34214E2A"/>
    <w:rsid w:val="344B1BD6"/>
    <w:rsid w:val="34541299"/>
    <w:rsid w:val="346C2A8B"/>
    <w:rsid w:val="3497342C"/>
    <w:rsid w:val="34A43FD3"/>
    <w:rsid w:val="34C36F67"/>
    <w:rsid w:val="34C56AB2"/>
    <w:rsid w:val="34C75154"/>
    <w:rsid w:val="34CC64BD"/>
    <w:rsid w:val="34D039B6"/>
    <w:rsid w:val="354E5738"/>
    <w:rsid w:val="35B77D36"/>
    <w:rsid w:val="35BA15D4"/>
    <w:rsid w:val="36070A72"/>
    <w:rsid w:val="36081741"/>
    <w:rsid w:val="36095B19"/>
    <w:rsid w:val="361B1D52"/>
    <w:rsid w:val="36235A03"/>
    <w:rsid w:val="36635A31"/>
    <w:rsid w:val="369260AD"/>
    <w:rsid w:val="36B52864"/>
    <w:rsid w:val="36D25125"/>
    <w:rsid w:val="36E815EB"/>
    <w:rsid w:val="371A4275"/>
    <w:rsid w:val="3721591F"/>
    <w:rsid w:val="37264B3B"/>
    <w:rsid w:val="372C6F3C"/>
    <w:rsid w:val="373B04F2"/>
    <w:rsid w:val="3754571A"/>
    <w:rsid w:val="37642688"/>
    <w:rsid w:val="376A384F"/>
    <w:rsid w:val="37732540"/>
    <w:rsid w:val="37BB0E12"/>
    <w:rsid w:val="37C624B2"/>
    <w:rsid w:val="37DA2617"/>
    <w:rsid w:val="37F02623"/>
    <w:rsid w:val="37F767C0"/>
    <w:rsid w:val="38432FBD"/>
    <w:rsid w:val="38472A51"/>
    <w:rsid w:val="388522B1"/>
    <w:rsid w:val="3891101C"/>
    <w:rsid w:val="39140DAC"/>
    <w:rsid w:val="39183547"/>
    <w:rsid w:val="391F631E"/>
    <w:rsid w:val="393253AF"/>
    <w:rsid w:val="393F251C"/>
    <w:rsid w:val="396C0E37"/>
    <w:rsid w:val="39A26005"/>
    <w:rsid w:val="39B52F8F"/>
    <w:rsid w:val="39C92311"/>
    <w:rsid w:val="39DD136A"/>
    <w:rsid w:val="39EE7A9E"/>
    <w:rsid w:val="39FD37E4"/>
    <w:rsid w:val="3A1D0A28"/>
    <w:rsid w:val="3A1D2E54"/>
    <w:rsid w:val="3A397A78"/>
    <w:rsid w:val="3A6A62B8"/>
    <w:rsid w:val="3A6C5593"/>
    <w:rsid w:val="3A6D74B2"/>
    <w:rsid w:val="3A8F38CB"/>
    <w:rsid w:val="3A953D88"/>
    <w:rsid w:val="3A9B6F70"/>
    <w:rsid w:val="3AA56BF4"/>
    <w:rsid w:val="3AD924FC"/>
    <w:rsid w:val="3AEF45F5"/>
    <w:rsid w:val="3AF520BD"/>
    <w:rsid w:val="3B385475"/>
    <w:rsid w:val="3B4C70CD"/>
    <w:rsid w:val="3B636DD6"/>
    <w:rsid w:val="3B6D40D7"/>
    <w:rsid w:val="3B7F1FB8"/>
    <w:rsid w:val="3B8E778B"/>
    <w:rsid w:val="3BD21DDA"/>
    <w:rsid w:val="3BE61375"/>
    <w:rsid w:val="3BF85E49"/>
    <w:rsid w:val="3C1501DD"/>
    <w:rsid w:val="3C351DF3"/>
    <w:rsid w:val="3C4F2FAD"/>
    <w:rsid w:val="3C7672C2"/>
    <w:rsid w:val="3C8A18E5"/>
    <w:rsid w:val="3C922B13"/>
    <w:rsid w:val="3CEA6C43"/>
    <w:rsid w:val="3D0F7E6D"/>
    <w:rsid w:val="3D2757A1"/>
    <w:rsid w:val="3D483969"/>
    <w:rsid w:val="3D986D8C"/>
    <w:rsid w:val="3DCB25D0"/>
    <w:rsid w:val="3DCF32D4"/>
    <w:rsid w:val="3E017D58"/>
    <w:rsid w:val="3E460B57"/>
    <w:rsid w:val="3E477EC9"/>
    <w:rsid w:val="3E6671E3"/>
    <w:rsid w:val="3E94631E"/>
    <w:rsid w:val="3E994DA1"/>
    <w:rsid w:val="3EC551B7"/>
    <w:rsid w:val="3ED4419A"/>
    <w:rsid w:val="3EF35859"/>
    <w:rsid w:val="3F2752A1"/>
    <w:rsid w:val="3F6020AE"/>
    <w:rsid w:val="3F8F3F1A"/>
    <w:rsid w:val="3F95733A"/>
    <w:rsid w:val="3FAC4683"/>
    <w:rsid w:val="3FB03758"/>
    <w:rsid w:val="3FF045A0"/>
    <w:rsid w:val="3FF75100"/>
    <w:rsid w:val="400D729E"/>
    <w:rsid w:val="40104C12"/>
    <w:rsid w:val="40251D40"/>
    <w:rsid w:val="403223E5"/>
    <w:rsid w:val="40356613"/>
    <w:rsid w:val="40771C5D"/>
    <w:rsid w:val="407927B7"/>
    <w:rsid w:val="40841753"/>
    <w:rsid w:val="40A47108"/>
    <w:rsid w:val="40B82BB4"/>
    <w:rsid w:val="40BF52BC"/>
    <w:rsid w:val="40D4055A"/>
    <w:rsid w:val="40FC5196"/>
    <w:rsid w:val="4104473A"/>
    <w:rsid w:val="4129266F"/>
    <w:rsid w:val="416B7CF1"/>
    <w:rsid w:val="416F6500"/>
    <w:rsid w:val="41A91D47"/>
    <w:rsid w:val="420B5E47"/>
    <w:rsid w:val="42336996"/>
    <w:rsid w:val="42350960"/>
    <w:rsid w:val="4235280B"/>
    <w:rsid w:val="426F6B92"/>
    <w:rsid w:val="42A47894"/>
    <w:rsid w:val="42FF4BE0"/>
    <w:rsid w:val="43360BAF"/>
    <w:rsid w:val="43482915"/>
    <w:rsid w:val="43486471"/>
    <w:rsid w:val="43495345"/>
    <w:rsid w:val="438C1210"/>
    <w:rsid w:val="438D2AFE"/>
    <w:rsid w:val="43982048"/>
    <w:rsid w:val="43C91A44"/>
    <w:rsid w:val="43F824A3"/>
    <w:rsid w:val="440C56F0"/>
    <w:rsid w:val="442F10A5"/>
    <w:rsid w:val="44426FB7"/>
    <w:rsid w:val="449A2CFC"/>
    <w:rsid w:val="44AA72B5"/>
    <w:rsid w:val="44B273D5"/>
    <w:rsid w:val="44B738AE"/>
    <w:rsid w:val="44D114F8"/>
    <w:rsid w:val="45074556"/>
    <w:rsid w:val="455C122E"/>
    <w:rsid w:val="457B0D80"/>
    <w:rsid w:val="458319E2"/>
    <w:rsid w:val="45954B28"/>
    <w:rsid w:val="45BA3BCD"/>
    <w:rsid w:val="45BC40E0"/>
    <w:rsid w:val="45F036E3"/>
    <w:rsid w:val="45F512F7"/>
    <w:rsid w:val="45F65C78"/>
    <w:rsid w:val="45FE2E97"/>
    <w:rsid w:val="46837AAD"/>
    <w:rsid w:val="46873754"/>
    <w:rsid w:val="46917FBB"/>
    <w:rsid w:val="46AE0CE1"/>
    <w:rsid w:val="46D41860"/>
    <w:rsid w:val="46D71FE6"/>
    <w:rsid w:val="46DB6C4B"/>
    <w:rsid w:val="46FA2178"/>
    <w:rsid w:val="471F2BC0"/>
    <w:rsid w:val="478B08FC"/>
    <w:rsid w:val="47A61544"/>
    <w:rsid w:val="47B14B3F"/>
    <w:rsid w:val="483039B0"/>
    <w:rsid w:val="48541414"/>
    <w:rsid w:val="486A6E89"/>
    <w:rsid w:val="488427F3"/>
    <w:rsid w:val="48FB43EB"/>
    <w:rsid w:val="49507A41"/>
    <w:rsid w:val="495219C1"/>
    <w:rsid w:val="49787AC2"/>
    <w:rsid w:val="49871FDC"/>
    <w:rsid w:val="498B5969"/>
    <w:rsid w:val="4995285F"/>
    <w:rsid w:val="499C7517"/>
    <w:rsid w:val="49C279A4"/>
    <w:rsid w:val="4A657908"/>
    <w:rsid w:val="4A7046F7"/>
    <w:rsid w:val="4A7975BE"/>
    <w:rsid w:val="4A9A477E"/>
    <w:rsid w:val="4AC81EE0"/>
    <w:rsid w:val="4AED73DD"/>
    <w:rsid w:val="4AEE78FE"/>
    <w:rsid w:val="4AF36DF0"/>
    <w:rsid w:val="4B007631"/>
    <w:rsid w:val="4B0B3ACC"/>
    <w:rsid w:val="4B271FC9"/>
    <w:rsid w:val="4B5A35DA"/>
    <w:rsid w:val="4B6B7E57"/>
    <w:rsid w:val="4B8463B6"/>
    <w:rsid w:val="4BA17322"/>
    <w:rsid w:val="4BC54155"/>
    <w:rsid w:val="4CAB2C3C"/>
    <w:rsid w:val="4CBF4574"/>
    <w:rsid w:val="4CDE39A2"/>
    <w:rsid w:val="4D32443D"/>
    <w:rsid w:val="4D7367E0"/>
    <w:rsid w:val="4D812CAB"/>
    <w:rsid w:val="4D8359A3"/>
    <w:rsid w:val="4DFE60AA"/>
    <w:rsid w:val="4E011A02"/>
    <w:rsid w:val="4E0D453F"/>
    <w:rsid w:val="4E5C143E"/>
    <w:rsid w:val="4E5D38FB"/>
    <w:rsid w:val="4E966DE5"/>
    <w:rsid w:val="4EBA1B65"/>
    <w:rsid w:val="4ECF5C98"/>
    <w:rsid w:val="4EEA4880"/>
    <w:rsid w:val="4F3673B2"/>
    <w:rsid w:val="4F952A3E"/>
    <w:rsid w:val="4FCE5F50"/>
    <w:rsid w:val="4FD6416C"/>
    <w:rsid w:val="4FE87566"/>
    <w:rsid w:val="4FF20C57"/>
    <w:rsid w:val="500D211F"/>
    <w:rsid w:val="500E4FC2"/>
    <w:rsid w:val="504B528B"/>
    <w:rsid w:val="50680152"/>
    <w:rsid w:val="507B7219"/>
    <w:rsid w:val="5084327D"/>
    <w:rsid w:val="509C0D4E"/>
    <w:rsid w:val="51424DBC"/>
    <w:rsid w:val="515A6FC3"/>
    <w:rsid w:val="521265C8"/>
    <w:rsid w:val="525C49DF"/>
    <w:rsid w:val="52817153"/>
    <w:rsid w:val="52BF7BD1"/>
    <w:rsid w:val="52DC6BD6"/>
    <w:rsid w:val="52E16484"/>
    <w:rsid w:val="52F553C3"/>
    <w:rsid w:val="530650B7"/>
    <w:rsid w:val="5311687F"/>
    <w:rsid w:val="53121504"/>
    <w:rsid w:val="53265720"/>
    <w:rsid w:val="533E519B"/>
    <w:rsid w:val="53542C10"/>
    <w:rsid w:val="54741EC7"/>
    <w:rsid w:val="54DC6E73"/>
    <w:rsid w:val="54F012A3"/>
    <w:rsid w:val="550E5077"/>
    <w:rsid w:val="551408A9"/>
    <w:rsid w:val="55232D59"/>
    <w:rsid w:val="553D2704"/>
    <w:rsid w:val="555D3FFE"/>
    <w:rsid w:val="555E64B9"/>
    <w:rsid w:val="55DA564E"/>
    <w:rsid w:val="56210769"/>
    <w:rsid w:val="56382375"/>
    <w:rsid w:val="566A2E0C"/>
    <w:rsid w:val="56BD287A"/>
    <w:rsid w:val="56C35989"/>
    <w:rsid w:val="572B714D"/>
    <w:rsid w:val="5754474F"/>
    <w:rsid w:val="57D61AB5"/>
    <w:rsid w:val="58134E48"/>
    <w:rsid w:val="581E4310"/>
    <w:rsid w:val="583823A0"/>
    <w:rsid w:val="583F08F6"/>
    <w:rsid w:val="584119B5"/>
    <w:rsid w:val="584414A5"/>
    <w:rsid w:val="585F67D0"/>
    <w:rsid w:val="588C0756"/>
    <w:rsid w:val="58BC0970"/>
    <w:rsid w:val="58CF3A5A"/>
    <w:rsid w:val="58DC5784"/>
    <w:rsid w:val="59101387"/>
    <w:rsid w:val="59133316"/>
    <w:rsid w:val="59537C18"/>
    <w:rsid w:val="5966750B"/>
    <w:rsid w:val="59674AFC"/>
    <w:rsid w:val="596B0C63"/>
    <w:rsid w:val="598229C2"/>
    <w:rsid w:val="5994098E"/>
    <w:rsid w:val="59BF2138"/>
    <w:rsid w:val="5A137381"/>
    <w:rsid w:val="5A3B26B8"/>
    <w:rsid w:val="5A676FC5"/>
    <w:rsid w:val="5A72070E"/>
    <w:rsid w:val="5AAF57F4"/>
    <w:rsid w:val="5AEB7D90"/>
    <w:rsid w:val="5B1909C7"/>
    <w:rsid w:val="5B591393"/>
    <w:rsid w:val="5B5E305F"/>
    <w:rsid w:val="5B7532A0"/>
    <w:rsid w:val="5B955B74"/>
    <w:rsid w:val="5B997631"/>
    <w:rsid w:val="5BBF4954"/>
    <w:rsid w:val="5BC16969"/>
    <w:rsid w:val="5BD02FD3"/>
    <w:rsid w:val="5BE62932"/>
    <w:rsid w:val="5BEE2D43"/>
    <w:rsid w:val="5BEF4D15"/>
    <w:rsid w:val="5BF16C10"/>
    <w:rsid w:val="5C0D1686"/>
    <w:rsid w:val="5C2A1411"/>
    <w:rsid w:val="5C3145B8"/>
    <w:rsid w:val="5C8A5E37"/>
    <w:rsid w:val="5CAC67A3"/>
    <w:rsid w:val="5CFA6550"/>
    <w:rsid w:val="5D04498B"/>
    <w:rsid w:val="5D176A9D"/>
    <w:rsid w:val="5DA779D9"/>
    <w:rsid w:val="5DEA445C"/>
    <w:rsid w:val="5DEF61CF"/>
    <w:rsid w:val="5E046318"/>
    <w:rsid w:val="5E127950"/>
    <w:rsid w:val="5E553DA1"/>
    <w:rsid w:val="5E756AF1"/>
    <w:rsid w:val="5E7E1A5C"/>
    <w:rsid w:val="5EA70098"/>
    <w:rsid w:val="5EAE58CA"/>
    <w:rsid w:val="5EBA601D"/>
    <w:rsid w:val="5EDA1407"/>
    <w:rsid w:val="5EF534F9"/>
    <w:rsid w:val="5F061D64"/>
    <w:rsid w:val="5F2D46F6"/>
    <w:rsid w:val="5F756EC0"/>
    <w:rsid w:val="5FA32F55"/>
    <w:rsid w:val="5FBA7202"/>
    <w:rsid w:val="5FD51606"/>
    <w:rsid w:val="5FD92ABE"/>
    <w:rsid w:val="5FE13A7D"/>
    <w:rsid w:val="5FE97DAA"/>
    <w:rsid w:val="5FF2691F"/>
    <w:rsid w:val="5FFC4413"/>
    <w:rsid w:val="602711C0"/>
    <w:rsid w:val="602C2F4B"/>
    <w:rsid w:val="604E3EDE"/>
    <w:rsid w:val="60577DB6"/>
    <w:rsid w:val="605C07E5"/>
    <w:rsid w:val="60C1494C"/>
    <w:rsid w:val="610B7004"/>
    <w:rsid w:val="611679E4"/>
    <w:rsid w:val="615D38F8"/>
    <w:rsid w:val="6166248C"/>
    <w:rsid w:val="617A5E3B"/>
    <w:rsid w:val="61917EE2"/>
    <w:rsid w:val="61941B7F"/>
    <w:rsid w:val="61AA459A"/>
    <w:rsid w:val="61F051DB"/>
    <w:rsid w:val="621041A6"/>
    <w:rsid w:val="62213D68"/>
    <w:rsid w:val="623600B0"/>
    <w:rsid w:val="623F72FF"/>
    <w:rsid w:val="624F4214"/>
    <w:rsid w:val="62522A10"/>
    <w:rsid w:val="62557F59"/>
    <w:rsid w:val="62685D90"/>
    <w:rsid w:val="62B06A6F"/>
    <w:rsid w:val="62BF58C4"/>
    <w:rsid w:val="62C10668"/>
    <w:rsid w:val="62E10E43"/>
    <w:rsid w:val="62E11FC1"/>
    <w:rsid w:val="63083E8F"/>
    <w:rsid w:val="633137E9"/>
    <w:rsid w:val="638634BC"/>
    <w:rsid w:val="638B442C"/>
    <w:rsid w:val="63A06B3E"/>
    <w:rsid w:val="63AF1794"/>
    <w:rsid w:val="63F41DF6"/>
    <w:rsid w:val="643A7FF5"/>
    <w:rsid w:val="647035F4"/>
    <w:rsid w:val="64835103"/>
    <w:rsid w:val="648B13FC"/>
    <w:rsid w:val="64A70DF2"/>
    <w:rsid w:val="64D25C45"/>
    <w:rsid w:val="65133054"/>
    <w:rsid w:val="656D74A9"/>
    <w:rsid w:val="65C23657"/>
    <w:rsid w:val="66087EB5"/>
    <w:rsid w:val="665054B9"/>
    <w:rsid w:val="66635A23"/>
    <w:rsid w:val="668864C5"/>
    <w:rsid w:val="66896D40"/>
    <w:rsid w:val="66BC09E3"/>
    <w:rsid w:val="66CA2E55"/>
    <w:rsid w:val="66D8599D"/>
    <w:rsid w:val="66EB0348"/>
    <w:rsid w:val="66F4722E"/>
    <w:rsid w:val="6704453E"/>
    <w:rsid w:val="67585A61"/>
    <w:rsid w:val="67ED1653"/>
    <w:rsid w:val="68522A3E"/>
    <w:rsid w:val="687A44CE"/>
    <w:rsid w:val="688C4647"/>
    <w:rsid w:val="68A90854"/>
    <w:rsid w:val="690507DD"/>
    <w:rsid w:val="6919726B"/>
    <w:rsid w:val="693A32EC"/>
    <w:rsid w:val="697A3420"/>
    <w:rsid w:val="69AC0A3C"/>
    <w:rsid w:val="69BE2E51"/>
    <w:rsid w:val="69C1680F"/>
    <w:rsid w:val="69C33672"/>
    <w:rsid w:val="69E44896"/>
    <w:rsid w:val="69F74B00"/>
    <w:rsid w:val="6A1330E9"/>
    <w:rsid w:val="6AB658CA"/>
    <w:rsid w:val="6AFC4A68"/>
    <w:rsid w:val="6B0B6A71"/>
    <w:rsid w:val="6B2D5466"/>
    <w:rsid w:val="6B4849B1"/>
    <w:rsid w:val="6B6D6A95"/>
    <w:rsid w:val="6B9C080D"/>
    <w:rsid w:val="6BFC151F"/>
    <w:rsid w:val="6C0B576B"/>
    <w:rsid w:val="6C787517"/>
    <w:rsid w:val="6C7C2ECA"/>
    <w:rsid w:val="6C891E67"/>
    <w:rsid w:val="6CA55B25"/>
    <w:rsid w:val="6CC938CF"/>
    <w:rsid w:val="6CCE6E18"/>
    <w:rsid w:val="6CDE0E62"/>
    <w:rsid w:val="6CE52584"/>
    <w:rsid w:val="6CF43042"/>
    <w:rsid w:val="6D3616A8"/>
    <w:rsid w:val="6DC42FD0"/>
    <w:rsid w:val="6DDB3EFA"/>
    <w:rsid w:val="6E04671B"/>
    <w:rsid w:val="6E0B577C"/>
    <w:rsid w:val="6E904137"/>
    <w:rsid w:val="6E9A0FCA"/>
    <w:rsid w:val="6EA2087C"/>
    <w:rsid w:val="6EBC6147"/>
    <w:rsid w:val="6ED51A3F"/>
    <w:rsid w:val="6EDA7B01"/>
    <w:rsid w:val="6EDB7958"/>
    <w:rsid w:val="6F1427AC"/>
    <w:rsid w:val="6F5C3FFE"/>
    <w:rsid w:val="6F6A2636"/>
    <w:rsid w:val="6F704B85"/>
    <w:rsid w:val="6F7126C7"/>
    <w:rsid w:val="6FAC73CB"/>
    <w:rsid w:val="6FF45CC2"/>
    <w:rsid w:val="70121FEC"/>
    <w:rsid w:val="70494E63"/>
    <w:rsid w:val="705A47EC"/>
    <w:rsid w:val="70627AEF"/>
    <w:rsid w:val="70805C89"/>
    <w:rsid w:val="708D61F9"/>
    <w:rsid w:val="70AB0B6B"/>
    <w:rsid w:val="70B60ACE"/>
    <w:rsid w:val="70D14815"/>
    <w:rsid w:val="70E878E9"/>
    <w:rsid w:val="712A48C2"/>
    <w:rsid w:val="71384143"/>
    <w:rsid w:val="71823EC7"/>
    <w:rsid w:val="71CB54AB"/>
    <w:rsid w:val="71CC633B"/>
    <w:rsid w:val="71EA3E67"/>
    <w:rsid w:val="72084E9A"/>
    <w:rsid w:val="720C1612"/>
    <w:rsid w:val="721776DF"/>
    <w:rsid w:val="72273530"/>
    <w:rsid w:val="72313FCD"/>
    <w:rsid w:val="7235171A"/>
    <w:rsid w:val="725956F5"/>
    <w:rsid w:val="727529A6"/>
    <w:rsid w:val="72911D5C"/>
    <w:rsid w:val="72E6342D"/>
    <w:rsid w:val="73025D8D"/>
    <w:rsid w:val="730B69EF"/>
    <w:rsid w:val="732426AB"/>
    <w:rsid w:val="73277074"/>
    <w:rsid w:val="732D2E0A"/>
    <w:rsid w:val="735859AD"/>
    <w:rsid w:val="73833EA2"/>
    <w:rsid w:val="738B62E6"/>
    <w:rsid w:val="73B7741B"/>
    <w:rsid w:val="742832F4"/>
    <w:rsid w:val="743F4CEA"/>
    <w:rsid w:val="746761C2"/>
    <w:rsid w:val="74B3733F"/>
    <w:rsid w:val="75042FFF"/>
    <w:rsid w:val="750722DF"/>
    <w:rsid w:val="750A671F"/>
    <w:rsid w:val="75104791"/>
    <w:rsid w:val="75271ADB"/>
    <w:rsid w:val="754937FF"/>
    <w:rsid w:val="75D53E23"/>
    <w:rsid w:val="75F15FBF"/>
    <w:rsid w:val="761B163F"/>
    <w:rsid w:val="76661B74"/>
    <w:rsid w:val="76830F93"/>
    <w:rsid w:val="7689439D"/>
    <w:rsid w:val="768E1E11"/>
    <w:rsid w:val="76A60083"/>
    <w:rsid w:val="76CF1456"/>
    <w:rsid w:val="76E24A02"/>
    <w:rsid w:val="77082CB3"/>
    <w:rsid w:val="7736177B"/>
    <w:rsid w:val="77550B81"/>
    <w:rsid w:val="775546DD"/>
    <w:rsid w:val="77701CC3"/>
    <w:rsid w:val="779748E5"/>
    <w:rsid w:val="77C36237"/>
    <w:rsid w:val="77F11C00"/>
    <w:rsid w:val="7845203D"/>
    <w:rsid w:val="787E37E4"/>
    <w:rsid w:val="78992B87"/>
    <w:rsid w:val="78A057EF"/>
    <w:rsid w:val="78B207C4"/>
    <w:rsid w:val="78F02F79"/>
    <w:rsid w:val="79282C5E"/>
    <w:rsid w:val="794712BB"/>
    <w:rsid w:val="795B0B3A"/>
    <w:rsid w:val="796A128E"/>
    <w:rsid w:val="79A445CF"/>
    <w:rsid w:val="79ED369C"/>
    <w:rsid w:val="7A0E086C"/>
    <w:rsid w:val="7A2921ED"/>
    <w:rsid w:val="7A511E50"/>
    <w:rsid w:val="7A5E7DB1"/>
    <w:rsid w:val="7A6916DA"/>
    <w:rsid w:val="7AF366E7"/>
    <w:rsid w:val="7B0F7AEB"/>
    <w:rsid w:val="7B3A2568"/>
    <w:rsid w:val="7B492063"/>
    <w:rsid w:val="7B6B0973"/>
    <w:rsid w:val="7B800CEF"/>
    <w:rsid w:val="7BB02C9E"/>
    <w:rsid w:val="7BB810D4"/>
    <w:rsid w:val="7BBD0F26"/>
    <w:rsid w:val="7BC02341"/>
    <w:rsid w:val="7C04545E"/>
    <w:rsid w:val="7C0E57A2"/>
    <w:rsid w:val="7C1822AA"/>
    <w:rsid w:val="7C605FFE"/>
    <w:rsid w:val="7C60616F"/>
    <w:rsid w:val="7C642BFF"/>
    <w:rsid w:val="7CB93A97"/>
    <w:rsid w:val="7CDA55D8"/>
    <w:rsid w:val="7D201866"/>
    <w:rsid w:val="7D7A1991"/>
    <w:rsid w:val="7D8547E7"/>
    <w:rsid w:val="7DD236F6"/>
    <w:rsid w:val="7E0650A6"/>
    <w:rsid w:val="7E2228BE"/>
    <w:rsid w:val="7E4B5CB5"/>
    <w:rsid w:val="7E557903"/>
    <w:rsid w:val="7E5E656D"/>
    <w:rsid w:val="7E934768"/>
    <w:rsid w:val="7EA2271A"/>
    <w:rsid w:val="7F0957C5"/>
    <w:rsid w:val="7F407C7E"/>
    <w:rsid w:val="7F804554"/>
    <w:rsid w:val="7FA51F7A"/>
    <w:rsid w:val="7FA91A6A"/>
    <w:rsid w:val="7FAD10FB"/>
    <w:rsid w:val="7FB126CD"/>
    <w:rsid w:val="7FDD06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39" w:semiHidden="0" w:name="toc 2"/>
    <w:lsdException w:qFormat="1" w:unhideWhenUsed="0" w:uiPriority="39" w:semiHidden="0" w:name="toc 3"/>
    <w:lsdException w:uiPriority="0" w:name="toc 4"/>
    <w:lsdException w:qFormat="1" w:unhideWhenUsed="0" w:uiPriority="0" w:name="toc 5"/>
    <w:lsdException w:uiPriority="0" w:name="toc 6"/>
    <w:lsdException w:uiPriority="0" w:name="toc 7"/>
    <w:lsdException w:uiPriority="0" w:name="toc 8"/>
    <w:lsdException w:qFormat="1" w:unhideWhenUsed="0" w:uiPriority="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qFormat="1" w:unhideWhenUsed="0" w:uiPriority="0" w:semiHidden="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qFormat="1" w:unhideWhenUsed="0" w:uiPriority="0" w:semiHidden="0" w:name="endnote text"/>
    <w:lsdException w:uiPriority="0" w:name="table of authorities"/>
    <w:lsdException w:uiPriority="0" w:name="macro"/>
    <w:lsdException w:qFormat="1" w:uiPriority="99" w:semiHidden="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99"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iPriority="0" w:semiHidden="0" w:name="HTML Code"/>
    <w:lsdException w:qFormat="1" w:uiPriority="0" w:semiHidden="0" w:name="HTML Definition"/>
    <w:lsdException w:qFormat="1" w:uiPriority="0" w:semiHidden="0" w:name="HTML Keyboard"/>
    <w:lsdException w:uiPriority="0" w:name="HTML Preformatted"/>
    <w:lsdException w:qFormat="1" w:uiPriority="0" w:semiHidden="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65"/>
    <w:autoRedefine/>
    <w:qFormat/>
    <w:uiPriority w:val="0"/>
    <w:pPr>
      <w:keepNext/>
      <w:keepLines/>
      <w:tabs>
        <w:tab w:val="left" w:pos="360"/>
      </w:tabs>
      <w:adjustRightInd w:val="0"/>
      <w:spacing w:before="120" w:line="360" w:lineRule="auto"/>
      <w:ind w:left="284" w:hanging="284"/>
      <w:textAlignment w:val="baseline"/>
      <w:outlineLvl w:val="0"/>
    </w:pPr>
    <w:rPr>
      <w:rFonts w:eastAsia="黑体"/>
      <w:b/>
      <w:kern w:val="44"/>
      <w:sz w:val="28"/>
      <w:szCs w:val="20"/>
    </w:rPr>
  </w:style>
  <w:style w:type="paragraph" w:styleId="5">
    <w:name w:val="heading 2"/>
    <w:basedOn w:val="1"/>
    <w:next w:val="1"/>
    <w:link w:val="61"/>
    <w:autoRedefine/>
    <w:qFormat/>
    <w:uiPriority w:val="0"/>
    <w:pPr>
      <w:keepNext/>
      <w:tabs>
        <w:tab w:val="left" w:pos="1021"/>
      </w:tabs>
      <w:adjustRightInd w:val="0"/>
      <w:spacing w:before="120" w:line="360" w:lineRule="auto"/>
      <w:ind w:left="1021" w:hanging="596"/>
      <w:textAlignment w:val="baseline"/>
      <w:outlineLvl w:val="1"/>
    </w:pPr>
    <w:rPr>
      <w:rFonts w:eastAsia="楷体"/>
      <w:b/>
      <w:kern w:val="0"/>
      <w:szCs w:val="20"/>
    </w:rPr>
  </w:style>
  <w:style w:type="paragraph" w:styleId="6">
    <w:name w:val="heading 3"/>
    <w:basedOn w:val="1"/>
    <w:next w:val="1"/>
    <w:link w:val="71"/>
    <w:autoRedefine/>
    <w:qFormat/>
    <w:uiPriority w:val="0"/>
    <w:pPr>
      <w:tabs>
        <w:tab w:val="left" w:pos="900"/>
        <w:tab w:val="left" w:pos="1588"/>
      </w:tabs>
      <w:adjustRightInd w:val="0"/>
      <w:spacing w:before="120" w:line="360" w:lineRule="auto"/>
      <w:ind w:left="1588" w:hanging="737"/>
      <w:textAlignment w:val="baseline"/>
      <w:outlineLvl w:val="2"/>
    </w:pPr>
    <w:rPr>
      <w:rFonts w:eastAsia="黑体"/>
      <w:b/>
      <w:kern w:val="0"/>
      <w:sz w:val="28"/>
      <w:szCs w:val="20"/>
    </w:rPr>
  </w:style>
  <w:style w:type="paragraph" w:styleId="7">
    <w:name w:val="heading 4"/>
    <w:basedOn w:val="1"/>
    <w:next w:val="1"/>
    <w:autoRedefine/>
    <w:qFormat/>
    <w:uiPriority w:val="0"/>
    <w:pPr>
      <w:tabs>
        <w:tab w:val="left" w:pos="2155"/>
      </w:tabs>
      <w:adjustRightInd w:val="0"/>
      <w:spacing w:before="120" w:line="360" w:lineRule="auto"/>
      <w:jc w:val="center"/>
      <w:textAlignment w:val="baseline"/>
      <w:outlineLvl w:val="3"/>
    </w:pPr>
    <w:rPr>
      <w:rFonts w:ascii="宋体" w:hAnsi="宋体" w:cs="宋体"/>
      <w:b/>
      <w:bCs/>
      <w:color w:val="000000" w:themeColor="text1"/>
      <w:kern w:val="0"/>
      <w:szCs w:val="21"/>
      <w14:textFill>
        <w14:solidFill>
          <w14:schemeClr w14:val="tx1"/>
        </w14:solidFill>
      </w14:textFill>
    </w:rPr>
  </w:style>
  <w:style w:type="paragraph" w:styleId="8">
    <w:name w:val="heading 5"/>
    <w:basedOn w:val="1"/>
    <w:next w:val="1"/>
    <w:link w:val="76"/>
    <w:autoRedefine/>
    <w:qFormat/>
    <w:uiPriority w:val="0"/>
    <w:pPr>
      <w:keepNext/>
      <w:keepLines/>
      <w:adjustRightInd w:val="0"/>
      <w:spacing w:before="280" w:after="290" w:line="376" w:lineRule="atLeast"/>
      <w:ind w:left="2125" w:hanging="425"/>
      <w:textAlignment w:val="baseline"/>
      <w:outlineLvl w:val="4"/>
    </w:pPr>
    <w:rPr>
      <w:b/>
      <w:kern w:val="0"/>
      <w:sz w:val="28"/>
    </w:rPr>
  </w:style>
  <w:style w:type="paragraph" w:styleId="9">
    <w:name w:val="heading 6"/>
    <w:basedOn w:val="1"/>
    <w:next w:val="1"/>
    <w:autoRedefine/>
    <w:qFormat/>
    <w:uiPriority w:val="0"/>
    <w:pPr>
      <w:keepNext/>
      <w:keepLines/>
      <w:adjustRightInd w:val="0"/>
      <w:spacing w:before="240" w:after="64" w:line="320" w:lineRule="atLeast"/>
      <w:ind w:left="2550" w:hanging="425"/>
      <w:outlineLvl w:val="5"/>
    </w:pPr>
    <w:rPr>
      <w:rFonts w:ascii="Arial" w:hAnsi="Arial" w:eastAsia="黑体"/>
      <w:b/>
      <w:kern w:val="0"/>
      <w:sz w:val="24"/>
      <w:szCs w:val="20"/>
    </w:rPr>
  </w:style>
  <w:style w:type="paragraph" w:styleId="10">
    <w:name w:val="heading 7"/>
    <w:basedOn w:val="1"/>
    <w:next w:val="1"/>
    <w:autoRedefine/>
    <w:qFormat/>
    <w:uiPriority w:val="0"/>
    <w:pPr>
      <w:keepNext/>
      <w:keepLines/>
      <w:adjustRightInd w:val="0"/>
      <w:spacing w:before="240" w:after="64" w:line="320" w:lineRule="atLeast"/>
      <w:ind w:left="2975" w:hanging="425"/>
      <w:outlineLvl w:val="6"/>
    </w:pPr>
    <w:rPr>
      <w:rFonts w:ascii="Arial"/>
      <w:b/>
      <w:kern w:val="0"/>
      <w:sz w:val="24"/>
      <w:szCs w:val="20"/>
    </w:rPr>
  </w:style>
  <w:style w:type="paragraph" w:styleId="11">
    <w:name w:val="heading 8"/>
    <w:basedOn w:val="1"/>
    <w:next w:val="1"/>
    <w:autoRedefine/>
    <w:qFormat/>
    <w:uiPriority w:val="0"/>
    <w:pPr>
      <w:keepNext/>
      <w:keepLines/>
      <w:adjustRightInd w:val="0"/>
      <w:spacing w:before="240" w:after="64" w:line="320" w:lineRule="atLeast"/>
      <w:ind w:left="3400" w:hanging="425"/>
      <w:outlineLvl w:val="7"/>
    </w:pPr>
    <w:rPr>
      <w:rFonts w:ascii="Arial" w:hAnsi="Arial" w:eastAsia="黑体"/>
      <w:kern w:val="0"/>
      <w:sz w:val="24"/>
      <w:szCs w:val="20"/>
    </w:rPr>
  </w:style>
  <w:style w:type="paragraph" w:styleId="12">
    <w:name w:val="heading 9"/>
    <w:basedOn w:val="1"/>
    <w:next w:val="1"/>
    <w:autoRedefine/>
    <w:qFormat/>
    <w:uiPriority w:val="0"/>
    <w:pPr>
      <w:keepNext/>
      <w:keepLines/>
      <w:adjustRightInd w:val="0"/>
      <w:spacing w:before="240" w:after="64" w:line="320" w:lineRule="atLeast"/>
      <w:ind w:left="3825" w:hanging="425"/>
      <w:outlineLvl w:val="8"/>
    </w:pPr>
    <w:rPr>
      <w:rFonts w:ascii="Arial" w:hAnsi="Arial" w:eastAsia="黑体"/>
      <w:kern w:val="0"/>
      <w:sz w:val="24"/>
      <w:szCs w:val="20"/>
    </w:rPr>
  </w:style>
  <w:style w:type="character" w:default="1" w:styleId="43">
    <w:name w:val="Default Paragraph Font"/>
    <w:autoRedefine/>
    <w:semiHidden/>
    <w:unhideWhenUsed/>
    <w:qFormat/>
    <w:uiPriority w:val="1"/>
  </w:style>
  <w:style w:type="table" w:default="1" w:styleId="41">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link w:val="229"/>
    <w:autoRedefine/>
    <w:unhideWhenUsed/>
    <w:qFormat/>
    <w:uiPriority w:val="0"/>
    <w:pPr>
      <w:ind w:firstLine="420" w:firstLineChars="200"/>
    </w:pPr>
  </w:style>
  <w:style w:type="paragraph" w:styleId="3">
    <w:name w:val="Body Text Indent"/>
    <w:basedOn w:val="1"/>
    <w:link w:val="89"/>
    <w:autoRedefine/>
    <w:qFormat/>
    <w:uiPriority w:val="0"/>
    <w:pPr>
      <w:spacing w:after="120"/>
      <w:ind w:left="420" w:leftChars="200"/>
    </w:pPr>
  </w:style>
  <w:style w:type="paragraph" w:styleId="13">
    <w:name w:val="Normal Indent"/>
    <w:basedOn w:val="1"/>
    <w:link w:val="86"/>
    <w:autoRedefine/>
    <w:qFormat/>
    <w:uiPriority w:val="0"/>
    <w:pPr>
      <w:widowControl/>
      <w:ind w:firstLine="420" w:firstLineChars="200"/>
      <w:jc w:val="left"/>
    </w:pPr>
    <w:rPr>
      <w:kern w:val="0"/>
      <w:sz w:val="20"/>
      <w:szCs w:val="20"/>
    </w:rPr>
  </w:style>
  <w:style w:type="paragraph" w:styleId="14">
    <w:name w:val="Document Map"/>
    <w:basedOn w:val="1"/>
    <w:autoRedefine/>
    <w:semiHidden/>
    <w:qFormat/>
    <w:uiPriority w:val="0"/>
    <w:pPr>
      <w:shd w:val="clear" w:color="auto" w:fill="000080"/>
    </w:pPr>
  </w:style>
  <w:style w:type="paragraph" w:styleId="15">
    <w:name w:val="toa heading"/>
    <w:basedOn w:val="1"/>
    <w:next w:val="1"/>
    <w:unhideWhenUsed/>
    <w:qFormat/>
    <w:uiPriority w:val="99"/>
    <w:pPr>
      <w:spacing w:before="120"/>
    </w:pPr>
    <w:rPr>
      <w:rFonts w:ascii="Arial" w:hAnsi="Arial" w:cs="Arial"/>
      <w:sz w:val="24"/>
    </w:rPr>
  </w:style>
  <w:style w:type="paragraph" w:styleId="16">
    <w:name w:val="annotation text"/>
    <w:basedOn w:val="1"/>
    <w:link w:val="219"/>
    <w:autoRedefine/>
    <w:semiHidden/>
    <w:qFormat/>
    <w:uiPriority w:val="0"/>
    <w:pPr>
      <w:jc w:val="left"/>
    </w:pPr>
  </w:style>
  <w:style w:type="paragraph" w:styleId="17">
    <w:name w:val="Body Text 3"/>
    <w:basedOn w:val="1"/>
    <w:autoRedefine/>
    <w:qFormat/>
    <w:uiPriority w:val="0"/>
    <w:pPr>
      <w:spacing w:after="120"/>
    </w:pPr>
    <w:rPr>
      <w:sz w:val="16"/>
      <w:szCs w:val="16"/>
    </w:rPr>
  </w:style>
  <w:style w:type="paragraph" w:styleId="18">
    <w:name w:val="Body Text"/>
    <w:basedOn w:val="1"/>
    <w:next w:val="1"/>
    <w:link w:val="78"/>
    <w:autoRedefine/>
    <w:qFormat/>
    <w:uiPriority w:val="99"/>
    <w:pPr>
      <w:spacing w:after="120"/>
    </w:pPr>
  </w:style>
  <w:style w:type="paragraph" w:styleId="19">
    <w:name w:val="Block Text"/>
    <w:basedOn w:val="1"/>
    <w:next w:val="1"/>
    <w:qFormat/>
    <w:uiPriority w:val="0"/>
    <w:pPr>
      <w:spacing w:after="120"/>
      <w:ind w:left="1440" w:leftChars="700" w:right="1440" w:rightChars="700"/>
    </w:pPr>
  </w:style>
  <w:style w:type="paragraph" w:styleId="20">
    <w:name w:val="toc 5"/>
    <w:basedOn w:val="1"/>
    <w:next w:val="1"/>
    <w:autoRedefine/>
    <w:semiHidden/>
    <w:qFormat/>
    <w:uiPriority w:val="0"/>
    <w:pPr>
      <w:ind w:left="1680" w:leftChars="800"/>
    </w:pPr>
  </w:style>
  <w:style w:type="paragraph" w:styleId="21">
    <w:name w:val="toc 3"/>
    <w:basedOn w:val="1"/>
    <w:next w:val="1"/>
    <w:autoRedefine/>
    <w:qFormat/>
    <w:uiPriority w:val="39"/>
    <w:pPr>
      <w:ind w:left="840" w:leftChars="400"/>
    </w:pPr>
  </w:style>
  <w:style w:type="paragraph" w:styleId="22">
    <w:name w:val="Plain Text"/>
    <w:basedOn w:val="1"/>
    <w:next w:val="1"/>
    <w:link w:val="85"/>
    <w:autoRedefine/>
    <w:qFormat/>
    <w:uiPriority w:val="99"/>
    <w:rPr>
      <w:rFonts w:ascii="宋体"/>
      <w:szCs w:val="20"/>
    </w:rPr>
  </w:style>
  <w:style w:type="paragraph" w:styleId="23">
    <w:name w:val="Date"/>
    <w:basedOn w:val="1"/>
    <w:next w:val="1"/>
    <w:link w:val="70"/>
    <w:autoRedefine/>
    <w:qFormat/>
    <w:uiPriority w:val="0"/>
    <w:pPr>
      <w:ind w:left="100" w:leftChars="2500"/>
    </w:pPr>
  </w:style>
  <w:style w:type="paragraph" w:styleId="24">
    <w:name w:val="Body Text Indent 2"/>
    <w:basedOn w:val="1"/>
    <w:link w:val="228"/>
    <w:autoRedefine/>
    <w:qFormat/>
    <w:uiPriority w:val="0"/>
    <w:pPr>
      <w:spacing w:after="120" w:line="480" w:lineRule="auto"/>
      <w:ind w:left="200" w:leftChars="200"/>
    </w:pPr>
  </w:style>
  <w:style w:type="paragraph" w:styleId="25">
    <w:name w:val="endnote text"/>
    <w:basedOn w:val="1"/>
    <w:autoRedefine/>
    <w:qFormat/>
    <w:uiPriority w:val="0"/>
    <w:pPr>
      <w:snapToGrid w:val="0"/>
      <w:jc w:val="left"/>
    </w:pPr>
  </w:style>
  <w:style w:type="paragraph" w:styleId="26">
    <w:name w:val="Balloon Text"/>
    <w:basedOn w:val="1"/>
    <w:link w:val="221"/>
    <w:autoRedefine/>
    <w:qFormat/>
    <w:uiPriority w:val="0"/>
    <w:rPr>
      <w:sz w:val="18"/>
      <w:szCs w:val="18"/>
    </w:rPr>
  </w:style>
  <w:style w:type="paragraph" w:styleId="27">
    <w:name w:val="footer"/>
    <w:basedOn w:val="1"/>
    <w:link w:val="60"/>
    <w:autoRedefine/>
    <w:qFormat/>
    <w:uiPriority w:val="0"/>
    <w:pPr>
      <w:tabs>
        <w:tab w:val="center" w:pos="4153"/>
        <w:tab w:val="right" w:pos="8306"/>
      </w:tabs>
      <w:snapToGrid w:val="0"/>
      <w:jc w:val="left"/>
    </w:pPr>
    <w:rPr>
      <w:rFonts w:ascii="宋体"/>
      <w:sz w:val="18"/>
      <w:szCs w:val="20"/>
    </w:rPr>
  </w:style>
  <w:style w:type="paragraph" w:styleId="28">
    <w:name w:val="envelope return"/>
    <w:basedOn w:val="1"/>
    <w:autoRedefine/>
    <w:qFormat/>
    <w:uiPriority w:val="0"/>
    <w:pPr>
      <w:snapToGrid w:val="0"/>
    </w:pPr>
    <w:rPr>
      <w:rFonts w:ascii="Arial" w:hAnsi="Arial"/>
    </w:rPr>
  </w:style>
  <w:style w:type="paragraph" w:styleId="29">
    <w:name w:val="header"/>
    <w:basedOn w:val="1"/>
    <w:link w:val="63"/>
    <w:autoRedefine/>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autoRedefine/>
    <w:qFormat/>
    <w:uiPriority w:val="0"/>
    <w:pPr>
      <w:tabs>
        <w:tab w:val="right" w:leader="dot" w:pos="9628"/>
      </w:tabs>
      <w:spacing w:before="120" w:after="120"/>
      <w:ind w:firstLine="74" w:firstLineChars="74"/>
      <w:jc w:val="left"/>
    </w:pPr>
    <w:rPr>
      <w:b/>
      <w:bCs/>
      <w:caps/>
      <w:sz w:val="20"/>
      <w:szCs w:val="20"/>
    </w:rPr>
  </w:style>
  <w:style w:type="paragraph" w:styleId="31">
    <w:name w:val="Subtitle"/>
    <w:basedOn w:val="1"/>
    <w:next w:val="1"/>
    <w:link w:val="232"/>
    <w:autoRedefine/>
    <w:qFormat/>
    <w:uiPriority w:val="0"/>
    <w:pPr>
      <w:spacing w:line="312" w:lineRule="auto"/>
      <w:jc w:val="left"/>
      <w:outlineLvl w:val="1"/>
    </w:pPr>
    <w:rPr>
      <w:rFonts w:ascii="Cambria" w:hAnsi="Cambria"/>
      <w:b/>
      <w:bCs/>
      <w:kern w:val="28"/>
      <w:szCs w:val="32"/>
    </w:rPr>
  </w:style>
  <w:style w:type="paragraph" w:styleId="32">
    <w:name w:val="footnote text"/>
    <w:basedOn w:val="1"/>
    <w:autoRedefine/>
    <w:qFormat/>
    <w:uiPriority w:val="0"/>
    <w:pPr>
      <w:snapToGrid w:val="0"/>
      <w:jc w:val="left"/>
    </w:pPr>
    <w:rPr>
      <w:sz w:val="18"/>
      <w:szCs w:val="18"/>
    </w:rPr>
  </w:style>
  <w:style w:type="paragraph" w:styleId="33">
    <w:name w:val="Body Text Indent 3"/>
    <w:basedOn w:val="1"/>
    <w:autoRedefine/>
    <w:qFormat/>
    <w:uiPriority w:val="0"/>
    <w:pPr>
      <w:widowControl/>
      <w:autoSpaceDE w:val="0"/>
      <w:autoSpaceDN w:val="0"/>
      <w:spacing w:line="380" w:lineRule="exact"/>
      <w:ind w:left="-113"/>
      <w:jc w:val="left"/>
    </w:pPr>
    <w:rPr>
      <w:sz w:val="28"/>
    </w:rPr>
  </w:style>
  <w:style w:type="paragraph" w:styleId="34">
    <w:name w:val="toc 2"/>
    <w:basedOn w:val="1"/>
    <w:next w:val="1"/>
    <w:autoRedefine/>
    <w:qFormat/>
    <w:uiPriority w:val="39"/>
    <w:pPr>
      <w:tabs>
        <w:tab w:val="right" w:leader="dot" w:pos="9628"/>
      </w:tabs>
      <w:spacing w:line="260" w:lineRule="exact"/>
      <w:ind w:left="210"/>
      <w:jc w:val="left"/>
    </w:pPr>
    <w:rPr>
      <w:smallCaps/>
      <w:sz w:val="20"/>
      <w:szCs w:val="20"/>
    </w:rPr>
  </w:style>
  <w:style w:type="paragraph" w:styleId="35">
    <w:name w:val="toc 9"/>
    <w:basedOn w:val="1"/>
    <w:next w:val="1"/>
    <w:autoRedefine/>
    <w:semiHidden/>
    <w:qFormat/>
    <w:uiPriority w:val="0"/>
    <w:pPr>
      <w:ind w:left="1680"/>
      <w:jc w:val="left"/>
    </w:pPr>
    <w:rPr>
      <w:sz w:val="18"/>
      <w:szCs w:val="18"/>
    </w:rPr>
  </w:style>
  <w:style w:type="paragraph" w:styleId="36">
    <w:name w:val="Body Text 2"/>
    <w:basedOn w:val="1"/>
    <w:autoRedefine/>
    <w:qFormat/>
    <w:uiPriority w:val="0"/>
    <w:pPr>
      <w:spacing w:after="120" w:line="480" w:lineRule="auto"/>
    </w:pPr>
  </w:style>
  <w:style w:type="paragraph" w:styleId="37">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38">
    <w:name w:val="Title"/>
    <w:basedOn w:val="1"/>
    <w:next w:val="1"/>
    <w:autoRedefine/>
    <w:qFormat/>
    <w:uiPriority w:val="0"/>
    <w:pPr>
      <w:spacing w:before="240" w:after="60"/>
      <w:jc w:val="center"/>
      <w:outlineLvl w:val="0"/>
    </w:pPr>
    <w:rPr>
      <w:rFonts w:ascii="Cambria" w:hAnsi="Cambria"/>
      <w:b/>
      <w:bCs/>
      <w:sz w:val="32"/>
      <w:szCs w:val="32"/>
    </w:rPr>
  </w:style>
  <w:style w:type="paragraph" w:styleId="39">
    <w:name w:val="annotation subject"/>
    <w:basedOn w:val="16"/>
    <w:next w:val="16"/>
    <w:link w:val="220"/>
    <w:autoRedefine/>
    <w:qFormat/>
    <w:uiPriority w:val="0"/>
    <w:rPr>
      <w:b/>
      <w:bCs/>
    </w:rPr>
  </w:style>
  <w:style w:type="paragraph" w:styleId="40">
    <w:name w:val="Body Text First Indent"/>
    <w:basedOn w:val="18"/>
    <w:next w:val="1"/>
    <w:link w:val="231"/>
    <w:autoRedefine/>
    <w:qFormat/>
    <w:uiPriority w:val="0"/>
    <w:pPr>
      <w:ind w:firstLine="420" w:firstLineChars="100"/>
    </w:pPr>
  </w:style>
  <w:style w:type="table" w:styleId="42">
    <w:name w:val="Table Grid"/>
    <w:basedOn w:val="4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autoRedefine/>
    <w:qFormat/>
    <w:uiPriority w:val="0"/>
    <w:rPr>
      <w:b/>
      <w:bCs/>
    </w:rPr>
  </w:style>
  <w:style w:type="character" w:styleId="45">
    <w:name w:val="page number"/>
    <w:autoRedefine/>
    <w:qFormat/>
    <w:uiPriority w:val="0"/>
  </w:style>
  <w:style w:type="character" w:styleId="46">
    <w:name w:val="FollowedHyperlink"/>
    <w:autoRedefine/>
    <w:unhideWhenUsed/>
    <w:qFormat/>
    <w:uiPriority w:val="99"/>
    <w:rPr>
      <w:rFonts w:hint="eastAsia" w:ascii="宋体" w:hAnsi="宋体" w:eastAsia="宋体" w:cs="宋体"/>
      <w:color w:val="0033CC"/>
      <w:sz w:val="18"/>
      <w:szCs w:val="18"/>
      <w:u w:val="none"/>
    </w:rPr>
  </w:style>
  <w:style w:type="character" w:styleId="47">
    <w:name w:val="HTML Definition"/>
    <w:autoRedefine/>
    <w:unhideWhenUsed/>
    <w:qFormat/>
    <w:uiPriority w:val="0"/>
    <w:rPr>
      <w:i/>
    </w:rPr>
  </w:style>
  <w:style w:type="character" w:styleId="48">
    <w:name w:val="Hyperlink"/>
    <w:autoRedefine/>
    <w:qFormat/>
    <w:uiPriority w:val="99"/>
    <w:rPr>
      <w:rFonts w:hint="eastAsia" w:ascii="宋体" w:hAnsi="宋体" w:eastAsia="宋体" w:cs="宋体"/>
      <w:color w:val="0033CC"/>
      <w:sz w:val="18"/>
      <w:szCs w:val="18"/>
      <w:u w:val="none"/>
    </w:rPr>
  </w:style>
  <w:style w:type="character" w:styleId="49">
    <w:name w:val="HTML Code"/>
    <w:autoRedefine/>
    <w:unhideWhenUsed/>
    <w:qFormat/>
    <w:uiPriority w:val="0"/>
    <w:rPr>
      <w:rFonts w:hint="default" w:ascii="Consolas" w:hAnsi="Consolas" w:eastAsia="Consolas" w:cs="Consolas"/>
      <w:color w:val="C7254E"/>
      <w:sz w:val="21"/>
      <w:szCs w:val="21"/>
      <w:shd w:val="clear" w:color="auto" w:fill="F9F2F4"/>
    </w:rPr>
  </w:style>
  <w:style w:type="character" w:styleId="50">
    <w:name w:val="annotation reference"/>
    <w:autoRedefine/>
    <w:unhideWhenUsed/>
    <w:qFormat/>
    <w:uiPriority w:val="0"/>
    <w:rPr>
      <w:sz w:val="21"/>
      <w:szCs w:val="21"/>
    </w:rPr>
  </w:style>
  <w:style w:type="character" w:styleId="51">
    <w:name w:val="footnote reference"/>
    <w:autoRedefine/>
    <w:qFormat/>
    <w:uiPriority w:val="0"/>
    <w:rPr>
      <w:vertAlign w:val="superscript"/>
    </w:rPr>
  </w:style>
  <w:style w:type="character" w:styleId="52">
    <w:name w:val="HTML Keyboard"/>
    <w:autoRedefine/>
    <w:unhideWhenUsed/>
    <w:qFormat/>
    <w:uiPriority w:val="0"/>
    <w:rPr>
      <w:rFonts w:ascii="Consolas" w:hAnsi="Consolas" w:eastAsia="Consolas" w:cs="Consolas"/>
      <w:color w:val="FFFFFF"/>
      <w:sz w:val="21"/>
      <w:szCs w:val="21"/>
      <w:shd w:val="clear" w:color="auto" w:fill="333333"/>
    </w:rPr>
  </w:style>
  <w:style w:type="character" w:styleId="53">
    <w:name w:val="HTML Sample"/>
    <w:autoRedefine/>
    <w:unhideWhenUsed/>
    <w:qFormat/>
    <w:uiPriority w:val="0"/>
    <w:rPr>
      <w:rFonts w:hint="default" w:ascii="Consolas" w:hAnsi="Consolas" w:eastAsia="Consolas" w:cs="Consolas"/>
      <w:sz w:val="21"/>
      <w:szCs w:val="21"/>
    </w:rPr>
  </w:style>
  <w:style w:type="paragraph" w:customStyle="1" w:styleId="54">
    <w:name w:val="Normal_2"/>
    <w:qFormat/>
    <w:uiPriority w:val="0"/>
    <w:pPr>
      <w:widowControl w:val="0"/>
      <w:jc w:val="both"/>
    </w:pPr>
    <w:rPr>
      <w:rFonts w:ascii="Calibri" w:hAnsi="Calibri" w:eastAsia="宋体" w:cs="Times New Roman"/>
      <w:lang w:val="en-US" w:eastAsia="zh-CN" w:bidi="ar-SA"/>
    </w:rPr>
  </w:style>
  <w:style w:type="paragraph" w:customStyle="1" w:styleId="55">
    <w:name w:val="Normal Indent1"/>
    <w:autoRedefine/>
    <w:qFormat/>
    <w:uiPriority w:val="0"/>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customStyle="1" w:styleId="56">
    <w:name w:val="Normal_0"/>
    <w:next w:val="2"/>
    <w:qFormat/>
    <w:uiPriority w:val="99"/>
    <w:pPr>
      <w:widowControl w:val="0"/>
      <w:jc w:val="both"/>
    </w:pPr>
    <w:rPr>
      <w:rFonts w:ascii="Calibri" w:hAnsi="Calibri" w:eastAsia="宋体" w:cs="Calibri"/>
      <w:lang w:val="en-US" w:eastAsia="zh-CN" w:bidi="ar-SA"/>
    </w:rPr>
  </w:style>
  <w:style w:type="paragraph" w:customStyle="1" w:styleId="57">
    <w:name w:val="正文首行缩进 21"/>
    <w:basedOn w:val="1"/>
    <w:autoRedefine/>
    <w:qFormat/>
    <w:uiPriority w:val="0"/>
    <w:pPr>
      <w:spacing w:after="120" w:line="360" w:lineRule="auto"/>
    </w:pPr>
    <w:rPr>
      <w:rFonts w:cs="黑体"/>
      <w:sz w:val="24"/>
    </w:rPr>
  </w:style>
  <w:style w:type="paragraph" w:customStyle="1" w:styleId="58">
    <w:name w:val="正文（标准）"/>
    <w:basedOn w:val="1"/>
    <w:next w:val="1"/>
    <w:autoRedefine/>
    <w:semiHidden/>
    <w:qFormat/>
    <w:uiPriority w:val="0"/>
    <w:pPr>
      <w:ind w:firstLine="525"/>
    </w:pPr>
    <w:rPr>
      <w:rFonts w:ascii="宋体" w:hAnsi="宋体"/>
    </w:rPr>
  </w:style>
  <w:style w:type="character" w:customStyle="1" w:styleId="59">
    <w:name w:val="标题 3 Char"/>
    <w:autoRedefine/>
    <w:qFormat/>
    <w:uiPriority w:val="0"/>
    <w:rPr>
      <w:rFonts w:eastAsia="宋体"/>
      <w:b/>
      <w:bCs/>
      <w:kern w:val="2"/>
      <w:sz w:val="32"/>
      <w:szCs w:val="32"/>
      <w:lang w:val="en-US" w:eastAsia="zh-CN" w:bidi="ar-SA"/>
    </w:rPr>
  </w:style>
  <w:style w:type="character" w:customStyle="1" w:styleId="60">
    <w:name w:val="页脚 字符"/>
    <w:link w:val="27"/>
    <w:autoRedefine/>
    <w:qFormat/>
    <w:uiPriority w:val="0"/>
    <w:rPr>
      <w:rFonts w:ascii="宋体"/>
      <w:kern w:val="2"/>
      <w:sz w:val="18"/>
    </w:rPr>
  </w:style>
  <w:style w:type="character" w:customStyle="1" w:styleId="61">
    <w:name w:val="标题 2 字符"/>
    <w:link w:val="5"/>
    <w:autoRedefine/>
    <w:qFormat/>
    <w:uiPriority w:val="0"/>
    <w:rPr>
      <w:rFonts w:ascii="Times New Roman" w:hAnsi="Times New Roman" w:eastAsia="楷体"/>
      <w:b/>
      <w:sz w:val="21"/>
    </w:rPr>
  </w:style>
  <w:style w:type="character" w:customStyle="1" w:styleId="62">
    <w:name w:val="grame"/>
    <w:autoRedefine/>
    <w:qFormat/>
    <w:uiPriority w:val="0"/>
  </w:style>
  <w:style w:type="character" w:customStyle="1" w:styleId="63">
    <w:name w:val="页眉 字符"/>
    <w:link w:val="29"/>
    <w:autoRedefine/>
    <w:qFormat/>
    <w:locked/>
    <w:uiPriority w:val="0"/>
    <w:rPr>
      <w:kern w:val="2"/>
      <w:sz w:val="18"/>
      <w:szCs w:val="18"/>
    </w:rPr>
  </w:style>
  <w:style w:type="character" w:customStyle="1" w:styleId="64">
    <w:name w:val="font21"/>
    <w:autoRedefine/>
    <w:qFormat/>
    <w:uiPriority w:val="0"/>
    <w:rPr>
      <w:rFonts w:hint="eastAsia" w:ascii="宋体" w:hAnsi="宋体" w:eastAsia="宋体" w:cs="宋体"/>
      <w:b/>
      <w:color w:val="000000"/>
      <w:sz w:val="24"/>
      <w:szCs w:val="24"/>
      <w:u w:val="none"/>
    </w:rPr>
  </w:style>
  <w:style w:type="character" w:customStyle="1" w:styleId="65">
    <w:name w:val="标题 1 字符"/>
    <w:link w:val="4"/>
    <w:autoRedefine/>
    <w:qFormat/>
    <w:uiPriority w:val="0"/>
    <w:rPr>
      <w:rFonts w:eastAsia="黑体"/>
      <w:b/>
      <w:kern w:val="44"/>
      <w:sz w:val="28"/>
    </w:rPr>
  </w:style>
  <w:style w:type="character" w:customStyle="1" w:styleId="66">
    <w:name w:val="區別強調"/>
    <w:autoRedefine/>
    <w:qFormat/>
    <w:uiPriority w:val="0"/>
    <w:rPr>
      <w:rFonts w:eastAsia="仿宋_GB2312"/>
      <w:iCs/>
      <w:color w:val="auto"/>
      <w:sz w:val="24"/>
    </w:rPr>
  </w:style>
  <w:style w:type="character" w:customStyle="1" w:styleId="67">
    <w:name w:val="样式 标题 3标题 3 Char Char标题 3 Char Char Char + 宋体 Char"/>
    <w:link w:val="68"/>
    <w:autoRedefine/>
    <w:qFormat/>
    <w:locked/>
    <w:uiPriority w:val="0"/>
    <w:rPr>
      <w:rFonts w:ascii="宋体" w:hAnsi="宋体" w:eastAsia="宋体"/>
      <w:b/>
      <w:bCs/>
      <w:kern w:val="2"/>
      <w:sz w:val="21"/>
      <w:szCs w:val="32"/>
      <w:lang w:val="en-US" w:eastAsia="zh-CN" w:bidi="ar-SA"/>
    </w:rPr>
  </w:style>
  <w:style w:type="paragraph" w:customStyle="1" w:styleId="68">
    <w:name w:val="样式 标题 3标题 3 Char Char标题 3 Char Char Char + 宋体"/>
    <w:basedOn w:val="6"/>
    <w:link w:val="67"/>
    <w:autoRedefine/>
    <w:qFormat/>
    <w:uiPriority w:val="0"/>
    <w:pPr>
      <w:keepNext/>
      <w:keepLines/>
      <w:tabs>
        <w:tab w:val="clear" w:pos="900"/>
      </w:tabs>
      <w:adjustRightInd/>
      <w:spacing w:before="0" w:line="336" w:lineRule="auto"/>
      <w:ind w:left="0" w:firstLine="527"/>
      <w:textAlignment w:val="auto"/>
    </w:pPr>
    <w:rPr>
      <w:rFonts w:ascii="宋体" w:hAnsi="宋体" w:eastAsia="宋体"/>
      <w:bCs/>
      <w:kern w:val="2"/>
      <w:sz w:val="21"/>
      <w:szCs w:val="32"/>
    </w:rPr>
  </w:style>
  <w:style w:type="character" w:customStyle="1" w:styleId="69">
    <w:name w:val="页脚 Char"/>
    <w:autoRedefine/>
    <w:qFormat/>
    <w:uiPriority w:val="0"/>
    <w:rPr>
      <w:kern w:val="2"/>
      <w:sz w:val="18"/>
      <w:szCs w:val="18"/>
    </w:rPr>
  </w:style>
  <w:style w:type="character" w:customStyle="1" w:styleId="70">
    <w:name w:val="日期 字符"/>
    <w:link w:val="23"/>
    <w:autoRedefine/>
    <w:qFormat/>
    <w:uiPriority w:val="0"/>
    <w:rPr>
      <w:kern w:val="2"/>
      <w:sz w:val="21"/>
      <w:szCs w:val="24"/>
    </w:rPr>
  </w:style>
  <w:style w:type="character" w:customStyle="1" w:styleId="71">
    <w:name w:val="标题 3 字符"/>
    <w:link w:val="6"/>
    <w:autoRedefine/>
    <w:qFormat/>
    <w:uiPriority w:val="0"/>
    <w:rPr>
      <w:rFonts w:eastAsia="黑体"/>
      <w:b/>
      <w:sz w:val="28"/>
    </w:rPr>
  </w:style>
  <w:style w:type="character" w:customStyle="1" w:styleId="72">
    <w:name w:val="ca-71"/>
    <w:autoRedefine/>
    <w:qFormat/>
    <w:uiPriority w:val="0"/>
    <w:rPr>
      <w:rFonts w:hint="eastAsia" w:ascii="宋体" w:hAnsi="宋体" w:eastAsia="宋体"/>
      <w:sz w:val="14"/>
      <w:szCs w:val="14"/>
    </w:rPr>
  </w:style>
  <w:style w:type="character" w:customStyle="1" w:styleId="73">
    <w:name w:val="纯文本 字符1"/>
    <w:autoRedefine/>
    <w:semiHidden/>
    <w:qFormat/>
    <w:locked/>
    <w:uiPriority w:val="0"/>
    <w:rPr>
      <w:rFonts w:ascii="宋体" w:hAnsi="宋体"/>
      <w:kern w:val="2"/>
      <w:sz w:val="21"/>
    </w:rPr>
  </w:style>
  <w:style w:type="character" w:customStyle="1" w:styleId="74">
    <w:name w:val="标题 3 Char1"/>
    <w:autoRedefine/>
    <w:qFormat/>
    <w:uiPriority w:val="0"/>
    <w:rPr>
      <w:rFonts w:eastAsia="宋体"/>
      <w:b/>
      <w:bCs/>
      <w:kern w:val="2"/>
      <w:sz w:val="32"/>
      <w:szCs w:val="32"/>
      <w:lang w:val="en-US" w:eastAsia="zh-CN" w:bidi="ar-SA"/>
    </w:rPr>
  </w:style>
  <w:style w:type="character" w:customStyle="1" w:styleId="75">
    <w:name w:val="孙普文字 Char"/>
    <w:autoRedefine/>
    <w:qFormat/>
    <w:uiPriority w:val="0"/>
    <w:rPr>
      <w:rFonts w:ascii="宋体" w:hAnsi="Times New Roman" w:eastAsia="宋体" w:cs="Times New Roman"/>
      <w:szCs w:val="20"/>
    </w:rPr>
  </w:style>
  <w:style w:type="character" w:customStyle="1" w:styleId="76">
    <w:name w:val="标题 5 字符"/>
    <w:link w:val="8"/>
    <w:autoRedefine/>
    <w:qFormat/>
    <w:uiPriority w:val="0"/>
    <w:rPr>
      <w:b/>
      <w:sz w:val="28"/>
      <w:szCs w:val="24"/>
    </w:rPr>
  </w:style>
  <w:style w:type="character" w:customStyle="1" w:styleId="77">
    <w:name w:val="纯文本 Char"/>
    <w:autoRedefine/>
    <w:qFormat/>
    <w:uiPriority w:val="99"/>
    <w:rPr>
      <w:rFonts w:ascii="宋体" w:hAnsi="Courier New" w:eastAsia="宋体" w:cs="Courier New"/>
      <w:kern w:val="2"/>
      <w:sz w:val="21"/>
      <w:szCs w:val="21"/>
      <w:lang w:val="en-US" w:eastAsia="zh-CN" w:bidi="ar-SA"/>
    </w:rPr>
  </w:style>
  <w:style w:type="character" w:customStyle="1" w:styleId="78">
    <w:name w:val="正文文本 字符"/>
    <w:link w:val="18"/>
    <w:autoRedefine/>
    <w:qFormat/>
    <w:uiPriority w:val="99"/>
    <w:rPr>
      <w:kern w:val="2"/>
      <w:sz w:val="21"/>
      <w:szCs w:val="24"/>
    </w:rPr>
  </w:style>
  <w:style w:type="character" w:customStyle="1" w:styleId="79">
    <w:name w:val="页眉 Char"/>
    <w:autoRedefine/>
    <w:qFormat/>
    <w:uiPriority w:val="99"/>
    <w:rPr>
      <w:rFonts w:ascii="Arial"/>
      <w:sz w:val="18"/>
    </w:rPr>
  </w:style>
  <w:style w:type="character" w:customStyle="1" w:styleId="80">
    <w:name w:val="样式 标题 1 + 加粗 Char"/>
    <w:autoRedefine/>
    <w:qFormat/>
    <w:uiPriority w:val="0"/>
    <w:rPr>
      <w:rFonts w:hint="eastAsia" w:ascii="黑体" w:eastAsia="黑体"/>
      <w:b/>
      <w:bCs/>
      <w:kern w:val="44"/>
      <w:sz w:val="28"/>
      <w:szCs w:val="28"/>
      <w:lang w:val="en-US" w:eastAsia="zh-CN" w:bidi="ar-SA"/>
    </w:rPr>
  </w:style>
  <w:style w:type="character" w:customStyle="1" w:styleId="81">
    <w:name w:val="font01"/>
    <w:autoRedefine/>
    <w:qFormat/>
    <w:uiPriority w:val="0"/>
    <w:rPr>
      <w:rFonts w:ascii="Arial" w:hAnsi="Arial" w:cs="Arial"/>
      <w:color w:val="000000"/>
      <w:sz w:val="20"/>
      <w:szCs w:val="20"/>
      <w:u w:val="none"/>
    </w:rPr>
  </w:style>
  <w:style w:type="character" w:customStyle="1" w:styleId="82">
    <w:name w:val="eee"/>
    <w:basedOn w:val="43"/>
    <w:autoRedefine/>
    <w:qFormat/>
    <w:uiPriority w:val="0"/>
  </w:style>
  <w:style w:type="character" w:customStyle="1" w:styleId="83">
    <w:name w:val="纯文本 Char1"/>
    <w:autoRedefine/>
    <w:qFormat/>
    <w:uiPriority w:val="99"/>
    <w:rPr>
      <w:rFonts w:ascii="宋体" w:eastAsia="宋体"/>
      <w:kern w:val="2"/>
      <w:sz w:val="21"/>
      <w:lang w:val="en-US" w:eastAsia="zh-CN" w:bidi="ar-SA"/>
    </w:rPr>
  </w:style>
  <w:style w:type="character" w:customStyle="1" w:styleId="84">
    <w:name w:val="纯文本 Char2"/>
    <w:autoRedefine/>
    <w:qFormat/>
    <w:uiPriority w:val="0"/>
    <w:rPr>
      <w:rFonts w:ascii="宋体"/>
      <w:kern w:val="2"/>
      <w:sz w:val="21"/>
    </w:rPr>
  </w:style>
  <w:style w:type="character" w:customStyle="1" w:styleId="85">
    <w:name w:val="纯文本 字符"/>
    <w:link w:val="22"/>
    <w:autoRedefine/>
    <w:qFormat/>
    <w:uiPriority w:val="99"/>
    <w:rPr>
      <w:rFonts w:ascii="宋体" w:eastAsia="宋体"/>
      <w:kern w:val="2"/>
      <w:sz w:val="21"/>
      <w:lang w:val="en-US" w:eastAsia="zh-CN" w:bidi="ar-SA"/>
    </w:rPr>
  </w:style>
  <w:style w:type="character" w:customStyle="1" w:styleId="86">
    <w:name w:val="正文缩进 字符"/>
    <w:link w:val="13"/>
    <w:autoRedefine/>
    <w:qFormat/>
    <w:locked/>
    <w:uiPriority w:val="0"/>
    <w:rPr>
      <w:rFonts w:eastAsia="宋体"/>
      <w:lang w:val="en-US" w:eastAsia="zh-CN" w:bidi="ar-SA"/>
    </w:rPr>
  </w:style>
  <w:style w:type="character" w:customStyle="1" w:styleId="87">
    <w:name w:val="font11"/>
    <w:basedOn w:val="43"/>
    <w:autoRedefine/>
    <w:qFormat/>
    <w:uiPriority w:val="0"/>
    <w:rPr>
      <w:rFonts w:hint="eastAsia" w:ascii="宋体" w:hAnsi="宋体" w:eastAsia="宋体" w:cs="宋体"/>
      <w:color w:val="000000"/>
      <w:sz w:val="20"/>
      <w:szCs w:val="20"/>
      <w:u w:val="none"/>
    </w:rPr>
  </w:style>
  <w:style w:type="character" w:customStyle="1" w:styleId="88">
    <w:name w:val="标题 2 Char"/>
    <w:autoRedefine/>
    <w:qFormat/>
    <w:uiPriority w:val="0"/>
    <w:rPr>
      <w:rFonts w:eastAsia="黑体"/>
      <w:b/>
      <w:sz w:val="28"/>
    </w:rPr>
  </w:style>
  <w:style w:type="character" w:customStyle="1" w:styleId="89">
    <w:name w:val="正文文本缩进 字符"/>
    <w:link w:val="3"/>
    <w:autoRedefine/>
    <w:qFormat/>
    <w:uiPriority w:val="0"/>
    <w:rPr>
      <w:kern w:val="2"/>
      <w:sz w:val="21"/>
      <w:szCs w:val="24"/>
    </w:rPr>
  </w:style>
  <w:style w:type="character" w:customStyle="1" w:styleId="90">
    <w:name w:val="样式 Arial"/>
    <w:autoRedefine/>
    <w:qFormat/>
    <w:uiPriority w:val="0"/>
    <w:rPr>
      <w:rFonts w:hint="default" w:ascii="Times New Roman" w:hAnsi="Times New Roman" w:eastAsia="宋体" w:cs="Times New Roman"/>
      <w:sz w:val="21"/>
      <w:szCs w:val="21"/>
    </w:rPr>
  </w:style>
  <w:style w:type="paragraph" w:customStyle="1" w:styleId="91">
    <w:name w:val="p2"/>
    <w:basedOn w:val="1"/>
    <w:autoRedefine/>
    <w:qFormat/>
    <w:uiPriority w:val="0"/>
    <w:pPr>
      <w:widowControl/>
      <w:spacing w:line="480" w:lineRule="auto"/>
      <w:ind w:firstLine="420"/>
      <w:jc w:val="left"/>
    </w:pPr>
    <w:rPr>
      <w:rFonts w:ascii="宋体" w:hAnsi="宋体" w:cs="宋体"/>
      <w:kern w:val="0"/>
      <w:szCs w:val="21"/>
    </w:rPr>
  </w:style>
  <w:style w:type="paragraph" w:customStyle="1" w:styleId="92">
    <w:name w:val="Char2"/>
    <w:basedOn w:val="1"/>
    <w:autoRedefine/>
    <w:qFormat/>
    <w:uiPriority w:val="0"/>
    <w:pPr>
      <w:snapToGrid w:val="0"/>
    </w:pPr>
    <w:rPr>
      <w:kern w:val="0"/>
      <w:sz w:val="24"/>
      <w:szCs w:val="20"/>
    </w:rPr>
  </w:style>
  <w:style w:type="paragraph" w:customStyle="1" w:styleId="93">
    <w:name w:val="xl1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Courier New" w:hAnsi="Courier New" w:cs="Courier New"/>
      <w:kern w:val="0"/>
      <w:sz w:val="24"/>
    </w:rPr>
  </w:style>
  <w:style w:type="paragraph" w:customStyle="1" w:styleId="94">
    <w:name w:val="xl8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Courier New" w:hAnsi="Courier New" w:cs="Courier New"/>
      <w:color w:val="5A5A5A"/>
      <w:kern w:val="0"/>
      <w:sz w:val="24"/>
    </w:rPr>
  </w:style>
  <w:style w:type="paragraph" w:customStyle="1" w:styleId="95">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96">
    <w:name w:val="xl9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Courier New" w:hAnsi="Courier New" w:cs="Courier New"/>
      <w:color w:val="5A5A5A"/>
      <w:kern w:val="0"/>
      <w:sz w:val="24"/>
    </w:rPr>
  </w:style>
  <w:style w:type="paragraph" w:customStyle="1" w:styleId="97">
    <w:name w:val="xl7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Courier New" w:hAnsi="Courier New" w:cs="Courier New"/>
      <w:kern w:val="0"/>
      <w:sz w:val="24"/>
    </w:rPr>
  </w:style>
  <w:style w:type="paragraph" w:customStyle="1" w:styleId="98">
    <w:name w:val="xl12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ourier New" w:hAnsi="Courier New" w:cs="Courier New"/>
      <w:color w:val="5A5A5A"/>
      <w:kern w:val="0"/>
      <w:sz w:val="24"/>
    </w:rPr>
  </w:style>
  <w:style w:type="paragraph" w:customStyle="1" w:styleId="99">
    <w:name w:val="样式 Arial 首行缩进:  2 字符"/>
    <w:basedOn w:val="1"/>
    <w:autoRedefine/>
    <w:qFormat/>
    <w:uiPriority w:val="0"/>
    <w:pPr>
      <w:ind w:firstLine="403" w:firstLineChars="200"/>
    </w:pPr>
    <w:rPr>
      <w:rFonts w:cs="华文新魏"/>
      <w:szCs w:val="21"/>
    </w:rPr>
  </w:style>
  <w:style w:type="paragraph" w:customStyle="1" w:styleId="100">
    <w:name w:val="xl11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Courier New" w:hAnsi="Courier New" w:cs="Courier New"/>
      <w:b/>
      <w:bCs/>
      <w:color w:val="5A5A5A"/>
      <w:kern w:val="0"/>
      <w:sz w:val="24"/>
    </w:rPr>
  </w:style>
  <w:style w:type="paragraph" w:customStyle="1" w:styleId="101">
    <w:name w:val="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2">
    <w:name w:val="xl119"/>
    <w:basedOn w:val="1"/>
    <w:autoRedefine/>
    <w:qFormat/>
    <w:uiPriority w:val="0"/>
    <w:pPr>
      <w:widowControl/>
      <w:pBdr>
        <w:left w:val="single" w:color="auto" w:sz="4" w:space="0"/>
        <w:right w:val="single" w:color="auto" w:sz="4" w:space="0"/>
      </w:pBdr>
      <w:spacing w:before="100" w:beforeAutospacing="1" w:after="100" w:afterAutospacing="1"/>
      <w:jc w:val="left"/>
    </w:pPr>
    <w:rPr>
      <w:rFonts w:ascii="Courier New" w:hAnsi="Courier New" w:cs="Courier New"/>
      <w:color w:val="5A5A5A"/>
      <w:kern w:val="0"/>
      <w:sz w:val="24"/>
    </w:rPr>
  </w:style>
  <w:style w:type="paragraph" w:customStyle="1" w:styleId="103">
    <w:name w:val="样式 首行缩进:  2 字符"/>
    <w:basedOn w:val="1"/>
    <w:autoRedefine/>
    <w:qFormat/>
    <w:uiPriority w:val="0"/>
    <w:pPr>
      <w:spacing w:line="400" w:lineRule="exact"/>
      <w:ind w:firstLine="200" w:firstLineChars="200"/>
    </w:pPr>
    <w:rPr>
      <w:rFonts w:cs="宋体"/>
      <w:sz w:val="24"/>
    </w:rPr>
  </w:style>
  <w:style w:type="paragraph" w:customStyle="1" w:styleId="104">
    <w:name w:val="xl104"/>
    <w:basedOn w:val="1"/>
    <w:autoRedefine/>
    <w:qFormat/>
    <w:uiPriority w:val="0"/>
    <w:pPr>
      <w:widowControl/>
      <w:pBdr>
        <w:top w:val="single" w:color="auto" w:sz="4" w:space="0"/>
        <w:right w:val="single" w:color="auto" w:sz="4" w:space="0"/>
      </w:pBdr>
      <w:spacing w:before="100" w:beforeAutospacing="1" w:after="100" w:afterAutospacing="1"/>
      <w:jc w:val="left"/>
    </w:pPr>
    <w:rPr>
      <w:rFonts w:ascii="Courier New" w:hAnsi="Courier New" w:cs="Courier New"/>
      <w:color w:val="5A5A5A"/>
      <w:kern w:val="0"/>
      <w:sz w:val="24"/>
    </w:rPr>
  </w:style>
  <w:style w:type="paragraph" w:customStyle="1" w:styleId="105">
    <w:name w:val="xl73"/>
    <w:basedOn w:val="1"/>
    <w:autoRedefine/>
    <w:qFormat/>
    <w:uiPriority w:val="0"/>
    <w:pPr>
      <w:widowControl/>
      <w:spacing w:before="100" w:beforeAutospacing="1" w:after="100" w:afterAutospacing="1"/>
      <w:jc w:val="left"/>
    </w:pPr>
    <w:rPr>
      <w:rFonts w:ascii="Courier New" w:hAnsi="Courier New" w:cs="Courier New"/>
      <w:kern w:val="0"/>
      <w:sz w:val="24"/>
    </w:rPr>
  </w:style>
  <w:style w:type="paragraph" w:customStyle="1" w:styleId="106">
    <w:name w:val="xl10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Courier New" w:hAnsi="Courier New" w:cs="Courier New"/>
      <w:color w:val="5A5A5A"/>
      <w:kern w:val="0"/>
      <w:sz w:val="24"/>
    </w:rPr>
  </w:style>
  <w:style w:type="paragraph" w:customStyle="1" w:styleId="107">
    <w:name w:val="xl108"/>
    <w:basedOn w:val="1"/>
    <w:autoRedefine/>
    <w:qFormat/>
    <w:uiPriority w:val="0"/>
    <w:pPr>
      <w:widowControl/>
      <w:spacing w:before="100" w:beforeAutospacing="1" w:after="100" w:afterAutospacing="1"/>
      <w:jc w:val="left"/>
    </w:pPr>
    <w:rPr>
      <w:rFonts w:ascii="Courier New" w:hAnsi="Courier New" w:cs="Courier New"/>
      <w:kern w:val="0"/>
      <w:sz w:val="24"/>
    </w:rPr>
  </w:style>
  <w:style w:type="paragraph" w:customStyle="1" w:styleId="108">
    <w:name w:val="xl12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ourier New" w:hAnsi="Courier New" w:cs="Courier New"/>
      <w:color w:val="5A5A5A"/>
      <w:kern w:val="0"/>
      <w:sz w:val="24"/>
    </w:rPr>
  </w:style>
  <w:style w:type="paragraph" w:customStyle="1" w:styleId="109">
    <w:name w:val="缺省文本"/>
    <w:basedOn w:val="1"/>
    <w:autoRedefine/>
    <w:qFormat/>
    <w:uiPriority w:val="0"/>
    <w:pPr>
      <w:autoSpaceDE w:val="0"/>
      <w:autoSpaceDN w:val="0"/>
      <w:adjustRightInd w:val="0"/>
      <w:jc w:val="left"/>
    </w:pPr>
    <w:rPr>
      <w:kern w:val="0"/>
      <w:sz w:val="24"/>
      <w:szCs w:val="20"/>
    </w:rPr>
  </w:style>
  <w:style w:type="paragraph" w:customStyle="1" w:styleId="110">
    <w:name w:val="列出段落2"/>
    <w:basedOn w:val="1"/>
    <w:autoRedefine/>
    <w:qFormat/>
    <w:uiPriority w:val="34"/>
    <w:pPr>
      <w:ind w:firstLine="420" w:firstLineChars="200"/>
    </w:pPr>
  </w:style>
  <w:style w:type="paragraph" w:customStyle="1" w:styleId="111">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12">
    <w:name w:val="CM25"/>
    <w:basedOn w:val="1"/>
    <w:next w:val="1"/>
    <w:autoRedefine/>
    <w:qFormat/>
    <w:uiPriority w:val="0"/>
    <w:pPr>
      <w:autoSpaceDE w:val="0"/>
      <w:autoSpaceDN w:val="0"/>
      <w:adjustRightInd w:val="0"/>
      <w:spacing w:after="278"/>
      <w:jc w:val="left"/>
    </w:pPr>
    <w:rPr>
      <w:rFonts w:ascii="隶书" w:eastAsia="隶书"/>
      <w:kern w:val="0"/>
      <w:sz w:val="24"/>
    </w:rPr>
  </w:style>
  <w:style w:type="paragraph" w:customStyle="1" w:styleId="113">
    <w:name w:val="xl72"/>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Courier New" w:hAnsi="Courier New" w:cs="Courier New"/>
      <w:color w:val="5A5A5A"/>
      <w:kern w:val="0"/>
      <w:sz w:val="24"/>
    </w:rPr>
  </w:style>
  <w:style w:type="paragraph" w:customStyle="1" w:styleId="114">
    <w:name w:val="p9"/>
    <w:basedOn w:val="1"/>
    <w:autoRedefine/>
    <w:qFormat/>
    <w:uiPriority w:val="0"/>
    <w:pPr>
      <w:widowControl/>
      <w:spacing w:before="100" w:beforeAutospacing="1" w:after="100" w:afterAutospacing="1"/>
      <w:jc w:val="left"/>
    </w:pPr>
    <w:rPr>
      <w:rFonts w:ascii="宋体" w:hAnsi="宋体"/>
      <w:color w:val="000000"/>
      <w:kern w:val="0"/>
      <w:sz w:val="24"/>
    </w:rPr>
  </w:style>
  <w:style w:type="paragraph" w:customStyle="1" w:styleId="115">
    <w:name w:val="_Style 76"/>
    <w:next w:val="1"/>
    <w:autoRedefine/>
    <w:unhideWhenUsed/>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6">
    <w:name w:val="xl12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Courier New" w:hAnsi="Courier New" w:cs="Courier New"/>
      <w:b/>
      <w:bCs/>
      <w:color w:val="5A5A5A"/>
      <w:kern w:val="0"/>
      <w:sz w:val="24"/>
    </w:rPr>
  </w:style>
  <w:style w:type="paragraph" w:customStyle="1" w:styleId="117">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18">
    <w:name w:val="样式 正文缩进正文（首行缩进两字）特点ALT+Z表正文正文非缩进四号段1Normal Indent Char2...4"/>
    <w:basedOn w:val="3"/>
    <w:autoRedefine/>
    <w:qFormat/>
    <w:uiPriority w:val="0"/>
    <w:pPr>
      <w:widowControl/>
      <w:tabs>
        <w:tab w:val="left" w:pos="0"/>
        <w:tab w:val="left" w:pos="993"/>
        <w:tab w:val="left" w:pos="1134"/>
      </w:tabs>
      <w:spacing w:after="0" w:line="300" w:lineRule="auto"/>
      <w:ind w:left="0" w:leftChars="0"/>
    </w:pPr>
    <w:rPr>
      <w:rFonts w:ascii="宋体" w:hAnsi="宋体"/>
      <w:bCs/>
      <w:kern w:val="0"/>
      <w:sz w:val="32"/>
      <w:szCs w:val="32"/>
    </w:rPr>
  </w:style>
  <w:style w:type="paragraph" w:customStyle="1" w:styleId="119">
    <w:name w:val="样式1"/>
    <w:basedOn w:val="1"/>
    <w:autoRedefine/>
    <w:qFormat/>
    <w:uiPriority w:val="0"/>
    <w:rPr>
      <w:sz w:val="28"/>
    </w:rPr>
  </w:style>
  <w:style w:type="paragraph" w:customStyle="1" w:styleId="120">
    <w:name w:val="抬头"/>
    <w:basedOn w:val="1"/>
    <w:autoRedefine/>
    <w:qFormat/>
    <w:uiPriority w:val="0"/>
    <w:pPr>
      <w:spacing w:beforeLines="50" w:line="360" w:lineRule="auto"/>
    </w:pPr>
    <w:rPr>
      <w:rFonts w:ascii="宋体"/>
      <w:sz w:val="24"/>
    </w:rPr>
  </w:style>
  <w:style w:type="paragraph" w:customStyle="1" w:styleId="121">
    <w:name w:val="xl105"/>
    <w:basedOn w:val="1"/>
    <w:autoRedefine/>
    <w:qFormat/>
    <w:uiPriority w:val="0"/>
    <w:pPr>
      <w:widowControl/>
      <w:pBdr>
        <w:top w:val="single" w:color="auto" w:sz="4" w:space="0"/>
        <w:left w:val="single" w:color="auto" w:sz="4" w:space="0"/>
      </w:pBdr>
      <w:spacing w:before="100" w:beforeAutospacing="1" w:after="100" w:afterAutospacing="1"/>
      <w:jc w:val="center"/>
    </w:pPr>
    <w:rPr>
      <w:rFonts w:ascii="Courier New" w:hAnsi="Courier New" w:cs="Courier New"/>
      <w:color w:val="5A5A5A"/>
      <w:kern w:val="0"/>
      <w:sz w:val="24"/>
    </w:rPr>
  </w:style>
  <w:style w:type="paragraph" w:customStyle="1" w:styleId="122">
    <w:name w:val="xl24"/>
    <w:basedOn w:val="1"/>
    <w:autoRedefine/>
    <w:qFormat/>
    <w:uiPriority w:val="0"/>
    <w:pPr>
      <w:widowControl/>
      <w:pBdr>
        <w:bottom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123">
    <w:name w:val="xl118"/>
    <w:basedOn w:val="1"/>
    <w:autoRedefine/>
    <w:qFormat/>
    <w:uiPriority w:val="0"/>
    <w:pPr>
      <w:widowControl/>
      <w:pBdr>
        <w:top w:val="single" w:color="auto" w:sz="8" w:space="0"/>
        <w:left w:val="single" w:color="auto" w:sz="4" w:space="0"/>
        <w:right w:val="single" w:color="auto" w:sz="4" w:space="0"/>
      </w:pBdr>
      <w:spacing w:before="100" w:beforeAutospacing="1" w:after="100" w:afterAutospacing="1"/>
      <w:jc w:val="center"/>
    </w:pPr>
    <w:rPr>
      <w:rFonts w:ascii="Courier New" w:hAnsi="Courier New" w:cs="Courier New"/>
      <w:b/>
      <w:bCs/>
      <w:color w:val="5A5A5A"/>
      <w:kern w:val="0"/>
      <w:sz w:val="24"/>
    </w:rPr>
  </w:style>
  <w:style w:type="paragraph" w:customStyle="1" w:styleId="124">
    <w:name w:val="xl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ourier New" w:hAnsi="Courier New" w:cs="Courier New"/>
      <w:kern w:val="0"/>
      <w:sz w:val="24"/>
    </w:rPr>
  </w:style>
  <w:style w:type="paragraph" w:customStyle="1" w:styleId="125">
    <w:name w:val="Char13"/>
    <w:basedOn w:val="1"/>
    <w:autoRedefine/>
    <w:qFormat/>
    <w:uiPriority w:val="0"/>
  </w:style>
  <w:style w:type="paragraph" w:customStyle="1" w:styleId="126">
    <w:name w:val="Char Char1 Char Char"/>
    <w:basedOn w:val="1"/>
    <w:autoRedefine/>
    <w:qFormat/>
    <w:uiPriority w:val="0"/>
    <w:pPr>
      <w:tabs>
        <w:tab w:val="left" w:pos="360"/>
      </w:tabs>
    </w:pPr>
    <w:rPr>
      <w:szCs w:val="20"/>
    </w:rPr>
  </w:style>
  <w:style w:type="paragraph" w:customStyle="1" w:styleId="127">
    <w:name w:val="样式 首行缩进:  0 厘米 行距: 单倍行距 Char"/>
    <w:basedOn w:val="1"/>
    <w:autoRedefine/>
    <w:qFormat/>
    <w:uiPriority w:val="0"/>
    <w:pPr>
      <w:adjustRightInd w:val="0"/>
    </w:pPr>
    <w:rPr>
      <w:kern w:val="0"/>
      <w:szCs w:val="21"/>
    </w:rPr>
  </w:style>
  <w:style w:type="paragraph" w:customStyle="1" w:styleId="128">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ourier New" w:hAnsi="Courier New" w:cs="Courier New"/>
      <w:color w:val="5A5A5A"/>
      <w:kern w:val="0"/>
      <w:sz w:val="24"/>
    </w:rPr>
  </w:style>
  <w:style w:type="paragraph" w:customStyle="1" w:styleId="129">
    <w:name w:val="xl100"/>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Courier New" w:hAnsi="Courier New" w:cs="Courier New"/>
      <w:color w:val="5A5A5A"/>
      <w:kern w:val="0"/>
      <w:sz w:val="24"/>
    </w:rPr>
  </w:style>
  <w:style w:type="paragraph" w:customStyle="1" w:styleId="130">
    <w:name w:val="正文1"/>
    <w:basedOn w:val="1"/>
    <w:autoRedefine/>
    <w:qFormat/>
    <w:uiPriority w:val="0"/>
    <w:pPr>
      <w:spacing w:after="120" w:line="360" w:lineRule="auto"/>
    </w:pPr>
    <w:rPr>
      <w:rFonts w:ascii="Arial" w:hAnsi="Arial"/>
      <w:spacing w:val="8"/>
      <w:sz w:val="24"/>
      <w:szCs w:val="20"/>
    </w:rPr>
  </w:style>
  <w:style w:type="paragraph" w:customStyle="1" w:styleId="131">
    <w:name w:val="xl106"/>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Courier New" w:hAnsi="Courier New" w:cs="Courier New"/>
      <w:color w:val="5A5A5A"/>
      <w:kern w:val="0"/>
      <w:sz w:val="24"/>
    </w:rPr>
  </w:style>
  <w:style w:type="paragraph" w:customStyle="1" w:styleId="132">
    <w:name w:val="xl111"/>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Courier New" w:hAnsi="Courier New" w:cs="Courier New"/>
      <w:color w:val="5A5A5A"/>
      <w:kern w:val="0"/>
      <w:sz w:val="24"/>
    </w:rPr>
  </w:style>
  <w:style w:type="paragraph" w:customStyle="1" w:styleId="133">
    <w:name w:val="段"/>
    <w:autoRedefine/>
    <w:qFormat/>
    <w:uiPriority w:val="0"/>
    <w:pPr>
      <w:ind w:firstLine="200" w:firstLineChars="200"/>
      <w:jc w:val="both"/>
    </w:pPr>
    <w:rPr>
      <w:rFonts w:ascii="宋体" w:hAnsi="Times New Roman" w:eastAsia="宋体" w:cs="Times New Roman"/>
      <w:sz w:val="21"/>
      <w:lang w:val="en-US" w:eastAsia="zh-CN" w:bidi="ar-SA"/>
    </w:rPr>
  </w:style>
  <w:style w:type="paragraph" w:customStyle="1" w:styleId="134">
    <w:name w:val="样式 样式 标题 2 + 段前: 0.5 行 段后: 0.5 行 + 首行缩进:  2 字符 段前: 0.5 行 段后: 0..."/>
    <w:basedOn w:val="1"/>
    <w:autoRedefine/>
    <w:qFormat/>
    <w:uiPriority w:val="0"/>
    <w:pPr>
      <w:keepNext/>
      <w:keepLines/>
      <w:adjustRightInd w:val="0"/>
      <w:spacing w:beforeLines="50"/>
      <w:jc w:val="left"/>
      <w:outlineLvl w:val="1"/>
    </w:pPr>
    <w:rPr>
      <w:rFonts w:eastAsia="黑体" w:cs="华文新魏"/>
      <w:kern w:val="0"/>
      <w:szCs w:val="20"/>
    </w:rPr>
  </w:style>
  <w:style w:type="paragraph" w:customStyle="1" w:styleId="135">
    <w:name w:val="5"/>
    <w:basedOn w:val="1"/>
    <w:autoRedefine/>
    <w:qFormat/>
    <w:uiPriority w:val="0"/>
    <w:pPr>
      <w:tabs>
        <w:tab w:val="right" w:pos="-2120"/>
      </w:tabs>
      <w:snapToGrid w:val="0"/>
    </w:pPr>
    <w:rPr>
      <w:rFonts w:ascii="Tahoma" w:hAnsi="Tahoma"/>
      <w:spacing w:val="6"/>
      <w:sz w:val="24"/>
      <w:szCs w:val="20"/>
    </w:rPr>
  </w:style>
  <w:style w:type="paragraph" w:customStyle="1" w:styleId="136">
    <w:name w:val="xl91"/>
    <w:basedOn w:val="1"/>
    <w:autoRedefine/>
    <w:qFormat/>
    <w:uiPriority w:val="0"/>
    <w:pPr>
      <w:widowControl/>
      <w:pBdr>
        <w:right w:val="single" w:color="auto" w:sz="4" w:space="0"/>
      </w:pBdr>
      <w:spacing w:before="100" w:beforeAutospacing="1" w:after="100" w:afterAutospacing="1"/>
      <w:jc w:val="center"/>
    </w:pPr>
    <w:rPr>
      <w:rFonts w:ascii="Courier New" w:hAnsi="Courier New" w:cs="Courier New"/>
      <w:color w:val="5A5A5A"/>
      <w:kern w:val="0"/>
      <w:sz w:val="24"/>
    </w:rPr>
  </w:style>
  <w:style w:type="paragraph" w:customStyle="1" w:styleId="137">
    <w:name w:val="Char"/>
    <w:basedOn w:val="1"/>
    <w:autoRedefine/>
    <w:qFormat/>
    <w:uiPriority w:val="0"/>
  </w:style>
  <w:style w:type="paragraph" w:customStyle="1" w:styleId="138">
    <w:name w:val="xl69"/>
    <w:basedOn w:val="1"/>
    <w:autoRedefine/>
    <w:qFormat/>
    <w:uiPriority w:val="0"/>
    <w:pPr>
      <w:widowControl/>
      <w:pBdr>
        <w:right w:val="single" w:color="auto" w:sz="4" w:space="0"/>
      </w:pBdr>
      <w:spacing w:before="100" w:beforeAutospacing="1" w:after="100" w:afterAutospacing="1"/>
      <w:jc w:val="left"/>
    </w:pPr>
    <w:rPr>
      <w:rFonts w:ascii="宋体" w:hAnsi="宋体" w:cs="宋体"/>
      <w:kern w:val="0"/>
      <w:sz w:val="28"/>
      <w:szCs w:val="28"/>
    </w:rPr>
  </w:style>
  <w:style w:type="paragraph" w:customStyle="1" w:styleId="139">
    <w:name w:val="Char Char Char Char Char Char Char Char Char Char Char Char"/>
    <w:basedOn w:val="1"/>
    <w:autoRedefine/>
    <w:qFormat/>
    <w:uiPriority w:val="0"/>
    <w:pPr>
      <w:tabs>
        <w:tab w:val="right" w:pos="-2120"/>
      </w:tabs>
      <w:snapToGrid w:val="0"/>
    </w:pPr>
    <w:rPr>
      <w:rFonts w:ascii="Tahoma" w:hAnsi="Tahoma"/>
      <w:spacing w:val="6"/>
      <w:sz w:val="24"/>
      <w:szCs w:val="20"/>
    </w:rPr>
  </w:style>
  <w:style w:type="paragraph" w:customStyle="1" w:styleId="140">
    <w:name w:val="Char11"/>
    <w:basedOn w:val="1"/>
    <w:autoRedefine/>
    <w:qFormat/>
    <w:uiPriority w:val="0"/>
    <w:pPr>
      <w:ind w:firstLine="200" w:firstLineChars="200"/>
    </w:pPr>
  </w:style>
  <w:style w:type="paragraph" w:customStyle="1" w:styleId="141">
    <w:name w:val="xl83"/>
    <w:basedOn w:val="1"/>
    <w:autoRedefine/>
    <w:qFormat/>
    <w:uiPriority w:val="0"/>
    <w:pPr>
      <w:widowControl/>
      <w:spacing w:before="100" w:beforeAutospacing="1" w:after="100" w:afterAutospacing="1"/>
      <w:jc w:val="left"/>
    </w:pPr>
    <w:rPr>
      <w:rFonts w:ascii="Courier New" w:hAnsi="Courier New" w:cs="Courier New"/>
      <w:color w:val="5A5A5A"/>
      <w:kern w:val="0"/>
      <w:sz w:val="24"/>
    </w:rPr>
  </w:style>
  <w:style w:type="paragraph" w:customStyle="1" w:styleId="142">
    <w:name w:val="xl10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Courier New" w:hAnsi="Courier New" w:cs="Courier New"/>
      <w:color w:val="5A5A5A"/>
      <w:kern w:val="0"/>
      <w:sz w:val="24"/>
    </w:rPr>
  </w:style>
  <w:style w:type="paragraph" w:customStyle="1" w:styleId="143">
    <w:name w:val="Char Char Char1"/>
    <w:basedOn w:val="1"/>
    <w:autoRedefine/>
    <w:qFormat/>
    <w:uiPriority w:val="0"/>
  </w:style>
  <w:style w:type="paragraph" w:customStyle="1" w:styleId="144">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Courier New" w:hAnsi="Courier New" w:cs="Courier New"/>
      <w:color w:val="5A5A5A"/>
      <w:kern w:val="0"/>
      <w:sz w:val="24"/>
    </w:rPr>
  </w:style>
  <w:style w:type="paragraph" w:customStyle="1" w:styleId="145">
    <w:name w:val="xl23"/>
    <w:next w:val="35"/>
    <w:autoRedefine/>
    <w:qFormat/>
    <w:uiPriority w:val="0"/>
    <w:pPr>
      <w:spacing w:before="100" w:beforeAutospacing="1" w:after="100" w:afterAutospacing="1"/>
      <w:jc w:val="center"/>
    </w:pPr>
    <w:rPr>
      <w:rFonts w:ascii="Arial Unicode MS" w:hAnsi="Arial Unicode MS" w:eastAsia="Arial Unicode MS" w:cs="Times New Roman"/>
      <w:sz w:val="24"/>
      <w:lang w:val="en-US" w:eastAsia="zh-CN" w:bidi="ar-SA"/>
    </w:rPr>
  </w:style>
  <w:style w:type="paragraph" w:customStyle="1" w:styleId="146">
    <w:name w:val="xl10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Courier New" w:hAnsi="Courier New" w:cs="Courier New"/>
      <w:color w:val="5A5A5A"/>
      <w:kern w:val="0"/>
      <w:sz w:val="24"/>
    </w:rPr>
  </w:style>
  <w:style w:type="paragraph" w:customStyle="1" w:styleId="147">
    <w:name w:val="图例"/>
    <w:basedOn w:val="1"/>
    <w:autoRedefine/>
    <w:qFormat/>
    <w:uiPriority w:val="0"/>
    <w:pPr>
      <w:spacing w:before="120" w:after="120" w:line="360" w:lineRule="auto"/>
      <w:jc w:val="center"/>
    </w:pPr>
    <w:rPr>
      <w:rFonts w:eastAsia="仿宋_GB2312"/>
      <w:b/>
      <w:sz w:val="24"/>
      <w:szCs w:val="20"/>
    </w:rPr>
  </w:style>
  <w:style w:type="paragraph" w:customStyle="1" w:styleId="148">
    <w:name w:val="xl109"/>
    <w:basedOn w:val="1"/>
    <w:autoRedefine/>
    <w:qFormat/>
    <w:uiPriority w:val="0"/>
    <w:pPr>
      <w:widowControl/>
      <w:pBdr>
        <w:top w:val="single" w:color="auto" w:sz="4" w:space="0"/>
        <w:right w:val="single" w:color="auto" w:sz="4" w:space="0"/>
      </w:pBdr>
      <w:shd w:val="clear" w:color="000000" w:fill="FFFFFF"/>
      <w:spacing w:before="100" w:beforeAutospacing="1" w:after="100" w:afterAutospacing="1"/>
      <w:jc w:val="center"/>
    </w:pPr>
    <w:rPr>
      <w:rFonts w:ascii="Courier New" w:hAnsi="Courier New" w:cs="Courier New"/>
      <w:color w:val="5A5A5A"/>
      <w:kern w:val="0"/>
      <w:sz w:val="24"/>
    </w:rPr>
  </w:style>
  <w:style w:type="paragraph" w:customStyle="1" w:styleId="149">
    <w:name w:val="标题1"/>
    <w:basedOn w:val="1"/>
    <w:autoRedefine/>
    <w:qFormat/>
    <w:uiPriority w:val="0"/>
    <w:pPr>
      <w:adjustRightInd w:val="0"/>
      <w:spacing w:before="360" w:after="240" w:line="400" w:lineRule="exact"/>
      <w:outlineLvl w:val="0"/>
    </w:pPr>
    <w:rPr>
      <w:rFonts w:eastAsia="黑体"/>
      <w:b/>
      <w:bCs/>
      <w:spacing w:val="10"/>
      <w:kern w:val="0"/>
      <w:sz w:val="28"/>
      <w:szCs w:val="28"/>
    </w:rPr>
  </w:style>
  <w:style w:type="paragraph" w:customStyle="1" w:styleId="150">
    <w:name w:val="Char Char Char"/>
    <w:basedOn w:val="1"/>
    <w:autoRedefine/>
    <w:qFormat/>
    <w:uiPriority w:val="0"/>
    <w:pPr>
      <w:ind w:firstLine="200" w:firstLineChars="200"/>
    </w:pPr>
    <w:rPr>
      <w:sz w:val="24"/>
    </w:rPr>
  </w:style>
  <w:style w:type="paragraph" w:customStyle="1" w:styleId="151">
    <w:name w:val="清單段落"/>
    <w:basedOn w:val="1"/>
    <w:autoRedefine/>
    <w:qFormat/>
    <w:uiPriority w:val="99"/>
    <w:pPr>
      <w:ind w:firstLine="420" w:firstLineChars="200"/>
    </w:pPr>
  </w:style>
  <w:style w:type="paragraph" w:customStyle="1" w:styleId="152">
    <w:name w:val="xl11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Courier New" w:hAnsi="Courier New" w:cs="Courier New"/>
      <w:b/>
      <w:bCs/>
      <w:color w:val="5A5A5A"/>
      <w:kern w:val="0"/>
      <w:sz w:val="24"/>
    </w:rPr>
  </w:style>
  <w:style w:type="paragraph" w:customStyle="1" w:styleId="153">
    <w:name w:val="Char Char Char1 Char Char Char Char Char Char Char Char Char Char Char Char Char"/>
    <w:basedOn w:val="14"/>
    <w:autoRedefine/>
    <w:qFormat/>
    <w:uiPriority w:val="0"/>
    <w:pPr>
      <w:shd w:val="clear" w:color="auto" w:fill="auto"/>
    </w:pPr>
    <w:rPr>
      <w:rFonts w:ascii="宋体"/>
      <w:sz w:val="18"/>
      <w:szCs w:val="18"/>
    </w:rPr>
  </w:style>
  <w:style w:type="paragraph" w:customStyle="1" w:styleId="154">
    <w:name w:val="09正文_wh"/>
    <w:autoRedefine/>
    <w:qFormat/>
    <w:uiPriority w:val="0"/>
    <w:pPr>
      <w:spacing w:line="300" w:lineRule="auto"/>
      <w:ind w:firstLine="200" w:firstLineChars="200"/>
      <w:jc w:val="both"/>
    </w:pPr>
    <w:rPr>
      <w:rFonts w:ascii="Times New Roman" w:hAnsi="Times New Roman" w:eastAsia="宋体" w:cs="Times New Roman"/>
      <w:sz w:val="28"/>
      <w:lang w:val="en-US" w:eastAsia="zh-CN" w:bidi="ar-SA"/>
    </w:rPr>
  </w:style>
  <w:style w:type="paragraph" w:customStyle="1" w:styleId="155">
    <w:name w:val="表格"/>
    <w:basedOn w:val="1"/>
    <w:autoRedefine/>
    <w:qFormat/>
    <w:uiPriority w:val="0"/>
    <w:pPr>
      <w:tabs>
        <w:tab w:val="left" w:pos="1200"/>
      </w:tabs>
      <w:spacing w:line="500" w:lineRule="exact"/>
      <w:jc w:val="center"/>
    </w:pPr>
    <w:rPr>
      <w:rFonts w:ascii="宋体"/>
      <w:sz w:val="24"/>
      <w:szCs w:val="18"/>
    </w:rPr>
  </w:style>
  <w:style w:type="paragraph" w:customStyle="1" w:styleId="156">
    <w:name w:val="xl99"/>
    <w:basedOn w:val="1"/>
    <w:autoRedefine/>
    <w:qFormat/>
    <w:uiPriority w:val="0"/>
    <w:pPr>
      <w:widowControl/>
      <w:pBdr>
        <w:top w:val="single" w:color="auto" w:sz="4" w:space="0"/>
        <w:bottom w:val="single" w:color="auto" w:sz="4" w:space="0"/>
        <w:right w:val="single" w:color="auto" w:sz="4" w:space="0"/>
      </w:pBdr>
      <w:shd w:val="clear" w:color="000000" w:fill="BDE1C0"/>
      <w:spacing w:before="100" w:beforeAutospacing="1" w:after="100" w:afterAutospacing="1"/>
      <w:jc w:val="center"/>
    </w:pPr>
    <w:rPr>
      <w:rFonts w:ascii="Courier New" w:hAnsi="Courier New" w:cs="Courier New"/>
      <w:color w:val="5A5A5A"/>
      <w:kern w:val="0"/>
      <w:sz w:val="24"/>
    </w:rPr>
  </w:style>
  <w:style w:type="paragraph" w:customStyle="1" w:styleId="157">
    <w:name w:val="样式 标题 1 + 首行缩进:  2 字符 段前: 1 行 段后: 1 行"/>
    <w:basedOn w:val="4"/>
    <w:autoRedefine/>
    <w:qFormat/>
    <w:uiPriority w:val="0"/>
    <w:pPr>
      <w:adjustRightInd/>
      <w:spacing w:beforeLines="100" w:line="240" w:lineRule="auto"/>
      <w:ind w:left="0" w:firstLine="0"/>
      <w:textAlignment w:val="auto"/>
    </w:pPr>
    <w:rPr>
      <w:rFonts w:cs="华文新魏"/>
      <w:b w:val="0"/>
    </w:rPr>
  </w:style>
  <w:style w:type="paragraph" w:customStyle="1" w:styleId="158">
    <w:name w:val="xl11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Courier New" w:hAnsi="Courier New" w:cs="Courier New"/>
      <w:kern w:val="0"/>
      <w:sz w:val="24"/>
    </w:rPr>
  </w:style>
  <w:style w:type="paragraph" w:customStyle="1" w:styleId="159">
    <w:name w:val="章标题"/>
    <w:next w:val="1"/>
    <w:autoRedefine/>
    <w:qFormat/>
    <w:uiPriority w:val="0"/>
    <w:pPr>
      <w:tabs>
        <w:tab w:val="left" w:pos="1118"/>
      </w:tabs>
      <w:spacing w:before="50" w:after="50"/>
      <w:ind w:left="1118" w:hanging="796"/>
      <w:jc w:val="both"/>
      <w:outlineLvl w:val="1"/>
    </w:pPr>
    <w:rPr>
      <w:rFonts w:ascii="黑体" w:hAnsi="Times New Roman" w:eastAsia="黑体" w:cs="Times New Roman"/>
      <w:sz w:val="21"/>
      <w:lang w:val="en-US" w:eastAsia="zh-CN" w:bidi="ar-SA"/>
    </w:rPr>
  </w:style>
  <w:style w:type="paragraph" w:customStyle="1" w:styleId="160">
    <w:name w:val="正文2"/>
    <w:basedOn w:val="1"/>
    <w:autoRedefine/>
    <w:qFormat/>
    <w:uiPriority w:val="0"/>
    <w:pPr>
      <w:widowControl/>
      <w:jc w:val="left"/>
    </w:pPr>
    <w:rPr>
      <w:kern w:val="0"/>
      <w:sz w:val="24"/>
    </w:rPr>
  </w:style>
  <w:style w:type="paragraph" w:customStyle="1" w:styleId="161">
    <w:name w:val="1.1.1"/>
    <w:basedOn w:val="1"/>
    <w:autoRedefine/>
    <w:qFormat/>
    <w:uiPriority w:val="0"/>
    <w:pPr>
      <w:tabs>
        <w:tab w:val="left" w:pos="360"/>
        <w:tab w:val="left" w:pos="1134"/>
      </w:tabs>
      <w:adjustRightInd w:val="0"/>
      <w:spacing w:before="120" w:after="120" w:line="480" w:lineRule="exact"/>
      <w:ind w:left="340" w:hanging="340"/>
      <w:outlineLvl w:val="3"/>
    </w:pPr>
    <w:rPr>
      <w:rFonts w:ascii="Arial" w:hAnsi="Arial"/>
      <w:kern w:val="0"/>
      <w:sz w:val="24"/>
      <w:szCs w:val="20"/>
    </w:rPr>
  </w:style>
  <w:style w:type="paragraph" w:customStyle="1" w:styleId="162">
    <w:name w:val="xl110"/>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Courier New" w:hAnsi="Courier New" w:cs="Courier New"/>
      <w:color w:val="5A5A5A"/>
      <w:kern w:val="0"/>
      <w:sz w:val="24"/>
    </w:rPr>
  </w:style>
  <w:style w:type="paragraph" w:customStyle="1" w:styleId="163">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ourier New" w:hAnsi="Courier New" w:cs="Courier New"/>
      <w:kern w:val="0"/>
      <w:sz w:val="24"/>
    </w:rPr>
  </w:style>
  <w:style w:type="paragraph" w:customStyle="1" w:styleId="164">
    <w:name w:val="(符号)五标题1.1.1"/>
    <w:basedOn w:val="1"/>
    <w:autoRedefine/>
    <w:qFormat/>
    <w:uiPriority w:val="0"/>
    <w:pPr>
      <w:tabs>
        <w:tab w:val="left" w:pos="720"/>
        <w:tab w:val="left" w:pos="1000"/>
      </w:tabs>
      <w:spacing w:line="500" w:lineRule="exact"/>
      <w:ind w:left="720" w:hanging="360"/>
    </w:pPr>
    <w:rPr>
      <w:rFonts w:ascii="宋体" w:hAnsi="宋体" w:cs="宋体"/>
      <w:color w:val="000000"/>
      <w:sz w:val="24"/>
      <w:szCs w:val="20"/>
    </w:rPr>
  </w:style>
  <w:style w:type="paragraph" w:customStyle="1" w:styleId="165">
    <w:name w:val="Char Char Char Char"/>
    <w:basedOn w:val="1"/>
    <w:autoRedefine/>
    <w:qFormat/>
    <w:uiPriority w:val="0"/>
  </w:style>
  <w:style w:type="paragraph" w:customStyle="1" w:styleId="166">
    <w:name w:val="xl8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Courier New" w:hAnsi="Courier New" w:cs="Courier New"/>
      <w:color w:val="5A5A5A"/>
      <w:kern w:val="0"/>
      <w:sz w:val="24"/>
    </w:rPr>
  </w:style>
  <w:style w:type="paragraph" w:customStyle="1" w:styleId="167">
    <w:name w:val="xl86"/>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Courier New" w:hAnsi="Courier New" w:cs="Courier New"/>
      <w:color w:val="5A5A5A"/>
      <w:kern w:val="0"/>
      <w:sz w:val="24"/>
    </w:rPr>
  </w:style>
  <w:style w:type="paragraph" w:customStyle="1" w:styleId="168">
    <w:name w:val="xl8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Courier New" w:hAnsi="Courier New" w:cs="Courier New"/>
      <w:color w:val="5A5A5A"/>
      <w:kern w:val="0"/>
      <w:sz w:val="24"/>
    </w:rPr>
  </w:style>
  <w:style w:type="paragraph" w:customStyle="1" w:styleId="169">
    <w:name w:val="p1"/>
    <w:basedOn w:val="1"/>
    <w:autoRedefine/>
    <w:qFormat/>
    <w:uiPriority w:val="0"/>
    <w:pPr>
      <w:widowControl/>
      <w:spacing w:line="480" w:lineRule="auto"/>
      <w:jc w:val="center"/>
    </w:pPr>
    <w:rPr>
      <w:rFonts w:ascii="宋体" w:hAnsi="宋体" w:cs="宋体"/>
      <w:kern w:val="0"/>
      <w:sz w:val="28"/>
      <w:szCs w:val="28"/>
    </w:rPr>
  </w:style>
  <w:style w:type="paragraph" w:customStyle="1" w:styleId="170">
    <w:name w:val="xl103"/>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Courier New" w:hAnsi="Courier New" w:cs="Courier New"/>
      <w:b/>
      <w:bCs/>
      <w:color w:val="5A5A5A"/>
      <w:kern w:val="0"/>
      <w:sz w:val="24"/>
    </w:rPr>
  </w:style>
  <w:style w:type="paragraph" w:customStyle="1" w:styleId="171">
    <w:name w:val="xl96"/>
    <w:basedOn w:val="1"/>
    <w:autoRedefine/>
    <w:qFormat/>
    <w:uiPriority w:val="0"/>
    <w:pPr>
      <w:widowControl/>
      <w:spacing w:before="100" w:beforeAutospacing="1" w:after="100" w:afterAutospacing="1"/>
      <w:jc w:val="center"/>
    </w:pPr>
    <w:rPr>
      <w:rFonts w:ascii="Courier New" w:hAnsi="Courier New" w:cs="Courier New"/>
      <w:color w:val="5A5A5A"/>
      <w:kern w:val="0"/>
      <w:sz w:val="24"/>
    </w:rPr>
  </w:style>
  <w:style w:type="paragraph" w:customStyle="1" w:styleId="172">
    <w:name w:val="xl8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ourier New" w:hAnsi="Courier New" w:cs="Courier New"/>
      <w:kern w:val="0"/>
      <w:sz w:val="24"/>
    </w:rPr>
  </w:style>
  <w:style w:type="paragraph" w:customStyle="1" w:styleId="173">
    <w:name w:val="TOC 标题1"/>
    <w:basedOn w:val="4"/>
    <w:next w:val="1"/>
    <w:autoRedefine/>
    <w:qFormat/>
    <w:uiPriority w:val="39"/>
    <w:pPr>
      <w:widowControl/>
      <w:tabs>
        <w:tab w:val="clear" w:pos="360"/>
      </w:tabs>
      <w:adjustRightInd/>
      <w:spacing w:before="480" w:line="276" w:lineRule="auto"/>
      <w:ind w:left="0" w:firstLine="0"/>
      <w:jc w:val="left"/>
      <w:textAlignment w:val="auto"/>
      <w:outlineLvl w:val="9"/>
    </w:pPr>
    <w:rPr>
      <w:rFonts w:ascii="Cambria" w:hAnsi="Cambria" w:eastAsia="宋体"/>
      <w:bCs/>
      <w:color w:val="365F91"/>
      <w:kern w:val="0"/>
      <w:szCs w:val="28"/>
    </w:rPr>
  </w:style>
  <w:style w:type="paragraph" w:customStyle="1" w:styleId="174">
    <w:name w:val="正文首行缩进两字符"/>
    <w:basedOn w:val="1"/>
    <w:autoRedefine/>
    <w:qFormat/>
    <w:uiPriority w:val="0"/>
    <w:pPr>
      <w:spacing w:line="360" w:lineRule="auto"/>
      <w:ind w:firstLine="200" w:firstLineChars="200"/>
    </w:pPr>
  </w:style>
  <w:style w:type="paragraph" w:customStyle="1" w:styleId="175">
    <w:name w:val="列出段落1"/>
    <w:basedOn w:val="1"/>
    <w:autoRedefine/>
    <w:qFormat/>
    <w:uiPriority w:val="34"/>
    <w:pPr>
      <w:ind w:firstLine="420" w:firstLineChars="200"/>
    </w:pPr>
    <w:rPr>
      <w:szCs w:val="21"/>
    </w:rPr>
  </w:style>
  <w:style w:type="paragraph" w:customStyle="1" w:styleId="176">
    <w:name w:val="xl38"/>
    <w:basedOn w:val="1"/>
    <w:autoRedefine/>
    <w:qFormat/>
    <w:uiPriority w:val="0"/>
    <w:pPr>
      <w:widowControl/>
      <w:pBdr>
        <w:bottom w:val="single" w:color="auto" w:sz="4" w:space="0"/>
      </w:pBdr>
      <w:spacing w:before="100" w:after="100"/>
      <w:jc w:val="center"/>
    </w:pPr>
    <w:rPr>
      <w:rFonts w:eastAsia="Arial Unicode MS"/>
      <w:b/>
      <w:kern w:val="0"/>
      <w:sz w:val="28"/>
      <w:szCs w:val="20"/>
    </w:rPr>
  </w:style>
  <w:style w:type="paragraph" w:customStyle="1" w:styleId="177">
    <w:name w:val="xl123"/>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Courier New" w:hAnsi="Courier New" w:cs="Courier New"/>
      <w:b/>
      <w:bCs/>
      <w:color w:val="5A5A5A"/>
      <w:kern w:val="0"/>
      <w:sz w:val="24"/>
    </w:rPr>
  </w:style>
  <w:style w:type="paragraph" w:customStyle="1" w:styleId="178">
    <w:name w:val="CM26"/>
    <w:basedOn w:val="1"/>
    <w:next w:val="1"/>
    <w:autoRedefine/>
    <w:qFormat/>
    <w:uiPriority w:val="0"/>
    <w:pPr>
      <w:autoSpaceDE w:val="0"/>
      <w:autoSpaceDN w:val="0"/>
      <w:adjustRightInd w:val="0"/>
      <w:spacing w:after="173"/>
      <w:jc w:val="left"/>
    </w:pPr>
    <w:rPr>
      <w:rFonts w:ascii="隶书" w:eastAsia="隶书"/>
      <w:kern w:val="0"/>
      <w:sz w:val="24"/>
    </w:rPr>
  </w:style>
  <w:style w:type="paragraph" w:customStyle="1" w:styleId="179">
    <w:name w:val="msonormal"/>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80">
    <w:name w:val="xl92"/>
    <w:basedOn w:val="1"/>
    <w:autoRedefine/>
    <w:qFormat/>
    <w:uiPriority w:val="0"/>
    <w:pPr>
      <w:widowControl/>
      <w:pBdr>
        <w:left w:val="single" w:color="auto" w:sz="4" w:space="0"/>
      </w:pBdr>
      <w:shd w:val="clear" w:color="000000" w:fill="FFFFFF"/>
      <w:spacing w:before="100" w:beforeAutospacing="1" w:after="100" w:afterAutospacing="1"/>
      <w:jc w:val="center"/>
    </w:pPr>
    <w:rPr>
      <w:rFonts w:ascii="Courier New" w:hAnsi="Courier New" w:cs="Courier New"/>
      <w:color w:val="5A5A5A"/>
      <w:kern w:val="0"/>
      <w:sz w:val="24"/>
    </w:rPr>
  </w:style>
  <w:style w:type="paragraph" w:customStyle="1" w:styleId="181">
    <w:name w:val="Char12"/>
    <w:basedOn w:val="1"/>
    <w:autoRedefine/>
    <w:qFormat/>
    <w:uiPriority w:val="0"/>
    <w:rPr>
      <w:rFonts w:ascii="Tahoma" w:hAnsi="Tahoma"/>
      <w:sz w:val="24"/>
      <w:szCs w:val="20"/>
    </w:rPr>
  </w:style>
  <w:style w:type="paragraph" w:customStyle="1" w:styleId="182">
    <w:name w:val="目次、标准名称标题"/>
    <w:basedOn w:val="183"/>
    <w:next w:val="133"/>
    <w:autoRedefine/>
    <w:qFormat/>
    <w:uiPriority w:val="0"/>
    <w:pPr>
      <w:tabs>
        <w:tab w:val="left" w:pos="360"/>
      </w:tabs>
      <w:spacing w:line="460" w:lineRule="exact"/>
    </w:pPr>
  </w:style>
  <w:style w:type="paragraph" w:customStyle="1" w:styleId="183">
    <w:name w:val="前言、引言标题"/>
    <w:next w:val="1"/>
    <w:autoRedefine/>
    <w:qFormat/>
    <w:uiPriority w:val="0"/>
    <w:pPr>
      <w:shd w:val="clear" w:color="auto" w:fill="FFFFFF"/>
      <w:tabs>
        <w:tab w:val="left" w:pos="360"/>
      </w:tabs>
      <w:spacing w:before="640" w:after="560"/>
      <w:jc w:val="center"/>
      <w:outlineLvl w:val="0"/>
    </w:pPr>
    <w:rPr>
      <w:rFonts w:ascii="黑体" w:hAnsi="Times New Roman" w:eastAsia="黑体" w:cs="Times New Roman"/>
      <w:sz w:val="32"/>
      <w:lang w:val="en-US" w:eastAsia="zh-CN" w:bidi="ar-SA"/>
    </w:rPr>
  </w:style>
  <w:style w:type="paragraph" w:customStyle="1" w:styleId="184">
    <w:name w:val="xl74"/>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ourier New" w:hAnsi="Courier New" w:cs="Courier New"/>
      <w:color w:val="5A5A5A"/>
      <w:kern w:val="0"/>
      <w:sz w:val="24"/>
    </w:rPr>
  </w:style>
  <w:style w:type="paragraph" w:customStyle="1" w:styleId="185">
    <w:name w:val="默认段落字体 Para Char"/>
    <w:basedOn w:val="1"/>
    <w:autoRedefine/>
    <w:qFormat/>
    <w:uiPriority w:val="0"/>
    <w:pPr>
      <w:spacing w:line="400" w:lineRule="exact"/>
    </w:pPr>
    <w:rPr>
      <w:rFonts w:ascii="Tahoma" w:hAnsi="Tahoma"/>
      <w:sz w:val="24"/>
      <w:szCs w:val="20"/>
    </w:rPr>
  </w:style>
  <w:style w:type="paragraph" w:customStyle="1" w:styleId="186">
    <w:name w:val="Char Char1 Char Char Char"/>
    <w:basedOn w:val="1"/>
    <w:autoRedefine/>
    <w:qFormat/>
    <w:uiPriority w:val="0"/>
  </w:style>
  <w:style w:type="paragraph" w:customStyle="1" w:styleId="187">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ourier New" w:hAnsi="Courier New" w:cs="Courier New"/>
      <w:kern w:val="0"/>
      <w:sz w:val="24"/>
    </w:rPr>
  </w:style>
  <w:style w:type="paragraph" w:customStyle="1" w:styleId="188">
    <w:name w:val="xl89"/>
    <w:basedOn w:val="1"/>
    <w:autoRedefine/>
    <w:qFormat/>
    <w:uiPriority w:val="0"/>
    <w:pPr>
      <w:widowControl/>
      <w:pBdr>
        <w:left w:val="single" w:color="auto" w:sz="4" w:space="0"/>
        <w:bottom w:val="single" w:color="auto" w:sz="4" w:space="0"/>
      </w:pBdr>
      <w:spacing w:before="100" w:beforeAutospacing="1" w:after="100" w:afterAutospacing="1"/>
      <w:jc w:val="center"/>
    </w:pPr>
    <w:rPr>
      <w:rFonts w:ascii="Courier New" w:hAnsi="Courier New" w:cs="Courier New"/>
      <w:color w:val="5A5A5A"/>
      <w:kern w:val="0"/>
      <w:sz w:val="24"/>
    </w:rPr>
  </w:style>
  <w:style w:type="paragraph" w:customStyle="1" w:styleId="189">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ourier New" w:hAnsi="Courier New" w:cs="Courier New"/>
      <w:color w:val="5A5A5A"/>
      <w:kern w:val="0"/>
      <w:sz w:val="24"/>
    </w:rPr>
  </w:style>
  <w:style w:type="paragraph" w:customStyle="1" w:styleId="190">
    <w:name w:val="Absatz2AL"/>
    <w:basedOn w:val="18"/>
    <w:next w:val="1"/>
    <w:autoRedefine/>
    <w:qFormat/>
    <w:uiPriority w:val="0"/>
    <w:pPr>
      <w:widowControl/>
      <w:overflowPunct w:val="0"/>
      <w:autoSpaceDE w:val="0"/>
      <w:autoSpaceDN w:val="0"/>
      <w:adjustRightInd w:val="0"/>
      <w:spacing w:after="0"/>
      <w:textAlignment w:val="baseline"/>
    </w:pPr>
    <w:rPr>
      <w:rFonts w:eastAsia="楷体_GB2312"/>
      <w:kern w:val="0"/>
      <w:sz w:val="24"/>
      <w:szCs w:val="20"/>
      <w:lang w:val="de-DE" w:eastAsia="de-DE"/>
    </w:rPr>
  </w:style>
  <w:style w:type="paragraph" w:customStyle="1" w:styleId="191">
    <w:name w:val="p0"/>
    <w:basedOn w:val="1"/>
    <w:autoRedefine/>
    <w:qFormat/>
    <w:uiPriority w:val="0"/>
    <w:pPr>
      <w:widowControl/>
    </w:pPr>
    <w:rPr>
      <w:kern w:val="0"/>
      <w:szCs w:val="21"/>
    </w:rPr>
  </w:style>
  <w:style w:type="paragraph" w:styleId="192">
    <w:name w:val="List Paragraph"/>
    <w:basedOn w:val="1"/>
    <w:link w:val="225"/>
    <w:autoRedefine/>
    <w:qFormat/>
    <w:uiPriority w:val="34"/>
    <w:pPr>
      <w:ind w:firstLine="420" w:firstLineChars="200"/>
    </w:pPr>
  </w:style>
  <w:style w:type="paragraph" w:customStyle="1" w:styleId="193">
    <w:name w:val="xl11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Courier New" w:hAnsi="Courier New" w:cs="Courier New"/>
      <w:color w:val="5A5A5A"/>
      <w:kern w:val="0"/>
      <w:sz w:val="24"/>
    </w:rPr>
  </w:style>
  <w:style w:type="paragraph" w:customStyle="1" w:styleId="194">
    <w:name w:val="Table Paragraph"/>
    <w:basedOn w:val="1"/>
    <w:autoRedefine/>
    <w:qFormat/>
    <w:uiPriority w:val="1"/>
  </w:style>
  <w:style w:type="paragraph" w:customStyle="1" w:styleId="195">
    <w:name w:val="soustitre"/>
    <w:basedOn w:val="1"/>
    <w:autoRedefine/>
    <w:qFormat/>
    <w:uiPriority w:val="0"/>
    <w:pPr>
      <w:widowControl/>
      <w:tabs>
        <w:tab w:val="left" w:pos="525"/>
      </w:tabs>
      <w:overflowPunct w:val="0"/>
      <w:autoSpaceDE w:val="0"/>
      <w:autoSpaceDN w:val="0"/>
      <w:adjustRightInd w:val="0"/>
      <w:spacing w:line="400" w:lineRule="exact"/>
      <w:jc w:val="center"/>
    </w:pPr>
    <w:rPr>
      <w:rFonts w:ascii="New York" w:hAnsi="New York" w:eastAsia="楷体_GB2312"/>
      <w:kern w:val="0"/>
      <w:position w:val="-6"/>
      <w:sz w:val="24"/>
      <w:szCs w:val="20"/>
      <w:lang w:val="fr-FR"/>
    </w:rPr>
  </w:style>
  <w:style w:type="paragraph" w:customStyle="1" w:styleId="196">
    <w:name w:val="正文小标号列"/>
    <w:basedOn w:val="18"/>
    <w:autoRedefine/>
    <w:qFormat/>
    <w:uiPriority w:val="0"/>
    <w:pPr>
      <w:tabs>
        <w:tab w:val="left" w:pos="840"/>
      </w:tabs>
      <w:adjustRightInd w:val="0"/>
      <w:snapToGrid w:val="0"/>
      <w:spacing w:beforeLines="50" w:after="0" w:line="400" w:lineRule="exact"/>
      <w:ind w:left="840" w:hanging="420"/>
    </w:pPr>
    <w:rPr>
      <w:spacing w:val="10"/>
      <w:kern w:val="0"/>
      <w:sz w:val="24"/>
    </w:rPr>
  </w:style>
  <w:style w:type="paragraph" w:customStyle="1" w:styleId="197">
    <w:name w:val="xl4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kern w:val="0"/>
      <w:sz w:val="18"/>
      <w:szCs w:val="18"/>
    </w:rPr>
  </w:style>
  <w:style w:type="paragraph" w:customStyle="1" w:styleId="198">
    <w:name w:val="p-txt1"/>
    <w:basedOn w:val="1"/>
    <w:autoRedefine/>
    <w:qFormat/>
    <w:uiPriority w:val="0"/>
    <w:pPr>
      <w:widowControl/>
      <w:spacing w:before="374" w:after="374"/>
      <w:ind w:left="748" w:right="748"/>
      <w:jc w:val="left"/>
    </w:pPr>
    <w:rPr>
      <w:rFonts w:ascii="宋体" w:hAnsi="宋体" w:cs="宋体"/>
      <w:kern w:val="0"/>
      <w:sz w:val="24"/>
    </w:rPr>
  </w:style>
  <w:style w:type="paragraph" w:customStyle="1" w:styleId="199">
    <w:name w:val="xl78"/>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Courier New" w:hAnsi="Courier New" w:cs="Courier New"/>
      <w:color w:val="5A5A5A"/>
      <w:kern w:val="0"/>
      <w:sz w:val="24"/>
    </w:rPr>
  </w:style>
  <w:style w:type="paragraph" w:customStyle="1" w:styleId="200">
    <w:name w:val="xl113"/>
    <w:basedOn w:val="1"/>
    <w:autoRedefine/>
    <w:qFormat/>
    <w:uiPriority w:val="0"/>
    <w:pPr>
      <w:widowControl/>
      <w:pBdr>
        <w:left w:val="single" w:color="auto" w:sz="4" w:space="0"/>
        <w:right w:val="single" w:color="auto" w:sz="4" w:space="0"/>
      </w:pBdr>
      <w:spacing w:before="100" w:beforeAutospacing="1" w:after="100" w:afterAutospacing="1"/>
      <w:jc w:val="left"/>
    </w:pPr>
    <w:rPr>
      <w:rFonts w:ascii="Courier New" w:hAnsi="Courier New" w:cs="Courier New"/>
      <w:color w:val="5A5A5A"/>
      <w:kern w:val="0"/>
      <w:sz w:val="24"/>
    </w:rPr>
  </w:style>
  <w:style w:type="paragraph" w:customStyle="1" w:styleId="201">
    <w:name w:val="xl90"/>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Courier New" w:hAnsi="Courier New" w:cs="Courier New"/>
      <w:kern w:val="0"/>
      <w:sz w:val="24"/>
    </w:rPr>
  </w:style>
  <w:style w:type="paragraph" w:customStyle="1" w:styleId="202">
    <w:name w:val="样式2"/>
    <w:basedOn w:val="1"/>
    <w:autoRedefine/>
    <w:qFormat/>
    <w:uiPriority w:val="0"/>
    <w:pPr>
      <w:spacing w:line="360" w:lineRule="auto"/>
    </w:pPr>
    <w:rPr>
      <w:rFonts w:ascii="Century Gothic" w:hAnsi="Century Gothic" w:eastAsia="黑体"/>
      <w:b/>
      <w:sz w:val="32"/>
      <w:szCs w:val="30"/>
    </w:rPr>
  </w:style>
  <w:style w:type="paragraph" w:customStyle="1" w:styleId="203">
    <w:name w:val="xl9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Courier New" w:hAnsi="Courier New" w:cs="Courier New"/>
      <w:color w:val="5A5A5A"/>
      <w:kern w:val="0"/>
      <w:sz w:val="24"/>
    </w:rPr>
  </w:style>
  <w:style w:type="paragraph" w:customStyle="1" w:styleId="204">
    <w:name w:val="正文内容"/>
    <w:basedOn w:val="18"/>
    <w:autoRedefine/>
    <w:qFormat/>
    <w:uiPriority w:val="0"/>
    <w:pPr>
      <w:adjustRightInd w:val="0"/>
      <w:snapToGrid w:val="0"/>
      <w:spacing w:beforeLines="50" w:after="0" w:line="400" w:lineRule="exact"/>
      <w:ind w:firstLine="505" w:firstLineChars="200"/>
    </w:pPr>
    <w:rPr>
      <w:spacing w:val="10"/>
      <w:kern w:val="0"/>
      <w:sz w:val="24"/>
    </w:rPr>
  </w:style>
  <w:style w:type="paragraph" w:customStyle="1" w:styleId="205">
    <w:name w:val="xl76"/>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Courier New" w:hAnsi="Courier New" w:cs="Courier New"/>
      <w:color w:val="5A5A5A"/>
      <w:kern w:val="0"/>
      <w:sz w:val="24"/>
    </w:rPr>
  </w:style>
  <w:style w:type="paragraph" w:customStyle="1" w:styleId="206">
    <w:name w:val="List Paragraph1"/>
    <w:basedOn w:val="1"/>
    <w:autoRedefine/>
    <w:qFormat/>
    <w:uiPriority w:val="99"/>
    <w:pPr>
      <w:ind w:firstLine="420" w:firstLineChars="200"/>
    </w:pPr>
    <w:rPr>
      <w:rFonts w:ascii="Calibri" w:hAnsi="Calibri"/>
      <w:szCs w:val="22"/>
    </w:rPr>
  </w:style>
  <w:style w:type="paragraph" w:customStyle="1" w:styleId="207">
    <w:name w:val="xl7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Courier New" w:hAnsi="Courier New" w:cs="Courier New"/>
      <w:color w:val="5A5A5A"/>
      <w:kern w:val="0"/>
      <w:sz w:val="24"/>
    </w:rPr>
  </w:style>
  <w:style w:type="paragraph" w:customStyle="1" w:styleId="208">
    <w:name w:val="表格文字"/>
    <w:basedOn w:val="1"/>
    <w:autoRedefine/>
    <w:qFormat/>
    <w:uiPriority w:val="0"/>
    <w:pPr>
      <w:spacing w:before="25" w:after="25"/>
      <w:jc w:val="left"/>
    </w:pPr>
    <w:rPr>
      <w:bCs/>
      <w:spacing w:val="10"/>
      <w:kern w:val="0"/>
      <w:sz w:val="24"/>
      <w:szCs w:val="20"/>
    </w:rPr>
  </w:style>
  <w:style w:type="paragraph" w:customStyle="1" w:styleId="209">
    <w:name w:val="xl12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Courier New" w:hAnsi="Courier New" w:cs="Courier New"/>
      <w:kern w:val="0"/>
      <w:sz w:val="24"/>
    </w:rPr>
  </w:style>
  <w:style w:type="paragraph" w:customStyle="1" w:styleId="210">
    <w:name w:val="xl85"/>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Courier New" w:hAnsi="Courier New" w:cs="Courier New"/>
      <w:color w:val="5A5A5A"/>
      <w:kern w:val="0"/>
      <w:sz w:val="24"/>
    </w:rPr>
  </w:style>
  <w:style w:type="paragraph" w:customStyle="1" w:styleId="211">
    <w:name w:val="[列表1]"/>
    <w:basedOn w:val="1"/>
    <w:autoRedefine/>
    <w:qFormat/>
    <w:uiPriority w:val="0"/>
    <w:pPr>
      <w:tabs>
        <w:tab w:val="left" w:pos="420"/>
      </w:tabs>
      <w:spacing w:line="360" w:lineRule="auto"/>
      <w:ind w:left="420" w:hanging="420"/>
    </w:pPr>
    <w:rPr>
      <w:rFonts w:ascii="宋体" w:hAnsi="宋体"/>
      <w:sz w:val="24"/>
    </w:rPr>
  </w:style>
  <w:style w:type="paragraph" w:customStyle="1" w:styleId="212">
    <w:name w:val="xl9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ourier New" w:hAnsi="Courier New" w:cs="Courier New"/>
      <w:color w:val="5A5A5A"/>
      <w:kern w:val="0"/>
      <w:sz w:val="24"/>
    </w:rPr>
  </w:style>
  <w:style w:type="paragraph" w:customStyle="1" w:styleId="213">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ourier New" w:hAnsi="Courier New" w:cs="Courier New"/>
      <w:color w:val="5A5A5A"/>
      <w:kern w:val="0"/>
      <w:sz w:val="24"/>
    </w:rPr>
  </w:style>
  <w:style w:type="paragraph" w:customStyle="1" w:styleId="214">
    <w:name w:val="xl98"/>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Courier New" w:hAnsi="Courier New" w:cs="Courier New"/>
      <w:color w:val="5A5A5A"/>
      <w:kern w:val="0"/>
      <w:sz w:val="24"/>
    </w:rPr>
  </w:style>
  <w:style w:type="paragraph" w:customStyle="1" w:styleId="215">
    <w:name w:val="xl120"/>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Courier New" w:hAnsi="Courier New" w:cs="Courier New"/>
      <w:color w:val="5A5A5A"/>
      <w:kern w:val="0"/>
      <w:sz w:val="24"/>
    </w:rPr>
  </w:style>
  <w:style w:type="table" w:customStyle="1" w:styleId="216">
    <w:name w:val="Table Normal"/>
    <w:autoRedefine/>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217">
    <w:name w:val="正文 New New New"/>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218">
    <w:name w:val="正文文本 Char1"/>
    <w:basedOn w:val="43"/>
    <w:autoRedefine/>
    <w:qFormat/>
    <w:uiPriority w:val="0"/>
    <w:rPr>
      <w:kern w:val="2"/>
      <w:sz w:val="21"/>
      <w:szCs w:val="24"/>
    </w:rPr>
  </w:style>
  <w:style w:type="character" w:customStyle="1" w:styleId="219">
    <w:name w:val="批注文字 字符"/>
    <w:basedOn w:val="43"/>
    <w:link w:val="16"/>
    <w:autoRedefine/>
    <w:semiHidden/>
    <w:qFormat/>
    <w:uiPriority w:val="0"/>
    <w:rPr>
      <w:kern w:val="2"/>
      <w:sz w:val="21"/>
      <w:szCs w:val="24"/>
    </w:rPr>
  </w:style>
  <w:style w:type="character" w:customStyle="1" w:styleId="220">
    <w:name w:val="批注主题 字符"/>
    <w:basedOn w:val="219"/>
    <w:link w:val="39"/>
    <w:autoRedefine/>
    <w:qFormat/>
    <w:uiPriority w:val="0"/>
    <w:rPr>
      <w:b/>
      <w:bCs/>
      <w:kern w:val="2"/>
      <w:sz w:val="21"/>
      <w:szCs w:val="24"/>
    </w:rPr>
  </w:style>
  <w:style w:type="character" w:customStyle="1" w:styleId="221">
    <w:name w:val="批注框文本 字符"/>
    <w:basedOn w:val="43"/>
    <w:link w:val="26"/>
    <w:autoRedefine/>
    <w:qFormat/>
    <w:uiPriority w:val="0"/>
    <w:rPr>
      <w:kern w:val="2"/>
      <w:sz w:val="18"/>
      <w:szCs w:val="18"/>
    </w:rPr>
  </w:style>
  <w:style w:type="paragraph" w:styleId="222">
    <w:name w:val="No Spacing"/>
    <w:link w:val="223"/>
    <w:autoRedefine/>
    <w:qFormat/>
    <w:uiPriority w:val="99"/>
    <w:rPr>
      <w:rFonts w:asciiTheme="minorHAnsi" w:hAnsiTheme="minorHAnsi" w:eastAsiaTheme="minorEastAsia" w:cstheme="minorBidi"/>
      <w:sz w:val="22"/>
      <w:szCs w:val="22"/>
      <w:lang w:val="en-US" w:eastAsia="zh-CN" w:bidi="ar-SA"/>
    </w:rPr>
  </w:style>
  <w:style w:type="character" w:customStyle="1" w:styleId="223">
    <w:name w:val="无间隔 字符"/>
    <w:basedOn w:val="43"/>
    <w:link w:val="222"/>
    <w:autoRedefine/>
    <w:qFormat/>
    <w:uiPriority w:val="1"/>
    <w:rPr>
      <w:rFonts w:asciiTheme="minorHAnsi" w:hAnsiTheme="minorHAnsi" w:eastAsiaTheme="minorEastAsia" w:cstheme="minorBidi"/>
      <w:sz w:val="22"/>
      <w:szCs w:val="22"/>
    </w:rPr>
  </w:style>
  <w:style w:type="paragraph" w:customStyle="1" w:styleId="224">
    <w:name w:val="表格 - 正文"/>
    <w:basedOn w:val="1"/>
    <w:autoRedefine/>
    <w:qFormat/>
    <w:uiPriority w:val="0"/>
    <w:pPr>
      <w:snapToGrid w:val="0"/>
      <w:spacing w:before="120" w:after="120" w:line="360" w:lineRule="auto"/>
    </w:pPr>
    <w:rPr>
      <w:rFonts w:cs="宋体"/>
      <w:szCs w:val="20"/>
    </w:rPr>
  </w:style>
  <w:style w:type="character" w:customStyle="1" w:styleId="225">
    <w:name w:val="列表段落 字符"/>
    <w:link w:val="192"/>
    <w:autoRedefine/>
    <w:qFormat/>
    <w:uiPriority w:val="0"/>
    <w:rPr>
      <w:kern w:val="2"/>
      <w:sz w:val="21"/>
      <w:szCs w:val="24"/>
    </w:rPr>
  </w:style>
  <w:style w:type="character" w:customStyle="1" w:styleId="226">
    <w:name w:val="NormalCharacter"/>
    <w:autoRedefine/>
    <w:semiHidden/>
    <w:qFormat/>
    <w:uiPriority w:val="0"/>
  </w:style>
  <w:style w:type="paragraph" w:customStyle="1" w:styleId="227">
    <w:name w:val="一级条标题"/>
    <w:next w:val="1"/>
    <w:autoRedefine/>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character" w:customStyle="1" w:styleId="228">
    <w:name w:val="正文文本缩进 2 字符"/>
    <w:basedOn w:val="43"/>
    <w:link w:val="24"/>
    <w:autoRedefine/>
    <w:qFormat/>
    <w:uiPriority w:val="0"/>
    <w:rPr>
      <w:kern w:val="2"/>
      <w:sz w:val="21"/>
      <w:szCs w:val="24"/>
    </w:rPr>
  </w:style>
  <w:style w:type="character" w:customStyle="1" w:styleId="229">
    <w:name w:val="正文文本首行缩进 2 字符"/>
    <w:basedOn w:val="89"/>
    <w:link w:val="2"/>
    <w:autoRedefine/>
    <w:qFormat/>
    <w:uiPriority w:val="0"/>
    <w:rPr>
      <w:kern w:val="2"/>
      <w:sz w:val="21"/>
      <w:szCs w:val="24"/>
    </w:rPr>
  </w:style>
  <w:style w:type="character" w:customStyle="1" w:styleId="230">
    <w:name w:val="纯文本 字符2"/>
    <w:autoRedefine/>
    <w:qFormat/>
    <w:uiPriority w:val="0"/>
    <w:rPr>
      <w:rFonts w:ascii="宋体"/>
      <w:kern w:val="2"/>
      <w:sz w:val="21"/>
    </w:rPr>
  </w:style>
  <w:style w:type="character" w:customStyle="1" w:styleId="231">
    <w:name w:val="正文文本首行缩进 字符"/>
    <w:basedOn w:val="78"/>
    <w:link w:val="40"/>
    <w:autoRedefine/>
    <w:qFormat/>
    <w:uiPriority w:val="0"/>
    <w:rPr>
      <w:kern w:val="2"/>
      <w:sz w:val="21"/>
      <w:szCs w:val="24"/>
    </w:rPr>
  </w:style>
  <w:style w:type="character" w:customStyle="1" w:styleId="232">
    <w:name w:val="副标题 字符"/>
    <w:basedOn w:val="43"/>
    <w:link w:val="31"/>
    <w:autoRedefine/>
    <w:qFormat/>
    <w:uiPriority w:val="0"/>
    <w:rPr>
      <w:rFonts w:ascii="Cambria" w:hAnsi="Cambria"/>
      <w:b/>
      <w:bCs/>
      <w:kern w:val="28"/>
      <w:sz w:val="21"/>
      <w:szCs w:val="32"/>
    </w:rPr>
  </w:style>
  <w:style w:type="character" w:customStyle="1" w:styleId="233">
    <w:name w:val="font41"/>
    <w:basedOn w:val="43"/>
    <w:autoRedefine/>
    <w:qFormat/>
    <w:uiPriority w:val="0"/>
    <w:rPr>
      <w:rFonts w:hint="eastAsia" w:ascii="宋体" w:hAnsi="宋体" w:eastAsia="宋体" w:cs="宋体"/>
      <w:color w:val="000000"/>
      <w:sz w:val="20"/>
      <w:szCs w:val="20"/>
      <w:u w:val="none"/>
    </w:rPr>
  </w:style>
  <w:style w:type="character" w:customStyle="1" w:styleId="234">
    <w:name w:val="font101"/>
    <w:basedOn w:val="43"/>
    <w:autoRedefine/>
    <w:qFormat/>
    <w:uiPriority w:val="0"/>
    <w:rPr>
      <w:rFonts w:ascii="Calibri" w:hAnsi="Calibri" w:cs="Calibri"/>
      <w:color w:val="000000"/>
      <w:sz w:val="20"/>
      <w:szCs w:val="20"/>
      <w:u w:val="none"/>
    </w:rPr>
  </w:style>
  <w:style w:type="character" w:customStyle="1" w:styleId="235">
    <w:name w:val="font111"/>
    <w:basedOn w:val="43"/>
    <w:autoRedefine/>
    <w:qFormat/>
    <w:uiPriority w:val="0"/>
    <w:rPr>
      <w:rFonts w:ascii="Arial" w:hAnsi="Arial" w:cs="Arial"/>
      <w:color w:val="000000"/>
      <w:sz w:val="20"/>
      <w:szCs w:val="20"/>
      <w:u w:val="none"/>
    </w:rPr>
  </w:style>
  <w:style w:type="character" w:customStyle="1" w:styleId="236">
    <w:name w:val="font122"/>
    <w:basedOn w:val="43"/>
    <w:autoRedefine/>
    <w:qFormat/>
    <w:uiPriority w:val="0"/>
    <w:rPr>
      <w:rFonts w:ascii="等线" w:hAnsi="等线" w:eastAsia="等线" w:cs="等线"/>
      <w:color w:val="000000"/>
      <w:sz w:val="20"/>
      <w:szCs w:val="20"/>
      <w:u w:val="none"/>
    </w:rPr>
  </w:style>
  <w:style w:type="character" w:customStyle="1" w:styleId="237">
    <w:name w:val="font71"/>
    <w:basedOn w:val="43"/>
    <w:autoRedefine/>
    <w:qFormat/>
    <w:uiPriority w:val="0"/>
    <w:rPr>
      <w:rFonts w:hint="eastAsia" w:ascii="宋体" w:hAnsi="宋体" w:eastAsia="宋体" w:cs="宋体"/>
      <w:color w:val="FF0000"/>
      <w:sz w:val="20"/>
      <w:szCs w:val="20"/>
      <w:u w:val="none"/>
    </w:rPr>
  </w:style>
  <w:style w:type="character" w:customStyle="1" w:styleId="238">
    <w:name w:val="font91"/>
    <w:basedOn w:val="43"/>
    <w:autoRedefine/>
    <w:qFormat/>
    <w:uiPriority w:val="0"/>
    <w:rPr>
      <w:rFonts w:hint="eastAsia" w:ascii="宋体" w:hAnsi="宋体" w:eastAsia="宋体" w:cs="宋体"/>
      <w:color w:val="000000"/>
      <w:sz w:val="20"/>
      <w:szCs w:val="20"/>
      <w:u w:val="none"/>
    </w:rPr>
  </w:style>
  <w:style w:type="character" w:customStyle="1" w:styleId="239">
    <w:name w:val="font31"/>
    <w:autoRedefine/>
    <w:qFormat/>
    <w:uiPriority w:val="0"/>
    <w:rPr>
      <w:rFonts w:hint="eastAsia" w:ascii="宋体" w:hAnsi="宋体" w:eastAsia="宋体" w:cs="宋体"/>
      <w:color w:val="000000"/>
      <w:sz w:val="22"/>
      <w:szCs w:val="22"/>
      <w:u w:val="none"/>
    </w:rPr>
  </w:style>
  <w:style w:type="paragraph" w:customStyle="1" w:styleId="240">
    <w:name w:val="正文文本 (2)1"/>
    <w:basedOn w:val="1"/>
    <w:autoRedefine/>
    <w:qFormat/>
    <w:uiPriority w:val="99"/>
    <w:pPr>
      <w:shd w:val="clear" w:color="auto" w:fill="FFFFFF"/>
      <w:spacing w:line="240" w:lineRule="atLeast"/>
      <w:ind w:hanging="140"/>
      <w:jc w:val="left"/>
    </w:pPr>
    <w:rPr>
      <w:rFonts w:ascii="宋体" w:hAnsi="宋体"/>
      <w:kern w:val="0"/>
      <w:sz w:val="22"/>
      <w:szCs w:val="22"/>
    </w:rPr>
  </w:style>
  <w:style w:type="paragraph" w:customStyle="1" w:styleId="241">
    <w:name w:val="05正文"/>
    <w:basedOn w:val="1"/>
    <w:autoRedefine/>
    <w:qFormat/>
    <w:uiPriority w:val="0"/>
    <w:pPr>
      <w:jc w:val="left"/>
    </w:pPr>
    <w:rPr>
      <w:rFonts w:ascii="宋体" w:hAnsi="Calibri"/>
      <w:szCs w:val="24"/>
    </w:rPr>
  </w:style>
  <w:style w:type="paragraph" w:customStyle="1" w:styleId="242">
    <w:name w:val="WPSOffice手动目录 1"/>
    <w:autoRedefine/>
    <w:qFormat/>
    <w:uiPriority w:val="0"/>
    <w:pPr>
      <w:ind w:leftChars="0"/>
    </w:pPr>
    <w:rPr>
      <w:rFonts w:ascii="Times New Roman" w:hAnsi="Times New Roman" w:eastAsia="宋体" w:cs="Times New Roman"/>
      <w:sz w:val="20"/>
      <w:szCs w:val="20"/>
    </w:rPr>
  </w:style>
  <w:style w:type="paragraph" w:customStyle="1" w:styleId="243">
    <w:name w:val="WPSOffice手动目录 2"/>
    <w:autoRedefine/>
    <w:qFormat/>
    <w:uiPriority w:val="0"/>
    <w:pPr>
      <w:ind w:leftChars="200"/>
    </w:pPr>
    <w:rPr>
      <w:rFonts w:ascii="Times New Roman" w:hAnsi="Times New Roman" w:eastAsia="宋体" w:cs="Times New Roman"/>
      <w:sz w:val="20"/>
      <w:szCs w:val="20"/>
    </w:rPr>
  </w:style>
  <w:style w:type="paragraph" w:customStyle="1" w:styleId="244">
    <w:name w:val="WPSOffice手动目录 3"/>
    <w:autoRedefine/>
    <w:qFormat/>
    <w:uiPriority w:val="0"/>
    <w:pPr>
      <w:ind w:leftChars="400"/>
    </w:pPr>
    <w:rPr>
      <w:rFonts w:ascii="Times New Roman" w:hAnsi="Times New Roman" w:eastAsia="宋体" w:cs="Times New Roman"/>
      <w:sz w:val="20"/>
      <w:szCs w:val="20"/>
    </w:rPr>
  </w:style>
  <w:style w:type="paragraph" w:customStyle="1" w:styleId="245">
    <w:name w:val="正文缩进1"/>
    <w:basedOn w:val="1"/>
    <w:autoRedefine/>
    <w:qFormat/>
    <w:uiPriority w:val="0"/>
    <w:pPr>
      <w:ind w:firstLine="420"/>
    </w:pPr>
  </w:style>
  <w:style w:type="paragraph" w:customStyle="1" w:styleId="246">
    <w:name w:val="*正文"/>
    <w:basedOn w:val="1"/>
    <w:autoRedefine/>
    <w:qFormat/>
    <w:uiPriority w:val="0"/>
    <w:pPr>
      <w:widowControl/>
      <w:spacing w:line="360" w:lineRule="auto"/>
      <w:ind w:firstLine="200" w:firstLineChars="200"/>
      <w:contextualSpacing/>
    </w:pPr>
    <w:rPr>
      <w:rFonts w:ascii="time" w:hAnsi="time"/>
      <w:kern w:val="0"/>
      <w:sz w:val="24"/>
      <w:szCs w:val="24"/>
      <w:lang w:bidi="en-US"/>
    </w:rPr>
  </w:style>
  <w:style w:type="paragraph" w:customStyle="1" w:styleId="247">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48">
    <w:name w:val="_Style 13"/>
    <w:qFormat/>
    <w:uiPriority w:val="0"/>
    <w:pPr>
      <w:spacing w:before="120" w:after="120" w:line="288" w:lineRule="auto"/>
    </w:pPr>
    <w:rPr>
      <w:rFonts w:ascii="Arial" w:hAnsi="Arial" w:eastAsia="等线" w:cs="Arial"/>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32599;&#20043;&#20891;&#30340;&#36164;&#26009;\&#20132;&#26131;&#20013;&#24515;&#36164;&#26009;&#20840;&#22871;\&#25919;&#24220;&#37319;&#36141;\2017\&#23486;&#24029;&#30005;&#23376;&#21270;&#24179;&#21488;&#37319;&#36141;&#39033;&#30446;\8.17&#21335;&#28071;&#21439;&#20132;&#26131;&#20013;&#24515;&#30005;&#23376;&#21270;&#24179;&#21488;&#24314;&#35774;&#25991;&#20214;.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actReview xmlns="http://schemas.wps.cn/vas-ai-hub/contract-review">
  <reviewItems>
    <reviewItem>
      <errorID>25524067-e446-42fc-8e16-b822aa5f5dd0</errorID>
      <errorWord>2026年03月09日</errorWord>
      <group>L1_Knowledge</group>
      <groupName>知识性问题</groupName>
      <ability>L2_Time</ability>
      <abilityName>日期时间</abilityName>
      <candidateList>
        <item>2026年3月9日</item>
      </candidateList>
      <explain>根据日常书写习惯，月份和日期一般会省略前导零。</explain>
      <paraID>5A54793D</paraID>
      <start>85</start>
      <end>96</end>
      <status>unmodified</status>
      <modifiedWord/>
      <trackRevisions>false</trackRevisions>
    </reviewItem>
    <reviewItem>
      <errorID>89f8c87f-8fe4-4468-aa9a-9bfcc9504b85</errorID>
      <errorWord>[2020]46号</errorWord>
      <group>L1_Knowledge</group>
      <groupName>知识性问题</groupName>
      <ability>L2_Knowledge</ability>
      <abilityName>其他知识</abilityName>
      <candidateList>
        <item>〔2020〕46号</item>
      </candidateList>
      <explain>发文字号格式错误。</explain>
      <paraID>2A8F572B</paraID>
      <start>56</start>
      <end>65</end>
      <status>unmodified</status>
      <modifiedWord/>
      <trackRevisions>false</trackRevisions>
    </reviewItem>
    <reviewItem>
      <errorID>b0860d17-2967-4f37-b0b8-11384ac0c7cc</errorID>
      <errorWord>、</errorWord>
      <group>L1_AI</group>
      <groupName>深度校对</groupName>
      <ability>L2_AI_Punc</ability>
      <abilityName>标点纠错</abilityName>
      <candidateList>
        <item>. </item>
      </candidateList>
      <explain/>
      <paraID>1E2AA3CB</paraID>
      <start>6</start>
      <end>7</end>
      <status>unmodified</status>
      <modifiedWord/>
      <trackRevisions>false</trackRevisions>
    </reviewItem>
    <reviewItem>
      <errorID>a2deb843-d192-4bb7-b111-cf5db885c914</errorID>
      <errorWord>。。</errorWord>
      <group>L1_Punc</group>
      <groupName>标点问题</groupName>
      <ability>L2_Punc</ability>
      <abilityName>标点符号检查</abilityName>
      <candidateList>
        <item>。</item>
      </candidateList>
      <explain/>
      <paraID>1E2AA3CB</paraID>
      <start>220</start>
      <end>222</end>
      <status>unmodified</status>
      <modifiedWord/>
      <trackRevisions>false</trackRevisions>
    </reviewItem>
    <reviewItem>
      <errorID>9013ff5c-9925-44ab-b985-71fff362021f</errorID>
      <errorWord>CA</errorWord>
      <group>L1_AI</group>
      <groupName>深度校对</groupName>
      <ability>L2_AI_Punc</ability>
      <abilityName>标点纠错</abilityName>
      <candidateList>
        <item>，CA</item>
      </candidateList>
      <explain/>
      <paraID>192C4EE5</paraID>
      <start>108</start>
      <end>111</end>
      <status>modified</status>
      <modifiedWord>，CA</modifiedWord>
      <trackRevisions>false</trackRevisions>
    </reviewItem>
    <reviewItem>
      <errorID>02b5adff-63f4-4dea-a822-d76af49c2a14</errorID>
      <errorWord>台法</errorWord>
      <group>L1_Word</group>
      <groupName>字词问题</groupName>
      <ability>L2_Typo</ability>
      <abilityName>字词错误</abilityName>
      <candidateList>
        <item>合法</item>
      </candidateList>
      <explain/>
      <paraID>37300E15</paraID>
      <start>11</start>
      <end>13</end>
      <status>modified</status>
      <modifiedWord>合法</modifiedWord>
      <trackRevisions>false</trackRevisions>
    </reviewItem>
    <reviewItem>
      <errorID>2c00c41f-22fd-4815-89f8-0ddc22d43d6d</errorID>
      <errorWord>异义</errorWord>
      <group>L1_Word</group>
      <groupName>字词问题</groupName>
      <ability>L2_Typo</ability>
      <abilityName>字词错误</abilityName>
      <candidateList>
        <item>异议</item>
      </candidateList>
      <explain/>
      <paraID>4396C0BF</paraID>
      <start>20</start>
      <end>22</end>
      <status>modified</status>
      <modifiedWord>异议</modifiedWord>
      <trackRevisions>false</trackRevisions>
    </reviewItem>
    <reviewItem>
      <errorID>7b7f5c4d-5a3e-4eaf-8891-aa005b815cd9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161B00AF</paraID>
      <start>24</start>
      <end>26</end>
      <status>modified</status>
      <modifiedWord>》《</modifiedWord>
      <trackRevisions>false</trackRevisions>
    </reviewItem>
    <reviewItem>
      <errorID>0ed00503-7432-49fb-bedf-ace8689cd6c8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161B00AF</paraID>
      <start>42</start>
      <end>44</end>
      <status>modified</status>
      <modifiedWord>》《</modifiedWord>
      <trackRevisions>false</trackRevisions>
    </reviewItem>
    <reviewItem>
      <errorID>2ad8dfcf-c2e8-4e4e-88eb-92e56a4c4910</errorID>
      <errorWord>签定</errorWord>
      <group>L1_Word</group>
      <groupName>字词问题</groupName>
      <ability>L2_Typo</ability>
      <abilityName>字词错误</abilityName>
      <candidateList>
        <item>签订</item>
      </candidateList>
      <explain>〈动〉订立条约或合同并签字：两国～了贸易议定书和支付协定。</explain>
      <paraID>320435BD</paraID>
      <start>25</start>
      <end>27</end>
      <status>modified</status>
      <modifiedWord>签订</modifiedWord>
      <trackRevisions>false</trackRevisions>
    </reviewItem>
    <reviewItem>
      <errorID>da6e83fc-0295-4c31-8036-93f50fac78ca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33E27909</paraID>
      <start>13</start>
      <end>15</end>
      <status>modified</status>
      <modifiedWord>》《</modifiedWord>
      <trackRevisions>false</trackRevisions>
    </reviewItem>
    <reviewItem>
      <errorID>f7b4104b-e254-4559-a196-1de04efad92c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16E38C43</paraID>
      <start>45</start>
      <end>47</end>
      <status>modified</status>
      <modifiedWord>》《</modifiedWord>
      <trackRevisions>false</trackRevisions>
    </reviewItem>
    <reviewItem>
      <errorID>85f2e506-f02c-491b-98be-fea6bb59c5ed</errorID>
      <errorWord>下</errorWord>
      <group>L1_Word</group>
      <groupName>字词问题</groupName>
      <ability>L2_Typo</ability>
      <abilityName>字词错误</abilityName>
      <candidateList>
        <item>下简</item>
      </candidateList>
      <explain/>
      <paraID>7F13DF7C</paraID>
      <start>8</start>
      <end>10</end>
      <status>modified</status>
      <modifiedWord>下简</modifiedWord>
      <trackRevisions>false</trackRevisions>
    </reviewItem>
    <reviewItem>
      <errorID>a1f085c9-b3a3-4c20-bf5b-f2204e85fea6</errorID>
      <errorWord>下</errorWord>
      <group>L1_Word</group>
      <groupName>字词问题</groupName>
      <ability>L2_Typo</ability>
      <abilityName>字词错误</abilityName>
      <candidateList>
        <item>下简</item>
      </candidateList>
      <explain/>
      <paraID>50A5CB94</paraID>
      <start>8</start>
      <end>10</end>
      <status>modified</status>
      <modifiedWord>下简</modifiedWord>
      <trackRevisions>false</trackRevisions>
    </reviewItem>
    <reviewItem>
      <errorID>25e317d7-e3da-43a3-b7e1-473e0de7b31b</errorID>
      <errorWord>其</errorWord>
      <group>L1_Word</group>
      <groupName>字词问题</groupName>
      <ability>L2_Typo</ability>
      <abilityName>字词错误</abilityName>
      <candidateList>
        <item>其他</item>
      </candidateList>
      <explain>〈代〉指示代词。别的：今天的文娱晚会，除了京剧、曲艺以外，还有～精彩节目。</explain>
      <paraID>1B7A19FB</paraID>
      <start>57</start>
      <end>59</end>
      <status>modified</status>
      <modifiedWord>其他</modifiedWord>
      <trackRevisions>false</trackRevisions>
    </reviewItem>
    <reviewItem>
      <errorID>bd76d4f1-0154-4de5-bfdc-13bd6a3f6354</errorID>
      <errorWord>涉及到</errorWord>
      <group>L1_Grammar</group>
      <groupName>语法问题</groupName>
      <ability>L2_Grammar</ability>
      <abilityName>语法错误</abilityName>
      <candidateList>
        <item>涉及</item>
      </candidateList>
      <explain>〈动〉牵涉到；关联到：案子～好几个人｜这个问题～面很广。</explain>
      <paraID>2A1B9FAC</paraID>
      <start>40</start>
      <end>42</end>
      <status>modified</status>
      <modifiedWord>涉及</modifiedWord>
      <trackRevisions>false</trackRevisions>
    </reviewItem>
    <reviewItem>
      <errorID>08a92974-c796-4a5a-934b-2368e8726971</errorID>
      <errorWord>》</errorWord>
      <group>L1_Word</group>
      <groupName>字词问题</groupName>
      <ability>L2_Typo</ability>
      <abilityName>字词错误</abilityName>
      <candidateList>
        <item>》等</item>
      </candidateList>
      <explain/>
      <paraID>2A1B9FAC</paraID>
      <start>95</start>
      <end>97</end>
      <status>modified</status>
      <modifiedWord>》等</modifiedWord>
      <trackRevisions>false</trackRevisions>
    </reviewItem>
    <reviewItem>
      <errorID>0006d1c0-275c-4479-89f8-457b4e960426</errorID>
      <errorWord>作</errorWord>
      <group>L1_Word</group>
      <groupName>字词问题</groupName>
      <ability>L2_Typo</ability>
      <abilityName>字词错误</abilityName>
      <candidateList>
        <item>做</item>
      </candidateList>
      <explain>存在发音相同字词的误用。</explain>
      <paraID>2E1BBA6B</paraID>
      <start>4</start>
      <end>5</end>
      <status>unmodified</status>
      <modifiedWord/>
      <trackRevisions>false</trackRevisions>
    </reviewItem>
    <reviewItem>
      <errorID>88705d14-584a-4980-a64c-9a9865e6f794</errorID>
      <errorWord>[2020]46号</errorWord>
      <group>L1_Knowledge</group>
      <groupName>知识性问题</groupName>
      <ability>L2_Knowledge</ability>
      <abilityName>其他知识</abilityName>
      <candidateList>
        <item>〔2020〕46号</item>
      </candidateList>
      <explain>发文字号格式错误。</explain>
      <paraID>3CD03561</paraID>
      <start>43</start>
      <end>52</end>
      <status>unmodified</status>
      <modifiedWord/>
      <trackRevisions>false</trackRevisions>
    </reviewItem>
    <reviewItem>
      <errorID>ab66254a-b74c-4e0d-8e98-bf9876ba9642</errorID>
      <errorWord>、</errorWord>
      <group>L1_Punc</group>
      <groupName>标点问题</groupName>
      <ability>L2_Punc</ability>
      <abilityName>标点符号检查</abilityName>
      <candidateList>
        <item>.</item>
      </candidateList>
      <explain/>
      <paraID>416E1E45</paraID>
      <start>1</start>
      <end>2</end>
      <status>unmodified</status>
      <modifiedWord/>
      <trackRevisions>false</trackRevisions>
    </reviewItem>
    <reviewItem>
      <errorID>ac786240-6df7-4150-99de-846383ba4d6d</errorID>
      <errorWord>、</errorWord>
      <group>L1_Punc</group>
      <groupName>标点问题</groupName>
      <ability>L2_Punc</ability>
      <abilityName>标点符号检查</abilityName>
      <candidateList>
        <item>.</item>
      </candidateList>
      <explain/>
      <paraID>388C0D9D</paraID>
      <start>1</start>
      <end>2</end>
      <status>unmodified</status>
      <modifiedWord/>
      <trackRevisions>false</trackRevisions>
    </reviewItem>
    <reviewItem>
      <errorID>3459a041-7bee-4455-a58e-47ddbfb2dd5f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1D9A3897</paraID>
      <start>0</start>
      <end>2</end>
      <status>modified</status>
      <modifiedWord>1.</modifiedWord>
      <trackRevisions>false</trackRevisions>
    </reviewItem>
    <reviewItem>
      <errorID>01ba1e89-327f-4da3-8d3d-ce77fb67132f</errorID>
      <errorWord>[2020]</errorWord>
      <group>L1_Punc</group>
      <groupName>标点问题</groupName>
      <ability>L2_Punc</ability>
      <abilityName>标点符号检查</abilityName>
      <candidateList>
        <item>〔2020〕</item>
      </candidateList>
      <explain/>
      <paraID>738BF5E4</paraID>
      <start>33</start>
      <end>39</end>
      <status>unmodified</status>
      <modifiedWord/>
      <trackRevisions>false</trackRevisions>
    </reviewItem>
    <reviewItem>
      <errorID>780f3634-1d81-43dd-b4b3-b5bdce103db7</errorID>
      <errorWord>[2020]</errorWord>
      <group>L1_Punc</group>
      <groupName>标点问题</groupName>
      <ability>L2_Punc</ability>
      <abilityName>标点符号检查</abilityName>
      <candidateList>
        <item>〔2020〕</item>
      </candidateList>
      <explain/>
      <paraID>29B19D66</paraID>
      <start>27</start>
      <end>33</end>
      <status>unmodified</status>
      <modifiedWord/>
      <trackRevisions>false</trackRevisions>
    </reviewItem>
    <reviewItem>
      <errorID>bc2debbd-e035-44fe-ab80-4da804e93d37</errorID>
      <errorWord>〔2017〕 141号</errorWord>
      <group>L1_Knowledge</group>
      <groupName>知识性问题</groupName>
      <ability>L2_Knowledge</ability>
      <abilityName>其他知识</abilityName>
      <candidateList>
        <item>〔2017〕141号</item>
      </candidateList>
      <explain>发文字号格式错误。</explain>
      <paraID>2C52BAF1</paraID>
      <start>49</start>
      <end>60</end>
      <status>unmodified</status>
      <modifiedWord/>
      <trackRevisions>false</trackRevisions>
    </reviewItem>
    <reviewItem>
      <errorID>6caba645-88f0-475f-b5c8-1e9d98febc1f</errorID>
      <errorWord>[2014]68号</errorWord>
      <group>L1_Knowledge</group>
      <groupName>知识性问题</groupName>
      <ability>L2_Knowledge</ability>
      <abilityName>其他知识</abilityName>
      <candidateList>
        <item>〔2014〕68号</item>
      </candidateList>
      <explain>发文字号格式错误。</explain>
      <paraID>4E9C1E89</paraID>
      <start>46</start>
      <end>55</end>
      <status>unmodified</status>
      <modifiedWord/>
      <trackRevisions>false</trackRevisions>
    </reviewItem>
    <reviewItem>
      <errorID>6f961e97-ade6-4082-8b89-3ae8a50d3722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68418899</paraID>
      <start>0</start>
      <end>2</end>
      <status>modified</status>
      <modifiedWord>2.</modifiedWord>
      <trackRevisions>false</trackRevisions>
    </reviewItem>
    <reviewItem>
      <errorID>b22c8708-7376-4f97-96d5-c3628ad6cfe7</errorID>
      <errorWord>方</errorWord>
      <group>L1_Word</group>
      <groupName>字词问题</groupName>
      <ability>L2_Typo</ability>
      <abilityName>字词错误</abilityName>
      <candidateList>
        <item>方在</item>
      </candidateList>
      <explain/>
      <paraID>68418899</paraID>
      <start>3</start>
      <end>5</end>
      <status>modified</status>
      <modifiedWord>方在</modifiedWord>
      <trackRevisions>false</trackRevisions>
    </reviewItem>
    <reviewItem>
      <errorID>79ee4ee7-86c6-489d-8834-2bef435d2973</errorID>
      <errorWord>混泥土</errorWord>
      <group>L1_Word</group>
      <groupName>字词问题</groupName>
      <ability>L2_Typo</ability>
      <abilityName>字词错误</abilityName>
      <candidateList>
        <item>混凝土</item>
      </candidateList>
      <explain>〈名〉一种建筑材料，一般用水泥、沙、石子和水按比例拌和而成，硬结后有耐压、耐水、耐火等性能。</explain>
      <paraID>6E96C967</paraID>
      <start>54</start>
      <end>57</end>
      <status>modified</status>
      <modifiedWord>混凝土</modifiedWord>
      <trackRevisions>false</trackRevisions>
    </reviewItem>
    <reviewItem>
      <errorID>a1118d18-604a-42e4-b0d1-2055bb6de342</errorID>
      <errorWord>[2020]46号</errorWord>
      <group>L1_Knowledge</group>
      <groupName>知识性问题</groupName>
      <ability>L2_Knowledge</ability>
      <abilityName>其他知识</abilityName>
      <candidateList>
        <item>〔2020〕46号</item>
      </candidateList>
      <explain>发文字号格式错误。</explain>
      <paraID>6C9EEAE0</paraID>
      <start>37</start>
      <end>46</end>
      <status>unmodified</status>
      <modifiedWord/>
      <trackRevisions>false</trackRevisions>
    </reviewItem>
    <reviewItem>
      <errorID>c16f4eb5-6a42-4c1f-895b-a1b55771e78e</errorID>
      <errorWord>详实</errorWord>
      <group>L1_Word</group>
      <groupName>字词问题</groupName>
      <ability>L2_Typo</ability>
      <abilityName>字词错误</abilityName>
      <candidateList>
        <item>翔实</item>
      </candidateList>
      <explain/>
      <paraID> 1F0C06F</paraID>
      <start>18</start>
      <end>20</end>
      <status>unmodified</status>
      <modifiedWord/>
      <trackRevisions>false</trackRevisions>
    </reviewItem>
    <reviewItem>
      <errorID>c2ca5927-a1c7-4414-9c5b-c545414c6fec</errorID>
      <errorWord>详实</errorWord>
      <group>L1_Word</group>
      <groupName>字词问题</groupName>
      <ability>L2_Typo</ability>
      <abilityName>字词错误</abilityName>
      <candidateList>
        <item>翔实</item>
      </candidateList>
      <explain/>
      <paraID>366C8A04</paraID>
      <start>11</start>
      <end>13</end>
      <status>unmodified</status>
      <modifiedWord/>
      <trackRevisions>false</trackRevisions>
    </reviewItem>
    <reviewItem>
      <errorID>d5d63c7a-41cc-40c4-ad04-d63bccc20581</errorID>
      <errorWord>详实</errorWord>
      <group>L1_Word</group>
      <groupName>字词问题</groupName>
      <ability>L2_Typo</ability>
      <abilityName>字词错误</abilityName>
      <candidateList>
        <item>翔实</item>
      </candidateList>
      <explain/>
      <paraID>1729F03B</paraID>
      <start>18</start>
      <end>20</end>
      <status>unmodified</status>
      <modifiedWord/>
      <trackRevisions>false</trackRevisions>
    </reviewItem>
    <reviewItem>
      <errorID>f70d31f5-592a-40f3-b381-518dd30fecf9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1537741D</paraID>
      <start>15</start>
      <end>18</end>
      <status>unmodified</status>
      <modifiedWord/>
      <trackRevisions>false</trackRevisions>
    </reviewItem>
    <reviewItem>
      <errorID>cb836a1c-5ce4-45d8-99d9-97f36b5f01af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1537741D</paraID>
      <start>30</start>
      <end>33</end>
      <status>unmodified</status>
      <modifiedWord/>
      <trackRevisions>false</trackRevisions>
    </reviewItem>
    <reviewItem>
      <errorID>ecba2da8-af8b-41dc-891b-0a137be29b56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1537741D</paraID>
      <start>49</start>
      <end>52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02C032-BFF3-4D35-AEA4-B30AB294B1DB}">
  <ds:schemaRefs/>
</ds:datastoreItem>
</file>

<file path=customXml/itemProps3.xml><?xml version="1.0" encoding="utf-8"?>
<ds:datastoreItem xmlns:ds="http://schemas.openxmlformats.org/officeDocument/2006/customXml" ds:itemID="{422722ff-969c-430d-b0c9-ad063c75f62f}">
  <ds:schemaRefs/>
</ds:datastoreItem>
</file>

<file path=docProps/app.xml><?xml version="1.0" encoding="utf-8"?>
<Properties xmlns="http://schemas.openxmlformats.org/officeDocument/2006/extended-properties" xmlns:vt="http://schemas.openxmlformats.org/officeDocument/2006/docPropsVTypes">
  <Template>8.17南涧县交易中心电子化平台建设文件</Template>
  <Company>WWW.YlmF.CoM</Company>
  <Pages>112</Pages>
  <Words>8617</Words>
  <Characters>9873</Characters>
  <Lines>261</Lines>
  <Paragraphs>73</Paragraphs>
  <TotalTime>4</TotalTime>
  <ScaleCrop>false</ScaleCrop>
  <LinksUpToDate>false</LinksUpToDate>
  <CharactersWithSpaces>10077</CharactersWithSpaces>
  <Application>WPS Office_12.1.0.26373_F1E327BC-269C-435d-A152-05C5408002CA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2023-07-25T08:56:00Z</dcterms:created>
  <dc:creator>User</dc:creator>
  <cp:lastModifiedBy>弯腰是虾</cp:lastModifiedBy>
  <cp:lastPrinted>2026-05-12T09:55:00Z</cp:lastPrinted>
  <dcterms:modified xsi:type="dcterms:W3CDTF">2026-05-19T02:24:21Z</dcterms:modified>
  <dc:title>aa</dc:title>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2052-12.1.0.26373</vt:lpwstr>
  </property>
  <property fmtid="{D5CDD505-2E9C-101B-9397-08002B2CF9AE}" pid="3" name="ICV">
    <vt:lpwstr>1BF2DC288CE54DB5B5A84A131732902E_13</vt:lpwstr>
  </property>
  <property fmtid="{D5CDD505-2E9C-101B-9397-08002B2CF9AE}" pid="4" name="KSOTemplateDocerSaveRecord">
    <vt:lpwstr>eyJoZGlkIjoiMmU3MjJjNjI4MmQyNzBhY2IyNDU1NGUxMGZhODBmNGYiLCJ1c2VySWQiOiI1NjkzODQwNjYifQ==</vt:lpwstr>
  </property>
</Properties>
</file>