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E3E5B">
      <w:pPr>
        <w:pStyle w:val="73"/>
        <w:spacing w:line="360" w:lineRule="auto"/>
        <w:ind w:left="440" w:firstLine="0" w:firstLineChars="0"/>
        <w:rPr>
          <w:rFonts w:hint="eastAsia" w:ascii="宋体" w:hAnsi="宋体"/>
          <w:b/>
          <w:sz w:val="32"/>
          <w:szCs w:val="18"/>
        </w:rPr>
      </w:pPr>
    </w:p>
    <w:p w14:paraId="759B1507">
      <w:pPr>
        <w:jc w:val="center"/>
        <w:rPr>
          <w:rFonts w:hint="eastAsia" w:ascii="宋体" w:hAnsi="宋体"/>
          <w:b/>
          <w:sz w:val="52"/>
          <w:szCs w:val="52"/>
        </w:rPr>
      </w:pPr>
      <w:r>
        <w:rPr>
          <w:rFonts w:ascii="宋体" w:hAnsi="宋体"/>
          <w:b/>
          <w:sz w:val="52"/>
          <w:szCs w:val="52"/>
        </w:rPr>
        <w:t>新疆国际医疗中心（新疆国际医院）</w:t>
      </w:r>
      <w:r>
        <w:rPr>
          <w:rFonts w:hint="eastAsia" w:ascii="宋体" w:hAnsi="宋体"/>
          <w:b/>
          <w:sz w:val="52"/>
          <w:szCs w:val="52"/>
        </w:rPr>
        <w:t>检验科部分设备采购安装调试项目1（四次招标）</w:t>
      </w:r>
    </w:p>
    <w:p w14:paraId="5982A3EE">
      <w:pPr>
        <w:jc w:val="center"/>
        <w:rPr>
          <w:rFonts w:hint="eastAsia" w:ascii="宋体" w:hAnsi="宋体"/>
          <w:b/>
          <w:sz w:val="52"/>
          <w:szCs w:val="52"/>
        </w:rPr>
      </w:pPr>
    </w:p>
    <w:p w14:paraId="03D7BB01">
      <w:pPr>
        <w:jc w:val="center"/>
        <w:rPr>
          <w:rFonts w:hint="eastAsia" w:ascii="宋体" w:hAnsi="宋体"/>
          <w:b/>
          <w:sz w:val="72"/>
          <w:szCs w:val="72"/>
        </w:rPr>
      </w:pPr>
      <w:r>
        <w:rPr>
          <w:rFonts w:hint="eastAsia" w:ascii="宋体" w:hAnsi="宋体"/>
          <w:b/>
          <w:sz w:val="72"/>
          <w:szCs w:val="72"/>
        </w:rPr>
        <w:t>公开</w:t>
      </w:r>
      <w:r>
        <w:rPr>
          <w:rFonts w:ascii="宋体" w:hAnsi="宋体"/>
          <w:b/>
          <w:sz w:val="72"/>
          <w:szCs w:val="72"/>
        </w:rPr>
        <w:t>招标文件</w:t>
      </w:r>
    </w:p>
    <w:p w14:paraId="062DCB2A">
      <w:pPr>
        <w:jc w:val="center"/>
        <w:rPr>
          <w:rFonts w:hint="eastAsia" w:ascii="宋体" w:hAnsi="宋体"/>
          <w:b/>
          <w:sz w:val="48"/>
          <w:szCs w:val="48"/>
        </w:rPr>
      </w:pPr>
    </w:p>
    <w:p w14:paraId="25D7CDC5">
      <w:pPr>
        <w:jc w:val="center"/>
        <w:rPr>
          <w:rFonts w:hint="eastAsia" w:ascii="宋体" w:hAnsi="宋体"/>
          <w:b/>
          <w:sz w:val="48"/>
          <w:szCs w:val="48"/>
        </w:rPr>
      </w:pPr>
    </w:p>
    <w:p w14:paraId="62FDCB4B">
      <w:pPr>
        <w:jc w:val="center"/>
        <w:rPr>
          <w:rFonts w:hint="eastAsia" w:ascii="宋体" w:hAnsi="宋体"/>
          <w:b/>
          <w:sz w:val="44"/>
          <w:szCs w:val="44"/>
        </w:rPr>
      </w:pPr>
    </w:p>
    <w:p w14:paraId="3D6CD616">
      <w:pPr>
        <w:rPr>
          <w:rFonts w:hint="eastAsia" w:ascii="宋体" w:hAnsi="宋体"/>
          <w:b/>
          <w:sz w:val="44"/>
          <w:szCs w:val="44"/>
        </w:rPr>
      </w:pPr>
    </w:p>
    <w:p w14:paraId="135DDBAB">
      <w:pPr>
        <w:rPr>
          <w:rFonts w:hint="eastAsia" w:ascii="宋体" w:hAnsi="宋体"/>
          <w:b/>
          <w:sz w:val="44"/>
          <w:szCs w:val="44"/>
        </w:rPr>
      </w:pPr>
    </w:p>
    <w:p w14:paraId="12C0E226">
      <w:pPr>
        <w:jc w:val="center"/>
        <w:rPr>
          <w:rFonts w:hint="eastAsia" w:ascii="宋体" w:hAnsi="宋体"/>
          <w:b/>
          <w:bCs/>
          <w:sz w:val="40"/>
          <w:szCs w:val="40"/>
        </w:rPr>
      </w:pPr>
      <w:r>
        <w:rPr>
          <w:rFonts w:hint="eastAsia" w:ascii="宋体" w:hAnsi="宋体"/>
          <w:b/>
          <w:bCs/>
          <w:sz w:val="40"/>
          <w:szCs w:val="40"/>
        </w:rPr>
        <w:t xml:space="preserve">   采 购 人（盖章）：</w:t>
      </w:r>
      <w:r>
        <w:rPr>
          <w:rFonts w:ascii="宋体" w:hAnsi="宋体"/>
          <w:b/>
          <w:bCs/>
          <w:sz w:val="40"/>
          <w:szCs w:val="40"/>
        </w:rPr>
        <w:t>新疆国际医疗中心（新疆国际医院）</w:t>
      </w:r>
    </w:p>
    <w:p w14:paraId="0CB09A09">
      <w:pPr>
        <w:jc w:val="center"/>
        <w:rPr>
          <w:rFonts w:hint="eastAsia" w:ascii="宋体" w:hAnsi="宋体"/>
          <w:b/>
          <w:bCs/>
          <w:sz w:val="40"/>
          <w:szCs w:val="40"/>
        </w:rPr>
      </w:pPr>
    </w:p>
    <w:p w14:paraId="6E11F0A8">
      <w:pPr>
        <w:jc w:val="center"/>
        <w:rPr>
          <w:rFonts w:hint="eastAsia" w:ascii="宋体" w:hAnsi="宋体"/>
          <w:b/>
          <w:bCs/>
          <w:sz w:val="40"/>
          <w:szCs w:val="40"/>
        </w:rPr>
      </w:pPr>
    </w:p>
    <w:p w14:paraId="414A4F5F">
      <w:pPr>
        <w:jc w:val="center"/>
        <w:rPr>
          <w:rFonts w:hint="eastAsia" w:ascii="宋体" w:hAnsi="宋体"/>
          <w:b/>
          <w:bCs/>
          <w:sz w:val="40"/>
          <w:szCs w:val="40"/>
        </w:rPr>
      </w:pPr>
    </w:p>
    <w:p w14:paraId="5AD3D08B">
      <w:pPr>
        <w:jc w:val="center"/>
        <w:rPr>
          <w:rFonts w:hint="eastAsia" w:ascii="宋体" w:hAnsi="宋体"/>
          <w:b/>
          <w:bCs/>
          <w:sz w:val="40"/>
          <w:szCs w:val="40"/>
        </w:rPr>
      </w:pPr>
      <w:r>
        <w:rPr>
          <w:rFonts w:hint="eastAsia" w:ascii="宋体" w:hAnsi="宋体"/>
          <w:b/>
          <w:bCs/>
          <w:sz w:val="40"/>
          <w:szCs w:val="40"/>
        </w:rPr>
        <w:t>采购代理机构（盖章）：中信国际招标有限公司</w:t>
      </w:r>
    </w:p>
    <w:p w14:paraId="0AF446F5">
      <w:pPr>
        <w:jc w:val="center"/>
        <w:rPr>
          <w:rFonts w:hint="eastAsia" w:ascii="宋体" w:hAnsi="宋体"/>
          <w:b/>
          <w:bCs/>
          <w:sz w:val="40"/>
          <w:szCs w:val="40"/>
        </w:rPr>
      </w:pPr>
    </w:p>
    <w:p w14:paraId="5852CC0A">
      <w:pPr>
        <w:jc w:val="center"/>
        <w:rPr>
          <w:rFonts w:hint="eastAsia" w:ascii="宋体" w:hAnsi="宋体"/>
          <w:b/>
          <w:bCs/>
          <w:sz w:val="40"/>
          <w:szCs w:val="40"/>
        </w:rPr>
      </w:pPr>
    </w:p>
    <w:p w14:paraId="7B6A8DD2">
      <w:pPr>
        <w:jc w:val="center"/>
        <w:rPr>
          <w:rFonts w:hint="eastAsia" w:ascii="宋体" w:hAnsi="宋体"/>
          <w:sz w:val="22"/>
          <w:szCs w:val="21"/>
        </w:rPr>
      </w:pPr>
      <w:r>
        <w:rPr>
          <w:rFonts w:ascii="宋体" w:hAnsi="宋体"/>
          <w:b/>
          <w:bCs/>
          <w:sz w:val="40"/>
          <w:szCs w:val="40"/>
        </w:rPr>
        <w:t>二〇</w:t>
      </w:r>
      <w:r>
        <w:rPr>
          <w:rFonts w:hint="eastAsia" w:ascii="宋体" w:hAnsi="宋体"/>
          <w:b/>
          <w:bCs/>
          <w:sz w:val="40"/>
          <w:szCs w:val="40"/>
        </w:rPr>
        <w:t>二六</w:t>
      </w:r>
      <w:r>
        <w:rPr>
          <w:rFonts w:ascii="宋体" w:hAnsi="宋体"/>
          <w:b/>
          <w:bCs/>
          <w:sz w:val="40"/>
          <w:szCs w:val="40"/>
        </w:rPr>
        <w:t>年</w:t>
      </w:r>
      <w:r>
        <w:rPr>
          <w:rFonts w:hint="eastAsia" w:ascii="宋体" w:hAnsi="宋体"/>
          <w:b/>
          <w:bCs/>
          <w:sz w:val="40"/>
          <w:szCs w:val="40"/>
        </w:rPr>
        <w:t>五</w:t>
      </w:r>
      <w:r>
        <w:rPr>
          <w:rFonts w:ascii="宋体" w:hAnsi="宋体"/>
          <w:b/>
          <w:bCs/>
          <w:sz w:val="40"/>
          <w:szCs w:val="40"/>
        </w:rPr>
        <w:t>月</w:t>
      </w:r>
    </w:p>
    <w:p w14:paraId="41CFAA99">
      <w:pPr>
        <w:snapToGrid w:val="0"/>
        <w:spacing w:line="312" w:lineRule="auto"/>
        <w:jc w:val="center"/>
        <w:rPr>
          <w:rFonts w:hint="eastAsia" w:ascii="宋体" w:hAnsi="宋体"/>
          <w:b/>
          <w:sz w:val="40"/>
          <w:szCs w:val="40"/>
        </w:rPr>
        <w:sectPr>
          <w:headerReference r:id="rId5" w:type="first"/>
          <w:footerReference r:id="rId8" w:type="first"/>
          <w:headerReference r:id="rId3" w:type="default"/>
          <w:footerReference r:id="rId6" w:type="default"/>
          <w:headerReference r:id="rId4" w:type="even"/>
          <w:footerReference r:id="rId7" w:type="even"/>
          <w:pgSz w:w="12240" w:h="15840"/>
          <w:pgMar w:top="1797" w:right="1276" w:bottom="1797" w:left="1276" w:header="964" w:footer="680" w:gutter="0"/>
          <w:pgNumType w:start="1"/>
          <w:cols w:space="720" w:num="1"/>
          <w:titlePg/>
          <w:docGrid w:linePitch="285" w:charSpace="0"/>
        </w:sectPr>
      </w:pPr>
    </w:p>
    <w:p w14:paraId="56D08C6B">
      <w:pPr>
        <w:snapToGrid w:val="0"/>
        <w:spacing w:line="312" w:lineRule="auto"/>
        <w:jc w:val="center"/>
        <w:rPr>
          <w:rFonts w:hint="eastAsia" w:ascii="宋体" w:hAnsi="宋体"/>
          <w:b/>
          <w:sz w:val="36"/>
          <w:szCs w:val="16"/>
        </w:rPr>
      </w:pPr>
      <w:r>
        <w:rPr>
          <w:rFonts w:ascii="宋体" w:hAnsi="宋体"/>
          <w:b/>
          <w:sz w:val="40"/>
          <w:szCs w:val="40"/>
        </w:rPr>
        <w:t>目录</w:t>
      </w:r>
    </w:p>
    <w:p w14:paraId="19A7C0BC">
      <w:pPr>
        <w:pStyle w:val="26"/>
        <w:spacing w:line="360" w:lineRule="auto"/>
        <w:jc w:val="left"/>
        <w:rPr>
          <w:rStyle w:val="42"/>
          <w:rFonts w:hint="eastAsia" w:ascii="宋体" w:hAnsi="宋体"/>
          <w:bCs/>
          <w:color w:val="auto"/>
          <w:sz w:val="24"/>
          <w:szCs w:val="24"/>
        </w:rPr>
      </w:pPr>
      <w:r>
        <w:rPr>
          <w:rStyle w:val="42"/>
          <w:rFonts w:ascii="宋体" w:hAnsi="宋体"/>
          <w:bCs/>
          <w:color w:val="auto"/>
          <w:sz w:val="24"/>
          <w:szCs w:val="24"/>
        </w:rPr>
        <w:fldChar w:fldCharType="begin"/>
      </w:r>
      <w:r>
        <w:rPr>
          <w:rStyle w:val="42"/>
          <w:rFonts w:ascii="宋体" w:hAnsi="宋体"/>
          <w:bCs/>
          <w:color w:val="auto"/>
          <w:sz w:val="24"/>
          <w:szCs w:val="24"/>
        </w:rPr>
        <w:instrText xml:space="preserve"> TOC \o "1-3" \h \z \u </w:instrText>
      </w:r>
      <w:r>
        <w:rPr>
          <w:rStyle w:val="42"/>
          <w:rFonts w:ascii="宋体" w:hAnsi="宋体"/>
          <w:bCs/>
          <w:color w:val="auto"/>
          <w:sz w:val="24"/>
          <w:szCs w:val="24"/>
        </w:rPr>
        <w:fldChar w:fldCharType="separate"/>
      </w:r>
      <w:r>
        <w:fldChar w:fldCharType="begin"/>
      </w:r>
      <w:r>
        <w:instrText xml:space="preserve"> HYPERLINK \l "_Toc176023811" </w:instrText>
      </w:r>
      <w:r>
        <w:fldChar w:fldCharType="separate"/>
      </w:r>
      <w:r>
        <w:rPr>
          <w:rStyle w:val="42"/>
          <w:rFonts w:hint="eastAsia" w:ascii="宋体" w:hAnsi="宋体"/>
          <w:bCs/>
          <w:color w:val="auto"/>
          <w:sz w:val="24"/>
          <w:szCs w:val="24"/>
        </w:rPr>
        <w:t>投标邀请</w:t>
      </w:r>
      <w:r>
        <w:rPr>
          <w:rStyle w:val="42"/>
          <w:rFonts w:hint="eastAsia" w:ascii="宋体" w:hAnsi="宋体"/>
          <w:bCs/>
          <w:color w:val="auto"/>
          <w:sz w:val="24"/>
          <w:szCs w:val="24"/>
        </w:rPr>
        <w:tab/>
      </w:r>
      <w:r>
        <w:rPr>
          <w:rStyle w:val="42"/>
          <w:rFonts w:hint="eastAsia" w:ascii="宋体" w:hAnsi="宋体"/>
          <w:bCs/>
          <w:color w:val="auto"/>
          <w:sz w:val="24"/>
          <w:szCs w:val="24"/>
        </w:rPr>
        <w:fldChar w:fldCharType="begin"/>
      </w:r>
      <w:r>
        <w:rPr>
          <w:rStyle w:val="42"/>
          <w:rFonts w:hint="eastAsia" w:ascii="宋体" w:hAnsi="宋体"/>
          <w:bCs/>
          <w:color w:val="auto"/>
          <w:sz w:val="24"/>
          <w:szCs w:val="24"/>
        </w:rPr>
        <w:instrText xml:space="preserve"> </w:instrText>
      </w:r>
      <w:r>
        <w:rPr>
          <w:rStyle w:val="42"/>
          <w:rFonts w:ascii="宋体" w:hAnsi="宋体"/>
          <w:bCs/>
          <w:color w:val="auto"/>
          <w:sz w:val="24"/>
          <w:szCs w:val="24"/>
        </w:rPr>
        <w:instrText xml:space="preserve">PAGEREF _Toc176023811 \h</w:instrText>
      </w:r>
      <w:r>
        <w:rPr>
          <w:rStyle w:val="42"/>
          <w:rFonts w:hint="eastAsia" w:ascii="宋体" w:hAnsi="宋体"/>
          <w:bCs/>
          <w:color w:val="auto"/>
          <w:sz w:val="24"/>
          <w:szCs w:val="24"/>
        </w:rPr>
        <w:instrText xml:space="preserve"> </w:instrText>
      </w:r>
      <w:r>
        <w:rPr>
          <w:rStyle w:val="42"/>
          <w:rFonts w:hint="eastAsia" w:ascii="宋体" w:hAnsi="宋体"/>
          <w:bCs/>
          <w:color w:val="auto"/>
          <w:sz w:val="24"/>
          <w:szCs w:val="24"/>
        </w:rPr>
        <w:fldChar w:fldCharType="separate"/>
      </w:r>
      <w:r>
        <w:rPr>
          <w:rStyle w:val="42"/>
          <w:rFonts w:ascii="宋体" w:hAnsi="宋体"/>
          <w:bCs/>
          <w:color w:val="auto"/>
          <w:sz w:val="24"/>
          <w:szCs w:val="24"/>
        </w:rPr>
        <w:t>1</w:t>
      </w:r>
      <w:r>
        <w:rPr>
          <w:rStyle w:val="42"/>
          <w:rFonts w:hint="eastAsia" w:ascii="宋体" w:hAnsi="宋体"/>
          <w:bCs/>
          <w:color w:val="auto"/>
          <w:sz w:val="24"/>
          <w:szCs w:val="24"/>
        </w:rPr>
        <w:fldChar w:fldCharType="end"/>
      </w:r>
      <w:r>
        <w:rPr>
          <w:rStyle w:val="42"/>
          <w:rFonts w:hint="eastAsia" w:ascii="宋体" w:hAnsi="宋体"/>
          <w:bCs/>
          <w:color w:val="auto"/>
          <w:sz w:val="24"/>
          <w:szCs w:val="24"/>
        </w:rPr>
        <w:fldChar w:fldCharType="end"/>
      </w:r>
    </w:p>
    <w:p w14:paraId="5399BA4C">
      <w:pPr>
        <w:pStyle w:val="26"/>
        <w:spacing w:line="360" w:lineRule="auto"/>
        <w:jc w:val="left"/>
        <w:rPr>
          <w:rStyle w:val="42"/>
          <w:rFonts w:hint="eastAsia" w:ascii="宋体" w:hAnsi="宋体"/>
          <w:bCs/>
          <w:color w:val="auto"/>
          <w:sz w:val="24"/>
          <w:szCs w:val="24"/>
        </w:rPr>
      </w:pPr>
      <w:r>
        <w:fldChar w:fldCharType="begin"/>
      </w:r>
      <w:r>
        <w:instrText xml:space="preserve"> HYPERLINK \l "_Toc176023812" </w:instrText>
      </w:r>
      <w:r>
        <w:fldChar w:fldCharType="separate"/>
      </w:r>
      <w:r>
        <w:rPr>
          <w:rStyle w:val="42"/>
          <w:rFonts w:hint="eastAsia" w:ascii="宋体" w:hAnsi="宋体"/>
          <w:bCs/>
          <w:color w:val="auto"/>
          <w:sz w:val="24"/>
          <w:szCs w:val="24"/>
        </w:rPr>
        <w:t>第一章投标人须知前附表和投标人须知</w:t>
      </w:r>
      <w:r>
        <w:rPr>
          <w:rStyle w:val="42"/>
          <w:rFonts w:hint="eastAsia" w:ascii="宋体" w:hAnsi="宋体"/>
          <w:bCs/>
          <w:color w:val="auto"/>
          <w:sz w:val="24"/>
          <w:szCs w:val="24"/>
        </w:rPr>
        <w:tab/>
      </w:r>
      <w:r>
        <w:rPr>
          <w:rStyle w:val="42"/>
          <w:rFonts w:hint="eastAsia" w:ascii="宋体" w:hAnsi="宋体"/>
          <w:bCs/>
          <w:color w:val="auto"/>
          <w:sz w:val="24"/>
          <w:szCs w:val="24"/>
        </w:rPr>
        <w:fldChar w:fldCharType="begin"/>
      </w:r>
      <w:r>
        <w:rPr>
          <w:rStyle w:val="42"/>
          <w:rFonts w:hint="eastAsia" w:ascii="宋体" w:hAnsi="宋体"/>
          <w:bCs/>
          <w:color w:val="auto"/>
          <w:sz w:val="24"/>
          <w:szCs w:val="24"/>
        </w:rPr>
        <w:instrText xml:space="preserve"> </w:instrText>
      </w:r>
      <w:r>
        <w:rPr>
          <w:rStyle w:val="42"/>
          <w:rFonts w:ascii="宋体" w:hAnsi="宋体"/>
          <w:bCs/>
          <w:color w:val="auto"/>
          <w:sz w:val="24"/>
          <w:szCs w:val="24"/>
        </w:rPr>
        <w:instrText xml:space="preserve">PAGEREF _Toc176023812 \h</w:instrText>
      </w:r>
      <w:r>
        <w:rPr>
          <w:rStyle w:val="42"/>
          <w:rFonts w:hint="eastAsia" w:ascii="宋体" w:hAnsi="宋体"/>
          <w:bCs/>
          <w:color w:val="auto"/>
          <w:sz w:val="24"/>
          <w:szCs w:val="24"/>
        </w:rPr>
        <w:instrText xml:space="preserve"> </w:instrText>
      </w:r>
      <w:r>
        <w:rPr>
          <w:rStyle w:val="42"/>
          <w:rFonts w:hint="eastAsia" w:ascii="宋体" w:hAnsi="宋体"/>
          <w:bCs/>
          <w:color w:val="auto"/>
          <w:sz w:val="24"/>
          <w:szCs w:val="24"/>
        </w:rPr>
        <w:fldChar w:fldCharType="separate"/>
      </w:r>
      <w:r>
        <w:rPr>
          <w:rStyle w:val="42"/>
          <w:rFonts w:ascii="宋体" w:hAnsi="宋体"/>
          <w:bCs/>
          <w:color w:val="auto"/>
          <w:sz w:val="24"/>
          <w:szCs w:val="24"/>
        </w:rPr>
        <w:t>5</w:t>
      </w:r>
      <w:r>
        <w:rPr>
          <w:rStyle w:val="42"/>
          <w:rFonts w:hint="eastAsia" w:ascii="宋体" w:hAnsi="宋体"/>
          <w:bCs/>
          <w:color w:val="auto"/>
          <w:sz w:val="24"/>
          <w:szCs w:val="24"/>
        </w:rPr>
        <w:fldChar w:fldCharType="end"/>
      </w:r>
      <w:r>
        <w:rPr>
          <w:rStyle w:val="42"/>
          <w:rFonts w:hint="eastAsia" w:ascii="宋体" w:hAnsi="宋体"/>
          <w:bCs/>
          <w:color w:val="auto"/>
          <w:sz w:val="24"/>
          <w:szCs w:val="24"/>
        </w:rPr>
        <w:fldChar w:fldCharType="end"/>
      </w:r>
    </w:p>
    <w:p w14:paraId="4B8CD2D2">
      <w:pPr>
        <w:pStyle w:val="26"/>
        <w:spacing w:line="360" w:lineRule="auto"/>
        <w:jc w:val="left"/>
        <w:rPr>
          <w:rStyle w:val="42"/>
          <w:rFonts w:hint="eastAsia" w:ascii="宋体" w:hAnsi="宋体"/>
          <w:bCs/>
          <w:color w:val="auto"/>
          <w:sz w:val="24"/>
          <w:szCs w:val="24"/>
        </w:rPr>
      </w:pPr>
      <w:r>
        <w:fldChar w:fldCharType="begin"/>
      </w:r>
      <w:r>
        <w:instrText xml:space="preserve"> HYPERLINK \l "_Toc176023823" </w:instrText>
      </w:r>
      <w:r>
        <w:fldChar w:fldCharType="separate"/>
      </w:r>
      <w:r>
        <w:rPr>
          <w:rStyle w:val="42"/>
          <w:rFonts w:hint="eastAsia" w:ascii="宋体" w:hAnsi="宋体"/>
          <w:bCs/>
          <w:color w:val="auto"/>
          <w:sz w:val="24"/>
          <w:szCs w:val="24"/>
        </w:rPr>
        <w:t>第二章技术总体要求</w:t>
      </w:r>
      <w:r>
        <w:rPr>
          <w:rStyle w:val="42"/>
          <w:rFonts w:hint="eastAsia" w:ascii="宋体" w:hAnsi="宋体"/>
          <w:bCs/>
          <w:color w:val="auto"/>
          <w:sz w:val="24"/>
          <w:szCs w:val="24"/>
        </w:rPr>
        <w:tab/>
      </w:r>
      <w:r>
        <w:rPr>
          <w:rStyle w:val="42"/>
          <w:rFonts w:hint="eastAsia" w:ascii="宋体" w:hAnsi="宋体"/>
          <w:bCs/>
          <w:color w:val="auto"/>
          <w:sz w:val="24"/>
          <w:szCs w:val="24"/>
        </w:rPr>
        <w:fldChar w:fldCharType="begin"/>
      </w:r>
      <w:r>
        <w:rPr>
          <w:rStyle w:val="42"/>
          <w:rFonts w:hint="eastAsia" w:ascii="宋体" w:hAnsi="宋体"/>
          <w:bCs/>
          <w:color w:val="auto"/>
          <w:sz w:val="24"/>
          <w:szCs w:val="24"/>
        </w:rPr>
        <w:instrText xml:space="preserve"> </w:instrText>
      </w:r>
      <w:r>
        <w:rPr>
          <w:rStyle w:val="42"/>
          <w:rFonts w:ascii="宋体" w:hAnsi="宋体"/>
          <w:bCs/>
          <w:color w:val="auto"/>
          <w:sz w:val="24"/>
          <w:szCs w:val="24"/>
        </w:rPr>
        <w:instrText xml:space="preserve">PAGEREF _Toc176023823 \h</w:instrText>
      </w:r>
      <w:r>
        <w:rPr>
          <w:rStyle w:val="42"/>
          <w:rFonts w:hint="eastAsia" w:ascii="宋体" w:hAnsi="宋体"/>
          <w:bCs/>
          <w:color w:val="auto"/>
          <w:sz w:val="24"/>
          <w:szCs w:val="24"/>
        </w:rPr>
        <w:instrText xml:space="preserve"> </w:instrText>
      </w:r>
      <w:r>
        <w:rPr>
          <w:rStyle w:val="42"/>
          <w:rFonts w:hint="eastAsia" w:ascii="宋体" w:hAnsi="宋体"/>
          <w:bCs/>
          <w:color w:val="auto"/>
          <w:sz w:val="24"/>
          <w:szCs w:val="24"/>
        </w:rPr>
        <w:fldChar w:fldCharType="separate"/>
      </w:r>
      <w:r>
        <w:rPr>
          <w:rStyle w:val="42"/>
          <w:rFonts w:ascii="宋体" w:hAnsi="宋体"/>
          <w:bCs/>
          <w:color w:val="auto"/>
          <w:sz w:val="24"/>
          <w:szCs w:val="24"/>
        </w:rPr>
        <w:t>29</w:t>
      </w:r>
      <w:r>
        <w:rPr>
          <w:rStyle w:val="42"/>
          <w:rFonts w:hint="eastAsia" w:ascii="宋体" w:hAnsi="宋体"/>
          <w:bCs/>
          <w:color w:val="auto"/>
          <w:sz w:val="24"/>
          <w:szCs w:val="24"/>
        </w:rPr>
        <w:fldChar w:fldCharType="end"/>
      </w:r>
      <w:r>
        <w:rPr>
          <w:rStyle w:val="42"/>
          <w:rFonts w:hint="eastAsia" w:ascii="宋体" w:hAnsi="宋体"/>
          <w:bCs/>
          <w:color w:val="auto"/>
          <w:sz w:val="24"/>
          <w:szCs w:val="24"/>
        </w:rPr>
        <w:fldChar w:fldCharType="end"/>
      </w:r>
    </w:p>
    <w:p w14:paraId="74809AA0">
      <w:pPr>
        <w:pStyle w:val="26"/>
        <w:spacing w:line="360" w:lineRule="auto"/>
        <w:jc w:val="left"/>
        <w:rPr>
          <w:rStyle w:val="42"/>
          <w:rFonts w:hint="eastAsia" w:ascii="宋体" w:hAnsi="宋体"/>
          <w:bCs/>
          <w:color w:val="auto"/>
          <w:sz w:val="24"/>
          <w:szCs w:val="24"/>
        </w:rPr>
      </w:pPr>
      <w:r>
        <w:fldChar w:fldCharType="begin"/>
      </w:r>
      <w:r>
        <w:instrText xml:space="preserve"> HYPERLINK \l "_Toc176023824" </w:instrText>
      </w:r>
      <w:r>
        <w:fldChar w:fldCharType="separate"/>
      </w:r>
      <w:r>
        <w:rPr>
          <w:rStyle w:val="42"/>
          <w:rFonts w:hint="eastAsia" w:ascii="宋体" w:hAnsi="宋体"/>
          <w:bCs/>
          <w:color w:val="auto"/>
          <w:sz w:val="24"/>
          <w:szCs w:val="24"/>
        </w:rPr>
        <w:t>第三章合同格式</w:t>
      </w:r>
      <w:r>
        <w:rPr>
          <w:rStyle w:val="42"/>
          <w:rFonts w:hint="eastAsia" w:ascii="宋体" w:hAnsi="宋体"/>
          <w:bCs/>
          <w:color w:val="auto"/>
          <w:sz w:val="24"/>
          <w:szCs w:val="24"/>
        </w:rPr>
        <w:tab/>
      </w:r>
      <w:r>
        <w:rPr>
          <w:rStyle w:val="42"/>
          <w:rFonts w:hint="eastAsia" w:ascii="宋体" w:hAnsi="宋体"/>
          <w:bCs/>
          <w:color w:val="auto"/>
          <w:sz w:val="24"/>
          <w:szCs w:val="24"/>
        </w:rPr>
        <w:fldChar w:fldCharType="begin"/>
      </w:r>
      <w:r>
        <w:rPr>
          <w:rStyle w:val="42"/>
          <w:rFonts w:hint="eastAsia" w:ascii="宋体" w:hAnsi="宋体"/>
          <w:bCs/>
          <w:color w:val="auto"/>
          <w:sz w:val="24"/>
          <w:szCs w:val="24"/>
        </w:rPr>
        <w:instrText xml:space="preserve"> </w:instrText>
      </w:r>
      <w:r>
        <w:rPr>
          <w:rStyle w:val="42"/>
          <w:rFonts w:ascii="宋体" w:hAnsi="宋体"/>
          <w:bCs/>
          <w:color w:val="auto"/>
          <w:sz w:val="24"/>
          <w:szCs w:val="24"/>
        </w:rPr>
        <w:instrText xml:space="preserve">PAGEREF _Toc176023824 \h</w:instrText>
      </w:r>
      <w:r>
        <w:rPr>
          <w:rStyle w:val="42"/>
          <w:rFonts w:hint="eastAsia" w:ascii="宋体" w:hAnsi="宋体"/>
          <w:bCs/>
          <w:color w:val="auto"/>
          <w:sz w:val="24"/>
          <w:szCs w:val="24"/>
        </w:rPr>
        <w:instrText xml:space="preserve"> </w:instrText>
      </w:r>
      <w:r>
        <w:rPr>
          <w:rStyle w:val="42"/>
          <w:rFonts w:hint="eastAsia" w:ascii="宋体" w:hAnsi="宋体"/>
          <w:bCs/>
          <w:color w:val="auto"/>
          <w:sz w:val="24"/>
          <w:szCs w:val="24"/>
        </w:rPr>
        <w:fldChar w:fldCharType="separate"/>
      </w:r>
      <w:r>
        <w:rPr>
          <w:rStyle w:val="42"/>
          <w:rFonts w:ascii="宋体" w:hAnsi="宋体"/>
          <w:bCs/>
          <w:color w:val="auto"/>
          <w:sz w:val="24"/>
          <w:szCs w:val="24"/>
        </w:rPr>
        <w:t>46</w:t>
      </w:r>
      <w:r>
        <w:rPr>
          <w:rStyle w:val="42"/>
          <w:rFonts w:hint="eastAsia" w:ascii="宋体" w:hAnsi="宋体"/>
          <w:bCs/>
          <w:color w:val="auto"/>
          <w:sz w:val="24"/>
          <w:szCs w:val="24"/>
        </w:rPr>
        <w:fldChar w:fldCharType="end"/>
      </w:r>
      <w:r>
        <w:rPr>
          <w:rStyle w:val="42"/>
          <w:rFonts w:hint="eastAsia" w:ascii="宋体" w:hAnsi="宋体"/>
          <w:bCs/>
          <w:color w:val="auto"/>
          <w:sz w:val="24"/>
          <w:szCs w:val="24"/>
        </w:rPr>
        <w:fldChar w:fldCharType="end"/>
      </w:r>
    </w:p>
    <w:p w14:paraId="04B8F240">
      <w:pPr>
        <w:pStyle w:val="26"/>
        <w:spacing w:line="360" w:lineRule="auto"/>
        <w:jc w:val="left"/>
        <w:rPr>
          <w:rStyle w:val="42"/>
          <w:rFonts w:hint="eastAsia" w:ascii="宋体" w:hAnsi="宋体"/>
          <w:bCs/>
          <w:color w:val="auto"/>
          <w:sz w:val="24"/>
          <w:szCs w:val="24"/>
        </w:rPr>
      </w:pPr>
      <w:r>
        <w:fldChar w:fldCharType="begin"/>
      </w:r>
      <w:r>
        <w:instrText xml:space="preserve"> HYPERLINK \l "_Toc176023825" </w:instrText>
      </w:r>
      <w:r>
        <w:fldChar w:fldCharType="separate"/>
      </w:r>
      <w:r>
        <w:rPr>
          <w:rStyle w:val="42"/>
          <w:rFonts w:hint="eastAsia" w:ascii="宋体" w:hAnsi="宋体"/>
          <w:bCs/>
          <w:color w:val="auto"/>
          <w:sz w:val="24"/>
          <w:szCs w:val="24"/>
        </w:rPr>
        <w:t>第四章附件</w:t>
      </w:r>
      <w:r>
        <w:rPr>
          <w:rStyle w:val="42"/>
          <w:rFonts w:hint="eastAsia" w:ascii="宋体" w:hAnsi="宋体"/>
          <w:bCs/>
          <w:color w:val="auto"/>
          <w:sz w:val="24"/>
          <w:szCs w:val="24"/>
        </w:rPr>
        <w:tab/>
      </w:r>
      <w:r>
        <w:rPr>
          <w:rStyle w:val="42"/>
          <w:rFonts w:hint="eastAsia" w:ascii="宋体" w:hAnsi="宋体"/>
          <w:bCs/>
          <w:color w:val="auto"/>
          <w:sz w:val="24"/>
          <w:szCs w:val="24"/>
        </w:rPr>
        <w:fldChar w:fldCharType="begin"/>
      </w:r>
      <w:r>
        <w:rPr>
          <w:rStyle w:val="42"/>
          <w:rFonts w:hint="eastAsia" w:ascii="宋体" w:hAnsi="宋体"/>
          <w:bCs/>
          <w:color w:val="auto"/>
          <w:sz w:val="24"/>
          <w:szCs w:val="24"/>
        </w:rPr>
        <w:instrText xml:space="preserve"> </w:instrText>
      </w:r>
      <w:r>
        <w:rPr>
          <w:rStyle w:val="42"/>
          <w:rFonts w:ascii="宋体" w:hAnsi="宋体"/>
          <w:bCs/>
          <w:color w:val="auto"/>
          <w:sz w:val="24"/>
          <w:szCs w:val="24"/>
        </w:rPr>
        <w:instrText xml:space="preserve">PAGEREF _Toc176023825 \h</w:instrText>
      </w:r>
      <w:r>
        <w:rPr>
          <w:rStyle w:val="42"/>
          <w:rFonts w:hint="eastAsia" w:ascii="宋体" w:hAnsi="宋体"/>
          <w:bCs/>
          <w:color w:val="auto"/>
          <w:sz w:val="24"/>
          <w:szCs w:val="24"/>
        </w:rPr>
        <w:instrText xml:space="preserve"> </w:instrText>
      </w:r>
      <w:r>
        <w:rPr>
          <w:rStyle w:val="42"/>
          <w:rFonts w:hint="eastAsia" w:ascii="宋体" w:hAnsi="宋体"/>
          <w:bCs/>
          <w:color w:val="auto"/>
          <w:sz w:val="24"/>
          <w:szCs w:val="24"/>
        </w:rPr>
        <w:fldChar w:fldCharType="separate"/>
      </w:r>
      <w:r>
        <w:rPr>
          <w:rStyle w:val="42"/>
          <w:rFonts w:ascii="宋体" w:hAnsi="宋体"/>
          <w:bCs/>
          <w:color w:val="auto"/>
          <w:sz w:val="24"/>
          <w:szCs w:val="24"/>
        </w:rPr>
        <w:t>64</w:t>
      </w:r>
      <w:r>
        <w:rPr>
          <w:rStyle w:val="42"/>
          <w:rFonts w:hint="eastAsia" w:ascii="宋体" w:hAnsi="宋体"/>
          <w:bCs/>
          <w:color w:val="auto"/>
          <w:sz w:val="24"/>
          <w:szCs w:val="24"/>
        </w:rPr>
        <w:fldChar w:fldCharType="end"/>
      </w:r>
      <w:r>
        <w:rPr>
          <w:rStyle w:val="42"/>
          <w:rFonts w:hint="eastAsia" w:ascii="宋体" w:hAnsi="宋体"/>
          <w:bCs/>
          <w:color w:val="auto"/>
          <w:sz w:val="24"/>
          <w:szCs w:val="24"/>
        </w:rPr>
        <w:fldChar w:fldCharType="end"/>
      </w:r>
    </w:p>
    <w:p w14:paraId="46323A1F">
      <w:pPr>
        <w:pStyle w:val="26"/>
        <w:spacing w:line="360" w:lineRule="auto"/>
        <w:jc w:val="left"/>
        <w:rPr>
          <w:rStyle w:val="42"/>
          <w:rFonts w:hint="eastAsia" w:ascii="宋体" w:hAnsi="宋体"/>
          <w:bCs/>
          <w:color w:val="auto"/>
          <w:sz w:val="24"/>
          <w:szCs w:val="24"/>
        </w:rPr>
      </w:pPr>
      <w:r>
        <w:fldChar w:fldCharType="begin"/>
      </w:r>
      <w:r>
        <w:instrText xml:space="preserve"> HYPERLINK \l "_Toc176023849" </w:instrText>
      </w:r>
      <w:r>
        <w:fldChar w:fldCharType="separate"/>
      </w:r>
      <w:r>
        <w:rPr>
          <w:rStyle w:val="42"/>
          <w:rFonts w:hint="eastAsia" w:ascii="宋体" w:hAnsi="宋体"/>
          <w:bCs/>
          <w:color w:val="auto"/>
          <w:sz w:val="24"/>
          <w:szCs w:val="24"/>
        </w:rPr>
        <w:t>第五章评标方法及评分标准</w:t>
      </w:r>
      <w:r>
        <w:rPr>
          <w:rStyle w:val="42"/>
          <w:rFonts w:hint="eastAsia" w:ascii="宋体" w:hAnsi="宋体"/>
          <w:bCs/>
          <w:color w:val="auto"/>
          <w:sz w:val="24"/>
          <w:szCs w:val="24"/>
        </w:rPr>
        <w:tab/>
      </w:r>
      <w:r>
        <w:rPr>
          <w:rStyle w:val="42"/>
          <w:rFonts w:hint="eastAsia" w:ascii="宋体" w:hAnsi="宋体"/>
          <w:bCs/>
          <w:color w:val="auto"/>
          <w:sz w:val="24"/>
          <w:szCs w:val="24"/>
        </w:rPr>
        <w:fldChar w:fldCharType="begin"/>
      </w:r>
      <w:r>
        <w:rPr>
          <w:rStyle w:val="42"/>
          <w:rFonts w:hint="eastAsia" w:ascii="宋体" w:hAnsi="宋体"/>
          <w:bCs/>
          <w:color w:val="auto"/>
          <w:sz w:val="24"/>
          <w:szCs w:val="24"/>
        </w:rPr>
        <w:instrText xml:space="preserve"> </w:instrText>
      </w:r>
      <w:r>
        <w:rPr>
          <w:rStyle w:val="42"/>
          <w:rFonts w:ascii="宋体" w:hAnsi="宋体"/>
          <w:bCs/>
          <w:color w:val="auto"/>
          <w:sz w:val="24"/>
          <w:szCs w:val="24"/>
        </w:rPr>
        <w:instrText xml:space="preserve">PAGEREF _Toc176023849 \h</w:instrText>
      </w:r>
      <w:r>
        <w:rPr>
          <w:rStyle w:val="42"/>
          <w:rFonts w:hint="eastAsia" w:ascii="宋体" w:hAnsi="宋体"/>
          <w:bCs/>
          <w:color w:val="auto"/>
          <w:sz w:val="24"/>
          <w:szCs w:val="24"/>
        </w:rPr>
        <w:instrText xml:space="preserve"> </w:instrText>
      </w:r>
      <w:r>
        <w:rPr>
          <w:rStyle w:val="42"/>
          <w:rFonts w:hint="eastAsia" w:ascii="宋体" w:hAnsi="宋体"/>
          <w:bCs/>
          <w:color w:val="auto"/>
          <w:sz w:val="24"/>
          <w:szCs w:val="24"/>
        </w:rPr>
        <w:fldChar w:fldCharType="separate"/>
      </w:r>
      <w:r>
        <w:rPr>
          <w:rStyle w:val="42"/>
          <w:rFonts w:ascii="宋体" w:hAnsi="宋体"/>
          <w:bCs/>
          <w:color w:val="auto"/>
          <w:sz w:val="24"/>
          <w:szCs w:val="24"/>
        </w:rPr>
        <w:t>93</w:t>
      </w:r>
      <w:r>
        <w:rPr>
          <w:rStyle w:val="42"/>
          <w:rFonts w:hint="eastAsia" w:ascii="宋体" w:hAnsi="宋体"/>
          <w:bCs/>
          <w:color w:val="auto"/>
          <w:sz w:val="24"/>
          <w:szCs w:val="24"/>
        </w:rPr>
        <w:fldChar w:fldCharType="end"/>
      </w:r>
      <w:r>
        <w:rPr>
          <w:rStyle w:val="42"/>
          <w:rFonts w:hint="eastAsia" w:ascii="宋体" w:hAnsi="宋体"/>
          <w:bCs/>
          <w:color w:val="auto"/>
          <w:sz w:val="24"/>
          <w:szCs w:val="24"/>
        </w:rPr>
        <w:fldChar w:fldCharType="end"/>
      </w:r>
    </w:p>
    <w:p w14:paraId="0FEC8BEF">
      <w:pPr>
        <w:spacing w:line="360" w:lineRule="auto"/>
        <w:contextualSpacing/>
        <w:jc w:val="left"/>
        <w:rPr>
          <w:rStyle w:val="42"/>
          <w:rFonts w:hint="eastAsia" w:ascii="宋体" w:hAnsi="宋体"/>
          <w:bCs/>
          <w:color w:val="auto"/>
          <w:sz w:val="24"/>
          <w:szCs w:val="24"/>
        </w:rPr>
      </w:pPr>
      <w:r>
        <w:rPr>
          <w:rStyle w:val="42"/>
          <w:rFonts w:ascii="宋体" w:hAnsi="宋体"/>
          <w:bCs/>
          <w:color w:val="auto"/>
          <w:sz w:val="24"/>
          <w:szCs w:val="24"/>
        </w:rPr>
        <w:fldChar w:fldCharType="end"/>
      </w:r>
    </w:p>
    <w:p w14:paraId="00C10D0B">
      <w:pPr>
        <w:spacing w:line="360" w:lineRule="auto"/>
        <w:contextualSpacing/>
        <w:jc w:val="center"/>
        <w:outlineLvl w:val="0"/>
        <w:rPr>
          <w:rFonts w:hint="eastAsia" w:ascii="宋体" w:hAnsi="宋体"/>
          <w:b/>
          <w:spacing w:val="100"/>
          <w:sz w:val="40"/>
          <w:szCs w:val="40"/>
        </w:rPr>
        <w:sectPr>
          <w:headerReference r:id="rId10" w:type="first"/>
          <w:footerReference r:id="rId12" w:type="first"/>
          <w:headerReference r:id="rId9" w:type="default"/>
          <w:footerReference r:id="rId11" w:type="default"/>
          <w:pgSz w:w="12240" w:h="15840"/>
          <w:pgMar w:top="1797" w:right="1276" w:bottom="1797" w:left="1276" w:header="964" w:footer="680" w:gutter="0"/>
          <w:pgNumType w:start="1"/>
          <w:cols w:space="720" w:num="1"/>
          <w:titlePg/>
          <w:docGrid w:linePitch="285" w:charSpace="0"/>
        </w:sectPr>
      </w:pPr>
      <w:bookmarkStart w:id="188" w:name="_GoBack"/>
      <w:bookmarkEnd w:id="188"/>
    </w:p>
    <w:p w14:paraId="091E21D6">
      <w:pPr>
        <w:spacing w:line="360" w:lineRule="auto"/>
        <w:contextualSpacing/>
        <w:jc w:val="center"/>
        <w:outlineLvl w:val="0"/>
        <w:rPr>
          <w:rFonts w:hint="eastAsia" w:ascii="宋体" w:hAnsi="宋体"/>
          <w:sz w:val="28"/>
          <w:szCs w:val="28"/>
        </w:rPr>
      </w:pPr>
      <w:bookmarkStart w:id="0" w:name="_Toc176023811"/>
      <w:r>
        <w:rPr>
          <w:rFonts w:hint="eastAsia" w:ascii="宋体" w:hAnsi="宋体"/>
          <w:b/>
          <w:spacing w:val="100"/>
          <w:sz w:val="40"/>
          <w:szCs w:val="40"/>
        </w:rPr>
        <w:t xml:space="preserve">第一章 </w:t>
      </w:r>
      <w:r>
        <w:rPr>
          <w:rFonts w:ascii="宋体" w:hAnsi="宋体"/>
          <w:b/>
          <w:spacing w:val="100"/>
          <w:sz w:val="40"/>
          <w:szCs w:val="40"/>
        </w:rPr>
        <w:t>投标邀请</w:t>
      </w:r>
      <w:bookmarkEnd w:id="0"/>
    </w:p>
    <w:p w14:paraId="6404C31E">
      <w:pPr>
        <w:spacing w:line="360" w:lineRule="auto"/>
        <w:rPr>
          <w:rFonts w:hint="eastAsia" w:ascii="宋体" w:hAnsi="宋体"/>
          <w:b/>
          <w:bCs/>
          <w:sz w:val="24"/>
          <w:szCs w:val="24"/>
        </w:rPr>
      </w:pPr>
      <w:r>
        <w:rPr>
          <w:rFonts w:hint="eastAsia" w:ascii="宋体" w:hAnsi="宋体"/>
          <w:b/>
          <w:bCs/>
          <w:sz w:val="24"/>
          <w:szCs w:val="24"/>
        </w:rPr>
        <w:t>一、基本情况</w:t>
      </w:r>
    </w:p>
    <w:p w14:paraId="25BE39F8">
      <w:pPr>
        <w:spacing w:line="360" w:lineRule="auto"/>
        <w:rPr>
          <w:rFonts w:hint="eastAsia" w:ascii="宋体" w:hAnsi="宋体"/>
          <w:sz w:val="24"/>
          <w:szCs w:val="24"/>
        </w:rPr>
      </w:pPr>
      <w:r>
        <w:rPr>
          <w:rFonts w:ascii="宋体" w:hAnsi="宋体"/>
          <w:sz w:val="24"/>
          <w:szCs w:val="24"/>
        </w:rPr>
        <w:t>项目名称：新疆国际医疗中心（新疆国际医院）检验科部分设备采购安装调试项目1（四次招标）</w:t>
      </w:r>
    </w:p>
    <w:p w14:paraId="0DC295A5">
      <w:pPr>
        <w:spacing w:line="360" w:lineRule="auto"/>
        <w:rPr>
          <w:rFonts w:hint="eastAsia" w:ascii="宋体" w:hAnsi="宋体"/>
          <w:sz w:val="24"/>
          <w:szCs w:val="24"/>
        </w:rPr>
      </w:pPr>
      <w:r>
        <w:rPr>
          <w:rFonts w:ascii="宋体" w:hAnsi="宋体"/>
          <w:sz w:val="24"/>
          <w:szCs w:val="24"/>
        </w:rPr>
        <w:t>项目编号：0733-26142205</w:t>
      </w:r>
    </w:p>
    <w:p w14:paraId="7CF39768">
      <w:pPr>
        <w:tabs>
          <w:tab w:val="left" w:pos="945"/>
          <w:tab w:val="left" w:pos="2977"/>
        </w:tabs>
        <w:spacing w:line="360" w:lineRule="auto"/>
        <w:rPr>
          <w:rFonts w:hint="eastAsia" w:ascii="宋体" w:hAnsi="宋体"/>
          <w:sz w:val="24"/>
          <w:szCs w:val="24"/>
        </w:rPr>
      </w:pPr>
      <w:r>
        <w:rPr>
          <w:rFonts w:ascii="宋体" w:hAnsi="宋体"/>
          <w:sz w:val="24"/>
          <w:szCs w:val="24"/>
        </w:rPr>
        <w:t>招标产品的名称，数量、简要技术要求及相关内容</w:t>
      </w:r>
    </w:p>
    <w:tbl>
      <w:tblPr>
        <w:tblStyle w:val="36"/>
        <w:tblW w:w="10281" w:type="dxa"/>
        <w:tblInd w:w="113"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70"/>
        <w:gridCol w:w="3175"/>
        <w:gridCol w:w="1006"/>
        <w:gridCol w:w="1754"/>
        <w:gridCol w:w="1191"/>
        <w:gridCol w:w="2285"/>
      </w:tblGrid>
      <w:tr w14:paraId="5DAB5CF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9" w:hRule="atLeast"/>
        </w:trPr>
        <w:tc>
          <w:tcPr>
            <w:tcW w:w="870" w:type="dxa"/>
            <w:tcBorders>
              <w:bottom w:val="single" w:color="000000" w:sz="4" w:space="0"/>
              <w:right w:val="single" w:color="000000" w:sz="4" w:space="0"/>
            </w:tcBorders>
            <w:noWrap/>
            <w:vAlign w:val="center"/>
          </w:tcPr>
          <w:p w14:paraId="28046107">
            <w:pPr>
              <w:widowControl/>
              <w:jc w:val="center"/>
              <w:rPr>
                <w:rFonts w:hint="eastAsia" w:ascii="宋体" w:hAnsi="宋体" w:cs="宋体"/>
                <w:kern w:val="0"/>
                <w:sz w:val="24"/>
                <w:szCs w:val="24"/>
              </w:rPr>
            </w:pPr>
            <w:bookmarkStart w:id="1" w:name="_Hlk194501548"/>
            <w:r>
              <w:rPr>
                <w:rFonts w:hint="eastAsia" w:ascii="宋体" w:hAnsi="宋体" w:cs="宋体"/>
                <w:kern w:val="0"/>
                <w:sz w:val="24"/>
                <w:szCs w:val="24"/>
              </w:rPr>
              <w:t>序号</w:t>
            </w:r>
          </w:p>
        </w:tc>
        <w:tc>
          <w:tcPr>
            <w:tcW w:w="3175" w:type="dxa"/>
            <w:tcBorders>
              <w:left w:val="single" w:color="000000" w:sz="4" w:space="0"/>
              <w:bottom w:val="single" w:color="000000" w:sz="4" w:space="0"/>
              <w:right w:val="single" w:color="000000" w:sz="4" w:space="0"/>
            </w:tcBorders>
            <w:noWrap/>
            <w:vAlign w:val="center"/>
          </w:tcPr>
          <w:p w14:paraId="4B0B00EA">
            <w:pPr>
              <w:widowControl/>
              <w:jc w:val="center"/>
              <w:rPr>
                <w:rFonts w:hint="eastAsia" w:ascii="宋体" w:hAnsi="宋体" w:cs="宋体"/>
                <w:kern w:val="0"/>
                <w:sz w:val="24"/>
                <w:szCs w:val="24"/>
              </w:rPr>
            </w:pPr>
            <w:r>
              <w:rPr>
                <w:rFonts w:hint="eastAsia" w:ascii="宋体" w:hAnsi="宋体" w:cs="宋体"/>
                <w:kern w:val="0"/>
                <w:sz w:val="24"/>
                <w:szCs w:val="24"/>
              </w:rPr>
              <w:t>产品名称</w:t>
            </w:r>
          </w:p>
        </w:tc>
        <w:tc>
          <w:tcPr>
            <w:tcW w:w="1006" w:type="dxa"/>
            <w:tcBorders>
              <w:left w:val="single" w:color="000000" w:sz="4" w:space="0"/>
              <w:bottom w:val="single" w:color="auto" w:sz="4" w:space="0"/>
              <w:right w:val="single" w:color="000000" w:sz="4" w:space="0"/>
            </w:tcBorders>
            <w:noWrap/>
            <w:vAlign w:val="center"/>
          </w:tcPr>
          <w:p w14:paraId="002EF3C4">
            <w:pPr>
              <w:widowControl/>
              <w:jc w:val="center"/>
              <w:rPr>
                <w:rFonts w:hint="eastAsia" w:ascii="宋体" w:hAnsi="宋体" w:cs="宋体"/>
                <w:kern w:val="0"/>
                <w:sz w:val="24"/>
                <w:szCs w:val="24"/>
              </w:rPr>
            </w:pPr>
            <w:r>
              <w:rPr>
                <w:rFonts w:hint="eastAsia" w:ascii="宋体" w:hAnsi="宋体" w:cs="宋体"/>
                <w:kern w:val="0"/>
                <w:sz w:val="24"/>
                <w:szCs w:val="24"/>
              </w:rPr>
              <w:t>数量（套）</w:t>
            </w:r>
          </w:p>
        </w:tc>
        <w:tc>
          <w:tcPr>
            <w:tcW w:w="1754" w:type="dxa"/>
            <w:tcBorders>
              <w:left w:val="single" w:color="000000" w:sz="4" w:space="0"/>
              <w:bottom w:val="single" w:color="auto" w:sz="4" w:space="0"/>
              <w:right w:val="single" w:color="000000" w:sz="4" w:space="0"/>
            </w:tcBorders>
            <w:vAlign w:val="center"/>
          </w:tcPr>
          <w:p w14:paraId="244A691E">
            <w:pPr>
              <w:widowControl/>
              <w:jc w:val="center"/>
              <w:rPr>
                <w:rFonts w:hint="eastAsia" w:ascii="宋体" w:hAnsi="宋体" w:cs="宋体"/>
                <w:kern w:val="0"/>
                <w:sz w:val="24"/>
                <w:szCs w:val="24"/>
              </w:rPr>
            </w:pPr>
            <w:r>
              <w:rPr>
                <w:rFonts w:hint="eastAsia" w:ascii="宋体" w:hAnsi="宋体" w:cs="宋体"/>
                <w:kern w:val="0"/>
                <w:sz w:val="24"/>
                <w:szCs w:val="24"/>
              </w:rPr>
              <w:t>单项设备预算（万元）</w:t>
            </w:r>
          </w:p>
        </w:tc>
        <w:tc>
          <w:tcPr>
            <w:tcW w:w="1191" w:type="dxa"/>
            <w:tcBorders>
              <w:left w:val="single" w:color="000000" w:sz="4" w:space="0"/>
              <w:bottom w:val="single" w:color="auto" w:sz="4" w:space="0"/>
            </w:tcBorders>
          </w:tcPr>
          <w:p w14:paraId="55AF5F3E">
            <w:pPr>
              <w:widowControl/>
              <w:jc w:val="center"/>
              <w:rPr>
                <w:rFonts w:hint="eastAsia" w:ascii="宋体" w:hAnsi="宋体" w:cs="宋体"/>
                <w:kern w:val="0"/>
                <w:sz w:val="24"/>
                <w:szCs w:val="24"/>
              </w:rPr>
            </w:pPr>
            <w:r>
              <w:rPr>
                <w:rFonts w:hint="eastAsia" w:ascii="宋体" w:hAnsi="宋体" w:cs="宋体"/>
                <w:kern w:val="0"/>
                <w:sz w:val="24"/>
                <w:szCs w:val="24"/>
              </w:rPr>
              <w:t>设备预算</w:t>
            </w:r>
          </w:p>
        </w:tc>
        <w:tc>
          <w:tcPr>
            <w:tcW w:w="2285" w:type="dxa"/>
            <w:tcBorders>
              <w:left w:val="single" w:color="000000" w:sz="4" w:space="0"/>
              <w:bottom w:val="single" w:color="000000" w:sz="4" w:space="0"/>
            </w:tcBorders>
          </w:tcPr>
          <w:p w14:paraId="43E5B05B">
            <w:pPr>
              <w:widowControl/>
              <w:jc w:val="center"/>
              <w:rPr>
                <w:rFonts w:hint="eastAsia" w:ascii="宋体" w:hAnsi="宋体" w:cs="宋体"/>
                <w:kern w:val="0"/>
                <w:sz w:val="24"/>
                <w:szCs w:val="24"/>
              </w:rPr>
            </w:pPr>
            <w:r>
              <w:rPr>
                <w:rFonts w:hint="eastAsia" w:ascii="宋体" w:hAnsi="宋体" w:cs="宋体"/>
                <w:kern w:val="0"/>
                <w:sz w:val="24"/>
                <w:szCs w:val="24"/>
              </w:rPr>
              <w:t>简要技术要求</w:t>
            </w:r>
          </w:p>
        </w:tc>
      </w:tr>
      <w:tr w14:paraId="47DC85D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121940C7">
            <w:pPr>
              <w:widowControl/>
              <w:jc w:val="center"/>
              <w:rPr>
                <w:rFonts w:hint="eastAsia" w:ascii="宋体" w:hAnsi="宋体" w:cs="宋体"/>
                <w:kern w:val="0"/>
                <w:sz w:val="24"/>
                <w:szCs w:val="24"/>
              </w:rPr>
            </w:pPr>
            <w:bookmarkStart w:id="2" w:name="_Hlk194844769"/>
            <w:r>
              <w:rPr>
                <w:rFonts w:hint="eastAsia" w:ascii="宋体" w:hAnsi="宋体"/>
                <w:sz w:val="24"/>
                <w:szCs w:val="24"/>
              </w:rPr>
              <w:t>1</w:t>
            </w:r>
          </w:p>
        </w:tc>
        <w:tc>
          <w:tcPr>
            <w:tcW w:w="3175" w:type="dxa"/>
            <w:tcBorders>
              <w:top w:val="single" w:color="000000" w:sz="4" w:space="0"/>
              <w:left w:val="single" w:color="000000" w:sz="4" w:space="0"/>
              <w:bottom w:val="single" w:color="000000" w:sz="4" w:space="0"/>
              <w:right w:val="single" w:color="auto" w:sz="4" w:space="0"/>
            </w:tcBorders>
            <w:vAlign w:val="center"/>
          </w:tcPr>
          <w:p w14:paraId="6DD6C0BF">
            <w:pPr>
              <w:widowControl/>
              <w:jc w:val="center"/>
              <w:rPr>
                <w:rFonts w:hint="eastAsia" w:ascii="宋体" w:hAnsi="宋体" w:cs="宋体"/>
                <w:kern w:val="0"/>
                <w:sz w:val="24"/>
                <w:szCs w:val="24"/>
              </w:rPr>
            </w:pPr>
            <w:r>
              <w:rPr>
                <w:rFonts w:ascii="宋体" w:hAnsi="宋体" w:cs="宋体"/>
                <w:kern w:val="0"/>
                <w:sz w:val="24"/>
                <w:szCs w:val="24"/>
              </w:rPr>
              <w:t>纯水处理系统</w:t>
            </w:r>
          </w:p>
        </w:tc>
        <w:tc>
          <w:tcPr>
            <w:tcW w:w="1006" w:type="dxa"/>
            <w:tcBorders>
              <w:top w:val="single" w:color="auto" w:sz="4" w:space="0"/>
              <w:left w:val="single" w:color="auto" w:sz="4" w:space="0"/>
              <w:bottom w:val="single" w:color="auto" w:sz="4" w:space="0"/>
              <w:right w:val="single" w:color="auto" w:sz="4" w:space="0"/>
            </w:tcBorders>
            <w:vAlign w:val="center"/>
          </w:tcPr>
          <w:p w14:paraId="62AD50E7">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754" w:type="dxa"/>
            <w:tcBorders>
              <w:top w:val="single" w:color="auto" w:sz="4" w:space="0"/>
              <w:left w:val="single" w:color="auto" w:sz="4" w:space="0"/>
              <w:bottom w:val="single" w:color="auto" w:sz="4" w:space="0"/>
              <w:right w:val="single" w:color="auto" w:sz="4" w:space="0"/>
            </w:tcBorders>
            <w:vAlign w:val="center"/>
          </w:tcPr>
          <w:p w14:paraId="2E058EF4">
            <w:pPr>
              <w:widowControl/>
              <w:jc w:val="center"/>
              <w:rPr>
                <w:rFonts w:hint="eastAsia" w:ascii="宋体" w:hAnsi="宋体" w:cs="宋体"/>
                <w:kern w:val="0"/>
                <w:sz w:val="24"/>
                <w:szCs w:val="24"/>
              </w:rPr>
            </w:pPr>
            <w:r>
              <w:rPr>
                <w:rFonts w:hint="eastAsia" w:ascii="宋体" w:hAnsi="宋体" w:cs="宋体"/>
                <w:kern w:val="0"/>
                <w:sz w:val="24"/>
                <w:szCs w:val="24"/>
              </w:rPr>
              <w:t>10</w:t>
            </w:r>
          </w:p>
        </w:tc>
        <w:tc>
          <w:tcPr>
            <w:tcW w:w="1191" w:type="dxa"/>
            <w:tcBorders>
              <w:top w:val="single" w:color="auto" w:sz="4" w:space="0"/>
              <w:left w:val="single" w:color="auto" w:sz="4" w:space="0"/>
              <w:bottom w:val="single" w:color="auto" w:sz="4" w:space="0"/>
              <w:right w:val="single" w:color="auto" w:sz="4" w:space="0"/>
            </w:tcBorders>
            <w:vAlign w:val="center"/>
          </w:tcPr>
          <w:p w14:paraId="2649E2BC">
            <w:pPr>
              <w:widowControl/>
              <w:jc w:val="center"/>
              <w:rPr>
                <w:rFonts w:hint="eastAsia" w:ascii="宋体" w:hAnsi="宋体" w:cs="宋体"/>
                <w:kern w:val="0"/>
                <w:sz w:val="24"/>
                <w:szCs w:val="24"/>
              </w:rPr>
            </w:pPr>
            <w:r>
              <w:rPr>
                <w:rFonts w:hint="eastAsia" w:ascii="宋体" w:hAnsi="宋体" w:cs="宋体"/>
                <w:kern w:val="0"/>
                <w:sz w:val="24"/>
                <w:szCs w:val="24"/>
              </w:rPr>
              <w:t>10</w:t>
            </w:r>
          </w:p>
        </w:tc>
        <w:tc>
          <w:tcPr>
            <w:tcW w:w="2285" w:type="dxa"/>
            <w:vMerge w:val="restart"/>
            <w:tcBorders>
              <w:top w:val="single" w:color="000000" w:sz="4" w:space="0"/>
              <w:left w:val="single" w:color="auto" w:sz="4" w:space="0"/>
            </w:tcBorders>
          </w:tcPr>
          <w:p w14:paraId="7B8C13B2">
            <w:pPr>
              <w:widowControl/>
              <w:jc w:val="center"/>
              <w:rPr>
                <w:rFonts w:hint="eastAsia" w:ascii="宋体" w:hAnsi="宋体" w:cs="宋体"/>
                <w:kern w:val="0"/>
                <w:sz w:val="24"/>
                <w:szCs w:val="24"/>
              </w:rPr>
            </w:pPr>
            <w:r>
              <w:rPr>
                <w:rFonts w:hint="eastAsia" w:ascii="宋体" w:hAnsi="宋体" w:cs="宋体"/>
                <w:kern w:val="0"/>
                <w:sz w:val="24"/>
                <w:szCs w:val="24"/>
              </w:rPr>
              <w:t>本项目采购设备为</w:t>
            </w:r>
            <w:r>
              <w:rPr>
                <w:rFonts w:hint="eastAsia" w:ascii="宋体" w:hAnsi="宋体"/>
                <w:sz w:val="24"/>
                <w:szCs w:val="24"/>
              </w:rPr>
              <w:t>检验科部分</w:t>
            </w:r>
            <w:r>
              <w:rPr>
                <w:rFonts w:hint="eastAsia" w:ascii="宋体" w:hAnsi="宋体" w:cs="宋体"/>
                <w:kern w:val="0"/>
                <w:sz w:val="24"/>
                <w:szCs w:val="24"/>
              </w:rPr>
              <w:t>设备，其关键部件应满足自动化、智能化硬件需求；所有设备应匹配智能化建设要求。</w:t>
            </w:r>
          </w:p>
        </w:tc>
      </w:tr>
      <w:tr w14:paraId="6307E26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7207F580">
            <w:pPr>
              <w:widowControl/>
              <w:jc w:val="center"/>
              <w:rPr>
                <w:rFonts w:hint="eastAsia" w:ascii="宋体" w:hAnsi="宋体"/>
                <w:sz w:val="24"/>
                <w:szCs w:val="24"/>
              </w:rPr>
            </w:pPr>
            <w:r>
              <w:rPr>
                <w:rFonts w:hint="eastAsia" w:ascii="宋体" w:hAnsi="宋体"/>
                <w:sz w:val="24"/>
                <w:szCs w:val="24"/>
              </w:rPr>
              <w:t>2</w:t>
            </w:r>
          </w:p>
        </w:tc>
        <w:tc>
          <w:tcPr>
            <w:tcW w:w="3175" w:type="dxa"/>
            <w:tcBorders>
              <w:top w:val="single" w:color="000000" w:sz="4" w:space="0"/>
              <w:left w:val="single" w:color="000000" w:sz="4" w:space="0"/>
              <w:bottom w:val="single" w:color="000000" w:sz="4" w:space="0"/>
              <w:right w:val="single" w:color="auto" w:sz="4" w:space="0"/>
            </w:tcBorders>
            <w:vAlign w:val="center"/>
          </w:tcPr>
          <w:p w14:paraId="366232A0">
            <w:pPr>
              <w:widowControl/>
              <w:jc w:val="center"/>
              <w:rPr>
                <w:rFonts w:hint="eastAsia" w:ascii="宋体" w:hAnsi="宋体" w:cs="宋体"/>
                <w:kern w:val="0"/>
                <w:sz w:val="24"/>
                <w:szCs w:val="24"/>
              </w:rPr>
            </w:pPr>
            <w:r>
              <w:rPr>
                <w:rFonts w:hint="eastAsia" w:ascii="宋体" w:hAnsi="宋体" w:cs="宋体"/>
                <w:kern w:val="0"/>
                <w:sz w:val="24"/>
                <w:szCs w:val="24"/>
              </w:rPr>
              <w:t>全自动流式细</w:t>
            </w:r>
            <w:r>
              <w:rPr>
                <w:rFonts w:ascii="宋体" w:hAnsi="宋体" w:cs="宋体"/>
                <w:kern w:val="0"/>
                <w:sz w:val="24"/>
                <w:szCs w:val="24"/>
              </w:rPr>
              <w:t>胞仪</w:t>
            </w:r>
          </w:p>
        </w:tc>
        <w:tc>
          <w:tcPr>
            <w:tcW w:w="1006" w:type="dxa"/>
            <w:tcBorders>
              <w:top w:val="single" w:color="auto" w:sz="4" w:space="0"/>
              <w:left w:val="single" w:color="auto" w:sz="4" w:space="0"/>
              <w:bottom w:val="single" w:color="auto" w:sz="4" w:space="0"/>
              <w:right w:val="single" w:color="auto" w:sz="4" w:space="0"/>
            </w:tcBorders>
            <w:vAlign w:val="center"/>
          </w:tcPr>
          <w:p w14:paraId="703CF92A">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754" w:type="dxa"/>
            <w:tcBorders>
              <w:top w:val="single" w:color="auto" w:sz="4" w:space="0"/>
              <w:left w:val="single" w:color="auto" w:sz="4" w:space="0"/>
              <w:bottom w:val="single" w:color="auto" w:sz="4" w:space="0"/>
              <w:right w:val="single" w:color="auto" w:sz="4" w:space="0"/>
            </w:tcBorders>
            <w:vAlign w:val="center"/>
          </w:tcPr>
          <w:p w14:paraId="6E2FC6AD">
            <w:pPr>
              <w:widowControl/>
              <w:jc w:val="center"/>
              <w:rPr>
                <w:rFonts w:hint="eastAsia" w:ascii="宋体" w:hAnsi="宋体" w:cs="宋体"/>
                <w:kern w:val="0"/>
                <w:sz w:val="24"/>
                <w:szCs w:val="24"/>
              </w:rPr>
            </w:pPr>
            <w:r>
              <w:rPr>
                <w:rFonts w:hint="eastAsia" w:ascii="宋体" w:hAnsi="宋体" w:cs="宋体"/>
                <w:kern w:val="0"/>
                <w:sz w:val="24"/>
                <w:szCs w:val="24"/>
              </w:rPr>
              <w:t>20</w:t>
            </w:r>
          </w:p>
        </w:tc>
        <w:tc>
          <w:tcPr>
            <w:tcW w:w="1191" w:type="dxa"/>
            <w:tcBorders>
              <w:top w:val="single" w:color="auto" w:sz="4" w:space="0"/>
              <w:left w:val="single" w:color="auto" w:sz="4" w:space="0"/>
              <w:bottom w:val="single" w:color="auto" w:sz="4" w:space="0"/>
              <w:right w:val="single" w:color="auto" w:sz="4" w:space="0"/>
            </w:tcBorders>
            <w:vAlign w:val="center"/>
          </w:tcPr>
          <w:p w14:paraId="39E5D5F5">
            <w:pPr>
              <w:widowControl/>
              <w:jc w:val="center"/>
              <w:rPr>
                <w:rFonts w:hint="eastAsia" w:ascii="宋体" w:hAnsi="宋体" w:cs="宋体"/>
                <w:kern w:val="0"/>
                <w:sz w:val="24"/>
                <w:szCs w:val="24"/>
              </w:rPr>
            </w:pPr>
            <w:r>
              <w:rPr>
                <w:rFonts w:hint="eastAsia" w:ascii="宋体" w:hAnsi="宋体" w:cs="宋体"/>
                <w:kern w:val="0"/>
                <w:sz w:val="24"/>
                <w:szCs w:val="24"/>
              </w:rPr>
              <w:t>20</w:t>
            </w:r>
          </w:p>
        </w:tc>
        <w:tc>
          <w:tcPr>
            <w:tcW w:w="2285" w:type="dxa"/>
            <w:vMerge w:val="continue"/>
            <w:tcBorders>
              <w:left w:val="single" w:color="auto" w:sz="4" w:space="0"/>
            </w:tcBorders>
          </w:tcPr>
          <w:p w14:paraId="414DDC44">
            <w:pPr>
              <w:widowControl/>
              <w:jc w:val="center"/>
              <w:rPr>
                <w:rFonts w:hint="eastAsia" w:ascii="宋体" w:hAnsi="宋体" w:cs="宋体"/>
                <w:kern w:val="0"/>
                <w:sz w:val="24"/>
                <w:szCs w:val="24"/>
              </w:rPr>
            </w:pPr>
          </w:p>
        </w:tc>
      </w:tr>
      <w:tr w14:paraId="17B3977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4084C6F5">
            <w:pPr>
              <w:widowControl/>
              <w:jc w:val="center"/>
              <w:rPr>
                <w:rFonts w:hint="eastAsia" w:ascii="宋体" w:hAnsi="宋体"/>
                <w:sz w:val="24"/>
                <w:szCs w:val="24"/>
              </w:rPr>
            </w:pPr>
            <w:r>
              <w:rPr>
                <w:rFonts w:hint="eastAsia" w:ascii="宋体" w:hAnsi="宋体"/>
                <w:sz w:val="24"/>
                <w:szCs w:val="24"/>
              </w:rPr>
              <w:t>3</w:t>
            </w:r>
          </w:p>
        </w:tc>
        <w:tc>
          <w:tcPr>
            <w:tcW w:w="3175" w:type="dxa"/>
            <w:tcBorders>
              <w:top w:val="single" w:color="000000" w:sz="4" w:space="0"/>
              <w:left w:val="single" w:color="000000" w:sz="4" w:space="0"/>
              <w:bottom w:val="single" w:color="000000" w:sz="4" w:space="0"/>
              <w:right w:val="single" w:color="auto" w:sz="4" w:space="0"/>
            </w:tcBorders>
            <w:vAlign w:val="center"/>
          </w:tcPr>
          <w:p w14:paraId="40D17A6C">
            <w:pPr>
              <w:widowControl/>
              <w:jc w:val="center"/>
              <w:rPr>
                <w:rFonts w:hint="eastAsia" w:ascii="宋体" w:hAnsi="宋体" w:cs="宋体"/>
                <w:kern w:val="0"/>
                <w:sz w:val="24"/>
                <w:szCs w:val="24"/>
              </w:rPr>
            </w:pPr>
            <w:r>
              <w:rPr>
                <w:rFonts w:ascii="宋体" w:hAnsi="宋体" w:cs="宋体"/>
                <w:kern w:val="0"/>
                <w:sz w:val="24"/>
                <w:szCs w:val="24"/>
              </w:rPr>
              <w:t>酶标仪</w:t>
            </w:r>
          </w:p>
        </w:tc>
        <w:tc>
          <w:tcPr>
            <w:tcW w:w="1006" w:type="dxa"/>
            <w:tcBorders>
              <w:top w:val="single" w:color="auto" w:sz="4" w:space="0"/>
              <w:left w:val="single" w:color="auto" w:sz="4" w:space="0"/>
              <w:bottom w:val="single" w:color="auto" w:sz="4" w:space="0"/>
              <w:right w:val="single" w:color="auto" w:sz="4" w:space="0"/>
            </w:tcBorders>
            <w:vAlign w:val="center"/>
          </w:tcPr>
          <w:p w14:paraId="3F525DC5">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754" w:type="dxa"/>
            <w:tcBorders>
              <w:top w:val="single" w:color="auto" w:sz="4" w:space="0"/>
              <w:left w:val="single" w:color="auto" w:sz="4" w:space="0"/>
              <w:bottom w:val="single" w:color="auto" w:sz="4" w:space="0"/>
              <w:right w:val="single" w:color="auto" w:sz="4" w:space="0"/>
            </w:tcBorders>
            <w:vAlign w:val="center"/>
          </w:tcPr>
          <w:p w14:paraId="55E434EB">
            <w:pPr>
              <w:widowControl/>
              <w:jc w:val="center"/>
              <w:rPr>
                <w:rFonts w:hint="eastAsia" w:ascii="宋体" w:hAnsi="宋体" w:cs="宋体"/>
                <w:kern w:val="0"/>
                <w:sz w:val="24"/>
                <w:szCs w:val="24"/>
              </w:rPr>
            </w:pPr>
            <w:r>
              <w:rPr>
                <w:rFonts w:hint="eastAsia" w:ascii="宋体" w:hAnsi="宋体" w:cs="宋体"/>
                <w:kern w:val="0"/>
                <w:sz w:val="24"/>
                <w:szCs w:val="24"/>
              </w:rPr>
              <w:t>4.5</w:t>
            </w:r>
          </w:p>
        </w:tc>
        <w:tc>
          <w:tcPr>
            <w:tcW w:w="1191" w:type="dxa"/>
            <w:tcBorders>
              <w:top w:val="single" w:color="auto" w:sz="4" w:space="0"/>
              <w:left w:val="single" w:color="auto" w:sz="4" w:space="0"/>
              <w:bottom w:val="single" w:color="auto" w:sz="4" w:space="0"/>
              <w:right w:val="single" w:color="auto" w:sz="4" w:space="0"/>
            </w:tcBorders>
            <w:vAlign w:val="center"/>
          </w:tcPr>
          <w:p w14:paraId="2ECEF9DB">
            <w:pPr>
              <w:widowControl/>
              <w:jc w:val="center"/>
              <w:rPr>
                <w:rFonts w:hint="eastAsia" w:ascii="宋体" w:hAnsi="宋体" w:cs="宋体"/>
                <w:kern w:val="0"/>
                <w:sz w:val="24"/>
                <w:szCs w:val="24"/>
              </w:rPr>
            </w:pPr>
            <w:r>
              <w:rPr>
                <w:rFonts w:hint="eastAsia" w:ascii="宋体" w:hAnsi="宋体" w:cs="宋体"/>
                <w:kern w:val="0"/>
                <w:sz w:val="24"/>
                <w:szCs w:val="24"/>
              </w:rPr>
              <w:t>4.5</w:t>
            </w:r>
          </w:p>
        </w:tc>
        <w:tc>
          <w:tcPr>
            <w:tcW w:w="2285" w:type="dxa"/>
            <w:vMerge w:val="continue"/>
            <w:tcBorders>
              <w:left w:val="single" w:color="auto" w:sz="4" w:space="0"/>
            </w:tcBorders>
          </w:tcPr>
          <w:p w14:paraId="55542245">
            <w:pPr>
              <w:widowControl/>
              <w:jc w:val="center"/>
              <w:rPr>
                <w:rFonts w:hint="eastAsia" w:ascii="宋体" w:hAnsi="宋体" w:cs="宋体"/>
                <w:kern w:val="0"/>
                <w:sz w:val="24"/>
                <w:szCs w:val="24"/>
              </w:rPr>
            </w:pPr>
          </w:p>
        </w:tc>
      </w:tr>
      <w:tr w14:paraId="11D1A5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5FC7A23A">
            <w:pPr>
              <w:widowControl/>
              <w:jc w:val="center"/>
              <w:rPr>
                <w:rFonts w:hint="eastAsia" w:ascii="宋体" w:hAnsi="宋体"/>
                <w:sz w:val="24"/>
                <w:szCs w:val="24"/>
              </w:rPr>
            </w:pPr>
            <w:r>
              <w:rPr>
                <w:rFonts w:hint="eastAsia" w:ascii="宋体" w:hAnsi="宋体"/>
                <w:sz w:val="24"/>
                <w:szCs w:val="24"/>
              </w:rPr>
              <w:t>4</w:t>
            </w:r>
          </w:p>
        </w:tc>
        <w:tc>
          <w:tcPr>
            <w:tcW w:w="3175" w:type="dxa"/>
            <w:tcBorders>
              <w:top w:val="single" w:color="000000" w:sz="4" w:space="0"/>
              <w:left w:val="single" w:color="000000" w:sz="4" w:space="0"/>
              <w:bottom w:val="single" w:color="000000" w:sz="4" w:space="0"/>
              <w:right w:val="single" w:color="auto" w:sz="4" w:space="0"/>
            </w:tcBorders>
            <w:vAlign w:val="center"/>
          </w:tcPr>
          <w:p w14:paraId="08A762AA">
            <w:pPr>
              <w:widowControl/>
              <w:jc w:val="center"/>
              <w:rPr>
                <w:rFonts w:hint="eastAsia" w:ascii="宋体" w:hAnsi="宋体" w:cs="宋体"/>
                <w:kern w:val="0"/>
                <w:sz w:val="24"/>
                <w:szCs w:val="24"/>
              </w:rPr>
            </w:pPr>
            <w:r>
              <w:rPr>
                <w:rFonts w:ascii="宋体" w:hAnsi="宋体" w:cs="宋体"/>
                <w:kern w:val="0"/>
                <w:sz w:val="24"/>
                <w:szCs w:val="24"/>
              </w:rPr>
              <w:t>全自动粪便分析仪</w:t>
            </w:r>
          </w:p>
        </w:tc>
        <w:tc>
          <w:tcPr>
            <w:tcW w:w="1006" w:type="dxa"/>
            <w:tcBorders>
              <w:top w:val="single" w:color="auto" w:sz="4" w:space="0"/>
              <w:left w:val="single" w:color="auto" w:sz="4" w:space="0"/>
              <w:bottom w:val="single" w:color="auto" w:sz="4" w:space="0"/>
              <w:right w:val="single" w:color="auto" w:sz="4" w:space="0"/>
            </w:tcBorders>
            <w:vAlign w:val="center"/>
          </w:tcPr>
          <w:p w14:paraId="1880D433">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754" w:type="dxa"/>
            <w:tcBorders>
              <w:top w:val="single" w:color="auto" w:sz="4" w:space="0"/>
              <w:left w:val="single" w:color="auto" w:sz="4" w:space="0"/>
              <w:bottom w:val="single" w:color="auto" w:sz="4" w:space="0"/>
              <w:right w:val="single" w:color="auto" w:sz="4" w:space="0"/>
            </w:tcBorders>
            <w:vAlign w:val="center"/>
          </w:tcPr>
          <w:p w14:paraId="21596419">
            <w:pPr>
              <w:widowControl/>
              <w:jc w:val="center"/>
              <w:rPr>
                <w:rFonts w:hint="eastAsia" w:ascii="宋体" w:hAnsi="宋体" w:cs="宋体"/>
                <w:kern w:val="0"/>
                <w:sz w:val="24"/>
                <w:szCs w:val="24"/>
              </w:rPr>
            </w:pPr>
            <w:r>
              <w:rPr>
                <w:rFonts w:hint="eastAsia" w:ascii="宋体" w:hAnsi="宋体" w:cs="宋体"/>
                <w:kern w:val="0"/>
                <w:sz w:val="24"/>
                <w:szCs w:val="24"/>
              </w:rPr>
              <w:t>10</w:t>
            </w:r>
          </w:p>
        </w:tc>
        <w:tc>
          <w:tcPr>
            <w:tcW w:w="1191" w:type="dxa"/>
            <w:tcBorders>
              <w:top w:val="single" w:color="auto" w:sz="4" w:space="0"/>
              <w:left w:val="single" w:color="auto" w:sz="4" w:space="0"/>
              <w:bottom w:val="single" w:color="auto" w:sz="4" w:space="0"/>
              <w:right w:val="single" w:color="auto" w:sz="4" w:space="0"/>
            </w:tcBorders>
            <w:vAlign w:val="center"/>
          </w:tcPr>
          <w:p w14:paraId="7D61D611">
            <w:pPr>
              <w:widowControl/>
              <w:jc w:val="center"/>
              <w:rPr>
                <w:rFonts w:hint="eastAsia" w:ascii="宋体" w:hAnsi="宋体" w:cs="宋体"/>
                <w:kern w:val="0"/>
                <w:sz w:val="24"/>
                <w:szCs w:val="24"/>
              </w:rPr>
            </w:pPr>
            <w:r>
              <w:rPr>
                <w:rFonts w:hint="eastAsia" w:ascii="宋体" w:hAnsi="宋体" w:cs="宋体"/>
                <w:kern w:val="0"/>
                <w:sz w:val="24"/>
                <w:szCs w:val="24"/>
              </w:rPr>
              <w:t>20</w:t>
            </w:r>
          </w:p>
        </w:tc>
        <w:tc>
          <w:tcPr>
            <w:tcW w:w="2285" w:type="dxa"/>
            <w:vMerge w:val="continue"/>
            <w:tcBorders>
              <w:left w:val="single" w:color="auto" w:sz="4" w:space="0"/>
            </w:tcBorders>
          </w:tcPr>
          <w:p w14:paraId="2D5E32DA">
            <w:pPr>
              <w:widowControl/>
              <w:jc w:val="center"/>
              <w:rPr>
                <w:rFonts w:hint="eastAsia" w:ascii="宋体" w:hAnsi="宋体" w:cs="宋体"/>
                <w:kern w:val="0"/>
                <w:sz w:val="24"/>
                <w:szCs w:val="24"/>
              </w:rPr>
            </w:pPr>
          </w:p>
        </w:tc>
      </w:tr>
      <w:tr w14:paraId="08F033E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32CA8E3D">
            <w:pPr>
              <w:widowControl/>
              <w:jc w:val="center"/>
              <w:rPr>
                <w:rFonts w:hint="eastAsia" w:ascii="宋体" w:hAnsi="宋体"/>
                <w:sz w:val="24"/>
                <w:szCs w:val="24"/>
              </w:rPr>
            </w:pPr>
            <w:r>
              <w:rPr>
                <w:rFonts w:hint="eastAsia" w:ascii="宋体" w:hAnsi="宋体"/>
                <w:sz w:val="24"/>
                <w:szCs w:val="24"/>
              </w:rPr>
              <w:t>5</w:t>
            </w:r>
          </w:p>
        </w:tc>
        <w:tc>
          <w:tcPr>
            <w:tcW w:w="3175" w:type="dxa"/>
            <w:tcBorders>
              <w:top w:val="single" w:color="000000" w:sz="4" w:space="0"/>
              <w:left w:val="single" w:color="000000" w:sz="4" w:space="0"/>
              <w:bottom w:val="single" w:color="000000" w:sz="4" w:space="0"/>
              <w:right w:val="single" w:color="auto" w:sz="4" w:space="0"/>
            </w:tcBorders>
            <w:vAlign w:val="center"/>
          </w:tcPr>
          <w:p w14:paraId="1FBF81B8">
            <w:pPr>
              <w:widowControl/>
              <w:jc w:val="center"/>
              <w:rPr>
                <w:rFonts w:hint="eastAsia" w:ascii="宋体" w:hAnsi="宋体" w:cs="宋体"/>
                <w:kern w:val="0"/>
                <w:sz w:val="24"/>
                <w:szCs w:val="24"/>
              </w:rPr>
            </w:pPr>
            <w:r>
              <w:rPr>
                <w:rFonts w:ascii="宋体" w:hAnsi="宋体" w:cs="宋体"/>
                <w:kern w:val="0"/>
                <w:sz w:val="24"/>
                <w:szCs w:val="24"/>
              </w:rPr>
              <w:t>全自动化学发光免疫分析仪</w:t>
            </w:r>
          </w:p>
        </w:tc>
        <w:tc>
          <w:tcPr>
            <w:tcW w:w="1006" w:type="dxa"/>
            <w:tcBorders>
              <w:top w:val="single" w:color="auto" w:sz="4" w:space="0"/>
              <w:left w:val="single" w:color="auto" w:sz="4" w:space="0"/>
              <w:bottom w:val="single" w:color="auto" w:sz="4" w:space="0"/>
              <w:right w:val="single" w:color="auto" w:sz="4" w:space="0"/>
            </w:tcBorders>
            <w:vAlign w:val="center"/>
          </w:tcPr>
          <w:p w14:paraId="10E0353B">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754" w:type="dxa"/>
            <w:tcBorders>
              <w:top w:val="single" w:color="auto" w:sz="4" w:space="0"/>
              <w:left w:val="single" w:color="auto" w:sz="4" w:space="0"/>
              <w:bottom w:val="single" w:color="auto" w:sz="4" w:space="0"/>
              <w:right w:val="single" w:color="auto" w:sz="4" w:space="0"/>
            </w:tcBorders>
            <w:vAlign w:val="center"/>
          </w:tcPr>
          <w:p w14:paraId="0466D38E">
            <w:pPr>
              <w:widowControl/>
              <w:jc w:val="center"/>
              <w:rPr>
                <w:rFonts w:hint="eastAsia" w:ascii="宋体" w:hAnsi="宋体" w:cs="宋体"/>
                <w:kern w:val="0"/>
                <w:sz w:val="24"/>
                <w:szCs w:val="24"/>
              </w:rPr>
            </w:pPr>
            <w:r>
              <w:rPr>
                <w:rFonts w:hint="eastAsia" w:ascii="宋体" w:hAnsi="宋体" w:cs="宋体"/>
                <w:kern w:val="0"/>
                <w:sz w:val="24"/>
                <w:szCs w:val="24"/>
              </w:rPr>
              <w:t>37</w:t>
            </w:r>
          </w:p>
        </w:tc>
        <w:tc>
          <w:tcPr>
            <w:tcW w:w="1191" w:type="dxa"/>
            <w:tcBorders>
              <w:top w:val="single" w:color="auto" w:sz="4" w:space="0"/>
              <w:left w:val="single" w:color="auto" w:sz="4" w:space="0"/>
              <w:bottom w:val="single" w:color="auto" w:sz="4" w:space="0"/>
              <w:right w:val="single" w:color="auto" w:sz="4" w:space="0"/>
            </w:tcBorders>
            <w:vAlign w:val="center"/>
          </w:tcPr>
          <w:p w14:paraId="77CEAE1F">
            <w:pPr>
              <w:widowControl/>
              <w:jc w:val="center"/>
              <w:rPr>
                <w:rFonts w:hint="eastAsia" w:ascii="宋体" w:hAnsi="宋体" w:cs="宋体"/>
                <w:kern w:val="0"/>
                <w:sz w:val="24"/>
                <w:szCs w:val="24"/>
              </w:rPr>
            </w:pPr>
            <w:r>
              <w:rPr>
                <w:rFonts w:hint="eastAsia" w:ascii="宋体" w:hAnsi="宋体" w:cs="宋体"/>
                <w:kern w:val="0"/>
                <w:sz w:val="24"/>
                <w:szCs w:val="24"/>
              </w:rPr>
              <w:t>37</w:t>
            </w:r>
          </w:p>
        </w:tc>
        <w:tc>
          <w:tcPr>
            <w:tcW w:w="2285" w:type="dxa"/>
            <w:vMerge w:val="continue"/>
            <w:tcBorders>
              <w:left w:val="single" w:color="auto" w:sz="4" w:space="0"/>
            </w:tcBorders>
          </w:tcPr>
          <w:p w14:paraId="4EFADCAA">
            <w:pPr>
              <w:widowControl/>
              <w:jc w:val="center"/>
              <w:rPr>
                <w:rFonts w:hint="eastAsia" w:ascii="宋体" w:hAnsi="宋体" w:cs="宋体"/>
                <w:kern w:val="0"/>
                <w:sz w:val="24"/>
                <w:szCs w:val="24"/>
              </w:rPr>
            </w:pPr>
          </w:p>
        </w:tc>
      </w:tr>
      <w:tr w14:paraId="4108BA6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0204366F">
            <w:pPr>
              <w:widowControl/>
              <w:jc w:val="center"/>
              <w:rPr>
                <w:rFonts w:hint="eastAsia" w:ascii="宋体" w:hAnsi="宋体"/>
                <w:sz w:val="24"/>
                <w:szCs w:val="24"/>
              </w:rPr>
            </w:pPr>
            <w:r>
              <w:rPr>
                <w:rFonts w:hint="eastAsia" w:ascii="宋体" w:hAnsi="宋体"/>
                <w:sz w:val="24"/>
                <w:szCs w:val="24"/>
              </w:rPr>
              <w:t>6</w:t>
            </w:r>
          </w:p>
        </w:tc>
        <w:tc>
          <w:tcPr>
            <w:tcW w:w="3175" w:type="dxa"/>
            <w:tcBorders>
              <w:top w:val="single" w:color="000000" w:sz="4" w:space="0"/>
              <w:left w:val="single" w:color="000000" w:sz="4" w:space="0"/>
              <w:bottom w:val="single" w:color="000000" w:sz="4" w:space="0"/>
              <w:right w:val="single" w:color="auto" w:sz="4" w:space="0"/>
            </w:tcBorders>
            <w:vAlign w:val="center"/>
          </w:tcPr>
          <w:p w14:paraId="76A8EA0E">
            <w:pPr>
              <w:widowControl/>
              <w:jc w:val="center"/>
              <w:rPr>
                <w:rFonts w:hint="eastAsia" w:ascii="宋体" w:hAnsi="宋体" w:cs="宋体"/>
                <w:kern w:val="0"/>
                <w:sz w:val="24"/>
                <w:szCs w:val="24"/>
              </w:rPr>
            </w:pPr>
            <w:r>
              <w:rPr>
                <w:rFonts w:ascii="宋体" w:hAnsi="宋体" w:cs="宋体"/>
                <w:kern w:val="0"/>
                <w:sz w:val="24"/>
                <w:szCs w:val="24"/>
              </w:rPr>
              <w:t>全自动尿液分析流水线</w:t>
            </w:r>
          </w:p>
        </w:tc>
        <w:tc>
          <w:tcPr>
            <w:tcW w:w="1006" w:type="dxa"/>
            <w:tcBorders>
              <w:top w:val="single" w:color="auto" w:sz="4" w:space="0"/>
              <w:left w:val="single" w:color="auto" w:sz="4" w:space="0"/>
              <w:bottom w:val="single" w:color="auto" w:sz="4" w:space="0"/>
              <w:right w:val="single" w:color="auto" w:sz="4" w:space="0"/>
            </w:tcBorders>
            <w:vAlign w:val="center"/>
          </w:tcPr>
          <w:p w14:paraId="492821F5">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754" w:type="dxa"/>
            <w:tcBorders>
              <w:top w:val="single" w:color="auto" w:sz="4" w:space="0"/>
              <w:left w:val="single" w:color="auto" w:sz="4" w:space="0"/>
              <w:bottom w:val="single" w:color="auto" w:sz="4" w:space="0"/>
              <w:right w:val="single" w:color="auto" w:sz="4" w:space="0"/>
            </w:tcBorders>
            <w:vAlign w:val="center"/>
          </w:tcPr>
          <w:p w14:paraId="23ABA320">
            <w:pPr>
              <w:widowControl/>
              <w:jc w:val="center"/>
              <w:rPr>
                <w:rFonts w:hint="eastAsia" w:ascii="宋体" w:hAnsi="宋体" w:cs="宋体"/>
                <w:kern w:val="0"/>
                <w:sz w:val="24"/>
                <w:szCs w:val="24"/>
              </w:rPr>
            </w:pPr>
            <w:r>
              <w:rPr>
                <w:rFonts w:hint="eastAsia" w:ascii="宋体" w:hAnsi="宋体" w:cs="宋体"/>
                <w:kern w:val="0"/>
                <w:sz w:val="24"/>
                <w:szCs w:val="24"/>
              </w:rPr>
              <w:t>15</w:t>
            </w:r>
          </w:p>
        </w:tc>
        <w:tc>
          <w:tcPr>
            <w:tcW w:w="1191" w:type="dxa"/>
            <w:tcBorders>
              <w:top w:val="single" w:color="auto" w:sz="4" w:space="0"/>
              <w:left w:val="single" w:color="auto" w:sz="4" w:space="0"/>
              <w:bottom w:val="single" w:color="auto" w:sz="4" w:space="0"/>
              <w:right w:val="single" w:color="auto" w:sz="4" w:space="0"/>
            </w:tcBorders>
            <w:vAlign w:val="center"/>
          </w:tcPr>
          <w:p w14:paraId="0A9DC46A">
            <w:pPr>
              <w:widowControl/>
              <w:jc w:val="center"/>
              <w:rPr>
                <w:rFonts w:hint="eastAsia" w:ascii="宋体" w:hAnsi="宋体" w:cs="宋体"/>
                <w:kern w:val="0"/>
                <w:sz w:val="24"/>
                <w:szCs w:val="24"/>
              </w:rPr>
            </w:pPr>
            <w:r>
              <w:rPr>
                <w:rFonts w:hint="eastAsia" w:ascii="宋体" w:hAnsi="宋体" w:cs="宋体"/>
                <w:kern w:val="0"/>
                <w:sz w:val="24"/>
                <w:szCs w:val="24"/>
              </w:rPr>
              <w:t>15</w:t>
            </w:r>
          </w:p>
        </w:tc>
        <w:tc>
          <w:tcPr>
            <w:tcW w:w="2285" w:type="dxa"/>
            <w:vMerge w:val="continue"/>
            <w:tcBorders>
              <w:left w:val="single" w:color="auto" w:sz="4" w:space="0"/>
            </w:tcBorders>
          </w:tcPr>
          <w:p w14:paraId="6184DC6A">
            <w:pPr>
              <w:widowControl/>
              <w:jc w:val="center"/>
              <w:rPr>
                <w:rFonts w:hint="eastAsia" w:ascii="宋体" w:hAnsi="宋体" w:cs="宋体"/>
                <w:kern w:val="0"/>
                <w:sz w:val="24"/>
                <w:szCs w:val="24"/>
              </w:rPr>
            </w:pPr>
          </w:p>
        </w:tc>
      </w:tr>
      <w:tr w14:paraId="762799E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06E3F0D7">
            <w:pPr>
              <w:widowControl/>
              <w:jc w:val="center"/>
              <w:rPr>
                <w:rFonts w:hint="eastAsia" w:ascii="宋体" w:hAnsi="宋体"/>
                <w:sz w:val="24"/>
                <w:szCs w:val="24"/>
              </w:rPr>
            </w:pPr>
            <w:r>
              <w:rPr>
                <w:rFonts w:hint="eastAsia" w:ascii="宋体" w:hAnsi="宋体"/>
                <w:sz w:val="24"/>
                <w:szCs w:val="24"/>
              </w:rPr>
              <w:t>7</w:t>
            </w:r>
          </w:p>
        </w:tc>
        <w:tc>
          <w:tcPr>
            <w:tcW w:w="3175" w:type="dxa"/>
            <w:tcBorders>
              <w:top w:val="single" w:color="000000" w:sz="4" w:space="0"/>
              <w:left w:val="single" w:color="000000" w:sz="4" w:space="0"/>
              <w:bottom w:val="single" w:color="000000" w:sz="4" w:space="0"/>
              <w:right w:val="single" w:color="auto" w:sz="4" w:space="0"/>
            </w:tcBorders>
            <w:vAlign w:val="center"/>
          </w:tcPr>
          <w:p w14:paraId="719B1F66">
            <w:pPr>
              <w:widowControl/>
              <w:jc w:val="center"/>
              <w:rPr>
                <w:rFonts w:hint="eastAsia" w:ascii="宋体" w:hAnsi="宋体" w:cs="宋体"/>
                <w:kern w:val="0"/>
                <w:sz w:val="24"/>
                <w:szCs w:val="24"/>
              </w:rPr>
            </w:pPr>
            <w:r>
              <w:rPr>
                <w:rFonts w:ascii="宋体" w:hAnsi="宋体" w:cs="宋体"/>
                <w:kern w:val="0"/>
                <w:sz w:val="24"/>
                <w:szCs w:val="24"/>
              </w:rPr>
              <w:t>全自动凝血分析流水线</w:t>
            </w:r>
          </w:p>
        </w:tc>
        <w:tc>
          <w:tcPr>
            <w:tcW w:w="1006" w:type="dxa"/>
            <w:tcBorders>
              <w:top w:val="single" w:color="auto" w:sz="4" w:space="0"/>
              <w:left w:val="single" w:color="auto" w:sz="4" w:space="0"/>
              <w:bottom w:val="single" w:color="auto" w:sz="4" w:space="0"/>
              <w:right w:val="single" w:color="auto" w:sz="4" w:space="0"/>
            </w:tcBorders>
            <w:vAlign w:val="center"/>
          </w:tcPr>
          <w:p w14:paraId="67108E34">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754" w:type="dxa"/>
            <w:tcBorders>
              <w:top w:val="single" w:color="auto" w:sz="4" w:space="0"/>
              <w:left w:val="single" w:color="auto" w:sz="4" w:space="0"/>
              <w:bottom w:val="single" w:color="auto" w:sz="4" w:space="0"/>
              <w:right w:val="single" w:color="auto" w:sz="4" w:space="0"/>
            </w:tcBorders>
            <w:vAlign w:val="center"/>
          </w:tcPr>
          <w:p w14:paraId="012C4E5D">
            <w:pPr>
              <w:widowControl/>
              <w:jc w:val="center"/>
              <w:rPr>
                <w:rFonts w:hint="eastAsia" w:ascii="宋体" w:hAnsi="宋体" w:cs="宋体"/>
                <w:kern w:val="0"/>
                <w:sz w:val="24"/>
                <w:szCs w:val="24"/>
              </w:rPr>
            </w:pPr>
            <w:r>
              <w:rPr>
                <w:rFonts w:hint="eastAsia" w:ascii="宋体" w:hAnsi="宋体" w:cs="宋体"/>
                <w:kern w:val="0"/>
                <w:sz w:val="24"/>
                <w:szCs w:val="24"/>
              </w:rPr>
              <w:t>54</w:t>
            </w:r>
          </w:p>
        </w:tc>
        <w:tc>
          <w:tcPr>
            <w:tcW w:w="1191" w:type="dxa"/>
            <w:tcBorders>
              <w:top w:val="single" w:color="auto" w:sz="4" w:space="0"/>
              <w:left w:val="single" w:color="auto" w:sz="4" w:space="0"/>
              <w:bottom w:val="single" w:color="auto" w:sz="4" w:space="0"/>
              <w:right w:val="single" w:color="auto" w:sz="4" w:space="0"/>
            </w:tcBorders>
            <w:vAlign w:val="center"/>
          </w:tcPr>
          <w:p w14:paraId="1BC707B9">
            <w:pPr>
              <w:widowControl/>
              <w:jc w:val="center"/>
              <w:rPr>
                <w:rFonts w:hint="eastAsia" w:ascii="宋体" w:hAnsi="宋体" w:cs="宋体"/>
                <w:kern w:val="0"/>
                <w:sz w:val="24"/>
                <w:szCs w:val="24"/>
              </w:rPr>
            </w:pPr>
            <w:r>
              <w:rPr>
                <w:rFonts w:hint="eastAsia" w:ascii="宋体" w:hAnsi="宋体" w:cs="宋体"/>
                <w:kern w:val="0"/>
                <w:sz w:val="24"/>
                <w:szCs w:val="24"/>
              </w:rPr>
              <w:t>54</w:t>
            </w:r>
          </w:p>
        </w:tc>
        <w:tc>
          <w:tcPr>
            <w:tcW w:w="2285" w:type="dxa"/>
            <w:vMerge w:val="continue"/>
            <w:tcBorders>
              <w:left w:val="single" w:color="auto" w:sz="4" w:space="0"/>
            </w:tcBorders>
          </w:tcPr>
          <w:p w14:paraId="3D80180E">
            <w:pPr>
              <w:widowControl/>
              <w:jc w:val="center"/>
              <w:rPr>
                <w:rFonts w:hint="eastAsia" w:ascii="宋体" w:hAnsi="宋体" w:cs="宋体"/>
                <w:kern w:val="0"/>
                <w:sz w:val="24"/>
                <w:szCs w:val="24"/>
              </w:rPr>
            </w:pPr>
          </w:p>
        </w:tc>
      </w:tr>
      <w:tr w14:paraId="0277C9C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68472527">
            <w:pPr>
              <w:widowControl/>
              <w:jc w:val="center"/>
              <w:rPr>
                <w:rFonts w:hint="eastAsia" w:ascii="宋体" w:hAnsi="宋体"/>
                <w:sz w:val="24"/>
                <w:szCs w:val="24"/>
              </w:rPr>
            </w:pPr>
            <w:r>
              <w:rPr>
                <w:rFonts w:hint="eastAsia" w:ascii="宋体" w:hAnsi="宋体"/>
                <w:sz w:val="24"/>
                <w:szCs w:val="24"/>
              </w:rPr>
              <w:t>8</w:t>
            </w:r>
          </w:p>
        </w:tc>
        <w:tc>
          <w:tcPr>
            <w:tcW w:w="3175" w:type="dxa"/>
            <w:tcBorders>
              <w:top w:val="single" w:color="000000" w:sz="4" w:space="0"/>
              <w:left w:val="single" w:color="000000" w:sz="4" w:space="0"/>
              <w:bottom w:val="single" w:color="000000" w:sz="4" w:space="0"/>
              <w:right w:val="single" w:color="auto" w:sz="4" w:space="0"/>
            </w:tcBorders>
            <w:vAlign w:val="center"/>
          </w:tcPr>
          <w:p w14:paraId="0C692FE6">
            <w:pPr>
              <w:widowControl/>
              <w:jc w:val="center"/>
              <w:rPr>
                <w:rFonts w:hint="eastAsia" w:ascii="宋体" w:hAnsi="宋体" w:cs="宋体"/>
                <w:kern w:val="0"/>
                <w:sz w:val="24"/>
                <w:szCs w:val="24"/>
              </w:rPr>
            </w:pPr>
            <w:r>
              <w:rPr>
                <w:rFonts w:ascii="宋体" w:hAnsi="宋体" w:cs="宋体"/>
                <w:kern w:val="0"/>
                <w:sz w:val="24"/>
                <w:szCs w:val="24"/>
              </w:rPr>
              <w:t>全自动生化分析仪</w:t>
            </w:r>
          </w:p>
        </w:tc>
        <w:tc>
          <w:tcPr>
            <w:tcW w:w="1006" w:type="dxa"/>
            <w:tcBorders>
              <w:top w:val="single" w:color="auto" w:sz="4" w:space="0"/>
              <w:left w:val="single" w:color="auto" w:sz="4" w:space="0"/>
              <w:bottom w:val="single" w:color="auto" w:sz="4" w:space="0"/>
              <w:right w:val="single" w:color="auto" w:sz="4" w:space="0"/>
            </w:tcBorders>
            <w:vAlign w:val="center"/>
          </w:tcPr>
          <w:p w14:paraId="3A5F3F28">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754" w:type="dxa"/>
            <w:tcBorders>
              <w:top w:val="single" w:color="auto" w:sz="4" w:space="0"/>
              <w:left w:val="single" w:color="auto" w:sz="4" w:space="0"/>
              <w:bottom w:val="single" w:color="auto" w:sz="4" w:space="0"/>
              <w:right w:val="single" w:color="auto" w:sz="4" w:space="0"/>
            </w:tcBorders>
            <w:vAlign w:val="center"/>
          </w:tcPr>
          <w:p w14:paraId="7306A8A3">
            <w:pPr>
              <w:widowControl/>
              <w:jc w:val="center"/>
              <w:rPr>
                <w:rFonts w:hint="eastAsia" w:ascii="宋体" w:hAnsi="宋体" w:cs="宋体"/>
                <w:kern w:val="0"/>
                <w:sz w:val="24"/>
                <w:szCs w:val="24"/>
              </w:rPr>
            </w:pPr>
            <w:r>
              <w:rPr>
                <w:rFonts w:hint="eastAsia" w:ascii="宋体" w:hAnsi="宋体" w:cs="宋体"/>
                <w:kern w:val="0"/>
                <w:sz w:val="24"/>
                <w:szCs w:val="24"/>
              </w:rPr>
              <w:t>47</w:t>
            </w:r>
          </w:p>
        </w:tc>
        <w:tc>
          <w:tcPr>
            <w:tcW w:w="1191" w:type="dxa"/>
            <w:tcBorders>
              <w:top w:val="single" w:color="auto" w:sz="4" w:space="0"/>
              <w:left w:val="single" w:color="auto" w:sz="4" w:space="0"/>
              <w:bottom w:val="single" w:color="auto" w:sz="4" w:space="0"/>
              <w:right w:val="single" w:color="auto" w:sz="4" w:space="0"/>
            </w:tcBorders>
            <w:vAlign w:val="center"/>
          </w:tcPr>
          <w:p w14:paraId="61805D83">
            <w:pPr>
              <w:widowControl/>
              <w:jc w:val="center"/>
              <w:rPr>
                <w:rFonts w:hint="eastAsia" w:ascii="宋体" w:hAnsi="宋体" w:cs="宋体"/>
                <w:kern w:val="0"/>
                <w:sz w:val="24"/>
                <w:szCs w:val="24"/>
              </w:rPr>
            </w:pPr>
            <w:r>
              <w:rPr>
                <w:rFonts w:hint="eastAsia" w:ascii="宋体" w:hAnsi="宋体" w:cs="宋体"/>
                <w:kern w:val="0"/>
                <w:sz w:val="24"/>
                <w:szCs w:val="24"/>
              </w:rPr>
              <w:t>47</w:t>
            </w:r>
          </w:p>
        </w:tc>
        <w:tc>
          <w:tcPr>
            <w:tcW w:w="2285" w:type="dxa"/>
            <w:vMerge w:val="continue"/>
            <w:tcBorders>
              <w:left w:val="single" w:color="auto" w:sz="4" w:space="0"/>
            </w:tcBorders>
          </w:tcPr>
          <w:p w14:paraId="149064CD">
            <w:pPr>
              <w:widowControl/>
              <w:jc w:val="center"/>
              <w:rPr>
                <w:rFonts w:hint="eastAsia" w:ascii="宋体" w:hAnsi="宋体" w:cs="宋体"/>
                <w:kern w:val="0"/>
                <w:sz w:val="24"/>
                <w:szCs w:val="24"/>
              </w:rPr>
            </w:pPr>
          </w:p>
        </w:tc>
      </w:tr>
      <w:tr w14:paraId="4266AC8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48842E02">
            <w:pPr>
              <w:widowControl/>
              <w:jc w:val="center"/>
              <w:rPr>
                <w:rFonts w:hint="eastAsia" w:ascii="宋体" w:hAnsi="宋体"/>
                <w:sz w:val="24"/>
                <w:szCs w:val="24"/>
              </w:rPr>
            </w:pPr>
            <w:r>
              <w:rPr>
                <w:rFonts w:hint="eastAsia" w:ascii="宋体" w:hAnsi="宋体"/>
                <w:sz w:val="24"/>
                <w:szCs w:val="24"/>
              </w:rPr>
              <w:t>9</w:t>
            </w:r>
          </w:p>
        </w:tc>
        <w:tc>
          <w:tcPr>
            <w:tcW w:w="3175" w:type="dxa"/>
            <w:tcBorders>
              <w:top w:val="single" w:color="000000" w:sz="4" w:space="0"/>
              <w:left w:val="single" w:color="000000" w:sz="4" w:space="0"/>
              <w:bottom w:val="single" w:color="000000" w:sz="4" w:space="0"/>
              <w:right w:val="single" w:color="auto" w:sz="4" w:space="0"/>
            </w:tcBorders>
            <w:vAlign w:val="center"/>
          </w:tcPr>
          <w:p w14:paraId="11E5D959">
            <w:pPr>
              <w:widowControl/>
              <w:jc w:val="center"/>
              <w:rPr>
                <w:rFonts w:hint="eastAsia" w:ascii="宋体" w:hAnsi="宋体" w:cs="宋体"/>
                <w:kern w:val="0"/>
                <w:sz w:val="24"/>
                <w:szCs w:val="24"/>
              </w:rPr>
            </w:pPr>
            <w:r>
              <w:rPr>
                <w:rFonts w:ascii="宋体" w:hAnsi="宋体" w:cs="宋体"/>
                <w:kern w:val="0"/>
                <w:sz w:val="24"/>
                <w:szCs w:val="24"/>
              </w:rPr>
              <w:t>全自动生化免疫流水线</w:t>
            </w:r>
          </w:p>
        </w:tc>
        <w:tc>
          <w:tcPr>
            <w:tcW w:w="1006" w:type="dxa"/>
            <w:tcBorders>
              <w:top w:val="single" w:color="auto" w:sz="4" w:space="0"/>
              <w:left w:val="single" w:color="auto" w:sz="4" w:space="0"/>
              <w:bottom w:val="single" w:color="auto" w:sz="4" w:space="0"/>
              <w:right w:val="single" w:color="auto" w:sz="4" w:space="0"/>
            </w:tcBorders>
            <w:vAlign w:val="center"/>
          </w:tcPr>
          <w:p w14:paraId="39CFF4EA">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754" w:type="dxa"/>
            <w:tcBorders>
              <w:top w:val="single" w:color="auto" w:sz="4" w:space="0"/>
              <w:left w:val="single" w:color="auto" w:sz="4" w:space="0"/>
              <w:bottom w:val="single" w:color="auto" w:sz="4" w:space="0"/>
              <w:right w:val="single" w:color="auto" w:sz="4" w:space="0"/>
            </w:tcBorders>
            <w:vAlign w:val="center"/>
          </w:tcPr>
          <w:p w14:paraId="79F376B7">
            <w:pPr>
              <w:widowControl/>
              <w:jc w:val="center"/>
              <w:rPr>
                <w:rFonts w:hint="eastAsia" w:ascii="宋体" w:hAnsi="宋体" w:cs="宋体"/>
                <w:kern w:val="0"/>
                <w:sz w:val="24"/>
                <w:szCs w:val="24"/>
              </w:rPr>
            </w:pPr>
            <w:r>
              <w:rPr>
                <w:rFonts w:hint="eastAsia" w:ascii="宋体" w:hAnsi="宋体" w:cs="宋体"/>
                <w:kern w:val="0"/>
                <w:sz w:val="24"/>
                <w:szCs w:val="24"/>
              </w:rPr>
              <w:t>210</w:t>
            </w:r>
          </w:p>
        </w:tc>
        <w:tc>
          <w:tcPr>
            <w:tcW w:w="1191" w:type="dxa"/>
            <w:tcBorders>
              <w:top w:val="single" w:color="auto" w:sz="4" w:space="0"/>
              <w:left w:val="single" w:color="auto" w:sz="4" w:space="0"/>
              <w:bottom w:val="single" w:color="auto" w:sz="4" w:space="0"/>
              <w:right w:val="single" w:color="auto" w:sz="4" w:space="0"/>
            </w:tcBorders>
            <w:vAlign w:val="center"/>
          </w:tcPr>
          <w:p w14:paraId="0C1E5626">
            <w:pPr>
              <w:widowControl/>
              <w:jc w:val="center"/>
              <w:rPr>
                <w:rFonts w:hint="eastAsia" w:ascii="宋体" w:hAnsi="宋体" w:cs="宋体"/>
                <w:kern w:val="0"/>
                <w:sz w:val="24"/>
                <w:szCs w:val="24"/>
              </w:rPr>
            </w:pPr>
            <w:r>
              <w:rPr>
                <w:rFonts w:hint="eastAsia" w:ascii="宋体" w:hAnsi="宋体" w:cs="宋体"/>
                <w:kern w:val="0"/>
                <w:sz w:val="24"/>
                <w:szCs w:val="24"/>
              </w:rPr>
              <w:t>210</w:t>
            </w:r>
          </w:p>
        </w:tc>
        <w:tc>
          <w:tcPr>
            <w:tcW w:w="2285" w:type="dxa"/>
            <w:vMerge w:val="continue"/>
            <w:tcBorders>
              <w:left w:val="single" w:color="auto" w:sz="4" w:space="0"/>
            </w:tcBorders>
          </w:tcPr>
          <w:p w14:paraId="02DBB977">
            <w:pPr>
              <w:widowControl/>
              <w:jc w:val="center"/>
              <w:rPr>
                <w:rFonts w:hint="eastAsia" w:ascii="宋体" w:hAnsi="宋体" w:cs="宋体"/>
                <w:kern w:val="0"/>
                <w:sz w:val="24"/>
                <w:szCs w:val="24"/>
              </w:rPr>
            </w:pPr>
          </w:p>
        </w:tc>
      </w:tr>
      <w:tr w14:paraId="0CA5FC8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77F6580A">
            <w:pPr>
              <w:widowControl/>
              <w:jc w:val="center"/>
              <w:rPr>
                <w:rFonts w:hint="eastAsia" w:ascii="宋体" w:hAnsi="宋体"/>
                <w:sz w:val="24"/>
                <w:szCs w:val="24"/>
              </w:rPr>
            </w:pPr>
            <w:r>
              <w:rPr>
                <w:rFonts w:hint="eastAsia" w:ascii="宋体" w:hAnsi="宋体"/>
                <w:sz w:val="24"/>
                <w:szCs w:val="24"/>
              </w:rPr>
              <w:t>10</w:t>
            </w:r>
          </w:p>
        </w:tc>
        <w:tc>
          <w:tcPr>
            <w:tcW w:w="3175" w:type="dxa"/>
            <w:tcBorders>
              <w:top w:val="single" w:color="000000" w:sz="4" w:space="0"/>
              <w:left w:val="single" w:color="000000" w:sz="4" w:space="0"/>
              <w:bottom w:val="single" w:color="000000" w:sz="4" w:space="0"/>
              <w:right w:val="single" w:color="auto" w:sz="4" w:space="0"/>
            </w:tcBorders>
            <w:vAlign w:val="center"/>
          </w:tcPr>
          <w:p w14:paraId="409C7F07">
            <w:pPr>
              <w:widowControl/>
              <w:jc w:val="center"/>
              <w:rPr>
                <w:rFonts w:hint="eastAsia" w:ascii="宋体" w:hAnsi="宋体" w:cs="宋体"/>
                <w:kern w:val="0"/>
                <w:sz w:val="24"/>
                <w:szCs w:val="24"/>
              </w:rPr>
            </w:pPr>
            <w:r>
              <w:rPr>
                <w:rFonts w:ascii="宋体" w:hAnsi="宋体" w:cs="宋体"/>
                <w:kern w:val="0"/>
                <w:sz w:val="24"/>
                <w:szCs w:val="24"/>
              </w:rPr>
              <w:t>全自动血沉仪</w:t>
            </w:r>
          </w:p>
        </w:tc>
        <w:tc>
          <w:tcPr>
            <w:tcW w:w="1006" w:type="dxa"/>
            <w:tcBorders>
              <w:top w:val="single" w:color="auto" w:sz="4" w:space="0"/>
              <w:left w:val="single" w:color="auto" w:sz="4" w:space="0"/>
              <w:bottom w:val="single" w:color="auto" w:sz="4" w:space="0"/>
              <w:right w:val="single" w:color="auto" w:sz="4" w:space="0"/>
            </w:tcBorders>
            <w:vAlign w:val="center"/>
          </w:tcPr>
          <w:p w14:paraId="4EC21213">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754" w:type="dxa"/>
            <w:tcBorders>
              <w:top w:val="single" w:color="auto" w:sz="4" w:space="0"/>
              <w:left w:val="single" w:color="auto" w:sz="4" w:space="0"/>
              <w:bottom w:val="single" w:color="auto" w:sz="4" w:space="0"/>
              <w:right w:val="single" w:color="auto" w:sz="4" w:space="0"/>
            </w:tcBorders>
            <w:vAlign w:val="center"/>
          </w:tcPr>
          <w:p w14:paraId="063C3747">
            <w:pPr>
              <w:widowControl/>
              <w:jc w:val="center"/>
              <w:rPr>
                <w:rFonts w:hint="eastAsia" w:ascii="宋体" w:hAnsi="宋体" w:cs="宋体"/>
                <w:kern w:val="0"/>
                <w:sz w:val="24"/>
                <w:szCs w:val="24"/>
              </w:rPr>
            </w:pPr>
            <w:r>
              <w:rPr>
                <w:rFonts w:hint="eastAsia" w:ascii="宋体" w:hAnsi="宋体" w:cs="宋体"/>
                <w:kern w:val="0"/>
                <w:sz w:val="24"/>
                <w:szCs w:val="24"/>
              </w:rPr>
              <w:t>7</w:t>
            </w:r>
          </w:p>
        </w:tc>
        <w:tc>
          <w:tcPr>
            <w:tcW w:w="1191" w:type="dxa"/>
            <w:tcBorders>
              <w:top w:val="single" w:color="auto" w:sz="4" w:space="0"/>
              <w:left w:val="single" w:color="auto" w:sz="4" w:space="0"/>
              <w:bottom w:val="single" w:color="auto" w:sz="4" w:space="0"/>
              <w:right w:val="single" w:color="auto" w:sz="4" w:space="0"/>
            </w:tcBorders>
            <w:vAlign w:val="center"/>
          </w:tcPr>
          <w:p w14:paraId="4F214023">
            <w:pPr>
              <w:widowControl/>
              <w:jc w:val="center"/>
              <w:rPr>
                <w:rFonts w:hint="eastAsia" w:ascii="宋体" w:hAnsi="宋体" w:cs="宋体"/>
                <w:kern w:val="0"/>
                <w:sz w:val="24"/>
                <w:szCs w:val="24"/>
              </w:rPr>
            </w:pPr>
            <w:r>
              <w:rPr>
                <w:rFonts w:hint="eastAsia" w:ascii="宋体" w:hAnsi="宋体" w:cs="宋体"/>
                <w:kern w:val="0"/>
                <w:sz w:val="24"/>
                <w:szCs w:val="24"/>
              </w:rPr>
              <w:t>7</w:t>
            </w:r>
          </w:p>
        </w:tc>
        <w:tc>
          <w:tcPr>
            <w:tcW w:w="2285" w:type="dxa"/>
            <w:vMerge w:val="continue"/>
            <w:tcBorders>
              <w:left w:val="single" w:color="auto" w:sz="4" w:space="0"/>
            </w:tcBorders>
          </w:tcPr>
          <w:p w14:paraId="49A65209">
            <w:pPr>
              <w:widowControl/>
              <w:jc w:val="center"/>
              <w:rPr>
                <w:rFonts w:hint="eastAsia" w:ascii="宋体" w:hAnsi="宋体" w:cs="宋体"/>
                <w:kern w:val="0"/>
                <w:sz w:val="24"/>
                <w:szCs w:val="24"/>
              </w:rPr>
            </w:pPr>
          </w:p>
        </w:tc>
      </w:tr>
      <w:tr w14:paraId="4E2C2D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56D4EDE1">
            <w:pPr>
              <w:widowControl/>
              <w:jc w:val="center"/>
              <w:rPr>
                <w:rFonts w:hint="eastAsia" w:ascii="宋体" w:hAnsi="宋体"/>
                <w:sz w:val="24"/>
                <w:szCs w:val="24"/>
              </w:rPr>
            </w:pPr>
            <w:r>
              <w:rPr>
                <w:rFonts w:hint="eastAsia" w:ascii="宋体" w:hAnsi="宋体"/>
                <w:sz w:val="24"/>
                <w:szCs w:val="24"/>
              </w:rPr>
              <w:t>11</w:t>
            </w:r>
          </w:p>
        </w:tc>
        <w:tc>
          <w:tcPr>
            <w:tcW w:w="3175" w:type="dxa"/>
            <w:tcBorders>
              <w:top w:val="single" w:color="000000" w:sz="4" w:space="0"/>
              <w:left w:val="single" w:color="000000" w:sz="4" w:space="0"/>
              <w:bottom w:val="single" w:color="000000" w:sz="4" w:space="0"/>
              <w:right w:val="single" w:color="auto" w:sz="4" w:space="0"/>
            </w:tcBorders>
            <w:vAlign w:val="center"/>
          </w:tcPr>
          <w:p w14:paraId="41B6A4BC">
            <w:pPr>
              <w:widowControl/>
              <w:jc w:val="center"/>
              <w:rPr>
                <w:rFonts w:hint="eastAsia" w:ascii="宋体" w:hAnsi="宋体" w:cs="宋体"/>
                <w:kern w:val="0"/>
                <w:sz w:val="24"/>
                <w:szCs w:val="24"/>
              </w:rPr>
            </w:pPr>
            <w:r>
              <w:rPr>
                <w:rFonts w:hint="eastAsia" w:ascii="宋体" w:hAnsi="宋体" w:cs="宋体"/>
                <w:kern w:val="0"/>
                <w:sz w:val="24"/>
                <w:szCs w:val="24"/>
              </w:rPr>
              <w:t>全自动血液细胞分析流水线（配C反应蛋白模块）</w:t>
            </w:r>
          </w:p>
        </w:tc>
        <w:tc>
          <w:tcPr>
            <w:tcW w:w="1006" w:type="dxa"/>
            <w:tcBorders>
              <w:top w:val="single" w:color="auto" w:sz="4" w:space="0"/>
              <w:left w:val="single" w:color="auto" w:sz="4" w:space="0"/>
              <w:bottom w:val="single" w:color="auto" w:sz="4" w:space="0"/>
              <w:right w:val="single" w:color="auto" w:sz="4" w:space="0"/>
            </w:tcBorders>
            <w:vAlign w:val="center"/>
          </w:tcPr>
          <w:p w14:paraId="16DA8B87">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754" w:type="dxa"/>
            <w:tcBorders>
              <w:top w:val="single" w:color="auto" w:sz="4" w:space="0"/>
              <w:left w:val="single" w:color="auto" w:sz="4" w:space="0"/>
              <w:bottom w:val="single" w:color="auto" w:sz="4" w:space="0"/>
              <w:right w:val="single" w:color="auto" w:sz="4" w:space="0"/>
            </w:tcBorders>
            <w:vAlign w:val="center"/>
          </w:tcPr>
          <w:p w14:paraId="59277B9B">
            <w:pPr>
              <w:widowControl/>
              <w:jc w:val="center"/>
              <w:rPr>
                <w:rFonts w:hint="eastAsia" w:ascii="宋体" w:hAnsi="宋体" w:cs="宋体"/>
                <w:kern w:val="0"/>
                <w:sz w:val="24"/>
                <w:szCs w:val="24"/>
              </w:rPr>
            </w:pPr>
            <w:r>
              <w:rPr>
                <w:rFonts w:hint="eastAsia" w:ascii="宋体" w:hAnsi="宋体" w:cs="宋体"/>
                <w:kern w:val="0"/>
                <w:sz w:val="24"/>
                <w:szCs w:val="24"/>
              </w:rPr>
              <w:t>100</w:t>
            </w:r>
          </w:p>
        </w:tc>
        <w:tc>
          <w:tcPr>
            <w:tcW w:w="1191" w:type="dxa"/>
            <w:tcBorders>
              <w:top w:val="single" w:color="auto" w:sz="4" w:space="0"/>
              <w:left w:val="single" w:color="auto" w:sz="4" w:space="0"/>
              <w:bottom w:val="single" w:color="auto" w:sz="4" w:space="0"/>
              <w:right w:val="single" w:color="auto" w:sz="4" w:space="0"/>
            </w:tcBorders>
            <w:vAlign w:val="center"/>
          </w:tcPr>
          <w:p w14:paraId="5ABDC0AC">
            <w:pPr>
              <w:widowControl/>
              <w:jc w:val="center"/>
              <w:rPr>
                <w:rFonts w:hint="eastAsia" w:ascii="宋体" w:hAnsi="宋体" w:cs="宋体"/>
                <w:kern w:val="0"/>
                <w:sz w:val="24"/>
                <w:szCs w:val="24"/>
              </w:rPr>
            </w:pPr>
            <w:r>
              <w:rPr>
                <w:rFonts w:hint="eastAsia" w:ascii="宋体" w:hAnsi="宋体" w:cs="宋体"/>
                <w:kern w:val="0"/>
                <w:sz w:val="24"/>
                <w:szCs w:val="24"/>
              </w:rPr>
              <w:t>100</w:t>
            </w:r>
          </w:p>
        </w:tc>
        <w:tc>
          <w:tcPr>
            <w:tcW w:w="2285" w:type="dxa"/>
            <w:vMerge w:val="continue"/>
            <w:tcBorders>
              <w:left w:val="single" w:color="auto" w:sz="4" w:space="0"/>
            </w:tcBorders>
          </w:tcPr>
          <w:p w14:paraId="3C957EBF">
            <w:pPr>
              <w:widowControl/>
              <w:jc w:val="center"/>
              <w:rPr>
                <w:rFonts w:hint="eastAsia" w:ascii="宋体" w:hAnsi="宋体" w:cs="宋体"/>
                <w:kern w:val="0"/>
                <w:sz w:val="24"/>
                <w:szCs w:val="24"/>
              </w:rPr>
            </w:pPr>
          </w:p>
        </w:tc>
      </w:tr>
      <w:tr w14:paraId="3E71D28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0FD364A8">
            <w:pPr>
              <w:widowControl/>
              <w:jc w:val="center"/>
              <w:rPr>
                <w:rFonts w:hint="eastAsia" w:ascii="宋体" w:hAnsi="宋体"/>
                <w:sz w:val="24"/>
                <w:szCs w:val="24"/>
              </w:rPr>
            </w:pPr>
            <w:r>
              <w:rPr>
                <w:rFonts w:hint="eastAsia" w:ascii="宋体" w:hAnsi="宋体"/>
                <w:sz w:val="24"/>
                <w:szCs w:val="24"/>
              </w:rPr>
              <w:t>12</w:t>
            </w:r>
          </w:p>
        </w:tc>
        <w:tc>
          <w:tcPr>
            <w:tcW w:w="3175" w:type="dxa"/>
            <w:tcBorders>
              <w:top w:val="single" w:color="000000" w:sz="4" w:space="0"/>
              <w:left w:val="single" w:color="000000" w:sz="4" w:space="0"/>
              <w:bottom w:val="single" w:color="000000" w:sz="4" w:space="0"/>
              <w:right w:val="single" w:color="auto" w:sz="4" w:space="0"/>
            </w:tcBorders>
            <w:vAlign w:val="center"/>
          </w:tcPr>
          <w:p w14:paraId="3BC9278C">
            <w:pPr>
              <w:widowControl/>
              <w:jc w:val="center"/>
              <w:rPr>
                <w:rFonts w:hint="eastAsia" w:ascii="宋体" w:hAnsi="宋体" w:cs="宋体"/>
                <w:kern w:val="0"/>
                <w:sz w:val="24"/>
                <w:szCs w:val="24"/>
              </w:rPr>
            </w:pPr>
            <w:r>
              <w:rPr>
                <w:rFonts w:hint="eastAsia" w:ascii="宋体" w:hAnsi="宋体" w:cs="宋体"/>
                <w:kern w:val="0"/>
                <w:sz w:val="24"/>
                <w:szCs w:val="24"/>
              </w:rPr>
              <w:t>全自动血液细胞分析仪+CRP 一体机</w:t>
            </w:r>
          </w:p>
        </w:tc>
        <w:tc>
          <w:tcPr>
            <w:tcW w:w="1006" w:type="dxa"/>
            <w:tcBorders>
              <w:top w:val="single" w:color="auto" w:sz="4" w:space="0"/>
              <w:left w:val="single" w:color="auto" w:sz="4" w:space="0"/>
              <w:bottom w:val="single" w:color="auto" w:sz="4" w:space="0"/>
              <w:right w:val="single" w:color="auto" w:sz="4" w:space="0"/>
            </w:tcBorders>
            <w:vAlign w:val="center"/>
          </w:tcPr>
          <w:p w14:paraId="2EFEE746">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754" w:type="dxa"/>
            <w:tcBorders>
              <w:top w:val="single" w:color="auto" w:sz="4" w:space="0"/>
              <w:left w:val="single" w:color="auto" w:sz="4" w:space="0"/>
              <w:bottom w:val="single" w:color="auto" w:sz="4" w:space="0"/>
              <w:right w:val="single" w:color="auto" w:sz="4" w:space="0"/>
            </w:tcBorders>
            <w:vAlign w:val="center"/>
          </w:tcPr>
          <w:p w14:paraId="03FB31DD">
            <w:pPr>
              <w:widowControl/>
              <w:jc w:val="center"/>
              <w:rPr>
                <w:rFonts w:hint="eastAsia" w:ascii="宋体" w:hAnsi="宋体" w:cs="宋体"/>
                <w:kern w:val="0"/>
                <w:sz w:val="24"/>
                <w:szCs w:val="24"/>
              </w:rPr>
            </w:pPr>
            <w:r>
              <w:rPr>
                <w:rFonts w:hint="eastAsia" w:ascii="宋体" w:hAnsi="宋体" w:cs="宋体"/>
                <w:kern w:val="0"/>
                <w:sz w:val="24"/>
                <w:szCs w:val="24"/>
              </w:rPr>
              <w:t>21</w:t>
            </w:r>
          </w:p>
        </w:tc>
        <w:tc>
          <w:tcPr>
            <w:tcW w:w="1191" w:type="dxa"/>
            <w:tcBorders>
              <w:top w:val="single" w:color="auto" w:sz="4" w:space="0"/>
              <w:left w:val="single" w:color="auto" w:sz="4" w:space="0"/>
              <w:bottom w:val="single" w:color="auto" w:sz="4" w:space="0"/>
              <w:right w:val="single" w:color="auto" w:sz="4" w:space="0"/>
            </w:tcBorders>
            <w:vAlign w:val="center"/>
          </w:tcPr>
          <w:p w14:paraId="56B49F0F">
            <w:pPr>
              <w:widowControl/>
              <w:jc w:val="center"/>
              <w:rPr>
                <w:rFonts w:hint="eastAsia" w:ascii="宋体" w:hAnsi="宋体" w:cs="宋体"/>
                <w:kern w:val="0"/>
                <w:sz w:val="24"/>
                <w:szCs w:val="24"/>
              </w:rPr>
            </w:pPr>
            <w:r>
              <w:rPr>
                <w:rFonts w:hint="eastAsia" w:ascii="宋体" w:hAnsi="宋体" w:cs="宋体"/>
                <w:kern w:val="0"/>
                <w:sz w:val="24"/>
                <w:szCs w:val="24"/>
              </w:rPr>
              <w:t>21</w:t>
            </w:r>
          </w:p>
        </w:tc>
        <w:tc>
          <w:tcPr>
            <w:tcW w:w="2285" w:type="dxa"/>
            <w:vMerge w:val="continue"/>
            <w:tcBorders>
              <w:left w:val="single" w:color="auto" w:sz="4" w:space="0"/>
            </w:tcBorders>
          </w:tcPr>
          <w:p w14:paraId="6A46EFFE">
            <w:pPr>
              <w:widowControl/>
              <w:jc w:val="center"/>
              <w:rPr>
                <w:rFonts w:hint="eastAsia" w:ascii="宋体" w:hAnsi="宋体" w:cs="宋体"/>
                <w:kern w:val="0"/>
                <w:sz w:val="24"/>
                <w:szCs w:val="24"/>
              </w:rPr>
            </w:pPr>
          </w:p>
        </w:tc>
      </w:tr>
      <w:tr w14:paraId="21A3D3D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2FA6EE39">
            <w:pPr>
              <w:widowControl/>
              <w:jc w:val="center"/>
              <w:rPr>
                <w:rFonts w:hint="eastAsia" w:ascii="宋体" w:hAnsi="宋体"/>
                <w:sz w:val="24"/>
                <w:szCs w:val="24"/>
              </w:rPr>
            </w:pPr>
            <w:r>
              <w:rPr>
                <w:rFonts w:hint="eastAsia" w:ascii="宋体" w:hAnsi="宋体"/>
                <w:sz w:val="24"/>
                <w:szCs w:val="24"/>
              </w:rPr>
              <w:t>13</w:t>
            </w:r>
          </w:p>
        </w:tc>
        <w:tc>
          <w:tcPr>
            <w:tcW w:w="3175" w:type="dxa"/>
            <w:tcBorders>
              <w:top w:val="single" w:color="000000" w:sz="4" w:space="0"/>
              <w:left w:val="single" w:color="000000" w:sz="4" w:space="0"/>
              <w:bottom w:val="single" w:color="000000" w:sz="4" w:space="0"/>
              <w:right w:val="single" w:color="auto" w:sz="4" w:space="0"/>
            </w:tcBorders>
            <w:vAlign w:val="center"/>
          </w:tcPr>
          <w:p w14:paraId="320DBE60">
            <w:pPr>
              <w:widowControl/>
              <w:jc w:val="center"/>
              <w:rPr>
                <w:rFonts w:hint="eastAsia" w:ascii="宋体" w:hAnsi="宋体" w:cs="宋体"/>
                <w:kern w:val="0"/>
                <w:sz w:val="24"/>
                <w:szCs w:val="24"/>
              </w:rPr>
            </w:pPr>
            <w:r>
              <w:rPr>
                <w:rFonts w:ascii="宋体" w:hAnsi="宋体" w:cs="宋体"/>
                <w:kern w:val="0"/>
                <w:sz w:val="24"/>
                <w:szCs w:val="24"/>
              </w:rPr>
              <w:t>洗板机</w:t>
            </w:r>
          </w:p>
        </w:tc>
        <w:tc>
          <w:tcPr>
            <w:tcW w:w="1006" w:type="dxa"/>
            <w:tcBorders>
              <w:top w:val="single" w:color="auto" w:sz="4" w:space="0"/>
              <w:left w:val="single" w:color="auto" w:sz="4" w:space="0"/>
              <w:bottom w:val="single" w:color="auto" w:sz="4" w:space="0"/>
              <w:right w:val="single" w:color="auto" w:sz="4" w:space="0"/>
            </w:tcBorders>
            <w:vAlign w:val="center"/>
          </w:tcPr>
          <w:p w14:paraId="544D2F28">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754" w:type="dxa"/>
            <w:tcBorders>
              <w:top w:val="single" w:color="auto" w:sz="4" w:space="0"/>
              <w:left w:val="single" w:color="auto" w:sz="4" w:space="0"/>
              <w:bottom w:val="single" w:color="auto" w:sz="4" w:space="0"/>
              <w:right w:val="single" w:color="auto" w:sz="4" w:space="0"/>
            </w:tcBorders>
            <w:vAlign w:val="center"/>
          </w:tcPr>
          <w:p w14:paraId="3016F9E8">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1191" w:type="dxa"/>
            <w:tcBorders>
              <w:top w:val="single" w:color="auto" w:sz="4" w:space="0"/>
              <w:left w:val="single" w:color="auto" w:sz="4" w:space="0"/>
              <w:bottom w:val="single" w:color="auto" w:sz="4" w:space="0"/>
              <w:right w:val="single" w:color="auto" w:sz="4" w:space="0"/>
            </w:tcBorders>
            <w:vAlign w:val="center"/>
          </w:tcPr>
          <w:p w14:paraId="7C7E1417">
            <w:pPr>
              <w:widowControl/>
              <w:jc w:val="center"/>
              <w:rPr>
                <w:rFonts w:hint="eastAsia" w:ascii="宋体" w:hAnsi="宋体" w:cs="宋体"/>
                <w:kern w:val="0"/>
                <w:sz w:val="24"/>
                <w:szCs w:val="24"/>
              </w:rPr>
            </w:pPr>
            <w:r>
              <w:rPr>
                <w:rFonts w:hint="eastAsia" w:ascii="宋体" w:hAnsi="宋体" w:cs="宋体"/>
                <w:kern w:val="0"/>
                <w:sz w:val="24"/>
                <w:szCs w:val="24"/>
              </w:rPr>
              <w:t>8</w:t>
            </w:r>
          </w:p>
        </w:tc>
        <w:tc>
          <w:tcPr>
            <w:tcW w:w="2285" w:type="dxa"/>
            <w:vMerge w:val="continue"/>
            <w:tcBorders>
              <w:left w:val="single" w:color="auto" w:sz="4" w:space="0"/>
            </w:tcBorders>
          </w:tcPr>
          <w:p w14:paraId="0BD5BC41">
            <w:pPr>
              <w:widowControl/>
              <w:jc w:val="center"/>
              <w:rPr>
                <w:rFonts w:hint="eastAsia" w:ascii="宋体" w:hAnsi="宋体" w:cs="宋体"/>
                <w:kern w:val="0"/>
                <w:sz w:val="24"/>
                <w:szCs w:val="24"/>
              </w:rPr>
            </w:pPr>
          </w:p>
        </w:tc>
      </w:tr>
      <w:tr w14:paraId="00D621E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2503C5B7">
            <w:pPr>
              <w:widowControl/>
              <w:jc w:val="center"/>
              <w:rPr>
                <w:rFonts w:hint="eastAsia" w:ascii="宋体" w:hAnsi="宋体"/>
                <w:sz w:val="24"/>
                <w:szCs w:val="24"/>
              </w:rPr>
            </w:pPr>
            <w:r>
              <w:rPr>
                <w:rFonts w:hint="eastAsia" w:ascii="宋体" w:hAnsi="宋体"/>
                <w:sz w:val="24"/>
                <w:szCs w:val="24"/>
              </w:rPr>
              <w:t>14</w:t>
            </w:r>
          </w:p>
        </w:tc>
        <w:tc>
          <w:tcPr>
            <w:tcW w:w="3175" w:type="dxa"/>
            <w:tcBorders>
              <w:top w:val="single" w:color="000000" w:sz="4" w:space="0"/>
              <w:left w:val="single" w:color="000000" w:sz="4" w:space="0"/>
              <w:bottom w:val="single" w:color="000000" w:sz="4" w:space="0"/>
              <w:right w:val="single" w:color="auto" w:sz="4" w:space="0"/>
            </w:tcBorders>
            <w:vAlign w:val="center"/>
          </w:tcPr>
          <w:p w14:paraId="1CC4BDB2">
            <w:pPr>
              <w:widowControl/>
              <w:jc w:val="center"/>
              <w:rPr>
                <w:rFonts w:hint="eastAsia" w:ascii="宋体" w:hAnsi="宋体" w:cs="宋体"/>
                <w:kern w:val="0"/>
                <w:sz w:val="24"/>
                <w:szCs w:val="24"/>
              </w:rPr>
            </w:pPr>
            <w:r>
              <w:rPr>
                <w:rFonts w:hint="eastAsia" w:ascii="宋体" w:hAnsi="宋体" w:cs="宋体"/>
                <w:kern w:val="0"/>
                <w:sz w:val="24"/>
                <w:szCs w:val="24"/>
              </w:rPr>
              <w:t>血流变分析仪</w:t>
            </w:r>
          </w:p>
        </w:tc>
        <w:tc>
          <w:tcPr>
            <w:tcW w:w="1006" w:type="dxa"/>
            <w:tcBorders>
              <w:top w:val="single" w:color="auto" w:sz="4" w:space="0"/>
              <w:left w:val="single" w:color="auto" w:sz="4" w:space="0"/>
              <w:bottom w:val="single" w:color="auto" w:sz="4" w:space="0"/>
              <w:right w:val="single" w:color="auto" w:sz="4" w:space="0"/>
            </w:tcBorders>
            <w:vAlign w:val="center"/>
          </w:tcPr>
          <w:p w14:paraId="42AE22B1">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754" w:type="dxa"/>
            <w:tcBorders>
              <w:top w:val="single" w:color="auto" w:sz="4" w:space="0"/>
              <w:left w:val="single" w:color="auto" w:sz="4" w:space="0"/>
              <w:bottom w:val="single" w:color="auto" w:sz="4" w:space="0"/>
              <w:right w:val="single" w:color="auto" w:sz="4" w:space="0"/>
            </w:tcBorders>
            <w:vAlign w:val="center"/>
          </w:tcPr>
          <w:p w14:paraId="2D75AFA7">
            <w:pPr>
              <w:widowControl/>
              <w:jc w:val="center"/>
              <w:rPr>
                <w:rFonts w:hint="eastAsia" w:ascii="宋体" w:hAnsi="宋体" w:cs="宋体"/>
                <w:kern w:val="0"/>
                <w:sz w:val="24"/>
                <w:szCs w:val="24"/>
              </w:rPr>
            </w:pPr>
            <w:r>
              <w:rPr>
                <w:rFonts w:hint="eastAsia" w:ascii="宋体" w:hAnsi="宋体" w:cs="宋体"/>
                <w:kern w:val="0"/>
                <w:sz w:val="24"/>
                <w:szCs w:val="24"/>
              </w:rPr>
              <w:t>19</w:t>
            </w:r>
          </w:p>
        </w:tc>
        <w:tc>
          <w:tcPr>
            <w:tcW w:w="1191" w:type="dxa"/>
            <w:tcBorders>
              <w:top w:val="single" w:color="auto" w:sz="4" w:space="0"/>
              <w:left w:val="single" w:color="auto" w:sz="4" w:space="0"/>
              <w:right w:val="single" w:color="auto" w:sz="4" w:space="0"/>
            </w:tcBorders>
            <w:vAlign w:val="center"/>
          </w:tcPr>
          <w:p w14:paraId="16E05ADC">
            <w:pPr>
              <w:widowControl/>
              <w:jc w:val="center"/>
              <w:rPr>
                <w:rFonts w:hint="eastAsia" w:ascii="宋体" w:hAnsi="宋体" w:cs="宋体"/>
                <w:kern w:val="0"/>
                <w:sz w:val="24"/>
                <w:szCs w:val="24"/>
              </w:rPr>
            </w:pPr>
            <w:r>
              <w:rPr>
                <w:rFonts w:hint="eastAsia" w:ascii="宋体" w:hAnsi="宋体" w:cs="宋体"/>
                <w:kern w:val="0"/>
                <w:sz w:val="24"/>
                <w:szCs w:val="24"/>
              </w:rPr>
              <w:t>19</w:t>
            </w:r>
          </w:p>
        </w:tc>
        <w:tc>
          <w:tcPr>
            <w:tcW w:w="2285" w:type="dxa"/>
            <w:vMerge w:val="continue"/>
            <w:tcBorders>
              <w:left w:val="single" w:color="auto" w:sz="4" w:space="0"/>
            </w:tcBorders>
          </w:tcPr>
          <w:p w14:paraId="380A5E73">
            <w:pPr>
              <w:widowControl/>
              <w:jc w:val="center"/>
              <w:rPr>
                <w:rFonts w:hint="eastAsia" w:ascii="宋体" w:hAnsi="宋体" w:cs="宋体"/>
                <w:kern w:val="0"/>
                <w:sz w:val="24"/>
                <w:szCs w:val="24"/>
              </w:rPr>
            </w:pPr>
          </w:p>
        </w:tc>
      </w:tr>
      <w:bookmarkEnd w:id="1"/>
      <w:bookmarkEnd w:id="2"/>
    </w:tbl>
    <w:p w14:paraId="31DFFA6E">
      <w:pPr>
        <w:rPr>
          <w:rFonts w:hint="eastAsia" w:ascii="宋体" w:hAnsi="宋体"/>
          <w:sz w:val="24"/>
          <w:szCs w:val="24"/>
        </w:rPr>
      </w:pPr>
    </w:p>
    <w:p w14:paraId="7897216E">
      <w:pPr>
        <w:tabs>
          <w:tab w:val="left" w:pos="945"/>
          <w:tab w:val="left" w:pos="2977"/>
        </w:tabs>
        <w:spacing w:line="360" w:lineRule="auto"/>
        <w:rPr>
          <w:rFonts w:hint="eastAsia" w:ascii="宋体" w:hAnsi="宋体"/>
          <w:b/>
          <w:bCs/>
          <w:sz w:val="24"/>
          <w:szCs w:val="24"/>
        </w:rPr>
      </w:pPr>
      <w:r>
        <w:rPr>
          <w:rFonts w:hint="eastAsia" w:ascii="宋体" w:hAnsi="宋体"/>
          <w:sz w:val="24"/>
          <w:szCs w:val="24"/>
        </w:rPr>
        <w:t>项目总预算：人民币</w:t>
      </w:r>
      <w:bookmarkStart w:id="3" w:name="OLE_LINK8"/>
      <w:r>
        <w:rPr>
          <w:rFonts w:hint="eastAsia" w:ascii="宋体" w:hAnsi="宋体" w:cs="宋体"/>
          <w:kern w:val="0"/>
          <w:sz w:val="24"/>
          <w:szCs w:val="24"/>
        </w:rPr>
        <w:t>572.5</w:t>
      </w:r>
      <w:r>
        <w:rPr>
          <w:rFonts w:hint="eastAsia" w:ascii="宋体" w:hAnsi="宋体"/>
          <w:sz w:val="24"/>
          <w:szCs w:val="24"/>
        </w:rPr>
        <w:t>万元</w:t>
      </w:r>
      <w:bookmarkEnd w:id="3"/>
      <w:r>
        <w:rPr>
          <w:rFonts w:hint="eastAsia" w:ascii="宋体" w:hAnsi="宋体"/>
          <w:sz w:val="24"/>
          <w:szCs w:val="24"/>
        </w:rPr>
        <w:t>。</w:t>
      </w:r>
    </w:p>
    <w:p w14:paraId="58EA6BA3">
      <w:pPr>
        <w:tabs>
          <w:tab w:val="left" w:pos="945"/>
          <w:tab w:val="left" w:pos="2977"/>
        </w:tabs>
        <w:spacing w:line="360" w:lineRule="auto"/>
        <w:rPr>
          <w:rFonts w:hint="eastAsia" w:ascii="宋体" w:hAnsi="宋体"/>
          <w:sz w:val="24"/>
          <w:szCs w:val="24"/>
        </w:rPr>
      </w:pPr>
      <w:r>
        <w:rPr>
          <w:rFonts w:hint="eastAsia" w:ascii="宋体" w:hAnsi="宋体"/>
          <w:sz w:val="24"/>
          <w:szCs w:val="24"/>
        </w:rPr>
        <w:t>最高投标限价：总计人民币</w:t>
      </w:r>
      <w:r>
        <w:rPr>
          <w:rFonts w:hint="eastAsia" w:ascii="宋体" w:hAnsi="宋体" w:cs="宋体"/>
          <w:kern w:val="0"/>
          <w:sz w:val="24"/>
          <w:szCs w:val="24"/>
        </w:rPr>
        <w:t>572.5</w:t>
      </w:r>
      <w:r>
        <w:rPr>
          <w:rFonts w:hint="eastAsia" w:ascii="宋体" w:hAnsi="宋体"/>
          <w:sz w:val="24"/>
          <w:szCs w:val="24"/>
        </w:rPr>
        <w:t>万元。</w:t>
      </w:r>
    </w:p>
    <w:p w14:paraId="34303963">
      <w:pPr>
        <w:tabs>
          <w:tab w:val="left" w:pos="945"/>
          <w:tab w:val="left" w:pos="2977"/>
        </w:tabs>
        <w:spacing w:line="360" w:lineRule="auto"/>
        <w:rPr>
          <w:rFonts w:hint="eastAsia" w:ascii="宋体" w:hAnsi="宋体"/>
          <w:sz w:val="24"/>
          <w:szCs w:val="24"/>
        </w:rPr>
      </w:pPr>
      <w:r>
        <w:rPr>
          <w:rFonts w:hint="eastAsia" w:ascii="宋体" w:hAnsi="宋体"/>
          <w:sz w:val="24"/>
          <w:szCs w:val="24"/>
        </w:rPr>
        <w:t>是否允许采购进口产品：不允许</w:t>
      </w:r>
    </w:p>
    <w:p w14:paraId="39165764">
      <w:pPr>
        <w:tabs>
          <w:tab w:val="left" w:pos="945"/>
          <w:tab w:val="left" w:pos="2977"/>
        </w:tabs>
        <w:spacing w:line="360" w:lineRule="auto"/>
        <w:rPr>
          <w:rFonts w:hint="eastAsia" w:ascii="宋体" w:hAnsi="宋体"/>
          <w:sz w:val="24"/>
          <w:szCs w:val="24"/>
        </w:rPr>
      </w:pPr>
      <w:r>
        <w:rPr>
          <w:rFonts w:hint="eastAsia" w:ascii="宋体" w:hAnsi="宋体"/>
          <w:sz w:val="24"/>
          <w:szCs w:val="24"/>
        </w:rPr>
        <w:t>合同履行期限：</w:t>
      </w:r>
      <w:bookmarkStart w:id="4" w:name="OLE_LINK19"/>
      <w:r>
        <w:rPr>
          <w:rFonts w:hint="eastAsia" w:ascii="宋体" w:hAnsi="宋体"/>
          <w:sz w:val="24"/>
          <w:szCs w:val="24"/>
        </w:rPr>
        <w:t>自合同签订之日后，接到采购人书面供货通知起30日历日内交货，到货15日历日内安装调试完毕。</w:t>
      </w:r>
      <w:bookmarkEnd w:id="4"/>
    </w:p>
    <w:p w14:paraId="29237BA9">
      <w:pPr>
        <w:spacing w:line="360" w:lineRule="auto"/>
        <w:contextualSpacing/>
        <w:rPr>
          <w:rFonts w:hint="eastAsia" w:ascii="宋体" w:hAnsi="宋体"/>
          <w:b/>
          <w:bCs/>
          <w:sz w:val="24"/>
          <w:szCs w:val="24"/>
        </w:rPr>
      </w:pPr>
      <w:r>
        <w:rPr>
          <w:rFonts w:hint="eastAsia" w:ascii="宋体" w:hAnsi="宋体"/>
          <w:b/>
          <w:bCs/>
          <w:sz w:val="24"/>
          <w:szCs w:val="24"/>
        </w:rPr>
        <w:t>二、</w:t>
      </w:r>
      <w:r>
        <w:rPr>
          <w:rFonts w:ascii="宋体" w:hAnsi="宋体"/>
          <w:b/>
          <w:bCs/>
          <w:sz w:val="24"/>
          <w:szCs w:val="24"/>
        </w:rPr>
        <w:t>投标人资格条件：</w:t>
      </w:r>
    </w:p>
    <w:p w14:paraId="514BBE30">
      <w:pPr>
        <w:spacing w:line="360" w:lineRule="auto"/>
        <w:rPr>
          <w:rFonts w:hint="eastAsia" w:ascii="宋体" w:hAnsi="宋体"/>
          <w:sz w:val="24"/>
          <w:szCs w:val="24"/>
        </w:rPr>
      </w:pPr>
      <w:r>
        <w:rPr>
          <w:rFonts w:ascii="宋体" w:hAnsi="宋体"/>
          <w:sz w:val="24"/>
          <w:szCs w:val="24"/>
        </w:rPr>
        <w:t>1.符合中华人民共和国政府采购法第二十二条的规定：</w:t>
      </w:r>
    </w:p>
    <w:p w14:paraId="61CC0F54">
      <w:pPr>
        <w:spacing w:line="360" w:lineRule="auto"/>
        <w:rPr>
          <w:rFonts w:hint="eastAsia" w:ascii="宋体" w:hAnsi="宋体"/>
          <w:sz w:val="24"/>
          <w:szCs w:val="24"/>
        </w:rPr>
      </w:pPr>
      <w:r>
        <w:rPr>
          <w:rFonts w:ascii="宋体" w:hAnsi="宋体"/>
          <w:sz w:val="24"/>
          <w:szCs w:val="24"/>
        </w:rPr>
        <w:t>（1）具有独立承担民事责任的能力；</w:t>
      </w:r>
    </w:p>
    <w:p w14:paraId="6C74E5D3">
      <w:pPr>
        <w:spacing w:line="360" w:lineRule="auto"/>
        <w:rPr>
          <w:rFonts w:hint="eastAsia" w:ascii="宋体" w:hAnsi="宋体"/>
          <w:sz w:val="24"/>
          <w:szCs w:val="24"/>
        </w:rPr>
      </w:pPr>
      <w:r>
        <w:rPr>
          <w:rFonts w:ascii="宋体" w:hAnsi="宋体"/>
          <w:sz w:val="24"/>
          <w:szCs w:val="24"/>
        </w:rPr>
        <w:t>（2）具有良好的商业信誉和健全的财务会计制度；</w:t>
      </w:r>
    </w:p>
    <w:p w14:paraId="5BA1C776">
      <w:pPr>
        <w:spacing w:line="360" w:lineRule="auto"/>
        <w:rPr>
          <w:rFonts w:hint="eastAsia" w:ascii="宋体" w:hAnsi="宋体"/>
          <w:sz w:val="24"/>
          <w:szCs w:val="24"/>
        </w:rPr>
      </w:pPr>
      <w:r>
        <w:rPr>
          <w:rFonts w:ascii="宋体" w:hAnsi="宋体"/>
          <w:sz w:val="24"/>
          <w:szCs w:val="24"/>
        </w:rPr>
        <w:t>（3）具有履行合同所必需的设备和专业技术能力；</w:t>
      </w:r>
    </w:p>
    <w:p w14:paraId="686DE4CA">
      <w:pPr>
        <w:spacing w:line="360" w:lineRule="auto"/>
        <w:rPr>
          <w:rFonts w:hint="eastAsia" w:ascii="宋体" w:hAnsi="宋体"/>
          <w:sz w:val="24"/>
          <w:szCs w:val="24"/>
        </w:rPr>
      </w:pPr>
      <w:r>
        <w:rPr>
          <w:rFonts w:ascii="宋体" w:hAnsi="宋体"/>
          <w:sz w:val="24"/>
          <w:szCs w:val="24"/>
        </w:rPr>
        <w:t>（4）有依法缴纳税收和社会保障资金的良好记录；</w:t>
      </w:r>
    </w:p>
    <w:p w14:paraId="5AEEFAF0">
      <w:pPr>
        <w:spacing w:line="360" w:lineRule="auto"/>
        <w:rPr>
          <w:rFonts w:hint="eastAsia" w:ascii="宋体" w:hAnsi="宋体"/>
          <w:sz w:val="24"/>
          <w:szCs w:val="24"/>
        </w:rPr>
      </w:pPr>
      <w:r>
        <w:rPr>
          <w:rFonts w:ascii="宋体" w:hAnsi="宋体"/>
          <w:sz w:val="24"/>
          <w:szCs w:val="24"/>
        </w:rPr>
        <w:t>（5）参加政府采购活动前三年内，在经营活动中没有重大违法记录；</w:t>
      </w:r>
    </w:p>
    <w:p w14:paraId="1D1DB610">
      <w:pPr>
        <w:spacing w:line="360" w:lineRule="auto"/>
        <w:rPr>
          <w:rFonts w:hint="eastAsia" w:ascii="宋体" w:hAnsi="宋体"/>
          <w:sz w:val="24"/>
          <w:szCs w:val="24"/>
        </w:rPr>
      </w:pPr>
      <w:r>
        <w:rPr>
          <w:rFonts w:ascii="宋体" w:hAnsi="宋体"/>
          <w:sz w:val="24"/>
          <w:szCs w:val="24"/>
        </w:rPr>
        <w:t>（6）法律、行政法规规定的其他条件。</w:t>
      </w:r>
    </w:p>
    <w:p w14:paraId="17DE345E">
      <w:pPr>
        <w:spacing w:line="360" w:lineRule="auto"/>
        <w:rPr>
          <w:rFonts w:hint="eastAsia" w:ascii="宋体" w:hAnsi="宋体"/>
          <w:sz w:val="24"/>
          <w:szCs w:val="24"/>
        </w:rPr>
      </w:pPr>
      <w:r>
        <w:rPr>
          <w:rFonts w:ascii="宋体" w:hAnsi="宋体"/>
          <w:sz w:val="24"/>
          <w:szCs w:val="24"/>
        </w:rPr>
        <w:t>2.本项目不接受联合体投标，不允许转包，不允许将部分项目分包。</w:t>
      </w:r>
    </w:p>
    <w:p w14:paraId="428BC899">
      <w:pPr>
        <w:spacing w:line="360" w:lineRule="auto"/>
        <w:rPr>
          <w:rFonts w:hint="eastAsia"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本项目的特定资格条件：（1）涉及医疗器械的产品须提供有效期内的中华人民共和国医疗器械注册证或备案凭证。</w:t>
      </w:r>
    </w:p>
    <w:p w14:paraId="079B763E">
      <w:pPr>
        <w:spacing w:line="360" w:lineRule="auto"/>
        <w:rPr>
          <w:rFonts w:hint="eastAsia" w:ascii="宋体" w:hAnsi="宋体"/>
          <w:sz w:val="24"/>
          <w:szCs w:val="24"/>
        </w:rPr>
      </w:pPr>
      <w:r>
        <w:rPr>
          <w:rFonts w:hint="eastAsia" w:ascii="宋体" w:hAnsi="宋体"/>
          <w:sz w:val="24"/>
          <w:szCs w:val="24"/>
        </w:rPr>
        <w:t>（2）投标人如为国内代理商须提供医疗器械经营许可证或备案凭证（一类产品除外）。</w:t>
      </w:r>
    </w:p>
    <w:p w14:paraId="7213E823">
      <w:pPr>
        <w:spacing w:line="360" w:lineRule="auto"/>
        <w:rPr>
          <w:rFonts w:hint="eastAsia" w:ascii="宋体" w:hAnsi="宋体"/>
          <w:sz w:val="24"/>
          <w:szCs w:val="24"/>
        </w:rPr>
      </w:pPr>
      <w:r>
        <w:rPr>
          <w:rFonts w:hint="eastAsia" w:ascii="宋体" w:hAnsi="宋体"/>
          <w:sz w:val="24"/>
          <w:szCs w:val="24"/>
        </w:rPr>
        <w:t>（3）涉及国产医疗器械的产品，投标人如为制造商须提供医疗器械生产许可证或备案凭证。</w:t>
      </w:r>
    </w:p>
    <w:p w14:paraId="00BD68BA">
      <w:pPr>
        <w:spacing w:line="360" w:lineRule="auto"/>
        <w:rPr>
          <w:rFonts w:hint="eastAsia" w:ascii="宋体" w:hAnsi="宋体"/>
          <w:sz w:val="24"/>
          <w:szCs w:val="24"/>
        </w:rPr>
      </w:pPr>
      <w:r>
        <w:rPr>
          <w:rFonts w:hint="eastAsia" w:ascii="宋体" w:hAnsi="宋体"/>
          <w:sz w:val="24"/>
          <w:szCs w:val="24"/>
        </w:rPr>
        <w:t>（4）</w:t>
      </w:r>
      <w:r>
        <w:rPr>
          <w:rFonts w:ascii="宋体" w:hAnsi="宋体"/>
          <w:sz w:val="24"/>
          <w:szCs w:val="24"/>
        </w:rPr>
        <w:t>近三年内被“信用中国”网站列入失信被执行人和重大税收违法案件当事人名单的、被“中国政府采购网”网站列入政府采购严重违法失信行为信息记录名单的（处罚期限尚未届满的），不得参与本项目的政府采购活动。</w:t>
      </w:r>
    </w:p>
    <w:p w14:paraId="7D674B28">
      <w:pPr>
        <w:spacing w:line="360" w:lineRule="auto"/>
        <w:rPr>
          <w:rFonts w:hint="eastAsia" w:ascii="宋体" w:hAnsi="宋体"/>
          <w:sz w:val="24"/>
          <w:szCs w:val="24"/>
        </w:rPr>
      </w:pPr>
      <w:r>
        <w:rPr>
          <w:rFonts w:hint="eastAsia" w:ascii="宋体" w:hAnsi="宋体"/>
          <w:sz w:val="24"/>
          <w:szCs w:val="24"/>
        </w:rPr>
        <w:t>三、</w:t>
      </w:r>
      <w:r>
        <w:rPr>
          <w:rFonts w:hint="eastAsia" w:ascii="宋体" w:hAnsi="宋体"/>
          <w:b/>
          <w:sz w:val="24"/>
          <w:szCs w:val="24"/>
        </w:rPr>
        <w:t>招标文件的获取</w:t>
      </w:r>
    </w:p>
    <w:p w14:paraId="7EBB4872">
      <w:pPr>
        <w:spacing w:line="360" w:lineRule="auto"/>
        <w:contextualSpacing/>
        <w:rPr>
          <w:rFonts w:hint="eastAsia" w:ascii="宋体" w:hAnsi="宋体"/>
          <w:sz w:val="24"/>
          <w:szCs w:val="24"/>
        </w:rPr>
      </w:pPr>
      <w:bookmarkStart w:id="5" w:name="OLE_LINK1"/>
      <w:r>
        <w:rPr>
          <w:rFonts w:hint="eastAsia" w:ascii="宋体" w:hAnsi="宋体"/>
          <w:sz w:val="24"/>
          <w:szCs w:val="24"/>
        </w:rPr>
        <w:t>1.招标文件获取时间：</w:t>
      </w:r>
      <w:r>
        <w:rPr>
          <w:rFonts w:ascii="宋体" w:hAnsi="宋体"/>
          <w:sz w:val="24"/>
          <w:szCs w:val="24"/>
        </w:rPr>
        <w:t>202</w:t>
      </w:r>
      <w:r>
        <w:rPr>
          <w:rFonts w:hint="eastAsia" w:ascii="宋体" w:hAnsi="宋体"/>
          <w:sz w:val="24"/>
          <w:szCs w:val="24"/>
        </w:rPr>
        <w:t>6</w:t>
      </w:r>
      <w:r>
        <w:rPr>
          <w:rFonts w:ascii="宋体" w:hAnsi="宋体"/>
          <w:sz w:val="24"/>
          <w:szCs w:val="24"/>
        </w:rPr>
        <w:t>年</w:t>
      </w:r>
      <w:r>
        <w:rPr>
          <w:rFonts w:hint="eastAsia" w:ascii="宋体" w:hAnsi="宋体"/>
          <w:sz w:val="24"/>
          <w:szCs w:val="24"/>
          <w:lang w:val="en-US" w:eastAsia="zh-CN"/>
        </w:rPr>
        <w:t>5</w:t>
      </w:r>
      <w:r>
        <w:rPr>
          <w:rFonts w:ascii="宋体" w:hAnsi="宋体"/>
          <w:sz w:val="24"/>
          <w:szCs w:val="24"/>
        </w:rPr>
        <w:t>月</w:t>
      </w:r>
      <w:r>
        <w:rPr>
          <w:rFonts w:hint="eastAsia" w:ascii="宋体" w:hAnsi="宋体"/>
          <w:sz w:val="24"/>
          <w:szCs w:val="24"/>
          <w:lang w:val="en-US" w:eastAsia="zh-CN"/>
        </w:rPr>
        <w:t>20</w:t>
      </w:r>
      <w:r>
        <w:rPr>
          <w:rFonts w:ascii="宋体" w:hAnsi="宋体"/>
          <w:sz w:val="24"/>
          <w:szCs w:val="24"/>
        </w:rPr>
        <w:t>日至202</w:t>
      </w:r>
      <w:r>
        <w:rPr>
          <w:rFonts w:hint="eastAsia" w:ascii="宋体" w:hAnsi="宋体"/>
          <w:sz w:val="24"/>
          <w:szCs w:val="24"/>
        </w:rPr>
        <w:t>6</w:t>
      </w:r>
      <w:r>
        <w:rPr>
          <w:rFonts w:ascii="宋体" w:hAnsi="宋体"/>
          <w:sz w:val="24"/>
          <w:szCs w:val="24"/>
        </w:rPr>
        <w:t>年</w:t>
      </w:r>
      <w:r>
        <w:rPr>
          <w:rFonts w:hint="eastAsia" w:ascii="宋体" w:hAnsi="宋体"/>
          <w:sz w:val="24"/>
          <w:szCs w:val="24"/>
          <w:lang w:val="en-US" w:eastAsia="zh-CN"/>
        </w:rPr>
        <w:t>6</w:t>
      </w:r>
      <w:r>
        <w:rPr>
          <w:rFonts w:ascii="宋体" w:hAnsi="宋体"/>
          <w:sz w:val="24"/>
          <w:szCs w:val="24"/>
        </w:rPr>
        <w:t>月</w:t>
      </w:r>
      <w:r>
        <w:rPr>
          <w:rFonts w:hint="eastAsia" w:ascii="宋体" w:hAnsi="宋体"/>
          <w:sz w:val="24"/>
          <w:szCs w:val="24"/>
          <w:lang w:val="en-US" w:eastAsia="zh-CN"/>
        </w:rPr>
        <w:t>1</w:t>
      </w:r>
      <w:r>
        <w:rPr>
          <w:rFonts w:ascii="宋体" w:hAnsi="宋体"/>
          <w:sz w:val="24"/>
          <w:szCs w:val="24"/>
        </w:rPr>
        <w:t>日</w:t>
      </w:r>
      <w:r>
        <w:rPr>
          <w:rFonts w:hint="eastAsia" w:ascii="宋体" w:hAnsi="宋体"/>
          <w:sz w:val="24"/>
          <w:szCs w:val="24"/>
        </w:rPr>
        <w:t>，每日00：0</w:t>
      </w:r>
      <w:r>
        <w:rPr>
          <w:rFonts w:ascii="宋体" w:hAnsi="宋体"/>
          <w:sz w:val="24"/>
          <w:szCs w:val="24"/>
        </w:rPr>
        <w:t>0</w:t>
      </w:r>
      <w:r>
        <w:rPr>
          <w:rFonts w:hint="eastAsia" w:ascii="宋体" w:hAnsi="宋体"/>
          <w:sz w:val="24"/>
          <w:szCs w:val="24"/>
        </w:rPr>
        <w:t>-23：59（北京时间，节假日除外）。</w:t>
      </w:r>
    </w:p>
    <w:p w14:paraId="71D74003">
      <w:pPr>
        <w:spacing w:line="360" w:lineRule="auto"/>
        <w:contextualSpacing/>
        <w:rPr>
          <w:rFonts w:hint="eastAsia" w:ascii="宋体" w:hAnsi="宋体"/>
          <w:sz w:val="24"/>
          <w:szCs w:val="24"/>
        </w:rPr>
      </w:pPr>
      <w:r>
        <w:rPr>
          <w:rFonts w:hint="eastAsia" w:ascii="宋体" w:hAnsi="宋体"/>
          <w:sz w:val="24"/>
          <w:szCs w:val="24"/>
        </w:rPr>
        <w:t>2.售价：0元</w:t>
      </w:r>
    </w:p>
    <w:p w14:paraId="69BFA401">
      <w:pPr>
        <w:pStyle w:val="16"/>
        <w:spacing w:line="360" w:lineRule="auto"/>
      </w:pPr>
      <w:bookmarkStart w:id="6" w:name="_Hlk181195691"/>
      <w:r>
        <w:rPr>
          <w:rFonts w:hint="eastAsia" w:ascii="宋体" w:hAnsi="宋体"/>
          <w:szCs w:val="24"/>
        </w:rPr>
        <w:t>3.</w:t>
      </w:r>
      <w:bookmarkEnd w:id="6"/>
      <w:r>
        <w:rPr>
          <w:rFonts w:hint="eastAsia"/>
        </w:rPr>
        <w:t>地点：政采云平台</w:t>
      </w:r>
    </w:p>
    <w:p w14:paraId="7803B05F">
      <w:pPr>
        <w:pStyle w:val="16"/>
        <w:spacing w:line="360" w:lineRule="auto"/>
        <w:rPr>
          <w:rFonts w:hint="eastAsia" w:ascii="宋体" w:hAnsi="宋体"/>
          <w:szCs w:val="24"/>
        </w:rPr>
      </w:pPr>
      <w:r>
        <w:rPr>
          <w:rFonts w:hint="eastAsia" w:ascii="宋体" w:hAnsi="宋体"/>
          <w:szCs w:val="24"/>
        </w:rPr>
        <w:t>4.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0922FF0">
      <w:pPr>
        <w:widowControl/>
        <w:spacing w:line="360" w:lineRule="auto"/>
        <w:jc w:val="left"/>
        <w:rPr>
          <w:rFonts w:hint="eastAsia" w:ascii="宋体" w:hAnsi="宋体"/>
          <w:sz w:val="24"/>
          <w:szCs w:val="24"/>
        </w:rPr>
      </w:pPr>
      <w:r>
        <w:rPr>
          <w:rFonts w:hint="eastAsia" w:ascii="宋体" w:hAnsi="宋体"/>
          <w:sz w:val="24"/>
          <w:szCs w:val="24"/>
        </w:rPr>
        <w:t>5.本项目实行网上投标，采用电子投标文件。各供应商应在开标前应确保成为平台正式注册入库供应商，并完成CA数字证书（符合国密标准）申领。因未注册入库、未办理CA数字证书等原因造成无法投标或投标失败等后果由供应商自行承担。如需咨询，请联系新疆CA服务热线0991-2819290。</w:t>
      </w:r>
    </w:p>
    <w:p w14:paraId="4345D4BE">
      <w:pPr>
        <w:widowControl/>
        <w:spacing w:line="360" w:lineRule="auto"/>
        <w:jc w:val="left"/>
        <w:rPr>
          <w:rFonts w:hint="eastAsia" w:ascii="宋体" w:hAnsi="宋体"/>
          <w:sz w:val="24"/>
          <w:szCs w:val="24"/>
        </w:rPr>
      </w:pPr>
      <w:r>
        <w:rPr>
          <w:rFonts w:hint="eastAsia" w:ascii="宋体" w:hAnsi="宋体"/>
          <w:sz w:val="24"/>
          <w:szCs w:val="24"/>
        </w:rPr>
        <w:t>6.供应商将政采云电子交易客户端下载、安装完成后，可通过账号密码或CA登录客户端进行投标文件的制作。在使用政采云投标客户端时，建议使用WIN7及以上操作系统。</w:t>
      </w:r>
    </w:p>
    <w:bookmarkEnd w:id="5"/>
    <w:p w14:paraId="68FF4C98">
      <w:pPr>
        <w:pStyle w:val="16"/>
        <w:spacing w:line="360" w:lineRule="auto"/>
        <w:rPr>
          <w:rFonts w:hint="eastAsia" w:ascii="宋体" w:hAnsi="宋体"/>
          <w:szCs w:val="24"/>
        </w:rPr>
      </w:pPr>
    </w:p>
    <w:p w14:paraId="252A5FAD">
      <w:pPr>
        <w:pStyle w:val="16"/>
        <w:spacing w:line="360" w:lineRule="auto"/>
        <w:rPr>
          <w:rFonts w:hint="eastAsia" w:ascii="宋体" w:hAnsi="宋体"/>
          <w:b/>
          <w:szCs w:val="24"/>
        </w:rPr>
      </w:pPr>
      <w:r>
        <w:rPr>
          <w:rFonts w:hint="eastAsia" w:ascii="宋体" w:hAnsi="宋体"/>
          <w:b/>
          <w:szCs w:val="24"/>
        </w:rPr>
        <w:t>四、</w:t>
      </w:r>
      <w:r>
        <w:rPr>
          <w:rFonts w:ascii="宋体" w:hAnsi="宋体"/>
          <w:b/>
          <w:szCs w:val="24"/>
        </w:rPr>
        <w:t>投标文件递交及开标</w:t>
      </w:r>
    </w:p>
    <w:p w14:paraId="65A53E5F">
      <w:pPr>
        <w:spacing w:line="360" w:lineRule="auto"/>
        <w:contextualSpacing/>
        <w:rPr>
          <w:rFonts w:hint="eastAsia" w:ascii="宋体" w:hAnsi="宋体"/>
          <w:sz w:val="24"/>
          <w:szCs w:val="24"/>
        </w:rPr>
      </w:pPr>
      <w:bookmarkStart w:id="7" w:name="_Hlk171698059"/>
      <w:r>
        <w:rPr>
          <w:rFonts w:ascii="宋体" w:hAnsi="宋体"/>
          <w:sz w:val="24"/>
          <w:szCs w:val="24"/>
        </w:rPr>
        <w:t>投标文件递交截止时间和开标时间：</w:t>
      </w:r>
      <w:r>
        <w:rPr>
          <w:rFonts w:hint="eastAsia" w:ascii="宋体" w:hAnsi="宋体"/>
          <w:sz w:val="24"/>
          <w:szCs w:val="24"/>
        </w:rPr>
        <w:t>2026年</w:t>
      </w:r>
      <w:r>
        <w:rPr>
          <w:rFonts w:hint="eastAsia" w:ascii="宋体" w:hAnsi="宋体"/>
          <w:sz w:val="24"/>
          <w:szCs w:val="24"/>
          <w:lang w:val="en-US" w:eastAsia="zh-CN"/>
        </w:rPr>
        <w:t>6</w:t>
      </w:r>
      <w:r>
        <w:rPr>
          <w:rFonts w:hint="eastAsia" w:ascii="宋体" w:hAnsi="宋体"/>
          <w:sz w:val="24"/>
          <w:szCs w:val="24"/>
        </w:rPr>
        <w:t xml:space="preserve"> 月</w:t>
      </w:r>
      <w:r>
        <w:rPr>
          <w:rFonts w:hint="eastAsia" w:ascii="宋体" w:hAnsi="宋体"/>
          <w:sz w:val="24"/>
          <w:szCs w:val="24"/>
          <w:lang w:val="en-US" w:eastAsia="zh-CN"/>
        </w:rPr>
        <w:t>10</w:t>
      </w:r>
      <w:r>
        <w:rPr>
          <w:rFonts w:hint="eastAsia" w:ascii="宋体" w:hAnsi="宋体"/>
          <w:sz w:val="24"/>
          <w:szCs w:val="24"/>
        </w:rPr>
        <w:t>日上</w:t>
      </w:r>
      <w:r>
        <w:rPr>
          <w:rFonts w:ascii="宋体" w:hAnsi="宋体"/>
          <w:sz w:val="24"/>
          <w:szCs w:val="24"/>
        </w:rPr>
        <w:t>午</w:t>
      </w:r>
      <w:r>
        <w:rPr>
          <w:rFonts w:hint="eastAsia" w:ascii="宋体" w:hAnsi="宋体"/>
          <w:sz w:val="24"/>
          <w:szCs w:val="24"/>
        </w:rPr>
        <w:t>10</w:t>
      </w:r>
      <w:r>
        <w:rPr>
          <w:rFonts w:ascii="宋体" w:hAnsi="宋体"/>
          <w:sz w:val="24"/>
          <w:szCs w:val="24"/>
        </w:rPr>
        <w:t>:</w:t>
      </w:r>
      <w:r>
        <w:rPr>
          <w:rFonts w:hint="eastAsia" w:ascii="宋体" w:hAnsi="宋体"/>
          <w:sz w:val="24"/>
          <w:szCs w:val="24"/>
        </w:rPr>
        <w:t>3</w:t>
      </w:r>
      <w:r>
        <w:rPr>
          <w:rFonts w:ascii="宋体" w:hAnsi="宋体"/>
          <w:sz w:val="24"/>
          <w:szCs w:val="24"/>
        </w:rPr>
        <w:t>0</w:t>
      </w:r>
      <w:r>
        <w:rPr>
          <w:rFonts w:hint="eastAsia" w:ascii="宋体" w:hAnsi="宋体"/>
          <w:sz w:val="24"/>
          <w:szCs w:val="24"/>
        </w:rPr>
        <w:t>整</w:t>
      </w:r>
      <w:r>
        <w:rPr>
          <w:rFonts w:ascii="宋体" w:hAnsi="宋体"/>
          <w:sz w:val="24"/>
          <w:szCs w:val="24"/>
        </w:rPr>
        <w:t>（北京时间）。</w:t>
      </w:r>
    </w:p>
    <w:bookmarkEnd w:id="7"/>
    <w:p w14:paraId="0F56AA24">
      <w:pPr>
        <w:spacing w:line="360" w:lineRule="auto"/>
        <w:contextualSpacing/>
        <w:rPr>
          <w:rFonts w:hint="eastAsia" w:ascii="宋体" w:hAnsi="宋体"/>
          <w:sz w:val="24"/>
          <w:szCs w:val="24"/>
        </w:rPr>
      </w:pPr>
      <w:r>
        <w:rPr>
          <w:rFonts w:ascii="宋体" w:hAnsi="宋体"/>
          <w:sz w:val="24"/>
          <w:szCs w:val="24"/>
        </w:rPr>
        <w:t>投标文件递交地点</w:t>
      </w:r>
      <w:r>
        <w:rPr>
          <w:rFonts w:hint="eastAsia" w:ascii="宋体" w:hAnsi="宋体"/>
          <w:sz w:val="24"/>
          <w:szCs w:val="24"/>
        </w:rPr>
        <w:t>及开标地点</w:t>
      </w:r>
      <w:r>
        <w:rPr>
          <w:rFonts w:ascii="宋体" w:hAnsi="宋体"/>
          <w:sz w:val="24"/>
          <w:szCs w:val="24"/>
        </w:rPr>
        <w:t>：请登录政采云投标客户端投标</w:t>
      </w:r>
      <w:r>
        <w:rPr>
          <w:rFonts w:hint="eastAsia" w:ascii="宋体" w:hAnsi="宋体"/>
          <w:sz w:val="24"/>
          <w:szCs w:val="24"/>
        </w:rPr>
        <w:t>。</w:t>
      </w:r>
    </w:p>
    <w:p w14:paraId="0AC9E293">
      <w:pPr>
        <w:spacing w:line="360" w:lineRule="auto"/>
        <w:contextualSpacing/>
        <w:rPr>
          <w:rFonts w:hint="eastAsia" w:ascii="宋体" w:hAnsi="宋体"/>
          <w:sz w:val="24"/>
          <w:szCs w:val="24"/>
        </w:rPr>
      </w:pPr>
    </w:p>
    <w:p w14:paraId="7E05DD6B">
      <w:pPr>
        <w:pStyle w:val="16"/>
        <w:spacing w:line="360" w:lineRule="auto"/>
        <w:rPr>
          <w:rFonts w:hint="eastAsia" w:ascii="宋体" w:hAnsi="宋体"/>
          <w:b/>
          <w:szCs w:val="24"/>
        </w:rPr>
      </w:pPr>
      <w:r>
        <w:rPr>
          <w:rFonts w:hint="eastAsia" w:ascii="宋体" w:hAnsi="宋体"/>
          <w:b/>
          <w:szCs w:val="24"/>
        </w:rPr>
        <w:t>五、其他</w:t>
      </w:r>
    </w:p>
    <w:p w14:paraId="420C3EAB">
      <w:pPr>
        <w:tabs>
          <w:tab w:val="left" w:pos="900"/>
        </w:tabs>
        <w:wordWrap w:val="0"/>
        <w:spacing w:line="560" w:lineRule="exact"/>
        <w:jc w:val="left"/>
        <w:rPr>
          <w:rFonts w:hint="eastAsia" w:ascii="宋体" w:hAnsi="宋体" w:cs="宋体"/>
          <w:sz w:val="24"/>
          <w:szCs w:val="24"/>
        </w:rPr>
      </w:pPr>
      <w:r>
        <w:rPr>
          <w:rFonts w:hint="eastAsia" w:ascii="宋体" w:hAnsi="宋体"/>
          <w:sz w:val="24"/>
          <w:szCs w:val="24"/>
        </w:rPr>
        <w:t>1.本项目采用不见面开标，投标供应商需要递交加密的电子投标文件，在投标截止时间前通过新疆政府采购云平台</w:t>
      </w:r>
      <w:r>
        <w:fldChar w:fldCharType="begin"/>
      </w:r>
      <w:r>
        <w:instrText xml:space="preserve"> HYPERLINK "https://www.zcygov.cn/" </w:instrText>
      </w:r>
      <w:r>
        <w:fldChar w:fldCharType="separate"/>
      </w:r>
      <w:r>
        <w:rPr>
          <w:rFonts w:hint="eastAsia"/>
        </w:rPr>
        <w:t>https://www.zcygov.cn/</w:t>
      </w:r>
      <w:r>
        <w:rPr>
          <w:rFonts w:hint="eastAsia"/>
        </w:rPr>
        <w:fldChar w:fldCharType="end"/>
      </w:r>
      <w:r>
        <w:rPr>
          <w:rFonts w:hint="eastAsia" w:ascii="宋体" w:hAnsi="宋体"/>
          <w:sz w:val="24"/>
          <w:szCs w:val="24"/>
        </w:rPr>
        <w:t>开标系统上传到指定位置。</w:t>
      </w:r>
      <w:r>
        <w:rPr>
          <w:rFonts w:hint="eastAsia" w:ascii="宋体" w:hAnsi="宋体" w:cs="宋体"/>
          <w:sz w:val="24"/>
          <w:szCs w:val="24"/>
        </w:rPr>
        <w:t>递交截止时间以后上传递交的响应文件将被“政府采购云平台”拒收。</w:t>
      </w:r>
    </w:p>
    <w:p w14:paraId="6ACCF611">
      <w:pPr>
        <w:tabs>
          <w:tab w:val="left" w:pos="900"/>
        </w:tabs>
        <w:wordWrap w:val="0"/>
        <w:spacing w:line="560" w:lineRule="exact"/>
        <w:jc w:val="left"/>
        <w:rPr>
          <w:rFonts w:hint="eastAsia" w:ascii="宋体" w:hAnsi="宋体" w:cs="宋体"/>
          <w:sz w:val="24"/>
          <w:szCs w:val="24"/>
        </w:rPr>
      </w:pPr>
      <w:r>
        <w:rPr>
          <w:rFonts w:hint="eastAsia" w:ascii="宋体" w:hAnsi="宋体" w:cs="宋体"/>
          <w:sz w:val="24"/>
          <w:szCs w:val="24"/>
        </w:rPr>
        <w:t>2.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p>
    <w:p w14:paraId="5408E31C">
      <w:pPr>
        <w:tabs>
          <w:tab w:val="left" w:pos="900"/>
        </w:tabs>
        <w:wordWrap w:val="0"/>
        <w:spacing w:line="560" w:lineRule="exact"/>
        <w:jc w:val="left"/>
        <w:rPr>
          <w:rFonts w:hint="eastAsia" w:ascii="宋体" w:hAnsi="宋体" w:cs="宋体"/>
          <w:sz w:val="24"/>
          <w:szCs w:val="24"/>
        </w:rPr>
      </w:pPr>
    </w:p>
    <w:p w14:paraId="73FD899A">
      <w:pPr>
        <w:spacing w:line="360" w:lineRule="auto"/>
        <w:contextualSpacing/>
        <w:rPr>
          <w:rFonts w:hint="eastAsia" w:ascii="宋体" w:hAnsi="宋体"/>
          <w:b/>
          <w:sz w:val="24"/>
          <w:szCs w:val="24"/>
        </w:rPr>
      </w:pPr>
      <w:r>
        <w:rPr>
          <w:rFonts w:hint="eastAsia" w:ascii="宋体" w:hAnsi="宋体"/>
          <w:b/>
          <w:sz w:val="24"/>
          <w:szCs w:val="24"/>
        </w:rPr>
        <w:t>六、</w:t>
      </w:r>
      <w:r>
        <w:rPr>
          <w:rFonts w:ascii="宋体" w:hAnsi="宋体"/>
          <w:b/>
          <w:sz w:val="24"/>
          <w:szCs w:val="24"/>
        </w:rPr>
        <w:t>备注</w:t>
      </w:r>
    </w:p>
    <w:p w14:paraId="6094D061">
      <w:pPr>
        <w:spacing w:line="360" w:lineRule="auto"/>
        <w:rPr>
          <w:rFonts w:hint="eastAsia" w:ascii="宋体" w:hAnsi="宋体"/>
          <w:sz w:val="24"/>
          <w:szCs w:val="24"/>
        </w:rPr>
      </w:pPr>
      <w:r>
        <w:rPr>
          <w:rFonts w:hint="eastAsia" w:ascii="宋体" w:hAnsi="宋体"/>
          <w:sz w:val="24"/>
          <w:szCs w:val="24"/>
        </w:rPr>
        <w:t>1.</w:t>
      </w:r>
      <w:r>
        <w:rPr>
          <w:rFonts w:ascii="宋体" w:hAnsi="宋体"/>
          <w:sz w:val="24"/>
          <w:szCs w:val="24"/>
        </w:rPr>
        <w:t>采购</w:t>
      </w:r>
      <w:r>
        <w:rPr>
          <w:rFonts w:hint="eastAsia" w:ascii="宋体" w:hAnsi="宋体"/>
          <w:sz w:val="24"/>
          <w:szCs w:val="24"/>
        </w:rPr>
        <w:t>人</w:t>
      </w:r>
      <w:r>
        <w:rPr>
          <w:rFonts w:ascii="宋体" w:hAnsi="宋体"/>
          <w:sz w:val="24"/>
          <w:szCs w:val="24"/>
        </w:rPr>
        <w:t>信息：</w:t>
      </w:r>
    </w:p>
    <w:p w14:paraId="480B07C2">
      <w:pPr>
        <w:spacing w:line="360" w:lineRule="auto"/>
        <w:rPr>
          <w:rFonts w:hint="eastAsia" w:ascii="宋体" w:hAnsi="宋体"/>
          <w:sz w:val="24"/>
          <w:szCs w:val="24"/>
        </w:rPr>
      </w:pPr>
      <w:r>
        <w:rPr>
          <w:rFonts w:ascii="宋体" w:hAnsi="宋体"/>
          <w:sz w:val="24"/>
          <w:szCs w:val="24"/>
        </w:rPr>
        <w:t>采购人名称：</w:t>
      </w:r>
      <w:r>
        <w:rPr>
          <w:rFonts w:hint="eastAsia" w:ascii="宋体" w:hAnsi="宋体"/>
          <w:sz w:val="24"/>
          <w:szCs w:val="24"/>
        </w:rPr>
        <w:t>新疆国际医疗中心（新疆国际医院、新疆医学科学院）</w:t>
      </w:r>
    </w:p>
    <w:p w14:paraId="6A35743E">
      <w:pPr>
        <w:spacing w:line="360" w:lineRule="auto"/>
        <w:rPr>
          <w:rFonts w:hint="eastAsia" w:ascii="宋体" w:hAnsi="宋体"/>
          <w:sz w:val="24"/>
          <w:szCs w:val="24"/>
        </w:rPr>
      </w:pPr>
      <w:bookmarkStart w:id="8" w:name="OLE_LINK5"/>
      <w:r>
        <w:rPr>
          <w:rFonts w:ascii="宋体" w:hAnsi="宋体"/>
          <w:sz w:val="24"/>
          <w:szCs w:val="24"/>
        </w:rPr>
        <w:t>采购人地址：</w:t>
      </w:r>
      <w:r>
        <w:rPr>
          <w:rFonts w:hint="eastAsia" w:ascii="宋体" w:hAnsi="宋体"/>
          <w:sz w:val="24"/>
          <w:szCs w:val="24"/>
        </w:rPr>
        <w:t xml:space="preserve">乌鲁木齐市水磨沟区尚德北路999号 </w:t>
      </w:r>
    </w:p>
    <w:p w14:paraId="1FB95567">
      <w:pPr>
        <w:spacing w:line="360" w:lineRule="auto"/>
        <w:rPr>
          <w:rFonts w:hint="eastAsia" w:ascii="宋体" w:hAnsi="宋体"/>
          <w:sz w:val="24"/>
          <w:szCs w:val="24"/>
        </w:rPr>
      </w:pPr>
      <w:r>
        <w:rPr>
          <w:rFonts w:ascii="宋体" w:hAnsi="宋体"/>
          <w:sz w:val="24"/>
          <w:szCs w:val="24"/>
        </w:rPr>
        <w:t>采购人联系方式：</w:t>
      </w:r>
      <w:r>
        <w:rPr>
          <w:rFonts w:hint="eastAsia" w:ascii="宋体" w:hAnsi="宋体"/>
          <w:sz w:val="24"/>
          <w:szCs w:val="24"/>
        </w:rPr>
        <w:t>艾老师，18140735809</w:t>
      </w:r>
    </w:p>
    <w:bookmarkEnd w:id="8"/>
    <w:p w14:paraId="240E12F5">
      <w:pPr>
        <w:spacing w:line="360" w:lineRule="auto"/>
        <w:contextualSpacing/>
        <w:rPr>
          <w:rFonts w:hint="eastAsia" w:ascii="宋体" w:hAnsi="宋体"/>
          <w:sz w:val="24"/>
          <w:szCs w:val="24"/>
        </w:rPr>
      </w:pPr>
      <w:r>
        <w:rPr>
          <w:rFonts w:hint="eastAsia" w:ascii="宋体" w:hAnsi="宋体"/>
          <w:sz w:val="24"/>
          <w:szCs w:val="24"/>
        </w:rPr>
        <w:t>2.</w:t>
      </w:r>
      <w:r>
        <w:rPr>
          <w:rFonts w:ascii="宋体" w:hAnsi="宋体"/>
          <w:sz w:val="24"/>
          <w:szCs w:val="24"/>
        </w:rPr>
        <w:t>采购代理机构信息：</w:t>
      </w:r>
    </w:p>
    <w:p w14:paraId="4AF9FFDE">
      <w:pPr>
        <w:spacing w:line="360" w:lineRule="auto"/>
        <w:contextualSpacing/>
        <w:rPr>
          <w:rFonts w:hint="eastAsia" w:ascii="宋体" w:hAnsi="宋体"/>
          <w:sz w:val="24"/>
          <w:szCs w:val="24"/>
        </w:rPr>
      </w:pPr>
      <w:r>
        <w:rPr>
          <w:rFonts w:ascii="宋体" w:hAnsi="宋体"/>
          <w:sz w:val="24"/>
          <w:szCs w:val="24"/>
        </w:rPr>
        <w:t>采购代理机构</w:t>
      </w:r>
      <w:r>
        <w:rPr>
          <w:rFonts w:hint="eastAsia" w:ascii="宋体" w:hAnsi="宋体"/>
          <w:sz w:val="24"/>
          <w:szCs w:val="24"/>
        </w:rPr>
        <w:t>名称：</w:t>
      </w:r>
      <w:r>
        <w:rPr>
          <w:rFonts w:hint="eastAsia" w:hAnsi="宋体"/>
          <w:kern w:val="24"/>
          <w:sz w:val="24"/>
          <w:szCs w:val="24"/>
        </w:rPr>
        <w:t>中信国际招标有限公司</w:t>
      </w:r>
    </w:p>
    <w:p w14:paraId="73D9D0B2">
      <w:pPr>
        <w:spacing w:line="360" w:lineRule="auto"/>
        <w:contextualSpacing/>
        <w:rPr>
          <w:rFonts w:hint="eastAsia" w:ascii="宋体" w:hAnsi="宋体"/>
          <w:sz w:val="24"/>
          <w:szCs w:val="24"/>
        </w:rPr>
      </w:pPr>
      <w:r>
        <w:rPr>
          <w:rFonts w:ascii="宋体" w:hAnsi="宋体"/>
          <w:sz w:val="24"/>
          <w:szCs w:val="24"/>
        </w:rPr>
        <w:t>项目联系人：</w:t>
      </w:r>
      <w:r>
        <w:rPr>
          <w:rFonts w:hint="eastAsia" w:ascii="宋体" w:hAnsi="宋体"/>
          <w:sz w:val="24"/>
          <w:szCs w:val="24"/>
        </w:rPr>
        <w:t>陈月琪、张丽</w:t>
      </w:r>
    </w:p>
    <w:p w14:paraId="06282FD5">
      <w:pPr>
        <w:spacing w:line="360" w:lineRule="auto"/>
        <w:contextualSpacing/>
        <w:rPr>
          <w:rFonts w:hint="eastAsia" w:ascii="宋体" w:hAnsi="宋体" w:cs="宋体"/>
          <w:iCs/>
          <w:sz w:val="24"/>
        </w:rPr>
      </w:pPr>
      <w:r>
        <w:rPr>
          <w:rFonts w:ascii="宋体" w:hAnsi="宋体"/>
          <w:sz w:val="24"/>
          <w:szCs w:val="24"/>
        </w:rPr>
        <w:t>联系方式：</w:t>
      </w:r>
      <w:r>
        <w:rPr>
          <w:rFonts w:hint="eastAsia" w:ascii="宋体" w:hAnsi="宋体"/>
          <w:sz w:val="24"/>
          <w:szCs w:val="24"/>
        </w:rPr>
        <w:t>18010138577</w:t>
      </w:r>
    </w:p>
    <w:p w14:paraId="4EBFB8E6">
      <w:pPr>
        <w:spacing w:line="360" w:lineRule="auto"/>
        <w:contextualSpacing/>
        <w:rPr>
          <w:rFonts w:hint="eastAsia" w:ascii="宋体" w:hAnsi="宋体"/>
          <w:sz w:val="24"/>
          <w:szCs w:val="24"/>
        </w:rPr>
      </w:pPr>
      <w:r>
        <w:rPr>
          <w:rFonts w:ascii="宋体" w:hAnsi="宋体"/>
          <w:sz w:val="24"/>
          <w:szCs w:val="24"/>
        </w:rPr>
        <w:t>Email：</w:t>
      </w:r>
      <w:r>
        <w:rPr>
          <w:rFonts w:hint="eastAsia" w:ascii="宋体" w:hAnsi="宋体"/>
          <w:sz w:val="24"/>
          <w:szCs w:val="24"/>
        </w:rPr>
        <w:t>chenyq</w:t>
      </w:r>
      <w:r>
        <w:rPr>
          <w:rFonts w:ascii="宋体" w:hAnsi="宋体"/>
          <w:sz w:val="24"/>
          <w:szCs w:val="24"/>
        </w:rPr>
        <w:t>@ck.citic.com</w:t>
      </w:r>
    </w:p>
    <w:p w14:paraId="2C252413">
      <w:pPr>
        <w:spacing w:line="360" w:lineRule="auto"/>
        <w:contextualSpacing/>
        <w:rPr>
          <w:rFonts w:hint="eastAsia" w:ascii="宋体" w:hAnsi="宋体"/>
          <w:sz w:val="24"/>
          <w:szCs w:val="24"/>
        </w:rPr>
      </w:pPr>
      <w:r>
        <w:rPr>
          <w:rFonts w:ascii="宋体" w:hAnsi="宋体"/>
          <w:sz w:val="24"/>
          <w:szCs w:val="24"/>
        </w:rPr>
        <w:t>联系地址：</w:t>
      </w:r>
      <w:r>
        <w:rPr>
          <w:rFonts w:hint="eastAsia" w:ascii="宋体" w:hAnsi="宋体"/>
          <w:sz w:val="24"/>
          <w:szCs w:val="24"/>
        </w:rPr>
        <w:t>新疆维吾尔自治区乌鲁木齐市水磨沟区红山路39号</w:t>
      </w:r>
    </w:p>
    <w:p w14:paraId="27E5C28C">
      <w:pPr>
        <w:spacing w:line="360" w:lineRule="auto"/>
        <w:contextualSpacing/>
        <w:rPr>
          <w:rFonts w:hint="eastAsia" w:ascii="宋体" w:hAnsi="宋体"/>
          <w:sz w:val="24"/>
          <w:szCs w:val="24"/>
        </w:rPr>
      </w:pPr>
      <w:r>
        <w:rPr>
          <w:rFonts w:hint="eastAsia" w:ascii="宋体" w:hAnsi="宋体"/>
          <w:sz w:val="24"/>
          <w:szCs w:val="24"/>
        </w:rPr>
        <w:t>3.</w:t>
      </w:r>
      <w:r>
        <w:rPr>
          <w:rFonts w:ascii="宋体" w:hAnsi="宋体"/>
          <w:sz w:val="24"/>
          <w:szCs w:val="24"/>
        </w:rPr>
        <w:t>招标公告期限：本公告发布之日起5个工作日。</w:t>
      </w:r>
    </w:p>
    <w:p w14:paraId="34653FF0">
      <w:pPr>
        <w:spacing w:line="360" w:lineRule="auto"/>
        <w:contextualSpacing/>
        <w:rPr>
          <w:rFonts w:hint="eastAsia" w:ascii="宋体" w:hAnsi="宋体"/>
          <w:sz w:val="24"/>
          <w:szCs w:val="24"/>
        </w:rPr>
      </w:pPr>
      <w:r>
        <w:rPr>
          <w:rFonts w:hint="eastAsia" w:ascii="宋体" w:hAnsi="宋体"/>
          <w:sz w:val="24"/>
          <w:szCs w:val="24"/>
        </w:rPr>
        <w:t>4.</w:t>
      </w:r>
      <w:r>
        <w:rPr>
          <w:rFonts w:ascii="宋体" w:hAnsi="宋体"/>
          <w:sz w:val="24"/>
          <w:szCs w:val="24"/>
        </w:rPr>
        <w:t>项目需要落实的政府采购政策：</w:t>
      </w:r>
    </w:p>
    <w:p w14:paraId="2B52B42E">
      <w:pPr>
        <w:spacing w:line="360" w:lineRule="auto"/>
        <w:rPr>
          <w:rFonts w:hint="eastAsia" w:ascii="宋体" w:hAnsi="宋体"/>
          <w:sz w:val="24"/>
          <w:szCs w:val="24"/>
        </w:rPr>
      </w:pPr>
      <w:r>
        <w:rPr>
          <w:rFonts w:hint="eastAsia" w:ascii="宋体" w:hAnsi="宋体"/>
          <w:sz w:val="24"/>
          <w:szCs w:val="24"/>
        </w:rPr>
        <w:t>（1）鼓励节能政策：在技术、服务等指标同等条件下，优先采购属于财库〔2019〕19号公布的节能产品政府采购品目清单中的产品。</w:t>
      </w:r>
    </w:p>
    <w:p w14:paraId="1ED701F5">
      <w:pPr>
        <w:spacing w:line="360" w:lineRule="auto"/>
        <w:jc w:val="left"/>
        <w:rPr>
          <w:rFonts w:hint="eastAsia" w:ascii="宋体" w:hAnsi="宋体"/>
          <w:sz w:val="24"/>
          <w:szCs w:val="24"/>
        </w:rPr>
      </w:pPr>
      <w:r>
        <w:rPr>
          <w:rFonts w:hint="eastAsia" w:ascii="宋体" w:hAnsi="宋体"/>
          <w:sz w:val="24"/>
          <w:szCs w:val="24"/>
        </w:rPr>
        <w:t>（2）鼓励环保政策：在性能、技术、服务等指标同等条件下，优先采购属于财库〔2019〕18号公布的环境标志产品政府采购品目清单中的产品。</w:t>
      </w:r>
    </w:p>
    <w:p w14:paraId="3972E527">
      <w:pPr>
        <w:widowControl/>
        <w:spacing w:line="360" w:lineRule="auto"/>
        <w:jc w:val="left"/>
        <w:rPr>
          <w:rFonts w:hint="eastAsia" w:ascii="宋体" w:hAnsi="宋体"/>
          <w:sz w:val="24"/>
          <w:szCs w:val="24"/>
        </w:rPr>
      </w:pPr>
      <w:r>
        <w:rPr>
          <w:rFonts w:hint="eastAsia" w:ascii="宋体" w:hAnsi="宋体"/>
          <w:sz w:val="24"/>
          <w:szCs w:val="24"/>
        </w:rPr>
        <w:t>（3）</w:t>
      </w:r>
      <w:r>
        <w:rPr>
          <w:rFonts w:ascii="宋体" w:hAnsi="宋体"/>
          <w:sz w:val="24"/>
          <w:szCs w:val="24"/>
        </w:rPr>
        <w:t>扶持中小企业政策</w:t>
      </w:r>
      <w:r>
        <w:rPr>
          <w:rFonts w:hint="eastAsia" w:ascii="宋体" w:hAnsi="宋体"/>
          <w:sz w:val="24"/>
          <w:szCs w:val="24"/>
        </w:rPr>
        <w:t>、残疾人就业政策及</w:t>
      </w:r>
      <w:r>
        <w:rPr>
          <w:rFonts w:hint="eastAsia" w:ascii="宋体" w:hAnsi="宋体" w:cs="宋体"/>
          <w:color w:val="000000"/>
          <w:kern w:val="0"/>
          <w:sz w:val="24"/>
          <w:szCs w:val="24"/>
          <w:lang w:bidi="ar"/>
        </w:rPr>
        <w:t>支持监狱企业发展</w:t>
      </w:r>
      <w:r>
        <w:rPr>
          <w:rFonts w:ascii="宋体" w:hAnsi="宋体"/>
          <w:sz w:val="24"/>
          <w:szCs w:val="24"/>
        </w:rPr>
        <w:t>：</w:t>
      </w:r>
      <w:r>
        <w:rPr>
          <w:rFonts w:hint="eastAsia" w:ascii="宋体" w:hAnsi="宋体"/>
          <w:sz w:val="24"/>
          <w:szCs w:val="24"/>
        </w:rPr>
        <w:t>若投标人提供的全部投标产品符合《政府采购促进中小企业发展管理办法》（财库〔2020〕46号）的规定属于小型、微型企业的，</w:t>
      </w:r>
      <w:r>
        <w:rPr>
          <w:rFonts w:ascii="宋体" w:hAnsi="宋体"/>
          <w:sz w:val="24"/>
          <w:szCs w:val="24"/>
        </w:rPr>
        <w:t>评审时其投标报价享受10%的价格折扣</w:t>
      </w:r>
      <w:r>
        <w:rPr>
          <w:rFonts w:hint="eastAsia" w:ascii="宋体" w:hAnsi="宋体"/>
          <w:sz w:val="24"/>
          <w:szCs w:val="24"/>
        </w:rPr>
        <w:t>。符合《财政部 民政部 中国残疾人联合会关于促进残疾人就业政府采购政策的通知》（财库〔2017〕141号）的规定属于残疾人福利性单位的；或符合《财政部、司法部关于政府采购支持监狱企业发展有关问题的通知》（财库（2</w:t>
      </w:r>
      <w:r>
        <w:rPr>
          <w:rFonts w:ascii="宋体" w:hAnsi="宋体"/>
          <w:sz w:val="24"/>
          <w:szCs w:val="24"/>
        </w:rPr>
        <w:t>014</w:t>
      </w:r>
      <w:r>
        <w:rPr>
          <w:rFonts w:hint="eastAsia" w:ascii="宋体" w:hAnsi="宋体"/>
          <w:sz w:val="24"/>
          <w:szCs w:val="24"/>
        </w:rPr>
        <w:t>）68号）属于监狱企业的，均视同小型、微型企业，不重复享受政策。</w:t>
      </w:r>
    </w:p>
    <w:p w14:paraId="07CDD825">
      <w:pPr>
        <w:widowControl/>
        <w:spacing w:line="360" w:lineRule="auto"/>
        <w:jc w:val="left"/>
        <w:rPr>
          <w:rFonts w:hint="eastAsia" w:ascii="宋体" w:hAnsi="宋体"/>
          <w:sz w:val="24"/>
          <w:szCs w:val="24"/>
        </w:rPr>
      </w:pPr>
      <w:r>
        <w:rPr>
          <w:rFonts w:hint="eastAsia" w:ascii="宋体" w:hAnsi="宋体"/>
          <w:sz w:val="24"/>
          <w:szCs w:val="24"/>
        </w:rPr>
        <w:t>（4）落实《国务院办公厅关于在政府采购中实施本国产品标准及相关政策的通知》国办发〔2025〕34号相关规定。</w:t>
      </w:r>
    </w:p>
    <w:p w14:paraId="7EE9C826">
      <w:pPr>
        <w:spacing w:line="360" w:lineRule="auto"/>
        <w:rPr>
          <w:rFonts w:hint="eastAsia" w:ascii="宋体" w:hAnsi="宋体"/>
          <w:sz w:val="24"/>
          <w:szCs w:val="24"/>
        </w:rPr>
      </w:pPr>
      <w:r>
        <w:rPr>
          <w:rFonts w:hint="eastAsia" w:ascii="宋体" w:hAnsi="宋体"/>
          <w:sz w:val="24"/>
          <w:szCs w:val="24"/>
        </w:rPr>
        <w:t>（5）扶持不发达地区和少数民族地区政策。</w:t>
      </w:r>
    </w:p>
    <w:p w14:paraId="69B0494C">
      <w:pPr>
        <w:tabs>
          <w:tab w:val="left" w:pos="945"/>
          <w:tab w:val="left" w:pos="2977"/>
        </w:tabs>
        <w:spacing w:line="360" w:lineRule="auto"/>
        <w:rPr>
          <w:rFonts w:hint="eastAsia" w:ascii="宋体" w:hAnsi="宋体"/>
          <w:sz w:val="24"/>
          <w:szCs w:val="24"/>
        </w:rPr>
      </w:pPr>
      <w:r>
        <w:rPr>
          <w:rFonts w:hint="eastAsia" w:ascii="宋体" w:hAnsi="宋体"/>
          <w:sz w:val="24"/>
          <w:szCs w:val="24"/>
        </w:rPr>
        <w:t>5.</w:t>
      </w:r>
      <w:r>
        <w:rPr>
          <w:rFonts w:ascii="宋体" w:hAnsi="宋体"/>
          <w:sz w:val="24"/>
          <w:szCs w:val="24"/>
        </w:rPr>
        <w:t>采购用途：自用</w:t>
      </w:r>
      <w:r>
        <w:rPr>
          <w:rFonts w:hint="eastAsia" w:ascii="宋体" w:hAnsi="宋体"/>
          <w:sz w:val="24"/>
          <w:szCs w:val="24"/>
        </w:rPr>
        <w:t>。</w:t>
      </w:r>
    </w:p>
    <w:p w14:paraId="2AF8CD3D">
      <w:pPr>
        <w:tabs>
          <w:tab w:val="left" w:pos="945"/>
          <w:tab w:val="left" w:pos="2977"/>
        </w:tabs>
        <w:spacing w:line="360" w:lineRule="auto"/>
        <w:rPr>
          <w:rFonts w:hint="eastAsia" w:ascii="宋体" w:hAnsi="宋体"/>
          <w:sz w:val="24"/>
          <w:szCs w:val="24"/>
        </w:rPr>
      </w:pPr>
      <w:r>
        <w:rPr>
          <w:rFonts w:hint="eastAsia" w:ascii="宋体" w:hAnsi="宋体"/>
          <w:sz w:val="24"/>
          <w:szCs w:val="24"/>
        </w:rPr>
        <w:t>6.</w:t>
      </w:r>
      <w:r>
        <w:rPr>
          <w:rFonts w:ascii="宋体" w:hAnsi="宋体"/>
          <w:sz w:val="24"/>
          <w:szCs w:val="24"/>
        </w:rPr>
        <w:t>资金来源：</w:t>
      </w:r>
      <w:r>
        <w:rPr>
          <w:rFonts w:hint="eastAsia" w:ascii="宋体" w:hAnsi="宋体"/>
          <w:sz w:val="24"/>
          <w:szCs w:val="24"/>
        </w:rPr>
        <w:t>财政性</w:t>
      </w:r>
      <w:r>
        <w:rPr>
          <w:rFonts w:ascii="宋体" w:hAnsi="宋体"/>
          <w:sz w:val="24"/>
          <w:szCs w:val="24"/>
        </w:rPr>
        <w:t>资金</w:t>
      </w:r>
      <w:r>
        <w:rPr>
          <w:rFonts w:hint="eastAsia" w:ascii="宋体" w:hAnsi="宋体"/>
          <w:sz w:val="24"/>
          <w:szCs w:val="24"/>
        </w:rPr>
        <w:t>，且资金已落实。</w:t>
      </w:r>
    </w:p>
    <w:p w14:paraId="25E674D4">
      <w:pPr>
        <w:tabs>
          <w:tab w:val="left" w:pos="945"/>
          <w:tab w:val="left" w:pos="2977"/>
        </w:tabs>
        <w:spacing w:line="360" w:lineRule="auto"/>
        <w:rPr>
          <w:rFonts w:hint="eastAsia" w:ascii="宋体" w:hAnsi="宋体"/>
          <w:sz w:val="24"/>
          <w:szCs w:val="24"/>
        </w:rPr>
      </w:pPr>
      <w:r>
        <w:rPr>
          <w:rFonts w:hint="eastAsia" w:ascii="宋体" w:hAnsi="宋体"/>
          <w:sz w:val="24"/>
          <w:szCs w:val="24"/>
        </w:rPr>
        <w:t>7.</w:t>
      </w:r>
      <w:r>
        <w:rPr>
          <w:rFonts w:ascii="宋体" w:hAnsi="宋体"/>
          <w:sz w:val="24"/>
          <w:szCs w:val="24"/>
        </w:rPr>
        <w:t>评标方法和标准：综合评分法</w:t>
      </w:r>
      <w:r>
        <w:rPr>
          <w:rFonts w:hint="eastAsia" w:ascii="宋体" w:hAnsi="宋体"/>
          <w:sz w:val="24"/>
          <w:szCs w:val="24"/>
        </w:rPr>
        <w:t>。</w:t>
      </w:r>
    </w:p>
    <w:p w14:paraId="151CB06D">
      <w:pPr>
        <w:spacing w:line="360" w:lineRule="auto"/>
        <w:rPr>
          <w:rFonts w:hint="eastAsia" w:ascii="宋体" w:hAnsi="宋体"/>
          <w:sz w:val="24"/>
          <w:szCs w:val="24"/>
        </w:rPr>
      </w:pPr>
      <w:r>
        <w:rPr>
          <w:rFonts w:hint="eastAsia" w:ascii="宋体" w:hAnsi="宋体"/>
          <w:sz w:val="24"/>
          <w:szCs w:val="24"/>
        </w:rPr>
        <w:t>8.公告媒体：本项目公告在中国政府采购网和新疆政府采购网发布。</w:t>
      </w:r>
    </w:p>
    <w:p w14:paraId="08A8FD0C">
      <w:pPr>
        <w:spacing w:line="360" w:lineRule="auto"/>
        <w:rPr>
          <w:rFonts w:hint="eastAsia" w:ascii="宋体" w:hAnsi="宋体"/>
          <w:sz w:val="24"/>
          <w:szCs w:val="24"/>
        </w:rPr>
      </w:pPr>
      <w:r>
        <w:rPr>
          <w:rFonts w:hint="eastAsia" w:ascii="宋体" w:hAnsi="宋体"/>
          <w:sz w:val="24"/>
          <w:szCs w:val="24"/>
        </w:rPr>
        <w:t>9.免责声明：请各投标人提高警惕，不要轻信其他任何媒介或者向其他组织、个人支付相关款项，避免上当受骗。投标人由此而造成的一切损失，均由其自身承担，采购人/采购代理机构不承担任何责任。</w:t>
      </w:r>
    </w:p>
    <w:p w14:paraId="560078B8">
      <w:pPr>
        <w:widowControl/>
        <w:jc w:val="left"/>
        <w:rPr>
          <w:rFonts w:hint="eastAsia" w:ascii="宋体" w:hAnsi="宋体"/>
          <w:b/>
          <w:spacing w:val="100"/>
          <w:sz w:val="44"/>
          <w:szCs w:val="44"/>
        </w:rPr>
      </w:pPr>
      <w:r>
        <w:rPr>
          <w:rFonts w:hint="eastAsia" w:ascii="宋体" w:hAnsi="宋体"/>
          <w:b/>
          <w:spacing w:val="100"/>
          <w:sz w:val="44"/>
          <w:szCs w:val="44"/>
        </w:rPr>
        <w:br w:type="page"/>
      </w:r>
    </w:p>
    <w:p w14:paraId="6B240FFF">
      <w:pPr>
        <w:spacing w:line="360" w:lineRule="auto"/>
        <w:rPr>
          <w:rFonts w:hint="eastAsia" w:ascii="宋体" w:hAnsi="宋体"/>
          <w:b/>
          <w:spacing w:val="100"/>
          <w:sz w:val="44"/>
          <w:szCs w:val="44"/>
        </w:rPr>
      </w:pPr>
    </w:p>
    <w:p w14:paraId="61868BB7">
      <w:pPr>
        <w:rPr>
          <w:rFonts w:hint="eastAsia" w:ascii="宋体" w:hAnsi="宋体"/>
        </w:rPr>
      </w:pPr>
    </w:p>
    <w:p w14:paraId="01AAE2D8">
      <w:pPr>
        <w:rPr>
          <w:rFonts w:hint="eastAsia" w:ascii="宋体" w:hAnsi="宋体"/>
        </w:rPr>
      </w:pPr>
    </w:p>
    <w:p w14:paraId="13CD3982">
      <w:pPr>
        <w:rPr>
          <w:rFonts w:hint="eastAsia" w:ascii="宋体" w:hAnsi="宋体"/>
        </w:rPr>
      </w:pPr>
    </w:p>
    <w:p w14:paraId="4323FD2E">
      <w:pPr>
        <w:rPr>
          <w:rFonts w:hint="eastAsia" w:ascii="宋体" w:hAnsi="宋体"/>
        </w:rPr>
      </w:pPr>
    </w:p>
    <w:p w14:paraId="56B4AD18">
      <w:pPr>
        <w:rPr>
          <w:rFonts w:hint="eastAsia" w:ascii="宋体" w:hAnsi="宋体"/>
        </w:rPr>
      </w:pPr>
    </w:p>
    <w:p w14:paraId="6C615452">
      <w:pPr>
        <w:rPr>
          <w:rFonts w:hint="eastAsia" w:ascii="宋体" w:hAnsi="宋体"/>
        </w:rPr>
      </w:pPr>
    </w:p>
    <w:p w14:paraId="6CECCF7D">
      <w:pPr>
        <w:rPr>
          <w:rFonts w:hint="eastAsia" w:ascii="宋体" w:hAnsi="宋体"/>
        </w:rPr>
      </w:pPr>
    </w:p>
    <w:p w14:paraId="53E0D86F">
      <w:pPr>
        <w:rPr>
          <w:rFonts w:hint="eastAsia" w:ascii="宋体" w:hAnsi="宋体"/>
        </w:rPr>
      </w:pPr>
    </w:p>
    <w:p w14:paraId="73DBF50F">
      <w:pPr>
        <w:rPr>
          <w:rFonts w:hint="eastAsia" w:ascii="宋体" w:hAnsi="宋体"/>
        </w:rPr>
      </w:pPr>
    </w:p>
    <w:p w14:paraId="58553F60">
      <w:pPr>
        <w:rPr>
          <w:rFonts w:hint="eastAsia" w:ascii="宋体" w:hAnsi="宋体"/>
        </w:rPr>
      </w:pPr>
    </w:p>
    <w:p w14:paraId="596D3AB0">
      <w:pPr>
        <w:spacing w:line="480" w:lineRule="auto"/>
        <w:jc w:val="center"/>
        <w:outlineLvl w:val="0"/>
        <w:rPr>
          <w:rFonts w:hint="eastAsia" w:ascii="宋体" w:hAnsi="宋体"/>
          <w:b/>
          <w:spacing w:val="100"/>
          <w:sz w:val="44"/>
          <w:szCs w:val="44"/>
        </w:rPr>
      </w:pPr>
      <w:bookmarkStart w:id="9" w:name="_Toc176023812"/>
      <w:r>
        <w:rPr>
          <w:rFonts w:ascii="宋体" w:hAnsi="宋体"/>
          <w:b/>
          <w:spacing w:val="100"/>
          <w:sz w:val="44"/>
          <w:szCs w:val="44"/>
        </w:rPr>
        <w:t>第</w:t>
      </w:r>
      <w:r>
        <w:rPr>
          <w:rFonts w:hint="eastAsia" w:ascii="宋体" w:hAnsi="宋体"/>
          <w:b/>
          <w:spacing w:val="100"/>
          <w:sz w:val="44"/>
          <w:szCs w:val="44"/>
        </w:rPr>
        <w:t>二</w:t>
      </w:r>
      <w:r>
        <w:rPr>
          <w:rFonts w:ascii="宋体" w:hAnsi="宋体"/>
          <w:b/>
          <w:spacing w:val="100"/>
          <w:sz w:val="44"/>
          <w:szCs w:val="44"/>
        </w:rPr>
        <w:t>章 投标人须知前附表和投标人须知</w:t>
      </w:r>
      <w:bookmarkEnd w:id="9"/>
    </w:p>
    <w:p w14:paraId="4E715298">
      <w:pPr>
        <w:spacing w:line="360" w:lineRule="auto"/>
        <w:jc w:val="center"/>
        <w:rPr>
          <w:rFonts w:hint="eastAsia" w:ascii="宋体" w:hAnsi="宋体"/>
          <w:b/>
          <w:sz w:val="44"/>
          <w:szCs w:val="44"/>
        </w:rPr>
      </w:pPr>
    </w:p>
    <w:p w14:paraId="6C7A7732">
      <w:pPr>
        <w:spacing w:line="360" w:lineRule="auto"/>
        <w:jc w:val="center"/>
        <w:rPr>
          <w:rFonts w:hint="eastAsia" w:ascii="宋体" w:hAnsi="宋体"/>
          <w:b/>
          <w:sz w:val="44"/>
          <w:szCs w:val="44"/>
        </w:rPr>
      </w:pPr>
    </w:p>
    <w:p w14:paraId="313B9B2C">
      <w:pPr>
        <w:spacing w:line="360" w:lineRule="auto"/>
        <w:jc w:val="center"/>
        <w:rPr>
          <w:rFonts w:hint="eastAsia" w:ascii="宋体" w:hAnsi="宋体"/>
          <w:b/>
          <w:sz w:val="44"/>
          <w:szCs w:val="44"/>
        </w:rPr>
      </w:pPr>
    </w:p>
    <w:p w14:paraId="56BCB0F0">
      <w:pPr>
        <w:spacing w:line="360" w:lineRule="auto"/>
        <w:jc w:val="center"/>
        <w:rPr>
          <w:rFonts w:hint="eastAsia" w:ascii="宋体" w:hAnsi="宋体"/>
          <w:b/>
          <w:sz w:val="44"/>
          <w:szCs w:val="44"/>
        </w:rPr>
      </w:pPr>
    </w:p>
    <w:p w14:paraId="1FDCCBBE">
      <w:pPr>
        <w:spacing w:line="360" w:lineRule="auto"/>
        <w:jc w:val="center"/>
        <w:rPr>
          <w:rFonts w:hint="eastAsia" w:ascii="宋体" w:hAnsi="宋体"/>
          <w:b/>
          <w:sz w:val="44"/>
          <w:szCs w:val="44"/>
        </w:rPr>
      </w:pPr>
    </w:p>
    <w:p w14:paraId="748108B8">
      <w:pPr>
        <w:spacing w:line="360" w:lineRule="auto"/>
        <w:jc w:val="center"/>
        <w:outlineLvl w:val="1"/>
        <w:rPr>
          <w:rFonts w:hint="eastAsia" w:ascii="宋体" w:hAnsi="宋体"/>
          <w:b/>
          <w:spacing w:val="100"/>
          <w:sz w:val="40"/>
          <w:szCs w:val="40"/>
        </w:rPr>
      </w:pPr>
      <w:r>
        <w:rPr>
          <w:rFonts w:ascii="宋体" w:hAnsi="宋体"/>
          <w:b/>
          <w:spacing w:val="100"/>
          <w:sz w:val="44"/>
          <w:szCs w:val="44"/>
        </w:rPr>
        <w:br w:type="page"/>
      </w:r>
      <w:bookmarkStart w:id="10" w:name="_Toc176023813"/>
      <w:bookmarkStart w:id="11" w:name="_Toc115623223"/>
      <w:r>
        <w:rPr>
          <w:rFonts w:ascii="宋体" w:hAnsi="宋体"/>
          <w:b/>
          <w:spacing w:val="100"/>
          <w:sz w:val="40"/>
          <w:szCs w:val="40"/>
        </w:rPr>
        <w:t>投标人须知前附表</w:t>
      </w:r>
      <w:bookmarkEnd w:id="10"/>
      <w:bookmarkEnd w:id="11"/>
    </w:p>
    <w:p w14:paraId="15386CBD">
      <w:pPr>
        <w:spacing w:line="360" w:lineRule="auto"/>
        <w:ind w:firstLine="420"/>
        <w:rPr>
          <w:rFonts w:hint="eastAsia" w:ascii="宋体" w:hAnsi="宋体"/>
          <w:sz w:val="24"/>
          <w:szCs w:val="24"/>
        </w:rPr>
      </w:pPr>
      <w:r>
        <w:rPr>
          <w:rFonts w:ascii="宋体" w:hAnsi="宋体"/>
          <w:sz w:val="24"/>
          <w:szCs w:val="24"/>
        </w:rPr>
        <w:t>本表是对投标人须知的具体补充和修改，如有矛盾，应以本前附表为准。</w:t>
      </w:r>
    </w:p>
    <w:tbl>
      <w:tblPr>
        <w:tblStyle w:val="36"/>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36"/>
        <w:gridCol w:w="623"/>
        <w:gridCol w:w="5883"/>
      </w:tblGrid>
      <w:tr w14:paraId="4271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1" w:type="dxa"/>
            <w:vAlign w:val="center"/>
          </w:tcPr>
          <w:p w14:paraId="30B045BC">
            <w:pPr>
              <w:pStyle w:val="74"/>
              <w:spacing w:line="360" w:lineRule="auto"/>
              <w:jc w:val="center"/>
              <w:rPr>
                <w:rFonts w:hint="eastAsia" w:hAnsi="宋体" w:cs="Times New Roman"/>
                <w:b/>
                <w:kern w:val="24"/>
                <w:sz w:val="24"/>
                <w:szCs w:val="24"/>
              </w:rPr>
            </w:pPr>
            <w:r>
              <w:rPr>
                <w:rFonts w:hint="eastAsia" w:hAnsi="宋体" w:cs="Times New Roman"/>
                <w:kern w:val="24"/>
                <w:sz w:val="24"/>
                <w:szCs w:val="24"/>
              </w:rPr>
              <w:t>序号</w:t>
            </w:r>
          </w:p>
        </w:tc>
        <w:tc>
          <w:tcPr>
            <w:tcW w:w="2136" w:type="dxa"/>
            <w:vAlign w:val="center"/>
          </w:tcPr>
          <w:p w14:paraId="7570042D">
            <w:pPr>
              <w:pStyle w:val="74"/>
              <w:spacing w:line="360" w:lineRule="auto"/>
              <w:jc w:val="left"/>
              <w:rPr>
                <w:rFonts w:hint="eastAsia" w:hAnsi="宋体" w:cs="Times New Roman"/>
                <w:b/>
                <w:kern w:val="24"/>
                <w:sz w:val="24"/>
                <w:szCs w:val="24"/>
              </w:rPr>
            </w:pPr>
            <w:r>
              <w:rPr>
                <w:rFonts w:hint="eastAsia" w:hAnsi="宋体" w:cs="Times New Roman"/>
                <w:kern w:val="24"/>
                <w:sz w:val="24"/>
                <w:szCs w:val="24"/>
              </w:rPr>
              <w:t>条款名称</w:t>
            </w:r>
          </w:p>
        </w:tc>
        <w:tc>
          <w:tcPr>
            <w:tcW w:w="6506" w:type="dxa"/>
            <w:gridSpan w:val="2"/>
            <w:vAlign w:val="center"/>
          </w:tcPr>
          <w:p w14:paraId="655D2C1B">
            <w:pPr>
              <w:pStyle w:val="74"/>
              <w:spacing w:line="360" w:lineRule="auto"/>
              <w:jc w:val="left"/>
              <w:rPr>
                <w:rFonts w:hint="eastAsia" w:hAnsi="宋体" w:cs="MingLiU_HKSCS"/>
                <w:b/>
                <w:kern w:val="24"/>
                <w:sz w:val="24"/>
                <w:szCs w:val="24"/>
              </w:rPr>
            </w:pPr>
            <w:r>
              <w:rPr>
                <w:rFonts w:hint="eastAsia" w:hAnsi="宋体" w:cs="Times New Roman"/>
                <w:kern w:val="24"/>
                <w:sz w:val="24"/>
                <w:szCs w:val="24"/>
              </w:rPr>
              <w:t>编列内容规定</w:t>
            </w:r>
          </w:p>
        </w:tc>
      </w:tr>
      <w:tr w14:paraId="02DF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14:paraId="26E1A3DB">
            <w:pPr>
              <w:pStyle w:val="74"/>
              <w:spacing w:line="360" w:lineRule="auto"/>
              <w:jc w:val="center"/>
              <w:rPr>
                <w:rFonts w:hint="eastAsia" w:hAnsi="宋体" w:cs="Times New Roman"/>
                <w:kern w:val="24"/>
                <w:sz w:val="24"/>
                <w:szCs w:val="24"/>
              </w:rPr>
            </w:pPr>
            <w:r>
              <w:rPr>
                <w:rFonts w:hAnsi="宋体" w:cs="Times New Roman"/>
                <w:kern w:val="24"/>
                <w:sz w:val="24"/>
                <w:szCs w:val="24"/>
              </w:rPr>
              <w:t>1</w:t>
            </w:r>
          </w:p>
        </w:tc>
        <w:tc>
          <w:tcPr>
            <w:tcW w:w="2136" w:type="dxa"/>
            <w:vAlign w:val="center"/>
          </w:tcPr>
          <w:p w14:paraId="3957D8CF">
            <w:pPr>
              <w:pStyle w:val="74"/>
              <w:spacing w:line="360" w:lineRule="auto"/>
              <w:jc w:val="left"/>
              <w:rPr>
                <w:rFonts w:hint="eastAsia" w:hAnsi="宋体" w:cs="Times New Roman"/>
                <w:b/>
                <w:kern w:val="24"/>
                <w:sz w:val="24"/>
                <w:szCs w:val="24"/>
              </w:rPr>
            </w:pPr>
            <w:r>
              <w:rPr>
                <w:rFonts w:hint="eastAsia" w:hAnsi="宋体" w:cs="Times New Roman"/>
                <w:kern w:val="24"/>
                <w:sz w:val="24"/>
                <w:szCs w:val="24"/>
              </w:rPr>
              <w:t>采购项目名称、项目编号</w:t>
            </w:r>
          </w:p>
        </w:tc>
        <w:tc>
          <w:tcPr>
            <w:tcW w:w="6506" w:type="dxa"/>
            <w:gridSpan w:val="2"/>
            <w:vAlign w:val="center"/>
          </w:tcPr>
          <w:p w14:paraId="7A254547">
            <w:pPr>
              <w:pStyle w:val="74"/>
              <w:spacing w:line="360" w:lineRule="auto"/>
              <w:jc w:val="left"/>
              <w:rPr>
                <w:rFonts w:hint="eastAsia" w:hAnsi="宋体" w:cs="MingLiU_HKSCS"/>
                <w:b/>
                <w:kern w:val="24"/>
                <w:sz w:val="24"/>
                <w:szCs w:val="24"/>
              </w:rPr>
            </w:pPr>
            <w:r>
              <w:rPr>
                <w:rFonts w:hint="eastAsia" w:hAnsi="宋体"/>
                <w:sz w:val="24"/>
                <w:szCs w:val="24"/>
              </w:rPr>
              <w:t>详见投标邀请</w:t>
            </w:r>
          </w:p>
        </w:tc>
      </w:tr>
      <w:tr w14:paraId="10B7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59AE3DB6">
            <w:pPr>
              <w:pStyle w:val="74"/>
              <w:spacing w:line="360" w:lineRule="auto"/>
              <w:jc w:val="center"/>
              <w:rPr>
                <w:rFonts w:hint="eastAsia" w:hAnsi="宋体" w:cs="Times New Roman"/>
                <w:kern w:val="24"/>
                <w:sz w:val="24"/>
                <w:szCs w:val="24"/>
              </w:rPr>
            </w:pPr>
          </w:p>
        </w:tc>
        <w:tc>
          <w:tcPr>
            <w:tcW w:w="2136" w:type="dxa"/>
            <w:vAlign w:val="center"/>
          </w:tcPr>
          <w:p w14:paraId="0C825E9E">
            <w:pPr>
              <w:pStyle w:val="74"/>
              <w:spacing w:line="360" w:lineRule="auto"/>
              <w:jc w:val="left"/>
              <w:rPr>
                <w:rFonts w:hint="eastAsia" w:hAnsi="宋体" w:cs="Times New Roman"/>
                <w:kern w:val="24"/>
                <w:sz w:val="24"/>
                <w:szCs w:val="24"/>
              </w:rPr>
            </w:pPr>
            <w:r>
              <w:rPr>
                <w:rFonts w:hint="eastAsia" w:hAnsi="宋体" w:cs="Times New Roman"/>
                <w:kern w:val="24"/>
                <w:sz w:val="24"/>
                <w:szCs w:val="24"/>
              </w:rPr>
              <w:t>资金来源</w:t>
            </w:r>
          </w:p>
        </w:tc>
        <w:tc>
          <w:tcPr>
            <w:tcW w:w="6506" w:type="dxa"/>
            <w:gridSpan w:val="2"/>
            <w:vAlign w:val="center"/>
          </w:tcPr>
          <w:p w14:paraId="0074824F">
            <w:pPr>
              <w:pStyle w:val="74"/>
              <w:spacing w:line="360" w:lineRule="auto"/>
              <w:jc w:val="left"/>
              <w:rPr>
                <w:rFonts w:hint="eastAsia" w:hAnsi="宋体"/>
                <w:sz w:val="24"/>
                <w:szCs w:val="24"/>
              </w:rPr>
            </w:pPr>
            <w:r>
              <w:rPr>
                <w:rFonts w:hint="eastAsia" w:hAnsi="宋体"/>
                <w:sz w:val="24"/>
                <w:szCs w:val="24"/>
              </w:rPr>
              <w:t>财政性资金</w:t>
            </w:r>
          </w:p>
        </w:tc>
      </w:tr>
      <w:tr w14:paraId="4768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733E976B">
            <w:pPr>
              <w:pStyle w:val="74"/>
              <w:spacing w:line="360" w:lineRule="auto"/>
              <w:jc w:val="center"/>
              <w:rPr>
                <w:rFonts w:hint="eastAsia" w:hAnsi="宋体" w:cs="Times New Roman"/>
                <w:kern w:val="24"/>
                <w:sz w:val="24"/>
                <w:szCs w:val="24"/>
              </w:rPr>
            </w:pPr>
          </w:p>
        </w:tc>
        <w:tc>
          <w:tcPr>
            <w:tcW w:w="2136" w:type="dxa"/>
            <w:vAlign w:val="center"/>
          </w:tcPr>
          <w:p w14:paraId="4343CD1C">
            <w:pPr>
              <w:pStyle w:val="74"/>
              <w:spacing w:line="360" w:lineRule="auto"/>
              <w:jc w:val="left"/>
              <w:rPr>
                <w:rFonts w:hint="eastAsia" w:hAnsi="宋体" w:cs="MingLiU_HKSCS"/>
                <w:b/>
                <w:kern w:val="24"/>
                <w:sz w:val="24"/>
                <w:szCs w:val="24"/>
              </w:rPr>
            </w:pPr>
            <w:r>
              <w:rPr>
                <w:rFonts w:hint="eastAsia" w:hAnsi="宋体" w:cs="Times New Roman"/>
                <w:kern w:val="24"/>
                <w:sz w:val="24"/>
                <w:szCs w:val="24"/>
              </w:rPr>
              <w:t>采购预算</w:t>
            </w:r>
          </w:p>
        </w:tc>
        <w:tc>
          <w:tcPr>
            <w:tcW w:w="6506" w:type="dxa"/>
            <w:gridSpan w:val="2"/>
            <w:vAlign w:val="center"/>
          </w:tcPr>
          <w:p w14:paraId="1B207654">
            <w:pPr>
              <w:spacing w:line="360" w:lineRule="auto"/>
              <w:contextualSpacing/>
              <w:jc w:val="left"/>
              <w:rPr>
                <w:rFonts w:hint="eastAsia" w:ascii="宋体" w:hAnsi="宋体"/>
                <w:sz w:val="24"/>
                <w:szCs w:val="24"/>
              </w:rPr>
            </w:pPr>
            <w:r>
              <w:rPr>
                <w:rFonts w:hint="eastAsia" w:ascii="宋体" w:hAnsi="宋体"/>
                <w:sz w:val="24"/>
                <w:szCs w:val="24"/>
              </w:rPr>
              <w:t>项目总预算为人民币</w:t>
            </w:r>
            <w:r>
              <w:rPr>
                <w:rFonts w:hint="eastAsia" w:ascii="宋体" w:hAnsi="宋体" w:cs="宋体"/>
                <w:kern w:val="0"/>
                <w:sz w:val="24"/>
                <w:szCs w:val="24"/>
              </w:rPr>
              <w:t>572.5</w:t>
            </w:r>
            <w:r>
              <w:rPr>
                <w:rFonts w:hint="eastAsia" w:ascii="宋体" w:hAnsi="宋体"/>
                <w:sz w:val="24"/>
                <w:szCs w:val="24"/>
              </w:rPr>
              <w:t>万元，单项设备预算及设备预算详见投标邀请。</w:t>
            </w:r>
          </w:p>
        </w:tc>
      </w:tr>
      <w:tr w14:paraId="0430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02E420AA">
            <w:pPr>
              <w:pStyle w:val="74"/>
              <w:spacing w:line="360" w:lineRule="auto"/>
              <w:jc w:val="center"/>
              <w:rPr>
                <w:rFonts w:hint="eastAsia" w:hAnsi="宋体" w:cs="Times New Roman"/>
                <w:kern w:val="24"/>
                <w:sz w:val="24"/>
                <w:szCs w:val="24"/>
              </w:rPr>
            </w:pPr>
          </w:p>
        </w:tc>
        <w:tc>
          <w:tcPr>
            <w:tcW w:w="2136" w:type="dxa"/>
            <w:vAlign w:val="center"/>
          </w:tcPr>
          <w:p w14:paraId="04C5C4EC">
            <w:pPr>
              <w:pStyle w:val="74"/>
              <w:spacing w:line="360" w:lineRule="auto"/>
              <w:jc w:val="left"/>
              <w:rPr>
                <w:rFonts w:hint="eastAsia" w:hAnsi="宋体" w:cs="Times New Roman"/>
                <w:kern w:val="24"/>
                <w:sz w:val="24"/>
                <w:szCs w:val="24"/>
              </w:rPr>
            </w:pPr>
            <w:r>
              <w:rPr>
                <w:rFonts w:hint="eastAsia" w:hAnsi="宋体" w:cs="Times New Roman"/>
                <w:kern w:val="24"/>
                <w:sz w:val="24"/>
                <w:szCs w:val="24"/>
              </w:rPr>
              <w:t>本项目设定的最高限价</w:t>
            </w:r>
          </w:p>
        </w:tc>
        <w:tc>
          <w:tcPr>
            <w:tcW w:w="6506" w:type="dxa"/>
            <w:gridSpan w:val="2"/>
            <w:vAlign w:val="center"/>
          </w:tcPr>
          <w:p w14:paraId="322036D4">
            <w:pPr>
              <w:pStyle w:val="74"/>
              <w:spacing w:line="360" w:lineRule="auto"/>
              <w:jc w:val="left"/>
              <w:rPr>
                <w:rFonts w:hint="eastAsia" w:hAnsi="宋体" w:cs="Times New Roman"/>
                <w:kern w:val="24"/>
                <w:sz w:val="24"/>
                <w:szCs w:val="24"/>
              </w:rPr>
            </w:pPr>
            <w:r>
              <w:rPr>
                <w:rFonts w:hint="eastAsia" w:hAnsi="宋体" w:cs="宋体"/>
                <w:b/>
                <w:kern w:val="24"/>
                <w:sz w:val="24"/>
                <w:szCs w:val="24"/>
              </w:rPr>
              <w:sym w:font="Wingdings 2" w:char="00A3"/>
            </w:r>
            <w:r>
              <w:rPr>
                <w:rFonts w:hint="eastAsia" w:hAnsi="宋体" w:cs="Times New Roman"/>
                <w:kern w:val="24"/>
                <w:sz w:val="24"/>
                <w:szCs w:val="24"/>
              </w:rPr>
              <w:t>无</w:t>
            </w:r>
          </w:p>
          <w:p w14:paraId="18E42A1E">
            <w:pPr>
              <w:spacing w:line="360" w:lineRule="auto"/>
              <w:jc w:val="left"/>
              <w:rPr>
                <w:rFonts w:hint="eastAsia" w:ascii="宋体" w:hAnsi="宋体"/>
                <w:kern w:val="24"/>
                <w:sz w:val="24"/>
                <w:szCs w:val="24"/>
              </w:rPr>
            </w:pPr>
            <w:r>
              <w:rPr>
                <w:rFonts w:hint="eastAsia" w:ascii="宋体" w:hAnsi="宋体"/>
                <w:b/>
                <w:bCs/>
                <w:kern w:val="24"/>
                <w:sz w:val="24"/>
                <w:szCs w:val="24"/>
              </w:rPr>
              <w:sym w:font="Wingdings 2" w:char="0052"/>
            </w:r>
            <w:r>
              <w:rPr>
                <w:rFonts w:hint="eastAsia" w:ascii="宋体" w:hAnsi="宋体"/>
                <w:kern w:val="24"/>
                <w:sz w:val="24"/>
                <w:szCs w:val="24"/>
              </w:rPr>
              <w:t>有，金额：</w:t>
            </w:r>
            <w:r>
              <w:rPr>
                <w:rFonts w:hint="eastAsia" w:ascii="宋体" w:hAnsi="宋体" w:cs="宋体"/>
                <w:kern w:val="0"/>
                <w:sz w:val="24"/>
                <w:szCs w:val="24"/>
              </w:rPr>
              <w:t>572.5</w:t>
            </w:r>
            <w:r>
              <w:rPr>
                <w:rFonts w:hint="eastAsia" w:ascii="宋体" w:hAnsi="宋体"/>
                <w:kern w:val="24"/>
                <w:sz w:val="24"/>
                <w:szCs w:val="24"/>
              </w:rPr>
              <w:t>万元</w:t>
            </w:r>
          </w:p>
        </w:tc>
      </w:tr>
      <w:tr w14:paraId="011E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1CF29E7">
            <w:pPr>
              <w:pStyle w:val="74"/>
              <w:spacing w:line="360" w:lineRule="auto"/>
              <w:jc w:val="center"/>
              <w:rPr>
                <w:rFonts w:hint="eastAsia" w:hAnsi="宋体" w:cs="Times New Roman"/>
                <w:kern w:val="24"/>
                <w:sz w:val="24"/>
                <w:szCs w:val="24"/>
              </w:rPr>
            </w:pPr>
            <w:r>
              <w:rPr>
                <w:rFonts w:hint="eastAsia" w:hAnsi="宋体" w:cs="Times New Roman"/>
                <w:kern w:val="24"/>
                <w:sz w:val="24"/>
                <w:szCs w:val="24"/>
              </w:rPr>
              <w:t>2</w:t>
            </w:r>
          </w:p>
        </w:tc>
        <w:tc>
          <w:tcPr>
            <w:tcW w:w="2136" w:type="dxa"/>
            <w:vAlign w:val="center"/>
          </w:tcPr>
          <w:p w14:paraId="13877466">
            <w:pPr>
              <w:pStyle w:val="74"/>
              <w:spacing w:line="360" w:lineRule="auto"/>
              <w:jc w:val="left"/>
              <w:rPr>
                <w:rFonts w:hint="eastAsia" w:hAnsi="宋体" w:cs="Times New Roman"/>
                <w:kern w:val="24"/>
                <w:sz w:val="24"/>
                <w:szCs w:val="24"/>
              </w:rPr>
            </w:pPr>
            <w:r>
              <w:rPr>
                <w:rFonts w:hint="eastAsia" w:hAnsi="宋体" w:cs="Times New Roman"/>
                <w:kern w:val="24"/>
                <w:sz w:val="24"/>
                <w:szCs w:val="24"/>
              </w:rPr>
              <w:t>核心产品</w:t>
            </w:r>
          </w:p>
        </w:tc>
        <w:tc>
          <w:tcPr>
            <w:tcW w:w="6506" w:type="dxa"/>
            <w:gridSpan w:val="2"/>
            <w:vAlign w:val="center"/>
          </w:tcPr>
          <w:p w14:paraId="4E893762">
            <w:pPr>
              <w:pStyle w:val="74"/>
              <w:spacing w:line="360" w:lineRule="auto"/>
              <w:jc w:val="left"/>
              <w:rPr>
                <w:rFonts w:hint="eastAsia" w:hAnsi="宋体" w:cs="宋体"/>
                <w:kern w:val="24"/>
                <w:sz w:val="24"/>
                <w:szCs w:val="24"/>
              </w:rPr>
            </w:pPr>
            <w:r>
              <w:rPr>
                <w:rFonts w:hint="eastAsia" w:hAnsi="宋体"/>
                <w:sz w:val="24"/>
              </w:rPr>
              <w:t>详见投标邀请中的产品清单</w:t>
            </w:r>
          </w:p>
        </w:tc>
      </w:tr>
      <w:tr w14:paraId="2E31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BDFA850">
            <w:pPr>
              <w:pStyle w:val="74"/>
              <w:spacing w:line="360" w:lineRule="auto"/>
              <w:jc w:val="center"/>
              <w:rPr>
                <w:rFonts w:hint="eastAsia" w:hAnsi="宋体" w:cs="Times New Roman"/>
                <w:kern w:val="24"/>
                <w:sz w:val="24"/>
                <w:szCs w:val="24"/>
              </w:rPr>
            </w:pPr>
            <w:r>
              <w:rPr>
                <w:rFonts w:hint="eastAsia" w:hAnsi="宋体" w:cs="Times New Roman"/>
                <w:kern w:val="24"/>
                <w:sz w:val="24"/>
                <w:szCs w:val="24"/>
              </w:rPr>
              <w:t>3</w:t>
            </w:r>
          </w:p>
        </w:tc>
        <w:tc>
          <w:tcPr>
            <w:tcW w:w="2136" w:type="dxa"/>
            <w:vAlign w:val="center"/>
          </w:tcPr>
          <w:p w14:paraId="1E48AC1B">
            <w:pPr>
              <w:pStyle w:val="74"/>
              <w:spacing w:line="360" w:lineRule="auto"/>
              <w:jc w:val="left"/>
              <w:rPr>
                <w:rFonts w:hint="eastAsia" w:hAnsi="宋体" w:cs="Times New Roman"/>
                <w:kern w:val="24"/>
                <w:sz w:val="24"/>
                <w:szCs w:val="24"/>
              </w:rPr>
            </w:pPr>
            <w:r>
              <w:rPr>
                <w:rFonts w:hint="eastAsia" w:hAnsi="宋体" w:cs="Times New Roman"/>
                <w:kern w:val="24"/>
                <w:sz w:val="24"/>
                <w:szCs w:val="24"/>
              </w:rPr>
              <w:t>公告媒体</w:t>
            </w:r>
          </w:p>
        </w:tc>
        <w:tc>
          <w:tcPr>
            <w:tcW w:w="6506" w:type="dxa"/>
            <w:gridSpan w:val="2"/>
            <w:vAlign w:val="center"/>
          </w:tcPr>
          <w:p w14:paraId="64FF38C6">
            <w:pPr>
              <w:pStyle w:val="74"/>
              <w:spacing w:line="360" w:lineRule="auto"/>
              <w:jc w:val="left"/>
              <w:rPr>
                <w:rFonts w:hint="eastAsia" w:hAnsi="宋体" w:cs="宋体"/>
                <w:kern w:val="24"/>
                <w:sz w:val="24"/>
                <w:szCs w:val="24"/>
              </w:rPr>
            </w:pPr>
            <w:r>
              <w:rPr>
                <w:rFonts w:hint="eastAsia" w:hAnsi="宋体" w:cs="宋体"/>
                <w:kern w:val="24"/>
                <w:sz w:val="24"/>
                <w:szCs w:val="24"/>
              </w:rPr>
              <w:t>中国政府采购网和新疆政府采购网</w:t>
            </w:r>
          </w:p>
        </w:tc>
      </w:tr>
      <w:tr w14:paraId="6A11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B3F22E4">
            <w:pPr>
              <w:pStyle w:val="74"/>
              <w:spacing w:line="360" w:lineRule="auto"/>
              <w:jc w:val="center"/>
              <w:rPr>
                <w:rFonts w:hint="eastAsia" w:hAnsi="宋体" w:cs="Times New Roman"/>
                <w:kern w:val="24"/>
                <w:sz w:val="24"/>
                <w:szCs w:val="24"/>
              </w:rPr>
            </w:pPr>
            <w:r>
              <w:rPr>
                <w:rFonts w:hint="eastAsia" w:hAnsi="宋体" w:cs="Times New Roman"/>
                <w:kern w:val="24"/>
                <w:sz w:val="24"/>
                <w:szCs w:val="24"/>
              </w:rPr>
              <w:t>4</w:t>
            </w:r>
          </w:p>
        </w:tc>
        <w:tc>
          <w:tcPr>
            <w:tcW w:w="2136" w:type="dxa"/>
            <w:vAlign w:val="center"/>
          </w:tcPr>
          <w:p w14:paraId="502A5D2B">
            <w:pPr>
              <w:pStyle w:val="74"/>
              <w:spacing w:line="360" w:lineRule="auto"/>
              <w:jc w:val="left"/>
              <w:rPr>
                <w:rFonts w:hint="eastAsia" w:hAnsi="宋体" w:cs="Times New Roman"/>
                <w:kern w:val="24"/>
                <w:sz w:val="24"/>
                <w:szCs w:val="24"/>
              </w:rPr>
            </w:pPr>
            <w:r>
              <w:rPr>
                <w:rFonts w:hAnsi="宋体" w:cs="Times New Roman"/>
                <w:sz w:val="24"/>
                <w:szCs w:val="24"/>
              </w:rPr>
              <w:t>项目属性</w:t>
            </w:r>
          </w:p>
        </w:tc>
        <w:tc>
          <w:tcPr>
            <w:tcW w:w="6506" w:type="dxa"/>
            <w:gridSpan w:val="2"/>
            <w:vAlign w:val="center"/>
          </w:tcPr>
          <w:p w14:paraId="04451A62">
            <w:pPr>
              <w:adjustRightInd w:val="0"/>
              <w:snapToGrid w:val="0"/>
              <w:spacing w:line="360" w:lineRule="auto"/>
              <w:jc w:val="left"/>
              <w:rPr>
                <w:rFonts w:hint="eastAsia" w:ascii="宋体" w:hAnsi="宋体"/>
                <w:b/>
                <w:sz w:val="24"/>
                <w:szCs w:val="24"/>
              </w:rPr>
            </w:pPr>
            <w:r>
              <w:rPr>
                <w:rFonts w:hint="eastAsia" w:ascii="宋体" w:hAnsi="宋体" w:cs="宋体"/>
                <w:b/>
                <w:kern w:val="24"/>
                <w:sz w:val="24"/>
                <w:szCs w:val="24"/>
              </w:rPr>
              <w:sym w:font="Wingdings 2" w:char="F052"/>
            </w:r>
            <w:r>
              <w:rPr>
                <w:rFonts w:ascii="宋体" w:hAnsi="宋体"/>
                <w:sz w:val="24"/>
                <w:szCs w:val="24"/>
              </w:rPr>
              <w:t xml:space="preserve">货物           </w:t>
            </w:r>
            <w:r>
              <w:rPr>
                <w:rFonts w:ascii="宋体" w:hAnsi="宋体"/>
                <w:sz w:val="24"/>
                <w:szCs w:val="24"/>
              </w:rPr>
              <w:sym w:font="Wingdings 2" w:char="F0A3"/>
            </w:r>
            <w:r>
              <w:rPr>
                <w:rFonts w:ascii="宋体" w:hAnsi="宋体"/>
                <w:sz w:val="24"/>
                <w:szCs w:val="24"/>
              </w:rPr>
              <w:t>服务</w:t>
            </w:r>
          </w:p>
        </w:tc>
      </w:tr>
      <w:tr w14:paraId="4FC1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51" w:type="dxa"/>
            <w:vAlign w:val="center"/>
          </w:tcPr>
          <w:p w14:paraId="49F168E2">
            <w:pPr>
              <w:pStyle w:val="74"/>
              <w:spacing w:line="360" w:lineRule="auto"/>
              <w:jc w:val="center"/>
              <w:rPr>
                <w:rFonts w:hint="eastAsia" w:hAnsi="宋体" w:cs="MingLiU_HKSCS"/>
                <w:kern w:val="24"/>
                <w:sz w:val="24"/>
                <w:szCs w:val="24"/>
              </w:rPr>
            </w:pPr>
            <w:r>
              <w:rPr>
                <w:rFonts w:hint="eastAsia" w:hAnsi="宋体" w:cs="Times New Roman"/>
                <w:kern w:val="24"/>
                <w:sz w:val="24"/>
                <w:szCs w:val="24"/>
              </w:rPr>
              <w:t>5</w:t>
            </w:r>
          </w:p>
        </w:tc>
        <w:tc>
          <w:tcPr>
            <w:tcW w:w="2136" w:type="dxa"/>
            <w:vAlign w:val="center"/>
          </w:tcPr>
          <w:p w14:paraId="4D5191EC">
            <w:pPr>
              <w:pStyle w:val="74"/>
              <w:spacing w:line="360" w:lineRule="auto"/>
              <w:jc w:val="left"/>
              <w:rPr>
                <w:rFonts w:hint="eastAsia" w:hAnsi="宋体" w:cs="MingLiU_HKSCS"/>
                <w:b/>
                <w:kern w:val="24"/>
                <w:sz w:val="24"/>
                <w:szCs w:val="24"/>
              </w:rPr>
            </w:pPr>
            <w:r>
              <w:rPr>
                <w:rFonts w:hint="eastAsia" w:hAnsi="宋体" w:cs="Times New Roman"/>
                <w:kern w:val="24"/>
                <w:sz w:val="24"/>
                <w:szCs w:val="24"/>
              </w:rPr>
              <w:t>采购人</w:t>
            </w:r>
          </w:p>
        </w:tc>
        <w:tc>
          <w:tcPr>
            <w:tcW w:w="6506" w:type="dxa"/>
            <w:gridSpan w:val="2"/>
            <w:vAlign w:val="center"/>
          </w:tcPr>
          <w:p w14:paraId="4D57F32F">
            <w:pPr>
              <w:spacing w:line="360" w:lineRule="auto"/>
              <w:contextualSpacing/>
              <w:jc w:val="left"/>
              <w:rPr>
                <w:rFonts w:hint="eastAsia" w:ascii="宋体" w:hAnsi="宋体"/>
                <w:sz w:val="24"/>
                <w:szCs w:val="24"/>
              </w:rPr>
            </w:pPr>
            <w:r>
              <w:rPr>
                <w:rFonts w:ascii="宋体" w:hAnsi="宋体"/>
                <w:sz w:val="24"/>
                <w:szCs w:val="24"/>
              </w:rPr>
              <w:t>名称：</w:t>
            </w:r>
            <w:r>
              <w:rPr>
                <w:rFonts w:hint="eastAsia" w:ascii="宋体" w:hAnsi="宋体"/>
                <w:sz w:val="24"/>
                <w:szCs w:val="24"/>
              </w:rPr>
              <w:t>新疆国际医疗中心（新疆国际医院、新疆医学科学院）</w:t>
            </w:r>
          </w:p>
          <w:p w14:paraId="421933DB">
            <w:pPr>
              <w:spacing w:line="360" w:lineRule="auto"/>
              <w:rPr>
                <w:rFonts w:hint="eastAsia" w:ascii="宋体" w:hAnsi="宋体"/>
                <w:sz w:val="24"/>
                <w:szCs w:val="24"/>
              </w:rPr>
            </w:pPr>
            <w:r>
              <w:rPr>
                <w:rFonts w:ascii="宋体" w:hAnsi="宋体"/>
                <w:sz w:val="24"/>
                <w:szCs w:val="24"/>
              </w:rPr>
              <w:t>地址：</w:t>
            </w:r>
            <w:r>
              <w:rPr>
                <w:rFonts w:hint="eastAsia" w:ascii="宋体" w:hAnsi="宋体"/>
                <w:sz w:val="24"/>
                <w:szCs w:val="24"/>
              </w:rPr>
              <w:t xml:space="preserve">乌鲁木齐市水磨沟区尚德北路999号 </w:t>
            </w:r>
          </w:p>
          <w:p w14:paraId="5BE733F8">
            <w:pPr>
              <w:spacing w:line="360" w:lineRule="auto"/>
              <w:rPr>
                <w:rFonts w:hint="eastAsia" w:ascii="宋体" w:hAnsi="宋体"/>
                <w:sz w:val="24"/>
                <w:szCs w:val="24"/>
              </w:rPr>
            </w:pPr>
            <w:r>
              <w:rPr>
                <w:rFonts w:ascii="宋体" w:hAnsi="宋体"/>
                <w:sz w:val="24"/>
                <w:szCs w:val="24"/>
              </w:rPr>
              <w:t>联系方式：</w:t>
            </w:r>
            <w:r>
              <w:rPr>
                <w:rFonts w:hint="eastAsia" w:ascii="宋体" w:hAnsi="宋体"/>
                <w:sz w:val="24"/>
                <w:szCs w:val="24"/>
              </w:rPr>
              <w:t>艾老师，18140735809</w:t>
            </w:r>
          </w:p>
        </w:tc>
      </w:tr>
      <w:tr w14:paraId="2C0C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51" w:type="dxa"/>
            <w:vAlign w:val="center"/>
          </w:tcPr>
          <w:p w14:paraId="52711CAA">
            <w:pPr>
              <w:pStyle w:val="74"/>
              <w:spacing w:line="360" w:lineRule="auto"/>
              <w:jc w:val="center"/>
              <w:rPr>
                <w:rFonts w:hint="eastAsia" w:hAnsi="宋体" w:cs="Times New Roman"/>
                <w:kern w:val="24"/>
                <w:sz w:val="24"/>
                <w:szCs w:val="24"/>
              </w:rPr>
            </w:pPr>
            <w:r>
              <w:rPr>
                <w:rFonts w:hint="eastAsia" w:hAnsi="宋体" w:cs="Times New Roman"/>
                <w:kern w:val="24"/>
                <w:sz w:val="24"/>
                <w:szCs w:val="24"/>
              </w:rPr>
              <w:t>6</w:t>
            </w:r>
          </w:p>
        </w:tc>
        <w:tc>
          <w:tcPr>
            <w:tcW w:w="2136" w:type="dxa"/>
            <w:vAlign w:val="center"/>
          </w:tcPr>
          <w:p w14:paraId="58657BD9">
            <w:pPr>
              <w:pStyle w:val="74"/>
              <w:spacing w:line="360" w:lineRule="auto"/>
              <w:jc w:val="left"/>
              <w:rPr>
                <w:rFonts w:hint="eastAsia" w:hAnsi="宋体" w:cs="Times New Roman"/>
                <w:b/>
                <w:kern w:val="24"/>
                <w:sz w:val="24"/>
                <w:szCs w:val="24"/>
              </w:rPr>
            </w:pPr>
            <w:r>
              <w:rPr>
                <w:rFonts w:hint="eastAsia" w:hAnsi="宋体" w:cs="Times New Roman"/>
                <w:kern w:val="24"/>
                <w:sz w:val="24"/>
                <w:szCs w:val="24"/>
              </w:rPr>
              <w:t>采购代理机构</w:t>
            </w:r>
          </w:p>
        </w:tc>
        <w:tc>
          <w:tcPr>
            <w:tcW w:w="6506" w:type="dxa"/>
            <w:gridSpan w:val="2"/>
            <w:vAlign w:val="center"/>
          </w:tcPr>
          <w:p w14:paraId="484D28B8">
            <w:pPr>
              <w:pStyle w:val="74"/>
              <w:spacing w:line="360" w:lineRule="auto"/>
              <w:jc w:val="left"/>
              <w:rPr>
                <w:rFonts w:hint="eastAsia" w:hAnsi="宋体" w:cs="Times New Roman"/>
                <w:kern w:val="24"/>
                <w:sz w:val="24"/>
                <w:szCs w:val="24"/>
              </w:rPr>
            </w:pPr>
            <w:r>
              <w:rPr>
                <w:rFonts w:hint="eastAsia" w:hAnsi="宋体" w:cs="Times New Roman"/>
                <w:kern w:val="24"/>
                <w:sz w:val="24"/>
                <w:szCs w:val="24"/>
              </w:rPr>
              <w:t>名称：</w:t>
            </w:r>
            <w:r>
              <w:rPr>
                <w:rFonts w:hint="eastAsia" w:hAnsi="宋体"/>
                <w:kern w:val="24"/>
                <w:sz w:val="24"/>
                <w:szCs w:val="24"/>
              </w:rPr>
              <w:t>中信国际招标有限公司</w:t>
            </w:r>
          </w:p>
          <w:p w14:paraId="53200278">
            <w:pPr>
              <w:pStyle w:val="74"/>
              <w:spacing w:line="360" w:lineRule="auto"/>
              <w:jc w:val="left"/>
              <w:rPr>
                <w:rFonts w:hint="eastAsia" w:hAnsi="宋体" w:cs="宋体"/>
                <w:sz w:val="24"/>
                <w:szCs w:val="24"/>
              </w:rPr>
            </w:pPr>
            <w:r>
              <w:rPr>
                <w:rFonts w:hint="eastAsia" w:hAnsi="宋体" w:cs="Times New Roman"/>
                <w:kern w:val="24"/>
                <w:sz w:val="24"/>
                <w:szCs w:val="24"/>
              </w:rPr>
              <w:t>地址：</w:t>
            </w:r>
            <w:r>
              <w:rPr>
                <w:rFonts w:hint="eastAsia" w:hAnsi="宋体"/>
                <w:sz w:val="24"/>
                <w:szCs w:val="24"/>
              </w:rPr>
              <w:t>新疆维吾尔自治区乌鲁木齐市水磨沟区红山路39号</w:t>
            </w:r>
          </w:p>
          <w:p w14:paraId="4E3E3910">
            <w:pPr>
              <w:pStyle w:val="74"/>
              <w:spacing w:line="360" w:lineRule="auto"/>
              <w:jc w:val="left"/>
              <w:rPr>
                <w:rFonts w:hAnsi="宋体" w:cs="Times New Roman"/>
                <w:kern w:val="24"/>
                <w:sz w:val="24"/>
                <w:szCs w:val="24"/>
              </w:rPr>
            </w:pPr>
            <w:r>
              <w:rPr>
                <w:rFonts w:hint="eastAsia" w:hAnsi="宋体" w:cs="Times New Roman"/>
                <w:kern w:val="24"/>
                <w:sz w:val="24"/>
                <w:szCs w:val="24"/>
              </w:rPr>
              <w:t>电话：18010138577</w:t>
            </w:r>
          </w:p>
          <w:p w14:paraId="6DBDF928">
            <w:pPr>
              <w:pStyle w:val="74"/>
              <w:spacing w:line="360" w:lineRule="auto"/>
              <w:jc w:val="left"/>
              <w:rPr>
                <w:rFonts w:hint="eastAsia" w:hAnsi="宋体" w:cs="Times New Roman"/>
                <w:kern w:val="24"/>
                <w:sz w:val="24"/>
                <w:szCs w:val="24"/>
              </w:rPr>
            </w:pPr>
            <w:r>
              <w:rPr>
                <w:rFonts w:hint="eastAsia" w:hAnsi="宋体" w:cs="Times New Roman"/>
                <w:kern w:val="24"/>
                <w:sz w:val="24"/>
                <w:szCs w:val="24"/>
              </w:rPr>
              <w:t>联系人：</w:t>
            </w:r>
            <w:r>
              <w:rPr>
                <w:rFonts w:hint="eastAsia" w:hAnsi="宋体"/>
                <w:sz w:val="24"/>
                <w:szCs w:val="24"/>
              </w:rPr>
              <w:t>陈月琪、张丽</w:t>
            </w:r>
          </w:p>
        </w:tc>
      </w:tr>
      <w:tr w14:paraId="2254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51" w:type="dxa"/>
            <w:vAlign w:val="center"/>
          </w:tcPr>
          <w:p w14:paraId="71D84676">
            <w:pPr>
              <w:pStyle w:val="74"/>
              <w:spacing w:line="360" w:lineRule="auto"/>
              <w:jc w:val="center"/>
              <w:rPr>
                <w:rFonts w:hint="eastAsia" w:hAnsi="宋体" w:cs="Times New Roman"/>
                <w:kern w:val="24"/>
                <w:sz w:val="24"/>
                <w:szCs w:val="24"/>
              </w:rPr>
            </w:pPr>
            <w:r>
              <w:rPr>
                <w:rFonts w:hint="eastAsia" w:hAnsi="宋体" w:cs="Times New Roman"/>
                <w:kern w:val="24"/>
                <w:sz w:val="24"/>
                <w:szCs w:val="24"/>
              </w:rPr>
              <w:t>7</w:t>
            </w:r>
          </w:p>
        </w:tc>
        <w:tc>
          <w:tcPr>
            <w:tcW w:w="2136" w:type="dxa"/>
            <w:vAlign w:val="center"/>
          </w:tcPr>
          <w:p w14:paraId="111415CE">
            <w:pPr>
              <w:pStyle w:val="74"/>
              <w:spacing w:line="360" w:lineRule="auto"/>
              <w:jc w:val="left"/>
              <w:rPr>
                <w:rFonts w:hint="eastAsia" w:hAnsi="宋体" w:cs="Times New Roman"/>
                <w:kern w:val="24"/>
                <w:sz w:val="24"/>
                <w:szCs w:val="24"/>
              </w:rPr>
            </w:pPr>
            <w:r>
              <w:rPr>
                <w:rFonts w:hint="eastAsia" w:hAnsi="宋体" w:cs="Times New Roman"/>
                <w:kern w:val="24"/>
                <w:sz w:val="24"/>
                <w:szCs w:val="24"/>
              </w:rPr>
              <w:t>投标人资格条件</w:t>
            </w:r>
          </w:p>
        </w:tc>
        <w:tc>
          <w:tcPr>
            <w:tcW w:w="6506" w:type="dxa"/>
            <w:gridSpan w:val="2"/>
            <w:vAlign w:val="center"/>
          </w:tcPr>
          <w:p w14:paraId="4A9539E8">
            <w:pPr>
              <w:spacing w:line="360" w:lineRule="auto"/>
              <w:jc w:val="left"/>
              <w:rPr>
                <w:rFonts w:hint="eastAsia" w:ascii="宋体" w:hAnsi="宋体"/>
                <w:sz w:val="24"/>
                <w:szCs w:val="24"/>
              </w:rPr>
            </w:pPr>
            <w:r>
              <w:rPr>
                <w:rFonts w:ascii="宋体" w:hAnsi="宋体"/>
                <w:sz w:val="24"/>
                <w:szCs w:val="24"/>
              </w:rPr>
              <w:t>1.符合中华人民共和国政府采购法第二十二条的规定：</w:t>
            </w:r>
          </w:p>
          <w:p w14:paraId="59DB4A5A">
            <w:pPr>
              <w:spacing w:line="360" w:lineRule="auto"/>
              <w:jc w:val="left"/>
              <w:rPr>
                <w:rFonts w:hint="eastAsia" w:ascii="宋体" w:hAnsi="宋体"/>
                <w:sz w:val="24"/>
                <w:szCs w:val="24"/>
              </w:rPr>
            </w:pPr>
            <w:r>
              <w:rPr>
                <w:rFonts w:ascii="宋体" w:hAnsi="宋体"/>
                <w:sz w:val="24"/>
                <w:szCs w:val="24"/>
              </w:rPr>
              <w:t>（1）具有独立承担民事责任的能力；</w:t>
            </w:r>
          </w:p>
          <w:p w14:paraId="4CC04D10">
            <w:pPr>
              <w:spacing w:line="360" w:lineRule="auto"/>
              <w:jc w:val="left"/>
              <w:rPr>
                <w:rFonts w:hint="eastAsia" w:ascii="宋体" w:hAnsi="宋体"/>
                <w:sz w:val="24"/>
                <w:szCs w:val="24"/>
              </w:rPr>
            </w:pPr>
            <w:r>
              <w:rPr>
                <w:rFonts w:ascii="宋体" w:hAnsi="宋体"/>
                <w:sz w:val="24"/>
                <w:szCs w:val="24"/>
              </w:rPr>
              <w:t>（2）具有良好的商业信誉和健全的财务会计制度；</w:t>
            </w:r>
          </w:p>
          <w:p w14:paraId="08594E03">
            <w:pPr>
              <w:spacing w:line="360" w:lineRule="auto"/>
              <w:jc w:val="left"/>
              <w:rPr>
                <w:rFonts w:hint="eastAsia" w:ascii="宋体" w:hAnsi="宋体"/>
                <w:sz w:val="24"/>
                <w:szCs w:val="24"/>
              </w:rPr>
            </w:pPr>
            <w:r>
              <w:rPr>
                <w:rFonts w:ascii="宋体" w:hAnsi="宋体"/>
                <w:sz w:val="24"/>
                <w:szCs w:val="24"/>
              </w:rPr>
              <w:t>（3）具有履行合同所必需的设备和专业技术能力；</w:t>
            </w:r>
          </w:p>
          <w:p w14:paraId="65126B7B">
            <w:pPr>
              <w:spacing w:line="360" w:lineRule="auto"/>
              <w:jc w:val="left"/>
              <w:rPr>
                <w:rFonts w:hint="eastAsia" w:ascii="宋体" w:hAnsi="宋体"/>
                <w:sz w:val="24"/>
                <w:szCs w:val="24"/>
              </w:rPr>
            </w:pPr>
            <w:r>
              <w:rPr>
                <w:rFonts w:ascii="宋体" w:hAnsi="宋体"/>
                <w:sz w:val="24"/>
                <w:szCs w:val="24"/>
              </w:rPr>
              <w:t>（4）有依法缴纳税收和社会保障资金的良好记录；</w:t>
            </w:r>
          </w:p>
          <w:p w14:paraId="0EB235D6">
            <w:pPr>
              <w:spacing w:line="360" w:lineRule="auto"/>
              <w:jc w:val="left"/>
              <w:rPr>
                <w:rFonts w:hint="eastAsia" w:ascii="宋体" w:hAnsi="宋体"/>
                <w:sz w:val="24"/>
                <w:szCs w:val="24"/>
              </w:rPr>
            </w:pPr>
            <w:r>
              <w:rPr>
                <w:rFonts w:ascii="宋体" w:hAnsi="宋体"/>
                <w:sz w:val="24"/>
                <w:szCs w:val="24"/>
              </w:rPr>
              <w:t>（5）参加政府采购活动前三年内，在经营活动中没有重大违法记录；</w:t>
            </w:r>
          </w:p>
          <w:p w14:paraId="65C818A6">
            <w:pPr>
              <w:spacing w:line="360" w:lineRule="auto"/>
              <w:jc w:val="left"/>
              <w:rPr>
                <w:rFonts w:hint="eastAsia" w:ascii="宋体" w:hAnsi="宋体"/>
                <w:sz w:val="24"/>
                <w:szCs w:val="24"/>
              </w:rPr>
            </w:pPr>
            <w:r>
              <w:rPr>
                <w:rFonts w:ascii="宋体" w:hAnsi="宋体"/>
                <w:sz w:val="24"/>
                <w:szCs w:val="24"/>
              </w:rPr>
              <w:t>（6）法律、行政法规规定的其他条件。</w:t>
            </w:r>
          </w:p>
          <w:p w14:paraId="48668434">
            <w:pPr>
              <w:spacing w:line="360" w:lineRule="auto"/>
              <w:jc w:val="left"/>
              <w:rPr>
                <w:rFonts w:hint="eastAsia" w:ascii="宋体" w:hAnsi="宋体"/>
                <w:sz w:val="24"/>
                <w:szCs w:val="24"/>
              </w:rPr>
            </w:pPr>
            <w:r>
              <w:rPr>
                <w:rFonts w:ascii="宋体" w:hAnsi="宋体"/>
                <w:sz w:val="24"/>
                <w:szCs w:val="24"/>
              </w:rPr>
              <w:t>2.本项目不接受联合体投标，不允许转包，不允许将部分项目分包。</w:t>
            </w:r>
          </w:p>
          <w:p w14:paraId="1FEA87F3">
            <w:pPr>
              <w:spacing w:line="360" w:lineRule="auto"/>
              <w:jc w:val="left"/>
              <w:rPr>
                <w:rFonts w:hint="eastAsia"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本项目的特定资格条件：</w:t>
            </w:r>
          </w:p>
          <w:p w14:paraId="036E2C94">
            <w:pPr>
              <w:spacing w:line="360" w:lineRule="auto"/>
              <w:rPr>
                <w:rFonts w:hint="eastAsia" w:ascii="宋体" w:hAnsi="宋体"/>
                <w:sz w:val="24"/>
                <w:szCs w:val="24"/>
              </w:rPr>
            </w:pPr>
            <w:r>
              <w:rPr>
                <w:rFonts w:hint="eastAsia" w:ascii="宋体" w:hAnsi="宋体"/>
                <w:sz w:val="24"/>
              </w:rPr>
              <w:t>（1）涉及医疗器械的产品须提供有效期内的中华人民共和国医疗器械注册证或备案凭证。</w:t>
            </w:r>
          </w:p>
          <w:p w14:paraId="34B0DF31">
            <w:pPr>
              <w:spacing w:line="360" w:lineRule="auto"/>
              <w:rPr>
                <w:rFonts w:hint="eastAsia" w:ascii="宋体" w:hAnsi="宋体"/>
                <w:sz w:val="24"/>
                <w:szCs w:val="24"/>
              </w:rPr>
            </w:pPr>
            <w:r>
              <w:rPr>
                <w:rFonts w:hint="eastAsia" w:ascii="宋体" w:hAnsi="宋体"/>
                <w:sz w:val="24"/>
                <w:szCs w:val="24"/>
              </w:rPr>
              <w:t>（2）投标人如为国内代理商须提供医疗器械经营许可证或备案凭证（一类产品除外）。</w:t>
            </w:r>
          </w:p>
          <w:p w14:paraId="006F21D6">
            <w:pPr>
              <w:spacing w:line="360" w:lineRule="auto"/>
              <w:rPr>
                <w:rFonts w:hint="eastAsia" w:ascii="宋体" w:hAnsi="宋体"/>
                <w:sz w:val="24"/>
                <w:szCs w:val="24"/>
              </w:rPr>
            </w:pPr>
            <w:r>
              <w:rPr>
                <w:rFonts w:hint="eastAsia" w:ascii="宋体" w:hAnsi="宋体"/>
                <w:sz w:val="24"/>
                <w:szCs w:val="24"/>
              </w:rPr>
              <w:t>（3）涉及国产医疗器械的产品，投标人如为制造商须提供医疗器械生产许可证或备案凭证。</w:t>
            </w:r>
          </w:p>
          <w:p w14:paraId="4271C9B6">
            <w:pPr>
              <w:spacing w:line="360" w:lineRule="auto"/>
              <w:rPr>
                <w:rFonts w:hint="eastAsia" w:ascii="宋体" w:hAnsi="宋体"/>
                <w:sz w:val="24"/>
                <w:szCs w:val="24"/>
              </w:rPr>
            </w:pPr>
            <w:r>
              <w:rPr>
                <w:rFonts w:hint="eastAsia" w:ascii="宋体" w:hAnsi="宋体"/>
                <w:sz w:val="24"/>
                <w:szCs w:val="24"/>
              </w:rPr>
              <w:t>（4）</w:t>
            </w:r>
            <w:r>
              <w:rPr>
                <w:rFonts w:ascii="宋体" w:hAnsi="宋体"/>
                <w:sz w:val="24"/>
                <w:szCs w:val="24"/>
              </w:rPr>
              <w:t>近三年内被“信用中国”网站列入失信被执行人和重大税收违法案件当事人名单的、被“中国政府采购网”网站列入政府采购严重违法失信行为信息记录名单的（处罚期限尚未届满的），不得参与本项目的政府采购活动。</w:t>
            </w:r>
          </w:p>
        </w:tc>
      </w:tr>
      <w:tr w14:paraId="51AE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10D2CB60">
            <w:pPr>
              <w:pStyle w:val="74"/>
              <w:spacing w:line="360" w:lineRule="auto"/>
              <w:jc w:val="center"/>
              <w:rPr>
                <w:rFonts w:hint="eastAsia" w:hAnsi="宋体" w:cs="Times New Roman"/>
                <w:kern w:val="24"/>
                <w:sz w:val="24"/>
                <w:szCs w:val="24"/>
              </w:rPr>
            </w:pPr>
            <w:r>
              <w:rPr>
                <w:rFonts w:hint="eastAsia" w:hAnsi="宋体" w:cs="Times New Roman"/>
                <w:kern w:val="24"/>
                <w:sz w:val="24"/>
                <w:szCs w:val="24"/>
              </w:rPr>
              <w:t>8</w:t>
            </w:r>
          </w:p>
        </w:tc>
        <w:tc>
          <w:tcPr>
            <w:tcW w:w="2136" w:type="dxa"/>
            <w:vAlign w:val="center"/>
          </w:tcPr>
          <w:p w14:paraId="01D0E730">
            <w:pPr>
              <w:pStyle w:val="74"/>
              <w:spacing w:line="360" w:lineRule="auto"/>
              <w:jc w:val="left"/>
              <w:rPr>
                <w:rFonts w:hint="eastAsia" w:hAnsi="宋体" w:cs="Times New Roman"/>
                <w:kern w:val="24"/>
                <w:sz w:val="24"/>
                <w:szCs w:val="24"/>
              </w:rPr>
            </w:pPr>
            <w:bookmarkStart w:id="12" w:name="_Hlk181019248"/>
            <w:r>
              <w:rPr>
                <w:rFonts w:hAnsi="宋体" w:cs="Times New Roman"/>
                <w:sz w:val="24"/>
                <w:szCs w:val="24"/>
              </w:rPr>
              <w:t>现场考察/踏勘</w:t>
            </w:r>
            <w:r>
              <w:rPr>
                <w:rFonts w:hint="eastAsia" w:hAnsi="宋体"/>
                <w:sz w:val="24"/>
                <w:szCs w:val="24"/>
              </w:rPr>
              <w:t>/开标前答疑会</w:t>
            </w:r>
            <w:bookmarkEnd w:id="12"/>
          </w:p>
        </w:tc>
        <w:tc>
          <w:tcPr>
            <w:tcW w:w="6506" w:type="dxa"/>
            <w:gridSpan w:val="2"/>
            <w:vAlign w:val="center"/>
          </w:tcPr>
          <w:p w14:paraId="4641D096">
            <w:pPr>
              <w:tabs>
                <w:tab w:val="left" w:pos="0"/>
                <w:tab w:val="left" w:pos="420"/>
              </w:tabs>
              <w:adjustRightInd w:val="0"/>
              <w:snapToGrid w:val="0"/>
              <w:spacing w:line="360" w:lineRule="auto"/>
              <w:jc w:val="left"/>
              <w:rPr>
                <w:rFonts w:hint="eastAsia" w:ascii="宋体" w:hAnsi="宋体"/>
                <w:sz w:val="24"/>
                <w:szCs w:val="24"/>
              </w:rPr>
            </w:pPr>
            <w:r>
              <w:rPr>
                <w:rFonts w:hint="eastAsia" w:ascii="宋体" w:hAnsi="宋体" w:cs="宋体"/>
                <w:b/>
                <w:kern w:val="24"/>
                <w:sz w:val="24"/>
                <w:szCs w:val="24"/>
              </w:rPr>
              <w:sym w:font="Wingdings 2" w:char="F052"/>
            </w:r>
            <w:r>
              <w:rPr>
                <w:rFonts w:ascii="宋体" w:hAnsi="宋体"/>
                <w:sz w:val="24"/>
                <w:szCs w:val="24"/>
              </w:rPr>
              <w:t>不组织现场考察/踏勘</w:t>
            </w:r>
            <w:r>
              <w:rPr>
                <w:rFonts w:hint="eastAsia" w:ascii="宋体" w:hAnsi="宋体"/>
                <w:sz w:val="24"/>
                <w:szCs w:val="24"/>
              </w:rPr>
              <w:t>/</w:t>
            </w:r>
            <w:r>
              <w:rPr>
                <w:rFonts w:ascii="宋体" w:hAnsi="宋体"/>
                <w:sz w:val="24"/>
                <w:szCs w:val="24"/>
              </w:rPr>
              <w:t>开</w:t>
            </w:r>
            <w:r>
              <w:rPr>
                <w:rFonts w:hint="eastAsia" w:ascii="宋体" w:hAnsi="宋体"/>
                <w:sz w:val="24"/>
                <w:szCs w:val="24"/>
              </w:rPr>
              <w:t>标前答疑会</w:t>
            </w:r>
          </w:p>
          <w:p w14:paraId="65EBF484">
            <w:pPr>
              <w:tabs>
                <w:tab w:val="left" w:pos="0"/>
                <w:tab w:val="left" w:pos="420"/>
              </w:tabs>
              <w:adjustRightInd w:val="0"/>
              <w:snapToGrid w:val="0"/>
              <w:spacing w:line="360" w:lineRule="auto"/>
              <w:jc w:val="left"/>
              <w:rPr>
                <w:rFonts w:hint="eastAsia" w:ascii="宋体" w:hAnsi="宋体"/>
                <w:bCs/>
                <w:sz w:val="24"/>
                <w:szCs w:val="24"/>
              </w:rPr>
            </w:pPr>
            <w:r>
              <w:rPr>
                <w:rFonts w:ascii="宋体" w:hAnsi="宋体"/>
                <w:sz w:val="24"/>
                <w:szCs w:val="24"/>
              </w:rPr>
              <w:sym w:font="Wingdings 2" w:char="F0A3"/>
            </w:r>
            <w:r>
              <w:rPr>
                <w:rFonts w:ascii="宋体" w:hAnsi="宋体"/>
                <w:bCs/>
                <w:sz w:val="24"/>
                <w:szCs w:val="24"/>
              </w:rPr>
              <w:t>组织现场考察</w:t>
            </w:r>
            <w:r>
              <w:rPr>
                <w:rFonts w:ascii="宋体" w:hAnsi="宋体"/>
                <w:sz w:val="24"/>
                <w:szCs w:val="24"/>
              </w:rPr>
              <w:t>/踏勘</w:t>
            </w:r>
            <w:bookmarkStart w:id="13" w:name="_Hlk181019231"/>
            <w:r>
              <w:rPr>
                <w:rFonts w:hint="eastAsia" w:ascii="宋体" w:hAnsi="宋体"/>
                <w:sz w:val="24"/>
                <w:szCs w:val="24"/>
              </w:rPr>
              <w:t>/开标前答疑会</w:t>
            </w:r>
            <w:bookmarkEnd w:id="13"/>
            <w:r>
              <w:rPr>
                <w:rFonts w:ascii="宋体" w:hAnsi="宋体"/>
                <w:bCs/>
                <w:sz w:val="24"/>
                <w:szCs w:val="24"/>
              </w:rPr>
              <w:t>：</w:t>
            </w:r>
          </w:p>
          <w:p w14:paraId="28105D9F">
            <w:pPr>
              <w:tabs>
                <w:tab w:val="left" w:pos="0"/>
                <w:tab w:val="left" w:pos="420"/>
              </w:tabs>
              <w:adjustRightInd w:val="0"/>
              <w:snapToGrid w:val="0"/>
              <w:spacing w:line="360" w:lineRule="auto"/>
              <w:jc w:val="left"/>
              <w:rPr>
                <w:rFonts w:hint="eastAsia" w:ascii="宋体" w:hAnsi="宋体"/>
                <w:bCs/>
                <w:sz w:val="24"/>
                <w:szCs w:val="24"/>
              </w:rPr>
            </w:pPr>
            <w:r>
              <w:rPr>
                <w:rFonts w:ascii="宋体" w:hAnsi="宋体"/>
                <w:bCs/>
                <w:sz w:val="24"/>
                <w:szCs w:val="24"/>
              </w:rPr>
              <w:t>时间：</w:t>
            </w:r>
            <w:r>
              <w:rPr>
                <w:rFonts w:ascii="宋体" w:hAnsi="宋体"/>
                <w:bCs/>
                <w:sz w:val="24"/>
                <w:szCs w:val="24"/>
                <w:u w:val="single"/>
              </w:rPr>
              <w:t xml:space="preserve">   </w:t>
            </w:r>
            <w:r>
              <w:rPr>
                <w:rFonts w:ascii="宋体" w:hAnsi="宋体"/>
                <w:bCs/>
                <w:sz w:val="24"/>
                <w:szCs w:val="24"/>
              </w:rPr>
              <w:t>年</w:t>
            </w:r>
            <w:r>
              <w:rPr>
                <w:rFonts w:ascii="宋体" w:hAnsi="宋体"/>
                <w:bCs/>
                <w:sz w:val="24"/>
                <w:szCs w:val="24"/>
                <w:u w:val="single"/>
              </w:rPr>
              <w:t xml:space="preserve">   </w:t>
            </w:r>
            <w:r>
              <w:rPr>
                <w:rFonts w:ascii="宋体" w:hAnsi="宋体"/>
                <w:bCs/>
                <w:sz w:val="24"/>
                <w:szCs w:val="24"/>
              </w:rPr>
              <w:t>月</w:t>
            </w:r>
            <w:r>
              <w:rPr>
                <w:rFonts w:ascii="宋体" w:hAnsi="宋体"/>
                <w:bCs/>
                <w:sz w:val="24"/>
                <w:szCs w:val="24"/>
                <w:u w:val="single"/>
              </w:rPr>
              <w:t xml:space="preserve">   </w:t>
            </w:r>
            <w:r>
              <w:rPr>
                <w:rFonts w:ascii="宋体" w:hAnsi="宋体"/>
                <w:bCs/>
                <w:sz w:val="24"/>
                <w:szCs w:val="24"/>
              </w:rPr>
              <w:t>日</w:t>
            </w:r>
            <w:r>
              <w:rPr>
                <w:rFonts w:ascii="宋体" w:hAnsi="宋体"/>
                <w:bCs/>
                <w:sz w:val="24"/>
                <w:szCs w:val="24"/>
                <w:u w:val="single"/>
              </w:rPr>
              <w:t xml:space="preserve">   </w:t>
            </w:r>
            <w:r>
              <w:rPr>
                <w:rFonts w:ascii="宋体" w:hAnsi="宋体"/>
                <w:bCs/>
                <w:sz w:val="24"/>
                <w:szCs w:val="24"/>
              </w:rPr>
              <w:t>午</w:t>
            </w:r>
            <w:r>
              <w:rPr>
                <w:rFonts w:ascii="宋体" w:hAnsi="宋体"/>
                <w:bCs/>
                <w:sz w:val="24"/>
                <w:szCs w:val="24"/>
                <w:u w:val="single"/>
              </w:rPr>
              <w:t xml:space="preserve">   </w:t>
            </w:r>
            <w:r>
              <w:rPr>
                <w:rFonts w:ascii="宋体" w:hAnsi="宋体"/>
                <w:bCs/>
                <w:sz w:val="24"/>
                <w:szCs w:val="24"/>
              </w:rPr>
              <w:t>（北京时间）</w:t>
            </w:r>
          </w:p>
          <w:p w14:paraId="16E4654C">
            <w:pPr>
              <w:tabs>
                <w:tab w:val="left" w:pos="0"/>
                <w:tab w:val="left" w:pos="420"/>
              </w:tabs>
              <w:adjustRightInd w:val="0"/>
              <w:snapToGrid w:val="0"/>
              <w:spacing w:line="360" w:lineRule="auto"/>
              <w:jc w:val="left"/>
              <w:rPr>
                <w:rFonts w:hint="eastAsia" w:ascii="宋体" w:hAnsi="宋体"/>
                <w:bCs/>
                <w:sz w:val="24"/>
                <w:szCs w:val="24"/>
              </w:rPr>
            </w:pPr>
            <w:r>
              <w:rPr>
                <w:rFonts w:ascii="宋体" w:hAnsi="宋体"/>
                <w:bCs/>
                <w:sz w:val="24"/>
                <w:szCs w:val="24"/>
              </w:rPr>
              <w:t>地点：</w:t>
            </w:r>
          </w:p>
          <w:p w14:paraId="530EC17E">
            <w:pPr>
              <w:tabs>
                <w:tab w:val="left" w:pos="0"/>
                <w:tab w:val="left" w:pos="420"/>
              </w:tabs>
              <w:adjustRightInd w:val="0"/>
              <w:snapToGrid w:val="0"/>
              <w:spacing w:line="360" w:lineRule="auto"/>
              <w:jc w:val="left"/>
              <w:rPr>
                <w:rFonts w:hint="eastAsia" w:ascii="宋体" w:hAnsi="宋体"/>
                <w:bCs/>
                <w:sz w:val="24"/>
                <w:szCs w:val="24"/>
              </w:rPr>
            </w:pPr>
            <w:r>
              <w:rPr>
                <w:rFonts w:ascii="宋体" w:hAnsi="宋体"/>
                <w:bCs/>
                <w:sz w:val="24"/>
                <w:szCs w:val="24"/>
              </w:rPr>
              <w:t>联系人：</w:t>
            </w:r>
          </w:p>
          <w:p w14:paraId="7821D10B">
            <w:pPr>
              <w:tabs>
                <w:tab w:val="left" w:pos="0"/>
                <w:tab w:val="left" w:pos="420"/>
              </w:tabs>
              <w:adjustRightInd w:val="0"/>
              <w:snapToGrid w:val="0"/>
              <w:spacing w:line="360" w:lineRule="auto"/>
              <w:jc w:val="left"/>
              <w:rPr>
                <w:rFonts w:hint="eastAsia" w:ascii="宋体" w:hAnsi="宋体"/>
                <w:bCs/>
                <w:sz w:val="24"/>
                <w:szCs w:val="24"/>
                <w:u w:val="single"/>
              </w:rPr>
            </w:pPr>
            <w:r>
              <w:rPr>
                <w:rFonts w:ascii="宋体" w:hAnsi="宋体"/>
                <w:bCs/>
                <w:sz w:val="24"/>
                <w:szCs w:val="24"/>
              </w:rPr>
              <w:t>联系电话：</w:t>
            </w:r>
          </w:p>
          <w:p w14:paraId="445D7DC5">
            <w:pPr>
              <w:spacing w:line="360" w:lineRule="auto"/>
              <w:jc w:val="left"/>
              <w:rPr>
                <w:rFonts w:hint="eastAsia" w:ascii="宋体" w:hAnsi="宋体"/>
                <w:kern w:val="24"/>
                <w:sz w:val="24"/>
                <w:szCs w:val="24"/>
              </w:rPr>
            </w:pPr>
            <w:r>
              <w:rPr>
                <w:rFonts w:ascii="宋体" w:hAnsi="宋体"/>
                <w:bCs/>
                <w:sz w:val="24"/>
                <w:szCs w:val="24"/>
              </w:rPr>
              <w:t>要求：</w:t>
            </w:r>
          </w:p>
        </w:tc>
      </w:tr>
      <w:tr w14:paraId="0422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385F5A0F">
            <w:pPr>
              <w:pStyle w:val="74"/>
              <w:spacing w:line="360" w:lineRule="auto"/>
              <w:jc w:val="center"/>
              <w:rPr>
                <w:rFonts w:hint="eastAsia" w:hAnsi="宋体" w:cs="Times New Roman"/>
                <w:kern w:val="24"/>
                <w:sz w:val="24"/>
                <w:szCs w:val="24"/>
              </w:rPr>
            </w:pPr>
            <w:r>
              <w:rPr>
                <w:rFonts w:hint="eastAsia" w:hAnsi="宋体" w:cs="Times New Roman"/>
                <w:kern w:val="24"/>
                <w:sz w:val="24"/>
                <w:szCs w:val="24"/>
              </w:rPr>
              <w:t>9</w:t>
            </w:r>
          </w:p>
        </w:tc>
        <w:tc>
          <w:tcPr>
            <w:tcW w:w="2136" w:type="dxa"/>
            <w:vAlign w:val="center"/>
          </w:tcPr>
          <w:p w14:paraId="3D0EC37F">
            <w:pPr>
              <w:pStyle w:val="74"/>
              <w:spacing w:line="360" w:lineRule="auto"/>
              <w:jc w:val="left"/>
              <w:rPr>
                <w:rFonts w:hint="eastAsia" w:hAnsi="宋体" w:cs="Times New Roman"/>
                <w:kern w:val="24"/>
                <w:sz w:val="24"/>
                <w:szCs w:val="24"/>
              </w:rPr>
            </w:pPr>
            <w:r>
              <w:rPr>
                <w:rFonts w:hint="eastAsia" w:hAnsi="宋体" w:cs="Times New Roman"/>
                <w:kern w:val="24"/>
                <w:sz w:val="24"/>
                <w:szCs w:val="24"/>
              </w:rPr>
              <w:t>样品</w:t>
            </w:r>
          </w:p>
        </w:tc>
        <w:tc>
          <w:tcPr>
            <w:tcW w:w="6506" w:type="dxa"/>
            <w:gridSpan w:val="2"/>
            <w:vAlign w:val="center"/>
          </w:tcPr>
          <w:p w14:paraId="7A6EB500">
            <w:pPr>
              <w:pStyle w:val="74"/>
              <w:spacing w:line="360" w:lineRule="auto"/>
              <w:jc w:val="left"/>
              <w:rPr>
                <w:rFonts w:hint="eastAsia" w:hAnsi="宋体" w:cs="Times New Roman"/>
                <w:kern w:val="24"/>
                <w:sz w:val="24"/>
                <w:szCs w:val="24"/>
              </w:rPr>
            </w:pPr>
            <w:r>
              <w:rPr>
                <w:rFonts w:hint="eastAsia" w:hAnsi="宋体" w:cs="宋体"/>
                <w:b/>
                <w:kern w:val="24"/>
                <w:sz w:val="24"/>
                <w:szCs w:val="24"/>
              </w:rPr>
              <w:sym w:font="Wingdings 2" w:char="F052"/>
            </w:r>
            <w:r>
              <w:rPr>
                <w:rFonts w:hint="eastAsia" w:hAnsi="宋体" w:cs="Times New Roman"/>
                <w:kern w:val="24"/>
                <w:sz w:val="24"/>
                <w:szCs w:val="24"/>
              </w:rPr>
              <w:t>不要求提供</w:t>
            </w:r>
          </w:p>
        </w:tc>
      </w:tr>
      <w:tr w14:paraId="3FC1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5466F08">
            <w:pPr>
              <w:pStyle w:val="74"/>
              <w:spacing w:line="360" w:lineRule="auto"/>
              <w:jc w:val="center"/>
              <w:rPr>
                <w:rFonts w:hint="eastAsia" w:hAnsi="宋体" w:cs="Times New Roman"/>
                <w:kern w:val="24"/>
                <w:sz w:val="24"/>
                <w:szCs w:val="24"/>
              </w:rPr>
            </w:pPr>
            <w:r>
              <w:rPr>
                <w:rFonts w:hint="eastAsia" w:hAnsi="宋体" w:cs="Times New Roman"/>
                <w:kern w:val="24"/>
                <w:sz w:val="24"/>
                <w:szCs w:val="24"/>
              </w:rPr>
              <w:t>10</w:t>
            </w:r>
          </w:p>
        </w:tc>
        <w:tc>
          <w:tcPr>
            <w:tcW w:w="2136" w:type="dxa"/>
            <w:vAlign w:val="center"/>
          </w:tcPr>
          <w:p w14:paraId="3A1E6D9C">
            <w:pPr>
              <w:pStyle w:val="74"/>
              <w:spacing w:line="360" w:lineRule="auto"/>
              <w:jc w:val="left"/>
              <w:rPr>
                <w:rFonts w:hint="eastAsia" w:hAnsi="宋体" w:cs="Times New Roman"/>
                <w:b/>
                <w:kern w:val="24"/>
                <w:sz w:val="24"/>
                <w:szCs w:val="24"/>
              </w:rPr>
            </w:pPr>
            <w:r>
              <w:rPr>
                <w:rFonts w:hint="eastAsia" w:hAnsi="宋体" w:cs="Times New Roman"/>
                <w:kern w:val="24"/>
                <w:sz w:val="24"/>
                <w:szCs w:val="24"/>
              </w:rPr>
              <w:t>联合体投标</w:t>
            </w:r>
          </w:p>
        </w:tc>
        <w:tc>
          <w:tcPr>
            <w:tcW w:w="6506" w:type="dxa"/>
            <w:gridSpan w:val="2"/>
            <w:vAlign w:val="center"/>
          </w:tcPr>
          <w:p w14:paraId="3C5FBC22">
            <w:pPr>
              <w:pStyle w:val="74"/>
              <w:spacing w:line="360" w:lineRule="auto"/>
              <w:jc w:val="left"/>
              <w:rPr>
                <w:rFonts w:hint="eastAsia" w:hAnsi="宋体" w:cs="Times New Roman"/>
                <w:kern w:val="24"/>
                <w:sz w:val="24"/>
                <w:szCs w:val="24"/>
              </w:rPr>
            </w:pPr>
            <w:r>
              <w:rPr>
                <w:rFonts w:hint="eastAsia" w:hAnsi="宋体" w:cs="宋体"/>
                <w:b/>
                <w:kern w:val="24"/>
                <w:sz w:val="24"/>
                <w:szCs w:val="24"/>
              </w:rPr>
              <w:sym w:font="Wingdings 2" w:char="F052"/>
            </w:r>
            <w:r>
              <w:rPr>
                <w:rFonts w:hint="eastAsia" w:hAnsi="宋体" w:cs="Times New Roman"/>
                <w:kern w:val="24"/>
                <w:sz w:val="24"/>
                <w:szCs w:val="24"/>
              </w:rPr>
              <w:t xml:space="preserve">不接受         </w:t>
            </w:r>
            <w:r>
              <w:rPr>
                <w:rFonts w:hint="eastAsia" w:hAnsi="宋体"/>
                <w:kern w:val="24"/>
                <w:sz w:val="24"/>
                <w:szCs w:val="24"/>
              </w:rPr>
              <w:t>□接受</w:t>
            </w:r>
          </w:p>
        </w:tc>
      </w:tr>
      <w:tr w14:paraId="2177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51" w:type="dxa"/>
            <w:vAlign w:val="center"/>
          </w:tcPr>
          <w:p w14:paraId="742547D7">
            <w:pPr>
              <w:pStyle w:val="74"/>
              <w:spacing w:line="360" w:lineRule="auto"/>
              <w:jc w:val="center"/>
              <w:rPr>
                <w:rFonts w:hint="eastAsia" w:hAnsi="宋体" w:cs="Times New Roman"/>
                <w:kern w:val="24"/>
                <w:sz w:val="24"/>
                <w:szCs w:val="24"/>
              </w:rPr>
            </w:pPr>
            <w:r>
              <w:rPr>
                <w:rFonts w:hint="eastAsia" w:hAnsi="宋体" w:cs="Times New Roman"/>
                <w:kern w:val="24"/>
                <w:sz w:val="24"/>
                <w:szCs w:val="24"/>
              </w:rPr>
              <w:t>11</w:t>
            </w:r>
          </w:p>
        </w:tc>
        <w:tc>
          <w:tcPr>
            <w:tcW w:w="2136" w:type="dxa"/>
            <w:vAlign w:val="center"/>
          </w:tcPr>
          <w:p w14:paraId="5541F5E5">
            <w:pPr>
              <w:pStyle w:val="74"/>
              <w:spacing w:line="360" w:lineRule="auto"/>
              <w:jc w:val="left"/>
              <w:rPr>
                <w:rFonts w:hint="eastAsia" w:hAnsi="宋体" w:cs="Times New Roman"/>
                <w:b/>
                <w:kern w:val="24"/>
                <w:sz w:val="24"/>
                <w:szCs w:val="24"/>
              </w:rPr>
            </w:pPr>
            <w:r>
              <w:rPr>
                <w:rFonts w:hAnsi="宋体" w:cs="Times New Roman"/>
                <w:sz w:val="24"/>
                <w:szCs w:val="24"/>
              </w:rPr>
              <w:t>非主体、非关键性工作分包</w:t>
            </w:r>
          </w:p>
        </w:tc>
        <w:tc>
          <w:tcPr>
            <w:tcW w:w="6506" w:type="dxa"/>
            <w:gridSpan w:val="2"/>
            <w:vAlign w:val="center"/>
          </w:tcPr>
          <w:p w14:paraId="5E833685">
            <w:pPr>
              <w:adjustRightInd w:val="0"/>
              <w:snapToGrid w:val="0"/>
              <w:spacing w:line="360" w:lineRule="auto"/>
              <w:jc w:val="left"/>
              <w:rPr>
                <w:rFonts w:hint="eastAsia" w:ascii="宋体" w:hAnsi="宋体"/>
                <w:sz w:val="24"/>
                <w:szCs w:val="24"/>
              </w:rPr>
            </w:pPr>
            <w:r>
              <w:rPr>
                <w:rFonts w:ascii="宋体" w:hAnsi="宋体"/>
                <w:sz w:val="24"/>
                <w:szCs w:val="24"/>
              </w:rPr>
              <w:t>是否允许中标人将本项目的非主体、非关键性工作进行分包：</w:t>
            </w:r>
          </w:p>
          <w:p w14:paraId="6ACF6E78">
            <w:pPr>
              <w:adjustRightInd w:val="0"/>
              <w:snapToGrid w:val="0"/>
              <w:spacing w:line="360" w:lineRule="auto"/>
              <w:jc w:val="left"/>
              <w:rPr>
                <w:rFonts w:hint="eastAsia" w:ascii="宋体" w:hAnsi="宋体"/>
                <w:sz w:val="24"/>
                <w:szCs w:val="24"/>
              </w:rPr>
            </w:pPr>
            <w:r>
              <w:rPr>
                <w:rFonts w:hint="eastAsia" w:ascii="宋体" w:hAnsi="宋体" w:cs="宋体"/>
                <w:b/>
                <w:kern w:val="24"/>
                <w:sz w:val="24"/>
                <w:szCs w:val="24"/>
              </w:rPr>
              <w:sym w:font="Wingdings 2" w:char="F052"/>
            </w:r>
            <w:r>
              <w:rPr>
                <w:rFonts w:ascii="宋体" w:hAnsi="宋体"/>
                <w:sz w:val="24"/>
                <w:szCs w:val="24"/>
              </w:rPr>
              <w:t>不允许</w:t>
            </w:r>
          </w:p>
          <w:p w14:paraId="32CDEFD9">
            <w:pPr>
              <w:adjustRightInd w:val="0"/>
              <w:snapToGrid w:val="0"/>
              <w:spacing w:line="360" w:lineRule="auto"/>
              <w:jc w:val="left"/>
              <w:rPr>
                <w:rFonts w:hint="eastAsia" w:ascii="宋体" w:hAnsi="宋体"/>
                <w:i/>
                <w:sz w:val="24"/>
                <w:szCs w:val="24"/>
                <w:u w:val="single"/>
              </w:rPr>
            </w:pPr>
            <w:r>
              <w:rPr>
                <w:rFonts w:ascii="宋体" w:hAnsi="宋体"/>
                <w:sz w:val="24"/>
                <w:szCs w:val="24"/>
              </w:rPr>
              <w:t>□允许，</w:t>
            </w:r>
            <w:r>
              <w:rPr>
                <w:rFonts w:ascii="宋体" w:hAnsi="宋体"/>
                <w:i/>
                <w:sz w:val="24"/>
                <w:szCs w:val="24"/>
                <w:u w:val="single"/>
              </w:rPr>
              <w:t>（写明可以分包履行的具体内容、金额或者比例）</w:t>
            </w:r>
          </w:p>
        </w:tc>
      </w:tr>
      <w:tr w14:paraId="4183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851" w:type="dxa"/>
            <w:vAlign w:val="center"/>
          </w:tcPr>
          <w:p w14:paraId="751B20C2">
            <w:pPr>
              <w:pStyle w:val="74"/>
              <w:spacing w:line="360" w:lineRule="auto"/>
              <w:jc w:val="center"/>
              <w:rPr>
                <w:rFonts w:hint="eastAsia" w:hAnsi="宋体" w:cs="Times New Roman"/>
                <w:kern w:val="24"/>
                <w:sz w:val="24"/>
                <w:szCs w:val="24"/>
              </w:rPr>
            </w:pPr>
            <w:r>
              <w:rPr>
                <w:rFonts w:hint="eastAsia" w:hAnsi="宋体" w:cs="Times New Roman"/>
                <w:kern w:val="24"/>
                <w:sz w:val="24"/>
                <w:szCs w:val="24"/>
              </w:rPr>
              <w:t>12</w:t>
            </w:r>
          </w:p>
        </w:tc>
        <w:tc>
          <w:tcPr>
            <w:tcW w:w="2136" w:type="dxa"/>
            <w:vAlign w:val="center"/>
          </w:tcPr>
          <w:p w14:paraId="2CC49934">
            <w:pPr>
              <w:pStyle w:val="74"/>
              <w:spacing w:line="360" w:lineRule="auto"/>
              <w:jc w:val="left"/>
              <w:rPr>
                <w:rFonts w:hint="eastAsia" w:hAnsi="宋体" w:cs="Times New Roman"/>
                <w:kern w:val="24"/>
                <w:sz w:val="24"/>
                <w:szCs w:val="24"/>
              </w:rPr>
            </w:pPr>
            <w:r>
              <w:rPr>
                <w:rFonts w:hAnsi="宋体"/>
                <w:sz w:val="24"/>
                <w:szCs w:val="24"/>
              </w:rPr>
              <w:t>标的所属行业</w:t>
            </w:r>
          </w:p>
        </w:tc>
        <w:tc>
          <w:tcPr>
            <w:tcW w:w="6506" w:type="dxa"/>
            <w:gridSpan w:val="2"/>
            <w:vAlign w:val="center"/>
          </w:tcPr>
          <w:p w14:paraId="0D363AEF">
            <w:pPr>
              <w:pStyle w:val="118"/>
              <w:spacing w:before="1"/>
              <w:ind w:left="107"/>
              <w:rPr>
                <w:rFonts w:hint="eastAsia" w:ascii="宋体" w:hAnsi="宋体"/>
                <w:szCs w:val="24"/>
              </w:rPr>
            </w:pPr>
            <w:r>
              <w:rPr>
                <w:rFonts w:ascii="宋体" w:hAnsi="宋体"/>
                <w:szCs w:val="24"/>
              </w:rPr>
              <w:t>本项目采购标的对应的中小企业划分标准所属行业：</w:t>
            </w:r>
          </w:p>
          <w:tbl>
            <w:tblPr>
              <w:tblStyle w:val="36"/>
              <w:tblW w:w="44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0"/>
              <w:gridCol w:w="1984"/>
            </w:tblGrid>
            <w:tr w14:paraId="033C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3227" w:type="pct"/>
                  <w:tcBorders>
                    <w:top w:val="single" w:color="auto" w:sz="4" w:space="0"/>
                    <w:left w:val="single" w:color="auto" w:sz="4" w:space="0"/>
                    <w:bottom w:val="single" w:color="auto" w:sz="4" w:space="0"/>
                    <w:right w:val="single" w:color="auto" w:sz="4" w:space="0"/>
                  </w:tcBorders>
                  <w:vAlign w:val="center"/>
                </w:tcPr>
                <w:p w14:paraId="747F8A89">
                  <w:pPr>
                    <w:spacing w:line="360" w:lineRule="auto"/>
                    <w:jc w:val="left"/>
                    <w:rPr>
                      <w:rFonts w:hint="eastAsia" w:ascii="宋体" w:hAnsi="宋体"/>
                      <w:bCs/>
                      <w:sz w:val="24"/>
                      <w:szCs w:val="24"/>
                    </w:rPr>
                  </w:pPr>
                  <w:r>
                    <w:rPr>
                      <w:rFonts w:ascii="宋体" w:hAnsi="宋体"/>
                      <w:bCs/>
                      <w:sz w:val="24"/>
                      <w:szCs w:val="24"/>
                    </w:rPr>
                    <w:t>标的名称</w:t>
                  </w:r>
                </w:p>
              </w:tc>
              <w:tc>
                <w:tcPr>
                  <w:tcW w:w="1773" w:type="pct"/>
                  <w:tcBorders>
                    <w:top w:val="single" w:color="auto" w:sz="4" w:space="0"/>
                    <w:left w:val="single" w:color="auto" w:sz="4" w:space="0"/>
                    <w:bottom w:val="single" w:color="auto" w:sz="4" w:space="0"/>
                    <w:right w:val="single" w:color="auto" w:sz="4" w:space="0"/>
                  </w:tcBorders>
                  <w:vAlign w:val="center"/>
                </w:tcPr>
                <w:p w14:paraId="5BF28DF3">
                  <w:pPr>
                    <w:spacing w:line="360" w:lineRule="auto"/>
                    <w:jc w:val="left"/>
                    <w:rPr>
                      <w:rFonts w:hint="eastAsia" w:ascii="宋体" w:hAnsi="宋体"/>
                      <w:sz w:val="24"/>
                      <w:szCs w:val="24"/>
                    </w:rPr>
                  </w:pPr>
                  <w:r>
                    <w:rPr>
                      <w:rFonts w:ascii="宋体" w:hAnsi="宋体"/>
                      <w:sz w:val="24"/>
                      <w:szCs w:val="24"/>
                    </w:rPr>
                    <w:t>中小企业划分标准所属行业</w:t>
                  </w:r>
                </w:p>
              </w:tc>
            </w:tr>
            <w:tr w14:paraId="3BC6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7" w:type="pct"/>
                  <w:tcBorders>
                    <w:top w:val="single" w:color="auto" w:sz="4" w:space="0"/>
                    <w:left w:val="single" w:color="auto" w:sz="4" w:space="0"/>
                    <w:bottom w:val="single" w:color="auto" w:sz="4" w:space="0"/>
                    <w:right w:val="single" w:color="auto" w:sz="4" w:space="0"/>
                  </w:tcBorders>
                  <w:vAlign w:val="center"/>
                </w:tcPr>
                <w:p w14:paraId="41C40324">
                  <w:pPr>
                    <w:spacing w:line="360" w:lineRule="auto"/>
                    <w:jc w:val="left"/>
                    <w:rPr>
                      <w:rFonts w:hint="eastAsia" w:ascii="宋体" w:hAnsi="宋体"/>
                      <w:sz w:val="24"/>
                      <w:szCs w:val="24"/>
                    </w:rPr>
                  </w:pPr>
                  <w:r>
                    <w:rPr>
                      <w:rFonts w:hint="eastAsia" w:ascii="宋体" w:hAnsi="宋体"/>
                      <w:sz w:val="24"/>
                    </w:rPr>
                    <w:t xml:space="preserve"> 详见投标邀请中的产品清单</w:t>
                  </w:r>
                </w:p>
              </w:tc>
              <w:tc>
                <w:tcPr>
                  <w:tcW w:w="1773" w:type="pct"/>
                  <w:tcBorders>
                    <w:top w:val="single" w:color="auto" w:sz="4" w:space="0"/>
                    <w:left w:val="single" w:color="auto" w:sz="4" w:space="0"/>
                    <w:bottom w:val="single" w:color="auto" w:sz="4" w:space="0"/>
                    <w:right w:val="single" w:color="auto" w:sz="4" w:space="0"/>
                  </w:tcBorders>
                  <w:vAlign w:val="center"/>
                </w:tcPr>
                <w:p w14:paraId="17B95386">
                  <w:pPr>
                    <w:spacing w:line="360" w:lineRule="auto"/>
                    <w:jc w:val="left"/>
                    <w:rPr>
                      <w:rFonts w:hint="eastAsia" w:ascii="宋体" w:hAnsi="宋体"/>
                      <w:sz w:val="24"/>
                      <w:szCs w:val="24"/>
                    </w:rPr>
                  </w:pPr>
                  <w:r>
                    <w:rPr>
                      <w:rFonts w:hint="eastAsia" w:ascii="宋体" w:hAnsi="宋体"/>
                      <w:sz w:val="24"/>
                      <w:szCs w:val="24"/>
                    </w:rPr>
                    <w:t>工业</w:t>
                  </w:r>
                </w:p>
              </w:tc>
            </w:tr>
          </w:tbl>
          <w:p w14:paraId="36C1BD2F">
            <w:pPr>
              <w:pStyle w:val="74"/>
              <w:spacing w:line="360" w:lineRule="auto"/>
              <w:jc w:val="left"/>
              <w:rPr>
                <w:rFonts w:hint="eastAsia" w:hAnsi="宋体" w:cs="Times New Roman"/>
                <w:kern w:val="24"/>
                <w:sz w:val="24"/>
                <w:szCs w:val="24"/>
              </w:rPr>
            </w:pPr>
          </w:p>
        </w:tc>
      </w:tr>
      <w:tr w14:paraId="2589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6B7E42FE">
            <w:pPr>
              <w:pStyle w:val="74"/>
              <w:spacing w:line="360" w:lineRule="auto"/>
              <w:jc w:val="center"/>
              <w:rPr>
                <w:rFonts w:hint="eastAsia" w:hAnsi="宋体" w:cs="Times New Roman"/>
                <w:kern w:val="24"/>
                <w:sz w:val="24"/>
                <w:szCs w:val="24"/>
              </w:rPr>
            </w:pPr>
            <w:r>
              <w:rPr>
                <w:rFonts w:hint="eastAsia" w:hAnsi="宋体" w:cs="Times New Roman"/>
                <w:kern w:val="24"/>
                <w:sz w:val="24"/>
                <w:szCs w:val="24"/>
              </w:rPr>
              <w:t>13</w:t>
            </w:r>
          </w:p>
        </w:tc>
        <w:tc>
          <w:tcPr>
            <w:tcW w:w="2136" w:type="dxa"/>
            <w:vAlign w:val="center"/>
          </w:tcPr>
          <w:p w14:paraId="65DCFCD6">
            <w:pPr>
              <w:pStyle w:val="74"/>
              <w:spacing w:line="360" w:lineRule="auto"/>
              <w:jc w:val="left"/>
              <w:rPr>
                <w:rFonts w:hint="eastAsia" w:hAnsi="宋体" w:cs="Times New Roman"/>
                <w:kern w:val="24"/>
                <w:sz w:val="24"/>
                <w:szCs w:val="24"/>
              </w:rPr>
            </w:pPr>
            <w:r>
              <w:rPr>
                <w:rFonts w:hint="eastAsia" w:hAnsi="宋体" w:cs="Times New Roman"/>
                <w:kern w:val="24"/>
                <w:sz w:val="24"/>
                <w:szCs w:val="24"/>
              </w:rPr>
              <w:t>支持中小企业发展</w:t>
            </w:r>
          </w:p>
        </w:tc>
        <w:tc>
          <w:tcPr>
            <w:tcW w:w="6506" w:type="dxa"/>
            <w:gridSpan w:val="2"/>
            <w:vAlign w:val="center"/>
          </w:tcPr>
          <w:p w14:paraId="69DC939A">
            <w:pPr>
              <w:pStyle w:val="74"/>
              <w:spacing w:line="360" w:lineRule="auto"/>
              <w:jc w:val="left"/>
              <w:rPr>
                <w:rFonts w:hint="eastAsia" w:hAnsi="宋体" w:cs="Times New Roman"/>
                <w:kern w:val="24"/>
                <w:sz w:val="24"/>
                <w:szCs w:val="24"/>
              </w:rPr>
            </w:pPr>
            <w:r>
              <w:rPr>
                <w:rFonts w:hint="eastAsia" w:hAnsi="宋体" w:cs="Times New Roman"/>
                <w:kern w:val="24"/>
                <w:sz w:val="24"/>
                <w:szCs w:val="24"/>
              </w:rPr>
              <w:t>□专门面向中小企业采购项目</w:t>
            </w:r>
          </w:p>
          <w:p w14:paraId="4E17706F">
            <w:pPr>
              <w:pStyle w:val="74"/>
              <w:spacing w:line="360" w:lineRule="auto"/>
              <w:jc w:val="left"/>
              <w:rPr>
                <w:rFonts w:hint="eastAsia" w:hAnsi="宋体" w:cs="Times New Roman"/>
                <w:kern w:val="24"/>
                <w:sz w:val="24"/>
                <w:szCs w:val="24"/>
              </w:rPr>
            </w:pPr>
            <w:r>
              <w:rPr>
                <w:rFonts w:hint="eastAsia" w:hAnsi="宋体" w:cs="宋体"/>
                <w:b/>
                <w:kern w:val="24"/>
                <w:sz w:val="24"/>
                <w:szCs w:val="24"/>
              </w:rPr>
              <w:sym w:font="Wingdings 2" w:char="F052"/>
            </w:r>
            <w:r>
              <w:rPr>
                <w:rFonts w:hint="eastAsia" w:hAnsi="宋体" w:cs="Times New Roman"/>
                <w:kern w:val="24"/>
                <w:sz w:val="24"/>
                <w:szCs w:val="24"/>
              </w:rPr>
              <w:t>非专门面向中小企业采购项目（价格扣除）：</w:t>
            </w:r>
          </w:p>
          <w:p w14:paraId="744124F8">
            <w:pPr>
              <w:pStyle w:val="74"/>
              <w:numPr>
                <w:ilvl w:val="0"/>
                <w:numId w:val="8"/>
              </w:numPr>
              <w:spacing w:after="160" w:line="360" w:lineRule="auto"/>
              <w:jc w:val="left"/>
              <w:rPr>
                <w:rFonts w:hint="eastAsia" w:hAnsi="宋体" w:cs="Times New Roman"/>
                <w:b/>
                <w:kern w:val="24"/>
                <w:sz w:val="24"/>
                <w:szCs w:val="24"/>
              </w:rPr>
            </w:pPr>
            <w:r>
              <w:rPr>
                <w:rFonts w:hint="eastAsia" w:hAnsi="宋体" w:cs="Times New Roman"/>
                <w:kern w:val="24"/>
                <w:sz w:val="24"/>
                <w:szCs w:val="24"/>
              </w:rPr>
              <w:t>对小型和微型企业产品的价格给予</w:t>
            </w:r>
            <w:r>
              <w:rPr>
                <w:rFonts w:hAnsi="宋体" w:cs="Times New Roman"/>
                <w:kern w:val="24"/>
                <w:sz w:val="24"/>
                <w:szCs w:val="24"/>
              </w:rPr>
              <w:t>10%</w:t>
            </w:r>
            <w:r>
              <w:rPr>
                <w:rFonts w:hint="eastAsia" w:hAnsi="宋体" w:cs="Times New Roman"/>
                <w:kern w:val="24"/>
                <w:sz w:val="24"/>
                <w:szCs w:val="24"/>
              </w:rPr>
              <w:t>～</w:t>
            </w:r>
            <w:r>
              <w:rPr>
                <w:rFonts w:hAnsi="宋体" w:cs="Times New Roman"/>
                <w:kern w:val="24"/>
                <w:sz w:val="24"/>
                <w:szCs w:val="24"/>
              </w:rPr>
              <w:t>20%</w:t>
            </w:r>
            <w:r>
              <w:rPr>
                <w:rFonts w:hint="eastAsia" w:hAnsi="宋体" w:cs="Times New Roman"/>
                <w:kern w:val="24"/>
                <w:sz w:val="24"/>
                <w:szCs w:val="24"/>
              </w:rPr>
              <w:t>的扣除，用扣除后的价格参与评审。本项目的扣除比例为：小型企业扣除10</w:t>
            </w:r>
            <w:r>
              <w:rPr>
                <w:rFonts w:hAnsi="宋体" w:cs="Times New Roman"/>
                <w:kern w:val="24"/>
                <w:sz w:val="24"/>
                <w:szCs w:val="24"/>
              </w:rPr>
              <w:t>%</w:t>
            </w:r>
            <w:r>
              <w:rPr>
                <w:rFonts w:hint="eastAsia" w:hAnsi="宋体" w:cs="Times New Roman"/>
                <w:kern w:val="24"/>
                <w:sz w:val="24"/>
                <w:szCs w:val="24"/>
              </w:rPr>
              <w:t>，微型企业扣除10</w:t>
            </w:r>
            <w:r>
              <w:rPr>
                <w:rFonts w:hAnsi="宋体" w:cs="Times New Roman"/>
                <w:kern w:val="24"/>
                <w:sz w:val="24"/>
                <w:szCs w:val="24"/>
              </w:rPr>
              <w:t>%</w:t>
            </w:r>
            <w:r>
              <w:rPr>
                <w:rFonts w:hint="eastAsia" w:hAnsi="宋体" w:cs="Times New Roman"/>
                <w:b/>
                <w:kern w:val="24"/>
                <w:sz w:val="24"/>
                <w:szCs w:val="24"/>
              </w:rPr>
              <w:t>。</w:t>
            </w:r>
          </w:p>
          <w:p w14:paraId="02342559">
            <w:pPr>
              <w:pStyle w:val="74"/>
              <w:spacing w:line="360" w:lineRule="auto"/>
              <w:jc w:val="left"/>
              <w:rPr>
                <w:rFonts w:hint="eastAsia" w:hAnsi="宋体" w:cs="Times New Roman"/>
                <w:kern w:val="24"/>
                <w:sz w:val="24"/>
                <w:szCs w:val="24"/>
              </w:rPr>
            </w:pPr>
            <w:r>
              <w:rPr>
                <w:rFonts w:hint="eastAsia" w:hAnsi="宋体" w:cs="Times New Roman"/>
                <w:kern w:val="24"/>
                <w:sz w:val="24"/>
                <w:szCs w:val="24"/>
              </w:rPr>
              <w:t>②本项目接受联合体投标的，若小型和微型企业的协议合同金额占到联合体协议合同总金额30%以上的，可给予联合体</w:t>
            </w:r>
            <w:r>
              <w:rPr>
                <w:rFonts w:hAnsi="宋体" w:cs="Times New Roman"/>
                <w:kern w:val="24"/>
                <w:sz w:val="24"/>
                <w:szCs w:val="24"/>
              </w:rPr>
              <w:t>4</w:t>
            </w:r>
            <w:r>
              <w:rPr>
                <w:rFonts w:hint="eastAsia" w:hAnsi="宋体" w:cs="Times New Roman"/>
                <w:kern w:val="24"/>
                <w:sz w:val="24"/>
                <w:szCs w:val="24"/>
              </w:rPr>
              <w:t>%～</w:t>
            </w:r>
            <w:r>
              <w:rPr>
                <w:rFonts w:hAnsi="宋体" w:cs="Times New Roman"/>
                <w:kern w:val="24"/>
                <w:sz w:val="24"/>
                <w:szCs w:val="24"/>
              </w:rPr>
              <w:t>6</w:t>
            </w:r>
            <w:r>
              <w:rPr>
                <w:rFonts w:hint="eastAsia" w:hAnsi="宋体" w:cs="Times New Roman"/>
                <w:kern w:val="24"/>
                <w:sz w:val="24"/>
                <w:szCs w:val="24"/>
              </w:rPr>
              <w:t>%的扣除，用扣除后的价格参与评审。本项目不涉及。</w:t>
            </w:r>
          </w:p>
        </w:tc>
      </w:tr>
      <w:tr w14:paraId="07CF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7F994B3">
            <w:pPr>
              <w:pStyle w:val="74"/>
              <w:spacing w:line="360" w:lineRule="auto"/>
              <w:jc w:val="center"/>
              <w:rPr>
                <w:rFonts w:hint="eastAsia" w:hAnsi="宋体" w:cs="Times New Roman"/>
                <w:bCs/>
                <w:kern w:val="24"/>
                <w:sz w:val="24"/>
                <w:szCs w:val="24"/>
              </w:rPr>
            </w:pPr>
            <w:r>
              <w:rPr>
                <w:rFonts w:hint="eastAsia" w:hAnsi="宋体" w:cs="Times New Roman"/>
                <w:bCs/>
                <w:kern w:val="24"/>
                <w:sz w:val="24"/>
                <w:szCs w:val="24"/>
              </w:rPr>
              <w:t>14</w:t>
            </w:r>
          </w:p>
        </w:tc>
        <w:tc>
          <w:tcPr>
            <w:tcW w:w="2136" w:type="dxa"/>
            <w:vAlign w:val="center"/>
          </w:tcPr>
          <w:p w14:paraId="2CCA6A59">
            <w:pPr>
              <w:pStyle w:val="74"/>
              <w:spacing w:line="360" w:lineRule="auto"/>
              <w:jc w:val="left"/>
              <w:rPr>
                <w:rFonts w:hint="eastAsia" w:hAnsi="宋体" w:cs="Times New Roman"/>
                <w:b/>
                <w:kern w:val="24"/>
                <w:sz w:val="24"/>
                <w:szCs w:val="24"/>
              </w:rPr>
            </w:pPr>
            <w:r>
              <w:rPr>
                <w:rFonts w:hint="eastAsia" w:hAnsi="宋体" w:cs="Times New Roman"/>
                <w:kern w:val="24"/>
                <w:sz w:val="24"/>
                <w:szCs w:val="24"/>
              </w:rPr>
              <w:t>支持监狱企业</w:t>
            </w:r>
          </w:p>
        </w:tc>
        <w:tc>
          <w:tcPr>
            <w:tcW w:w="6506" w:type="dxa"/>
            <w:gridSpan w:val="2"/>
            <w:vAlign w:val="center"/>
          </w:tcPr>
          <w:p w14:paraId="6C5EB192">
            <w:pPr>
              <w:pStyle w:val="74"/>
              <w:spacing w:line="360" w:lineRule="auto"/>
              <w:jc w:val="left"/>
              <w:rPr>
                <w:rFonts w:hint="eastAsia" w:hAnsi="宋体" w:cs="Times New Roman"/>
                <w:kern w:val="24"/>
                <w:sz w:val="24"/>
                <w:szCs w:val="24"/>
              </w:rPr>
            </w:pPr>
            <w:r>
              <w:rPr>
                <w:rFonts w:hint="eastAsia" w:hAnsi="宋体"/>
                <w:kern w:val="24"/>
                <w:sz w:val="24"/>
                <w:szCs w:val="24"/>
              </w:rPr>
              <w:t>监狱企业可视同小微企业，应提供由省级以上监狱管理局、戒毒管理局（含新疆生产建设兵团）出具的属于监狱企业的证明文件。</w:t>
            </w:r>
          </w:p>
        </w:tc>
      </w:tr>
      <w:tr w14:paraId="452D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E599E72">
            <w:pPr>
              <w:pStyle w:val="74"/>
              <w:spacing w:line="360" w:lineRule="auto"/>
              <w:jc w:val="center"/>
              <w:rPr>
                <w:rFonts w:hint="eastAsia" w:hAnsi="宋体" w:cs="Times New Roman"/>
                <w:kern w:val="24"/>
                <w:sz w:val="24"/>
                <w:szCs w:val="24"/>
              </w:rPr>
            </w:pPr>
            <w:r>
              <w:rPr>
                <w:rFonts w:hint="eastAsia" w:hAnsi="宋体" w:cs="Times New Roman"/>
                <w:kern w:val="24"/>
                <w:sz w:val="24"/>
                <w:szCs w:val="24"/>
              </w:rPr>
              <w:t>15</w:t>
            </w:r>
          </w:p>
        </w:tc>
        <w:tc>
          <w:tcPr>
            <w:tcW w:w="2136" w:type="dxa"/>
            <w:vAlign w:val="center"/>
          </w:tcPr>
          <w:p w14:paraId="3F205494">
            <w:pPr>
              <w:pStyle w:val="74"/>
              <w:spacing w:line="360" w:lineRule="auto"/>
              <w:jc w:val="left"/>
              <w:rPr>
                <w:rFonts w:hint="eastAsia" w:hAnsi="宋体" w:cs="Times New Roman"/>
                <w:kern w:val="24"/>
                <w:sz w:val="24"/>
                <w:szCs w:val="24"/>
              </w:rPr>
            </w:pPr>
            <w:r>
              <w:rPr>
                <w:rFonts w:hint="eastAsia" w:hAnsi="宋体" w:cs="Times New Roman"/>
                <w:kern w:val="24"/>
                <w:sz w:val="24"/>
                <w:szCs w:val="24"/>
              </w:rPr>
              <w:t>促进残疾人就业</w:t>
            </w:r>
          </w:p>
        </w:tc>
        <w:tc>
          <w:tcPr>
            <w:tcW w:w="6506" w:type="dxa"/>
            <w:gridSpan w:val="2"/>
            <w:vAlign w:val="center"/>
          </w:tcPr>
          <w:p w14:paraId="56599173">
            <w:pPr>
              <w:autoSpaceDE w:val="0"/>
              <w:autoSpaceDN w:val="0"/>
              <w:adjustRightInd w:val="0"/>
              <w:spacing w:line="360" w:lineRule="auto"/>
              <w:jc w:val="left"/>
              <w:rPr>
                <w:rFonts w:hint="eastAsia" w:ascii="宋体" w:hAnsi="宋体" w:cs="MingLiU_HKSCS"/>
                <w:kern w:val="24"/>
                <w:sz w:val="24"/>
                <w:szCs w:val="24"/>
              </w:rPr>
            </w:pPr>
            <w:r>
              <w:rPr>
                <w:rFonts w:ascii="宋体" w:hAnsi="宋体"/>
                <w:kern w:val="24"/>
                <w:sz w:val="24"/>
                <w:szCs w:val="24"/>
              </w:rPr>
              <w:t>残疾人福利性单位</w:t>
            </w:r>
            <w:r>
              <w:rPr>
                <w:rFonts w:hint="eastAsia" w:ascii="宋体" w:hAnsi="宋体"/>
                <w:kern w:val="24"/>
                <w:sz w:val="24"/>
                <w:szCs w:val="24"/>
              </w:rPr>
              <w:t>：视同小微企业，</w:t>
            </w:r>
            <w:r>
              <w:rPr>
                <w:rFonts w:ascii="宋体" w:hAnsi="宋体"/>
                <w:kern w:val="24"/>
                <w:sz w:val="24"/>
                <w:szCs w:val="24"/>
              </w:rPr>
              <w:t>符合条件的残疾人福利性单位在参加政府采购活动时，应当提供本《残疾人福利性单位声明函》（</w:t>
            </w:r>
            <w:r>
              <w:rPr>
                <w:rFonts w:hint="eastAsia" w:ascii="宋体" w:hAnsi="宋体" w:cs="宋体"/>
                <w:kern w:val="24"/>
                <w:sz w:val="24"/>
                <w:szCs w:val="24"/>
              </w:rPr>
              <w:t>声明函格式见投标文件格式</w:t>
            </w:r>
            <w:r>
              <w:rPr>
                <w:rFonts w:ascii="宋体" w:hAnsi="宋体"/>
                <w:kern w:val="24"/>
                <w:sz w:val="24"/>
                <w:szCs w:val="24"/>
              </w:rPr>
              <w:t>），并对声明的真实性负责。中标</w:t>
            </w:r>
            <w:r>
              <w:rPr>
                <w:rFonts w:hint="eastAsia" w:ascii="宋体" w:hAnsi="宋体"/>
                <w:kern w:val="24"/>
                <w:sz w:val="24"/>
                <w:szCs w:val="24"/>
              </w:rPr>
              <w:t>人</w:t>
            </w:r>
            <w:r>
              <w:rPr>
                <w:rFonts w:ascii="宋体" w:hAnsi="宋体"/>
                <w:kern w:val="24"/>
                <w:sz w:val="24"/>
                <w:szCs w:val="24"/>
              </w:rPr>
              <w:t>为残疾人福利性单位的，</w:t>
            </w:r>
            <w:r>
              <w:rPr>
                <w:rFonts w:hint="eastAsia" w:ascii="宋体" w:hAnsi="宋体"/>
                <w:kern w:val="24"/>
                <w:sz w:val="24"/>
                <w:szCs w:val="24"/>
              </w:rPr>
              <w:t>将在</w:t>
            </w:r>
            <w:r>
              <w:rPr>
                <w:rFonts w:ascii="宋体" w:hAnsi="宋体"/>
                <w:kern w:val="24"/>
                <w:sz w:val="24"/>
                <w:szCs w:val="24"/>
              </w:rPr>
              <w:t>中标结果公告</w:t>
            </w:r>
            <w:r>
              <w:rPr>
                <w:rFonts w:hint="eastAsia" w:ascii="宋体" w:hAnsi="宋体"/>
                <w:kern w:val="24"/>
                <w:sz w:val="24"/>
                <w:szCs w:val="24"/>
              </w:rPr>
              <w:t>的同时公告</w:t>
            </w:r>
            <w:r>
              <w:rPr>
                <w:rFonts w:ascii="宋体" w:hAnsi="宋体"/>
                <w:kern w:val="24"/>
                <w:sz w:val="24"/>
                <w:szCs w:val="24"/>
              </w:rPr>
              <w:t>其《残疾人福利性单位声明函》，接受社会监督。</w:t>
            </w:r>
          </w:p>
        </w:tc>
      </w:tr>
      <w:tr w14:paraId="698E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74DDC0C">
            <w:pPr>
              <w:spacing w:line="360" w:lineRule="auto"/>
              <w:jc w:val="center"/>
              <w:rPr>
                <w:rFonts w:hint="eastAsia" w:ascii="宋体" w:hAnsi="宋体"/>
                <w:kern w:val="24"/>
                <w:sz w:val="24"/>
                <w:szCs w:val="24"/>
              </w:rPr>
            </w:pPr>
            <w:r>
              <w:rPr>
                <w:rFonts w:hint="eastAsia" w:ascii="宋体" w:hAnsi="宋体"/>
                <w:kern w:val="24"/>
                <w:sz w:val="24"/>
                <w:szCs w:val="24"/>
              </w:rPr>
              <w:t>16</w:t>
            </w:r>
          </w:p>
        </w:tc>
        <w:tc>
          <w:tcPr>
            <w:tcW w:w="2136" w:type="dxa"/>
            <w:vAlign w:val="center"/>
          </w:tcPr>
          <w:p w14:paraId="50FF7D71">
            <w:pPr>
              <w:spacing w:line="360" w:lineRule="auto"/>
              <w:jc w:val="center"/>
              <w:rPr>
                <w:rFonts w:hint="eastAsia" w:hAnsi="宋体"/>
                <w:kern w:val="24"/>
                <w:sz w:val="24"/>
                <w:szCs w:val="24"/>
              </w:rPr>
            </w:pPr>
            <w:r>
              <w:rPr>
                <w:rFonts w:hint="eastAsia" w:ascii="宋体" w:hAnsi="宋体" w:cs="宋体"/>
                <w:sz w:val="24"/>
              </w:rPr>
              <w:t>落实国务院办公厅关于在政府采购中实施本国产品标准及相关政策</w:t>
            </w:r>
          </w:p>
        </w:tc>
        <w:tc>
          <w:tcPr>
            <w:tcW w:w="6506" w:type="dxa"/>
            <w:gridSpan w:val="2"/>
            <w:vAlign w:val="center"/>
          </w:tcPr>
          <w:p w14:paraId="747C4405">
            <w:pPr>
              <w:spacing w:line="360" w:lineRule="auto"/>
              <w:rPr>
                <w:rFonts w:hint="eastAsia" w:ascii="宋体" w:hAnsi="宋体" w:cs="宋体"/>
                <w:sz w:val="24"/>
              </w:rPr>
            </w:pPr>
            <w:r>
              <w:rPr>
                <w:rFonts w:hint="eastAsia" w:ascii="宋体" w:hAnsi="宋体" w:cs="宋体"/>
                <w:sz w:val="24"/>
              </w:rPr>
              <w:t>根据《国务院办公厅关于在政府采购中实施本国产品标准及相关政策的通知》（国办发〔2025〕34号）的相关规定，投标产品符合“本国产品标准”的，按照以下政策执行价格评审优惠：</w:t>
            </w:r>
          </w:p>
          <w:p w14:paraId="5E4A6A34">
            <w:pPr>
              <w:spacing w:line="360" w:lineRule="auto"/>
              <w:ind w:firstLine="480" w:firstLineChars="200"/>
              <w:rPr>
                <w:sz w:val="24"/>
              </w:rPr>
            </w:pPr>
            <w:r>
              <w:rPr>
                <w:rFonts w:hint="eastAsia"/>
                <w:sz w:val="24"/>
              </w:rPr>
              <w:t>政府采购活动中既有本国产品又有非本国产品参与竞争的，依法对本国产品给予价格评审优惠，对本国产品的报价给予20%的价格扣除，用扣除后的价格参与评审。</w:t>
            </w:r>
          </w:p>
          <w:p w14:paraId="67D9266E">
            <w:pPr>
              <w:spacing w:line="360" w:lineRule="auto"/>
              <w:ind w:firstLine="480" w:firstLineChars="200"/>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0A42620">
            <w:pPr>
              <w:pStyle w:val="44"/>
              <w:spacing w:line="360" w:lineRule="auto"/>
              <w:ind w:firstLine="480"/>
              <w:rPr>
                <w:rFonts w:hint="eastAsia" w:ascii="宋体" w:hAnsi="宋体"/>
              </w:rPr>
            </w:pPr>
            <w:r>
              <w:rPr>
                <w:rFonts w:ascii="宋体" w:hAnsi="宋体"/>
              </w:rPr>
              <w:t>符合以上政策价格评审优惠政策的，需按以下要求提供证明文件，否则不予享受价格评审优惠政策：</w:t>
            </w:r>
          </w:p>
          <w:p w14:paraId="04575D24">
            <w:pPr>
              <w:pStyle w:val="44"/>
              <w:spacing w:line="360" w:lineRule="auto"/>
              <w:ind w:firstLine="480"/>
              <w:rPr>
                <w:rFonts w:hint="eastAsia" w:ascii="宋体" w:hAnsi="宋体"/>
              </w:rPr>
            </w:pPr>
            <w:r>
              <w:rPr>
                <w:rFonts w:hint="eastAsia" w:ascii="宋体" w:hAnsi="宋体"/>
              </w:rPr>
              <w:t>（一）产品在中国境内生产的组件成本核算规则。产品在中国境内生产的组件成本，按照《中国境内生产的组件成本核算基本规则》（见第五章 附件7）计算。</w:t>
            </w:r>
          </w:p>
          <w:p w14:paraId="269CD471">
            <w:pPr>
              <w:pStyle w:val="44"/>
              <w:spacing w:line="360" w:lineRule="auto"/>
              <w:ind w:firstLine="480"/>
              <w:rPr>
                <w:rFonts w:hint="eastAsia" w:ascii="宋体" w:hAnsi="宋体"/>
                <w:kern w:val="24"/>
                <w:szCs w:val="24"/>
              </w:rPr>
            </w:pPr>
            <w:r>
              <w:rPr>
                <w:rFonts w:hint="eastAsia" w:ascii="宋体" w:hAnsi="宋体"/>
              </w:rPr>
              <w:t>（二）有关证明文件。采购人、采购代理机构应当在采购文件中明确要求供应商对其提供的产品出具《关于符合本国产品标准的声明函》（样式见第五章 附件7，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tc>
      </w:tr>
      <w:tr w14:paraId="30D9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6571880">
            <w:pPr>
              <w:spacing w:line="360" w:lineRule="auto"/>
              <w:jc w:val="center"/>
              <w:rPr>
                <w:rFonts w:hint="eastAsia" w:ascii="宋体" w:hAnsi="宋体"/>
                <w:kern w:val="24"/>
                <w:sz w:val="24"/>
                <w:szCs w:val="24"/>
              </w:rPr>
            </w:pPr>
            <w:r>
              <w:rPr>
                <w:rFonts w:hint="eastAsia" w:ascii="宋体" w:hAnsi="宋体"/>
                <w:kern w:val="24"/>
                <w:sz w:val="24"/>
                <w:szCs w:val="24"/>
              </w:rPr>
              <w:t>17</w:t>
            </w:r>
          </w:p>
        </w:tc>
        <w:tc>
          <w:tcPr>
            <w:tcW w:w="2136" w:type="dxa"/>
            <w:vAlign w:val="center"/>
          </w:tcPr>
          <w:p w14:paraId="7653BFE3">
            <w:pPr>
              <w:pStyle w:val="74"/>
              <w:spacing w:line="360" w:lineRule="auto"/>
              <w:jc w:val="left"/>
              <w:rPr>
                <w:rFonts w:hint="eastAsia" w:hAnsi="宋体" w:cs="Times New Roman"/>
                <w:kern w:val="24"/>
                <w:sz w:val="24"/>
                <w:szCs w:val="24"/>
              </w:rPr>
            </w:pPr>
            <w:r>
              <w:rPr>
                <w:rFonts w:hint="eastAsia" w:hAnsi="宋体" w:cs="Times New Roman"/>
                <w:kern w:val="24"/>
                <w:sz w:val="24"/>
                <w:szCs w:val="24"/>
              </w:rPr>
              <w:t>投标人需提供的其他资料</w:t>
            </w:r>
          </w:p>
        </w:tc>
        <w:tc>
          <w:tcPr>
            <w:tcW w:w="6506" w:type="dxa"/>
            <w:gridSpan w:val="2"/>
            <w:vAlign w:val="center"/>
          </w:tcPr>
          <w:p w14:paraId="05F55C0F">
            <w:pPr>
              <w:pStyle w:val="74"/>
              <w:spacing w:line="360" w:lineRule="auto"/>
              <w:jc w:val="left"/>
              <w:rPr>
                <w:rFonts w:hint="eastAsia" w:hAnsi="宋体" w:cs="MingLiU_HKSCS"/>
                <w:b/>
                <w:kern w:val="24"/>
                <w:sz w:val="24"/>
                <w:szCs w:val="24"/>
              </w:rPr>
            </w:pPr>
            <w:r>
              <w:rPr>
                <w:rFonts w:hint="eastAsia" w:hAnsi="宋体" w:cs="Times New Roman"/>
                <w:kern w:val="24"/>
                <w:sz w:val="24"/>
                <w:szCs w:val="24"/>
              </w:rPr>
              <w:t>招标文件要求</w:t>
            </w:r>
            <w:r>
              <w:rPr>
                <w:rFonts w:hAnsi="宋体" w:cs="Times New Roman"/>
                <w:kern w:val="24"/>
                <w:sz w:val="24"/>
                <w:szCs w:val="24"/>
              </w:rPr>
              <w:t>提供的</w:t>
            </w:r>
            <w:r>
              <w:rPr>
                <w:rFonts w:hint="eastAsia" w:hAnsi="宋体" w:cs="Times New Roman"/>
                <w:kern w:val="24"/>
                <w:sz w:val="24"/>
                <w:szCs w:val="24"/>
              </w:rPr>
              <w:t>相关</w:t>
            </w:r>
            <w:r>
              <w:rPr>
                <w:rFonts w:hAnsi="宋体" w:cs="Times New Roman"/>
                <w:kern w:val="24"/>
                <w:sz w:val="24"/>
                <w:szCs w:val="24"/>
              </w:rPr>
              <w:t>资料。</w:t>
            </w:r>
          </w:p>
        </w:tc>
      </w:tr>
      <w:tr w14:paraId="24FD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51" w:type="dxa"/>
            <w:vAlign w:val="center"/>
          </w:tcPr>
          <w:p w14:paraId="1BFF1416">
            <w:pPr>
              <w:spacing w:line="360" w:lineRule="auto"/>
              <w:jc w:val="center"/>
              <w:rPr>
                <w:rFonts w:hint="eastAsia" w:ascii="宋体" w:hAnsi="宋体"/>
                <w:kern w:val="24"/>
                <w:sz w:val="24"/>
                <w:szCs w:val="24"/>
              </w:rPr>
            </w:pPr>
            <w:r>
              <w:rPr>
                <w:rFonts w:hint="eastAsia" w:ascii="宋体" w:hAnsi="宋体"/>
                <w:kern w:val="24"/>
                <w:sz w:val="24"/>
                <w:szCs w:val="24"/>
              </w:rPr>
              <w:t>18</w:t>
            </w:r>
          </w:p>
        </w:tc>
        <w:tc>
          <w:tcPr>
            <w:tcW w:w="2136" w:type="dxa"/>
            <w:vAlign w:val="center"/>
          </w:tcPr>
          <w:p w14:paraId="23B24A83">
            <w:pPr>
              <w:pStyle w:val="74"/>
              <w:spacing w:line="360" w:lineRule="auto"/>
              <w:jc w:val="left"/>
              <w:rPr>
                <w:rFonts w:hint="eastAsia" w:hAnsi="宋体" w:cs="Times New Roman"/>
                <w:kern w:val="24"/>
                <w:sz w:val="24"/>
                <w:szCs w:val="24"/>
              </w:rPr>
            </w:pPr>
            <w:r>
              <w:rPr>
                <w:rFonts w:hint="eastAsia" w:hAnsi="宋体" w:cs="Times New Roman"/>
                <w:kern w:val="24"/>
                <w:sz w:val="24"/>
                <w:szCs w:val="24"/>
              </w:rPr>
              <w:t>澄清或者修改时间</w:t>
            </w:r>
          </w:p>
        </w:tc>
        <w:tc>
          <w:tcPr>
            <w:tcW w:w="6506" w:type="dxa"/>
            <w:gridSpan w:val="2"/>
            <w:vAlign w:val="center"/>
          </w:tcPr>
          <w:p w14:paraId="09E1581D">
            <w:pPr>
              <w:pStyle w:val="74"/>
              <w:spacing w:line="360" w:lineRule="auto"/>
              <w:jc w:val="left"/>
              <w:rPr>
                <w:rFonts w:hint="eastAsia" w:hAnsi="宋体" w:cs="Times New Roman"/>
                <w:kern w:val="24"/>
                <w:sz w:val="24"/>
                <w:szCs w:val="24"/>
              </w:rPr>
            </w:pPr>
            <w:r>
              <w:rPr>
                <w:rFonts w:hint="eastAsia" w:hAnsi="宋体" w:cs="Times New Roman"/>
                <w:kern w:val="24"/>
                <w:sz w:val="24"/>
                <w:szCs w:val="24"/>
              </w:rPr>
              <w:t>采购人或者采购代理机构应当在投标截止时间至少15日前，以书面形式通知所有获取招标文件的潜在投标人；不足15日且可能影响投标文件编制的，采购人或者采购代理机构将顺延提交投标文件的截止时间。</w:t>
            </w:r>
          </w:p>
        </w:tc>
      </w:tr>
      <w:tr w14:paraId="5E03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F4BC001">
            <w:pPr>
              <w:spacing w:line="360" w:lineRule="auto"/>
              <w:jc w:val="center"/>
              <w:rPr>
                <w:rFonts w:hint="eastAsia" w:ascii="宋体" w:hAnsi="宋体"/>
                <w:kern w:val="24"/>
                <w:sz w:val="24"/>
                <w:szCs w:val="24"/>
              </w:rPr>
            </w:pPr>
            <w:r>
              <w:rPr>
                <w:rFonts w:hint="eastAsia" w:ascii="宋体" w:hAnsi="宋体"/>
                <w:kern w:val="24"/>
                <w:sz w:val="24"/>
                <w:szCs w:val="24"/>
              </w:rPr>
              <w:t>19</w:t>
            </w:r>
          </w:p>
        </w:tc>
        <w:tc>
          <w:tcPr>
            <w:tcW w:w="2136" w:type="dxa"/>
            <w:vAlign w:val="center"/>
          </w:tcPr>
          <w:p w14:paraId="5811C05A">
            <w:pPr>
              <w:pStyle w:val="74"/>
              <w:spacing w:line="360" w:lineRule="auto"/>
              <w:jc w:val="left"/>
              <w:rPr>
                <w:rFonts w:hint="eastAsia" w:hAnsi="宋体" w:cs="Times New Roman"/>
                <w:kern w:val="24"/>
                <w:sz w:val="24"/>
                <w:szCs w:val="24"/>
              </w:rPr>
            </w:pPr>
            <w:r>
              <w:rPr>
                <w:rFonts w:hint="eastAsia" w:hAnsi="宋体" w:cs="Times New Roman"/>
                <w:kern w:val="24"/>
                <w:sz w:val="24"/>
                <w:szCs w:val="24"/>
              </w:rPr>
              <w:t>提交投标文件的截止时间、地点</w:t>
            </w:r>
          </w:p>
        </w:tc>
        <w:tc>
          <w:tcPr>
            <w:tcW w:w="6506" w:type="dxa"/>
            <w:gridSpan w:val="2"/>
            <w:vAlign w:val="center"/>
          </w:tcPr>
          <w:p w14:paraId="3C0D1C4E">
            <w:pPr>
              <w:pStyle w:val="74"/>
              <w:spacing w:line="360" w:lineRule="auto"/>
              <w:jc w:val="left"/>
              <w:rPr>
                <w:rFonts w:hint="eastAsia" w:hAnsi="宋体" w:cs="Times New Roman"/>
                <w:kern w:val="24"/>
                <w:sz w:val="24"/>
                <w:szCs w:val="24"/>
              </w:rPr>
            </w:pPr>
            <w:r>
              <w:rPr>
                <w:rFonts w:hint="eastAsia" w:hAnsi="宋体" w:cs="Times New Roman"/>
                <w:kern w:val="24"/>
                <w:sz w:val="24"/>
                <w:szCs w:val="24"/>
              </w:rPr>
              <w:t>详见 第一章投标邀请</w:t>
            </w:r>
          </w:p>
        </w:tc>
      </w:tr>
      <w:tr w14:paraId="72E6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E233D05">
            <w:pPr>
              <w:spacing w:line="360" w:lineRule="auto"/>
              <w:jc w:val="center"/>
              <w:rPr>
                <w:rFonts w:hint="eastAsia" w:ascii="宋体" w:hAnsi="宋体"/>
                <w:kern w:val="24"/>
                <w:sz w:val="24"/>
                <w:szCs w:val="24"/>
              </w:rPr>
            </w:pPr>
            <w:r>
              <w:rPr>
                <w:rFonts w:hint="eastAsia" w:ascii="宋体" w:hAnsi="宋体"/>
                <w:kern w:val="24"/>
                <w:sz w:val="24"/>
                <w:szCs w:val="24"/>
              </w:rPr>
              <w:t>20</w:t>
            </w:r>
          </w:p>
        </w:tc>
        <w:tc>
          <w:tcPr>
            <w:tcW w:w="2136" w:type="dxa"/>
            <w:vAlign w:val="center"/>
          </w:tcPr>
          <w:p w14:paraId="38E8D3E4">
            <w:pPr>
              <w:spacing w:line="360" w:lineRule="auto"/>
              <w:jc w:val="left"/>
              <w:rPr>
                <w:rFonts w:hint="eastAsia" w:ascii="宋体" w:hAnsi="宋体"/>
                <w:kern w:val="24"/>
                <w:sz w:val="24"/>
                <w:szCs w:val="24"/>
              </w:rPr>
            </w:pPr>
            <w:r>
              <w:rPr>
                <w:rFonts w:hint="eastAsia" w:ascii="宋体" w:hAnsi="宋体"/>
                <w:kern w:val="24"/>
                <w:sz w:val="24"/>
                <w:szCs w:val="24"/>
              </w:rPr>
              <w:t>开标时间、地点</w:t>
            </w:r>
          </w:p>
        </w:tc>
        <w:tc>
          <w:tcPr>
            <w:tcW w:w="6506" w:type="dxa"/>
            <w:gridSpan w:val="2"/>
            <w:vAlign w:val="center"/>
          </w:tcPr>
          <w:p w14:paraId="57159AF5">
            <w:pPr>
              <w:pStyle w:val="74"/>
              <w:spacing w:line="360" w:lineRule="auto"/>
              <w:jc w:val="left"/>
              <w:rPr>
                <w:rFonts w:hint="eastAsia" w:hAnsi="宋体" w:cs="Times New Roman"/>
                <w:kern w:val="24"/>
                <w:sz w:val="24"/>
                <w:szCs w:val="24"/>
              </w:rPr>
            </w:pPr>
            <w:r>
              <w:rPr>
                <w:rFonts w:hint="eastAsia" w:hAnsi="宋体" w:cs="Times New Roman"/>
                <w:kern w:val="24"/>
                <w:sz w:val="24"/>
                <w:szCs w:val="24"/>
              </w:rPr>
              <w:t>详见 第一章投标邀请</w:t>
            </w:r>
          </w:p>
        </w:tc>
      </w:tr>
      <w:tr w14:paraId="4B30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1D45785">
            <w:pPr>
              <w:spacing w:line="360" w:lineRule="auto"/>
              <w:jc w:val="center"/>
              <w:rPr>
                <w:rFonts w:hint="eastAsia" w:ascii="宋体" w:hAnsi="宋体"/>
                <w:kern w:val="24"/>
                <w:sz w:val="24"/>
                <w:szCs w:val="24"/>
              </w:rPr>
            </w:pPr>
            <w:r>
              <w:rPr>
                <w:rFonts w:hint="eastAsia" w:ascii="宋体" w:hAnsi="宋体"/>
                <w:kern w:val="24"/>
                <w:sz w:val="24"/>
                <w:szCs w:val="24"/>
              </w:rPr>
              <w:t>21</w:t>
            </w:r>
          </w:p>
        </w:tc>
        <w:tc>
          <w:tcPr>
            <w:tcW w:w="2136" w:type="dxa"/>
            <w:vAlign w:val="center"/>
          </w:tcPr>
          <w:p w14:paraId="1A2E50E0">
            <w:pPr>
              <w:spacing w:line="360" w:lineRule="auto"/>
              <w:jc w:val="left"/>
              <w:rPr>
                <w:rFonts w:hint="eastAsia" w:ascii="宋体" w:hAnsi="宋体"/>
                <w:kern w:val="24"/>
                <w:sz w:val="24"/>
                <w:szCs w:val="24"/>
              </w:rPr>
            </w:pPr>
            <w:r>
              <w:rPr>
                <w:rFonts w:hint="eastAsia" w:ascii="宋体" w:hAnsi="宋体"/>
                <w:kern w:val="24"/>
                <w:sz w:val="24"/>
                <w:szCs w:val="24"/>
              </w:rPr>
              <w:t>唱标内容</w:t>
            </w:r>
          </w:p>
        </w:tc>
        <w:tc>
          <w:tcPr>
            <w:tcW w:w="6506" w:type="dxa"/>
            <w:gridSpan w:val="2"/>
            <w:vAlign w:val="center"/>
          </w:tcPr>
          <w:p w14:paraId="7DE166C1">
            <w:pPr>
              <w:pStyle w:val="74"/>
              <w:spacing w:line="360" w:lineRule="auto"/>
              <w:jc w:val="left"/>
              <w:rPr>
                <w:rFonts w:hint="eastAsia" w:hAnsi="宋体" w:cs="Times New Roman"/>
                <w:kern w:val="24"/>
                <w:sz w:val="24"/>
                <w:szCs w:val="24"/>
              </w:rPr>
            </w:pPr>
            <w:r>
              <w:rPr>
                <w:rFonts w:hint="eastAsia" w:hAnsi="宋体" w:cs="Times New Roman"/>
                <w:kern w:val="24"/>
                <w:sz w:val="24"/>
                <w:szCs w:val="24"/>
              </w:rPr>
              <w:t>开标一览表</w:t>
            </w:r>
          </w:p>
        </w:tc>
      </w:tr>
      <w:tr w14:paraId="1330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BC7F9FC">
            <w:pPr>
              <w:spacing w:line="360" w:lineRule="auto"/>
              <w:jc w:val="center"/>
              <w:rPr>
                <w:rFonts w:hint="eastAsia" w:ascii="宋体" w:hAnsi="宋体"/>
                <w:kern w:val="24"/>
                <w:sz w:val="24"/>
                <w:szCs w:val="24"/>
              </w:rPr>
            </w:pPr>
            <w:r>
              <w:rPr>
                <w:rFonts w:hint="eastAsia" w:ascii="宋体" w:hAnsi="宋体"/>
                <w:kern w:val="24"/>
                <w:sz w:val="24"/>
                <w:szCs w:val="24"/>
              </w:rPr>
              <w:t>22</w:t>
            </w:r>
          </w:p>
        </w:tc>
        <w:tc>
          <w:tcPr>
            <w:tcW w:w="2136" w:type="dxa"/>
            <w:vAlign w:val="center"/>
          </w:tcPr>
          <w:p w14:paraId="11CDF431">
            <w:pPr>
              <w:spacing w:line="360" w:lineRule="auto"/>
              <w:jc w:val="left"/>
              <w:rPr>
                <w:rFonts w:hint="eastAsia" w:ascii="宋体" w:hAnsi="宋体"/>
                <w:kern w:val="24"/>
                <w:sz w:val="24"/>
                <w:szCs w:val="24"/>
              </w:rPr>
            </w:pPr>
            <w:r>
              <w:rPr>
                <w:rFonts w:hint="eastAsia" w:ascii="宋体" w:hAnsi="宋体"/>
                <w:kern w:val="24"/>
                <w:sz w:val="24"/>
                <w:szCs w:val="24"/>
              </w:rPr>
              <w:t>投标保证金</w:t>
            </w:r>
          </w:p>
        </w:tc>
        <w:tc>
          <w:tcPr>
            <w:tcW w:w="6506" w:type="dxa"/>
            <w:gridSpan w:val="2"/>
            <w:vAlign w:val="center"/>
          </w:tcPr>
          <w:p w14:paraId="251DC5C2">
            <w:pPr>
              <w:pStyle w:val="74"/>
              <w:spacing w:line="360" w:lineRule="auto"/>
              <w:jc w:val="left"/>
              <w:rPr>
                <w:rFonts w:hint="eastAsia" w:hAnsi="宋体" w:cs="Times New Roman"/>
                <w:kern w:val="24"/>
                <w:sz w:val="24"/>
                <w:szCs w:val="24"/>
              </w:rPr>
            </w:pPr>
            <w:r>
              <w:rPr>
                <w:rFonts w:hint="eastAsia" w:hAnsi="宋体" w:cs="Times New Roman"/>
                <w:kern w:val="24"/>
                <w:sz w:val="24"/>
                <w:szCs w:val="24"/>
              </w:rPr>
              <w:t>□不要求提供</w:t>
            </w:r>
          </w:p>
          <w:p w14:paraId="023861AC">
            <w:pPr>
              <w:pStyle w:val="74"/>
              <w:spacing w:line="360" w:lineRule="auto"/>
              <w:jc w:val="left"/>
              <w:rPr>
                <w:rFonts w:hint="eastAsia" w:hAnsi="宋体" w:cs="Times New Roman"/>
                <w:b/>
                <w:bCs/>
                <w:kern w:val="24"/>
                <w:sz w:val="24"/>
                <w:szCs w:val="24"/>
              </w:rPr>
            </w:pPr>
            <w:r>
              <w:rPr>
                <w:rFonts w:hint="eastAsia" w:hAnsi="宋体" w:cs="Times New Roman"/>
                <w:b/>
                <w:kern w:val="24"/>
                <w:sz w:val="24"/>
                <w:szCs w:val="24"/>
              </w:rPr>
              <w:sym w:font="Wingdings 2" w:char="0052"/>
            </w:r>
            <w:r>
              <w:rPr>
                <w:rFonts w:hint="eastAsia" w:hAnsi="宋体" w:cs="Times New Roman"/>
                <w:kern w:val="24"/>
                <w:sz w:val="24"/>
                <w:szCs w:val="24"/>
              </w:rPr>
              <w:t>要求提供，本项目的投标保证金为：</w:t>
            </w:r>
            <w:r>
              <w:rPr>
                <w:rFonts w:hint="eastAsia" w:hAnsi="宋体" w:cs="Times New Roman"/>
                <w:b/>
                <w:bCs/>
                <w:kern w:val="24"/>
                <w:sz w:val="24"/>
                <w:szCs w:val="24"/>
              </w:rPr>
              <w:t>人民币壹拾万元整。</w:t>
            </w:r>
          </w:p>
          <w:p w14:paraId="4807ADD2">
            <w:pPr>
              <w:pStyle w:val="74"/>
              <w:spacing w:line="360" w:lineRule="auto"/>
              <w:jc w:val="left"/>
              <w:rPr>
                <w:rFonts w:hint="eastAsia" w:hAnsi="宋体" w:cs="Times New Roman"/>
                <w:kern w:val="24"/>
                <w:sz w:val="24"/>
                <w:szCs w:val="24"/>
              </w:rPr>
            </w:pPr>
            <w:r>
              <w:rPr>
                <w:rFonts w:hint="eastAsia" w:hAnsi="宋体" w:cs="Times New Roman"/>
                <w:kern w:val="24"/>
                <w:sz w:val="24"/>
                <w:szCs w:val="24"/>
              </w:rPr>
              <w:t>缴纳投标保证金方式可采用以下任意一种：</w:t>
            </w:r>
          </w:p>
          <w:p w14:paraId="69A41CD1">
            <w:pPr>
              <w:pStyle w:val="74"/>
              <w:numPr>
                <w:ilvl w:val="0"/>
                <w:numId w:val="9"/>
              </w:numPr>
              <w:spacing w:line="360" w:lineRule="auto"/>
              <w:contextualSpacing/>
              <w:rPr>
                <w:rFonts w:hint="eastAsia" w:hAnsi="宋体" w:cs="Times New Roman"/>
                <w:kern w:val="24"/>
                <w:sz w:val="24"/>
                <w:szCs w:val="24"/>
              </w:rPr>
            </w:pPr>
            <w:bookmarkStart w:id="14" w:name="OLE_LINK39"/>
            <w:r>
              <w:rPr>
                <w:rFonts w:hint="eastAsia" w:hAnsi="宋体" w:cs="Times New Roman"/>
                <w:kern w:val="24"/>
                <w:sz w:val="24"/>
                <w:szCs w:val="24"/>
              </w:rPr>
              <w:t>采用网上银行方式的，请电汇至下述账户信息，并备注项目名称及项目编号。</w:t>
            </w:r>
          </w:p>
          <w:p w14:paraId="57F2725D">
            <w:pPr>
              <w:pStyle w:val="74"/>
              <w:spacing w:line="360" w:lineRule="auto"/>
              <w:ind w:left="120" w:firstLine="240" w:firstLineChars="100"/>
              <w:contextualSpacing/>
              <w:rPr>
                <w:rFonts w:ascii="Times New Roman" w:hAnsi="Times New Roman"/>
                <w:bCs/>
                <w:sz w:val="24"/>
                <w:szCs w:val="24"/>
              </w:rPr>
            </w:pPr>
            <w:r>
              <w:rPr>
                <w:rFonts w:hint="eastAsia" w:ascii="Times New Roman" w:hAnsi="Times New Roman"/>
                <w:bCs/>
                <w:sz w:val="24"/>
                <w:szCs w:val="24"/>
              </w:rPr>
              <w:t>开户名称：</w:t>
            </w:r>
            <w:bookmarkStart w:id="15" w:name="_Hlk137626208"/>
            <w:r>
              <w:rPr>
                <w:rFonts w:hint="eastAsia" w:ascii="Times New Roman" w:hAnsi="Times New Roman"/>
                <w:bCs/>
                <w:sz w:val="24"/>
                <w:szCs w:val="24"/>
              </w:rPr>
              <w:t>中信国际招标有限公司</w:t>
            </w:r>
          </w:p>
          <w:bookmarkEnd w:id="15"/>
          <w:p w14:paraId="0B1A3DF8">
            <w:pPr>
              <w:pStyle w:val="74"/>
              <w:spacing w:line="360" w:lineRule="auto"/>
              <w:ind w:firstLine="360" w:firstLineChars="150"/>
              <w:contextualSpacing/>
              <w:rPr>
                <w:rFonts w:ascii="Times New Roman" w:hAnsi="Times New Roman"/>
                <w:bCs/>
                <w:sz w:val="24"/>
                <w:szCs w:val="24"/>
              </w:rPr>
            </w:pPr>
            <w:r>
              <w:rPr>
                <w:rFonts w:hint="eastAsia" w:ascii="Times New Roman" w:hAnsi="Times New Roman"/>
                <w:bCs/>
                <w:sz w:val="24"/>
                <w:szCs w:val="24"/>
              </w:rPr>
              <w:t>开户行：中信银行北京京城大厦支行</w:t>
            </w:r>
          </w:p>
          <w:p w14:paraId="08C800F4">
            <w:pPr>
              <w:pStyle w:val="74"/>
              <w:spacing w:line="360" w:lineRule="auto"/>
              <w:ind w:firstLine="360" w:firstLineChars="150"/>
              <w:contextualSpacing/>
              <w:rPr>
                <w:rFonts w:ascii="Times New Roman" w:hAnsi="Times New Roman"/>
                <w:bCs/>
                <w:sz w:val="24"/>
                <w:szCs w:val="24"/>
              </w:rPr>
            </w:pPr>
            <w:r>
              <w:rPr>
                <w:rFonts w:hint="eastAsia" w:ascii="Times New Roman" w:hAnsi="Times New Roman"/>
                <w:bCs/>
                <w:sz w:val="24"/>
                <w:szCs w:val="24"/>
              </w:rPr>
              <w:t>账号：</w:t>
            </w:r>
            <w:bookmarkStart w:id="16" w:name="OLE_LINK41"/>
            <w:r>
              <w:rPr>
                <w:rFonts w:hint="eastAsia" w:ascii="Times New Roman" w:hAnsi="Times New Roman"/>
                <w:bCs/>
                <w:sz w:val="24"/>
                <w:szCs w:val="24"/>
              </w:rPr>
              <w:t>7110210182600030709</w:t>
            </w:r>
            <w:bookmarkEnd w:id="16"/>
          </w:p>
          <w:p w14:paraId="7BD94A68">
            <w:pPr>
              <w:pStyle w:val="74"/>
              <w:spacing w:line="360" w:lineRule="auto"/>
              <w:contextualSpacing/>
              <w:rPr>
                <w:rFonts w:ascii="Times New Roman" w:hAnsi="Times New Roman"/>
                <w:bCs/>
                <w:sz w:val="24"/>
                <w:szCs w:val="24"/>
              </w:rPr>
            </w:pPr>
            <w:r>
              <w:rPr>
                <w:rFonts w:hint="eastAsia" w:hAnsi="宋体" w:cs="Times New Roman"/>
                <w:kern w:val="24"/>
                <w:sz w:val="24"/>
                <w:szCs w:val="24"/>
              </w:rPr>
              <w:t>建议可将付款截图发送至邮箱chenyq@ck.citic.com。</w:t>
            </w:r>
          </w:p>
          <w:bookmarkEnd w:id="14"/>
          <w:p w14:paraId="5A0879B5">
            <w:pPr>
              <w:pStyle w:val="74"/>
              <w:spacing w:line="360" w:lineRule="auto"/>
              <w:jc w:val="left"/>
              <w:rPr>
                <w:rFonts w:hint="eastAsia" w:hAnsi="宋体" w:cs="Times New Roman"/>
                <w:kern w:val="24"/>
                <w:sz w:val="24"/>
                <w:szCs w:val="24"/>
              </w:rPr>
            </w:pPr>
            <w:r>
              <w:rPr>
                <w:rFonts w:hint="eastAsia" w:hAnsi="宋体" w:cs="Times New Roman"/>
                <w:kern w:val="24"/>
                <w:sz w:val="24"/>
                <w:szCs w:val="24"/>
              </w:rPr>
              <w:t>2）采用政府采购投标担保函等其它非现金形式的，投标人可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w:t>
            </w:r>
          </w:p>
          <w:p w14:paraId="1231ED66">
            <w:pPr>
              <w:pStyle w:val="74"/>
              <w:spacing w:line="360" w:lineRule="auto"/>
              <w:jc w:val="left"/>
              <w:rPr>
                <w:rFonts w:hint="eastAsia" w:hAnsi="宋体" w:cs="Times New Roman"/>
                <w:kern w:val="24"/>
                <w:sz w:val="24"/>
                <w:szCs w:val="24"/>
              </w:rPr>
            </w:pPr>
            <w:r>
              <w:rPr>
                <w:rFonts w:hint="eastAsia" w:hAnsi="宋体" w:cs="Times New Roman"/>
                <w:kern w:val="24"/>
                <w:sz w:val="24"/>
                <w:szCs w:val="24"/>
              </w:rPr>
              <w:t>投标保证金有效期与投标有效期一致。</w:t>
            </w:r>
          </w:p>
          <w:p w14:paraId="206D10F6">
            <w:pPr>
              <w:pStyle w:val="74"/>
              <w:spacing w:line="360" w:lineRule="auto"/>
              <w:jc w:val="left"/>
              <w:rPr>
                <w:rFonts w:hint="eastAsia" w:hAnsi="宋体" w:cs="Times New Roman"/>
                <w:kern w:val="24"/>
                <w:sz w:val="24"/>
                <w:szCs w:val="24"/>
              </w:rPr>
            </w:pPr>
            <w:r>
              <w:rPr>
                <w:rFonts w:hint="eastAsia" w:hAnsi="宋体" w:cs="Times New Roman"/>
                <w:kern w:val="24"/>
                <w:sz w:val="24"/>
                <w:szCs w:val="24"/>
              </w:rPr>
              <w:t>投标人在投标截止时间前未按照招标文件要求提交投标保证金的，其投标无效。</w:t>
            </w:r>
          </w:p>
        </w:tc>
      </w:tr>
      <w:tr w14:paraId="2B28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14:paraId="4610A153">
            <w:pPr>
              <w:spacing w:line="360" w:lineRule="auto"/>
              <w:jc w:val="center"/>
              <w:rPr>
                <w:rFonts w:hint="eastAsia" w:ascii="宋体" w:hAnsi="宋体"/>
                <w:kern w:val="24"/>
                <w:sz w:val="24"/>
                <w:szCs w:val="24"/>
              </w:rPr>
            </w:pPr>
          </w:p>
        </w:tc>
        <w:tc>
          <w:tcPr>
            <w:tcW w:w="2136" w:type="dxa"/>
            <w:vMerge w:val="restart"/>
            <w:vAlign w:val="center"/>
          </w:tcPr>
          <w:p w14:paraId="0709CAE4">
            <w:pPr>
              <w:spacing w:line="360" w:lineRule="auto"/>
              <w:jc w:val="left"/>
              <w:rPr>
                <w:rFonts w:hint="eastAsia" w:ascii="宋体" w:hAnsi="宋体"/>
                <w:kern w:val="24"/>
                <w:sz w:val="24"/>
                <w:szCs w:val="24"/>
              </w:rPr>
            </w:pPr>
            <w:r>
              <w:rPr>
                <w:rFonts w:hint="eastAsia" w:ascii="宋体" w:hAnsi="宋体"/>
                <w:kern w:val="24"/>
                <w:sz w:val="24"/>
                <w:szCs w:val="24"/>
              </w:rPr>
              <w:t>投标文件的组成（带*的文件及资料未提供或提供的无效，则投标无效。）</w:t>
            </w:r>
          </w:p>
        </w:tc>
        <w:tc>
          <w:tcPr>
            <w:tcW w:w="623" w:type="dxa"/>
            <w:vMerge w:val="restart"/>
            <w:vAlign w:val="center"/>
          </w:tcPr>
          <w:p w14:paraId="1DB94939">
            <w:pPr>
              <w:spacing w:line="360" w:lineRule="auto"/>
              <w:jc w:val="left"/>
              <w:rPr>
                <w:rFonts w:hint="eastAsia" w:ascii="宋体" w:hAnsi="宋体"/>
                <w:kern w:val="24"/>
                <w:sz w:val="24"/>
                <w:szCs w:val="24"/>
              </w:rPr>
            </w:pPr>
            <w:r>
              <w:rPr>
                <w:rFonts w:hint="eastAsia" w:ascii="宋体" w:hAnsi="宋体"/>
                <w:kern w:val="24"/>
                <w:sz w:val="24"/>
                <w:szCs w:val="24"/>
              </w:rPr>
              <w:t>商务部分</w:t>
            </w:r>
          </w:p>
        </w:tc>
        <w:tc>
          <w:tcPr>
            <w:tcW w:w="5883" w:type="dxa"/>
            <w:vAlign w:val="center"/>
          </w:tcPr>
          <w:p w14:paraId="683AD29E">
            <w:pPr>
              <w:spacing w:line="360" w:lineRule="auto"/>
              <w:jc w:val="left"/>
              <w:rPr>
                <w:rFonts w:hint="eastAsia" w:ascii="宋体" w:hAnsi="宋体"/>
                <w:b/>
                <w:bCs/>
                <w:sz w:val="24"/>
                <w:szCs w:val="24"/>
              </w:rPr>
            </w:pPr>
            <w:r>
              <w:rPr>
                <w:rFonts w:hint="eastAsia" w:ascii="宋体" w:hAnsi="宋体"/>
                <w:b/>
                <w:bCs/>
                <w:sz w:val="24"/>
                <w:szCs w:val="24"/>
              </w:rPr>
              <w:t>一、资格证明文件：</w:t>
            </w:r>
          </w:p>
          <w:p w14:paraId="33AED91B">
            <w:pPr>
              <w:numPr>
                <w:ilvl w:val="0"/>
                <w:numId w:val="10"/>
              </w:numPr>
              <w:spacing w:line="360" w:lineRule="auto"/>
              <w:ind w:left="480" w:hanging="480" w:hangingChars="200"/>
              <w:jc w:val="left"/>
              <w:rPr>
                <w:rFonts w:hint="eastAsia" w:ascii="宋体" w:hAnsi="宋体"/>
                <w:bCs/>
                <w:sz w:val="24"/>
                <w:szCs w:val="24"/>
              </w:rPr>
            </w:pPr>
            <w:r>
              <w:rPr>
                <w:rFonts w:hint="eastAsia" w:ascii="宋体" w:hAnsi="宋体"/>
                <w:bCs/>
                <w:sz w:val="24"/>
                <w:szCs w:val="24"/>
              </w:rPr>
              <w:t>*投标人应在中华人民共和国境内注册，向采购人提供货物和服务的法人、其他组织或者自然人</w:t>
            </w:r>
          </w:p>
          <w:p w14:paraId="55CBB540">
            <w:pPr>
              <w:spacing w:line="360" w:lineRule="auto"/>
              <w:ind w:left="480" w:hanging="480" w:hangingChars="200"/>
              <w:jc w:val="left"/>
              <w:rPr>
                <w:rFonts w:hint="eastAsia" w:ascii="宋体" w:hAnsi="宋体"/>
                <w:bCs/>
                <w:sz w:val="24"/>
                <w:szCs w:val="24"/>
              </w:rPr>
            </w:pPr>
            <w:r>
              <w:rPr>
                <w:rFonts w:hint="eastAsia" w:ascii="宋体" w:hAnsi="宋体"/>
                <w:bCs/>
                <w:sz w:val="24"/>
                <w:szCs w:val="24"/>
              </w:rPr>
              <w:t>注：a）若投标人为企业（包含合伙企业），应提供有效的营业执照（副本复印件加盖公章）</w:t>
            </w:r>
          </w:p>
          <w:p w14:paraId="02F54D4B">
            <w:pPr>
              <w:spacing w:line="360" w:lineRule="auto"/>
              <w:ind w:left="480" w:hanging="480" w:hangingChars="200"/>
              <w:jc w:val="left"/>
              <w:rPr>
                <w:rFonts w:hint="eastAsia" w:ascii="宋体" w:hAnsi="宋体"/>
                <w:bCs/>
                <w:sz w:val="24"/>
                <w:szCs w:val="24"/>
              </w:rPr>
            </w:pPr>
            <w:r>
              <w:rPr>
                <w:rFonts w:hint="eastAsia" w:ascii="宋体" w:hAnsi="宋体"/>
                <w:bCs/>
                <w:sz w:val="24"/>
                <w:szCs w:val="24"/>
              </w:rPr>
              <w:t>b）若投标人为事业单位，应提供有效的事业单位法人证书（副本复印件加盖公章）</w:t>
            </w:r>
          </w:p>
          <w:p w14:paraId="17A2DF16">
            <w:pPr>
              <w:spacing w:line="360" w:lineRule="auto"/>
              <w:ind w:left="480" w:hanging="480" w:hangingChars="200"/>
              <w:jc w:val="left"/>
              <w:rPr>
                <w:rFonts w:hint="eastAsia" w:ascii="宋体" w:hAnsi="宋体"/>
                <w:bCs/>
                <w:sz w:val="24"/>
                <w:szCs w:val="24"/>
              </w:rPr>
            </w:pPr>
            <w:r>
              <w:rPr>
                <w:rFonts w:hint="eastAsia" w:ascii="宋体" w:hAnsi="宋体"/>
                <w:bCs/>
                <w:sz w:val="24"/>
                <w:szCs w:val="24"/>
              </w:rPr>
              <w:t>c）若投标人为非企业专业服务机构，应提供有效的执业许可证（复印件加盖公章）</w:t>
            </w:r>
          </w:p>
          <w:p w14:paraId="5E55023E">
            <w:pPr>
              <w:spacing w:line="360" w:lineRule="auto"/>
              <w:ind w:left="480" w:hanging="480" w:hangingChars="200"/>
              <w:jc w:val="left"/>
              <w:rPr>
                <w:rFonts w:hint="eastAsia" w:ascii="宋体" w:hAnsi="宋体"/>
                <w:bCs/>
                <w:sz w:val="24"/>
                <w:szCs w:val="24"/>
              </w:rPr>
            </w:pPr>
            <w:r>
              <w:rPr>
                <w:rFonts w:hint="eastAsia" w:ascii="宋体" w:hAnsi="宋体"/>
                <w:bCs/>
                <w:sz w:val="24"/>
                <w:szCs w:val="24"/>
              </w:rPr>
              <w:t>d）若投标人是自然人的，应提供其有效的自然人身份证明（复印件）</w:t>
            </w:r>
          </w:p>
          <w:p w14:paraId="7E43FEA7">
            <w:pPr>
              <w:numPr>
                <w:ilvl w:val="0"/>
                <w:numId w:val="10"/>
              </w:numPr>
              <w:spacing w:line="360" w:lineRule="auto"/>
              <w:jc w:val="left"/>
              <w:rPr>
                <w:rFonts w:hint="eastAsia" w:ascii="宋体" w:hAnsi="宋体"/>
                <w:bCs/>
                <w:sz w:val="24"/>
                <w:szCs w:val="24"/>
              </w:rPr>
            </w:pPr>
            <w:r>
              <w:rPr>
                <w:rFonts w:ascii="宋体" w:hAnsi="宋体"/>
                <w:bCs/>
                <w:sz w:val="24"/>
                <w:szCs w:val="24"/>
              </w:rPr>
              <w:t>*投标人的资格声明</w:t>
            </w:r>
            <w:r>
              <w:rPr>
                <w:rFonts w:hint="eastAsia" w:ascii="宋体" w:hAnsi="宋体"/>
                <w:bCs/>
                <w:sz w:val="24"/>
                <w:szCs w:val="24"/>
              </w:rPr>
              <w:t>书</w:t>
            </w:r>
            <w:r>
              <w:rPr>
                <w:rFonts w:ascii="宋体" w:hAnsi="宋体"/>
                <w:bCs/>
                <w:sz w:val="24"/>
                <w:szCs w:val="24"/>
              </w:rPr>
              <w:t>（</w:t>
            </w:r>
            <w:r>
              <w:rPr>
                <w:rFonts w:hint="eastAsia" w:ascii="宋体" w:hAnsi="宋体"/>
                <w:sz w:val="24"/>
                <w:szCs w:val="24"/>
              </w:rPr>
              <w:t>实质性格式</w:t>
            </w:r>
            <w:r>
              <w:rPr>
                <w:rFonts w:ascii="宋体" w:hAnsi="宋体"/>
                <w:bCs/>
                <w:sz w:val="24"/>
                <w:szCs w:val="24"/>
              </w:rPr>
              <w:t>）</w:t>
            </w:r>
          </w:p>
          <w:p w14:paraId="118D4FB9">
            <w:pPr>
              <w:numPr>
                <w:ilvl w:val="0"/>
                <w:numId w:val="10"/>
              </w:numPr>
              <w:spacing w:line="360" w:lineRule="auto"/>
              <w:jc w:val="left"/>
              <w:rPr>
                <w:rFonts w:hint="eastAsia" w:ascii="宋体" w:hAnsi="宋体"/>
                <w:bCs/>
                <w:sz w:val="24"/>
                <w:szCs w:val="24"/>
              </w:rPr>
            </w:pPr>
            <w:r>
              <w:rPr>
                <w:rFonts w:hint="eastAsia" w:ascii="宋体" w:hAnsi="宋体"/>
                <w:sz w:val="24"/>
              </w:rPr>
              <w:t>*涉及医疗器械的产品须提供有效期内的中华人民共和国医疗器械注册证或备案凭证（复印件加盖公章）</w:t>
            </w:r>
          </w:p>
          <w:p w14:paraId="753813D7">
            <w:pPr>
              <w:numPr>
                <w:ilvl w:val="0"/>
                <w:numId w:val="10"/>
              </w:numPr>
              <w:spacing w:line="360" w:lineRule="auto"/>
              <w:jc w:val="left"/>
              <w:rPr>
                <w:rFonts w:hint="eastAsia" w:ascii="宋体" w:hAnsi="宋体"/>
                <w:bCs/>
                <w:sz w:val="24"/>
                <w:szCs w:val="24"/>
              </w:rPr>
            </w:pPr>
            <w:r>
              <w:rPr>
                <w:rFonts w:hint="eastAsia" w:ascii="宋体" w:hAnsi="宋体"/>
                <w:sz w:val="24"/>
                <w:szCs w:val="24"/>
              </w:rPr>
              <w:t>*投标人如为国内代理商须提供医疗器械经营许可证或备案凭证（一类产品除外）。</w:t>
            </w:r>
            <w:r>
              <w:rPr>
                <w:rFonts w:hint="eastAsia" w:ascii="宋体" w:hAnsi="宋体"/>
                <w:sz w:val="24"/>
              </w:rPr>
              <w:t>（复印件加盖公章）</w:t>
            </w:r>
          </w:p>
          <w:p w14:paraId="035E22AF">
            <w:pPr>
              <w:numPr>
                <w:ilvl w:val="0"/>
                <w:numId w:val="10"/>
              </w:numPr>
              <w:spacing w:line="360" w:lineRule="auto"/>
              <w:jc w:val="left"/>
              <w:rPr>
                <w:rFonts w:hint="eastAsia" w:ascii="宋体" w:hAnsi="宋体"/>
                <w:bCs/>
                <w:sz w:val="24"/>
                <w:szCs w:val="24"/>
              </w:rPr>
            </w:pPr>
            <w:r>
              <w:rPr>
                <w:rFonts w:hint="eastAsia" w:ascii="宋体" w:hAnsi="宋体"/>
                <w:sz w:val="24"/>
                <w:szCs w:val="24"/>
              </w:rPr>
              <w:t>*涉及国产医疗器械的产品，投标人如为制造商须提供医疗器械生产许可证或备案凭证。</w:t>
            </w:r>
            <w:bookmarkStart w:id="17" w:name="OLE_LINK30"/>
            <w:r>
              <w:rPr>
                <w:rFonts w:hint="eastAsia" w:ascii="宋体" w:hAnsi="宋体"/>
                <w:sz w:val="24"/>
              </w:rPr>
              <w:t>（复印件加盖公章）</w:t>
            </w:r>
            <w:bookmarkEnd w:id="17"/>
          </w:p>
          <w:p w14:paraId="4D65458D">
            <w:pPr>
              <w:numPr>
                <w:ilvl w:val="0"/>
                <w:numId w:val="10"/>
              </w:numPr>
              <w:spacing w:line="360" w:lineRule="auto"/>
              <w:jc w:val="left"/>
              <w:rPr>
                <w:rFonts w:hint="eastAsia" w:ascii="宋体" w:hAnsi="宋体"/>
                <w:bCs/>
                <w:sz w:val="24"/>
                <w:szCs w:val="24"/>
              </w:rPr>
            </w:pPr>
            <w:r>
              <w:rPr>
                <w:rFonts w:ascii="宋体" w:hAnsi="宋体"/>
                <w:bCs/>
                <w:sz w:val="24"/>
                <w:szCs w:val="24"/>
              </w:rPr>
              <w:t>*</w:t>
            </w:r>
            <w:r>
              <w:rPr>
                <w:rFonts w:hint="eastAsia" w:ascii="宋体" w:hAnsi="宋体"/>
                <w:bCs/>
                <w:sz w:val="24"/>
                <w:szCs w:val="24"/>
              </w:rPr>
              <w:t>投标人提供会计师事务所出具的2025年度财务审计报告或2025年5月1日之后银行提供的资信证明（</w:t>
            </w:r>
            <w:r>
              <w:rPr>
                <w:rFonts w:ascii="宋体" w:hAnsi="宋体"/>
                <w:bCs/>
                <w:sz w:val="24"/>
                <w:szCs w:val="24"/>
              </w:rPr>
              <w:t>不要求投标人针对本项目或</w:t>
            </w:r>
            <w:r>
              <w:rPr>
                <w:rFonts w:hint="eastAsia" w:ascii="宋体" w:hAnsi="宋体"/>
                <w:bCs/>
                <w:sz w:val="24"/>
                <w:szCs w:val="24"/>
              </w:rPr>
              <w:t>针对采购</w:t>
            </w:r>
            <w:r>
              <w:rPr>
                <w:rFonts w:ascii="宋体" w:hAnsi="宋体"/>
                <w:bCs/>
                <w:sz w:val="24"/>
                <w:szCs w:val="24"/>
              </w:rPr>
              <w:t>人及</w:t>
            </w:r>
            <w:r>
              <w:rPr>
                <w:rFonts w:hint="eastAsia" w:ascii="宋体" w:hAnsi="宋体"/>
                <w:bCs/>
                <w:sz w:val="24"/>
                <w:szCs w:val="24"/>
              </w:rPr>
              <w:t>采购</w:t>
            </w:r>
            <w:r>
              <w:rPr>
                <w:rFonts w:ascii="宋体" w:hAnsi="宋体"/>
                <w:bCs/>
                <w:sz w:val="24"/>
                <w:szCs w:val="24"/>
              </w:rPr>
              <w:t>代理机构专门开具银行资信证明，</w:t>
            </w:r>
            <w:r>
              <w:rPr>
                <w:rFonts w:hint="eastAsia" w:ascii="宋体" w:hAnsi="宋体"/>
                <w:bCs/>
                <w:sz w:val="24"/>
                <w:szCs w:val="24"/>
              </w:rPr>
              <w:t>可提供复印件）</w:t>
            </w:r>
          </w:p>
          <w:p w14:paraId="412A11FB">
            <w:pPr>
              <w:numPr>
                <w:ilvl w:val="0"/>
                <w:numId w:val="10"/>
              </w:numPr>
              <w:spacing w:line="360" w:lineRule="auto"/>
              <w:jc w:val="left"/>
              <w:rPr>
                <w:rFonts w:hint="eastAsia" w:ascii="宋体" w:hAnsi="宋体"/>
                <w:bCs/>
                <w:sz w:val="24"/>
                <w:szCs w:val="24"/>
              </w:rPr>
            </w:pPr>
            <w:r>
              <w:rPr>
                <w:rFonts w:ascii="宋体" w:hAnsi="宋体"/>
                <w:bCs/>
                <w:sz w:val="24"/>
                <w:szCs w:val="24"/>
              </w:rPr>
              <w:t>*依法缴纳税收和社会保障资金的良好记录（投标人须提供缴纳202</w:t>
            </w:r>
            <w:r>
              <w:rPr>
                <w:rFonts w:hint="eastAsia" w:ascii="宋体" w:hAnsi="宋体"/>
                <w:bCs/>
                <w:sz w:val="24"/>
                <w:szCs w:val="24"/>
              </w:rPr>
              <w:t>5</w:t>
            </w:r>
            <w:r>
              <w:rPr>
                <w:rFonts w:ascii="宋体" w:hAnsi="宋体"/>
                <w:bCs/>
                <w:sz w:val="24"/>
                <w:szCs w:val="24"/>
              </w:rPr>
              <w:t>年</w:t>
            </w:r>
            <w:r>
              <w:rPr>
                <w:rFonts w:hint="eastAsia" w:ascii="宋体" w:hAnsi="宋体"/>
                <w:bCs/>
                <w:sz w:val="24"/>
                <w:szCs w:val="24"/>
              </w:rPr>
              <w:t>10</w:t>
            </w:r>
            <w:r>
              <w:rPr>
                <w:rFonts w:ascii="宋体" w:hAnsi="宋体"/>
                <w:bCs/>
                <w:sz w:val="24"/>
                <w:szCs w:val="24"/>
              </w:rPr>
              <w:t>月至今任一月纳税</w:t>
            </w:r>
            <w:r>
              <w:rPr>
                <w:rFonts w:hint="eastAsia" w:ascii="宋体" w:hAnsi="宋体"/>
                <w:bCs/>
                <w:sz w:val="24"/>
                <w:szCs w:val="24"/>
              </w:rPr>
              <w:t>（不接受个人所得税及印花税）</w:t>
            </w:r>
            <w:r>
              <w:rPr>
                <w:rFonts w:ascii="宋体" w:hAnsi="宋体"/>
                <w:bCs/>
                <w:sz w:val="24"/>
                <w:szCs w:val="24"/>
              </w:rPr>
              <w:t>和社保的凭证复印件加盖公章）</w:t>
            </w:r>
            <w:r>
              <w:rPr>
                <w:rFonts w:hint="eastAsia" w:ascii="宋体" w:hAnsi="宋体"/>
                <w:bCs/>
                <w:sz w:val="24"/>
                <w:szCs w:val="24"/>
              </w:rPr>
              <w:t>，依法免税或不需要缴纳社会保障资金的投标人，应提供合理说明和相应文件证明其依法免税或不需要缴纳社会保障资金的情况。</w:t>
            </w:r>
          </w:p>
          <w:p w14:paraId="0600A945">
            <w:pPr>
              <w:numPr>
                <w:ilvl w:val="0"/>
                <w:numId w:val="10"/>
              </w:numPr>
              <w:spacing w:line="360" w:lineRule="auto"/>
              <w:jc w:val="left"/>
              <w:rPr>
                <w:rFonts w:hint="eastAsia" w:ascii="宋体" w:hAnsi="宋体"/>
                <w:bCs/>
                <w:sz w:val="24"/>
                <w:szCs w:val="24"/>
              </w:rPr>
            </w:pPr>
            <w:r>
              <w:rPr>
                <w:rFonts w:ascii="宋体" w:hAnsi="宋体"/>
                <w:bCs/>
                <w:sz w:val="24"/>
                <w:szCs w:val="24"/>
              </w:rPr>
              <w:t>*截至投标文件递交截止时间前，投标人不能是被列入“信用中国”网站(www.creditchina.gov.cn)失信被执行人、重大税收违法案件当事人名单、以及“中国政府采购网”网站（www.ccgp.gov.cn）政府采购严重违法失信行为记录名单中被禁止参加1-3年政府采购活动的投标人（处罚期限尚未届满的）（本项</w:t>
            </w:r>
            <w:r>
              <w:rPr>
                <w:rFonts w:hint="eastAsia" w:ascii="宋体" w:hAnsi="宋体"/>
                <w:bCs/>
                <w:sz w:val="24"/>
                <w:szCs w:val="24"/>
              </w:rPr>
              <w:t>无</w:t>
            </w:r>
            <w:r>
              <w:rPr>
                <w:rFonts w:ascii="宋体" w:hAnsi="宋体"/>
                <w:bCs/>
                <w:sz w:val="24"/>
                <w:szCs w:val="24"/>
              </w:rPr>
              <w:t>需提供证明文件，以</w:t>
            </w:r>
            <w:r>
              <w:rPr>
                <w:rFonts w:hint="eastAsia" w:ascii="宋体" w:hAnsi="宋体"/>
                <w:bCs/>
                <w:sz w:val="24"/>
                <w:szCs w:val="24"/>
              </w:rPr>
              <w:t>投标截止时间后</w:t>
            </w:r>
            <w:r>
              <w:rPr>
                <w:rFonts w:ascii="宋体" w:hAnsi="宋体"/>
                <w:bCs/>
                <w:sz w:val="24"/>
                <w:szCs w:val="24"/>
              </w:rPr>
              <w:t>采购人和采购代理机构网上查询结果为准，并由采购代理机构留存打印截图</w:t>
            </w:r>
            <w:r>
              <w:rPr>
                <w:rFonts w:hint="eastAsia" w:ascii="宋体" w:hAnsi="宋体"/>
                <w:bCs/>
                <w:sz w:val="24"/>
                <w:szCs w:val="24"/>
              </w:rPr>
              <w:t>）</w:t>
            </w:r>
          </w:p>
          <w:p w14:paraId="626A82CC">
            <w:pPr>
              <w:numPr>
                <w:ilvl w:val="0"/>
                <w:numId w:val="10"/>
              </w:numPr>
              <w:spacing w:line="360" w:lineRule="auto"/>
              <w:jc w:val="left"/>
              <w:rPr>
                <w:rFonts w:hint="eastAsia" w:ascii="宋体" w:hAnsi="宋体"/>
                <w:bCs/>
                <w:sz w:val="24"/>
                <w:szCs w:val="24"/>
              </w:rPr>
            </w:pPr>
            <w:r>
              <w:rPr>
                <w:rFonts w:hint="eastAsia" w:ascii="宋体" w:hAnsi="宋体"/>
                <w:bCs/>
                <w:sz w:val="24"/>
                <w:szCs w:val="24"/>
              </w:rPr>
              <w:t>*符合招标文件的投标保证金（以采购代理机构查询到账时间为准）</w:t>
            </w:r>
          </w:p>
        </w:tc>
      </w:tr>
      <w:tr w14:paraId="5D59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54250DE9">
            <w:pPr>
              <w:spacing w:line="360" w:lineRule="auto"/>
              <w:jc w:val="center"/>
              <w:rPr>
                <w:rFonts w:hint="eastAsia" w:ascii="宋体" w:hAnsi="宋体"/>
                <w:kern w:val="24"/>
                <w:sz w:val="24"/>
                <w:szCs w:val="24"/>
              </w:rPr>
            </w:pPr>
          </w:p>
        </w:tc>
        <w:tc>
          <w:tcPr>
            <w:tcW w:w="2136" w:type="dxa"/>
            <w:vMerge w:val="continue"/>
            <w:vAlign w:val="center"/>
          </w:tcPr>
          <w:p w14:paraId="2C93856D">
            <w:pPr>
              <w:spacing w:line="360" w:lineRule="auto"/>
              <w:jc w:val="left"/>
              <w:rPr>
                <w:rFonts w:hint="eastAsia" w:ascii="宋体" w:hAnsi="宋体"/>
                <w:kern w:val="24"/>
                <w:sz w:val="24"/>
                <w:szCs w:val="24"/>
              </w:rPr>
            </w:pPr>
          </w:p>
        </w:tc>
        <w:tc>
          <w:tcPr>
            <w:tcW w:w="623" w:type="dxa"/>
            <w:vMerge w:val="continue"/>
            <w:vAlign w:val="center"/>
          </w:tcPr>
          <w:p w14:paraId="32728203">
            <w:pPr>
              <w:spacing w:line="360" w:lineRule="auto"/>
              <w:jc w:val="left"/>
              <w:rPr>
                <w:rFonts w:hint="eastAsia" w:ascii="宋体" w:hAnsi="宋体"/>
                <w:kern w:val="24"/>
                <w:sz w:val="24"/>
                <w:szCs w:val="24"/>
              </w:rPr>
            </w:pPr>
          </w:p>
        </w:tc>
        <w:tc>
          <w:tcPr>
            <w:tcW w:w="5883" w:type="dxa"/>
            <w:vAlign w:val="center"/>
          </w:tcPr>
          <w:p w14:paraId="6DF277A4">
            <w:pPr>
              <w:widowControl/>
              <w:shd w:val="clear" w:color="auto" w:fill="FFFFFF"/>
              <w:tabs>
                <w:tab w:val="left" w:pos="475"/>
                <w:tab w:val="left" w:pos="617"/>
              </w:tabs>
              <w:adjustRightInd w:val="0"/>
              <w:snapToGrid w:val="0"/>
              <w:spacing w:line="360" w:lineRule="auto"/>
              <w:jc w:val="left"/>
              <w:rPr>
                <w:rFonts w:hint="eastAsia" w:ascii="宋体" w:hAnsi="宋体"/>
                <w:sz w:val="24"/>
                <w:szCs w:val="24"/>
              </w:rPr>
            </w:pPr>
            <w:r>
              <w:rPr>
                <w:rFonts w:hint="eastAsia" w:ascii="宋体" w:hAnsi="宋体"/>
                <w:b/>
                <w:bCs/>
                <w:sz w:val="24"/>
                <w:szCs w:val="24"/>
              </w:rPr>
              <w:t>二</w:t>
            </w:r>
            <w:r>
              <w:rPr>
                <w:rFonts w:ascii="宋体" w:hAnsi="宋体"/>
                <w:b/>
                <w:bCs/>
                <w:sz w:val="24"/>
                <w:szCs w:val="24"/>
              </w:rPr>
              <w:t>、</w:t>
            </w:r>
            <w:r>
              <w:rPr>
                <w:rFonts w:hint="eastAsia" w:ascii="宋体" w:hAnsi="宋体"/>
                <w:b/>
                <w:bCs/>
                <w:sz w:val="24"/>
                <w:szCs w:val="24"/>
              </w:rPr>
              <w:t>符合性证明文件</w:t>
            </w:r>
            <w:r>
              <w:rPr>
                <w:rFonts w:ascii="宋体" w:hAnsi="宋体"/>
                <w:b/>
                <w:bCs/>
                <w:sz w:val="24"/>
                <w:szCs w:val="24"/>
              </w:rPr>
              <w:t>：</w:t>
            </w:r>
          </w:p>
          <w:p w14:paraId="09E4C485">
            <w:pPr>
              <w:numPr>
                <w:ilvl w:val="0"/>
                <w:numId w:val="11"/>
              </w:numPr>
              <w:spacing w:line="360" w:lineRule="auto"/>
              <w:jc w:val="left"/>
              <w:rPr>
                <w:rFonts w:hint="eastAsia" w:ascii="宋体" w:hAnsi="宋体"/>
                <w:sz w:val="24"/>
                <w:szCs w:val="24"/>
              </w:rPr>
            </w:pPr>
            <w:r>
              <w:rPr>
                <w:rFonts w:hint="eastAsia" w:ascii="宋体" w:hAnsi="宋体"/>
                <w:sz w:val="24"/>
                <w:szCs w:val="24"/>
              </w:rPr>
              <w:t>*法定代表人授权委托书（实质性格式）</w:t>
            </w:r>
          </w:p>
          <w:p w14:paraId="2853D233">
            <w:pPr>
              <w:numPr>
                <w:ilvl w:val="0"/>
                <w:numId w:val="11"/>
              </w:numPr>
              <w:spacing w:line="360" w:lineRule="auto"/>
              <w:jc w:val="left"/>
              <w:rPr>
                <w:rFonts w:hint="eastAsia" w:ascii="宋体" w:hAnsi="宋体"/>
                <w:sz w:val="24"/>
                <w:szCs w:val="24"/>
              </w:rPr>
            </w:pPr>
            <w:r>
              <w:rPr>
                <w:rFonts w:hint="eastAsia" w:ascii="宋体" w:hAnsi="宋体"/>
                <w:sz w:val="24"/>
                <w:szCs w:val="24"/>
              </w:rPr>
              <w:t>*投标函（实质性格式）</w:t>
            </w:r>
          </w:p>
          <w:p w14:paraId="32B3A4A0">
            <w:pPr>
              <w:numPr>
                <w:ilvl w:val="0"/>
                <w:numId w:val="11"/>
              </w:numPr>
              <w:spacing w:line="360" w:lineRule="auto"/>
              <w:jc w:val="left"/>
              <w:rPr>
                <w:rFonts w:hint="eastAsia" w:ascii="宋体" w:hAnsi="宋体"/>
                <w:sz w:val="24"/>
                <w:szCs w:val="24"/>
              </w:rPr>
            </w:pPr>
            <w:r>
              <w:rPr>
                <w:rFonts w:hint="eastAsia" w:ascii="宋体" w:hAnsi="宋体"/>
                <w:sz w:val="24"/>
                <w:szCs w:val="24"/>
              </w:rPr>
              <w:t>*开标一览表（实质性格式）</w:t>
            </w:r>
          </w:p>
          <w:p w14:paraId="30BF6D83">
            <w:pPr>
              <w:numPr>
                <w:ilvl w:val="0"/>
                <w:numId w:val="11"/>
              </w:numPr>
              <w:spacing w:line="360" w:lineRule="auto"/>
              <w:jc w:val="left"/>
              <w:rPr>
                <w:rFonts w:hint="eastAsia" w:ascii="宋体" w:hAnsi="宋体"/>
                <w:sz w:val="24"/>
                <w:szCs w:val="24"/>
              </w:rPr>
            </w:pPr>
            <w:r>
              <w:rPr>
                <w:rFonts w:hint="eastAsia" w:ascii="宋体" w:hAnsi="宋体"/>
                <w:sz w:val="24"/>
                <w:szCs w:val="24"/>
              </w:rPr>
              <w:t>*投标分项报价表（实质性格式）</w:t>
            </w:r>
          </w:p>
          <w:p w14:paraId="3AD8F6D5">
            <w:pPr>
              <w:numPr>
                <w:ilvl w:val="0"/>
                <w:numId w:val="11"/>
              </w:numPr>
              <w:spacing w:line="360" w:lineRule="auto"/>
              <w:jc w:val="left"/>
              <w:rPr>
                <w:rFonts w:hint="eastAsia" w:ascii="宋体" w:hAnsi="宋体"/>
                <w:sz w:val="24"/>
                <w:szCs w:val="24"/>
              </w:rPr>
            </w:pPr>
            <w:r>
              <w:rPr>
                <w:rFonts w:hint="eastAsia" w:ascii="宋体" w:hAnsi="宋体"/>
                <w:sz w:val="24"/>
                <w:szCs w:val="24"/>
              </w:rPr>
              <w:t>*采购代理服务费承诺书（实质性格式）</w:t>
            </w:r>
          </w:p>
          <w:p w14:paraId="308224B8">
            <w:pPr>
              <w:numPr>
                <w:ilvl w:val="0"/>
                <w:numId w:val="11"/>
              </w:numPr>
              <w:spacing w:line="360" w:lineRule="auto"/>
              <w:jc w:val="left"/>
              <w:rPr>
                <w:rFonts w:hint="eastAsia" w:ascii="宋体" w:hAnsi="宋体"/>
                <w:sz w:val="24"/>
                <w:szCs w:val="24"/>
              </w:rPr>
            </w:pPr>
            <w:r>
              <w:rPr>
                <w:rFonts w:hint="eastAsia" w:ascii="宋体" w:hAnsi="宋体"/>
                <w:sz w:val="24"/>
                <w:szCs w:val="24"/>
              </w:rPr>
              <w:t>*商务条款偏离表（实质性格式）</w:t>
            </w:r>
          </w:p>
          <w:p w14:paraId="0BC76A6F">
            <w:pPr>
              <w:numPr>
                <w:ilvl w:val="0"/>
                <w:numId w:val="11"/>
              </w:numPr>
              <w:spacing w:line="360" w:lineRule="auto"/>
              <w:jc w:val="left"/>
              <w:rPr>
                <w:rFonts w:hint="eastAsia" w:ascii="宋体" w:hAnsi="宋体"/>
                <w:sz w:val="24"/>
                <w:szCs w:val="24"/>
              </w:rPr>
            </w:pPr>
            <w:r>
              <w:rPr>
                <w:rFonts w:hint="eastAsia" w:ascii="宋体" w:hAnsi="宋体"/>
                <w:sz w:val="24"/>
                <w:szCs w:val="24"/>
              </w:rPr>
              <w:t>*招标文件要求的其他实质性内容</w:t>
            </w:r>
          </w:p>
          <w:p w14:paraId="7C4AD1A7">
            <w:pPr>
              <w:numPr>
                <w:ilvl w:val="0"/>
                <w:numId w:val="11"/>
              </w:numPr>
              <w:spacing w:line="360" w:lineRule="auto"/>
              <w:jc w:val="left"/>
              <w:rPr>
                <w:rFonts w:hint="eastAsia" w:ascii="宋体" w:hAnsi="宋体"/>
                <w:sz w:val="24"/>
                <w:szCs w:val="24"/>
              </w:rPr>
            </w:pPr>
            <w:r>
              <w:rPr>
                <w:rFonts w:ascii="宋体" w:hAnsi="宋体"/>
                <w:kern w:val="24"/>
                <w:sz w:val="24"/>
                <w:szCs w:val="24"/>
              </w:rPr>
              <w:t>投标人认为需要提供的其它说明和资料</w:t>
            </w:r>
            <w:r>
              <w:rPr>
                <w:rFonts w:hint="eastAsia" w:ascii="宋体" w:hAnsi="宋体"/>
                <w:kern w:val="24"/>
                <w:sz w:val="24"/>
                <w:szCs w:val="24"/>
              </w:rPr>
              <w:t>。</w:t>
            </w:r>
          </w:p>
        </w:tc>
      </w:tr>
      <w:tr w14:paraId="4AB7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5E4F6ACC">
            <w:pPr>
              <w:spacing w:line="360" w:lineRule="auto"/>
              <w:jc w:val="center"/>
              <w:rPr>
                <w:rFonts w:hint="eastAsia" w:ascii="宋体" w:hAnsi="宋体"/>
                <w:kern w:val="24"/>
                <w:sz w:val="24"/>
                <w:szCs w:val="24"/>
              </w:rPr>
            </w:pPr>
          </w:p>
        </w:tc>
        <w:tc>
          <w:tcPr>
            <w:tcW w:w="2136" w:type="dxa"/>
            <w:vMerge w:val="continue"/>
            <w:vAlign w:val="center"/>
          </w:tcPr>
          <w:p w14:paraId="27C0E9FB">
            <w:pPr>
              <w:spacing w:line="360" w:lineRule="auto"/>
              <w:jc w:val="left"/>
              <w:rPr>
                <w:rFonts w:hint="eastAsia" w:ascii="宋体" w:hAnsi="宋体"/>
                <w:kern w:val="24"/>
                <w:sz w:val="24"/>
                <w:szCs w:val="24"/>
              </w:rPr>
            </w:pPr>
          </w:p>
        </w:tc>
        <w:tc>
          <w:tcPr>
            <w:tcW w:w="623" w:type="dxa"/>
            <w:vAlign w:val="center"/>
          </w:tcPr>
          <w:p w14:paraId="2EDCFBCE">
            <w:pPr>
              <w:spacing w:line="360" w:lineRule="auto"/>
              <w:jc w:val="left"/>
              <w:rPr>
                <w:rFonts w:hint="eastAsia" w:ascii="宋体" w:hAnsi="宋体"/>
                <w:kern w:val="24"/>
                <w:sz w:val="24"/>
                <w:szCs w:val="24"/>
              </w:rPr>
            </w:pPr>
            <w:r>
              <w:rPr>
                <w:rFonts w:hint="eastAsia" w:ascii="宋体" w:hAnsi="宋体"/>
                <w:kern w:val="24"/>
                <w:sz w:val="24"/>
                <w:szCs w:val="24"/>
              </w:rPr>
              <w:t>技术部分</w:t>
            </w:r>
          </w:p>
        </w:tc>
        <w:tc>
          <w:tcPr>
            <w:tcW w:w="5883" w:type="dxa"/>
            <w:vAlign w:val="center"/>
          </w:tcPr>
          <w:p w14:paraId="6EB4DB76">
            <w:pPr>
              <w:widowControl/>
              <w:tabs>
                <w:tab w:val="left" w:pos="0"/>
                <w:tab w:val="left" w:pos="420"/>
              </w:tabs>
              <w:adjustRightInd w:val="0"/>
              <w:snapToGrid w:val="0"/>
              <w:spacing w:line="360" w:lineRule="auto"/>
              <w:jc w:val="left"/>
              <w:rPr>
                <w:rFonts w:hint="eastAsia" w:ascii="宋体" w:hAnsi="宋体"/>
                <w:kern w:val="24"/>
                <w:sz w:val="24"/>
                <w:szCs w:val="24"/>
              </w:rPr>
            </w:pPr>
            <w:r>
              <w:rPr>
                <w:rFonts w:hint="eastAsia" w:ascii="宋体" w:hAnsi="宋体"/>
                <w:sz w:val="24"/>
                <w:szCs w:val="24"/>
              </w:rPr>
              <w:t>*</w:t>
            </w:r>
            <w:r>
              <w:rPr>
                <w:rFonts w:hint="eastAsia" w:ascii="宋体" w:hAnsi="宋体"/>
                <w:kern w:val="24"/>
                <w:sz w:val="24"/>
                <w:szCs w:val="24"/>
              </w:rPr>
              <w:t>1.技术条款偏离表</w:t>
            </w:r>
            <w:r>
              <w:rPr>
                <w:rFonts w:hint="eastAsia" w:ascii="宋体" w:hAnsi="宋体"/>
                <w:sz w:val="24"/>
                <w:szCs w:val="24"/>
              </w:rPr>
              <w:t>（实质性格式）</w:t>
            </w:r>
          </w:p>
          <w:p w14:paraId="2B541E9A">
            <w:pPr>
              <w:widowControl/>
              <w:tabs>
                <w:tab w:val="left" w:pos="0"/>
                <w:tab w:val="left" w:pos="420"/>
              </w:tabs>
              <w:adjustRightInd w:val="0"/>
              <w:snapToGrid w:val="0"/>
              <w:spacing w:line="360" w:lineRule="auto"/>
              <w:jc w:val="left"/>
              <w:rPr>
                <w:rFonts w:hint="eastAsia" w:ascii="宋体" w:hAnsi="宋体"/>
                <w:kern w:val="24"/>
                <w:sz w:val="24"/>
                <w:szCs w:val="24"/>
              </w:rPr>
            </w:pPr>
            <w:r>
              <w:rPr>
                <w:rFonts w:hint="eastAsia" w:ascii="宋体" w:hAnsi="宋体"/>
                <w:kern w:val="24"/>
                <w:sz w:val="24"/>
                <w:szCs w:val="24"/>
              </w:rPr>
              <w:t>2.投标人根据招标文件评标方法及标准提供的资料及方案</w:t>
            </w:r>
          </w:p>
          <w:p w14:paraId="5526C09A">
            <w:pPr>
              <w:widowControl/>
              <w:tabs>
                <w:tab w:val="left" w:pos="0"/>
                <w:tab w:val="left" w:pos="420"/>
              </w:tabs>
              <w:adjustRightInd w:val="0"/>
              <w:snapToGrid w:val="0"/>
              <w:spacing w:line="360" w:lineRule="auto"/>
              <w:jc w:val="left"/>
              <w:rPr>
                <w:rFonts w:hint="eastAsia" w:ascii="宋体" w:hAnsi="宋体"/>
                <w:sz w:val="24"/>
                <w:szCs w:val="24"/>
              </w:rPr>
            </w:pPr>
            <w:r>
              <w:rPr>
                <w:rFonts w:hint="eastAsia" w:ascii="宋体" w:hAnsi="宋体"/>
                <w:kern w:val="24"/>
                <w:sz w:val="24"/>
                <w:szCs w:val="24"/>
              </w:rPr>
              <w:t>3.投</w:t>
            </w:r>
            <w:r>
              <w:rPr>
                <w:rFonts w:ascii="宋体" w:hAnsi="宋体"/>
                <w:kern w:val="24"/>
                <w:sz w:val="24"/>
                <w:szCs w:val="24"/>
              </w:rPr>
              <w:t>标人认为需要提供的其它说明和资料</w:t>
            </w:r>
            <w:r>
              <w:rPr>
                <w:rFonts w:hint="eastAsia" w:ascii="宋体" w:hAnsi="宋体"/>
                <w:kern w:val="24"/>
                <w:sz w:val="24"/>
                <w:szCs w:val="24"/>
              </w:rPr>
              <w:t>。</w:t>
            </w:r>
          </w:p>
        </w:tc>
      </w:tr>
      <w:tr w14:paraId="4B30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53956AF">
            <w:pPr>
              <w:spacing w:line="360" w:lineRule="auto"/>
              <w:jc w:val="center"/>
              <w:rPr>
                <w:rFonts w:hint="eastAsia" w:ascii="宋体" w:hAnsi="宋体"/>
                <w:kern w:val="24"/>
                <w:sz w:val="24"/>
                <w:szCs w:val="24"/>
              </w:rPr>
            </w:pPr>
            <w:r>
              <w:rPr>
                <w:rFonts w:hint="eastAsia" w:ascii="宋体" w:hAnsi="宋体"/>
                <w:kern w:val="24"/>
                <w:sz w:val="24"/>
                <w:szCs w:val="24"/>
              </w:rPr>
              <w:t>24</w:t>
            </w:r>
          </w:p>
        </w:tc>
        <w:tc>
          <w:tcPr>
            <w:tcW w:w="2136" w:type="dxa"/>
            <w:vAlign w:val="center"/>
          </w:tcPr>
          <w:p w14:paraId="03BF329F">
            <w:pPr>
              <w:spacing w:line="360" w:lineRule="auto"/>
              <w:jc w:val="left"/>
              <w:rPr>
                <w:rFonts w:hint="eastAsia" w:ascii="宋体" w:hAnsi="宋体"/>
                <w:kern w:val="24"/>
                <w:sz w:val="24"/>
                <w:szCs w:val="24"/>
              </w:rPr>
            </w:pPr>
            <w:r>
              <w:rPr>
                <w:rFonts w:hint="eastAsia" w:ascii="宋体" w:hAnsi="宋体"/>
                <w:kern w:val="24"/>
                <w:sz w:val="24"/>
                <w:szCs w:val="24"/>
              </w:rPr>
              <w:t>投标有效期</w:t>
            </w:r>
          </w:p>
        </w:tc>
        <w:tc>
          <w:tcPr>
            <w:tcW w:w="6506" w:type="dxa"/>
            <w:gridSpan w:val="2"/>
            <w:vAlign w:val="center"/>
          </w:tcPr>
          <w:p w14:paraId="5905B655">
            <w:pPr>
              <w:pStyle w:val="74"/>
              <w:spacing w:line="360" w:lineRule="auto"/>
              <w:jc w:val="left"/>
              <w:rPr>
                <w:rFonts w:hint="eastAsia" w:hAnsi="宋体" w:cs="Times New Roman"/>
                <w:kern w:val="24"/>
                <w:sz w:val="24"/>
                <w:szCs w:val="24"/>
              </w:rPr>
            </w:pPr>
            <w:r>
              <w:rPr>
                <w:rFonts w:hint="eastAsia" w:hAnsi="宋体" w:cs="Times New Roman"/>
                <w:kern w:val="24"/>
                <w:sz w:val="24"/>
                <w:szCs w:val="24"/>
              </w:rPr>
              <w:t>自提交投标文件截止时间起90日</w:t>
            </w:r>
            <w:r>
              <w:rPr>
                <w:rFonts w:hAnsi="宋体" w:cs="Times New Roman"/>
                <w:kern w:val="24"/>
                <w:sz w:val="24"/>
                <w:szCs w:val="24"/>
              </w:rPr>
              <w:t>(</w:t>
            </w:r>
            <w:r>
              <w:rPr>
                <w:rFonts w:hint="eastAsia" w:hAnsi="宋体" w:cs="Times New Roman"/>
                <w:kern w:val="24"/>
                <w:sz w:val="24"/>
                <w:szCs w:val="24"/>
              </w:rPr>
              <w:t>日历日</w:t>
            </w:r>
            <w:r>
              <w:rPr>
                <w:rFonts w:hAnsi="宋体" w:cs="Times New Roman"/>
                <w:kern w:val="24"/>
                <w:sz w:val="24"/>
                <w:szCs w:val="24"/>
              </w:rPr>
              <w:t>)</w:t>
            </w:r>
          </w:p>
        </w:tc>
      </w:tr>
      <w:tr w14:paraId="320C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75DDF56">
            <w:pPr>
              <w:spacing w:line="360" w:lineRule="auto"/>
              <w:jc w:val="center"/>
              <w:rPr>
                <w:rFonts w:hint="eastAsia" w:ascii="宋体" w:hAnsi="宋体"/>
                <w:kern w:val="24"/>
                <w:sz w:val="24"/>
                <w:szCs w:val="24"/>
              </w:rPr>
            </w:pPr>
            <w:r>
              <w:rPr>
                <w:rFonts w:hint="eastAsia" w:ascii="宋体" w:hAnsi="宋体"/>
                <w:kern w:val="24"/>
                <w:sz w:val="24"/>
                <w:szCs w:val="24"/>
              </w:rPr>
              <w:t>25</w:t>
            </w:r>
          </w:p>
        </w:tc>
        <w:tc>
          <w:tcPr>
            <w:tcW w:w="2136" w:type="dxa"/>
            <w:vAlign w:val="center"/>
          </w:tcPr>
          <w:p w14:paraId="574DA794">
            <w:pPr>
              <w:spacing w:line="360" w:lineRule="auto"/>
              <w:jc w:val="left"/>
              <w:rPr>
                <w:rFonts w:hint="eastAsia" w:ascii="宋体" w:hAnsi="宋体"/>
                <w:kern w:val="24"/>
                <w:sz w:val="24"/>
                <w:szCs w:val="24"/>
              </w:rPr>
            </w:pPr>
            <w:r>
              <w:rPr>
                <w:rFonts w:hint="eastAsia" w:ascii="宋体" w:hAnsi="宋体"/>
                <w:kern w:val="24"/>
                <w:sz w:val="24"/>
                <w:szCs w:val="24"/>
              </w:rPr>
              <w:t>投标文件递交</w:t>
            </w:r>
          </w:p>
        </w:tc>
        <w:tc>
          <w:tcPr>
            <w:tcW w:w="6506" w:type="dxa"/>
            <w:gridSpan w:val="2"/>
            <w:vAlign w:val="center"/>
          </w:tcPr>
          <w:p w14:paraId="5922C197">
            <w:pPr>
              <w:spacing w:line="360" w:lineRule="auto"/>
              <w:contextualSpacing/>
              <w:jc w:val="left"/>
              <w:rPr>
                <w:rFonts w:hint="eastAsia" w:ascii="宋体" w:hAnsi="宋体"/>
                <w:b/>
                <w:sz w:val="24"/>
                <w:szCs w:val="24"/>
              </w:rPr>
            </w:pPr>
            <w:r>
              <w:rPr>
                <w:rFonts w:hint="eastAsia" w:ascii="宋体" w:hAnsi="宋体"/>
                <w:b/>
                <w:sz w:val="24"/>
                <w:szCs w:val="24"/>
              </w:rPr>
              <w:t>1．本项目采用不见面开标、投标人需要递交电子投标文件，加密的电子投标文件，在投标截止时间前通过新疆政府采购云平台：https://www.zcygov.cn/上传到指定位置。无需递交纸质文件。</w:t>
            </w:r>
          </w:p>
          <w:p w14:paraId="25699C1E">
            <w:pPr>
              <w:spacing w:line="360" w:lineRule="auto"/>
              <w:contextualSpacing/>
              <w:jc w:val="left"/>
              <w:rPr>
                <w:rFonts w:hint="eastAsia" w:ascii="宋体" w:hAnsi="宋体"/>
                <w:b/>
                <w:sz w:val="24"/>
                <w:szCs w:val="24"/>
              </w:rPr>
            </w:pPr>
            <w:r>
              <w:rPr>
                <w:rFonts w:hint="eastAsia" w:ascii="宋体" w:hAnsi="宋体"/>
                <w:b/>
                <w:sz w:val="24"/>
                <w:szCs w:val="24"/>
              </w:rPr>
              <w:t>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5F96F1B4">
            <w:pPr>
              <w:pStyle w:val="74"/>
              <w:spacing w:line="360" w:lineRule="auto"/>
              <w:jc w:val="left"/>
              <w:rPr>
                <w:rFonts w:hint="eastAsia" w:hAnsi="宋体" w:cs="Times New Roman"/>
                <w:b/>
                <w:sz w:val="24"/>
                <w:szCs w:val="24"/>
              </w:rPr>
            </w:pPr>
            <w:r>
              <w:rPr>
                <w:rFonts w:hint="eastAsia" w:hAnsi="宋体" w:cs="Times New Roman"/>
                <w:b/>
                <w:sz w:val="24"/>
                <w:szCs w:val="24"/>
              </w:rPr>
              <w:t>3.远程开标前，投标人务必在新疆政府采购云平台：https://www.zcygov.cn/投标文件上传模块中使用“模拟解密”功能，验证本机远程自助解密环境。</w:t>
            </w:r>
          </w:p>
          <w:p w14:paraId="3CC3792E">
            <w:pPr>
              <w:pStyle w:val="74"/>
              <w:spacing w:line="360" w:lineRule="auto"/>
              <w:jc w:val="left"/>
              <w:rPr>
                <w:rFonts w:hint="eastAsia" w:hAnsi="宋体" w:cs="Times New Roman"/>
                <w:b/>
                <w:sz w:val="24"/>
                <w:szCs w:val="24"/>
              </w:rPr>
            </w:pPr>
            <w:r>
              <w:rPr>
                <w:rFonts w:hint="eastAsia" w:hAnsi="宋体" w:cs="Times New Roman"/>
                <w:b/>
                <w:sz w:val="24"/>
                <w:szCs w:val="24"/>
              </w:rPr>
              <w:t>4.解密时长：30分钟，签名时长：15分钟。</w:t>
            </w:r>
          </w:p>
        </w:tc>
      </w:tr>
      <w:tr w14:paraId="548D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DE367CA">
            <w:pPr>
              <w:spacing w:line="360" w:lineRule="auto"/>
              <w:jc w:val="center"/>
              <w:rPr>
                <w:rFonts w:hint="eastAsia" w:ascii="宋体" w:hAnsi="宋体"/>
                <w:kern w:val="24"/>
                <w:sz w:val="24"/>
                <w:szCs w:val="24"/>
              </w:rPr>
            </w:pPr>
            <w:r>
              <w:rPr>
                <w:rFonts w:hint="eastAsia" w:ascii="宋体" w:hAnsi="宋体"/>
                <w:kern w:val="24"/>
                <w:sz w:val="24"/>
                <w:szCs w:val="24"/>
              </w:rPr>
              <w:t>26</w:t>
            </w:r>
          </w:p>
        </w:tc>
        <w:tc>
          <w:tcPr>
            <w:tcW w:w="2136" w:type="dxa"/>
            <w:vAlign w:val="center"/>
          </w:tcPr>
          <w:p w14:paraId="08118847">
            <w:pPr>
              <w:spacing w:line="360" w:lineRule="auto"/>
              <w:jc w:val="left"/>
              <w:rPr>
                <w:rFonts w:hint="eastAsia" w:ascii="宋体" w:hAnsi="宋体"/>
                <w:kern w:val="24"/>
                <w:sz w:val="24"/>
                <w:szCs w:val="24"/>
              </w:rPr>
            </w:pPr>
            <w:r>
              <w:rPr>
                <w:rFonts w:ascii="宋体" w:hAnsi="宋体"/>
                <w:sz w:val="24"/>
                <w:szCs w:val="24"/>
              </w:rPr>
              <w:t>投标报价</w:t>
            </w:r>
            <w:r>
              <w:rPr>
                <w:rFonts w:hint="eastAsia" w:ascii="宋体" w:hAnsi="宋体"/>
                <w:sz w:val="24"/>
                <w:szCs w:val="24"/>
              </w:rPr>
              <w:t>要求</w:t>
            </w:r>
          </w:p>
        </w:tc>
        <w:tc>
          <w:tcPr>
            <w:tcW w:w="6506" w:type="dxa"/>
            <w:gridSpan w:val="2"/>
            <w:vAlign w:val="center"/>
          </w:tcPr>
          <w:p w14:paraId="23A5C1BE">
            <w:pPr>
              <w:pStyle w:val="74"/>
              <w:numPr>
                <w:ilvl w:val="0"/>
                <w:numId w:val="12"/>
              </w:numPr>
              <w:spacing w:line="360" w:lineRule="auto"/>
              <w:jc w:val="left"/>
              <w:rPr>
                <w:rFonts w:hint="eastAsia" w:hAnsi="宋体"/>
                <w:sz w:val="24"/>
                <w:szCs w:val="24"/>
              </w:rPr>
            </w:pPr>
            <w:r>
              <w:rPr>
                <w:rFonts w:hint="eastAsia" w:hAnsi="宋体"/>
                <w:sz w:val="24"/>
                <w:szCs w:val="24"/>
              </w:rPr>
              <w:t>货运到采购人现场的人民币价格，包含货物价及货物运至最终目的地的内陆运输、全部各种税费、保险费和其他当地发生的伴随费用（即如运输、安装费、培训费、保险等一切设备到货安装调试到采购人验收合格期间所发生的全部费用，含国家规定的首次计量等检测费和信息系统数据联网费）。并要求对设备配置清单设备单价及其中的消耗性材料、关键性配件进行分项报价，未报价的关键性配件、消耗性材料的更换由投标人终身免费提供。如有遗漏，视为已包含在投标总价中</w:t>
            </w:r>
            <w:r>
              <w:rPr>
                <w:rFonts w:hAnsi="宋体"/>
                <w:sz w:val="24"/>
                <w:szCs w:val="24"/>
              </w:rPr>
              <w:t>。</w:t>
            </w:r>
          </w:p>
          <w:p w14:paraId="29066779">
            <w:pPr>
              <w:pStyle w:val="74"/>
              <w:numPr>
                <w:ilvl w:val="0"/>
                <w:numId w:val="12"/>
              </w:numPr>
              <w:spacing w:line="360" w:lineRule="auto"/>
              <w:jc w:val="left"/>
              <w:rPr>
                <w:rFonts w:hint="eastAsia" w:hAnsi="宋体"/>
                <w:sz w:val="24"/>
                <w:szCs w:val="24"/>
              </w:rPr>
            </w:pPr>
            <w:r>
              <w:rPr>
                <w:rFonts w:hint="eastAsia" w:hAnsi="宋体"/>
                <w:sz w:val="24"/>
                <w:szCs w:val="24"/>
              </w:rPr>
              <w:t>本项目不接受可选择性报价。</w:t>
            </w:r>
          </w:p>
          <w:p w14:paraId="75BC5170">
            <w:pPr>
              <w:pStyle w:val="74"/>
              <w:numPr>
                <w:ilvl w:val="0"/>
                <w:numId w:val="12"/>
              </w:numPr>
              <w:spacing w:line="360" w:lineRule="auto"/>
              <w:jc w:val="left"/>
              <w:rPr>
                <w:rFonts w:hint="eastAsia" w:hAnsi="宋体"/>
                <w:sz w:val="24"/>
                <w:szCs w:val="24"/>
              </w:rPr>
            </w:pPr>
            <w:r>
              <w:rPr>
                <w:rFonts w:hint="eastAsia" w:hAnsi="宋体"/>
                <w:b/>
                <w:bCs/>
                <w:sz w:val="24"/>
                <w:szCs w:val="24"/>
              </w:rPr>
              <w:t>超过项目总预算或单项设备预算或设备预算的投标报价将被视为无效报价。</w:t>
            </w:r>
          </w:p>
        </w:tc>
      </w:tr>
      <w:tr w14:paraId="4C60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875FC48">
            <w:pPr>
              <w:spacing w:line="360" w:lineRule="auto"/>
              <w:jc w:val="center"/>
              <w:rPr>
                <w:rFonts w:hint="eastAsia" w:ascii="宋体" w:hAnsi="宋体"/>
                <w:kern w:val="24"/>
                <w:sz w:val="24"/>
                <w:szCs w:val="24"/>
              </w:rPr>
            </w:pPr>
            <w:r>
              <w:rPr>
                <w:rFonts w:hint="eastAsia" w:ascii="宋体" w:hAnsi="宋体"/>
                <w:kern w:val="24"/>
                <w:sz w:val="24"/>
                <w:szCs w:val="24"/>
              </w:rPr>
              <w:t>27</w:t>
            </w:r>
          </w:p>
        </w:tc>
        <w:tc>
          <w:tcPr>
            <w:tcW w:w="2136" w:type="dxa"/>
            <w:vAlign w:val="center"/>
          </w:tcPr>
          <w:p w14:paraId="715C33AA">
            <w:pPr>
              <w:spacing w:line="360" w:lineRule="auto"/>
              <w:jc w:val="left"/>
              <w:rPr>
                <w:rFonts w:hint="eastAsia" w:ascii="宋体" w:hAnsi="宋体"/>
                <w:kern w:val="24"/>
                <w:sz w:val="24"/>
                <w:szCs w:val="24"/>
              </w:rPr>
            </w:pPr>
            <w:r>
              <w:rPr>
                <w:rFonts w:ascii="宋体" w:hAnsi="宋体"/>
                <w:bCs/>
                <w:sz w:val="24"/>
                <w:szCs w:val="24"/>
              </w:rPr>
              <w:t>投标货币</w:t>
            </w:r>
          </w:p>
        </w:tc>
        <w:tc>
          <w:tcPr>
            <w:tcW w:w="6506" w:type="dxa"/>
            <w:gridSpan w:val="2"/>
            <w:vAlign w:val="center"/>
          </w:tcPr>
          <w:p w14:paraId="7936F4F8">
            <w:pPr>
              <w:pStyle w:val="74"/>
              <w:spacing w:line="360" w:lineRule="auto"/>
              <w:jc w:val="left"/>
              <w:rPr>
                <w:rFonts w:hint="eastAsia" w:hAnsi="宋体" w:cs="Times New Roman"/>
                <w:kern w:val="24"/>
                <w:sz w:val="24"/>
                <w:szCs w:val="24"/>
              </w:rPr>
            </w:pPr>
            <w:r>
              <w:rPr>
                <w:rFonts w:hAnsi="宋体"/>
                <w:bCs/>
                <w:sz w:val="24"/>
                <w:szCs w:val="24"/>
              </w:rPr>
              <w:t>人民币，其他货币的报价均不认可，将按无效投标处理。</w:t>
            </w:r>
          </w:p>
        </w:tc>
      </w:tr>
      <w:tr w14:paraId="6208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D6354EB">
            <w:pPr>
              <w:spacing w:line="360" w:lineRule="auto"/>
              <w:jc w:val="center"/>
              <w:rPr>
                <w:rFonts w:hint="eastAsia" w:ascii="宋体" w:hAnsi="宋体"/>
                <w:kern w:val="24"/>
                <w:sz w:val="24"/>
                <w:szCs w:val="24"/>
              </w:rPr>
            </w:pPr>
            <w:r>
              <w:rPr>
                <w:rFonts w:hint="eastAsia" w:hAnsi="宋体"/>
                <w:kern w:val="24"/>
                <w:sz w:val="24"/>
                <w:szCs w:val="24"/>
              </w:rPr>
              <w:t>28</w:t>
            </w:r>
          </w:p>
        </w:tc>
        <w:tc>
          <w:tcPr>
            <w:tcW w:w="2136" w:type="dxa"/>
            <w:vAlign w:val="center"/>
          </w:tcPr>
          <w:p w14:paraId="66BDBB0C">
            <w:pPr>
              <w:spacing w:line="360" w:lineRule="auto"/>
              <w:jc w:val="left"/>
              <w:rPr>
                <w:rFonts w:ascii="宋体" w:hAnsi="宋体"/>
                <w:bCs/>
                <w:sz w:val="24"/>
                <w:szCs w:val="24"/>
              </w:rPr>
            </w:pPr>
            <w:r>
              <w:rPr>
                <w:rFonts w:hint="eastAsia" w:ascii="宋体" w:hAnsi="宋体" w:cs="宋体"/>
                <w:sz w:val="24"/>
              </w:rPr>
              <w:t>落实国务院办公厅关于在政府采购中实施本国产品标准及相关政策</w:t>
            </w:r>
          </w:p>
        </w:tc>
        <w:tc>
          <w:tcPr>
            <w:tcW w:w="6506" w:type="dxa"/>
            <w:gridSpan w:val="2"/>
            <w:vAlign w:val="center"/>
          </w:tcPr>
          <w:p w14:paraId="2CBBEF14">
            <w:pPr>
              <w:spacing w:line="360" w:lineRule="auto"/>
              <w:rPr>
                <w:rFonts w:hint="eastAsia" w:ascii="宋体" w:hAnsi="宋体" w:cs="宋体"/>
                <w:sz w:val="24"/>
              </w:rPr>
            </w:pPr>
            <w:r>
              <w:rPr>
                <w:rFonts w:hint="eastAsia" w:ascii="宋体" w:hAnsi="宋体" w:cs="宋体"/>
                <w:sz w:val="24"/>
              </w:rPr>
              <w:t>根据《国务院办公厅关于在政府采购中实施本国产品标准及相关政策的通知》（国办发〔2025〕34号）的相关规定，投标产品符合“本国产品标准”的，按照以下政策执行价格评审优惠：</w:t>
            </w:r>
          </w:p>
          <w:p w14:paraId="40CFAD14">
            <w:pPr>
              <w:spacing w:line="360" w:lineRule="auto"/>
              <w:ind w:firstLine="480" w:firstLineChars="200"/>
              <w:rPr>
                <w:sz w:val="24"/>
              </w:rPr>
            </w:pPr>
            <w:r>
              <w:rPr>
                <w:rFonts w:hint="eastAsia"/>
                <w:sz w:val="24"/>
              </w:rPr>
              <w:t>政府采购活动中既有本国产品又有非本国产品参与竞争的，依法对本国产品给予价格评审优惠，对本国产品的报价给予20%的价格扣除，用扣除后的价格参与评审。</w:t>
            </w:r>
          </w:p>
          <w:p w14:paraId="7A2FB7CC">
            <w:pPr>
              <w:spacing w:line="360" w:lineRule="auto"/>
              <w:ind w:firstLine="480" w:firstLineChars="200"/>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3AAFDA8">
            <w:pPr>
              <w:pStyle w:val="44"/>
              <w:spacing w:line="360" w:lineRule="auto"/>
              <w:ind w:firstLine="480"/>
              <w:rPr>
                <w:rFonts w:hint="eastAsia" w:ascii="宋体" w:hAnsi="宋体"/>
              </w:rPr>
            </w:pPr>
            <w:r>
              <w:rPr>
                <w:rFonts w:ascii="宋体" w:hAnsi="宋体"/>
              </w:rPr>
              <w:t>符合以上政策价格评审优惠政策的，需按以下要求提供证明文件，否则不予享受价格评审优惠政策：</w:t>
            </w:r>
          </w:p>
          <w:p w14:paraId="21D1C2EA">
            <w:pPr>
              <w:pStyle w:val="44"/>
              <w:spacing w:line="360" w:lineRule="auto"/>
              <w:ind w:firstLine="480"/>
              <w:rPr>
                <w:rFonts w:hint="eastAsia" w:ascii="宋体" w:hAnsi="宋体"/>
              </w:rPr>
            </w:pPr>
            <w:r>
              <w:rPr>
                <w:rFonts w:hint="eastAsia" w:ascii="宋体" w:hAnsi="宋体"/>
              </w:rPr>
              <w:t>（一）产品在中国境内生产的组件成本核算规则。产品在中国境内生产的组件成本，按照《中国境内生产的组件成本核算基本规则》（见第四章 附件7）计算。</w:t>
            </w:r>
          </w:p>
          <w:p w14:paraId="17BDA8FB">
            <w:pPr>
              <w:pStyle w:val="74"/>
              <w:spacing w:line="360" w:lineRule="auto"/>
              <w:jc w:val="left"/>
              <w:rPr>
                <w:rFonts w:hAnsi="宋体"/>
                <w:bCs/>
                <w:sz w:val="24"/>
                <w:szCs w:val="24"/>
              </w:rPr>
            </w:pPr>
            <w:r>
              <w:rPr>
                <w:rFonts w:hint="eastAsia" w:hAnsi="宋体"/>
              </w:rPr>
              <w:t>（二）有关证明文件。采购人、采购代理机构应当在采购文件中明确要求供应商对其提供的产品出具《关于符合本国产品标准的声明函》（样式见第四章 附件7，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tc>
      </w:tr>
      <w:tr w14:paraId="6FD3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7449D76">
            <w:pPr>
              <w:spacing w:line="360" w:lineRule="auto"/>
              <w:jc w:val="center"/>
              <w:rPr>
                <w:rFonts w:hint="eastAsia" w:ascii="宋体" w:hAnsi="宋体"/>
                <w:kern w:val="24"/>
                <w:sz w:val="24"/>
                <w:szCs w:val="24"/>
              </w:rPr>
            </w:pPr>
            <w:r>
              <w:rPr>
                <w:rFonts w:hint="eastAsia" w:ascii="宋体" w:hAnsi="宋体"/>
                <w:kern w:val="24"/>
                <w:sz w:val="24"/>
                <w:szCs w:val="24"/>
              </w:rPr>
              <w:t>29</w:t>
            </w:r>
          </w:p>
        </w:tc>
        <w:tc>
          <w:tcPr>
            <w:tcW w:w="2136" w:type="dxa"/>
            <w:vAlign w:val="center"/>
          </w:tcPr>
          <w:p w14:paraId="5E5999B9">
            <w:pPr>
              <w:spacing w:line="360" w:lineRule="auto"/>
              <w:jc w:val="left"/>
              <w:rPr>
                <w:rFonts w:hint="eastAsia" w:ascii="宋体" w:hAnsi="宋体" w:cs="宋体"/>
                <w:bCs/>
                <w:sz w:val="24"/>
                <w:szCs w:val="24"/>
              </w:rPr>
            </w:pPr>
            <w:r>
              <w:rPr>
                <w:rFonts w:hint="eastAsia" w:ascii="宋体" w:hAnsi="宋体" w:cs="宋体"/>
                <w:bCs/>
                <w:sz w:val="24"/>
                <w:szCs w:val="24"/>
              </w:rPr>
              <w:t>异常低价评审</w:t>
            </w:r>
          </w:p>
        </w:tc>
        <w:tc>
          <w:tcPr>
            <w:tcW w:w="6506" w:type="dxa"/>
            <w:gridSpan w:val="2"/>
            <w:vAlign w:val="center"/>
          </w:tcPr>
          <w:p w14:paraId="2E6B3097">
            <w:pPr>
              <w:pStyle w:val="151"/>
              <w:rPr>
                <w:rFonts w:hint="eastAsia"/>
              </w:rPr>
            </w:pPr>
            <w:r>
              <w:rPr>
                <w:rFonts w:hint="eastAsia"/>
              </w:rPr>
              <w:t>依据《中华人民共和国政府采购法》、《中华人民共和国政府采购法实施条例》及财政部2026年2号文件《关于加强政府采购异常低价投标（响应）认定与审查工作的通知》等相关规定，本项目评审委员会对投标（响应）报价开展异常低价审查工作。</w:t>
            </w:r>
          </w:p>
          <w:p w14:paraId="6133D749">
            <w:pPr>
              <w:pStyle w:val="151"/>
              <w:rPr>
                <w:rFonts w:hint="eastAsia"/>
              </w:rPr>
            </w:pPr>
            <w:r>
              <w:rPr>
                <w:rFonts w:hint="eastAsia"/>
              </w:rPr>
              <w:t>异常低价情形认定</w:t>
            </w:r>
          </w:p>
          <w:p w14:paraId="1CD701D5">
            <w:pPr>
              <w:pStyle w:val="151"/>
              <w:rPr>
                <w:rFonts w:hint="eastAsia"/>
              </w:rPr>
            </w:pPr>
            <w:r>
              <w:rPr>
                <w:rFonts w:hint="eastAsia"/>
              </w:rPr>
              <w:t>投标（响应）供应商出现下列情形之一的，评审委员会将启动异常低价审查程序：</w:t>
            </w:r>
          </w:p>
          <w:p w14:paraId="7F6E1AF2">
            <w:pPr>
              <w:pStyle w:val="151"/>
              <w:rPr>
                <w:rFonts w:hint="eastAsia"/>
              </w:rPr>
            </w:pPr>
            <w:r>
              <w:rPr>
                <w:rFonts w:hint="eastAsia"/>
              </w:rPr>
              <w:t>（1）投标（响应）报价低于全部通过符合性审查供应商报价平均值的 50%；</w:t>
            </w:r>
          </w:p>
          <w:p w14:paraId="3E0CBC90">
            <w:pPr>
              <w:pStyle w:val="151"/>
              <w:rPr>
                <w:rFonts w:hint="eastAsia"/>
              </w:rPr>
            </w:pPr>
            <w:r>
              <w:rPr>
                <w:rFonts w:hint="eastAsia"/>
              </w:rPr>
              <w:t>（2）投标（响应）报价低于通过符合性审查次低报价的 50%；</w:t>
            </w:r>
          </w:p>
          <w:p w14:paraId="09AAA387">
            <w:pPr>
              <w:pStyle w:val="151"/>
              <w:rPr>
                <w:rFonts w:hint="eastAsia"/>
              </w:rPr>
            </w:pPr>
            <w:r>
              <w:rPr>
                <w:rFonts w:hint="eastAsia"/>
              </w:rPr>
              <w:t>（3）投标（响应）报价低于本项目最高限价的 45%；</w:t>
            </w:r>
          </w:p>
          <w:p w14:paraId="725022E5">
            <w:pPr>
              <w:pStyle w:val="151"/>
              <w:rPr>
                <w:rFonts w:hint="eastAsia"/>
              </w:rPr>
            </w:pPr>
            <w:r>
              <w:rPr>
                <w:rFonts w:hint="eastAsia"/>
              </w:rPr>
              <w:t>（4）评审委员会基于专业判断，认为报价过低可能影响项目履约质量、不能满足采购需求或无法诚信履约的其他情形。</w:t>
            </w:r>
          </w:p>
          <w:p w14:paraId="07579585">
            <w:pPr>
              <w:pStyle w:val="151"/>
              <w:ind w:firstLine="0" w:firstLineChars="0"/>
              <w:rPr>
                <w:rFonts w:hint="eastAsia"/>
              </w:rPr>
            </w:pPr>
            <w:r>
              <w:rPr>
                <w:rFonts w:hint="eastAsia"/>
              </w:rPr>
              <w:t>审查要求及处理</w:t>
            </w:r>
          </w:p>
          <w:p w14:paraId="460FB934">
            <w:pPr>
              <w:pStyle w:val="151"/>
              <w:rPr>
                <w:rFonts w:hint="eastAsia"/>
              </w:rPr>
            </w:pPr>
            <w:r>
              <w:rPr>
                <w:rFonts w:hint="eastAsia"/>
              </w:rPr>
              <w:t>被启动审查的供应商，须在合理时间内（不少于30分钟），就报价合理性提交书面说明，并提供项目成本测算明细、原材料采购意向协议、人工成本核算依据等可核验的证明材料。</w:t>
            </w:r>
          </w:p>
          <w:p w14:paraId="6440C7F8">
            <w:pPr>
              <w:pStyle w:val="151"/>
              <w:rPr>
                <w:rFonts w:hint="eastAsia"/>
                <w:b/>
                <w:bCs/>
              </w:rPr>
            </w:pPr>
            <w:r>
              <w:rPr>
                <w:rFonts w:hint="eastAsia"/>
              </w:rPr>
              <w:t>供应商未按要求提交说明及证明材料，或提交的材料无法有效证明报价合理性的，</w:t>
            </w:r>
            <w:r>
              <w:rPr>
                <w:rFonts w:hint="eastAsia"/>
                <w:b/>
                <w:bCs/>
              </w:rPr>
              <w:t>评审委员会将其投标（响应）作无效处理。</w:t>
            </w:r>
          </w:p>
          <w:p w14:paraId="24446B42">
            <w:pPr>
              <w:pStyle w:val="74"/>
              <w:spacing w:line="360" w:lineRule="auto"/>
              <w:jc w:val="left"/>
              <w:rPr>
                <w:rFonts w:hint="eastAsia" w:hAnsi="宋体" w:cs="宋体"/>
                <w:bCs/>
                <w:sz w:val="24"/>
                <w:szCs w:val="24"/>
              </w:rPr>
            </w:pPr>
            <w:r>
              <w:rPr>
                <w:rFonts w:hint="eastAsia" w:hAnsi="宋体" w:cs="宋体"/>
                <w:sz w:val="24"/>
                <w:szCs w:val="24"/>
              </w:rPr>
              <w:t>异常低价审查的全过程及结论，由评审委员会如实记入评审报告，随采购项目档案一并存档备查。</w:t>
            </w:r>
          </w:p>
        </w:tc>
      </w:tr>
      <w:tr w14:paraId="4547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1065433">
            <w:pPr>
              <w:spacing w:line="360" w:lineRule="auto"/>
              <w:jc w:val="center"/>
              <w:rPr>
                <w:rFonts w:hint="eastAsia" w:ascii="宋体" w:hAnsi="宋体"/>
                <w:kern w:val="24"/>
                <w:sz w:val="24"/>
                <w:szCs w:val="24"/>
              </w:rPr>
            </w:pPr>
            <w:r>
              <w:rPr>
                <w:rFonts w:hint="eastAsia" w:ascii="宋体" w:hAnsi="宋体"/>
                <w:kern w:val="24"/>
                <w:sz w:val="24"/>
                <w:szCs w:val="24"/>
              </w:rPr>
              <w:t>30</w:t>
            </w:r>
          </w:p>
        </w:tc>
        <w:tc>
          <w:tcPr>
            <w:tcW w:w="2136" w:type="dxa"/>
            <w:vAlign w:val="center"/>
          </w:tcPr>
          <w:p w14:paraId="0AD8EAFE">
            <w:pPr>
              <w:spacing w:line="360" w:lineRule="auto"/>
              <w:jc w:val="left"/>
              <w:rPr>
                <w:rFonts w:hint="eastAsia" w:ascii="宋体" w:hAnsi="宋体"/>
                <w:bCs/>
                <w:sz w:val="24"/>
                <w:szCs w:val="24"/>
              </w:rPr>
            </w:pPr>
            <w:r>
              <w:rPr>
                <w:rFonts w:ascii="宋体" w:hAnsi="宋体"/>
                <w:sz w:val="24"/>
                <w:szCs w:val="24"/>
              </w:rPr>
              <w:t>备品备件要求</w:t>
            </w:r>
          </w:p>
        </w:tc>
        <w:tc>
          <w:tcPr>
            <w:tcW w:w="6506" w:type="dxa"/>
            <w:gridSpan w:val="2"/>
            <w:vAlign w:val="center"/>
          </w:tcPr>
          <w:p w14:paraId="3EBBCA2C">
            <w:pPr>
              <w:pStyle w:val="74"/>
              <w:spacing w:line="360" w:lineRule="auto"/>
              <w:jc w:val="left"/>
              <w:rPr>
                <w:rFonts w:hint="eastAsia" w:hAnsi="宋体"/>
                <w:bCs/>
                <w:sz w:val="24"/>
                <w:szCs w:val="24"/>
              </w:rPr>
            </w:pPr>
            <w:r>
              <w:rPr>
                <w:rFonts w:hAnsi="宋体"/>
                <w:sz w:val="24"/>
                <w:szCs w:val="24"/>
              </w:rPr>
              <w:t>提供保修期内正常运行所需的备品备件以及采购人认为有必要提供的其他备件；并保证10年以上的供应期。</w:t>
            </w:r>
          </w:p>
        </w:tc>
      </w:tr>
      <w:tr w14:paraId="65A4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CBBF82C">
            <w:pPr>
              <w:spacing w:line="360" w:lineRule="auto"/>
              <w:jc w:val="center"/>
              <w:rPr>
                <w:rFonts w:hint="eastAsia" w:ascii="宋体" w:hAnsi="宋体"/>
                <w:kern w:val="24"/>
                <w:sz w:val="24"/>
                <w:szCs w:val="24"/>
              </w:rPr>
            </w:pPr>
            <w:r>
              <w:rPr>
                <w:rFonts w:hint="eastAsia" w:ascii="宋体" w:hAnsi="宋体"/>
                <w:kern w:val="24"/>
                <w:sz w:val="24"/>
                <w:szCs w:val="24"/>
              </w:rPr>
              <w:t>31</w:t>
            </w:r>
          </w:p>
        </w:tc>
        <w:tc>
          <w:tcPr>
            <w:tcW w:w="2136" w:type="dxa"/>
            <w:vAlign w:val="center"/>
          </w:tcPr>
          <w:p w14:paraId="022C9451">
            <w:pPr>
              <w:spacing w:line="360" w:lineRule="auto"/>
              <w:jc w:val="left"/>
              <w:rPr>
                <w:rFonts w:hint="eastAsia" w:ascii="宋体" w:hAnsi="宋体"/>
                <w:kern w:val="24"/>
                <w:sz w:val="24"/>
                <w:szCs w:val="24"/>
              </w:rPr>
            </w:pPr>
            <w:r>
              <w:rPr>
                <w:rFonts w:hint="eastAsia" w:ascii="宋体" w:hAnsi="宋体"/>
                <w:kern w:val="24"/>
                <w:sz w:val="24"/>
                <w:szCs w:val="24"/>
              </w:rPr>
              <w:t>信用查询</w:t>
            </w:r>
          </w:p>
        </w:tc>
        <w:tc>
          <w:tcPr>
            <w:tcW w:w="6506" w:type="dxa"/>
            <w:gridSpan w:val="2"/>
            <w:vAlign w:val="center"/>
          </w:tcPr>
          <w:p w14:paraId="0342A34C">
            <w:pPr>
              <w:pStyle w:val="74"/>
              <w:spacing w:line="360" w:lineRule="auto"/>
              <w:jc w:val="left"/>
              <w:rPr>
                <w:rFonts w:hint="eastAsia" w:hAnsi="宋体" w:cs="Times New Roman"/>
                <w:kern w:val="24"/>
                <w:sz w:val="24"/>
                <w:szCs w:val="24"/>
              </w:rPr>
            </w:pPr>
            <w:r>
              <w:rPr>
                <w:rFonts w:hint="eastAsia" w:hAnsi="宋体" w:cs="Times New Roman"/>
                <w:kern w:val="24"/>
                <w:sz w:val="24"/>
                <w:szCs w:val="24"/>
              </w:rPr>
              <w:t>根据《财政部关于在政府采购活动中查询及使用信用记录有关问题的通知》（财库〔2016〕125号）规定，开标结束后，采购人、采购代理机构将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投标人，其投标将被拒绝。</w:t>
            </w:r>
          </w:p>
          <w:p w14:paraId="2E7F531C">
            <w:pPr>
              <w:pStyle w:val="74"/>
              <w:spacing w:line="360" w:lineRule="auto"/>
              <w:jc w:val="left"/>
              <w:rPr>
                <w:rFonts w:hint="eastAsia" w:hAnsi="宋体" w:cs="Times New Roman"/>
                <w:kern w:val="24"/>
                <w:sz w:val="24"/>
                <w:szCs w:val="24"/>
              </w:rPr>
            </w:pPr>
            <w:r>
              <w:rPr>
                <w:rFonts w:hint="eastAsia" w:hAnsi="宋体" w:cs="Times New Roman"/>
                <w:kern w:val="24"/>
                <w:sz w:val="24"/>
                <w:szCs w:val="24"/>
              </w:rPr>
              <w:t>本次查询的信用记录仅限于本项目使用，查询结果将留存在采购档案中。</w:t>
            </w:r>
          </w:p>
        </w:tc>
      </w:tr>
      <w:tr w14:paraId="0C20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4B91B1C">
            <w:pPr>
              <w:spacing w:line="360" w:lineRule="auto"/>
              <w:jc w:val="center"/>
              <w:rPr>
                <w:rFonts w:hint="eastAsia" w:ascii="宋体" w:hAnsi="宋体"/>
                <w:kern w:val="24"/>
                <w:sz w:val="24"/>
                <w:szCs w:val="24"/>
              </w:rPr>
            </w:pPr>
            <w:r>
              <w:rPr>
                <w:rFonts w:hint="eastAsia" w:hAnsi="宋体"/>
                <w:kern w:val="24"/>
                <w:sz w:val="24"/>
                <w:szCs w:val="24"/>
              </w:rPr>
              <w:t>32</w:t>
            </w:r>
          </w:p>
        </w:tc>
        <w:tc>
          <w:tcPr>
            <w:tcW w:w="2136" w:type="dxa"/>
            <w:vAlign w:val="center"/>
          </w:tcPr>
          <w:p w14:paraId="2C51FB75">
            <w:pPr>
              <w:spacing w:line="360" w:lineRule="auto"/>
              <w:jc w:val="left"/>
              <w:rPr>
                <w:rFonts w:hint="eastAsia" w:ascii="宋体" w:hAnsi="宋体"/>
                <w:kern w:val="24"/>
                <w:sz w:val="24"/>
                <w:szCs w:val="24"/>
              </w:rPr>
            </w:pPr>
            <w:r>
              <w:rPr>
                <w:rFonts w:hint="eastAsia" w:ascii="宋体" w:hAnsi="宋体"/>
                <w:bCs/>
                <w:kern w:val="24"/>
                <w:sz w:val="24"/>
                <w:szCs w:val="24"/>
              </w:rPr>
              <w:t>评标方法及标准</w:t>
            </w:r>
          </w:p>
        </w:tc>
        <w:tc>
          <w:tcPr>
            <w:tcW w:w="6506" w:type="dxa"/>
            <w:gridSpan w:val="2"/>
            <w:vAlign w:val="center"/>
          </w:tcPr>
          <w:p w14:paraId="60287BC3">
            <w:pPr>
              <w:pStyle w:val="74"/>
              <w:spacing w:line="360" w:lineRule="auto"/>
              <w:jc w:val="left"/>
              <w:rPr>
                <w:rFonts w:hint="eastAsia" w:hAnsi="宋体" w:cs="宋体"/>
                <w:bCs/>
                <w:kern w:val="24"/>
                <w:sz w:val="24"/>
                <w:szCs w:val="24"/>
              </w:rPr>
            </w:pPr>
            <w:r>
              <w:rPr>
                <w:rFonts w:hint="eastAsia" w:hAnsi="宋体" w:cs="宋体"/>
                <w:bCs/>
                <w:kern w:val="24"/>
                <w:sz w:val="24"/>
                <w:szCs w:val="24"/>
              </w:rPr>
              <w:t>综合评分法</w:t>
            </w:r>
          </w:p>
        </w:tc>
      </w:tr>
      <w:tr w14:paraId="5C6B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26D8274">
            <w:pPr>
              <w:pStyle w:val="74"/>
              <w:spacing w:line="360" w:lineRule="auto"/>
              <w:jc w:val="center"/>
              <w:rPr>
                <w:rFonts w:hint="eastAsia" w:hAnsi="宋体" w:cs="Times New Roman"/>
                <w:kern w:val="24"/>
                <w:sz w:val="24"/>
                <w:szCs w:val="24"/>
              </w:rPr>
            </w:pPr>
            <w:r>
              <w:rPr>
                <w:rFonts w:hint="eastAsia" w:hAnsi="宋体" w:cs="Times New Roman"/>
                <w:kern w:val="24"/>
                <w:sz w:val="24"/>
                <w:szCs w:val="24"/>
              </w:rPr>
              <w:t>33</w:t>
            </w:r>
          </w:p>
        </w:tc>
        <w:tc>
          <w:tcPr>
            <w:tcW w:w="2136" w:type="dxa"/>
            <w:vAlign w:val="center"/>
          </w:tcPr>
          <w:p w14:paraId="1E3297ED">
            <w:pPr>
              <w:spacing w:line="360" w:lineRule="auto"/>
              <w:jc w:val="left"/>
              <w:rPr>
                <w:rFonts w:hint="eastAsia" w:ascii="宋体" w:hAnsi="宋体"/>
                <w:kern w:val="24"/>
                <w:sz w:val="24"/>
                <w:szCs w:val="24"/>
              </w:rPr>
            </w:pPr>
            <w:r>
              <w:rPr>
                <w:rFonts w:hint="eastAsia" w:ascii="宋体" w:hAnsi="宋体"/>
                <w:kern w:val="24"/>
                <w:sz w:val="24"/>
                <w:szCs w:val="24"/>
              </w:rPr>
              <w:t>采购资金的支付方式及时间</w:t>
            </w:r>
          </w:p>
        </w:tc>
        <w:tc>
          <w:tcPr>
            <w:tcW w:w="6506" w:type="dxa"/>
            <w:gridSpan w:val="2"/>
            <w:vAlign w:val="center"/>
          </w:tcPr>
          <w:p w14:paraId="15FB1546">
            <w:pPr>
              <w:numPr>
                <w:ilvl w:val="0"/>
                <w:numId w:val="5"/>
              </w:numPr>
              <w:spacing w:after="160" w:line="360" w:lineRule="auto"/>
              <w:ind w:left="313" w:hanging="284"/>
              <w:jc w:val="left"/>
              <w:rPr>
                <w:rFonts w:hint="eastAsia" w:ascii="宋体" w:hAnsi="宋体"/>
                <w:kern w:val="24"/>
                <w:sz w:val="24"/>
                <w:szCs w:val="24"/>
              </w:rPr>
            </w:pPr>
            <w:r>
              <w:rPr>
                <w:rFonts w:hint="eastAsia" w:ascii="宋体" w:hAnsi="宋体" w:cs="宋体"/>
                <w:kern w:val="24"/>
                <w:sz w:val="24"/>
                <w:szCs w:val="24"/>
              </w:rPr>
              <w:t>详见</w:t>
            </w:r>
            <w:r>
              <w:rPr>
                <w:rFonts w:ascii="宋体" w:hAnsi="宋体" w:cs="宋体"/>
                <w:kern w:val="24"/>
                <w:sz w:val="24"/>
                <w:szCs w:val="24"/>
              </w:rPr>
              <w:t>合同样本</w:t>
            </w:r>
            <w:r>
              <w:rPr>
                <w:rFonts w:hint="eastAsia" w:ascii="宋体" w:hAnsi="宋体" w:cs="宋体"/>
                <w:kern w:val="24"/>
                <w:sz w:val="24"/>
                <w:szCs w:val="24"/>
              </w:rPr>
              <w:t>。</w:t>
            </w:r>
          </w:p>
        </w:tc>
      </w:tr>
      <w:tr w14:paraId="295A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1408D5B">
            <w:pPr>
              <w:pStyle w:val="74"/>
              <w:spacing w:line="360" w:lineRule="auto"/>
              <w:jc w:val="center"/>
              <w:rPr>
                <w:rFonts w:hint="eastAsia" w:hAnsi="宋体" w:cs="Times New Roman"/>
                <w:kern w:val="24"/>
                <w:sz w:val="24"/>
                <w:szCs w:val="24"/>
              </w:rPr>
            </w:pPr>
            <w:r>
              <w:rPr>
                <w:rFonts w:hint="eastAsia" w:hAnsi="宋体" w:cs="Times New Roman"/>
                <w:kern w:val="24"/>
                <w:sz w:val="24"/>
                <w:szCs w:val="24"/>
              </w:rPr>
              <w:t>34</w:t>
            </w:r>
          </w:p>
        </w:tc>
        <w:tc>
          <w:tcPr>
            <w:tcW w:w="2136" w:type="dxa"/>
            <w:vAlign w:val="center"/>
          </w:tcPr>
          <w:p w14:paraId="147BB7C6">
            <w:pPr>
              <w:pStyle w:val="74"/>
              <w:spacing w:line="360" w:lineRule="auto"/>
              <w:jc w:val="left"/>
              <w:rPr>
                <w:rFonts w:hint="eastAsia" w:hAnsi="宋体" w:cs="Times New Roman"/>
                <w:b/>
                <w:kern w:val="24"/>
                <w:sz w:val="24"/>
                <w:szCs w:val="24"/>
              </w:rPr>
            </w:pPr>
            <w:r>
              <w:rPr>
                <w:rFonts w:hint="eastAsia" w:hAnsi="宋体" w:cs="Times New Roman"/>
                <w:kern w:val="24"/>
                <w:sz w:val="24"/>
                <w:szCs w:val="24"/>
              </w:rPr>
              <w:t>采购代理服务费</w:t>
            </w:r>
          </w:p>
        </w:tc>
        <w:tc>
          <w:tcPr>
            <w:tcW w:w="6506" w:type="dxa"/>
            <w:gridSpan w:val="2"/>
            <w:vAlign w:val="center"/>
          </w:tcPr>
          <w:p w14:paraId="6945E6FE">
            <w:pPr>
              <w:spacing w:line="360" w:lineRule="auto"/>
              <w:jc w:val="left"/>
              <w:rPr>
                <w:rFonts w:hint="eastAsia" w:ascii="宋体" w:hAnsi="宋体"/>
                <w:bCs/>
                <w:sz w:val="24"/>
                <w:szCs w:val="24"/>
              </w:rPr>
            </w:pPr>
            <w:r>
              <w:rPr>
                <w:rFonts w:ascii="宋体" w:hAnsi="宋体"/>
                <w:bCs/>
                <w:sz w:val="24"/>
                <w:szCs w:val="24"/>
              </w:rPr>
              <w:t>中标人须向采购代理机构按如下标准和规定交纳采购代理服务费</w:t>
            </w:r>
          </w:p>
          <w:p w14:paraId="39BB83BA">
            <w:pPr>
              <w:spacing w:line="360" w:lineRule="auto"/>
              <w:jc w:val="left"/>
              <w:rPr>
                <w:rFonts w:hint="eastAsia" w:ascii="宋体" w:hAnsi="宋体"/>
                <w:bCs/>
                <w:sz w:val="24"/>
                <w:szCs w:val="24"/>
              </w:rPr>
            </w:pPr>
            <w:r>
              <w:rPr>
                <w:rFonts w:ascii="宋体" w:hAnsi="宋体"/>
                <w:bCs/>
                <w:sz w:val="24"/>
                <w:szCs w:val="24"/>
              </w:rPr>
              <w:t>（1）采购代理服务费参照发改价格[2011]534号及计价格[2002]1980号文件收费标准下浮30%进行收取。</w:t>
            </w:r>
          </w:p>
          <w:p w14:paraId="69B94E29">
            <w:pPr>
              <w:spacing w:line="360" w:lineRule="auto"/>
              <w:contextualSpacing/>
              <w:jc w:val="left"/>
              <w:rPr>
                <w:rFonts w:hint="eastAsia" w:ascii="宋体" w:hAnsi="宋体"/>
                <w:bCs/>
                <w:sz w:val="24"/>
                <w:szCs w:val="24"/>
              </w:rPr>
            </w:pPr>
            <w:r>
              <w:rPr>
                <w:rFonts w:ascii="宋体" w:hAnsi="宋体"/>
                <w:sz w:val="24"/>
                <w:szCs w:val="24"/>
              </w:rPr>
              <w:t>（2）</w:t>
            </w:r>
            <w:r>
              <w:rPr>
                <w:rFonts w:ascii="宋体" w:hAnsi="宋体"/>
                <w:bCs/>
                <w:sz w:val="24"/>
                <w:szCs w:val="24"/>
              </w:rPr>
              <w:t>投标人应在投标文件中提供采购代理服务费承诺书，在收到中标通知书（传真或邮件）后5天内，一次向采购代理机构缴清。</w:t>
            </w:r>
          </w:p>
          <w:p w14:paraId="04F861B3">
            <w:pPr>
              <w:spacing w:line="360" w:lineRule="auto"/>
              <w:contextualSpacing/>
              <w:jc w:val="left"/>
              <w:rPr>
                <w:rFonts w:hint="eastAsia" w:ascii="宋体" w:hAnsi="宋体"/>
                <w:b/>
                <w:bCs/>
                <w:sz w:val="24"/>
                <w:szCs w:val="24"/>
              </w:rPr>
            </w:pPr>
            <w:r>
              <w:rPr>
                <w:rFonts w:ascii="宋体" w:hAnsi="宋体"/>
                <w:bCs/>
                <w:sz w:val="24"/>
                <w:szCs w:val="24"/>
              </w:rPr>
              <w:t>（3）采购代理服务费缴纳汇款账号详见</w:t>
            </w:r>
            <w:r>
              <w:rPr>
                <w:rFonts w:hint="eastAsia" w:ascii="宋体" w:hAnsi="宋体"/>
                <w:bCs/>
                <w:sz w:val="24"/>
                <w:szCs w:val="24"/>
              </w:rPr>
              <w:t>如下</w:t>
            </w:r>
            <w:r>
              <w:rPr>
                <w:rFonts w:hint="eastAsia" w:ascii="宋体" w:hAnsi="宋体"/>
                <w:b/>
                <w:bCs/>
                <w:sz w:val="24"/>
                <w:szCs w:val="24"/>
              </w:rPr>
              <w:t>：</w:t>
            </w:r>
          </w:p>
          <w:p w14:paraId="47C8CB98">
            <w:pPr>
              <w:spacing w:line="360" w:lineRule="auto"/>
              <w:contextualSpacing/>
              <w:jc w:val="left"/>
              <w:rPr>
                <w:rFonts w:hint="eastAsia" w:ascii="宋体" w:hAnsi="宋体"/>
                <w:sz w:val="24"/>
                <w:szCs w:val="24"/>
              </w:rPr>
            </w:pPr>
            <w:r>
              <w:rPr>
                <w:rFonts w:ascii="宋体" w:hAnsi="宋体"/>
                <w:sz w:val="24"/>
                <w:szCs w:val="24"/>
              </w:rPr>
              <w:t>账号：7110210182600030709</w:t>
            </w:r>
          </w:p>
          <w:p w14:paraId="7D376F91">
            <w:pPr>
              <w:spacing w:line="360" w:lineRule="auto"/>
              <w:contextualSpacing/>
              <w:jc w:val="left"/>
              <w:rPr>
                <w:rFonts w:hint="eastAsia" w:ascii="宋体" w:hAnsi="宋体"/>
                <w:sz w:val="24"/>
                <w:szCs w:val="24"/>
              </w:rPr>
            </w:pPr>
            <w:r>
              <w:rPr>
                <w:rFonts w:ascii="宋体" w:hAnsi="宋体"/>
                <w:sz w:val="24"/>
                <w:szCs w:val="24"/>
              </w:rPr>
              <w:t>开户行：中信银行北京京城大厦支行</w:t>
            </w:r>
          </w:p>
          <w:p w14:paraId="52BFF65A">
            <w:pPr>
              <w:spacing w:line="360" w:lineRule="auto"/>
              <w:jc w:val="left"/>
              <w:rPr>
                <w:rFonts w:hint="eastAsia" w:ascii="宋体" w:hAnsi="宋体"/>
                <w:kern w:val="24"/>
                <w:sz w:val="24"/>
                <w:szCs w:val="24"/>
              </w:rPr>
            </w:pPr>
            <w:r>
              <w:rPr>
                <w:rFonts w:ascii="宋体" w:hAnsi="宋体"/>
                <w:sz w:val="24"/>
                <w:szCs w:val="24"/>
              </w:rPr>
              <w:t>开户名称：中信国际招标有限公司</w:t>
            </w:r>
          </w:p>
        </w:tc>
      </w:tr>
      <w:tr w14:paraId="4C7A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6628DBD">
            <w:pPr>
              <w:pStyle w:val="74"/>
              <w:spacing w:line="360" w:lineRule="auto"/>
              <w:jc w:val="center"/>
              <w:rPr>
                <w:rFonts w:hint="eastAsia" w:hAnsi="宋体" w:cs="Times New Roman"/>
                <w:kern w:val="24"/>
                <w:sz w:val="24"/>
                <w:szCs w:val="24"/>
              </w:rPr>
            </w:pPr>
            <w:r>
              <w:rPr>
                <w:rFonts w:hint="eastAsia" w:hAnsi="宋体" w:cs="Times New Roman"/>
                <w:kern w:val="24"/>
                <w:sz w:val="24"/>
                <w:szCs w:val="24"/>
              </w:rPr>
              <w:t>35</w:t>
            </w:r>
          </w:p>
        </w:tc>
        <w:tc>
          <w:tcPr>
            <w:tcW w:w="2136" w:type="dxa"/>
            <w:vAlign w:val="center"/>
          </w:tcPr>
          <w:p w14:paraId="5DE45337">
            <w:pPr>
              <w:pStyle w:val="74"/>
              <w:spacing w:line="360" w:lineRule="auto"/>
              <w:jc w:val="left"/>
              <w:rPr>
                <w:rFonts w:hint="eastAsia" w:hAnsi="宋体" w:cs="Times New Roman"/>
                <w:kern w:val="24"/>
                <w:sz w:val="24"/>
                <w:szCs w:val="24"/>
              </w:rPr>
            </w:pPr>
            <w:r>
              <w:rPr>
                <w:rFonts w:hint="eastAsia" w:hAnsi="宋体" w:cs="Times New Roman"/>
                <w:kern w:val="24"/>
                <w:sz w:val="24"/>
                <w:szCs w:val="24"/>
              </w:rPr>
              <w:t>是否允许采购进口产品</w:t>
            </w:r>
          </w:p>
        </w:tc>
        <w:tc>
          <w:tcPr>
            <w:tcW w:w="6506" w:type="dxa"/>
            <w:gridSpan w:val="2"/>
            <w:vAlign w:val="center"/>
          </w:tcPr>
          <w:p w14:paraId="1B5950BB">
            <w:pPr>
              <w:spacing w:line="360" w:lineRule="auto"/>
              <w:jc w:val="left"/>
              <w:rPr>
                <w:rFonts w:hint="eastAsia" w:ascii="宋体" w:hAnsi="宋体"/>
                <w:bCs/>
                <w:sz w:val="24"/>
                <w:szCs w:val="24"/>
              </w:rPr>
            </w:pPr>
            <w:r>
              <w:rPr>
                <w:rFonts w:hint="eastAsia" w:ascii="宋体" w:hAnsi="宋体"/>
                <w:bCs/>
                <w:sz w:val="24"/>
                <w:szCs w:val="24"/>
              </w:rPr>
              <w:t>本项目不允许采购进口产品。</w:t>
            </w:r>
          </w:p>
        </w:tc>
      </w:tr>
    </w:tbl>
    <w:p w14:paraId="1EB2C5A1">
      <w:pPr>
        <w:spacing w:line="360" w:lineRule="auto"/>
        <w:jc w:val="center"/>
        <w:outlineLvl w:val="1"/>
        <w:rPr>
          <w:rFonts w:hint="eastAsia" w:ascii="宋体" w:hAnsi="宋体"/>
          <w:sz w:val="24"/>
          <w:szCs w:val="24"/>
        </w:rPr>
      </w:pPr>
      <w:r>
        <w:rPr>
          <w:rFonts w:ascii="宋体" w:hAnsi="宋体"/>
          <w:sz w:val="24"/>
          <w:szCs w:val="24"/>
        </w:rPr>
        <w:br w:type="page"/>
      </w:r>
      <w:bookmarkStart w:id="18" w:name="_Toc115623224"/>
      <w:bookmarkStart w:id="19" w:name="_Toc176023814"/>
      <w:bookmarkStart w:id="20" w:name="_Toc161643969"/>
      <w:r>
        <w:rPr>
          <w:rFonts w:ascii="宋体" w:hAnsi="宋体"/>
          <w:b/>
          <w:spacing w:val="100"/>
          <w:sz w:val="24"/>
          <w:szCs w:val="24"/>
        </w:rPr>
        <w:t>投标人须知</w:t>
      </w:r>
      <w:bookmarkEnd w:id="18"/>
      <w:bookmarkEnd w:id="19"/>
    </w:p>
    <w:p w14:paraId="4B54662A">
      <w:pPr>
        <w:spacing w:line="360" w:lineRule="auto"/>
        <w:jc w:val="center"/>
        <w:outlineLvl w:val="1"/>
        <w:rPr>
          <w:rFonts w:hint="eastAsia" w:ascii="宋体" w:hAnsi="宋体"/>
          <w:b/>
          <w:spacing w:val="60"/>
          <w:sz w:val="24"/>
          <w:szCs w:val="24"/>
        </w:rPr>
      </w:pPr>
      <w:bookmarkStart w:id="21" w:name="_Toc115623225"/>
      <w:bookmarkStart w:id="22" w:name="_Toc176023815"/>
      <w:r>
        <w:rPr>
          <w:rFonts w:ascii="宋体" w:hAnsi="宋体"/>
          <w:b/>
          <w:spacing w:val="60"/>
          <w:sz w:val="24"/>
          <w:szCs w:val="24"/>
        </w:rPr>
        <w:t>一、总则</w:t>
      </w:r>
      <w:bookmarkEnd w:id="20"/>
      <w:bookmarkEnd w:id="21"/>
      <w:bookmarkEnd w:id="22"/>
    </w:p>
    <w:p w14:paraId="7FE02754">
      <w:pPr>
        <w:spacing w:line="360" w:lineRule="auto"/>
        <w:rPr>
          <w:rFonts w:hint="eastAsia" w:ascii="宋体" w:hAnsi="宋体"/>
          <w:b/>
          <w:sz w:val="24"/>
          <w:szCs w:val="24"/>
        </w:rPr>
      </w:pPr>
      <w:r>
        <w:rPr>
          <w:rFonts w:ascii="宋体" w:hAnsi="宋体"/>
          <w:b/>
          <w:sz w:val="24"/>
          <w:szCs w:val="24"/>
        </w:rPr>
        <w:t>1.  资金落实情况及项目概述</w:t>
      </w:r>
    </w:p>
    <w:p w14:paraId="5551CC0F">
      <w:pPr>
        <w:spacing w:line="360" w:lineRule="auto"/>
        <w:ind w:left="361" w:leftChars="-27" w:hanging="417" w:hangingChars="174"/>
        <w:rPr>
          <w:rFonts w:hint="eastAsia" w:ascii="宋体" w:hAnsi="宋体"/>
          <w:sz w:val="24"/>
          <w:szCs w:val="24"/>
        </w:rPr>
      </w:pPr>
      <w:r>
        <w:rPr>
          <w:rFonts w:ascii="宋体" w:hAnsi="宋体"/>
          <w:sz w:val="24"/>
          <w:szCs w:val="24"/>
        </w:rPr>
        <w:t>1.1 资金来源：详见投标人须知前附表。</w:t>
      </w:r>
    </w:p>
    <w:p w14:paraId="3E0E2FBE">
      <w:pPr>
        <w:spacing w:line="360" w:lineRule="auto"/>
        <w:ind w:left="361" w:leftChars="-27" w:hanging="417" w:hangingChars="174"/>
        <w:rPr>
          <w:rFonts w:hint="eastAsia" w:ascii="宋体" w:hAnsi="宋体"/>
          <w:sz w:val="24"/>
          <w:szCs w:val="24"/>
        </w:rPr>
      </w:pPr>
      <w:r>
        <w:rPr>
          <w:rFonts w:ascii="宋体" w:hAnsi="宋体"/>
          <w:sz w:val="24"/>
          <w:szCs w:val="24"/>
        </w:rPr>
        <w:t>1.2 资金落实情况：资金已落实。</w:t>
      </w:r>
    </w:p>
    <w:p w14:paraId="414A7320">
      <w:pPr>
        <w:spacing w:line="360" w:lineRule="auto"/>
        <w:ind w:left="361" w:leftChars="-27" w:hanging="417" w:hangingChars="174"/>
        <w:rPr>
          <w:rFonts w:hint="eastAsia" w:ascii="宋体" w:hAnsi="宋体"/>
          <w:b/>
          <w:sz w:val="24"/>
          <w:szCs w:val="24"/>
        </w:rPr>
      </w:pPr>
      <w:r>
        <w:rPr>
          <w:rFonts w:ascii="宋体" w:hAnsi="宋体"/>
          <w:sz w:val="24"/>
          <w:szCs w:val="24"/>
        </w:rPr>
        <w:t>1.3 项目概述：详见投标人须知前附表。</w:t>
      </w:r>
    </w:p>
    <w:p w14:paraId="602F6A11">
      <w:pPr>
        <w:spacing w:line="360" w:lineRule="auto"/>
        <w:rPr>
          <w:rFonts w:hint="eastAsia" w:ascii="宋体" w:hAnsi="宋体"/>
          <w:b/>
          <w:sz w:val="24"/>
          <w:szCs w:val="24"/>
        </w:rPr>
      </w:pPr>
      <w:r>
        <w:rPr>
          <w:rFonts w:ascii="宋体" w:hAnsi="宋体"/>
          <w:b/>
          <w:sz w:val="24"/>
          <w:szCs w:val="24"/>
        </w:rPr>
        <w:t>2.  合格的投标人资格</w:t>
      </w:r>
      <w:r>
        <w:rPr>
          <w:rFonts w:hint="eastAsia" w:ascii="宋体" w:hAnsi="宋体"/>
          <w:b/>
          <w:sz w:val="24"/>
          <w:szCs w:val="24"/>
        </w:rPr>
        <w:t>条件</w:t>
      </w:r>
    </w:p>
    <w:p w14:paraId="1604E70B">
      <w:pPr>
        <w:spacing w:line="360" w:lineRule="auto"/>
        <w:rPr>
          <w:rFonts w:hint="eastAsia" w:ascii="宋体" w:hAnsi="宋体"/>
          <w:b/>
          <w:sz w:val="24"/>
          <w:szCs w:val="24"/>
        </w:rPr>
      </w:pPr>
      <w:r>
        <w:rPr>
          <w:rFonts w:ascii="宋体" w:hAnsi="宋体"/>
          <w:bCs/>
          <w:sz w:val="24"/>
          <w:szCs w:val="24"/>
        </w:rPr>
        <w:t>2.1 资格</w:t>
      </w:r>
      <w:r>
        <w:rPr>
          <w:rFonts w:hint="eastAsia" w:ascii="宋体" w:hAnsi="宋体"/>
          <w:bCs/>
          <w:sz w:val="24"/>
          <w:szCs w:val="24"/>
        </w:rPr>
        <w:t>条件</w:t>
      </w:r>
      <w:r>
        <w:rPr>
          <w:rFonts w:ascii="宋体" w:hAnsi="宋体"/>
          <w:bCs/>
          <w:sz w:val="24"/>
          <w:szCs w:val="24"/>
        </w:rPr>
        <w:t>详见投标人须知前附表。</w:t>
      </w:r>
    </w:p>
    <w:p w14:paraId="552054CE">
      <w:pPr>
        <w:spacing w:line="360" w:lineRule="auto"/>
        <w:ind w:left="360" w:hanging="360" w:hangingChars="150"/>
        <w:rPr>
          <w:rFonts w:hint="eastAsia" w:ascii="宋体" w:hAnsi="宋体"/>
          <w:bCs/>
          <w:sz w:val="24"/>
          <w:szCs w:val="24"/>
        </w:rPr>
      </w:pPr>
      <w:r>
        <w:rPr>
          <w:rFonts w:ascii="宋体" w:hAnsi="宋体"/>
          <w:bCs/>
          <w:sz w:val="24"/>
          <w:szCs w:val="24"/>
        </w:rPr>
        <w:t>2.2</w:t>
      </w:r>
      <w:r>
        <w:rPr>
          <w:rFonts w:hint="eastAsia" w:ascii="宋体" w:hAnsi="宋体"/>
          <w:bCs/>
          <w:sz w:val="24"/>
          <w:szCs w:val="24"/>
        </w:rPr>
        <w:t xml:space="preserve"> </w:t>
      </w:r>
      <w:r>
        <w:rPr>
          <w:rFonts w:ascii="宋体" w:hAnsi="宋体"/>
          <w:bCs/>
          <w:sz w:val="24"/>
          <w:szCs w:val="24"/>
        </w:rPr>
        <w:t>除非本须知前附表另有规定，本次招标不接受联合体投标，不允许转包、分包。</w:t>
      </w:r>
    </w:p>
    <w:p w14:paraId="54624B6F">
      <w:pPr>
        <w:pStyle w:val="44"/>
        <w:spacing w:line="360" w:lineRule="auto"/>
        <w:ind w:firstLine="480"/>
        <w:rPr>
          <w:rFonts w:hint="eastAsia" w:ascii="宋体" w:hAnsi="宋体" w:cs="SSJ-PK74820000023-Identity-H"/>
          <w:szCs w:val="24"/>
        </w:rPr>
      </w:pPr>
      <w:r>
        <w:rPr>
          <w:rFonts w:hint="eastAsia" w:ascii="宋体" w:hAnsi="宋体"/>
          <w:bCs/>
          <w:szCs w:val="24"/>
        </w:rPr>
        <w:t>2.2.1</w:t>
      </w:r>
      <w:r>
        <w:rPr>
          <w:rFonts w:hint="eastAsia" w:ascii="宋体" w:hAnsi="宋体"/>
          <w:szCs w:val="24"/>
        </w:rPr>
        <w:t>若本项目接受联合体投标，则两个以上的自然人、法人或者其他组织可以组成一个</w:t>
      </w:r>
      <w:r>
        <w:rPr>
          <w:rFonts w:hint="eastAsia" w:ascii="宋体" w:hAnsi="宋体" w:cs="SSJ-PK74820000023-Identity-H"/>
          <w:szCs w:val="24"/>
        </w:rPr>
        <w:t>联合体，以一个投标人的身份共同参加政府采购。</w:t>
      </w:r>
    </w:p>
    <w:p w14:paraId="59F4D10B">
      <w:pPr>
        <w:pStyle w:val="44"/>
        <w:spacing w:line="360" w:lineRule="auto"/>
        <w:ind w:firstLine="1080" w:firstLineChars="450"/>
        <w:rPr>
          <w:rFonts w:hint="eastAsia" w:ascii="宋体" w:hAnsi="宋体" w:cs="SSJ-PK74820000023-Identity-H"/>
          <w:szCs w:val="24"/>
        </w:rPr>
      </w:pPr>
      <w:r>
        <w:rPr>
          <w:rFonts w:hint="eastAsia" w:ascii="宋体" w:hAnsi="宋体" w:cs="SSJ-PK74820000023-Identity-H"/>
          <w:szCs w:val="24"/>
        </w:rPr>
        <w:t>以联合体形式参加投标的，联合体各方应按第二章要求提供资格条件材料。</w:t>
      </w:r>
    </w:p>
    <w:p w14:paraId="2004662B">
      <w:pPr>
        <w:pStyle w:val="44"/>
        <w:spacing w:line="360" w:lineRule="auto"/>
        <w:ind w:firstLine="1080" w:firstLineChars="450"/>
        <w:rPr>
          <w:rFonts w:hint="eastAsia" w:ascii="宋体" w:hAnsi="宋体" w:cs="SSJ-PK74820000023-Identity-H"/>
          <w:szCs w:val="24"/>
        </w:rPr>
      </w:pPr>
      <w:r>
        <w:rPr>
          <w:rFonts w:hint="eastAsia" w:ascii="宋体" w:hAnsi="宋体" w:cs="SSJ-PK74820000023-Identity-H"/>
          <w:szCs w:val="24"/>
        </w:rPr>
        <w:t>联合体应当提交联合协议，载明联合体各方承担的工作和义务。</w:t>
      </w:r>
    </w:p>
    <w:p w14:paraId="63D04AEC">
      <w:pPr>
        <w:pStyle w:val="44"/>
        <w:spacing w:line="360" w:lineRule="auto"/>
        <w:ind w:firstLine="1080" w:firstLineChars="450"/>
        <w:rPr>
          <w:rFonts w:hint="eastAsia" w:ascii="宋体" w:hAnsi="宋体" w:cs="SSJ-PK74820000023-Identity-H"/>
          <w:szCs w:val="24"/>
        </w:rPr>
      </w:pPr>
      <w:r>
        <w:rPr>
          <w:rFonts w:hint="eastAsia" w:ascii="宋体" w:hAnsi="宋体" w:cs="SSJ-PK74820000023-Identity-H"/>
          <w:szCs w:val="24"/>
        </w:rPr>
        <w:t>联合体各方应当共同与采购人签订采购合同，就采购合同约定的事项对采购人承担连带责任。</w:t>
      </w:r>
    </w:p>
    <w:p w14:paraId="48D72EA1">
      <w:pPr>
        <w:autoSpaceDE w:val="0"/>
        <w:autoSpaceDN w:val="0"/>
        <w:adjustRightInd w:val="0"/>
        <w:spacing w:line="360" w:lineRule="auto"/>
        <w:rPr>
          <w:rFonts w:hint="eastAsia" w:ascii="宋体" w:hAnsi="宋体" w:cs="SSJ-PK74820000023-Identity-H"/>
          <w:kern w:val="0"/>
          <w:sz w:val="24"/>
          <w:szCs w:val="24"/>
        </w:rPr>
      </w:pPr>
      <w:r>
        <w:rPr>
          <w:rFonts w:ascii="宋体" w:hAnsi="宋体"/>
          <w:bCs/>
          <w:sz w:val="24"/>
          <w:szCs w:val="24"/>
        </w:rPr>
        <w:t>2.3</w:t>
      </w:r>
      <w:r>
        <w:rPr>
          <w:rFonts w:hint="eastAsia" w:ascii="宋体" w:hAnsi="宋体"/>
          <w:bCs/>
          <w:sz w:val="24"/>
          <w:szCs w:val="24"/>
        </w:rPr>
        <w:t xml:space="preserve"> </w:t>
      </w:r>
      <w:r>
        <w:rPr>
          <w:rFonts w:hint="eastAsia" w:ascii="宋体" w:hAnsi="宋体" w:cs="SSJ-PK74820000023-Identity-H"/>
          <w:kern w:val="0"/>
          <w:sz w:val="24"/>
          <w:szCs w:val="24"/>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0224A9BD">
      <w:pPr>
        <w:autoSpaceDE w:val="0"/>
        <w:autoSpaceDN w:val="0"/>
        <w:adjustRightInd w:val="0"/>
        <w:spacing w:line="360" w:lineRule="auto"/>
        <w:rPr>
          <w:rFonts w:hint="eastAsia" w:ascii="宋体" w:hAnsi="宋体" w:cs="SSJ-PK74820000023-Identity-H"/>
          <w:kern w:val="0"/>
          <w:sz w:val="24"/>
          <w:szCs w:val="24"/>
        </w:rPr>
      </w:pPr>
      <w:r>
        <w:rPr>
          <w:rFonts w:hint="eastAsia" w:ascii="宋体" w:hAnsi="宋体" w:cs="SSJ-PK74820000023-Identity-H"/>
          <w:kern w:val="0"/>
          <w:sz w:val="24"/>
          <w:szCs w:val="24"/>
        </w:rPr>
        <w:t>2.4 因违法经营受到刑事处罚或者责令停产停业、吊销许可证或者执照、较大数额罚款等行政处罚，或者存在财政部门认定的其他重大违法记录，以及在财政部门禁止参加政府采购活动期限以内的。</w:t>
      </w:r>
    </w:p>
    <w:p w14:paraId="53906391">
      <w:pPr>
        <w:autoSpaceDE w:val="0"/>
        <w:autoSpaceDN w:val="0"/>
        <w:adjustRightInd w:val="0"/>
        <w:spacing w:line="360" w:lineRule="auto"/>
        <w:rPr>
          <w:rFonts w:hint="eastAsia" w:ascii="宋体" w:hAnsi="宋体" w:cs="SSJ-PK74820000023-Identity-H"/>
          <w:kern w:val="0"/>
          <w:sz w:val="24"/>
          <w:szCs w:val="24"/>
        </w:rPr>
      </w:pPr>
      <w:r>
        <w:rPr>
          <w:rFonts w:hint="eastAsia" w:ascii="宋体" w:hAnsi="宋体" w:cs="SSJ-PK74820000023-Identity-H"/>
          <w:kern w:val="0"/>
          <w:sz w:val="24"/>
          <w:szCs w:val="24"/>
        </w:rPr>
        <w:t>2.5 “重大违法记录”，是指投标人因违法经营受到刑事处罚或者责令停产停业、吊销许可证或者执照、较大数额罚款等行政处罚。</w:t>
      </w:r>
    </w:p>
    <w:p w14:paraId="65489C73">
      <w:pPr>
        <w:autoSpaceDE w:val="0"/>
        <w:autoSpaceDN w:val="0"/>
        <w:adjustRightInd w:val="0"/>
        <w:spacing w:line="360" w:lineRule="auto"/>
        <w:rPr>
          <w:rFonts w:hint="eastAsia" w:ascii="宋体" w:hAnsi="宋体" w:cs="SSJ-PK74820000023-Identity-H"/>
          <w:kern w:val="0"/>
          <w:sz w:val="24"/>
          <w:szCs w:val="24"/>
        </w:rPr>
      </w:pPr>
      <w:r>
        <w:rPr>
          <w:rFonts w:hint="eastAsia" w:ascii="宋体" w:hAnsi="宋体" w:cs="SSJ-PK74820000023-Identity-H"/>
          <w:kern w:val="0"/>
          <w:sz w:val="24"/>
          <w:szCs w:val="24"/>
        </w:rPr>
        <w:t>投标人在参加政府采购活动前3年内因违法经营被禁止在一定期限内参加政府采购活动，期限届满的，可以参加政府采购活动。</w:t>
      </w:r>
    </w:p>
    <w:p w14:paraId="2DA6D267">
      <w:pPr>
        <w:autoSpaceDE w:val="0"/>
        <w:autoSpaceDN w:val="0"/>
        <w:adjustRightInd w:val="0"/>
        <w:spacing w:line="360" w:lineRule="auto"/>
        <w:rPr>
          <w:rFonts w:hint="eastAsia" w:ascii="宋体" w:hAnsi="宋体" w:cs="SSJ-PK74820000023-Identity-H"/>
          <w:kern w:val="0"/>
          <w:sz w:val="24"/>
          <w:szCs w:val="24"/>
        </w:rPr>
      </w:pPr>
      <w:r>
        <w:rPr>
          <w:rFonts w:hint="eastAsia" w:ascii="宋体" w:hAnsi="宋体" w:cs="SSJ-PK74820000023-Identity-H"/>
          <w:kern w:val="0"/>
          <w:sz w:val="24"/>
          <w:szCs w:val="24"/>
        </w:rPr>
        <w:t>“较大数额罚款”认定为200万元以上的罚款，法律、行政法规以及国务院有关部门明确规定相关领域“较大数额罚款”标准高于200万元的，从其规定。</w:t>
      </w:r>
    </w:p>
    <w:p w14:paraId="73E27F19">
      <w:pPr>
        <w:spacing w:line="360" w:lineRule="auto"/>
        <w:contextualSpacing/>
        <w:rPr>
          <w:rFonts w:hint="eastAsia" w:ascii="宋体" w:hAnsi="宋体"/>
          <w:bCs/>
          <w:sz w:val="24"/>
          <w:szCs w:val="24"/>
        </w:rPr>
      </w:pPr>
      <w:r>
        <w:rPr>
          <w:rFonts w:ascii="宋体" w:hAnsi="宋体"/>
          <w:bCs/>
          <w:sz w:val="24"/>
          <w:szCs w:val="24"/>
        </w:rPr>
        <w:t>2.6 不符合</w:t>
      </w:r>
      <w:r>
        <w:rPr>
          <w:rFonts w:hint="eastAsia" w:ascii="宋体" w:hAnsi="宋体"/>
          <w:bCs/>
          <w:sz w:val="24"/>
          <w:szCs w:val="24"/>
        </w:rPr>
        <w:t>本项目</w:t>
      </w:r>
      <w:r>
        <w:rPr>
          <w:rFonts w:ascii="宋体" w:hAnsi="宋体"/>
          <w:bCs/>
          <w:sz w:val="24"/>
          <w:szCs w:val="24"/>
        </w:rPr>
        <w:t>合格投标人资格</w:t>
      </w:r>
      <w:r>
        <w:rPr>
          <w:rFonts w:hint="eastAsia" w:ascii="宋体" w:hAnsi="宋体"/>
          <w:bCs/>
          <w:sz w:val="24"/>
          <w:szCs w:val="24"/>
        </w:rPr>
        <w:t>条件</w:t>
      </w:r>
      <w:r>
        <w:rPr>
          <w:rFonts w:ascii="宋体" w:hAnsi="宋体"/>
          <w:bCs/>
          <w:sz w:val="24"/>
          <w:szCs w:val="24"/>
        </w:rPr>
        <w:t>的投标，将被视为无效投标。</w:t>
      </w:r>
    </w:p>
    <w:p w14:paraId="5332DF70">
      <w:pPr>
        <w:spacing w:line="360" w:lineRule="auto"/>
        <w:rPr>
          <w:rFonts w:hint="eastAsia" w:ascii="宋体" w:hAnsi="宋体"/>
          <w:b/>
          <w:sz w:val="24"/>
          <w:szCs w:val="24"/>
        </w:rPr>
      </w:pPr>
      <w:r>
        <w:rPr>
          <w:rFonts w:ascii="宋体" w:hAnsi="宋体"/>
          <w:b/>
          <w:sz w:val="24"/>
          <w:szCs w:val="24"/>
        </w:rPr>
        <w:t>3.  合格的货物及有关服务</w:t>
      </w:r>
    </w:p>
    <w:p w14:paraId="61B2A12E">
      <w:pPr>
        <w:spacing w:line="360" w:lineRule="auto"/>
        <w:contextualSpacing/>
        <w:rPr>
          <w:rFonts w:hint="eastAsia" w:ascii="宋体" w:hAnsi="宋体"/>
          <w:sz w:val="24"/>
          <w:szCs w:val="24"/>
        </w:rPr>
      </w:pPr>
      <w:r>
        <w:rPr>
          <w:rFonts w:ascii="宋体" w:hAnsi="宋体"/>
          <w:sz w:val="24"/>
          <w:szCs w:val="24"/>
        </w:rPr>
        <w:t>3.1投标及合同中提供的所有货物及有关服务的原产地，均应来自中华人民共和国国内或是与中华人民共和国有正常贸易往来的国家或地区的合格来源国，本合同的支付也仅限于这些货物和服务。不符合上述来源要求的货物和服务将被视为无效投标。</w:t>
      </w:r>
    </w:p>
    <w:p w14:paraId="1CDE4538">
      <w:pPr>
        <w:spacing w:line="360" w:lineRule="auto"/>
        <w:contextualSpacing/>
        <w:rPr>
          <w:rFonts w:hint="eastAsia" w:ascii="宋体" w:hAnsi="宋体"/>
          <w:sz w:val="24"/>
          <w:szCs w:val="24"/>
        </w:rPr>
      </w:pPr>
      <w:r>
        <w:rPr>
          <w:rFonts w:hint="eastAsia" w:ascii="宋体" w:hAnsi="宋体"/>
          <w:sz w:val="24"/>
          <w:szCs w:val="24"/>
        </w:rPr>
        <w:t>3.2</w:t>
      </w:r>
      <w:r>
        <w:rPr>
          <w:rFonts w:ascii="宋体" w:hAnsi="宋体"/>
          <w:sz w:val="24"/>
          <w:szCs w:val="24"/>
        </w:rPr>
        <w:t>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16123137">
      <w:pPr>
        <w:spacing w:line="360" w:lineRule="auto"/>
        <w:contextualSpacing/>
        <w:rPr>
          <w:rFonts w:hint="eastAsia" w:ascii="宋体" w:hAnsi="宋体"/>
          <w:sz w:val="24"/>
          <w:szCs w:val="24"/>
        </w:rPr>
      </w:pPr>
      <w:r>
        <w:rPr>
          <w:rFonts w:hint="eastAsia" w:ascii="宋体" w:hAnsi="宋体"/>
          <w:sz w:val="24"/>
          <w:szCs w:val="24"/>
        </w:rPr>
        <w:t>3.3进口产品指通过中国海关报关验放进入中国境内且产自关境外的产品，包括已经进入中国境内的进口产品。关于进口产品的相关规定依据《政府采购进口产品管理办法》（财库〔2007〕119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52F6C37A">
      <w:pPr>
        <w:spacing w:line="360" w:lineRule="auto"/>
        <w:ind w:left="720" w:hanging="720" w:hangingChars="300"/>
        <w:contextualSpacing/>
        <w:rPr>
          <w:rFonts w:hint="eastAsia" w:ascii="宋体" w:hAnsi="宋体"/>
          <w:sz w:val="24"/>
          <w:szCs w:val="24"/>
        </w:rPr>
      </w:pPr>
      <w:r>
        <w:rPr>
          <w:rFonts w:ascii="宋体" w:hAnsi="宋体"/>
          <w:sz w:val="24"/>
          <w:szCs w:val="24"/>
        </w:rPr>
        <w:t>3.</w:t>
      </w:r>
      <w:r>
        <w:rPr>
          <w:rFonts w:hint="eastAsia" w:ascii="宋体" w:hAnsi="宋体"/>
          <w:sz w:val="24"/>
          <w:szCs w:val="24"/>
        </w:rPr>
        <w:t>4</w:t>
      </w:r>
      <w:r>
        <w:rPr>
          <w:rFonts w:ascii="宋体" w:hAnsi="宋体"/>
          <w:sz w:val="24"/>
          <w:szCs w:val="24"/>
        </w:rPr>
        <w:t>货物和服务的原产地可以有别于投标人的国籍。</w:t>
      </w:r>
    </w:p>
    <w:p w14:paraId="5FB5F782">
      <w:pPr>
        <w:spacing w:line="360" w:lineRule="auto"/>
        <w:ind w:left="-2"/>
        <w:rPr>
          <w:rFonts w:hint="eastAsia" w:ascii="宋体" w:hAnsi="宋体"/>
          <w:sz w:val="24"/>
          <w:szCs w:val="24"/>
        </w:rPr>
      </w:pPr>
      <w:r>
        <w:rPr>
          <w:rFonts w:ascii="宋体" w:hAnsi="宋体"/>
          <w:sz w:val="24"/>
          <w:szCs w:val="24"/>
        </w:rPr>
        <w:t>3.</w:t>
      </w:r>
      <w:r>
        <w:rPr>
          <w:rFonts w:hint="eastAsia" w:ascii="宋体" w:hAnsi="宋体"/>
          <w:sz w:val="24"/>
          <w:szCs w:val="24"/>
        </w:rPr>
        <w:t>5</w:t>
      </w:r>
      <w:r>
        <w:rPr>
          <w:rFonts w:ascii="宋体" w:hAnsi="宋体"/>
          <w:sz w:val="24"/>
          <w:szCs w:val="24"/>
        </w:rPr>
        <w:t>通过签署投标函和提供有效的授权书，投标人应确认其为所提供货物的合法所有人，或已经从其所有人那里得到合法有效的授权（仅适用于进口货物）。若在此方面提供错误事实，其投标将被视为无效投标。</w:t>
      </w:r>
    </w:p>
    <w:p w14:paraId="62E52E69">
      <w:pPr>
        <w:spacing w:line="360" w:lineRule="auto"/>
        <w:rPr>
          <w:rFonts w:hint="eastAsia" w:ascii="宋体" w:hAnsi="宋体"/>
          <w:b/>
          <w:sz w:val="24"/>
          <w:szCs w:val="24"/>
        </w:rPr>
      </w:pPr>
      <w:r>
        <w:rPr>
          <w:rFonts w:ascii="宋体" w:hAnsi="宋体"/>
          <w:b/>
          <w:sz w:val="24"/>
          <w:szCs w:val="24"/>
        </w:rPr>
        <w:t>4.  投标费用</w:t>
      </w:r>
    </w:p>
    <w:p w14:paraId="0D325979">
      <w:pPr>
        <w:spacing w:line="360" w:lineRule="auto"/>
        <w:rPr>
          <w:rFonts w:hint="eastAsia" w:ascii="宋体" w:hAnsi="宋体"/>
          <w:bCs/>
          <w:sz w:val="24"/>
          <w:szCs w:val="24"/>
        </w:rPr>
      </w:pPr>
      <w:r>
        <w:rPr>
          <w:rFonts w:ascii="宋体" w:hAnsi="宋体"/>
          <w:bCs/>
          <w:sz w:val="24"/>
          <w:szCs w:val="24"/>
        </w:rPr>
        <w:t>4.1投标人应承担所有与准备和参加投标的有关费用，不论投标的结果如何，采购人和采购代理机构在任何情况下均无义务和责任承担这些费用。</w:t>
      </w:r>
    </w:p>
    <w:p w14:paraId="5F9F3CF0">
      <w:pPr>
        <w:spacing w:line="360" w:lineRule="auto"/>
        <w:rPr>
          <w:rFonts w:hint="eastAsia" w:ascii="宋体" w:hAnsi="宋体"/>
          <w:bCs/>
          <w:sz w:val="24"/>
          <w:szCs w:val="24"/>
        </w:rPr>
      </w:pPr>
      <w:r>
        <w:rPr>
          <w:rFonts w:ascii="宋体" w:hAnsi="宋体"/>
          <w:bCs/>
          <w:sz w:val="24"/>
          <w:szCs w:val="24"/>
        </w:rPr>
        <w:t>4.2 投标人应承担本须知前附表所要求的其他费用。</w:t>
      </w:r>
    </w:p>
    <w:p w14:paraId="7AF1B60D">
      <w:pPr>
        <w:spacing w:line="360" w:lineRule="auto"/>
        <w:jc w:val="center"/>
        <w:outlineLvl w:val="1"/>
        <w:rPr>
          <w:rFonts w:hint="eastAsia" w:ascii="宋体" w:hAnsi="宋体"/>
          <w:b/>
          <w:spacing w:val="60"/>
          <w:sz w:val="24"/>
          <w:szCs w:val="24"/>
        </w:rPr>
      </w:pPr>
      <w:bookmarkStart w:id="23" w:name="_Toc115623226"/>
      <w:bookmarkStart w:id="24" w:name="_Toc176023816"/>
      <w:bookmarkStart w:id="25" w:name="_Toc161643970"/>
      <w:r>
        <w:rPr>
          <w:rFonts w:ascii="宋体" w:hAnsi="宋体"/>
          <w:b/>
          <w:spacing w:val="60"/>
          <w:sz w:val="24"/>
          <w:szCs w:val="24"/>
        </w:rPr>
        <w:t>二、招标文件</w:t>
      </w:r>
      <w:bookmarkEnd w:id="23"/>
      <w:bookmarkEnd w:id="24"/>
      <w:bookmarkEnd w:id="25"/>
    </w:p>
    <w:p w14:paraId="25E1FC06">
      <w:pPr>
        <w:spacing w:line="360" w:lineRule="auto"/>
        <w:rPr>
          <w:rFonts w:hint="eastAsia" w:ascii="宋体" w:hAnsi="宋体"/>
          <w:b/>
          <w:sz w:val="24"/>
          <w:szCs w:val="24"/>
        </w:rPr>
      </w:pPr>
      <w:r>
        <w:rPr>
          <w:rFonts w:ascii="宋体" w:hAnsi="宋体"/>
          <w:b/>
          <w:sz w:val="24"/>
          <w:szCs w:val="24"/>
        </w:rPr>
        <w:t>5.  招标文件构成</w:t>
      </w:r>
    </w:p>
    <w:p w14:paraId="698E29D9">
      <w:pPr>
        <w:spacing w:line="360" w:lineRule="auto"/>
        <w:rPr>
          <w:rFonts w:hint="eastAsia" w:ascii="宋体" w:hAnsi="宋体"/>
          <w:bCs/>
          <w:sz w:val="24"/>
          <w:szCs w:val="24"/>
        </w:rPr>
      </w:pPr>
      <w:r>
        <w:rPr>
          <w:rFonts w:ascii="宋体" w:hAnsi="宋体"/>
          <w:bCs/>
          <w:sz w:val="24"/>
          <w:szCs w:val="24"/>
        </w:rPr>
        <w:t>5.1 招标文件包括：</w:t>
      </w:r>
    </w:p>
    <w:tbl>
      <w:tblPr>
        <w:tblStyle w:val="36"/>
        <w:tblW w:w="0" w:type="auto"/>
        <w:tblInd w:w="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6740"/>
      </w:tblGrid>
      <w:tr w14:paraId="1588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0DE86877">
            <w:pPr>
              <w:spacing w:line="360" w:lineRule="auto"/>
              <w:jc w:val="center"/>
              <w:rPr>
                <w:rFonts w:hint="eastAsia" w:ascii="宋体" w:hAnsi="宋体"/>
                <w:bCs/>
                <w:sz w:val="24"/>
                <w:szCs w:val="24"/>
              </w:rPr>
            </w:pPr>
            <w:r>
              <w:rPr>
                <w:rFonts w:ascii="宋体" w:hAnsi="宋体"/>
                <w:bCs/>
                <w:sz w:val="24"/>
                <w:szCs w:val="24"/>
              </w:rPr>
              <w:t>章节</w:t>
            </w:r>
          </w:p>
        </w:tc>
        <w:tc>
          <w:tcPr>
            <w:tcW w:w="6740" w:type="dxa"/>
            <w:vAlign w:val="center"/>
          </w:tcPr>
          <w:p w14:paraId="27FC4FA9">
            <w:pPr>
              <w:spacing w:line="360" w:lineRule="auto"/>
              <w:jc w:val="center"/>
              <w:rPr>
                <w:rFonts w:hint="eastAsia" w:ascii="宋体" w:hAnsi="宋体"/>
                <w:bCs/>
                <w:sz w:val="24"/>
                <w:szCs w:val="24"/>
              </w:rPr>
            </w:pPr>
          </w:p>
        </w:tc>
      </w:tr>
      <w:tr w14:paraId="561F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3AB6C185">
            <w:pPr>
              <w:spacing w:line="360" w:lineRule="auto"/>
              <w:jc w:val="center"/>
              <w:rPr>
                <w:rFonts w:hint="eastAsia" w:ascii="宋体" w:hAnsi="宋体"/>
                <w:bCs/>
                <w:sz w:val="24"/>
                <w:szCs w:val="24"/>
              </w:rPr>
            </w:pPr>
          </w:p>
        </w:tc>
        <w:tc>
          <w:tcPr>
            <w:tcW w:w="6740" w:type="dxa"/>
            <w:vAlign w:val="center"/>
          </w:tcPr>
          <w:p w14:paraId="102AD44D">
            <w:pPr>
              <w:spacing w:line="360" w:lineRule="auto"/>
              <w:rPr>
                <w:rFonts w:hint="eastAsia" w:ascii="宋体" w:hAnsi="宋体"/>
                <w:bCs/>
                <w:sz w:val="24"/>
                <w:szCs w:val="24"/>
              </w:rPr>
            </w:pPr>
            <w:r>
              <w:rPr>
                <w:rFonts w:ascii="宋体" w:hAnsi="宋体"/>
                <w:bCs/>
                <w:sz w:val="24"/>
                <w:szCs w:val="24"/>
              </w:rPr>
              <w:t>投标邀请</w:t>
            </w:r>
          </w:p>
        </w:tc>
      </w:tr>
      <w:tr w14:paraId="3B2F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07A5EFE2">
            <w:pPr>
              <w:spacing w:line="360" w:lineRule="auto"/>
              <w:jc w:val="center"/>
              <w:rPr>
                <w:rFonts w:hint="eastAsia" w:ascii="宋体" w:hAnsi="宋体"/>
                <w:bCs/>
                <w:sz w:val="24"/>
                <w:szCs w:val="24"/>
              </w:rPr>
            </w:pPr>
            <w:r>
              <w:rPr>
                <w:rFonts w:ascii="宋体" w:hAnsi="宋体"/>
                <w:bCs/>
                <w:sz w:val="24"/>
                <w:szCs w:val="24"/>
              </w:rPr>
              <w:t>1</w:t>
            </w:r>
          </w:p>
        </w:tc>
        <w:tc>
          <w:tcPr>
            <w:tcW w:w="6740" w:type="dxa"/>
            <w:vAlign w:val="center"/>
          </w:tcPr>
          <w:p w14:paraId="03F077C3">
            <w:pPr>
              <w:spacing w:line="360" w:lineRule="auto"/>
              <w:rPr>
                <w:rFonts w:hint="eastAsia" w:ascii="宋体" w:hAnsi="宋体"/>
                <w:bCs/>
                <w:sz w:val="24"/>
                <w:szCs w:val="24"/>
              </w:rPr>
            </w:pPr>
            <w:r>
              <w:rPr>
                <w:rFonts w:ascii="宋体" w:hAnsi="宋体"/>
                <w:bCs/>
                <w:sz w:val="24"/>
                <w:szCs w:val="24"/>
              </w:rPr>
              <w:t>投标人须知前附表和投标人须知</w:t>
            </w:r>
          </w:p>
        </w:tc>
      </w:tr>
      <w:tr w14:paraId="6D65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676" w:type="dxa"/>
            <w:vAlign w:val="center"/>
          </w:tcPr>
          <w:p w14:paraId="1CAAAD17">
            <w:pPr>
              <w:spacing w:line="360" w:lineRule="auto"/>
              <w:jc w:val="center"/>
              <w:rPr>
                <w:rFonts w:hint="eastAsia" w:ascii="宋体" w:hAnsi="宋体"/>
                <w:bCs/>
                <w:sz w:val="24"/>
                <w:szCs w:val="24"/>
              </w:rPr>
            </w:pPr>
            <w:r>
              <w:rPr>
                <w:rFonts w:ascii="宋体" w:hAnsi="宋体"/>
                <w:bCs/>
                <w:sz w:val="24"/>
                <w:szCs w:val="24"/>
              </w:rPr>
              <w:t>2</w:t>
            </w:r>
          </w:p>
        </w:tc>
        <w:tc>
          <w:tcPr>
            <w:tcW w:w="6740" w:type="dxa"/>
            <w:vAlign w:val="center"/>
          </w:tcPr>
          <w:p w14:paraId="5ABF0666">
            <w:pPr>
              <w:spacing w:line="360" w:lineRule="auto"/>
              <w:rPr>
                <w:rFonts w:hint="eastAsia" w:ascii="宋体" w:hAnsi="宋体"/>
                <w:bCs/>
                <w:sz w:val="24"/>
                <w:szCs w:val="24"/>
              </w:rPr>
            </w:pPr>
            <w:r>
              <w:rPr>
                <w:rFonts w:ascii="宋体" w:hAnsi="宋体"/>
                <w:bCs/>
                <w:sz w:val="24"/>
                <w:szCs w:val="24"/>
              </w:rPr>
              <w:t>技术总体要求</w:t>
            </w:r>
          </w:p>
        </w:tc>
      </w:tr>
      <w:tr w14:paraId="6964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63A0AA11">
            <w:pPr>
              <w:spacing w:line="360" w:lineRule="auto"/>
              <w:jc w:val="center"/>
              <w:rPr>
                <w:rFonts w:hint="eastAsia" w:ascii="宋体" w:hAnsi="宋体"/>
                <w:bCs/>
                <w:sz w:val="24"/>
                <w:szCs w:val="24"/>
              </w:rPr>
            </w:pPr>
            <w:r>
              <w:rPr>
                <w:rFonts w:ascii="宋体" w:hAnsi="宋体"/>
                <w:bCs/>
                <w:sz w:val="24"/>
                <w:szCs w:val="24"/>
              </w:rPr>
              <w:t>3</w:t>
            </w:r>
          </w:p>
        </w:tc>
        <w:tc>
          <w:tcPr>
            <w:tcW w:w="6740" w:type="dxa"/>
            <w:vAlign w:val="center"/>
          </w:tcPr>
          <w:p w14:paraId="25A94264">
            <w:pPr>
              <w:spacing w:line="360" w:lineRule="auto"/>
              <w:rPr>
                <w:rFonts w:hint="eastAsia" w:ascii="宋体" w:hAnsi="宋体"/>
                <w:bCs/>
                <w:sz w:val="24"/>
                <w:szCs w:val="24"/>
              </w:rPr>
            </w:pPr>
            <w:r>
              <w:rPr>
                <w:rFonts w:ascii="宋体" w:hAnsi="宋体"/>
                <w:bCs/>
                <w:sz w:val="24"/>
                <w:szCs w:val="24"/>
              </w:rPr>
              <w:t>合同格式</w:t>
            </w:r>
          </w:p>
        </w:tc>
      </w:tr>
      <w:tr w14:paraId="6E2F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59FD8587">
            <w:pPr>
              <w:spacing w:line="360" w:lineRule="auto"/>
              <w:jc w:val="center"/>
              <w:rPr>
                <w:rFonts w:hint="eastAsia" w:ascii="宋体" w:hAnsi="宋体"/>
                <w:bCs/>
                <w:sz w:val="24"/>
                <w:szCs w:val="24"/>
              </w:rPr>
            </w:pPr>
            <w:r>
              <w:rPr>
                <w:rFonts w:ascii="宋体" w:hAnsi="宋体"/>
                <w:bCs/>
                <w:sz w:val="24"/>
                <w:szCs w:val="24"/>
              </w:rPr>
              <w:t>4</w:t>
            </w:r>
          </w:p>
        </w:tc>
        <w:tc>
          <w:tcPr>
            <w:tcW w:w="6740" w:type="dxa"/>
            <w:vAlign w:val="center"/>
          </w:tcPr>
          <w:p w14:paraId="6DF86B0D">
            <w:pPr>
              <w:spacing w:line="360" w:lineRule="auto"/>
              <w:rPr>
                <w:rFonts w:hint="eastAsia" w:ascii="宋体" w:hAnsi="宋体"/>
                <w:bCs/>
                <w:sz w:val="24"/>
                <w:szCs w:val="24"/>
              </w:rPr>
            </w:pPr>
            <w:r>
              <w:rPr>
                <w:rFonts w:ascii="宋体" w:hAnsi="宋体"/>
                <w:bCs/>
                <w:sz w:val="24"/>
                <w:szCs w:val="24"/>
              </w:rPr>
              <w:t>附件</w:t>
            </w:r>
          </w:p>
        </w:tc>
      </w:tr>
      <w:tr w14:paraId="6E00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37ACEFDA">
            <w:pPr>
              <w:spacing w:line="360" w:lineRule="auto"/>
              <w:jc w:val="center"/>
              <w:rPr>
                <w:rFonts w:hint="eastAsia" w:ascii="宋体" w:hAnsi="宋体"/>
                <w:bCs/>
                <w:sz w:val="24"/>
                <w:szCs w:val="24"/>
              </w:rPr>
            </w:pPr>
            <w:r>
              <w:rPr>
                <w:rFonts w:ascii="宋体" w:hAnsi="宋体"/>
                <w:bCs/>
                <w:sz w:val="24"/>
                <w:szCs w:val="24"/>
              </w:rPr>
              <w:t>5</w:t>
            </w:r>
          </w:p>
        </w:tc>
        <w:tc>
          <w:tcPr>
            <w:tcW w:w="6740" w:type="dxa"/>
            <w:vAlign w:val="center"/>
          </w:tcPr>
          <w:p w14:paraId="007A46F4">
            <w:pPr>
              <w:spacing w:line="360" w:lineRule="auto"/>
              <w:rPr>
                <w:rFonts w:hint="eastAsia" w:ascii="宋体" w:hAnsi="宋体"/>
                <w:bCs/>
                <w:sz w:val="24"/>
                <w:szCs w:val="24"/>
              </w:rPr>
            </w:pPr>
            <w:r>
              <w:rPr>
                <w:rFonts w:ascii="宋体" w:hAnsi="宋体"/>
                <w:sz w:val="24"/>
                <w:szCs w:val="24"/>
              </w:rPr>
              <w:t>评标方法及评分标准</w:t>
            </w:r>
          </w:p>
        </w:tc>
      </w:tr>
    </w:tbl>
    <w:p w14:paraId="2DE301DF">
      <w:pPr>
        <w:spacing w:line="360" w:lineRule="auto"/>
        <w:rPr>
          <w:rFonts w:hint="eastAsia" w:ascii="宋体" w:hAnsi="宋体"/>
          <w:sz w:val="24"/>
          <w:szCs w:val="24"/>
        </w:rPr>
      </w:pPr>
      <w:r>
        <w:rPr>
          <w:rFonts w:ascii="宋体" w:hAnsi="宋体"/>
          <w:sz w:val="24"/>
          <w:szCs w:val="24"/>
        </w:rPr>
        <w:t>5.2 投标人应认真阅读招标文件中所有的事项、格式、条款和技术规范等。投标人没有按照招标文件要求提交全部资料，或者投标人没有对招标文件在各方面做出明确响应是投标人的风险，并可能将导致其投标无效。</w:t>
      </w:r>
    </w:p>
    <w:p w14:paraId="78CB9928">
      <w:pPr>
        <w:spacing w:line="360" w:lineRule="auto"/>
        <w:rPr>
          <w:rFonts w:hint="eastAsia" w:ascii="宋体" w:hAnsi="宋体"/>
          <w:sz w:val="24"/>
          <w:szCs w:val="24"/>
        </w:rPr>
      </w:pPr>
      <w:r>
        <w:rPr>
          <w:rFonts w:ascii="宋体" w:hAnsi="宋体"/>
          <w:b/>
          <w:sz w:val="24"/>
          <w:szCs w:val="24"/>
        </w:rPr>
        <w:t xml:space="preserve">6. </w:t>
      </w:r>
      <w:r>
        <w:rPr>
          <w:rFonts w:hint="eastAsia" w:ascii="宋体" w:hAnsi="宋体"/>
          <w:b/>
          <w:sz w:val="24"/>
          <w:szCs w:val="24"/>
        </w:rPr>
        <w:t>现场考察/踏勘/开标前答疑会</w:t>
      </w:r>
    </w:p>
    <w:p w14:paraId="35BF88DF">
      <w:pPr>
        <w:spacing w:line="360" w:lineRule="auto"/>
        <w:rPr>
          <w:rFonts w:hint="eastAsia" w:ascii="宋体" w:hAnsi="宋体"/>
          <w:sz w:val="24"/>
          <w:szCs w:val="24"/>
        </w:rPr>
      </w:pPr>
      <w:r>
        <w:rPr>
          <w:rFonts w:ascii="宋体" w:hAnsi="宋体"/>
          <w:sz w:val="24"/>
          <w:szCs w:val="24"/>
        </w:rPr>
        <w:t>6.1采购人或者采购代理机构将在招标文件提供期限截止后，组织已获取招标文件的潜在投标人</w:t>
      </w:r>
      <w:r>
        <w:rPr>
          <w:rFonts w:hint="eastAsia" w:ascii="宋体" w:hAnsi="宋体"/>
          <w:sz w:val="24"/>
          <w:szCs w:val="24"/>
        </w:rPr>
        <w:t>现场考察/踏勘/开标前答疑会</w:t>
      </w:r>
      <w:r>
        <w:rPr>
          <w:rFonts w:ascii="宋体" w:hAnsi="宋体"/>
          <w:sz w:val="24"/>
          <w:szCs w:val="24"/>
        </w:rPr>
        <w:t>，投标人可派代表自愿参加。</w:t>
      </w:r>
    </w:p>
    <w:p w14:paraId="0FF297E0">
      <w:pPr>
        <w:spacing w:line="360" w:lineRule="auto"/>
        <w:rPr>
          <w:rFonts w:hint="eastAsia" w:ascii="宋体" w:hAnsi="宋体"/>
          <w:sz w:val="24"/>
          <w:szCs w:val="24"/>
        </w:rPr>
      </w:pPr>
      <w:r>
        <w:rPr>
          <w:rFonts w:ascii="宋体" w:hAnsi="宋体"/>
          <w:sz w:val="24"/>
          <w:szCs w:val="24"/>
        </w:rPr>
        <w:t xml:space="preserve">6.2 </w:t>
      </w:r>
      <w:r>
        <w:rPr>
          <w:rFonts w:hint="eastAsia" w:ascii="宋体" w:hAnsi="宋体"/>
          <w:sz w:val="24"/>
          <w:szCs w:val="24"/>
        </w:rPr>
        <w:t>相关</w:t>
      </w:r>
      <w:r>
        <w:rPr>
          <w:rFonts w:ascii="宋体" w:hAnsi="宋体"/>
          <w:sz w:val="24"/>
          <w:szCs w:val="24"/>
        </w:rPr>
        <w:t>具体时间和地点详见投标人须知前附表。</w:t>
      </w:r>
    </w:p>
    <w:p w14:paraId="68B91D14">
      <w:pPr>
        <w:spacing w:line="360" w:lineRule="auto"/>
        <w:rPr>
          <w:rFonts w:hint="eastAsia" w:ascii="宋体" w:hAnsi="宋体"/>
          <w:sz w:val="24"/>
          <w:szCs w:val="24"/>
        </w:rPr>
      </w:pPr>
      <w:r>
        <w:rPr>
          <w:rFonts w:hint="eastAsia" w:ascii="宋体" w:hAnsi="宋体"/>
          <w:sz w:val="24"/>
          <w:szCs w:val="24"/>
        </w:rPr>
        <w:t>6.3考察或踏勘现场的费用由投标人自己承担，考察或踏勘期间所发生的人身伤害及财产损失由投标人自己负责。</w:t>
      </w:r>
    </w:p>
    <w:p w14:paraId="209D64A8">
      <w:pPr>
        <w:spacing w:line="360" w:lineRule="auto"/>
        <w:rPr>
          <w:rFonts w:hint="eastAsia" w:ascii="宋体" w:hAnsi="宋体"/>
          <w:sz w:val="24"/>
          <w:szCs w:val="24"/>
        </w:rPr>
      </w:pPr>
      <w:r>
        <w:rPr>
          <w:rFonts w:hint="eastAsia" w:ascii="宋体" w:hAnsi="宋体"/>
          <w:sz w:val="24"/>
          <w:szCs w:val="24"/>
        </w:rPr>
        <w:t>6.4采购人或采购代理机构不对投标人据此而做出的推论、理解和结论负责。一旦中标，供应商不得以任何借口，提出额外补偿，或延长合同期限的要求。</w:t>
      </w:r>
    </w:p>
    <w:p w14:paraId="512B3315">
      <w:pPr>
        <w:spacing w:line="360" w:lineRule="auto"/>
        <w:rPr>
          <w:rFonts w:hint="eastAsia" w:ascii="宋体" w:hAnsi="宋体"/>
          <w:b/>
          <w:sz w:val="24"/>
          <w:szCs w:val="24"/>
        </w:rPr>
      </w:pPr>
      <w:r>
        <w:rPr>
          <w:rFonts w:ascii="宋体" w:hAnsi="宋体"/>
          <w:b/>
          <w:sz w:val="24"/>
          <w:szCs w:val="24"/>
        </w:rPr>
        <w:t>7.  招标文件的询问和质疑</w:t>
      </w:r>
    </w:p>
    <w:p w14:paraId="0153935C">
      <w:pPr>
        <w:spacing w:line="360" w:lineRule="auto"/>
        <w:contextualSpacing/>
        <w:rPr>
          <w:rFonts w:hint="eastAsia" w:ascii="宋体" w:hAnsi="宋体"/>
          <w:sz w:val="24"/>
          <w:szCs w:val="24"/>
        </w:rPr>
      </w:pPr>
      <w:r>
        <w:rPr>
          <w:rFonts w:ascii="宋体" w:hAnsi="宋体"/>
          <w:sz w:val="24"/>
          <w:szCs w:val="24"/>
        </w:rPr>
        <w:t>7.1投标人可向采购人或者采购代理机构就招标文件的内容依法提出询问，采购人或者采购代理机构将在收到询问后 3 个工作日内作出答复。</w:t>
      </w:r>
    </w:p>
    <w:p w14:paraId="7E48E505">
      <w:pPr>
        <w:spacing w:line="360" w:lineRule="auto"/>
        <w:contextualSpacing/>
        <w:rPr>
          <w:rFonts w:hint="eastAsia" w:ascii="宋体" w:hAnsi="宋体"/>
          <w:sz w:val="24"/>
          <w:szCs w:val="24"/>
        </w:rPr>
      </w:pPr>
      <w:r>
        <w:rPr>
          <w:rFonts w:ascii="宋体" w:hAnsi="宋体"/>
          <w:sz w:val="24"/>
          <w:szCs w:val="24"/>
        </w:rPr>
        <w:t>7.2投标人如认为招标文件存在不合理条款、歧视性条款的，须在自购买招标文件之日起七个工作日内以书面形式向采购代理机构或采购人提出。投标人的质疑应当有明确的请求和必要的证明材料</w:t>
      </w:r>
      <w:r>
        <w:rPr>
          <w:rFonts w:hint="eastAsia" w:ascii="宋体" w:hAnsi="宋体"/>
          <w:sz w:val="24"/>
          <w:szCs w:val="24"/>
        </w:rPr>
        <w:t>，具体内容要求详见本须知“第七、质疑”</w:t>
      </w:r>
      <w:r>
        <w:rPr>
          <w:rFonts w:ascii="宋体" w:hAnsi="宋体"/>
          <w:sz w:val="24"/>
          <w:szCs w:val="24"/>
        </w:rPr>
        <w:t>。</w:t>
      </w:r>
    </w:p>
    <w:p w14:paraId="4D86DE4A">
      <w:pPr>
        <w:spacing w:line="360" w:lineRule="auto"/>
        <w:rPr>
          <w:rFonts w:hint="eastAsia" w:ascii="宋体" w:hAnsi="宋体"/>
          <w:b/>
          <w:sz w:val="24"/>
          <w:szCs w:val="24"/>
        </w:rPr>
      </w:pPr>
      <w:r>
        <w:rPr>
          <w:rFonts w:ascii="宋体" w:hAnsi="宋体"/>
          <w:b/>
          <w:sz w:val="24"/>
          <w:szCs w:val="24"/>
        </w:rPr>
        <w:t>8.  招标文件的澄清或修改</w:t>
      </w:r>
    </w:p>
    <w:p w14:paraId="4A0A8A6F">
      <w:pPr>
        <w:widowControl/>
        <w:spacing w:line="360" w:lineRule="auto"/>
        <w:contextualSpacing/>
        <w:jc w:val="left"/>
        <w:rPr>
          <w:rFonts w:hint="eastAsia" w:ascii="宋体" w:hAnsi="宋体"/>
          <w:sz w:val="24"/>
          <w:szCs w:val="24"/>
        </w:rPr>
      </w:pPr>
      <w:r>
        <w:rPr>
          <w:rFonts w:ascii="宋体" w:hAnsi="宋体"/>
          <w:sz w:val="24"/>
          <w:szCs w:val="24"/>
        </w:rPr>
        <w:t>8.1采购人或者采购代理机构可以对已发出的招标文件进行必要的澄清或者修改。如澄清或修改的内容可能影响投标文件编制的，采购人或者采购代理机构应当在投标截止时间至少15日前，以书面形式（电子邮件）通知所有获取招标文件的潜在投标人；不足15日的，采购人或者采购代理机构将顺延提交投标文件的截止时间。</w:t>
      </w:r>
    </w:p>
    <w:p w14:paraId="116D9E17">
      <w:pPr>
        <w:spacing w:line="360" w:lineRule="auto"/>
        <w:rPr>
          <w:rFonts w:hint="eastAsia" w:ascii="宋体" w:hAnsi="宋体"/>
          <w:sz w:val="24"/>
          <w:szCs w:val="24"/>
        </w:rPr>
      </w:pPr>
      <w:r>
        <w:rPr>
          <w:rFonts w:ascii="宋体" w:hAnsi="宋体"/>
          <w:sz w:val="24"/>
          <w:szCs w:val="24"/>
        </w:rPr>
        <w:t>8.2 招标文件的修改是招标文件的组成部分，投标人在收到上述通知后，应立即以书面形式（电子邮件）向采购代理机构予以确认，但是投标人的确认不作为其收到上述通知的唯一证据。</w:t>
      </w:r>
    </w:p>
    <w:p w14:paraId="3556A30F">
      <w:pPr>
        <w:spacing w:line="360" w:lineRule="auto"/>
        <w:rPr>
          <w:rFonts w:hint="eastAsia" w:ascii="宋体" w:hAnsi="宋体"/>
          <w:sz w:val="24"/>
          <w:szCs w:val="24"/>
        </w:rPr>
      </w:pPr>
      <w:r>
        <w:rPr>
          <w:rFonts w:ascii="宋体" w:hAnsi="宋体"/>
          <w:sz w:val="24"/>
          <w:szCs w:val="24"/>
        </w:rPr>
        <w:t>8.3 为使投标人准备投标时有充分时间对招标文件的修改部分进行研究，采购代理机构和采购人可自行决定是否推迟投标截止时间和开标时间。</w:t>
      </w:r>
    </w:p>
    <w:p w14:paraId="57BA53F5">
      <w:pPr>
        <w:spacing w:line="360" w:lineRule="auto"/>
        <w:rPr>
          <w:rFonts w:hint="eastAsia" w:ascii="宋体" w:hAnsi="宋体"/>
          <w:bCs/>
          <w:sz w:val="24"/>
          <w:szCs w:val="24"/>
        </w:rPr>
      </w:pPr>
      <w:r>
        <w:rPr>
          <w:rFonts w:ascii="宋体" w:hAnsi="宋体"/>
          <w:bCs/>
          <w:sz w:val="24"/>
          <w:szCs w:val="24"/>
        </w:rPr>
        <w:t>8.4</w:t>
      </w:r>
      <w:r>
        <w:rPr>
          <w:rFonts w:ascii="宋体" w:hAnsi="宋体"/>
          <w:sz w:val="24"/>
          <w:szCs w:val="24"/>
        </w:rPr>
        <w:t>针对招标文件的修改内容将在财政部门指定媒体上给予公布。</w:t>
      </w:r>
    </w:p>
    <w:p w14:paraId="2233D238">
      <w:pPr>
        <w:spacing w:line="360" w:lineRule="auto"/>
        <w:jc w:val="center"/>
        <w:outlineLvl w:val="1"/>
        <w:rPr>
          <w:rFonts w:hint="eastAsia" w:ascii="宋体" w:hAnsi="宋体"/>
          <w:b/>
          <w:spacing w:val="60"/>
          <w:sz w:val="24"/>
          <w:szCs w:val="24"/>
        </w:rPr>
      </w:pPr>
      <w:bookmarkStart w:id="26" w:name="_Toc115623227"/>
      <w:bookmarkStart w:id="27" w:name="_Toc176023817"/>
      <w:bookmarkStart w:id="28" w:name="_Toc20212199"/>
      <w:bookmarkStart w:id="29" w:name="_Toc161643971"/>
      <w:r>
        <w:rPr>
          <w:rFonts w:ascii="宋体" w:hAnsi="宋体"/>
          <w:b/>
          <w:spacing w:val="60"/>
          <w:sz w:val="24"/>
          <w:szCs w:val="24"/>
        </w:rPr>
        <w:t>三、投标文件的编制</w:t>
      </w:r>
      <w:bookmarkEnd w:id="26"/>
      <w:bookmarkEnd w:id="27"/>
      <w:bookmarkEnd w:id="28"/>
      <w:bookmarkEnd w:id="29"/>
    </w:p>
    <w:p w14:paraId="39147D9E">
      <w:pPr>
        <w:spacing w:line="360" w:lineRule="auto"/>
        <w:contextualSpacing/>
        <w:rPr>
          <w:rFonts w:hint="eastAsia" w:ascii="宋体" w:hAnsi="宋体"/>
          <w:b/>
          <w:sz w:val="24"/>
          <w:szCs w:val="24"/>
        </w:rPr>
      </w:pPr>
      <w:r>
        <w:rPr>
          <w:rFonts w:ascii="宋体" w:hAnsi="宋体"/>
          <w:b/>
          <w:sz w:val="24"/>
          <w:szCs w:val="24"/>
        </w:rPr>
        <w:t>9. 投标文件的编制原则、投标范围、投标语言及计量单位</w:t>
      </w:r>
    </w:p>
    <w:p w14:paraId="6223F6FB">
      <w:pPr>
        <w:spacing w:line="360" w:lineRule="auto"/>
        <w:contextualSpacing/>
        <w:rPr>
          <w:rFonts w:hint="eastAsia" w:ascii="宋体" w:hAnsi="宋体"/>
          <w:bCs/>
          <w:sz w:val="24"/>
          <w:szCs w:val="24"/>
        </w:rPr>
      </w:pPr>
      <w:r>
        <w:rPr>
          <w:rFonts w:ascii="宋体" w:hAnsi="宋体"/>
          <w:bCs/>
          <w:sz w:val="24"/>
          <w:szCs w:val="24"/>
        </w:rPr>
        <w:t>9.1投标文件的编制原则</w:t>
      </w:r>
    </w:p>
    <w:p w14:paraId="18C6DA32">
      <w:pPr>
        <w:spacing w:line="360" w:lineRule="auto"/>
        <w:contextualSpacing/>
        <w:rPr>
          <w:rFonts w:hint="eastAsia" w:ascii="宋体" w:hAnsi="宋体"/>
          <w:bCs/>
          <w:sz w:val="24"/>
          <w:szCs w:val="24"/>
        </w:rPr>
      </w:pPr>
      <w:r>
        <w:rPr>
          <w:rFonts w:ascii="宋体" w:hAnsi="宋体"/>
          <w:bCs/>
          <w:sz w:val="24"/>
          <w:szCs w:val="24"/>
        </w:rPr>
        <w:t>9.1.1投标人应在认真阅读招标文件所有内容的基础上，按照招标文件的要求编制完整的投标文件。招标文件中对投标文件格式有要求的，投标人必须全部填写格式中要求的所有内容。无相应内容可填的项应填写“无”、“没有相应指标”等明确的回答文字。有具体数值的应填写具体数值，而不能笼统地响应为“符合”、“满足”等结论性内容。</w:t>
      </w:r>
    </w:p>
    <w:p w14:paraId="1FAD6FEE">
      <w:pPr>
        <w:spacing w:line="360" w:lineRule="auto"/>
        <w:contextualSpacing/>
        <w:rPr>
          <w:rFonts w:hint="eastAsia" w:ascii="宋体" w:hAnsi="宋体"/>
          <w:bCs/>
          <w:sz w:val="24"/>
          <w:szCs w:val="24"/>
        </w:rPr>
      </w:pPr>
      <w:r>
        <w:rPr>
          <w:rFonts w:ascii="宋体" w:hAnsi="宋体"/>
          <w:bCs/>
          <w:sz w:val="24"/>
          <w:szCs w:val="24"/>
        </w:rPr>
        <w:t>9.1.2 投标人必须保证投标文件所提供的全部信息和资料是真实的和正确的，并接受评标委员会对其中任何资料进一步审查的要求。投标人提交的资料将被保密，但不退还。</w:t>
      </w:r>
    </w:p>
    <w:p w14:paraId="5BABC70A">
      <w:pPr>
        <w:spacing w:line="360" w:lineRule="auto"/>
        <w:contextualSpacing/>
        <w:rPr>
          <w:rFonts w:hint="eastAsia" w:ascii="宋体" w:hAnsi="宋体"/>
          <w:bCs/>
          <w:sz w:val="24"/>
          <w:szCs w:val="24"/>
        </w:rPr>
      </w:pPr>
      <w:r>
        <w:rPr>
          <w:rFonts w:ascii="宋体" w:hAnsi="宋体"/>
          <w:bCs/>
          <w:sz w:val="24"/>
          <w:szCs w:val="24"/>
        </w:rPr>
        <w:t>9.1.3 投标文件须对招标文件中的内容做出完整和明确响应，否则其投标将</w:t>
      </w:r>
      <w:r>
        <w:rPr>
          <w:rFonts w:hint="eastAsia" w:ascii="宋体" w:hAnsi="宋体"/>
          <w:bCs/>
          <w:sz w:val="24"/>
          <w:szCs w:val="24"/>
        </w:rPr>
        <w:t>可能</w:t>
      </w:r>
      <w:r>
        <w:rPr>
          <w:rFonts w:ascii="宋体" w:hAnsi="宋体"/>
          <w:bCs/>
          <w:sz w:val="24"/>
          <w:szCs w:val="24"/>
        </w:rPr>
        <w:t>被视为无效投标。</w:t>
      </w:r>
    </w:p>
    <w:p w14:paraId="67FFB2B5">
      <w:pPr>
        <w:spacing w:line="360" w:lineRule="auto"/>
        <w:contextualSpacing/>
        <w:rPr>
          <w:rFonts w:hint="eastAsia" w:ascii="宋体" w:hAnsi="宋体"/>
          <w:bCs/>
          <w:sz w:val="24"/>
          <w:szCs w:val="24"/>
        </w:rPr>
      </w:pPr>
      <w:r>
        <w:rPr>
          <w:rFonts w:ascii="宋体" w:hAnsi="宋体"/>
          <w:bCs/>
          <w:sz w:val="24"/>
          <w:szCs w:val="24"/>
        </w:rPr>
        <w:t>9.1.4 投标文件的编制可在招标文件提供的格式基础上扩展加页。需投标人自行编写的投标内容，投标人应采用简洁、清晰的文件格式。</w:t>
      </w:r>
    </w:p>
    <w:p w14:paraId="5777AF0E">
      <w:pPr>
        <w:spacing w:line="360" w:lineRule="auto"/>
        <w:contextualSpacing/>
        <w:rPr>
          <w:rFonts w:hint="eastAsia" w:ascii="宋体" w:hAnsi="宋体"/>
          <w:bCs/>
          <w:sz w:val="24"/>
          <w:szCs w:val="24"/>
        </w:rPr>
      </w:pPr>
      <w:r>
        <w:rPr>
          <w:rFonts w:ascii="宋体" w:hAnsi="宋体"/>
          <w:sz w:val="24"/>
          <w:szCs w:val="24"/>
        </w:rPr>
        <w:t>9.1.</w:t>
      </w:r>
      <w:r>
        <w:rPr>
          <w:rFonts w:hint="eastAsia" w:ascii="宋体" w:hAnsi="宋体"/>
          <w:sz w:val="24"/>
          <w:szCs w:val="24"/>
        </w:rPr>
        <w:t>5</w:t>
      </w:r>
      <w:r>
        <w:rPr>
          <w:rFonts w:ascii="宋体" w:hAnsi="宋体"/>
          <w:sz w:val="24"/>
          <w:szCs w:val="24"/>
        </w:rPr>
        <w:t>投标文件中涉及公章的地方均需加盖投标人公章，投标专用章将不被认可。</w:t>
      </w:r>
    </w:p>
    <w:p w14:paraId="25839C1B">
      <w:pPr>
        <w:spacing w:line="360" w:lineRule="auto"/>
        <w:contextualSpacing/>
        <w:rPr>
          <w:rFonts w:hint="eastAsia" w:ascii="宋体" w:hAnsi="宋体"/>
          <w:bCs/>
          <w:sz w:val="24"/>
          <w:szCs w:val="24"/>
        </w:rPr>
      </w:pPr>
      <w:r>
        <w:rPr>
          <w:rFonts w:ascii="宋体" w:hAnsi="宋体"/>
          <w:bCs/>
          <w:sz w:val="24"/>
          <w:szCs w:val="24"/>
        </w:rPr>
        <w:t>9.2 投标范围</w:t>
      </w:r>
    </w:p>
    <w:p w14:paraId="4508807D">
      <w:pPr>
        <w:spacing w:line="360" w:lineRule="auto"/>
        <w:contextualSpacing/>
        <w:rPr>
          <w:rFonts w:hint="eastAsia" w:ascii="宋体" w:hAnsi="宋体"/>
          <w:sz w:val="24"/>
          <w:szCs w:val="24"/>
        </w:rPr>
      </w:pPr>
      <w:r>
        <w:rPr>
          <w:rFonts w:ascii="宋体" w:hAnsi="宋体"/>
          <w:sz w:val="24"/>
          <w:szCs w:val="24"/>
        </w:rPr>
        <w:t>9.2.1投标人可对招标文件中“货物需求一览表”所列的所有货物和服务进行投标，不得将一</w:t>
      </w:r>
      <w:r>
        <w:rPr>
          <w:rFonts w:hint="eastAsia" w:ascii="宋体" w:hAnsi="宋体"/>
          <w:sz w:val="24"/>
          <w:szCs w:val="24"/>
        </w:rPr>
        <w:t>标项</w:t>
      </w:r>
      <w:r>
        <w:rPr>
          <w:rFonts w:ascii="宋体" w:hAnsi="宋体"/>
          <w:sz w:val="24"/>
          <w:szCs w:val="24"/>
        </w:rPr>
        <w:t>中的内容拆开投标。（如适用）</w:t>
      </w:r>
    </w:p>
    <w:p w14:paraId="72361C97">
      <w:pPr>
        <w:spacing w:line="360" w:lineRule="auto"/>
        <w:rPr>
          <w:rFonts w:hint="eastAsia" w:ascii="宋体" w:hAnsi="宋体"/>
          <w:bCs/>
          <w:sz w:val="24"/>
          <w:szCs w:val="24"/>
        </w:rPr>
      </w:pPr>
      <w:r>
        <w:rPr>
          <w:rFonts w:ascii="宋体" w:hAnsi="宋体"/>
          <w:bCs/>
          <w:sz w:val="24"/>
          <w:szCs w:val="24"/>
        </w:rPr>
        <w:t>9.3 投标语言</w:t>
      </w:r>
    </w:p>
    <w:p w14:paraId="20F3BD40">
      <w:pPr>
        <w:spacing w:line="360" w:lineRule="auto"/>
        <w:rPr>
          <w:rFonts w:hint="eastAsia" w:ascii="宋体" w:hAnsi="宋体"/>
          <w:bCs/>
          <w:sz w:val="24"/>
          <w:szCs w:val="24"/>
        </w:rPr>
      </w:pPr>
      <w:r>
        <w:rPr>
          <w:rFonts w:ascii="宋体" w:hAnsi="宋体"/>
          <w:bCs/>
          <w:sz w:val="24"/>
          <w:szCs w:val="24"/>
        </w:rPr>
        <w:t>9.3.1投标人提交的投标文件以及投标人与采购代理机构就有关投标的所有来往函电均应使用中文书写。投标人可以提交用其他语言打印的资料，但有关的段落必须翻译成中文，在有差异和矛盾时以中文为准。</w:t>
      </w:r>
    </w:p>
    <w:p w14:paraId="41B00569">
      <w:pPr>
        <w:spacing w:line="360" w:lineRule="auto"/>
        <w:contextualSpacing/>
        <w:rPr>
          <w:rFonts w:hint="eastAsia" w:ascii="宋体" w:hAnsi="宋体"/>
          <w:bCs/>
          <w:sz w:val="24"/>
          <w:szCs w:val="24"/>
        </w:rPr>
      </w:pPr>
      <w:r>
        <w:rPr>
          <w:rFonts w:ascii="宋体" w:hAnsi="宋体"/>
          <w:bCs/>
          <w:sz w:val="24"/>
          <w:szCs w:val="24"/>
        </w:rPr>
        <w:t>9.4 计量单位</w:t>
      </w:r>
    </w:p>
    <w:p w14:paraId="18CC59B9">
      <w:pPr>
        <w:spacing w:line="360" w:lineRule="auto"/>
        <w:contextualSpacing/>
        <w:rPr>
          <w:rFonts w:hint="eastAsia" w:ascii="宋体" w:hAnsi="宋体"/>
          <w:bCs/>
          <w:sz w:val="24"/>
          <w:szCs w:val="24"/>
        </w:rPr>
      </w:pPr>
      <w:r>
        <w:rPr>
          <w:rFonts w:ascii="宋体" w:hAnsi="宋体"/>
          <w:bCs/>
          <w:sz w:val="24"/>
          <w:szCs w:val="24"/>
        </w:rPr>
        <w:t>9.4.1投标文件中所有的计量单位，除招标文件中有特殊要求外，应采用国家法定计量单位。</w:t>
      </w:r>
    </w:p>
    <w:p w14:paraId="729ADA1B">
      <w:pPr>
        <w:spacing w:line="360" w:lineRule="auto"/>
        <w:rPr>
          <w:rFonts w:hint="eastAsia" w:ascii="宋体" w:hAnsi="宋体"/>
          <w:b/>
          <w:sz w:val="24"/>
          <w:szCs w:val="24"/>
        </w:rPr>
      </w:pPr>
      <w:r>
        <w:rPr>
          <w:rFonts w:ascii="宋体" w:hAnsi="宋体"/>
          <w:b/>
          <w:sz w:val="24"/>
          <w:szCs w:val="24"/>
        </w:rPr>
        <w:t>10.  投标文件的构成</w:t>
      </w:r>
    </w:p>
    <w:p w14:paraId="39AE3E16">
      <w:pPr>
        <w:spacing w:line="360" w:lineRule="auto"/>
        <w:contextualSpacing/>
        <w:rPr>
          <w:rFonts w:hint="eastAsia" w:ascii="宋体" w:hAnsi="宋体"/>
          <w:bCs/>
          <w:sz w:val="24"/>
          <w:szCs w:val="24"/>
        </w:rPr>
      </w:pPr>
      <w:r>
        <w:rPr>
          <w:rFonts w:ascii="宋体" w:hAnsi="宋体"/>
          <w:bCs/>
          <w:sz w:val="24"/>
          <w:szCs w:val="24"/>
        </w:rPr>
        <w:t>10.1 除非本须知前附表另有规定，不管是投标人单独投标或是作为投标联合体的成员参与投标，</w:t>
      </w:r>
      <w:r>
        <w:rPr>
          <w:rFonts w:hint="eastAsia" w:ascii="宋体" w:hAnsi="宋体"/>
          <w:bCs/>
          <w:sz w:val="24"/>
          <w:szCs w:val="24"/>
        </w:rPr>
        <w:t>本次招标投标人必须以包为单位进行投标响应，评标和合同授予也以包为单位。一个包内有多个包投标方案的</w:t>
      </w:r>
      <w:r>
        <w:rPr>
          <w:rFonts w:ascii="宋体" w:hAnsi="宋体"/>
          <w:bCs/>
          <w:sz w:val="24"/>
          <w:szCs w:val="24"/>
        </w:rPr>
        <w:t>，其参与的全部投标将被视为无效。</w:t>
      </w:r>
    </w:p>
    <w:p w14:paraId="6C90AAA1">
      <w:pPr>
        <w:spacing w:line="360" w:lineRule="auto"/>
        <w:contextualSpacing/>
        <w:rPr>
          <w:rFonts w:hint="eastAsia" w:ascii="宋体" w:hAnsi="宋体"/>
          <w:b/>
          <w:sz w:val="24"/>
          <w:szCs w:val="24"/>
        </w:rPr>
      </w:pPr>
      <w:r>
        <w:rPr>
          <w:rFonts w:ascii="宋体" w:hAnsi="宋体"/>
          <w:b/>
          <w:sz w:val="24"/>
          <w:szCs w:val="24"/>
        </w:rPr>
        <w:t>10.2 投标人编写的投标文件应由商务文件（包括资格证明文件）和技术文件（包括技术响应资料等）组成，应包含但不限于以下文件：</w:t>
      </w:r>
    </w:p>
    <w:p w14:paraId="04EEDE20">
      <w:pPr>
        <w:spacing w:line="360" w:lineRule="auto"/>
        <w:contextualSpacing/>
        <w:rPr>
          <w:rFonts w:hint="eastAsia" w:ascii="宋体" w:hAnsi="宋体"/>
          <w:b/>
          <w:sz w:val="24"/>
          <w:szCs w:val="24"/>
        </w:rPr>
      </w:pPr>
      <w:r>
        <w:rPr>
          <w:rFonts w:hint="eastAsia" w:ascii="宋体" w:hAnsi="宋体"/>
          <w:b/>
          <w:sz w:val="24"/>
          <w:szCs w:val="24"/>
        </w:rPr>
        <w:t>（1） 资格证明文件</w:t>
      </w:r>
    </w:p>
    <w:p w14:paraId="5ACC1A03">
      <w:pPr>
        <w:numPr>
          <w:ilvl w:val="0"/>
          <w:numId w:val="13"/>
        </w:numPr>
        <w:spacing w:line="360" w:lineRule="auto"/>
        <w:rPr>
          <w:rFonts w:hint="eastAsia" w:ascii="宋体" w:hAnsi="宋体"/>
          <w:b/>
          <w:sz w:val="24"/>
          <w:szCs w:val="24"/>
        </w:rPr>
      </w:pPr>
      <w:r>
        <w:rPr>
          <w:rFonts w:hint="eastAsia" w:ascii="宋体" w:hAnsi="宋体"/>
          <w:b/>
          <w:sz w:val="24"/>
          <w:szCs w:val="24"/>
        </w:rPr>
        <w:t>符合性证明文件</w:t>
      </w:r>
    </w:p>
    <w:p w14:paraId="630EBB41">
      <w:pPr>
        <w:numPr>
          <w:ilvl w:val="0"/>
          <w:numId w:val="13"/>
        </w:numPr>
        <w:spacing w:line="360" w:lineRule="auto"/>
        <w:rPr>
          <w:rFonts w:hint="eastAsia" w:ascii="宋体" w:hAnsi="宋体"/>
          <w:b/>
          <w:sz w:val="24"/>
          <w:szCs w:val="24"/>
        </w:rPr>
      </w:pPr>
      <w:r>
        <w:rPr>
          <w:rFonts w:hint="eastAsia" w:ascii="宋体" w:hAnsi="宋体"/>
          <w:b/>
          <w:sz w:val="24"/>
          <w:szCs w:val="24"/>
        </w:rPr>
        <w:t>中小企业声明函及残疾人福利性单位声明函（不适用可不提供）（采购标的所属行业详见中小企业声明函）</w:t>
      </w:r>
    </w:p>
    <w:p w14:paraId="4732A878">
      <w:pPr>
        <w:numPr>
          <w:ilvl w:val="0"/>
          <w:numId w:val="13"/>
        </w:numPr>
        <w:spacing w:line="360" w:lineRule="auto"/>
        <w:rPr>
          <w:rFonts w:hint="eastAsia" w:ascii="宋体" w:hAnsi="宋体"/>
          <w:b/>
          <w:sz w:val="24"/>
          <w:szCs w:val="24"/>
        </w:rPr>
      </w:pPr>
      <w:r>
        <w:rPr>
          <w:rFonts w:hint="eastAsia" w:ascii="宋体" w:hAnsi="宋体"/>
          <w:b/>
          <w:sz w:val="24"/>
          <w:szCs w:val="24"/>
        </w:rPr>
        <w:t>关于符合本国产品标准的声明函（不适用可不提供）</w:t>
      </w:r>
    </w:p>
    <w:p w14:paraId="7D75E718">
      <w:pPr>
        <w:numPr>
          <w:ilvl w:val="0"/>
          <w:numId w:val="13"/>
        </w:numPr>
        <w:spacing w:line="360" w:lineRule="auto"/>
        <w:rPr>
          <w:rFonts w:hint="eastAsia" w:ascii="宋体" w:hAnsi="宋体"/>
          <w:b/>
          <w:sz w:val="24"/>
          <w:szCs w:val="24"/>
        </w:rPr>
      </w:pPr>
      <w:r>
        <w:rPr>
          <w:rFonts w:hint="eastAsia" w:ascii="宋体" w:hAnsi="宋体"/>
          <w:b/>
          <w:sz w:val="24"/>
          <w:szCs w:val="24"/>
        </w:rPr>
        <w:t>销售业绩：具体要求详见第六章综合评审表。</w:t>
      </w:r>
    </w:p>
    <w:p w14:paraId="2F2F8C50">
      <w:pPr>
        <w:numPr>
          <w:ilvl w:val="0"/>
          <w:numId w:val="13"/>
        </w:numPr>
        <w:spacing w:line="360" w:lineRule="auto"/>
        <w:rPr>
          <w:rFonts w:hint="eastAsia" w:ascii="宋体" w:hAnsi="宋体"/>
          <w:b/>
          <w:sz w:val="24"/>
          <w:szCs w:val="24"/>
        </w:rPr>
      </w:pPr>
      <w:r>
        <w:rPr>
          <w:rFonts w:hint="eastAsia" w:ascii="宋体" w:hAnsi="宋体"/>
          <w:b/>
          <w:sz w:val="24"/>
          <w:szCs w:val="24"/>
        </w:rPr>
        <w:t>保修期</w:t>
      </w:r>
    </w:p>
    <w:p w14:paraId="4E26B7FF">
      <w:pPr>
        <w:numPr>
          <w:ilvl w:val="0"/>
          <w:numId w:val="13"/>
        </w:numPr>
        <w:spacing w:line="360" w:lineRule="auto"/>
        <w:rPr>
          <w:rFonts w:hint="eastAsia" w:ascii="宋体" w:hAnsi="宋体"/>
          <w:b/>
          <w:sz w:val="24"/>
          <w:szCs w:val="24"/>
        </w:rPr>
      </w:pPr>
      <w:r>
        <w:rPr>
          <w:rFonts w:hint="eastAsia" w:ascii="宋体" w:hAnsi="宋体"/>
          <w:b/>
          <w:sz w:val="24"/>
          <w:szCs w:val="24"/>
        </w:rPr>
        <w:t>售后服务承诺</w:t>
      </w:r>
      <w:r>
        <w:rPr>
          <w:rFonts w:ascii="宋体" w:hAnsi="宋体"/>
          <w:b/>
          <w:sz w:val="24"/>
          <w:szCs w:val="24"/>
        </w:rPr>
        <w:t>（根据招标文件要求自行拟定）</w:t>
      </w:r>
    </w:p>
    <w:p w14:paraId="3E6D90CC">
      <w:pPr>
        <w:numPr>
          <w:ilvl w:val="0"/>
          <w:numId w:val="13"/>
        </w:numPr>
        <w:spacing w:line="360" w:lineRule="auto"/>
        <w:rPr>
          <w:rFonts w:hint="eastAsia" w:ascii="宋体" w:hAnsi="宋体"/>
          <w:b/>
          <w:sz w:val="24"/>
          <w:szCs w:val="24"/>
        </w:rPr>
      </w:pPr>
      <w:r>
        <w:rPr>
          <w:rFonts w:hint="eastAsia" w:ascii="宋体" w:hAnsi="宋体"/>
          <w:b/>
          <w:sz w:val="24"/>
          <w:szCs w:val="24"/>
        </w:rPr>
        <w:t>安装调试方案（</w:t>
      </w:r>
      <w:r>
        <w:rPr>
          <w:rFonts w:ascii="宋体" w:hAnsi="宋体"/>
          <w:b/>
          <w:sz w:val="24"/>
          <w:szCs w:val="24"/>
        </w:rPr>
        <w:t>根据招标文件要求自行拟定</w:t>
      </w:r>
      <w:r>
        <w:rPr>
          <w:rFonts w:hint="eastAsia" w:ascii="宋体" w:hAnsi="宋体"/>
          <w:b/>
          <w:sz w:val="24"/>
          <w:szCs w:val="24"/>
        </w:rPr>
        <w:t>）</w:t>
      </w:r>
    </w:p>
    <w:p w14:paraId="0C58AFD0">
      <w:pPr>
        <w:numPr>
          <w:ilvl w:val="0"/>
          <w:numId w:val="13"/>
        </w:numPr>
        <w:spacing w:line="360" w:lineRule="auto"/>
        <w:rPr>
          <w:rFonts w:hint="eastAsia" w:ascii="宋体" w:hAnsi="宋体"/>
          <w:b/>
          <w:sz w:val="24"/>
          <w:szCs w:val="24"/>
        </w:rPr>
      </w:pPr>
      <w:r>
        <w:rPr>
          <w:rFonts w:ascii="宋体" w:hAnsi="宋体"/>
          <w:b/>
          <w:sz w:val="24"/>
          <w:szCs w:val="24"/>
        </w:rPr>
        <w:t>培训方案（根据招标文件要求自行拟定）</w:t>
      </w:r>
    </w:p>
    <w:p w14:paraId="415D7FE6">
      <w:pPr>
        <w:numPr>
          <w:ilvl w:val="0"/>
          <w:numId w:val="13"/>
        </w:numPr>
        <w:spacing w:line="360" w:lineRule="auto"/>
        <w:rPr>
          <w:rFonts w:hint="eastAsia" w:ascii="宋体" w:hAnsi="宋体"/>
          <w:b/>
          <w:sz w:val="24"/>
          <w:szCs w:val="24"/>
        </w:rPr>
      </w:pPr>
      <w:r>
        <w:rPr>
          <w:rFonts w:ascii="宋体" w:hAnsi="宋体"/>
          <w:b/>
          <w:sz w:val="24"/>
          <w:szCs w:val="24"/>
        </w:rPr>
        <w:t>技术响应与说明文件（包括但不限于产品说明书、彩页、图纸、检测报告等）</w:t>
      </w:r>
    </w:p>
    <w:p w14:paraId="3B008361">
      <w:pPr>
        <w:numPr>
          <w:ilvl w:val="0"/>
          <w:numId w:val="13"/>
        </w:numPr>
        <w:spacing w:line="360" w:lineRule="auto"/>
        <w:rPr>
          <w:rFonts w:hint="eastAsia" w:ascii="宋体" w:hAnsi="宋体"/>
          <w:b/>
          <w:sz w:val="24"/>
          <w:szCs w:val="24"/>
        </w:rPr>
      </w:pPr>
      <w:r>
        <w:rPr>
          <w:rFonts w:ascii="宋体" w:hAnsi="宋体"/>
          <w:b/>
          <w:sz w:val="24"/>
          <w:szCs w:val="24"/>
        </w:rPr>
        <w:t>投标人认为需要提交的其他文件</w:t>
      </w:r>
    </w:p>
    <w:p w14:paraId="1DBCFE80">
      <w:pPr>
        <w:spacing w:line="360" w:lineRule="auto"/>
        <w:rPr>
          <w:rFonts w:hint="eastAsia" w:ascii="宋体" w:hAnsi="宋体"/>
          <w:bCs/>
          <w:sz w:val="24"/>
          <w:szCs w:val="24"/>
        </w:rPr>
      </w:pPr>
      <w:r>
        <w:rPr>
          <w:rFonts w:ascii="宋体" w:hAnsi="宋体"/>
          <w:b/>
          <w:bCs/>
          <w:sz w:val="24"/>
          <w:szCs w:val="24"/>
        </w:rPr>
        <w:t xml:space="preserve">11. </w:t>
      </w:r>
      <w:r>
        <w:rPr>
          <w:rFonts w:ascii="宋体" w:hAnsi="宋体"/>
          <w:b/>
          <w:sz w:val="24"/>
          <w:szCs w:val="24"/>
        </w:rPr>
        <w:t>投标报价</w:t>
      </w:r>
    </w:p>
    <w:p w14:paraId="767C3B4E">
      <w:pPr>
        <w:spacing w:line="360" w:lineRule="auto"/>
        <w:rPr>
          <w:rFonts w:hint="eastAsia" w:ascii="宋体" w:hAnsi="宋体"/>
          <w:bCs/>
          <w:sz w:val="24"/>
          <w:szCs w:val="24"/>
        </w:rPr>
      </w:pPr>
      <w:bookmarkStart w:id="30" w:name="_Toc469850056"/>
      <w:r>
        <w:rPr>
          <w:rFonts w:ascii="宋体" w:hAnsi="宋体"/>
          <w:bCs/>
          <w:sz w:val="24"/>
          <w:szCs w:val="24"/>
        </w:rPr>
        <w:t>11.1投标报价：</w:t>
      </w:r>
      <w:r>
        <w:rPr>
          <w:rFonts w:ascii="宋体" w:hAnsi="宋体"/>
          <w:sz w:val="24"/>
          <w:szCs w:val="24"/>
        </w:rPr>
        <w:t>详见投标人须知前附表。</w:t>
      </w:r>
    </w:p>
    <w:p w14:paraId="16FC1221">
      <w:pPr>
        <w:tabs>
          <w:tab w:val="left" w:pos="860"/>
        </w:tabs>
        <w:spacing w:line="360" w:lineRule="auto"/>
        <w:contextualSpacing/>
        <w:rPr>
          <w:rFonts w:hint="eastAsia" w:ascii="宋体" w:hAnsi="宋体"/>
          <w:bCs/>
          <w:sz w:val="24"/>
          <w:szCs w:val="24"/>
        </w:rPr>
      </w:pPr>
      <w:r>
        <w:rPr>
          <w:rFonts w:ascii="宋体" w:hAnsi="宋体"/>
          <w:bCs/>
          <w:sz w:val="24"/>
          <w:szCs w:val="24"/>
        </w:rPr>
        <w:t>11.2投标人应按照招标文件附件提供的格式填写“开标一览表”和“投标分项报价表”。</w:t>
      </w:r>
    </w:p>
    <w:p w14:paraId="5F5039F4">
      <w:pPr>
        <w:spacing w:line="360" w:lineRule="auto"/>
        <w:contextualSpacing/>
        <w:rPr>
          <w:rFonts w:hint="eastAsia" w:ascii="宋体" w:hAnsi="宋体"/>
          <w:bCs/>
          <w:sz w:val="24"/>
          <w:szCs w:val="24"/>
        </w:rPr>
      </w:pPr>
      <w:r>
        <w:rPr>
          <w:rFonts w:ascii="宋体" w:hAnsi="宋体"/>
          <w:bCs/>
          <w:sz w:val="24"/>
          <w:szCs w:val="24"/>
        </w:rPr>
        <w:t>11.3投标人应在投标分项报价表上标明投标货物及相关服务的单价（如适用）和总价，并由法定代表人或被授权人签署。</w:t>
      </w:r>
    </w:p>
    <w:p w14:paraId="23CC27CC">
      <w:pPr>
        <w:spacing w:line="360" w:lineRule="auto"/>
        <w:ind w:left="900" w:hanging="900"/>
        <w:contextualSpacing/>
        <w:rPr>
          <w:rFonts w:hint="eastAsia" w:ascii="宋体" w:hAnsi="宋体"/>
          <w:bCs/>
          <w:sz w:val="24"/>
          <w:szCs w:val="24"/>
        </w:rPr>
      </w:pPr>
      <w:r>
        <w:rPr>
          <w:rFonts w:ascii="宋体" w:hAnsi="宋体"/>
          <w:bCs/>
          <w:sz w:val="24"/>
          <w:szCs w:val="24"/>
        </w:rPr>
        <w:t>11.4投标分项报价表上的价格应按下列方式填写：</w:t>
      </w:r>
    </w:p>
    <w:p w14:paraId="6A1F94FF">
      <w:pPr>
        <w:numPr>
          <w:ilvl w:val="0"/>
          <w:numId w:val="14"/>
        </w:numPr>
        <w:spacing w:line="360" w:lineRule="auto"/>
        <w:rPr>
          <w:rFonts w:hint="eastAsia" w:ascii="宋体" w:hAnsi="宋体"/>
          <w:bCs/>
          <w:sz w:val="24"/>
          <w:szCs w:val="24"/>
        </w:rPr>
      </w:pPr>
      <w:r>
        <w:rPr>
          <w:rFonts w:ascii="宋体" w:hAnsi="宋体"/>
          <w:bCs/>
          <w:sz w:val="24"/>
          <w:szCs w:val="24"/>
        </w:rPr>
        <w:t>投标货物包括主机、附件、备品备件、专用工具等的出厂价，投标货物安装、调试、检验、技术服务和培训等费用；</w:t>
      </w:r>
    </w:p>
    <w:p w14:paraId="58A3FD4F">
      <w:pPr>
        <w:numPr>
          <w:ilvl w:val="0"/>
          <w:numId w:val="14"/>
        </w:numPr>
        <w:spacing w:line="360" w:lineRule="auto"/>
        <w:rPr>
          <w:rFonts w:hint="eastAsia" w:ascii="宋体" w:hAnsi="宋体"/>
          <w:bCs/>
          <w:sz w:val="24"/>
          <w:szCs w:val="24"/>
        </w:rPr>
      </w:pPr>
      <w:r>
        <w:rPr>
          <w:rFonts w:ascii="宋体" w:hAnsi="宋体"/>
          <w:bCs/>
          <w:sz w:val="24"/>
          <w:szCs w:val="24"/>
        </w:rPr>
        <w:t>设备配置清单中的设备单价及消耗性材料及关键性配件进行分项报价；未报价的关键性配件、消耗性材料的更换由投标人终身免费提供；</w:t>
      </w:r>
    </w:p>
    <w:p w14:paraId="2639B783">
      <w:pPr>
        <w:numPr>
          <w:ilvl w:val="0"/>
          <w:numId w:val="14"/>
        </w:numPr>
        <w:spacing w:line="360" w:lineRule="auto"/>
        <w:rPr>
          <w:rFonts w:hint="eastAsia" w:ascii="宋体" w:hAnsi="宋体"/>
          <w:bCs/>
          <w:sz w:val="24"/>
          <w:szCs w:val="24"/>
        </w:rPr>
      </w:pPr>
      <w:r>
        <w:rPr>
          <w:rFonts w:ascii="宋体" w:hAnsi="宋体"/>
          <w:bCs/>
          <w:sz w:val="24"/>
          <w:szCs w:val="24"/>
        </w:rPr>
        <w:t>货物运至最终目的地的运输费和保险费用；</w:t>
      </w:r>
    </w:p>
    <w:p w14:paraId="0F41E114">
      <w:pPr>
        <w:spacing w:line="360" w:lineRule="auto"/>
        <w:rPr>
          <w:rFonts w:hint="eastAsia" w:ascii="宋体" w:hAnsi="宋体"/>
          <w:bCs/>
          <w:sz w:val="24"/>
          <w:szCs w:val="24"/>
        </w:rPr>
      </w:pPr>
      <w:r>
        <w:rPr>
          <w:rFonts w:ascii="宋体" w:hAnsi="宋体"/>
          <w:bCs/>
          <w:sz w:val="24"/>
          <w:szCs w:val="24"/>
        </w:rPr>
        <w:t>11.5 投标人所报的投标总价在合同履行过程中是固定不变的，不得以任何理由予以变更。以可调整的价格提交的投标文件将作为无效投标。</w:t>
      </w:r>
    </w:p>
    <w:p w14:paraId="6D64707D">
      <w:pPr>
        <w:spacing w:line="360" w:lineRule="auto"/>
        <w:rPr>
          <w:rFonts w:hint="eastAsia" w:ascii="宋体" w:hAnsi="宋体"/>
          <w:bCs/>
          <w:sz w:val="24"/>
          <w:szCs w:val="24"/>
        </w:rPr>
      </w:pPr>
      <w:r>
        <w:rPr>
          <w:rFonts w:ascii="宋体" w:hAnsi="宋体"/>
          <w:bCs/>
          <w:sz w:val="24"/>
          <w:szCs w:val="24"/>
        </w:rPr>
        <w:t>11.6 投标人不得以低于成本的报价竞标。投标报价要有竞争性，最低报价不是中标的唯一条件或保证。</w:t>
      </w:r>
    </w:p>
    <w:p w14:paraId="413C5C67">
      <w:pPr>
        <w:spacing w:line="360" w:lineRule="auto"/>
        <w:rPr>
          <w:rFonts w:hint="eastAsia" w:ascii="宋体" w:hAnsi="宋体"/>
          <w:bCs/>
          <w:sz w:val="24"/>
          <w:szCs w:val="24"/>
        </w:rPr>
      </w:pPr>
      <w:r>
        <w:rPr>
          <w:rFonts w:ascii="宋体" w:hAnsi="宋体"/>
          <w:bCs/>
          <w:sz w:val="24"/>
          <w:szCs w:val="24"/>
        </w:rPr>
        <w:t>11.7 本次招标投标人只允许有一个报价，任何选择性报价（或多个方案）的投标按无效投标处理。</w:t>
      </w:r>
    </w:p>
    <w:p w14:paraId="43B1B1F6">
      <w:pPr>
        <w:spacing w:line="360" w:lineRule="auto"/>
        <w:ind w:left="480" w:hanging="480" w:hangingChars="200"/>
        <w:rPr>
          <w:rFonts w:hint="eastAsia" w:ascii="宋体" w:hAnsi="宋体"/>
          <w:bCs/>
          <w:sz w:val="24"/>
          <w:szCs w:val="24"/>
        </w:rPr>
      </w:pPr>
      <w:r>
        <w:rPr>
          <w:rFonts w:ascii="宋体" w:hAnsi="宋体"/>
          <w:bCs/>
          <w:sz w:val="24"/>
          <w:szCs w:val="24"/>
        </w:rPr>
        <w:t>11.8 超过</w:t>
      </w:r>
      <w:r>
        <w:rPr>
          <w:rFonts w:hint="eastAsia" w:ascii="宋体" w:hAnsi="宋体"/>
          <w:sz w:val="24"/>
          <w:szCs w:val="24"/>
        </w:rPr>
        <w:t>项目分包预算（如有）/最高投标限价/项目预算/单项设备预算</w:t>
      </w:r>
      <w:r>
        <w:rPr>
          <w:rFonts w:ascii="宋体" w:hAnsi="宋体"/>
          <w:bCs/>
          <w:sz w:val="24"/>
          <w:szCs w:val="24"/>
        </w:rPr>
        <w:t>的投标即作无效投标处理。</w:t>
      </w:r>
    </w:p>
    <w:p w14:paraId="1304FC58">
      <w:pPr>
        <w:spacing w:line="360" w:lineRule="auto"/>
        <w:ind w:left="482" w:hanging="480" w:hangingChars="200"/>
        <w:rPr>
          <w:rFonts w:hint="eastAsia" w:ascii="宋体" w:hAnsi="宋体"/>
          <w:bCs/>
          <w:sz w:val="24"/>
          <w:szCs w:val="24"/>
        </w:rPr>
      </w:pPr>
      <w:r>
        <w:rPr>
          <w:rFonts w:ascii="宋体" w:hAnsi="宋体"/>
          <w:b/>
          <w:sz w:val="24"/>
          <w:szCs w:val="24"/>
        </w:rPr>
        <w:t>12. 投标货币</w:t>
      </w:r>
    </w:p>
    <w:p w14:paraId="41516481">
      <w:pPr>
        <w:spacing w:line="360" w:lineRule="auto"/>
        <w:ind w:left="480" w:hanging="480" w:hangingChars="200"/>
        <w:rPr>
          <w:rFonts w:hint="eastAsia" w:ascii="宋体" w:hAnsi="宋体"/>
          <w:bCs/>
          <w:sz w:val="24"/>
          <w:szCs w:val="24"/>
        </w:rPr>
      </w:pPr>
      <w:r>
        <w:rPr>
          <w:rFonts w:ascii="宋体" w:hAnsi="宋体"/>
          <w:bCs/>
          <w:sz w:val="24"/>
          <w:szCs w:val="24"/>
        </w:rPr>
        <w:t>12.1投标货币：详见投标人须知前附表。</w:t>
      </w:r>
      <w:bookmarkEnd w:id="30"/>
      <w:bookmarkStart w:id="31" w:name="_Toc469850057"/>
    </w:p>
    <w:p w14:paraId="6A898CF7">
      <w:pPr>
        <w:spacing w:line="360" w:lineRule="auto"/>
        <w:ind w:left="482" w:hanging="480" w:hangingChars="200"/>
        <w:rPr>
          <w:rFonts w:hint="eastAsia" w:ascii="宋体" w:hAnsi="宋体"/>
          <w:bCs/>
          <w:sz w:val="24"/>
          <w:szCs w:val="24"/>
        </w:rPr>
      </w:pPr>
      <w:r>
        <w:rPr>
          <w:rFonts w:ascii="宋体" w:hAnsi="宋体"/>
          <w:b/>
          <w:bCs/>
          <w:sz w:val="24"/>
          <w:szCs w:val="24"/>
        </w:rPr>
        <w:t>13. 证明投标人合格和资格的文件</w:t>
      </w:r>
    </w:p>
    <w:p w14:paraId="39F1D358">
      <w:pPr>
        <w:spacing w:line="360" w:lineRule="auto"/>
        <w:rPr>
          <w:rFonts w:hint="eastAsia" w:ascii="宋体" w:hAnsi="宋体"/>
          <w:sz w:val="24"/>
          <w:szCs w:val="24"/>
        </w:rPr>
      </w:pPr>
      <w:bookmarkStart w:id="32" w:name="_Hlk155218106"/>
      <w:r>
        <w:rPr>
          <w:rFonts w:ascii="宋体" w:hAnsi="宋体"/>
          <w:sz w:val="24"/>
          <w:szCs w:val="24"/>
        </w:rPr>
        <w:t>13.1投标人应提交证明其有资格参加投标和中标后有能力履行合同的文件，并作为其投标文件的一部分。投标人提交的资格证明文件应证明其来自合格来源国/地区。投标人证明其中标后能履行合同的资格证明文件应包括下列文件：</w:t>
      </w:r>
    </w:p>
    <w:p w14:paraId="0D45BB3A">
      <w:pPr>
        <w:spacing w:line="360" w:lineRule="auto"/>
        <w:ind w:firstLine="2"/>
        <w:rPr>
          <w:rFonts w:hint="eastAsia" w:ascii="宋体" w:hAnsi="宋体"/>
          <w:sz w:val="24"/>
          <w:szCs w:val="24"/>
        </w:rPr>
      </w:pPr>
      <w:r>
        <w:rPr>
          <w:rFonts w:ascii="宋体" w:hAnsi="宋体"/>
          <w:sz w:val="24"/>
          <w:szCs w:val="24"/>
        </w:rPr>
        <w:t>（1）如果投标人按照合同提供的货物不是投标人自己制造的，投标人应得到货物制造商同意其在本次投标中提供该货物的正式授权（仅适用于进口产品）；医疗设备按照《医疗器械监督管理条例》提供相应资质。</w:t>
      </w:r>
    </w:p>
    <w:p w14:paraId="472C54E5">
      <w:pPr>
        <w:spacing w:line="360" w:lineRule="auto"/>
        <w:rPr>
          <w:rFonts w:hint="eastAsia" w:ascii="宋体" w:hAnsi="宋体"/>
          <w:sz w:val="24"/>
          <w:szCs w:val="24"/>
        </w:rPr>
      </w:pPr>
      <w:r>
        <w:rPr>
          <w:rFonts w:ascii="宋体" w:hAnsi="宋体"/>
          <w:sz w:val="24"/>
          <w:szCs w:val="24"/>
        </w:rPr>
        <w:t>（2）招标文件中要求的资格证明文件见本须知</w:t>
      </w:r>
      <w:r>
        <w:rPr>
          <w:rFonts w:hint="eastAsia" w:ascii="宋体" w:hAnsi="宋体"/>
          <w:sz w:val="24"/>
          <w:szCs w:val="24"/>
        </w:rPr>
        <w:t>前附表</w:t>
      </w:r>
      <w:r>
        <w:rPr>
          <w:rFonts w:ascii="宋体" w:hAnsi="宋体"/>
          <w:sz w:val="24"/>
          <w:szCs w:val="24"/>
        </w:rPr>
        <w:t>。</w:t>
      </w:r>
    </w:p>
    <w:p w14:paraId="0AC1B135">
      <w:pPr>
        <w:tabs>
          <w:tab w:val="left" w:pos="8640"/>
        </w:tabs>
        <w:spacing w:line="360" w:lineRule="auto"/>
        <w:rPr>
          <w:rFonts w:hint="eastAsia" w:ascii="宋体" w:hAnsi="宋体"/>
          <w:sz w:val="24"/>
          <w:szCs w:val="24"/>
        </w:rPr>
      </w:pPr>
      <w:r>
        <w:rPr>
          <w:rFonts w:ascii="宋体" w:hAnsi="宋体"/>
          <w:sz w:val="24"/>
          <w:szCs w:val="24"/>
        </w:rPr>
        <w:t>13.</w:t>
      </w:r>
      <w:r>
        <w:rPr>
          <w:rFonts w:hint="eastAsia" w:ascii="宋体" w:hAnsi="宋体"/>
          <w:sz w:val="24"/>
          <w:szCs w:val="24"/>
        </w:rPr>
        <w:t>2</w:t>
      </w:r>
      <w:r>
        <w:rPr>
          <w:rFonts w:ascii="宋体" w:hAnsi="宋体"/>
          <w:sz w:val="24"/>
          <w:szCs w:val="24"/>
        </w:rPr>
        <w:t>在招标过程中，投标人发生合并、分立、破产等重大变化时，应当及时书面告知采购人。</w:t>
      </w:r>
    </w:p>
    <w:bookmarkEnd w:id="32"/>
    <w:p w14:paraId="43B7F3D4">
      <w:pPr>
        <w:tabs>
          <w:tab w:val="left" w:pos="8640"/>
        </w:tabs>
        <w:spacing w:line="360" w:lineRule="auto"/>
        <w:rPr>
          <w:rFonts w:hint="eastAsia" w:ascii="宋体" w:hAnsi="宋体"/>
          <w:b/>
          <w:bCs/>
          <w:sz w:val="24"/>
          <w:szCs w:val="24"/>
        </w:rPr>
      </w:pPr>
      <w:r>
        <w:rPr>
          <w:rFonts w:ascii="宋体" w:hAnsi="宋体"/>
          <w:b/>
          <w:sz w:val="24"/>
          <w:szCs w:val="24"/>
        </w:rPr>
        <w:t>14. 证明货物的合格性和符合招标文件规定的文件</w:t>
      </w:r>
    </w:p>
    <w:bookmarkEnd w:id="31"/>
    <w:p w14:paraId="0311E0FD">
      <w:pPr>
        <w:spacing w:line="360" w:lineRule="auto"/>
        <w:rPr>
          <w:rFonts w:hint="eastAsia" w:ascii="宋体" w:hAnsi="宋体"/>
          <w:sz w:val="24"/>
          <w:szCs w:val="24"/>
        </w:rPr>
      </w:pPr>
      <w:r>
        <w:rPr>
          <w:rFonts w:ascii="宋体" w:hAnsi="宋体"/>
          <w:sz w:val="24"/>
          <w:szCs w:val="24"/>
        </w:rPr>
        <w:t>14.1投标人应提交证明文件，证明其拟供合同项下的货物和服务的合格性符合招标文件规定，该证明文件作为投标文件的一部分。</w:t>
      </w:r>
    </w:p>
    <w:p w14:paraId="5FF0FCA3">
      <w:pPr>
        <w:spacing w:line="360" w:lineRule="auto"/>
        <w:rPr>
          <w:rFonts w:hint="eastAsia" w:ascii="宋体" w:hAnsi="宋体"/>
          <w:sz w:val="24"/>
          <w:szCs w:val="24"/>
        </w:rPr>
      </w:pPr>
      <w:r>
        <w:rPr>
          <w:rFonts w:ascii="宋体" w:hAnsi="宋体"/>
          <w:sz w:val="24"/>
          <w:szCs w:val="24"/>
        </w:rPr>
        <w:t>14.2 货物合格性的证明文件应包括投标分项报价表中对货物和服务原产地的说明。</w:t>
      </w:r>
    </w:p>
    <w:p w14:paraId="3B18D1EF">
      <w:pPr>
        <w:spacing w:line="360" w:lineRule="auto"/>
        <w:rPr>
          <w:rFonts w:hint="eastAsia" w:ascii="宋体" w:hAnsi="宋体"/>
          <w:sz w:val="24"/>
          <w:szCs w:val="24"/>
        </w:rPr>
      </w:pPr>
      <w:r>
        <w:rPr>
          <w:rFonts w:ascii="宋体" w:hAnsi="宋体"/>
          <w:sz w:val="24"/>
          <w:szCs w:val="24"/>
        </w:rPr>
        <w:t>14.3证明货物和服务与招标文件的要求相一致的文件，可以是文字资料、图纸、数据、证书，它包括：</w:t>
      </w:r>
    </w:p>
    <w:p w14:paraId="423A8AB3">
      <w:pPr>
        <w:spacing w:line="360" w:lineRule="auto"/>
        <w:rPr>
          <w:rFonts w:hint="eastAsia" w:ascii="宋体" w:hAnsi="宋体"/>
          <w:sz w:val="24"/>
          <w:szCs w:val="24"/>
        </w:rPr>
      </w:pPr>
      <w:r>
        <w:rPr>
          <w:rFonts w:ascii="宋体" w:hAnsi="宋体"/>
          <w:sz w:val="24"/>
          <w:szCs w:val="24"/>
        </w:rPr>
        <w:t>（1）货物主要技术指标和性能的详细说明；</w:t>
      </w:r>
    </w:p>
    <w:p w14:paraId="5AE7DCCD">
      <w:pPr>
        <w:spacing w:line="360" w:lineRule="auto"/>
        <w:rPr>
          <w:rFonts w:hint="eastAsia" w:ascii="宋体" w:hAnsi="宋体"/>
          <w:sz w:val="24"/>
          <w:szCs w:val="24"/>
        </w:rPr>
      </w:pPr>
      <w:r>
        <w:rPr>
          <w:rFonts w:ascii="宋体" w:hAnsi="宋体"/>
          <w:sz w:val="24"/>
          <w:szCs w:val="24"/>
        </w:rPr>
        <w:t>（2）货物从采购人验收后开始使用至</w:t>
      </w:r>
      <w:r>
        <w:rPr>
          <w:rFonts w:ascii="宋体" w:hAnsi="宋体"/>
          <w:b/>
          <w:bCs/>
          <w:sz w:val="24"/>
          <w:szCs w:val="24"/>
        </w:rPr>
        <w:t>投标人须知前附表</w:t>
      </w:r>
      <w:r>
        <w:rPr>
          <w:rFonts w:ascii="宋体" w:hAnsi="宋体"/>
          <w:sz w:val="24"/>
          <w:szCs w:val="24"/>
        </w:rPr>
        <w:t>中规定的周期内正常、连续地使用所必须的备件和专用工具清单，包括备件和专用工具的货源及现行价格；</w:t>
      </w:r>
    </w:p>
    <w:p w14:paraId="0C0E9445">
      <w:pPr>
        <w:spacing w:line="360" w:lineRule="auto"/>
        <w:rPr>
          <w:rFonts w:hint="eastAsia" w:ascii="宋体" w:hAnsi="宋体"/>
          <w:sz w:val="24"/>
          <w:szCs w:val="24"/>
        </w:rPr>
      </w:pPr>
      <w:r>
        <w:rPr>
          <w:rFonts w:ascii="宋体" w:hAnsi="宋体"/>
          <w:sz w:val="24"/>
          <w:szCs w:val="24"/>
        </w:rPr>
        <w:t>（3）对照招标文件技术规格，逐条说明所提供货物和服务已对招标文件的技术规格做出了明确响应，或申明与技术规格条文的偏差和例外。特别对有具体参数要求的指标，投标人必须提供所投设备的具体参数值。</w:t>
      </w:r>
    </w:p>
    <w:p w14:paraId="265ACED8">
      <w:pPr>
        <w:spacing w:line="360" w:lineRule="auto"/>
        <w:rPr>
          <w:rFonts w:hint="eastAsia" w:ascii="宋体" w:hAnsi="宋体"/>
          <w:sz w:val="24"/>
          <w:szCs w:val="24"/>
        </w:rPr>
      </w:pPr>
      <w:r>
        <w:rPr>
          <w:rFonts w:ascii="宋体" w:hAnsi="宋体"/>
          <w:sz w:val="24"/>
          <w:szCs w:val="24"/>
        </w:rPr>
        <w:t>14.4投标人在阐述上述第 14.3 3)时应注意招标文件的技术规格中指出的工艺、材料和设备的标准以及参照的品牌或型号仅起说明作用，并没有任何限制性。投标人在投标中可以选用替代标准、品牌或型号，但这些替代要实质性满足或超过招标文件的要求。</w:t>
      </w:r>
    </w:p>
    <w:p w14:paraId="04BDFBA8">
      <w:pPr>
        <w:tabs>
          <w:tab w:val="left" w:pos="8640"/>
        </w:tabs>
        <w:spacing w:line="360" w:lineRule="auto"/>
        <w:rPr>
          <w:rFonts w:hint="eastAsia" w:ascii="宋体" w:hAnsi="宋体"/>
          <w:bCs/>
          <w:sz w:val="24"/>
          <w:szCs w:val="24"/>
        </w:rPr>
      </w:pPr>
      <w:r>
        <w:rPr>
          <w:rFonts w:ascii="宋体" w:hAnsi="宋体"/>
          <w:b/>
          <w:sz w:val="24"/>
          <w:szCs w:val="24"/>
        </w:rPr>
        <w:t>15. 投标保证金</w:t>
      </w:r>
    </w:p>
    <w:p w14:paraId="076BFE94">
      <w:pPr>
        <w:tabs>
          <w:tab w:val="left" w:pos="8640"/>
        </w:tabs>
        <w:spacing w:line="360" w:lineRule="auto"/>
        <w:rPr>
          <w:rFonts w:hint="eastAsia" w:ascii="宋体" w:hAnsi="宋体"/>
          <w:bCs/>
          <w:sz w:val="24"/>
          <w:szCs w:val="24"/>
        </w:rPr>
      </w:pPr>
      <w:r>
        <w:rPr>
          <w:rFonts w:ascii="宋体" w:hAnsi="宋体"/>
          <w:bCs/>
          <w:sz w:val="24"/>
          <w:szCs w:val="24"/>
        </w:rPr>
        <w:t>15.1投标人应按</w:t>
      </w:r>
      <w:r>
        <w:rPr>
          <w:rFonts w:ascii="宋体" w:hAnsi="宋体"/>
          <w:sz w:val="24"/>
          <w:szCs w:val="24"/>
        </w:rPr>
        <w:t>投标人须知前附表中规定的金额提交投标保证金，</w:t>
      </w:r>
      <w:r>
        <w:rPr>
          <w:rFonts w:ascii="宋体" w:hAnsi="宋体"/>
          <w:bCs/>
          <w:sz w:val="24"/>
          <w:szCs w:val="24"/>
        </w:rPr>
        <w:t>作为其投标的一部分。投标保证金是为了保护采购代理机构或采购人免遭因投标人的行为而蒙受的损失，</w:t>
      </w:r>
      <w:r>
        <w:rPr>
          <w:rFonts w:hint="eastAsia" w:ascii="宋体" w:hAnsi="宋体"/>
          <w:bCs/>
          <w:sz w:val="24"/>
          <w:szCs w:val="24"/>
        </w:rPr>
        <w:t>采购人或</w:t>
      </w:r>
      <w:r>
        <w:rPr>
          <w:rFonts w:ascii="宋体" w:hAnsi="宋体"/>
          <w:bCs/>
          <w:sz w:val="24"/>
          <w:szCs w:val="24"/>
        </w:rPr>
        <w:t>采购代理机构在因投标人的行为受到损害时可根据规定的条件予以没收投标保证金。</w:t>
      </w:r>
    </w:p>
    <w:p w14:paraId="55121D20">
      <w:pPr>
        <w:tabs>
          <w:tab w:val="left" w:pos="8640"/>
        </w:tabs>
        <w:spacing w:line="360" w:lineRule="auto"/>
        <w:rPr>
          <w:rFonts w:hint="eastAsia" w:ascii="宋体" w:hAnsi="宋体"/>
          <w:bCs/>
          <w:sz w:val="24"/>
          <w:szCs w:val="24"/>
          <w:u w:val="single"/>
        </w:rPr>
      </w:pPr>
      <w:r>
        <w:rPr>
          <w:rFonts w:ascii="宋体" w:hAnsi="宋体"/>
          <w:bCs/>
          <w:sz w:val="24"/>
          <w:szCs w:val="24"/>
        </w:rPr>
        <w:t>15.2投标人应按</w:t>
      </w:r>
      <w:r>
        <w:rPr>
          <w:rFonts w:ascii="宋体" w:hAnsi="宋体"/>
          <w:sz w:val="24"/>
          <w:szCs w:val="24"/>
        </w:rPr>
        <w:t>投标人须知前附表中规定的</w:t>
      </w:r>
      <w:r>
        <w:rPr>
          <w:rFonts w:hint="eastAsia" w:ascii="宋体" w:hAnsi="宋体"/>
          <w:sz w:val="24"/>
          <w:szCs w:val="24"/>
        </w:rPr>
        <w:t>方式</w:t>
      </w:r>
      <w:r>
        <w:rPr>
          <w:rFonts w:ascii="宋体" w:hAnsi="宋体"/>
          <w:sz w:val="24"/>
          <w:szCs w:val="24"/>
        </w:rPr>
        <w:t>提交投标保证金</w:t>
      </w:r>
      <w:r>
        <w:rPr>
          <w:rFonts w:hint="eastAsia" w:ascii="宋体" w:hAnsi="宋体"/>
          <w:sz w:val="24"/>
          <w:szCs w:val="24"/>
        </w:rPr>
        <w:t>。</w:t>
      </w:r>
    </w:p>
    <w:p w14:paraId="32F438A8">
      <w:pPr>
        <w:tabs>
          <w:tab w:val="left" w:pos="8640"/>
        </w:tabs>
        <w:spacing w:line="360" w:lineRule="auto"/>
        <w:ind w:left="360" w:hanging="360" w:hangingChars="150"/>
        <w:rPr>
          <w:rFonts w:hint="eastAsia" w:ascii="宋体" w:hAnsi="宋体"/>
          <w:bCs/>
          <w:sz w:val="24"/>
          <w:szCs w:val="24"/>
        </w:rPr>
      </w:pPr>
      <w:r>
        <w:rPr>
          <w:rFonts w:ascii="宋体" w:hAnsi="宋体"/>
          <w:bCs/>
          <w:sz w:val="24"/>
          <w:szCs w:val="24"/>
        </w:rPr>
        <w:t>15.3 在开标时，任何未附可接受投标保证金的投标，应视为无效投标处理。</w:t>
      </w:r>
    </w:p>
    <w:p w14:paraId="5E2E4B50">
      <w:pPr>
        <w:tabs>
          <w:tab w:val="left" w:pos="8640"/>
        </w:tabs>
        <w:spacing w:line="360" w:lineRule="auto"/>
        <w:ind w:left="600" w:hanging="600" w:hangingChars="250"/>
        <w:rPr>
          <w:rFonts w:hint="eastAsia" w:ascii="宋体" w:hAnsi="宋体"/>
          <w:bCs/>
          <w:sz w:val="24"/>
          <w:szCs w:val="24"/>
        </w:rPr>
      </w:pPr>
      <w:r>
        <w:rPr>
          <w:rFonts w:ascii="宋体" w:hAnsi="宋体"/>
          <w:bCs/>
          <w:sz w:val="24"/>
          <w:szCs w:val="24"/>
        </w:rPr>
        <w:t>15.4 未中标人的投标保证金，将在中标通知书发出后五个工作日内退还。</w:t>
      </w:r>
    </w:p>
    <w:p w14:paraId="310C2470">
      <w:pPr>
        <w:tabs>
          <w:tab w:val="left" w:pos="8640"/>
        </w:tabs>
        <w:spacing w:line="360" w:lineRule="auto"/>
        <w:ind w:left="600" w:hanging="600" w:hangingChars="250"/>
        <w:rPr>
          <w:rFonts w:hint="eastAsia" w:ascii="宋体" w:hAnsi="宋体"/>
          <w:bCs/>
          <w:sz w:val="24"/>
          <w:szCs w:val="24"/>
        </w:rPr>
      </w:pPr>
      <w:r>
        <w:rPr>
          <w:rFonts w:ascii="宋体" w:hAnsi="宋体"/>
          <w:bCs/>
          <w:sz w:val="24"/>
          <w:szCs w:val="24"/>
        </w:rPr>
        <w:t>15.5 中标人的投标保证金，在采购合同签订后五个工作日内退还。</w:t>
      </w:r>
    </w:p>
    <w:p w14:paraId="39DEB780">
      <w:pPr>
        <w:tabs>
          <w:tab w:val="left" w:pos="8640"/>
        </w:tabs>
        <w:spacing w:line="360" w:lineRule="auto"/>
        <w:ind w:left="360" w:hanging="360" w:hangingChars="150"/>
        <w:rPr>
          <w:rFonts w:hint="eastAsia" w:ascii="宋体" w:hAnsi="宋体"/>
          <w:bCs/>
          <w:sz w:val="24"/>
          <w:szCs w:val="24"/>
        </w:rPr>
      </w:pPr>
      <w:r>
        <w:rPr>
          <w:rFonts w:ascii="宋体" w:hAnsi="宋体"/>
          <w:bCs/>
          <w:sz w:val="24"/>
          <w:szCs w:val="24"/>
        </w:rPr>
        <w:t>15.6 下列任一情况发生时，投标保证金将被没收或向专业担保机构提出书面索赔：</w:t>
      </w:r>
    </w:p>
    <w:p w14:paraId="30328909">
      <w:pPr>
        <w:spacing w:line="360" w:lineRule="auto"/>
        <w:rPr>
          <w:rFonts w:hint="eastAsia" w:ascii="宋体" w:hAnsi="宋体"/>
          <w:sz w:val="24"/>
          <w:szCs w:val="24"/>
        </w:rPr>
      </w:pPr>
      <w:r>
        <w:rPr>
          <w:rFonts w:ascii="宋体" w:hAnsi="宋体"/>
          <w:sz w:val="24"/>
          <w:szCs w:val="24"/>
        </w:rPr>
        <w:t>（1）投标人在招标文件中规定的投标有效期内撤销其投标；</w:t>
      </w:r>
    </w:p>
    <w:p w14:paraId="1DBFE873">
      <w:pPr>
        <w:spacing w:line="360" w:lineRule="auto"/>
        <w:rPr>
          <w:rFonts w:hint="eastAsia" w:ascii="宋体" w:hAnsi="宋体"/>
          <w:sz w:val="24"/>
          <w:szCs w:val="24"/>
        </w:rPr>
      </w:pPr>
      <w:r>
        <w:rPr>
          <w:rFonts w:ascii="宋体" w:hAnsi="宋体"/>
          <w:sz w:val="24"/>
          <w:szCs w:val="24"/>
        </w:rPr>
        <w:t>（2）中标人在规定期限内未能根据本须知第3</w:t>
      </w:r>
      <w:r>
        <w:rPr>
          <w:rFonts w:hint="eastAsia" w:ascii="宋体" w:hAnsi="宋体"/>
          <w:sz w:val="24"/>
          <w:szCs w:val="24"/>
        </w:rPr>
        <w:t>0</w:t>
      </w:r>
      <w:r>
        <w:rPr>
          <w:rFonts w:ascii="宋体" w:hAnsi="宋体"/>
          <w:sz w:val="24"/>
          <w:szCs w:val="24"/>
        </w:rPr>
        <w:t>条规定签订合同；</w:t>
      </w:r>
    </w:p>
    <w:p w14:paraId="664556DF">
      <w:pPr>
        <w:spacing w:line="360" w:lineRule="auto"/>
        <w:rPr>
          <w:rFonts w:hint="eastAsia" w:ascii="宋体" w:hAnsi="宋体"/>
          <w:sz w:val="24"/>
          <w:szCs w:val="24"/>
        </w:rPr>
      </w:pPr>
      <w:r>
        <w:rPr>
          <w:rFonts w:ascii="宋体" w:hAnsi="宋体"/>
          <w:sz w:val="24"/>
          <w:szCs w:val="24"/>
        </w:rPr>
        <w:t>（3）中标人在规定期限内未能根据按投标人须知第3</w:t>
      </w:r>
      <w:r>
        <w:rPr>
          <w:rFonts w:hint="eastAsia" w:ascii="宋体" w:hAnsi="宋体"/>
          <w:sz w:val="24"/>
          <w:szCs w:val="24"/>
        </w:rPr>
        <w:t>1</w:t>
      </w:r>
      <w:r>
        <w:rPr>
          <w:rFonts w:ascii="宋体" w:hAnsi="宋体"/>
          <w:sz w:val="24"/>
          <w:szCs w:val="24"/>
        </w:rPr>
        <w:t>条规定提交履约保证金；</w:t>
      </w:r>
    </w:p>
    <w:p w14:paraId="0D2293B7">
      <w:pPr>
        <w:spacing w:line="360" w:lineRule="auto"/>
        <w:ind w:left="542" w:hanging="540" w:hangingChars="225"/>
        <w:rPr>
          <w:rFonts w:hint="eastAsia" w:ascii="宋体" w:hAnsi="宋体"/>
          <w:bCs/>
          <w:sz w:val="24"/>
          <w:szCs w:val="24"/>
        </w:rPr>
      </w:pPr>
      <w:r>
        <w:rPr>
          <w:rFonts w:ascii="宋体" w:hAnsi="宋体"/>
          <w:b/>
          <w:sz w:val="24"/>
          <w:szCs w:val="24"/>
        </w:rPr>
        <w:t>16. 投标有效期</w:t>
      </w:r>
    </w:p>
    <w:p w14:paraId="028979C6">
      <w:pPr>
        <w:spacing w:line="360" w:lineRule="auto"/>
        <w:rPr>
          <w:rFonts w:hint="eastAsia" w:ascii="宋体" w:hAnsi="宋体"/>
          <w:bCs/>
          <w:sz w:val="24"/>
          <w:szCs w:val="24"/>
        </w:rPr>
      </w:pPr>
      <w:r>
        <w:rPr>
          <w:rFonts w:ascii="宋体" w:hAnsi="宋体"/>
          <w:bCs/>
          <w:sz w:val="24"/>
          <w:szCs w:val="24"/>
        </w:rPr>
        <w:t>16.1投标人未响应投标人须知前附表中规定的</w:t>
      </w:r>
      <w:r>
        <w:rPr>
          <w:rFonts w:ascii="宋体" w:hAnsi="宋体"/>
          <w:sz w:val="24"/>
          <w:szCs w:val="24"/>
        </w:rPr>
        <w:t>投标有效期或投标有效期不足的投标将按无效投标处理。</w:t>
      </w:r>
    </w:p>
    <w:p w14:paraId="6F114D6F">
      <w:pPr>
        <w:spacing w:line="360" w:lineRule="auto"/>
        <w:rPr>
          <w:rFonts w:hint="eastAsia" w:ascii="宋体" w:hAnsi="宋体"/>
          <w:bCs/>
          <w:sz w:val="24"/>
          <w:szCs w:val="24"/>
        </w:rPr>
      </w:pPr>
      <w:r>
        <w:rPr>
          <w:rFonts w:ascii="宋体" w:hAnsi="宋体"/>
          <w:bCs/>
          <w:sz w:val="24"/>
          <w:szCs w:val="24"/>
        </w:rPr>
        <w:t>16.2 在特殊情况下，在原投标有效期满之前，采购代理机构可向投标人提出延长投标有效期的要求。这种要求与答复均应以书面或电传的形式。投标人可以拒绝采购代理机构的这种要求但不被没收投标保证金。同意延长的投标人既不能要求也不允许修改其投标文件，但要相应延长其投标保证金的有效期。第15条有关投标保证金没收和退还的规定在延长的投标有效期内继续有效。</w:t>
      </w:r>
    </w:p>
    <w:p w14:paraId="05D4977D">
      <w:pPr>
        <w:spacing w:line="360" w:lineRule="auto"/>
        <w:ind w:left="542" w:hanging="540" w:hangingChars="225"/>
        <w:rPr>
          <w:rFonts w:hint="eastAsia" w:ascii="宋体" w:hAnsi="宋体"/>
          <w:bCs/>
          <w:sz w:val="24"/>
          <w:szCs w:val="24"/>
        </w:rPr>
      </w:pPr>
      <w:r>
        <w:rPr>
          <w:rFonts w:ascii="宋体" w:hAnsi="宋体"/>
          <w:b/>
          <w:sz w:val="24"/>
          <w:szCs w:val="24"/>
        </w:rPr>
        <w:t>17. 投标文件</w:t>
      </w:r>
      <w:r>
        <w:rPr>
          <w:rFonts w:hint="eastAsia" w:ascii="宋体" w:hAnsi="宋体"/>
          <w:b/>
          <w:sz w:val="24"/>
          <w:szCs w:val="24"/>
        </w:rPr>
        <w:t>的</w:t>
      </w:r>
      <w:r>
        <w:rPr>
          <w:rFonts w:ascii="宋体" w:hAnsi="宋体"/>
          <w:b/>
          <w:sz w:val="24"/>
          <w:szCs w:val="24"/>
        </w:rPr>
        <w:t>签署</w:t>
      </w:r>
    </w:p>
    <w:p w14:paraId="47C439B4">
      <w:pPr>
        <w:spacing w:line="360" w:lineRule="auto"/>
        <w:rPr>
          <w:rFonts w:hint="eastAsia" w:ascii="宋体" w:hAnsi="宋体"/>
          <w:sz w:val="24"/>
          <w:szCs w:val="24"/>
        </w:rPr>
      </w:pPr>
      <w:r>
        <w:rPr>
          <w:rFonts w:ascii="宋体" w:hAnsi="宋体"/>
          <w:sz w:val="24"/>
          <w:szCs w:val="24"/>
        </w:rPr>
        <w:t>17.1投标人应按投标人须知前附表的规定准备相应文件。</w:t>
      </w:r>
    </w:p>
    <w:p w14:paraId="4DE67712">
      <w:pPr>
        <w:spacing w:line="360" w:lineRule="auto"/>
        <w:contextualSpacing/>
        <w:rPr>
          <w:rFonts w:hint="eastAsia" w:ascii="宋体" w:hAnsi="宋体"/>
          <w:sz w:val="24"/>
          <w:szCs w:val="24"/>
        </w:rPr>
      </w:pPr>
      <w:r>
        <w:rPr>
          <w:rFonts w:hint="eastAsia" w:ascii="宋体" w:hAnsi="宋体"/>
          <w:sz w:val="24"/>
          <w:szCs w:val="24"/>
        </w:rPr>
        <w:t>17.2</w:t>
      </w:r>
      <w:r>
        <w:rPr>
          <w:rFonts w:ascii="宋体" w:hAnsi="宋体"/>
          <w:sz w:val="24"/>
          <w:szCs w:val="24"/>
        </w:rPr>
        <w:t>没有按招标文件</w:t>
      </w:r>
      <w:r>
        <w:rPr>
          <w:rFonts w:hint="eastAsia" w:ascii="宋体" w:hAnsi="宋体"/>
          <w:sz w:val="24"/>
          <w:szCs w:val="24"/>
        </w:rPr>
        <w:t>实质性和符合性</w:t>
      </w:r>
      <w:r>
        <w:rPr>
          <w:rFonts w:ascii="宋体" w:hAnsi="宋体"/>
          <w:sz w:val="24"/>
          <w:szCs w:val="24"/>
        </w:rPr>
        <w:t>规定签字和盖章的投标，将被视为无效投标。</w:t>
      </w:r>
    </w:p>
    <w:p w14:paraId="1D72CEB9">
      <w:pPr>
        <w:spacing w:line="360" w:lineRule="auto"/>
        <w:jc w:val="center"/>
        <w:outlineLvl w:val="1"/>
        <w:rPr>
          <w:rFonts w:hint="eastAsia" w:ascii="宋体" w:hAnsi="宋体"/>
          <w:b/>
          <w:spacing w:val="60"/>
          <w:sz w:val="24"/>
          <w:szCs w:val="24"/>
        </w:rPr>
      </w:pPr>
      <w:bookmarkStart w:id="33" w:name="_Toc115623228"/>
      <w:bookmarkStart w:id="34" w:name="_Toc20212200"/>
      <w:bookmarkStart w:id="35" w:name="_Toc161643972"/>
      <w:bookmarkStart w:id="36" w:name="_Toc176023818"/>
      <w:r>
        <w:rPr>
          <w:rFonts w:ascii="宋体" w:hAnsi="宋体"/>
          <w:b/>
          <w:spacing w:val="60"/>
          <w:sz w:val="24"/>
          <w:szCs w:val="24"/>
        </w:rPr>
        <w:t>四、投标文件的递交</w:t>
      </w:r>
      <w:bookmarkEnd w:id="33"/>
      <w:bookmarkEnd w:id="34"/>
      <w:bookmarkEnd w:id="35"/>
      <w:bookmarkEnd w:id="36"/>
    </w:p>
    <w:p w14:paraId="5871593C">
      <w:pPr>
        <w:spacing w:line="360" w:lineRule="auto"/>
        <w:rPr>
          <w:rFonts w:hint="eastAsia" w:ascii="宋体" w:hAnsi="宋体"/>
          <w:sz w:val="24"/>
          <w:szCs w:val="24"/>
        </w:rPr>
      </w:pPr>
      <w:r>
        <w:rPr>
          <w:rFonts w:ascii="宋体" w:hAnsi="宋体"/>
          <w:b/>
          <w:bCs/>
          <w:sz w:val="24"/>
          <w:szCs w:val="24"/>
        </w:rPr>
        <w:t>18. 投标文件的</w:t>
      </w:r>
      <w:r>
        <w:rPr>
          <w:rFonts w:hint="eastAsia" w:ascii="宋体" w:hAnsi="宋体"/>
          <w:b/>
          <w:bCs/>
          <w:sz w:val="24"/>
          <w:szCs w:val="24"/>
        </w:rPr>
        <w:t>递交</w:t>
      </w:r>
    </w:p>
    <w:p w14:paraId="0F793E52">
      <w:pPr>
        <w:spacing w:line="360" w:lineRule="auto"/>
        <w:ind w:left="540" w:hanging="540" w:hangingChars="225"/>
        <w:rPr>
          <w:rFonts w:hint="eastAsia" w:ascii="宋体" w:hAnsi="宋体"/>
          <w:bCs/>
          <w:sz w:val="24"/>
          <w:szCs w:val="24"/>
        </w:rPr>
      </w:pPr>
      <w:bookmarkStart w:id="37" w:name="OLE_LINK47"/>
      <w:r>
        <w:rPr>
          <w:rFonts w:hint="eastAsia" w:ascii="宋体" w:hAnsi="宋体"/>
          <w:bCs/>
          <w:sz w:val="24"/>
          <w:szCs w:val="24"/>
        </w:rPr>
        <w:t>18.</w:t>
      </w:r>
      <w:bookmarkEnd w:id="37"/>
      <w:r>
        <w:rPr>
          <w:rFonts w:hint="eastAsia" w:ascii="宋体" w:hAnsi="宋体"/>
          <w:bCs/>
          <w:sz w:val="24"/>
          <w:szCs w:val="24"/>
        </w:rPr>
        <w:t>1本项目采用不见面开标、投标人需要递交电子投标文件，加密的电子投标文件，在投标截止时间前通过新疆政府采购云平台：https://www.zcygov.cn/上传到指定位置。无需递交纸质文件。</w:t>
      </w:r>
    </w:p>
    <w:p w14:paraId="39589C5E">
      <w:pPr>
        <w:spacing w:line="360" w:lineRule="auto"/>
        <w:ind w:left="540" w:hanging="540" w:hangingChars="225"/>
        <w:rPr>
          <w:rFonts w:hint="eastAsia" w:ascii="宋体" w:hAnsi="宋体"/>
          <w:bCs/>
          <w:sz w:val="24"/>
          <w:szCs w:val="24"/>
        </w:rPr>
      </w:pPr>
      <w:r>
        <w:rPr>
          <w:rFonts w:hint="eastAsia" w:ascii="宋体" w:hAnsi="宋体"/>
          <w:bCs/>
          <w:sz w:val="24"/>
          <w:szCs w:val="24"/>
        </w:rPr>
        <w:t>18.2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17738E0E">
      <w:pPr>
        <w:spacing w:line="360" w:lineRule="auto"/>
        <w:ind w:left="540" w:hanging="540" w:hangingChars="225"/>
        <w:rPr>
          <w:rFonts w:hint="eastAsia" w:ascii="宋体" w:hAnsi="宋体"/>
          <w:bCs/>
          <w:sz w:val="24"/>
          <w:szCs w:val="24"/>
        </w:rPr>
      </w:pPr>
      <w:r>
        <w:rPr>
          <w:rFonts w:hint="eastAsia" w:ascii="宋体" w:hAnsi="宋体"/>
          <w:bCs/>
          <w:sz w:val="24"/>
          <w:szCs w:val="24"/>
        </w:rPr>
        <w:t>18.3远程开标前，投标人务必在新疆政府采购云平台：https://www.zcygov.cn/投标文件上传模块中使用“模拟解密”功能，验证本机远程自助解密环境。</w:t>
      </w:r>
    </w:p>
    <w:p w14:paraId="471D62A3">
      <w:pPr>
        <w:spacing w:line="360" w:lineRule="auto"/>
        <w:ind w:left="542" w:hanging="540" w:hangingChars="225"/>
        <w:rPr>
          <w:rFonts w:hint="eastAsia" w:ascii="宋体" w:hAnsi="宋体"/>
          <w:bCs/>
          <w:sz w:val="24"/>
          <w:szCs w:val="24"/>
        </w:rPr>
      </w:pPr>
      <w:r>
        <w:rPr>
          <w:rFonts w:ascii="宋体" w:hAnsi="宋体"/>
          <w:b/>
          <w:sz w:val="24"/>
          <w:szCs w:val="24"/>
        </w:rPr>
        <w:t>19. 投标截止时间</w:t>
      </w:r>
    </w:p>
    <w:p w14:paraId="4D5DDFDB">
      <w:pPr>
        <w:spacing w:line="360" w:lineRule="auto"/>
        <w:ind w:left="540" w:hanging="540" w:hangingChars="225"/>
        <w:rPr>
          <w:rFonts w:hint="eastAsia" w:ascii="宋体" w:hAnsi="宋体"/>
          <w:bCs/>
          <w:sz w:val="24"/>
          <w:szCs w:val="24"/>
        </w:rPr>
      </w:pPr>
      <w:r>
        <w:rPr>
          <w:rFonts w:ascii="宋体" w:hAnsi="宋体"/>
          <w:bCs/>
          <w:sz w:val="24"/>
          <w:szCs w:val="24"/>
        </w:rPr>
        <w:t>19.1 采购代理机构</w:t>
      </w:r>
      <w:r>
        <w:rPr>
          <w:rFonts w:hint="eastAsia" w:ascii="宋体" w:hAnsi="宋体"/>
          <w:bCs/>
          <w:sz w:val="24"/>
          <w:szCs w:val="24"/>
        </w:rPr>
        <w:t>将按</w:t>
      </w:r>
      <w:r>
        <w:rPr>
          <w:rFonts w:ascii="宋体" w:hAnsi="宋体"/>
          <w:bCs/>
          <w:sz w:val="24"/>
          <w:szCs w:val="24"/>
        </w:rPr>
        <w:t>投标邀请中规定的投标</w:t>
      </w:r>
      <w:r>
        <w:rPr>
          <w:rFonts w:hint="eastAsia" w:ascii="宋体" w:hAnsi="宋体"/>
          <w:bCs/>
          <w:sz w:val="24"/>
          <w:szCs w:val="24"/>
        </w:rPr>
        <w:t>文件递交</w:t>
      </w:r>
      <w:r>
        <w:rPr>
          <w:rFonts w:ascii="宋体" w:hAnsi="宋体"/>
          <w:bCs/>
          <w:sz w:val="24"/>
          <w:szCs w:val="24"/>
        </w:rPr>
        <w:t>截止时间</w:t>
      </w:r>
      <w:r>
        <w:rPr>
          <w:rFonts w:hint="eastAsia" w:ascii="宋体" w:hAnsi="宋体"/>
          <w:bCs/>
          <w:sz w:val="24"/>
          <w:szCs w:val="24"/>
        </w:rPr>
        <w:t>前接收投标文件</w:t>
      </w:r>
      <w:r>
        <w:rPr>
          <w:rFonts w:ascii="宋体" w:hAnsi="宋体"/>
          <w:bCs/>
          <w:sz w:val="24"/>
          <w:szCs w:val="24"/>
        </w:rPr>
        <w:t>。</w:t>
      </w:r>
    </w:p>
    <w:p w14:paraId="2561A9D4">
      <w:pPr>
        <w:spacing w:line="360" w:lineRule="auto"/>
        <w:rPr>
          <w:rFonts w:hint="eastAsia" w:ascii="宋体" w:hAnsi="宋体"/>
          <w:bCs/>
          <w:sz w:val="24"/>
          <w:szCs w:val="24"/>
        </w:rPr>
      </w:pPr>
      <w:r>
        <w:rPr>
          <w:rFonts w:ascii="宋体" w:hAnsi="宋体"/>
          <w:bCs/>
          <w:sz w:val="24"/>
          <w:szCs w:val="24"/>
        </w:rPr>
        <w:t>19.2 采购代理机构可以按照投标人须知第8条的规定，通过修改招标文件自行决定酌情延长投标</w:t>
      </w:r>
      <w:r>
        <w:rPr>
          <w:rFonts w:hint="eastAsia" w:ascii="宋体" w:hAnsi="宋体"/>
          <w:bCs/>
          <w:sz w:val="24"/>
          <w:szCs w:val="24"/>
        </w:rPr>
        <w:t>文件递交</w:t>
      </w:r>
      <w:r>
        <w:rPr>
          <w:rFonts w:ascii="宋体" w:hAnsi="宋体"/>
          <w:bCs/>
          <w:sz w:val="24"/>
          <w:szCs w:val="24"/>
        </w:rPr>
        <w:t>截止时间。在此情况下，采购人、采购代理机构和投标人受投标</w:t>
      </w:r>
      <w:r>
        <w:rPr>
          <w:rFonts w:hint="eastAsia" w:ascii="宋体" w:hAnsi="宋体"/>
          <w:bCs/>
          <w:sz w:val="24"/>
          <w:szCs w:val="24"/>
        </w:rPr>
        <w:t>文件递交</w:t>
      </w:r>
      <w:r>
        <w:rPr>
          <w:rFonts w:ascii="宋体" w:hAnsi="宋体"/>
          <w:bCs/>
          <w:sz w:val="24"/>
          <w:szCs w:val="24"/>
        </w:rPr>
        <w:t>截止时间制约的所有权利和义务均应以延长后新的投标</w:t>
      </w:r>
      <w:r>
        <w:rPr>
          <w:rFonts w:hint="eastAsia" w:ascii="宋体" w:hAnsi="宋体"/>
          <w:bCs/>
          <w:sz w:val="24"/>
          <w:szCs w:val="24"/>
        </w:rPr>
        <w:t>文件递交</w:t>
      </w:r>
      <w:r>
        <w:rPr>
          <w:rFonts w:ascii="宋体" w:hAnsi="宋体"/>
          <w:bCs/>
          <w:sz w:val="24"/>
          <w:szCs w:val="24"/>
        </w:rPr>
        <w:t>截止时间为准。</w:t>
      </w:r>
    </w:p>
    <w:p w14:paraId="2EBCF89E">
      <w:pPr>
        <w:spacing w:line="360" w:lineRule="auto"/>
        <w:ind w:left="542" w:hanging="540" w:hangingChars="225"/>
        <w:rPr>
          <w:rFonts w:hint="eastAsia" w:ascii="宋体" w:hAnsi="宋体"/>
          <w:bCs/>
          <w:sz w:val="24"/>
          <w:szCs w:val="24"/>
        </w:rPr>
      </w:pPr>
      <w:r>
        <w:rPr>
          <w:rFonts w:ascii="宋体" w:hAnsi="宋体"/>
          <w:b/>
          <w:sz w:val="24"/>
          <w:szCs w:val="24"/>
        </w:rPr>
        <w:t>20. 迟交的投标文件</w:t>
      </w:r>
    </w:p>
    <w:p w14:paraId="229A8DA2">
      <w:pPr>
        <w:spacing w:line="360" w:lineRule="auto"/>
        <w:rPr>
          <w:rFonts w:hint="eastAsia" w:ascii="宋体" w:hAnsi="宋体"/>
          <w:bCs/>
          <w:sz w:val="24"/>
          <w:szCs w:val="24"/>
        </w:rPr>
      </w:pPr>
      <w:r>
        <w:rPr>
          <w:rFonts w:ascii="宋体" w:hAnsi="宋体"/>
          <w:bCs/>
          <w:sz w:val="24"/>
          <w:szCs w:val="24"/>
        </w:rPr>
        <w:t>20.1 按照投标人须知第19条规定，采购代理机构应拒绝在其规定的投标</w:t>
      </w:r>
      <w:r>
        <w:rPr>
          <w:rFonts w:hint="eastAsia" w:ascii="宋体" w:hAnsi="宋体"/>
          <w:bCs/>
          <w:sz w:val="24"/>
          <w:szCs w:val="24"/>
        </w:rPr>
        <w:t>文件递交</w:t>
      </w:r>
      <w:r>
        <w:rPr>
          <w:rFonts w:ascii="宋体" w:hAnsi="宋体"/>
          <w:bCs/>
          <w:sz w:val="24"/>
          <w:szCs w:val="24"/>
        </w:rPr>
        <w:t>截止期后</w:t>
      </w:r>
      <w:r>
        <w:rPr>
          <w:rFonts w:hint="eastAsia" w:ascii="宋体" w:hAnsi="宋体"/>
          <w:bCs/>
          <w:sz w:val="24"/>
          <w:szCs w:val="24"/>
        </w:rPr>
        <w:t>递交</w:t>
      </w:r>
      <w:r>
        <w:rPr>
          <w:rFonts w:ascii="宋体" w:hAnsi="宋体"/>
          <w:bCs/>
          <w:sz w:val="24"/>
          <w:szCs w:val="24"/>
        </w:rPr>
        <w:t>的任何投标文件。</w:t>
      </w:r>
    </w:p>
    <w:p w14:paraId="1E38373A">
      <w:pPr>
        <w:spacing w:line="360" w:lineRule="auto"/>
        <w:ind w:left="542" w:hanging="540" w:hangingChars="225"/>
        <w:rPr>
          <w:rFonts w:hint="eastAsia" w:ascii="宋体" w:hAnsi="宋体"/>
          <w:bCs/>
          <w:sz w:val="24"/>
          <w:szCs w:val="24"/>
        </w:rPr>
      </w:pPr>
      <w:r>
        <w:rPr>
          <w:rFonts w:ascii="宋体" w:hAnsi="宋体"/>
          <w:b/>
          <w:sz w:val="24"/>
          <w:szCs w:val="24"/>
        </w:rPr>
        <w:t>21. 投标文件的补充、修改和撤回</w:t>
      </w:r>
    </w:p>
    <w:p w14:paraId="6DAB6876">
      <w:pPr>
        <w:spacing w:line="360" w:lineRule="auto"/>
        <w:rPr>
          <w:rFonts w:hint="eastAsia" w:ascii="宋体" w:hAnsi="宋体"/>
          <w:bCs/>
          <w:sz w:val="24"/>
          <w:szCs w:val="24"/>
        </w:rPr>
      </w:pPr>
      <w:bookmarkStart w:id="38" w:name="_Hlk115624372"/>
      <w:r>
        <w:rPr>
          <w:rFonts w:ascii="宋体" w:hAnsi="宋体"/>
          <w:bCs/>
          <w:sz w:val="24"/>
          <w:szCs w:val="24"/>
        </w:rPr>
        <w:t>21.1 投标人在递交投标文件后，可以补充、修改或撤回其投标，</w:t>
      </w:r>
      <w:r>
        <w:rPr>
          <w:rFonts w:hint="eastAsia" w:ascii="宋体" w:hAnsi="宋体"/>
          <w:bCs/>
          <w:sz w:val="24"/>
          <w:szCs w:val="24"/>
        </w:rPr>
        <w:t>如要修改，必须在撤回并修改后在规定的招标文件递交截止时间之前将修改后的投标文件再重新上传。</w:t>
      </w:r>
    </w:p>
    <w:p w14:paraId="63D36024">
      <w:pPr>
        <w:spacing w:line="360" w:lineRule="auto"/>
        <w:ind w:left="540" w:hanging="540" w:hangingChars="225"/>
        <w:rPr>
          <w:rFonts w:hint="eastAsia" w:ascii="宋体" w:hAnsi="宋体"/>
          <w:bCs/>
          <w:sz w:val="24"/>
          <w:szCs w:val="24"/>
        </w:rPr>
      </w:pPr>
      <w:r>
        <w:rPr>
          <w:rFonts w:ascii="宋体" w:hAnsi="宋体"/>
          <w:bCs/>
          <w:sz w:val="24"/>
          <w:szCs w:val="24"/>
        </w:rPr>
        <w:t>21.</w:t>
      </w:r>
      <w:r>
        <w:rPr>
          <w:rFonts w:hint="eastAsia" w:ascii="宋体" w:hAnsi="宋体"/>
          <w:bCs/>
          <w:sz w:val="24"/>
          <w:szCs w:val="24"/>
        </w:rPr>
        <w:t>2</w:t>
      </w:r>
      <w:r>
        <w:rPr>
          <w:rFonts w:ascii="宋体" w:hAnsi="宋体"/>
          <w:bCs/>
          <w:sz w:val="24"/>
          <w:szCs w:val="24"/>
        </w:rPr>
        <w:t xml:space="preserve"> 在投标</w:t>
      </w:r>
      <w:r>
        <w:rPr>
          <w:rFonts w:hint="eastAsia" w:ascii="宋体" w:hAnsi="宋体"/>
          <w:bCs/>
          <w:sz w:val="24"/>
          <w:szCs w:val="24"/>
        </w:rPr>
        <w:t>文件递交</w:t>
      </w:r>
      <w:r>
        <w:rPr>
          <w:rFonts w:ascii="宋体" w:hAnsi="宋体"/>
          <w:bCs/>
          <w:sz w:val="24"/>
          <w:szCs w:val="24"/>
        </w:rPr>
        <w:t>截止期之后，投标人不得修改投标文件。</w:t>
      </w:r>
    </w:p>
    <w:p w14:paraId="3F1C26DC">
      <w:pPr>
        <w:spacing w:line="360" w:lineRule="auto"/>
        <w:rPr>
          <w:rFonts w:hint="eastAsia" w:ascii="宋体" w:hAnsi="宋体"/>
          <w:bCs/>
          <w:sz w:val="24"/>
          <w:szCs w:val="24"/>
        </w:rPr>
      </w:pPr>
      <w:r>
        <w:rPr>
          <w:rFonts w:ascii="宋体" w:hAnsi="宋体"/>
          <w:bCs/>
          <w:sz w:val="24"/>
          <w:szCs w:val="24"/>
        </w:rPr>
        <w:t>21.</w:t>
      </w:r>
      <w:r>
        <w:rPr>
          <w:rFonts w:hint="eastAsia" w:ascii="宋体" w:hAnsi="宋体"/>
          <w:bCs/>
          <w:sz w:val="24"/>
          <w:szCs w:val="24"/>
        </w:rPr>
        <w:t>3</w:t>
      </w:r>
      <w:r>
        <w:rPr>
          <w:rFonts w:ascii="宋体" w:hAnsi="宋体"/>
          <w:bCs/>
          <w:sz w:val="24"/>
          <w:szCs w:val="24"/>
        </w:rPr>
        <w:t xml:space="preserve"> </w:t>
      </w:r>
      <w:r>
        <w:rPr>
          <w:rFonts w:hint="eastAsia" w:ascii="宋体" w:hAnsi="宋体"/>
          <w:bCs/>
          <w:sz w:val="24"/>
          <w:szCs w:val="24"/>
        </w:rPr>
        <w:t>自</w:t>
      </w:r>
      <w:r>
        <w:rPr>
          <w:rFonts w:ascii="宋体" w:hAnsi="宋体"/>
          <w:bCs/>
          <w:sz w:val="24"/>
          <w:szCs w:val="24"/>
        </w:rPr>
        <w:t>投标</w:t>
      </w:r>
      <w:r>
        <w:rPr>
          <w:rFonts w:hint="eastAsia" w:ascii="宋体" w:hAnsi="宋体"/>
          <w:bCs/>
          <w:sz w:val="24"/>
          <w:szCs w:val="24"/>
        </w:rPr>
        <w:t>文件递交</w:t>
      </w:r>
      <w:r>
        <w:rPr>
          <w:rFonts w:ascii="宋体" w:hAnsi="宋体"/>
          <w:bCs/>
          <w:sz w:val="24"/>
          <w:szCs w:val="24"/>
        </w:rPr>
        <w:t>截止期至投标人须知前附表中规定的投标有效期满的这段时间内，投标人不得撤销其投标，否则其投标保证金将被没收。</w:t>
      </w:r>
      <w:bookmarkStart w:id="39" w:name="_Toc161643973"/>
    </w:p>
    <w:bookmarkEnd w:id="38"/>
    <w:bookmarkEnd w:id="39"/>
    <w:p w14:paraId="360BA156">
      <w:pPr>
        <w:spacing w:line="360" w:lineRule="auto"/>
        <w:jc w:val="center"/>
        <w:outlineLvl w:val="1"/>
        <w:rPr>
          <w:rFonts w:hint="eastAsia" w:ascii="宋体" w:hAnsi="宋体"/>
          <w:b/>
          <w:spacing w:val="60"/>
          <w:sz w:val="24"/>
          <w:szCs w:val="24"/>
        </w:rPr>
      </w:pPr>
      <w:bookmarkStart w:id="40" w:name="_Toc7531908"/>
      <w:bookmarkStart w:id="41" w:name="_Toc115623229"/>
      <w:bookmarkStart w:id="42" w:name="_Toc176023819"/>
      <w:r>
        <w:rPr>
          <w:rFonts w:hint="eastAsia" w:ascii="宋体" w:hAnsi="宋体"/>
          <w:b/>
          <w:spacing w:val="60"/>
          <w:sz w:val="24"/>
          <w:szCs w:val="24"/>
        </w:rPr>
        <w:t>五、开标与评标</w:t>
      </w:r>
      <w:bookmarkEnd w:id="40"/>
      <w:bookmarkEnd w:id="41"/>
      <w:bookmarkEnd w:id="42"/>
    </w:p>
    <w:p w14:paraId="77392ACB">
      <w:pPr>
        <w:spacing w:line="360" w:lineRule="auto"/>
        <w:rPr>
          <w:rFonts w:hint="eastAsia" w:ascii="宋体" w:hAnsi="宋体"/>
          <w:b/>
          <w:sz w:val="24"/>
          <w:szCs w:val="24"/>
        </w:rPr>
      </w:pPr>
      <w:r>
        <w:rPr>
          <w:rFonts w:ascii="宋体" w:hAnsi="宋体"/>
          <w:b/>
          <w:sz w:val="24"/>
          <w:szCs w:val="24"/>
        </w:rPr>
        <w:t xml:space="preserve">22. </w:t>
      </w:r>
      <w:r>
        <w:rPr>
          <w:rFonts w:hint="eastAsia" w:ascii="宋体" w:hAnsi="宋体"/>
          <w:b/>
          <w:sz w:val="24"/>
          <w:szCs w:val="24"/>
        </w:rPr>
        <w:t>开标</w:t>
      </w:r>
    </w:p>
    <w:p w14:paraId="672BA3AE">
      <w:pPr>
        <w:spacing w:line="360" w:lineRule="auto"/>
        <w:rPr>
          <w:rFonts w:hint="eastAsia" w:ascii="宋体" w:hAnsi="宋体"/>
          <w:b/>
          <w:bCs/>
          <w:sz w:val="24"/>
          <w:szCs w:val="24"/>
        </w:rPr>
      </w:pPr>
      <w:r>
        <w:rPr>
          <w:rFonts w:hint="eastAsia" w:ascii="宋体" w:hAnsi="宋体"/>
          <w:bCs/>
          <w:sz w:val="24"/>
          <w:szCs w:val="24"/>
        </w:rPr>
        <w:t>22.1</w:t>
      </w:r>
      <w:r>
        <w:rPr>
          <w:rFonts w:hint="eastAsia" w:ascii="宋体" w:hAnsi="宋体"/>
          <w:b/>
          <w:bCs/>
          <w:sz w:val="24"/>
          <w:szCs w:val="24"/>
        </w:rPr>
        <w:t>采用不见面开标方式</w:t>
      </w:r>
    </w:p>
    <w:p w14:paraId="103346D2">
      <w:pPr>
        <w:spacing w:line="360" w:lineRule="auto"/>
        <w:ind w:firstLine="480" w:firstLineChars="200"/>
        <w:rPr>
          <w:rFonts w:hint="eastAsia" w:ascii="宋体" w:hAnsi="宋体"/>
          <w:b/>
          <w:bCs/>
          <w:sz w:val="24"/>
          <w:szCs w:val="24"/>
        </w:rPr>
      </w:pPr>
      <w:r>
        <w:rPr>
          <w:rFonts w:hint="eastAsia" w:ascii="宋体" w:hAnsi="宋体"/>
          <w:b/>
          <w:bCs/>
          <w:sz w:val="24"/>
          <w:szCs w:val="24"/>
        </w:rPr>
        <w:t>采购人在本章规定的投标截止时间（开标时间）和投标人须知前附表规定的地点（网址）开标。投标人的法定代表人或其委托代理人无需到达开标现场，仅需在任意地点通过新疆政府采购云平台不见面开标系统，使用CA密钥完成远程解密、答疑澄清、报价公示及确认、结果公布等交互环节。</w:t>
      </w:r>
    </w:p>
    <w:p w14:paraId="1A309C64">
      <w:pPr>
        <w:spacing w:line="360" w:lineRule="auto"/>
        <w:ind w:firstLine="480" w:firstLineChars="200"/>
        <w:rPr>
          <w:rFonts w:hint="eastAsia" w:ascii="宋体" w:hAnsi="宋体"/>
          <w:b/>
          <w:bCs/>
          <w:sz w:val="24"/>
          <w:szCs w:val="24"/>
        </w:rPr>
      </w:pPr>
      <w:r>
        <w:rPr>
          <w:rFonts w:hint="eastAsia" w:ascii="宋体" w:hAnsi="宋体"/>
          <w:b/>
          <w:bCs/>
          <w:sz w:val="24"/>
          <w:szCs w:val="24"/>
        </w:rPr>
        <w:t>法定代表人或授权委托人参与远程交互，中途不得更换，在废标、澄清、答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55EC6159">
      <w:pPr>
        <w:spacing w:line="360" w:lineRule="auto"/>
        <w:rPr>
          <w:rFonts w:hint="eastAsia" w:ascii="宋体" w:hAnsi="宋体"/>
          <w:bCs/>
          <w:sz w:val="24"/>
          <w:szCs w:val="24"/>
        </w:rPr>
      </w:pPr>
      <w:r>
        <w:rPr>
          <w:rFonts w:hint="eastAsia" w:ascii="宋体" w:hAnsi="宋体"/>
          <w:bCs/>
          <w:sz w:val="24"/>
          <w:szCs w:val="24"/>
        </w:rPr>
        <w:t>22.2 开标时《开标一览表》的内容，供应商名称、数量和投标价格等在不见面开标大厅一并公示。</w:t>
      </w:r>
    </w:p>
    <w:p w14:paraId="685F75EF">
      <w:pPr>
        <w:spacing w:line="360" w:lineRule="auto"/>
        <w:rPr>
          <w:rFonts w:hint="eastAsia" w:ascii="宋体" w:hAnsi="宋体"/>
          <w:bCs/>
          <w:sz w:val="24"/>
          <w:szCs w:val="24"/>
        </w:rPr>
      </w:pPr>
      <w:r>
        <w:rPr>
          <w:rFonts w:hint="eastAsia" w:ascii="宋体" w:hAnsi="宋体"/>
          <w:bCs/>
          <w:sz w:val="24"/>
          <w:szCs w:val="24"/>
        </w:rPr>
        <w:t>22.3 报价公示完毕后，如果供应商对所公示报价内容有异议，应当场立即提出。</w:t>
      </w:r>
    </w:p>
    <w:p w14:paraId="313C5387">
      <w:pPr>
        <w:spacing w:line="360" w:lineRule="auto"/>
        <w:rPr>
          <w:rFonts w:hint="eastAsia" w:ascii="宋体" w:hAnsi="宋体"/>
          <w:b/>
          <w:sz w:val="24"/>
          <w:szCs w:val="24"/>
        </w:rPr>
      </w:pPr>
      <w:r>
        <w:rPr>
          <w:rFonts w:ascii="宋体" w:hAnsi="宋体"/>
          <w:b/>
          <w:sz w:val="24"/>
          <w:szCs w:val="24"/>
        </w:rPr>
        <w:t xml:space="preserve">23. </w:t>
      </w:r>
      <w:r>
        <w:rPr>
          <w:rFonts w:hint="eastAsia" w:ascii="宋体" w:hAnsi="宋体"/>
          <w:b/>
          <w:sz w:val="24"/>
          <w:szCs w:val="24"/>
        </w:rPr>
        <w:t>资格审查</w:t>
      </w:r>
    </w:p>
    <w:p w14:paraId="725D25A0">
      <w:pPr>
        <w:spacing w:line="360" w:lineRule="auto"/>
        <w:rPr>
          <w:rFonts w:hint="eastAsia" w:ascii="宋体" w:hAnsi="宋体"/>
          <w:bCs/>
          <w:sz w:val="24"/>
          <w:szCs w:val="24"/>
        </w:rPr>
      </w:pPr>
      <w:r>
        <w:rPr>
          <w:rFonts w:hint="eastAsia" w:ascii="宋体" w:hAnsi="宋体"/>
          <w:bCs/>
          <w:sz w:val="24"/>
          <w:szCs w:val="24"/>
        </w:rPr>
        <w:t>2</w:t>
      </w:r>
      <w:r>
        <w:rPr>
          <w:rFonts w:ascii="宋体" w:hAnsi="宋体"/>
          <w:bCs/>
          <w:sz w:val="24"/>
          <w:szCs w:val="24"/>
        </w:rPr>
        <w:t>3</w:t>
      </w:r>
      <w:r>
        <w:rPr>
          <w:rFonts w:hint="eastAsia" w:ascii="宋体" w:hAnsi="宋体"/>
          <w:bCs/>
          <w:sz w:val="24"/>
          <w:szCs w:val="24"/>
        </w:rPr>
        <w:t>.1开标会议结束后，采购人</w:t>
      </w:r>
      <w:r>
        <w:rPr>
          <w:rFonts w:ascii="宋体" w:hAnsi="宋体"/>
          <w:bCs/>
          <w:sz w:val="24"/>
          <w:szCs w:val="24"/>
        </w:rPr>
        <w:t>或</w:t>
      </w:r>
      <w:r>
        <w:rPr>
          <w:rFonts w:hint="eastAsia" w:ascii="宋体" w:hAnsi="宋体"/>
          <w:bCs/>
          <w:sz w:val="24"/>
          <w:szCs w:val="24"/>
        </w:rPr>
        <w:t>采购代理机构将依法对投标人的资格进行检查，合格投标人不足3家的，不得评标。</w:t>
      </w:r>
    </w:p>
    <w:p w14:paraId="7A79652E">
      <w:pPr>
        <w:tabs>
          <w:tab w:val="left" w:pos="720"/>
        </w:tabs>
        <w:spacing w:line="360" w:lineRule="auto"/>
        <w:rPr>
          <w:rFonts w:hint="eastAsia" w:ascii="宋体" w:hAnsi="宋体"/>
          <w:bCs/>
          <w:sz w:val="24"/>
          <w:szCs w:val="24"/>
        </w:rPr>
      </w:pPr>
      <w:r>
        <w:rPr>
          <w:rFonts w:hint="eastAsia" w:ascii="宋体" w:hAnsi="宋体"/>
          <w:bCs/>
          <w:sz w:val="24"/>
          <w:szCs w:val="24"/>
        </w:rPr>
        <w:t>2</w:t>
      </w:r>
      <w:r>
        <w:rPr>
          <w:rFonts w:ascii="宋体" w:hAnsi="宋体"/>
          <w:bCs/>
          <w:sz w:val="24"/>
          <w:szCs w:val="24"/>
        </w:rPr>
        <w:t>3.2</w:t>
      </w:r>
      <w:r>
        <w:rPr>
          <w:rFonts w:hint="eastAsia" w:ascii="宋体" w:hAnsi="宋体"/>
          <w:bCs/>
          <w:sz w:val="24"/>
          <w:szCs w:val="24"/>
        </w:rPr>
        <w:t>资格审查依据法律法规和招标文件的规定，对投标文件中的资格证明、投标保证金等进行审查，以确定投标人是否具备投标资格。投标人存在下列情况之一的，投标无效：</w:t>
      </w:r>
    </w:p>
    <w:p w14:paraId="1E2B91DF">
      <w:pPr>
        <w:spacing w:line="360" w:lineRule="auto"/>
        <w:rPr>
          <w:rFonts w:hint="eastAsia" w:ascii="宋体" w:hAnsi="宋体"/>
          <w:bCs/>
          <w:sz w:val="24"/>
          <w:szCs w:val="24"/>
        </w:rPr>
      </w:pPr>
      <w:r>
        <w:rPr>
          <w:rFonts w:hint="eastAsia" w:ascii="宋体" w:hAnsi="宋体"/>
          <w:bCs/>
          <w:sz w:val="24"/>
          <w:szCs w:val="24"/>
        </w:rPr>
        <w:t>（1）不具备本招标文件投标人须知第2条合格的投标人资格要求的；</w:t>
      </w:r>
    </w:p>
    <w:p w14:paraId="0887CABE">
      <w:pPr>
        <w:spacing w:line="360" w:lineRule="auto"/>
        <w:rPr>
          <w:rFonts w:hint="eastAsia" w:ascii="宋体" w:hAnsi="宋体"/>
          <w:bCs/>
          <w:sz w:val="24"/>
          <w:szCs w:val="24"/>
        </w:rPr>
      </w:pPr>
      <w:r>
        <w:rPr>
          <w:rFonts w:hint="eastAsia" w:ascii="宋体" w:hAnsi="宋体"/>
          <w:bCs/>
          <w:sz w:val="24"/>
          <w:szCs w:val="24"/>
        </w:rPr>
        <w:t>（2）未按照招标文件的规定提交投标保证金的。</w:t>
      </w:r>
    </w:p>
    <w:p w14:paraId="5C798D60">
      <w:pPr>
        <w:spacing w:line="360" w:lineRule="auto"/>
        <w:rPr>
          <w:rFonts w:hint="eastAsia" w:ascii="宋体" w:hAnsi="宋体"/>
          <w:b/>
          <w:sz w:val="24"/>
          <w:szCs w:val="24"/>
        </w:rPr>
      </w:pPr>
      <w:r>
        <w:rPr>
          <w:rFonts w:ascii="宋体" w:hAnsi="宋体"/>
          <w:b/>
          <w:sz w:val="24"/>
          <w:szCs w:val="24"/>
        </w:rPr>
        <w:t xml:space="preserve">24. </w:t>
      </w:r>
      <w:r>
        <w:rPr>
          <w:rFonts w:hint="eastAsia" w:ascii="宋体" w:hAnsi="宋体"/>
          <w:b/>
          <w:sz w:val="24"/>
          <w:szCs w:val="24"/>
        </w:rPr>
        <w:t>评标</w:t>
      </w:r>
    </w:p>
    <w:p w14:paraId="3E31781D">
      <w:pPr>
        <w:adjustRightInd w:val="0"/>
        <w:snapToGrid w:val="0"/>
        <w:spacing w:line="360" w:lineRule="auto"/>
        <w:rPr>
          <w:rFonts w:hint="eastAsia" w:ascii="宋体" w:hAnsi="宋体"/>
          <w:b/>
          <w:bCs/>
          <w:sz w:val="24"/>
          <w:szCs w:val="24"/>
        </w:rPr>
      </w:pPr>
      <w:r>
        <w:rPr>
          <w:rFonts w:ascii="宋体" w:hAnsi="宋体"/>
          <w:b/>
          <w:bCs/>
          <w:sz w:val="24"/>
          <w:szCs w:val="24"/>
        </w:rPr>
        <w:t xml:space="preserve">24.1 </w:t>
      </w:r>
      <w:r>
        <w:rPr>
          <w:rFonts w:hint="eastAsia" w:ascii="宋体" w:hAnsi="宋体"/>
          <w:b/>
          <w:bCs/>
          <w:sz w:val="24"/>
          <w:szCs w:val="24"/>
        </w:rPr>
        <w:t>组建评标委员会</w:t>
      </w:r>
    </w:p>
    <w:p w14:paraId="0AD9BB04">
      <w:pPr>
        <w:adjustRightInd w:val="0"/>
        <w:snapToGrid w:val="0"/>
        <w:spacing w:line="360" w:lineRule="auto"/>
        <w:ind w:left="2"/>
        <w:rPr>
          <w:rFonts w:hint="eastAsia" w:ascii="宋体" w:hAnsi="宋体"/>
          <w:bCs/>
          <w:sz w:val="24"/>
          <w:szCs w:val="24"/>
        </w:rPr>
      </w:pPr>
      <w:r>
        <w:rPr>
          <w:rFonts w:ascii="宋体" w:hAnsi="宋体"/>
          <w:bCs/>
          <w:sz w:val="24"/>
          <w:szCs w:val="24"/>
        </w:rPr>
        <w:t>24.1.1</w:t>
      </w:r>
      <w:r>
        <w:rPr>
          <w:rFonts w:hint="eastAsia" w:ascii="宋体" w:hAnsi="宋体"/>
          <w:bCs/>
          <w:sz w:val="24"/>
          <w:szCs w:val="24"/>
        </w:rPr>
        <w:t>采购代理机构依法组建评标委员会。评标委员会由采购人代表和</w:t>
      </w:r>
      <w:r>
        <w:rPr>
          <w:rFonts w:hint="eastAsia" w:cs="SSJ-PK74820000023-Identity-H"/>
          <w:kern w:val="0"/>
          <w:sz w:val="24"/>
          <w:szCs w:val="24"/>
        </w:rPr>
        <w:t>政府采购</w:t>
      </w:r>
      <w:r>
        <w:rPr>
          <w:rFonts w:hint="eastAsia" w:ascii="宋体" w:hAnsi="宋体"/>
          <w:bCs/>
          <w:sz w:val="24"/>
          <w:szCs w:val="24"/>
        </w:rPr>
        <w:t>评审专家组成，成员人数应当为5人以上单数，其中评审专家不得少于成员总数的三分之二。采购数额在</w:t>
      </w:r>
      <w:r>
        <w:rPr>
          <w:rFonts w:ascii="宋体" w:hAnsi="宋体"/>
          <w:bCs/>
          <w:sz w:val="24"/>
          <w:szCs w:val="24"/>
        </w:rPr>
        <w:t>1000</w:t>
      </w:r>
      <w:r>
        <w:rPr>
          <w:rFonts w:hint="eastAsia" w:ascii="宋体" w:hAnsi="宋体"/>
          <w:bCs/>
          <w:sz w:val="24"/>
          <w:szCs w:val="24"/>
        </w:rPr>
        <w:t>万元以上或技术复杂或社会影响较大的项目，评标委员会应当为7人以上单数。</w:t>
      </w:r>
    </w:p>
    <w:p w14:paraId="5DE8510F">
      <w:pPr>
        <w:adjustRightInd w:val="0"/>
        <w:snapToGrid w:val="0"/>
        <w:spacing w:line="360" w:lineRule="auto"/>
        <w:ind w:left="723" w:hanging="720" w:hangingChars="300"/>
        <w:rPr>
          <w:rFonts w:hint="eastAsia" w:ascii="宋体" w:hAnsi="宋体"/>
          <w:b/>
          <w:bCs/>
          <w:sz w:val="24"/>
          <w:szCs w:val="24"/>
        </w:rPr>
      </w:pPr>
      <w:r>
        <w:rPr>
          <w:rFonts w:hint="eastAsia" w:ascii="宋体" w:hAnsi="宋体"/>
          <w:b/>
          <w:bCs/>
          <w:sz w:val="24"/>
          <w:szCs w:val="24"/>
        </w:rPr>
        <w:t>2</w:t>
      </w:r>
      <w:r>
        <w:rPr>
          <w:rFonts w:ascii="宋体" w:hAnsi="宋体"/>
          <w:b/>
          <w:bCs/>
          <w:sz w:val="24"/>
          <w:szCs w:val="24"/>
        </w:rPr>
        <w:t xml:space="preserve">4.2 </w:t>
      </w:r>
      <w:r>
        <w:rPr>
          <w:rFonts w:hint="eastAsia" w:ascii="宋体" w:hAnsi="宋体"/>
          <w:b/>
          <w:kern w:val="24"/>
          <w:sz w:val="24"/>
          <w:szCs w:val="24"/>
        </w:rPr>
        <w:t>投标文件的初审</w:t>
      </w:r>
    </w:p>
    <w:p w14:paraId="347A86AA">
      <w:pPr>
        <w:spacing w:line="360" w:lineRule="auto"/>
        <w:ind w:left="-2"/>
        <w:rPr>
          <w:rFonts w:hint="eastAsia" w:ascii="宋体" w:hAnsi="宋体"/>
          <w:bCs/>
          <w:kern w:val="24"/>
          <w:sz w:val="24"/>
          <w:szCs w:val="24"/>
        </w:rPr>
      </w:pPr>
      <w:bookmarkStart w:id="43" w:name="_Hlk55832197"/>
      <w:r>
        <w:rPr>
          <w:rFonts w:hint="eastAsia" w:ascii="宋体" w:hAnsi="宋体"/>
          <w:bCs/>
          <w:kern w:val="24"/>
          <w:sz w:val="24"/>
          <w:szCs w:val="24"/>
        </w:rPr>
        <w:t>24.2.1初审即符合性检查。评标委员会依据招标文件的规定，从投标文件的有效性、完整性和对招标文件的响应程度进行审查，以确定是否对招标文件的实质性要求作出响应。评标委员会决定投标的响应性只根据投标本身的真实无误内容，而不是寻求外部的证据，但投标有不真实不正确的内容时除外。</w:t>
      </w:r>
    </w:p>
    <w:p w14:paraId="5B8CF5E8">
      <w:pPr>
        <w:spacing w:line="360" w:lineRule="auto"/>
        <w:ind w:left="-2"/>
        <w:rPr>
          <w:rFonts w:hint="eastAsia" w:ascii="宋体" w:hAnsi="宋体"/>
          <w:bCs/>
          <w:kern w:val="24"/>
          <w:sz w:val="24"/>
          <w:szCs w:val="24"/>
        </w:rPr>
      </w:pPr>
      <w:r>
        <w:rPr>
          <w:rFonts w:hint="eastAsia" w:ascii="宋体" w:hAnsi="宋体"/>
          <w:bCs/>
          <w:kern w:val="24"/>
          <w:sz w:val="24"/>
          <w:szCs w:val="24"/>
        </w:rPr>
        <w:t>按照政府采购相关法律及招标文件的规定，如发现下列情况之一的，其投标将按无效投标处理：</w:t>
      </w:r>
    </w:p>
    <w:p w14:paraId="49C2B06E">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（1） 投标函未提供或不符合招标文件要求的；</w:t>
      </w:r>
    </w:p>
    <w:p w14:paraId="4CF73C0F">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（2） 开标一览表、投标分项报价表未提供或不符合招标文件要求的；</w:t>
      </w:r>
    </w:p>
    <w:p w14:paraId="43C7EBF5">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（3）</w:t>
      </w:r>
      <w:r>
        <w:rPr>
          <w:rFonts w:ascii="宋体" w:hAnsi="宋体"/>
          <w:bCs/>
          <w:kern w:val="24"/>
          <w:sz w:val="24"/>
          <w:szCs w:val="24"/>
        </w:rPr>
        <w:t xml:space="preserve"> </w:t>
      </w:r>
      <w:r>
        <w:rPr>
          <w:rFonts w:hint="eastAsia" w:ascii="宋体" w:hAnsi="宋体"/>
          <w:bCs/>
          <w:kern w:val="24"/>
          <w:sz w:val="24"/>
          <w:szCs w:val="24"/>
        </w:rPr>
        <w:t>投标人的报价均超过了</w:t>
      </w:r>
      <w:r>
        <w:rPr>
          <w:rFonts w:hint="eastAsia" w:ascii="宋体" w:hAnsi="宋体"/>
          <w:sz w:val="24"/>
          <w:szCs w:val="24"/>
        </w:rPr>
        <w:t>项目分包预算（如有）/最高投标限价/项目预算</w:t>
      </w:r>
      <w:r>
        <w:rPr>
          <w:rFonts w:hint="eastAsia" w:ascii="宋体" w:hAnsi="宋体"/>
          <w:bCs/>
          <w:kern w:val="24"/>
          <w:sz w:val="24"/>
          <w:szCs w:val="24"/>
        </w:rPr>
        <w:t>的；</w:t>
      </w:r>
    </w:p>
    <w:p w14:paraId="67B3EE0B">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（4）</w:t>
      </w:r>
      <w:r>
        <w:rPr>
          <w:rFonts w:ascii="宋体" w:hAnsi="宋体"/>
          <w:bCs/>
          <w:kern w:val="24"/>
          <w:sz w:val="24"/>
          <w:szCs w:val="24"/>
        </w:rPr>
        <w:t xml:space="preserve"> </w:t>
      </w:r>
      <w:r>
        <w:rPr>
          <w:rFonts w:hint="eastAsia" w:ascii="宋体" w:hAnsi="宋体"/>
          <w:bCs/>
          <w:kern w:val="24"/>
          <w:sz w:val="24"/>
          <w:szCs w:val="24"/>
        </w:rPr>
        <w:t>投标文件未按照招标文件要求提供法定代表人授权书，或其授权书未进行有效签署并加盖公章的；</w:t>
      </w:r>
    </w:p>
    <w:p w14:paraId="7CC0063E">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（5）</w:t>
      </w:r>
      <w:r>
        <w:rPr>
          <w:rFonts w:ascii="宋体" w:hAnsi="宋体"/>
          <w:bCs/>
          <w:kern w:val="24"/>
          <w:sz w:val="24"/>
          <w:szCs w:val="24"/>
        </w:rPr>
        <w:t xml:space="preserve"> </w:t>
      </w:r>
      <w:r>
        <w:rPr>
          <w:rFonts w:hint="eastAsia" w:ascii="宋体" w:hAnsi="宋体"/>
          <w:bCs/>
          <w:kern w:val="24"/>
          <w:sz w:val="24"/>
          <w:szCs w:val="24"/>
        </w:rPr>
        <w:t>投标有效期不足的；</w:t>
      </w:r>
    </w:p>
    <w:p w14:paraId="6DBC6817">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（6）</w:t>
      </w:r>
      <w:r>
        <w:rPr>
          <w:rFonts w:ascii="宋体" w:hAnsi="宋体"/>
          <w:bCs/>
          <w:kern w:val="24"/>
          <w:sz w:val="24"/>
          <w:szCs w:val="24"/>
        </w:rPr>
        <w:t xml:space="preserve"> </w:t>
      </w:r>
      <w:r>
        <w:rPr>
          <w:rFonts w:hint="eastAsia" w:ascii="宋体" w:hAnsi="宋体"/>
          <w:bCs/>
          <w:kern w:val="24"/>
          <w:sz w:val="24"/>
          <w:szCs w:val="24"/>
        </w:rPr>
        <w:t>未按招标文件要求提供商务条款偏离表的；</w:t>
      </w:r>
    </w:p>
    <w:p w14:paraId="6FF22606">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（7）</w:t>
      </w:r>
      <w:r>
        <w:rPr>
          <w:rFonts w:ascii="宋体" w:hAnsi="宋体"/>
          <w:bCs/>
          <w:kern w:val="24"/>
          <w:sz w:val="24"/>
          <w:szCs w:val="24"/>
        </w:rPr>
        <w:t xml:space="preserve"> </w:t>
      </w:r>
      <w:r>
        <w:rPr>
          <w:rFonts w:hint="eastAsia" w:ascii="宋体" w:hAnsi="宋体"/>
          <w:bCs/>
          <w:kern w:val="24"/>
          <w:sz w:val="24"/>
          <w:szCs w:val="24"/>
        </w:rPr>
        <w:t>投标文件技术规格中的响应与事实不符或虚假投标的；</w:t>
      </w:r>
    </w:p>
    <w:p w14:paraId="37A9B522">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（8）</w:t>
      </w:r>
      <w:r>
        <w:rPr>
          <w:rFonts w:ascii="宋体" w:hAnsi="宋体"/>
          <w:bCs/>
          <w:kern w:val="24"/>
          <w:sz w:val="24"/>
          <w:szCs w:val="24"/>
        </w:rPr>
        <w:t xml:space="preserve"> </w:t>
      </w:r>
      <w:r>
        <w:rPr>
          <w:rFonts w:hint="eastAsia" w:ascii="宋体" w:hAnsi="宋体"/>
          <w:bCs/>
          <w:kern w:val="24"/>
          <w:sz w:val="24"/>
          <w:szCs w:val="24"/>
        </w:rPr>
        <w:t>投标文件含有采购人不能接受的附加条件的；</w:t>
      </w:r>
    </w:p>
    <w:p w14:paraId="0496A40F">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（9）</w:t>
      </w:r>
      <w:r>
        <w:rPr>
          <w:rFonts w:ascii="宋体" w:hAnsi="宋体"/>
          <w:bCs/>
          <w:kern w:val="24"/>
          <w:sz w:val="24"/>
          <w:szCs w:val="24"/>
        </w:rPr>
        <w:t xml:space="preserve"> </w:t>
      </w:r>
      <w:r>
        <w:rPr>
          <w:rFonts w:hint="eastAsia" w:ascii="宋体" w:hAnsi="宋体"/>
          <w:bCs/>
          <w:kern w:val="24"/>
          <w:sz w:val="24"/>
          <w:szCs w:val="24"/>
        </w:rPr>
        <w:t>未按招标文件要求提供技术规格偏离表的；</w:t>
      </w:r>
    </w:p>
    <w:p w14:paraId="22208A99">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（10）</w:t>
      </w:r>
      <w:r>
        <w:rPr>
          <w:rFonts w:ascii="宋体" w:hAnsi="宋体"/>
          <w:bCs/>
          <w:kern w:val="24"/>
          <w:sz w:val="24"/>
          <w:szCs w:val="24"/>
        </w:rPr>
        <w:t xml:space="preserve"> </w:t>
      </w:r>
      <w:r>
        <w:rPr>
          <w:rFonts w:hint="eastAsia" w:ascii="宋体" w:hAnsi="宋体"/>
          <w:bCs/>
          <w:kern w:val="24"/>
          <w:sz w:val="24"/>
          <w:szCs w:val="24"/>
        </w:rPr>
        <w:t>未按招标文件规定进行有效签署的；</w:t>
      </w:r>
    </w:p>
    <w:p w14:paraId="5571DD6E">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（1</w:t>
      </w:r>
      <w:r>
        <w:rPr>
          <w:rFonts w:ascii="宋体" w:hAnsi="宋体"/>
          <w:bCs/>
          <w:kern w:val="24"/>
          <w:sz w:val="24"/>
          <w:szCs w:val="24"/>
        </w:rPr>
        <w:t>1</w:t>
      </w:r>
      <w:r>
        <w:rPr>
          <w:rFonts w:hint="eastAsia" w:ascii="宋体" w:hAnsi="宋体"/>
          <w:bCs/>
          <w:kern w:val="24"/>
          <w:sz w:val="24"/>
          <w:szCs w:val="24"/>
        </w:rPr>
        <w:t>）</w:t>
      </w:r>
      <w:r>
        <w:rPr>
          <w:rFonts w:ascii="宋体" w:hAnsi="宋体"/>
          <w:bCs/>
          <w:kern w:val="24"/>
          <w:sz w:val="24"/>
          <w:szCs w:val="24"/>
        </w:rPr>
        <w:t xml:space="preserve"> </w:t>
      </w:r>
      <w:r>
        <w:rPr>
          <w:rFonts w:hint="eastAsia" w:ascii="宋体" w:hAnsi="宋体"/>
          <w:bCs/>
          <w:kern w:val="24"/>
          <w:sz w:val="24"/>
          <w:szCs w:val="24"/>
        </w:rPr>
        <w:t>根据《国务院办公厅关于建立政府强制采购节能产品制度的通知》（国办发〔２００７〕５１号）规定，拟采购产品属于节能产品政府采购清单规定必须强制采购的，其投标产品必须为清单内产品，投标人未按上述规定提供证明材料的；</w:t>
      </w:r>
    </w:p>
    <w:p w14:paraId="0C48BA9A">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（1</w:t>
      </w:r>
      <w:r>
        <w:rPr>
          <w:rFonts w:ascii="宋体" w:hAnsi="宋体"/>
          <w:bCs/>
          <w:kern w:val="24"/>
          <w:sz w:val="24"/>
          <w:szCs w:val="24"/>
        </w:rPr>
        <w:t>2</w:t>
      </w:r>
      <w:r>
        <w:rPr>
          <w:rFonts w:hint="eastAsia" w:ascii="宋体" w:hAnsi="宋体"/>
          <w:bCs/>
          <w:kern w:val="24"/>
          <w:sz w:val="24"/>
          <w:szCs w:val="24"/>
        </w:rPr>
        <w:t>）</w:t>
      </w:r>
      <w:r>
        <w:rPr>
          <w:rFonts w:ascii="宋体" w:hAnsi="宋体"/>
          <w:bCs/>
          <w:kern w:val="24"/>
          <w:sz w:val="24"/>
          <w:szCs w:val="24"/>
        </w:rPr>
        <w:t xml:space="preserve"> </w:t>
      </w:r>
      <w:r>
        <w:rPr>
          <w:rFonts w:hint="eastAsia" w:ascii="宋体" w:hAnsi="宋体"/>
          <w:bCs/>
          <w:kern w:val="24"/>
          <w:sz w:val="24"/>
          <w:szCs w:val="24"/>
        </w:rPr>
        <w:t>投标人有串通投标、腐败或欺诈行为的；</w:t>
      </w:r>
    </w:p>
    <w:p w14:paraId="5D2B602A">
      <w:pPr>
        <w:spacing w:line="360" w:lineRule="auto"/>
        <w:ind w:left="-2"/>
        <w:rPr>
          <w:rFonts w:hint="eastAsia" w:ascii="宋体" w:hAnsi="宋体"/>
          <w:bCs/>
          <w:kern w:val="24"/>
          <w:sz w:val="24"/>
          <w:szCs w:val="24"/>
        </w:rPr>
      </w:pPr>
      <w:r>
        <w:rPr>
          <w:rFonts w:hint="eastAsia" w:ascii="宋体" w:hAnsi="宋体"/>
          <w:bCs/>
          <w:kern w:val="24"/>
          <w:sz w:val="24"/>
          <w:szCs w:val="24"/>
        </w:rPr>
        <w:t>（1</w:t>
      </w:r>
      <w:r>
        <w:rPr>
          <w:rFonts w:ascii="宋体" w:hAnsi="宋体"/>
          <w:bCs/>
          <w:kern w:val="24"/>
          <w:sz w:val="24"/>
          <w:szCs w:val="24"/>
        </w:rPr>
        <w:t>3</w:t>
      </w:r>
      <w:r>
        <w:rPr>
          <w:rFonts w:hint="eastAsia" w:ascii="宋体" w:hAnsi="宋体"/>
          <w:bCs/>
          <w:kern w:val="24"/>
          <w:sz w:val="24"/>
          <w:szCs w:val="24"/>
        </w:rPr>
        <w:t>）</w:t>
      </w:r>
      <w:r>
        <w:rPr>
          <w:rFonts w:ascii="宋体" w:hAnsi="宋体"/>
          <w:bCs/>
          <w:kern w:val="24"/>
          <w:sz w:val="24"/>
          <w:szCs w:val="24"/>
        </w:rPr>
        <w:t xml:space="preserve"> </w:t>
      </w:r>
      <w:r>
        <w:rPr>
          <w:rFonts w:hint="eastAsia" w:ascii="宋体" w:hAnsi="宋体"/>
          <w:bCs/>
          <w:kern w:val="24"/>
          <w:sz w:val="24"/>
          <w:szCs w:val="24"/>
        </w:rPr>
        <w:t>法律、法规和招标文件中规定的其他无效情形。</w:t>
      </w:r>
    </w:p>
    <w:p w14:paraId="64150A44">
      <w:pPr>
        <w:widowControl/>
        <w:spacing w:line="360" w:lineRule="auto"/>
        <w:contextualSpacing/>
        <w:jc w:val="left"/>
        <w:rPr>
          <w:rFonts w:hint="eastAsia" w:ascii="宋体" w:hAnsi="宋体"/>
          <w:bCs/>
          <w:kern w:val="24"/>
          <w:sz w:val="24"/>
          <w:szCs w:val="24"/>
        </w:rPr>
      </w:pPr>
      <w:r>
        <w:rPr>
          <w:rFonts w:hint="eastAsia" w:ascii="宋体" w:hAnsi="宋体"/>
          <w:bCs/>
          <w:kern w:val="24"/>
          <w:sz w:val="24"/>
          <w:szCs w:val="24"/>
        </w:rPr>
        <w:t>2</w:t>
      </w:r>
      <w:r>
        <w:rPr>
          <w:rFonts w:ascii="宋体" w:hAnsi="宋体"/>
          <w:bCs/>
          <w:kern w:val="24"/>
          <w:sz w:val="24"/>
          <w:szCs w:val="24"/>
        </w:rPr>
        <w:t xml:space="preserve">4.2.2 </w:t>
      </w:r>
      <w:r>
        <w:rPr>
          <w:rFonts w:hint="eastAsia" w:ascii="宋体" w:hAnsi="宋体"/>
          <w:bCs/>
          <w:kern w:val="24"/>
          <w:sz w:val="24"/>
          <w:szCs w:val="24"/>
        </w:rPr>
        <w:t>投标人应当遵循公平竞争的原则，不得恶意串通，不得妨碍其他投标人的竞争行为，不得损害采购人或者其他投标人的合法权益。在评标过程中发现投标人有上述情形的，评标委员会应当认定其投标无效。</w:t>
      </w:r>
      <w:bookmarkEnd w:id="43"/>
    </w:p>
    <w:p w14:paraId="1637B8D5">
      <w:pPr>
        <w:spacing w:line="360" w:lineRule="auto"/>
        <w:contextualSpacing/>
        <w:rPr>
          <w:rFonts w:hint="eastAsia" w:ascii="宋体" w:hAnsi="宋体"/>
          <w:bCs/>
          <w:kern w:val="24"/>
          <w:sz w:val="24"/>
          <w:szCs w:val="24"/>
        </w:rPr>
      </w:pPr>
      <w:r>
        <w:rPr>
          <w:rFonts w:ascii="宋体" w:hAnsi="宋体"/>
          <w:bCs/>
          <w:kern w:val="24"/>
          <w:sz w:val="24"/>
          <w:szCs w:val="24"/>
        </w:rPr>
        <w:t>出现下列情形之一的</w:t>
      </w:r>
      <w:r>
        <w:rPr>
          <w:rFonts w:hint="eastAsia" w:ascii="宋体" w:hAnsi="宋体"/>
          <w:bCs/>
          <w:kern w:val="24"/>
          <w:sz w:val="24"/>
          <w:szCs w:val="24"/>
        </w:rPr>
        <w:t>，视为投标人串通投标，其投标将按无效投标处理：</w:t>
      </w:r>
    </w:p>
    <w:p w14:paraId="72BA8CF5">
      <w:pPr>
        <w:numPr>
          <w:ilvl w:val="0"/>
          <w:numId w:val="15"/>
        </w:numPr>
        <w:spacing w:line="360" w:lineRule="auto"/>
        <w:contextualSpacing/>
        <w:rPr>
          <w:rFonts w:hint="eastAsia" w:ascii="宋体" w:hAnsi="宋体"/>
          <w:bCs/>
          <w:kern w:val="24"/>
          <w:sz w:val="24"/>
          <w:szCs w:val="24"/>
        </w:rPr>
      </w:pPr>
      <w:r>
        <w:rPr>
          <w:rFonts w:hint="eastAsia" w:ascii="宋体" w:hAnsi="宋体"/>
          <w:bCs/>
          <w:kern w:val="24"/>
          <w:sz w:val="24"/>
          <w:szCs w:val="24"/>
        </w:rPr>
        <w:t>不同投标人的投标文件由同一单位或者个人编制；</w:t>
      </w:r>
    </w:p>
    <w:p w14:paraId="79BE7B13">
      <w:pPr>
        <w:numPr>
          <w:ilvl w:val="0"/>
          <w:numId w:val="15"/>
        </w:numPr>
        <w:spacing w:line="360" w:lineRule="auto"/>
        <w:contextualSpacing/>
        <w:rPr>
          <w:rFonts w:hint="eastAsia" w:ascii="宋体" w:hAnsi="宋体"/>
          <w:bCs/>
          <w:kern w:val="24"/>
          <w:sz w:val="24"/>
          <w:szCs w:val="24"/>
        </w:rPr>
      </w:pPr>
      <w:r>
        <w:rPr>
          <w:rFonts w:hint="eastAsia" w:ascii="宋体" w:hAnsi="宋体"/>
          <w:bCs/>
          <w:kern w:val="24"/>
          <w:sz w:val="24"/>
          <w:szCs w:val="24"/>
        </w:rPr>
        <w:t>不同投标人委托同一单位或者个人办理投标事宜；</w:t>
      </w:r>
    </w:p>
    <w:p w14:paraId="1B8493A5">
      <w:pPr>
        <w:numPr>
          <w:ilvl w:val="0"/>
          <w:numId w:val="15"/>
        </w:numPr>
        <w:spacing w:line="360" w:lineRule="auto"/>
        <w:contextualSpacing/>
        <w:rPr>
          <w:rFonts w:hint="eastAsia" w:ascii="宋体" w:hAnsi="宋体"/>
          <w:bCs/>
          <w:kern w:val="24"/>
          <w:sz w:val="24"/>
          <w:szCs w:val="24"/>
        </w:rPr>
      </w:pPr>
      <w:r>
        <w:rPr>
          <w:rFonts w:hint="eastAsia" w:ascii="宋体" w:hAnsi="宋体"/>
          <w:bCs/>
          <w:kern w:val="24"/>
          <w:sz w:val="24"/>
          <w:szCs w:val="24"/>
        </w:rPr>
        <w:t>不同投标人的投标文件载明的项目管理成员或者联系人员为同一人；</w:t>
      </w:r>
    </w:p>
    <w:p w14:paraId="4820F1A4">
      <w:pPr>
        <w:numPr>
          <w:ilvl w:val="0"/>
          <w:numId w:val="15"/>
        </w:numPr>
        <w:spacing w:line="360" w:lineRule="auto"/>
        <w:contextualSpacing/>
        <w:rPr>
          <w:rFonts w:hint="eastAsia" w:ascii="宋体" w:hAnsi="宋体"/>
          <w:bCs/>
          <w:kern w:val="24"/>
          <w:sz w:val="24"/>
          <w:szCs w:val="24"/>
        </w:rPr>
      </w:pPr>
      <w:r>
        <w:rPr>
          <w:rFonts w:hint="eastAsia" w:ascii="宋体" w:hAnsi="宋体"/>
          <w:bCs/>
          <w:kern w:val="24"/>
          <w:sz w:val="24"/>
          <w:szCs w:val="24"/>
        </w:rPr>
        <w:t>不同投标人的投标文件异常一致或者投标报价呈规律性差异；</w:t>
      </w:r>
    </w:p>
    <w:p w14:paraId="32E2EC1B">
      <w:pPr>
        <w:numPr>
          <w:ilvl w:val="0"/>
          <w:numId w:val="15"/>
        </w:numPr>
        <w:spacing w:line="360" w:lineRule="auto"/>
        <w:contextualSpacing/>
        <w:rPr>
          <w:rFonts w:hint="eastAsia" w:ascii="宋体" w:hAnsi="宋体"/>
          <w:bCs/>
          <w:kern w:val="24"/>
          <w:sz w:val="24"/>
          <w:szCs w:val="24"/>
        </w:rPr>
      </w:pPr>
      <w:r>
        <w:rPr>
          <w:rFonts w:hint="eastAsia" w:ascii="宋体" w:hAnsi="宋体"/>
          <w:bCs/>
          <w:kern w:val="24"/>
          <w:sz w:val="24"/>
          <w:szCs w:val="24"/>
        </w:rPr>
        <w:t>不同投标人的投标文件相互混装；</w:t>
      </w:r>
    </w:p>
    <w:p w14:paraId="4688A53E">
      <w:pPr>
        <w:numPr>
          <w:ilvl w:val="0"/>
          <w:numId w:val="15"/>
        </w:numPr>
        <w:spacing w:line="360" w:lineRule="auto"/>
        <w:contextualSpacing/>
        <w:rPr>
          <w:rFonts w:hint="eastAsia" w:ascii="宋体" w:hAnsi="宋体"/>
          <w:bCs/>
          <w:kern w:val="24"/>
          <w:sz w:val="24"/>
          <w:szCs w:val="24"/>
        </w:rPr>
      </w:pPr>
      <w:r>
        <w:rPr>
          <w:rFonts w:hint="eastAsia" w:ascii="宋体" w:hAnsi="宋体"/>
          <w:bCs/>
          <w:kern w:val="24"/>
          <w:sz w:val="24"/>
          <w:szCs w:val="24"/>
        </w:rPr>
        <w:t>不同投标人的投标保证金从同一单位或者个人的账户转出。</w:t>
      </w:r>
    </w:p>
    <w:p w14:paraId="033828C6">
      <w:pPr>
        <w:spacing w:line="360" w:lineRule="auto"/>
        <w:contextualSpacing/>
        <w:rPr>
          <w:rFonts w:hint="eastAsia" w:ascii="宋体" w:hAnsi="宋体"/>
          <w:bCs/>
          <w:kern w:val="24"/>
          <w:sz w:val="24"/>
          <w:szCs w:val="24"/>
        </w:rPr>
      </w:pPr>
      <w:r>
        <w:rPr>
          <w:rFonts w:hint="eastAsia" w:ascii="宋体" w:hAnsi="宋体"/>
          <w:bCs/>
          <w:kern w:val="24"/>
          <w:sz w:val="24"/>
          <w:szCs w:val="24"/>
        </w:rPr>
        <w:t>2</w:t>
      </w:r>
      <w:r>
        <w:rPr>
          <w:rFonts w:ascii="宋体" w:hAnsi="宋体"/>
          <w:bCs/>
          <w:kern w:val="24"/>
          <w:sz w:val="24"/>
          <w:szCs w:val="24"/>
        </w:rPr>
        <w:t xml:space="preserve">4.2.3 </w:t>
      </w:r>
      <w:r>
        <w:rPr>
          <w:rFonts w:hint="eastAsia" w:ascii="宋体" w:hAnsi="宋体"/>
          <w:bCs/>
          <w:kern w:val="24"/>
          <w:sz w:val="24"/>
          <w:szCs w:val="24"/>
        </w:rPr>
        <w:t>投标文件报价出现前后不一致的，对明显的文字和计算错误按下述原则进行修正：</w:t>
      </w:r>
    </w:p>
    <w:p w14:paraId="1C80E0F7">
      <w:pPr>
        <w:pStyle w:val="31"/>
        <w:spacing w:before="0" w:beforeAutospacing="0" w:after="0" w:afterAutospacing="0" w:line="360" w:lineRule="auto"/>
        <w:contextualSpacing/>
        <w:rPr>
          <w:rFonts w:hint="eastAsia" w:cs="Times New Roman"/>
          <w:bCs/>
          <w:kern w:val="24"/>
        </w:rPr>
      </w:pPr>
      <w:r>
        <w:rPr>
          <w:rFonts w:hint="eastAsia" w:cs="Times New Roman"/>
          <w:bCs/>
          <w:kern w:val="24"/>
        </w:rPr>
        <w:t>（1）投标文件中开标一览表内容与投标文件中相应内容不一致的，以开标一览表为准；</w:t>
      </w:r>
    </w:p>
    <w:p w14:paraId="17431D95">
      <w:pPr>
        <w:pStyle w:val="31"/>
        <w:spacing w:before="0" w:beforeAutospacing="0" w:after="0" w:afterAutospacing="0" w:line="360" w:lineRule="auto"/>
        <w:contextualSpacing/>
        <w:rPr>
          <w:rFonts w:hint="eastAsia" w:cs="Times New Roman"/>
          <w:bCs/>
          <w:kern w:val="24"/>
        </w:rPr>
      </w:pPr>
      <w:r>
        <w:rPr>
          <w:rFonts w:hint="eastAsia" w:cs="Times New Roman"/>
          <w:bCs/>
          <w:kern w:val="24"/>
        </w:rPr>
        <w:t>（2）大写金额和小写金额不一致的，以大写金额为准；</w:t>
      </w:r>
    </w:p>
    <w:p w14:paraId="04D289F1">
      <w:pPr>
        <w:pStyle w:val="31"/>
        <w:spacing w:before="0" w:beforeAutospacing="0" w:after="0" w:afterAutospacing="0" w:line="360" w:lineRule="auto"/>
        <w:contextualSpacing/>
        <w:rPr>
          <w:rFonts w:hint="eastAsia" w:cs="Times New Roman"/>
          <w:bCs/>
          <w:kern w:val="24"/>
        </w:rPr>
      </w:pPr>
      <w:r>
        <w:rPr>
          <w:rFonts w:hint="eastAsia" w:cs="Times New Roman"/>
          <w:bCs/>
          <w:kern w:val="24"/>
        </w:rPr>
        <w:t>（3）单价金额小数点或者百分比有明显错位的，以开标一览表的总价为准，并修改单价；</w:t>
      </w:r>
    </w:p>
    <w:p w14:paraId="1C02877E">
      <w:pPr>
        <w:pStyle w:val="31"/>
        <w:spacing w:before="0" w:beforeAutospacing="0" w:after="0" w:afterAutospacing="0" w:line="360" w:lineRule="auto"/>
        <w:contextualSpacing/>
        <w:rPr>
          <w:rFonts w:hint="eastAsia" w:cs="Times New Roman"/>
          <w:bCs/>
          <w:kern w:val="24"/>
        </w:rPr>
      </w:pPr>
      <w:r>
        <w:rPr>
          <w:rFonts w:hint="eastAsia" w:cs="Times New Roman"/>
          <w:bCs/>
          <w:kern w:val="24"/>
        </w:rPr>
        <w:t>（4）总价金额与按单价汇总金额不一致的，以单价金额计算结果为准。</w:t>
      </w:r>
    </w:p>
    <w:p w14:paraId="2814B54E">
      <w:pPr>
        <w:pStyle w:val="31"/>
        <w:spacing w:before="0" w:beforeAutospacing="0" w:after="0" w:afterAutospacing="0" w:line="360" w:lineRule="auto"/>
        <w:contextualSpacing/>
        <w:rPr>
          <w:rFonts w:hint="eastAsia" w:cs="Times New Roman"/>
          <w:bCs/>
          <w:kern w:val="24"/>
        </w:rPr>
      </w:pPr>
      <w:r>
        <w:rPr>
          <w:rFonts w:hint="eastAsia" w:cs="Times New Roman"/>
          <w:bCs/>
          <w:kern w:val="24"/>
        </w:rPr>
        <w:t>同时出现两种以上不一致的，按照前款规定的顺序进行修正。修正后的报价按照投标人须知第</w:t>
      </w:r>
      <w:r>
        <w:rPr>
          <w:rFonts w:cs="Times New Roman"/>
          <w:bCs/>
          <w:kern w:val="24"/>
        </w:rPr>
        <w:t>25</w:t>
      </w:r>
      <w:r>
        <w:rPr>
          <w:rFonts w:hint="eastAsia" w:cs="Times New Roman"/>
          <w:bCs/>
          <w:kern w:val="24"/>
        </w:rPr>
        <w:t>条的规定经投标人书面确认后产生约束力，投标人不确认的，其</w:t>
      </w:r>
      <w:r>
        <w:rPr>
          <w:rFonts w:hint="eastAsia" w:cs="Times New Roman"/>
          <w:b/>
          <w:kern w:val="24"/>
        </w:rPr>
        <w:t>投标无效</w:t>
      </w:r>
      <w:r>
        <w:rPr>
          <w:rFonts w:hint="eastAsia" w:cs="Times New Roman"/>
          <w:bCs/>
          <w:kern w:val="24"/>
        </w:rPr>
        <w:t xml:space="preserve"> 。</w:t>
      </w:r>
    </w:p>
    <w:p w14:paraId="3D7C4495">
      <w:pPr>
        <w:spacing w:line="360" w:lineRule="auto"/>
        <w:contextualSpacing/>
        <w:rPr>
          <w:rFonts w:hint="eastAsia" w:ascii="宋体" w:hAnsi="宋体"/>
          <w:bCs/>
          <w:kern w:val="24"/>
          <w:sz w:val="24"/>
          <w:szCs w:val="24"/>
        </w:rPr>
      </w:pPr>
      <w:r>
        <w:rPr>
          <w:rFonts w:hint="eastAsia" w:ascii="宋体" w:hAnsi="宋体"/>
          <w:bCs/>
          <w:kern w:val="24"/>
          <w:sz w:val="24"/>
          <w:szCs w:val="24"/>
        </w:rPr>
        <w:t>2</w:t>
      </w:r>
      <w:r>
        <w:rPr>
          <w:rFonts w:ascii="宋体" w:hAnsi="宋体"/>
          <w:bCs/>
          <w:kern w:val="24"/>
          <w:sz w:val="24"/>
          <w:szCs w:val="24"/>
        </w:rPr>
        <w:t>4</w:t>
      </w:r>
      <w:r>
        <w:rPr>
          <w:rFonts w:hint="eastAsia" w:ascii="宋体" w:hAnsi="宋体"/>
          <w:bCs/>
          <w:kern w:val="24"/>
          <w:sz w:val="24"/>
          <w:szCs w:val="24"/>
        </w:rPr>
        <w:t>.2.</w:t>
      </w:r>
      <w:r>
        <w:rPr>
          <w:rFonts w:ascii="宋体" w:hAnsi="宋体"/>
          <w:bCs/>
          <w:kern w:val="24"/>
          <w:sz w:val="24"/>
          <w:szCs w:val="24"/>
        </w:rPr>
        <w:t>4</w:t>
      </w:r>
      <w:r>
        <w:rPr>
          <w:rFonts w:hint="eastAsia" w:ascii="宋体" w:hAnsi="宋体"/>
          <w:bCs/>
          <w:kern w:val="24"/>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35FDA66">
      <w:pPr>
        <w:spacing w:line="360" w:lineRule="auto"/>
        <w:contextualSpacing/>
        <w:rPr>
          <w:rFonts w:hint="eastAsia" w:ascii="宋体" w:hAnsi="宋体"/>
          <w:bCs/>
          <w:kern w:val="24"/>
          <w:sz w:val="24"/>
          <w:szCs w:val="24"/>
        </w:rPr>
      </w:pPr>
      <w:r>
        <w:rPr>
          <w:rFonts w:ascii="宋体" w:hAnsi="宋体"/>
          <w:bCs/>
          <w:kern w:val="24"/>
          <w:sz w:val="24"/>
          <w:szCs w:val="24"/>
        </w:rPr>
        <w:t xml:space="preserve">24.2.5 </w:t>
      </w:r>
      <w:r>
        <w:rPr>
          <w:rFonts w:hint="eastAsia" w:ascii="宋体" w:hAnsi="宋体"/>
          <w:bCs/>
          <w:kern w:val="24"/>
          <w:sz w:val="24"/>
          <w:szCs w:val="24"/>
        </w:rPr>
        <w:t>按照政府采购相关法律及招标文件的规定，出现下列情形之一的，应予废标：</w:t>
      </w:r>
    </w:p>
    <w:p w14:paraId="6F4A65D3">
      <w:pPr>
        <w:numPr>
          <w:ilvl w:val="0"/>
          <w:numId w:val="16"/>
        </w:numPr>
        <w:spacing w:line="360" w:lineRule="auto"/>
        <w:ind w:right="240"/>
        <w:contextualSpacing/>
        <w:rPr>
          <w:rFonts w:hint="eastAsia" w:ascii="宋体" w:hAnsi="宋体"/>
          <w:bCs/>
          <w:kern w:val="24"/>
          <w:sz w:val="24"/>
          <w:szCs w:val="24"/>
        </w:rPr>
      </w:pPr>
      <w:r>
        <w:rPr>
          <w:rFonts w:hint="eastAsia" w:ascii="宋体" w:hAnsi="宋体"/>
          <w:bCs/>
          <w:kern w:val="24"/>
          <w:sz w:val="24"/>
          <w:szCs w:val="24"/>
        </w:rPr>
        <w:t>符合专业条件的投标人或者对招标文件作实质响应的投标人不足三家的；</w:t>
      </w:r>
    </w:p>
    <w:p w14:paraId="143149A3">
      <w:pPr>
        <w:numPr>
          <w:ilvl w:val="0"/>
          <w:numId w:val="16"/>
        </w:numPr>
        <w:spacing w:line="360" w:lineRule="auto"/>
        <w:ind w:right="240"/>
        <w:contextualSpacing/>
        <w:rPr>
          <w:rFonts w:hint="eastAsia" w:ascii="宋体" w:hAnsi="宋体"/>
          <w:bCs/>
          <w:kern w:val="24"/>
          <w:sz w:val="24"/>
          <w:szCs w:val="24"/>
        </w:rPr>
      </w:pPr>
      <w:r>
        <w:rPr>
          <w:rFonts w:hint="eastAsia" w:ascii="宋体" w:hAnsi="宋体"/>
          <w:bCs/>
          <w:kern w:val="24"/>
          <w:sz w:val="24"/>
          <w:szCs w:val="24"/>
        </w:rPr>
        <w:t>投标人的报价均超过了</w:t>
      </w:r>
      <w:r>
        <w:rPr>
          <w:rFonts w:hint="eastAsia" w:ascii="宋体" w:hAnsi="宋体"/>
          <w:sz w:val="24"/>
          <w:szCs w:val="24"/>
        </w:rPr>
        <w:t>项目分包预算（分包）/最高投标限价/项目预算</w:t>
      </w:r>
      <w:r>
        <w:rPr>
          <w:rFonts w:hint="eastAsia" w:ascii="宋体" w:hAnsi="宋体"/>
          <w:bCs/>
          <w:kern w:val="24"/>
          <w:sz w:val="24"/>
          <w:szCs w:val="24"/>
        </w:rPr>
        <w:t>，采购人不能支付的；</w:t>
      </w:r>
    </w:p>
    <w:p w14:paraId="41E2C0F7">
      <w:pPr>
        <w:numPr>
          <w:ilvl w:val="0"/>
          <w:numId w:val="16"/>
        </w:numPr>
        <w:spacing w:line="360" w:lineRule="auto"/>
        <w:ind w:right="240"/>
        <w:contextualSpacing/>
        <w:rPr>
          <w:rFonts w:hint="eastAsia" w:ascii="宋体" w:hAnsi="宋体"/>
          <w:bCs/>
          <w:kern w:val="24"/>
          <w:sz w:val="24"/>
          <w:szCs w:val="24"/>
        </w:rPr>
      </w:pPr>
      <w:r>
        <w:rPr>
          <w:rFonts w:hint="eastAsia" w:ascii="宋体" w:hAnsi="宋体"/>
          <w:bCs/>
          <w:kern w:val="24"/>
          <w:sz w:val="24"/>
          <w:szCs w:val="24"/>
        </w:rPr>
        <w:t>出现影响采购公正的违法、违规行为的；</w:t>
      </w:r>
    </w:p>
    <w:p w14:paraId="331199E6">
      <w:pPr>
        <w:numPr>
          <w:ilvl w:val="0"/>
          <w:numId w:val="16"/>
        </w:numPr>
        <w:spacing w:line="360" w:lineRule="auto"/>
        <w:ind w:right="240"/>
        <w:contextualSpacing/>
        <w:rPr>
          <w:rFonts w:hint="eastAsia" w:ascii="宋体" w:hAnsi="宋体"/>
          <w:bCs/>
          <w:kern w:val="24"/>
          <w:sz w:val="24"/>
          <w:szCs w:val="24"/>
        </w:rPr>
      </w:pPr>
      <w:r>
        <w:rPr>
          <w:rFonts w:hint="eastAsia" w:ascii="宋体" w:hAnsi="宋体"/>
          <w:bCs/>
          <w:kern w:val="24"/>
          <w:sz w:val="24"/>
          <w:szCs w:val="24"/>
        </w:rPr>
        <w:t>因重大变故，采购任务取消的。</w:t>
      </w:r>
    </w:p>
    <w:p w14:paraId="4549E20C">
      <w:pPr>
        <w:spacing w:line="360" w:lineRule="auto"/>
        <w:rPr>
          <w:rFonts w:hint="eastAsia" w:ascii="宋体" w:hAnsi="宋体"/>
          <w:bCs/>
          <w:kern w:val="24"/>
          <w:sz w:val="24"/>
          <w:szCs w:val="24"/>
        </w:rPr>
      </w:pPr>
      <w:r>
        <w:rPr>
          <w:rFonts w:ascii="宋体" w:hAnsi="宋体"/>
          <w:b/>
          <w:kern w:val="24"/>
          <w:sz w:val="24"/>
          <w:szCs w:val="24"/>
        </w:rPr>
        <w:t xml:space="preserve">25. </w:t>
      </w:r>
      <w:r>
        <w:rPr>
          <w:rFonts w:hint="eastAsia" w:ascii="宋体" w:hAnsi="宋体"/>
          <w:b/>
          <w:kern w:val="24"/>
          <w:sz w:val="24"/>
          <w:szCs w:val="24"/>
        </w:rPr>
        <w:t>投标文件的澄清</w:t>
      </w:r>
    </w:p>
    <w:p w14:paraId="3E71C9DD">
      <w:pPr>
        <w:spacing w:line="360" w:lineRule="auto"/>
        <w:contextualSpacing/>
        <w:rPr>
          <w:rFonts w:hint="eastAsia" w:ascii="宋体" w:hAnsi="宋体"/>
          <w:bCs/>
          <w:kern w:val="24"/>
          <w:sz w:val="24"/>
          <w:szCs w:val="24"/>
        </w:rPr>
      </w:pPr>
      <w:r>
        <w:rPr>
          <w:rFonts w:ascii="宋体" w:hAnsi="宋体"/>
          <w:bCs/>
          <w:kern w:val="24"/>
          <w:sz w:val="24"/>
          <w:szCs w:val="24"/>
        </w:rPr>
        <w:t>25.1</w:t>
      </w:r>
      <w:r>
        <w:rPr>
          <w:rFonts w:hint="eastAsia" w:ascii="宋体" w:hAnsi="宋体"/>
          <w:bCs/>
          <w:kern w:val="24"/>
          <w:sz w:val="24"/>
          <w:szCs w:val="24"/>
        </w:rPr>
        <w:t>在评标期间，评标委员会有权以书面方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2E5A0584">
      <w:pPr>
        <w:spacing w:line="360" w:lineRule="auto"/>
        <w:contextualSpacing/>
        <w:rPr>
          <w:rFonts w:hint="eastAsia" w:ascii="宋体" w:hAnsi="宋体"/>
          <w:bCs/>
          <w:kern w:val="24"/>
          <w:sz w:val="24"/>
          <w:szCs w:val="24"/>
        </w:rPr>
      </w:pPr>
      <w:r>
        <w:rPr>
          <w:rFonts w:ascii="宋体" w:hAnsi="宋体"/>
          <w:bCs/>
          <w:kern w:val="24"/>
          <w:sz w:val="24"/>
          <w:szCs w:val="24"/>
        </w:rPr>
        <w:t xml:space="preserve">25.2 </w:t>
      </w:r>
      <w:r>
        <w:rPr>
          <w:rFonts w:hint="eastAsia" w:ascii="宋体" w:hAnsi="宋体"/>
          <w:bCs/>
          <w:kern w:val="24"/>
          <w:sz w:val="24"/>
          <w:szCs w:val="24"/>
        </w:rPr>
        <w:t>澄清文件将作为投标文件内容的一部分。</w:t>
      </w:r>
    </w:p>
    <w:p w14:paraId="4E9277D0">
      <w:pPr>
        <w:spacing w:line="360" w:lineRule="auto"/>
        <w:contextualSpacing/>
        <w:rPr>
          <w:rFonts w:hint="eastAsia" w:ascii="宋体" w:hAnsi="宋体"/>
          <w:bCs/>
          <w:kern w:val="24"/>
          <w:sz w:val="24"/>
          <w:szCs w:val="24"/>
        </w:rPr>
      </w:pPr>
      <w:r>
        <w:rPr>
          <w:rFonts w:ascii="宋体" w:hAnsi="宋体"/>
          <w:bCs/>
          <w:kern w:val="24"/>
          <w:sz w:val="24"/>
          <w:szCs w:val="24"/>
        </w:rPr>
        <w:t xml:space="preserve">25.3 </w:t>
      </w:r>
      <w:r>
        <w:rPr>
          <w:rFonts w:hint="eastAsia" w:ascii="宋体" w:hAnsi="宋体"/>
          <w:bCs/>
          <w:kern w:val="24"/>
          <w:sz w:val="24"/>
          <w:szCs w:val="24"/>
        </w:rPr>
        <w:t>未在规定时间内答复评标委员会提出的澄清问题的，其投标有可能因不完整导致不能实质性响应招标文件要求，将作为无效投标处理。</w:t>
      </w:r>
    </w:p>
    <w:p w14:paraId="640B3EC0">
      <w:pPr>
        <w:adjustRightInd w:val="0"/>
        <w:snapToGrid w:val="0"/>
        <w:spacing w:line="360" w:lineRule="auto"/>
        <w:ind w:left="723" w:hanging="720" w:hangingChars="300"/>
        <w:rPr>
          <w:rFonts w:hint="eastAsia" w:ascii="宋体" w:hAnsi="宋体"/>
          <w:b/>
          <w:bCs/>
          <w:sz w:val="24"/>
          <w:szCs w:val="24"/>
        </w:rPr>
      </w:pPr>
      <w:r>
        <w:rPr>
          <w:rFonts w:hint="eastAsia" w:ascii="宋体" w:hAnsi="宋体"/>
          <w:b/>
          <w:bCs/>
          <w:sz w:val="24"/>
          <w:szCs w:val="24"/>
        </w:rPr>
        <w:t>2</w:t>
      </w:r>
      <w:r>
        <w:rPr>
          <w:rFonts w:ascii="宋体" w:hAnsi="宋体"/>
          <w:b/>
          <w:bCs/>
          <w:sz w:val="24"/>
          <w:szCs w:val="24"/>
        </w:rPr>
        <w:t xml:space="preserve">6. </w:t>
      </w:r>
      <w:r>
        <w:rPr>
          <w:rFonts w:hint="eastAsia" w:ascii="宋体" w:hAnsi="宋体"/>
          <w:b/>
          <w:bCs/>
          <w:sz w:val="24"/>
          <w:szCs w:val="24"/>
        </w:rPr>
        <w:t>比较与评价</w:t>
      </w:r>
    </w:p>
    <w:p w14:paraId="1E7343F0">
      <w:pPr>
        <w:spacing w:line="360" w:lineRule="auto"/>
        <w:rPr>
          <w:rFonts w:hint="eastAsia" w:ascii="宋体" w:hAnsi="宋体"/>
          <w:bCs/>
          <w:kern w:val="24"/>
          <w:sz w:val="24"/>
          <w:szCs w:val="24"/>
        </w:rPr>
      </w:pPr>
      <w:r>
        <w:rPr>
          <w:rFonts w:hint="eastAsia" w:ascii="宋体" w:hAnsi="宋体"/>
          <w:bCs/>
          <w:kern w:val="24"/>
          <w:sz w:val="24"/>
          <w:szCs w:val="24"/>
        </w:rPr>
        <w:t>2</w:t>
      </w:r>
      <w:r>
        <w:rPr>
          <w:rFonts w:ascii="宋体" w:hAnsi="宋体"/>
          <w:bCs/>
          <w:kern w:val="24"/>
          <w:sz w:val="24"/>
          <w:szCs w:val="24"/>
        </w:rPr>
        <w:t>6</w:t>
      </w:r>
      <w:r>
        <w:rPr>
          <w:rFonts w:hint="eastAsia" w:ascii="宋体" w:hAnsi="宋体"/>
          <w:bCs/>
          <w:kern w:val="24"/>
          <w:sz w:val="24"/>
          <w:szCs w:val="24"/>
        </w:rPr>
        <w:t>.1评标方法：详见投标人须知前附表。</w:t>
      </w:r>
    </w:p>
    <w:p w14:paraId="47020F26">
      <w:pPr>
        <w:spacing w:line="360" w:lineRule="auto"/>
        <w:rPr>
          <w:rFonts w:hint="eastAsia" w:ascii="宋体" w:hAnsi="宋体"/>
          <w:bCs/>
          <w:sz w:val="24"/>
          <w:szCs w:val="24"/>
        </w:rPr>
      </w:pPr>
      <w:r>
        <w:rPr>
          <w:rFonts w:ascii="宋体" w:hAnsi="宋体"/>
          <w:bCs/>
          <w:kern w:val="24"/>
          <w:sz w:val="24"/>
          <w:szCs w:val="24"/>
        </w:rPr>
        <w:t>26.2</w:t>
      </w:r>
      <w:r>
        <w:rPr>
          <w:rFonts w:hint="eastAsia" w:ascii="宋体" w:hAnsi="宋体"/>
          <w:bCs/>
          <w:kern w:val="24"/>
          <w:sz w:val="24"/>
          <w:szCs w:val="24"/>
        </w:rPr>
        <w:t>评标委员会应当按照招标文件中规定的评标方法和标准，对符合性审查合格的投标文件进行商务和技术评估，综合比较与评价。</w:t>
      </w:r>
    </w:p>
    <w:p w14:paraId="350C1127">
      <w:pPr>
        <w:spacing w:line="360" w:lineRule="auto"/>
        <w:rPr>
          <w:rFonts w:hint="eastAsia" w:ascii="宋体" w:hAnsi="宋体"/>
          <w:bCs/>
          <w:sz w:val="24"/>
          <w:szCs w:val="24"/>
        </w:rPr>
      </w:pPr>
      <w:r>
        <w:rPr>
          <w:rFonts w:ascii="宋体" w:hAnsi="宋体"/>
          <w:bCs/>
          <w:sz w:val="24"/>
          <w:szCs w:val="24"/>
        </w:rPr>
        <w:t xml:space="preserve">26.3 </w:t>
      </w:r>
      <w:r>
        <w:rPr>
          <w:rFonts w:hint="eastAsia" w:ascii="宋体" w:hAnsi="宋体"/>
          <w:bCs/>
          <w:sz w:val="24"/>
          <w:szCs w:val="24"/>
        </w:rPr>
        <w:t>按评标委员会的综合打分结果由高到低顺序排列。得分相同的，按投标价由低到高顺序排列。得分且投标报价相同的并列。投标文件满足招标文件全部实质性要求，且按照评审因素的量化指标评审得分最高的投标人为排名第一的中标候选人。</w:t>
      </w:r>
    </w:p>
    <w:p w14:paraId="2AFAD1AC">
      <w:pPr>
        <w:spacing w:line="360" w:lineRule="auto"/>
        <w:rPr>
          <w:rFonts w:hint="eastAsia" w:ascii="宋体" w:hAnsi="宋体"/>
          <w:bCs/>
          <w:sz w:val="24"/>
          <w:szCs w:val="24"/>
        </w:rPr>
      </w:pPr>
      <w:r>
        <w:rPr>
          <w:rFonts w:ascii="宋体" w:hAnsi="宋体"/>
          <w:bCs/>
          <w:sz w:val="24"/>
          <w:szCs w:val="24"/>
        </w:rPr>
        <w:t>26.4</w:t>
      </w:r>
      <w:r>
        <w:rPr>
          <w:rFonts w:hint="eastAsia" w:ascii="宋体" w:hAnsi="宋体"/>
          <w:bCs/>
          <w:sz w:val="24"/>
          <w:szCs w:val="24"/>
        </w:rPr>
        <w:t>提供相同品牌产品且通过符合性审查的不同投标人参加同一包或项目项下投标的，按一家投标人计算，评审后得分最高的同品牌投标人获得中标人推荐资格；评审得分相同的，由采购人委托评标委员会按照质量优先（技术评审部分综合得分最高）的原则确定一个投标人获得中标人推荐资格，其他同品牌投标人不作为中标候选人。</w:t>
      </w:r>
    </w:p>
    <w:p w14:paraId="734A786A">
      <w:pPr>
        <w:spacing w:line="360" w:lineRule="auto"/>
        <w:rPr>
          <w:rFonts w:hint="eastAsia" w:ascii="宋体" w:hAnsi="宋体"/>
          <w:bCs/>
          <w:sz w:val="24"/>
          <w:szCs w:val="24"/>
        </w:rPr>
      </w:pPr>
      <w:r>
        <w:rPr>
          <w:rFonts w:ascii="宋体" w:hAnsi="宋体"/>
          <w:bCs/>
          <w:sz w:val="24"/>
          <w:szCs w:val="24"/>
        </w:rPr>
        <w:t>26.5 非单一产品采购项目时，将用“</w:t>
      </w:r>
      <w:r>
        <w:rPr>
          <w:rFonts w:hint="eastAsia" w:ascii="宋体" w:hAnsi="宋体" w:cs="宋体"/>
          <w:bCs/>
          <w:sz w:val="24"/>
          <w:szCs w:val="24"/>
        </w:rPr>
        <w:t>△</w:t>
      </w:r>
      <w:r>
        <w:rPr>
          <w:rFonts w:ascii="宋体" w:hAnsi="宋体"/>
          <w:bCs/>
          <w:sz w:val="24"/>
          <w:szCs w:val="24"/>
        </w:rPr>
        <w:t>”号在第</w:t>
      </w:r>
      <w:r>
        <w:rPr>
          <w:rFonts w:hint="eastAsia" w:ascii="宋体" w:hAnsi="宋体"/>
          <w:bCs/>
          <w:sz w:val="24"/>
          <w:szCs w:val="24"/>
        </w:rPr>
        <w:t>三</w:t>
      </w:r>
      <w:r>
        <w:rPr>
          <w:rFonts w:ascii="宋体" w:hAnsi="宋体"/>
          <w:bCs/>
          <w:sz w:val="24"/>
          <w:szCs w:val="24"/>
        </w:rPr>
        <w:t>章项目</w:t>
      </w:r>
      <w:r>
        <w:rPr>
          <w:rFonts w:hint="eastAsia" w:ascii="宋体" w:hAnsi="宋体"/>
          <w:bCs/>
          <w:sz w:val="24"/>
          <w:szCs w:val="24"/>
        </w:rPr>
        <w:t>技术</w:t>
      </w:r>
      <w:r>
        <w:rPr>
          <w:rFonts w:ascii="宋体" w:hAnsi="宋体"/>
          <w:bCs/>
          <w:sz w:val="24"/>
          <w:szCs w:val="24"/>
        </w:rPr>
        <w:t>总体要求中标明其核心产品。若一个都不标明“</w:t>
      </w:r>
      <w:r>
        <w:rPr>
          <w:rFonts w:hint="eastAsia" w:ascii="宋体" w:hAnsi="宋体" w:cs="宋体"/>
          <w:bCs/>
          <w:sz w:val="24"/>
          <w:szCs w:val="24"/>
        </w:rPr>
        <w:t>△</w:t>
      </w:r>
      <w:r>
        <w:rPr>
          <w:rFonts w:ascii="宋体" w:hAnsi="宋体"/>
          <w:bCs/>
          <w:sz w:val="24"/>
          <w:szCs w:val="24"/>
        </w:rPr>
        <w:t>”号则所有产品均被视为核心产品，多家投标人提供的核心产品品牌相同的，评审时将按26.4条款的规定处理。</w:t>
      </w:r>
    </w:p>
    <w:p w14:paraId="0AFA7EE9">
      <w:pPr>
        <w:autoSpaceDE w:val="0"/>
        <w:autoSpaceDN w:val="0"/>
        <w:adjustRightInd w:val="0"/>
        <w:spacing w:line="360" w:lineRule="auto"/>
        <w:rPr>
          <w:rFonts w:cs="SSJ-PK74820000023-Identity-H"/>
          <w:kern w:val="0"/>
          <w:sz w:val="24"/>
          <w:szCs w:val="24"/>
        </w:rPr>
      </w:pPr>
      <w:r>
        <w:rPr>
          <w:rFonts w:hint="eastAsia" w:cs="SSJ-PK74820000023-Identity-H"/>
          <w:kern w:val="0"/>
          <w:sz w:val="24"/>
          <w:szCs w:val="24"/>
        </w:rPr>
        <w:t>26.6 评标委员会成员以及与评标工作有关的人员不得泄露评标情况以及评标过程中获悉的国家秘密、商业秘密。</w:t>
      </w:r>
    </w:p>
    <w:p w14:paraId="46E3629F">
      <w:pPr>
        <w:spacing w:line="360" w:lineRule="auto"/>
        <w:ind w:left="602" w:hanging="600" w:hangingChars="250"/>
        <w:contextualSpacing/>
        <w:rPr>
          <w:rFonts w:hint="eastAsia" w:ascii="宋体" w:hAnsi="宋体"/>
          <w:bCs/>
          <w:sz w:val="24"/>
          <w:szCs w:val="24"/>
        </w:rPr>
      </w:pPr>
      <w:bookmarkStart w:id="44" w:name="_Toc469850072"/>
      <w:r>
        <w:rPr>
          <w:rFonts w:hint="eastAsia" w:ascii="宋体" w:hAnsi="宋体"/>
          <w:b/>
          <w:sz w:val="24"/>
          <w:szCs w:val="24"/>
        </w:rPr>
        <w:t>2</w:t>
      </w:r>
      <w:r>
        <w:rPr>
          <w:rFonts w:ascii="宋体" w:hAnsi="宋体"/>
          <w:b/>
          <w:sz w:val="24"/>
          <w:szCs w:val="24"/>
        </w:rPr>
        <w:t>7</w:t>
      </w:r>
      <w:r>
        <w:rPr>
          <w:rFonts w:hint="eastAsia" w:ascii="宋体" w:hAnsi="宋体"/>
          <w:b/>
          <w:sz w:val="24"/>
          <w:szCs w:val="24"/>
        </w:rPr>
        <w:t>. 与采购代理机构和采购人接触</w:t>
      </w:r>
      <w:bookmarkEnd w:id="44"/>
    </w:p>
    <w:p w14:paraId="1C4B4D86">
      <w:pPr>
        <w:tabs>
          <w:tab w:val="left" w:pos="8640"/>
        </w:tabs>
        <w:spacing w:line="360" w:lineRule="auto"/>
        <w:rPr>
          <w:rFonts w:hint="eastAsia" w:ascii="宋体" w:hAnsi="宋体"/>
          <w:bCs/>
          <w:sz w:val="24"/>
          <w:szCs w:val="24"/>
        </w:rPr>
      </w:pPr>
      <w:r>
        <w:rPr>
          <w:rFonts w:hint="eastAsia" w:ascii="宋体" w:hAnsi="宋体"/>
          <w:bCs/>
          <w:sz w:val="24"/>
          <w:szCs w:val="24"/>
        </w:rPr>
        <w:t>2</w:t>
      </w:r>
      <w:r>
        <w:rPr>
          <w:rFonts w:ascii="宋体" w:hAnsi="宋体"/>
          <w:bCs/>
          <w:sz w:val="24"/>
          <w:szCs w:val="24"/>
        </w:rPr>
        <w:t>7</w:t>
      </w:r>
      <w:r>
        <w:rPr>
          <w:rFonts w:hint="eastAsia" w:ascii="宋体" w:hAnsi="宋体"/>
          <w:bCs/>
          <w:sz w:val="24"/>
          <w:szCs w:val="24"/>
        </w:rPr>
        <w:t>.1投标人试图对采购代理机构和采购人的评标、比较或授予合同的决定进行影响，都能导致其投标按无效投标处理。</w:t>
      </w:r>
    </w:p>
    <w:p w14:paraId="0FE9C667">
      <w:pPr>
        <w:tabs>
          <w:tab w:val="left" w:pos="8640"/>
        </w:tabs>
        <w:spacing w:line="360" w:lineRule="auto"/>
        <w:ind w:left="722" w:hanging="720" w:hangingChars="200"/>
        <w:jc w:val="center"/>
        <w:outlineLvl w:val="1"/>
        <w:rPr>
          <w:rFonts w:hint="eastAsia" w:ascii="宋体" w:hAnsi="宋体"/>
          <w:bCs/>
          <w:sz w:val="24"/>
          <w:szCs w:val="24"/>
        </w:rPr>
      </w:pPr>
      <w:bookmarkStart w:id="45" w:name="_Toc7531909"/>
      <w:bookmarkStart w:id="46" w:name="_Toc115623230"/>
      <w:bookmarkStart w:id="47" w:name="_Toc176023820"/>
      <w:r>
        <w:rPr>
          <w:rFonts w:hint="eastAsia" w:ascii="宋体" w:hAnsi="宋体"/>
          <w:b/>
          <w:spacing w:val="60"/>
          <w:sz w:val="24"/>
          <w:szCs w:val="24"/>
        </w:rPr>
        <w:t>六、确定中标与授予合同</w:t>
      </w:r>
      <w:bookmarkEnd w:id="45"/>
      <w:bookmarkEnd w:id="46"/>
      <w:bookmarkEnd w:id="47"/>
    </w:p>
    <w:p w14:paraId="166D2427">
      <w:pPr>
        <w:spacing w:line="360" w:lineRule="auto"/>
        <w:rPr>
          <w:rFonts w:hint="eastAsia" w:ascii="宋体" w:hAnsi="宋体"/>
          <w:b/>
          <w:sz w:val="24"/>
          <w:szCs w:val="24"/>
        </w:rPr>
      </w:pPr>
      <w:r>
        <w:rPr>
          <w:rFonts w:hint="eastAsia" w:ascii="宋体" w:hAnsi="宋体"/>
          <w:b/>
          <w:sz w:val="24"/>
          <w:szCs w:val="24"/>
        </w:rPr>
        <w:t>2</w:t>
      </w:r>
      <w:r>
        <w:rPr>
          <w:rFonts w:ascii="宋体" w:hAnsi="宋体"/>
          <w:b/>
          <w:sz w:val="24"/>
          <w:szCs w:val="24"/>
        </w:rPr>
        <w:t>8</w:t>
      </w:r>
      <w:r>
        <w:rPr>
          <w:rFonts w:hint="eastAsia" w:ascii="宋体" w:hAnsi="宋体"/>
          <w:b/>
          <w:sz w:val="24"/>
          <w:szCs w:val="24"/>
        </w:rPr>
        <w:t>. 中标候选人及中标人的确定</w:t>
      </w:r>
    </w:p>
    <w:p w14:paraId="7410B1A0">
      <w:pPr>
        <w:tabs>
          <w:tab w:val="left" w:pos="1530"/>
        </w:tabs>
        <w:spacing w:line="360" w:lineRule="auto"/>
        <w:rPr>
          <w:rFonts w:hint="eastAsia" w:ascii="宋体" w:hAnsi="宋体"/>
          <w:bCs/>
          <w:sz w:val="24"/>
          <w:szCs w:val="24"/>
        </w:rPr>
      </w:pPr>
      <w:r>
        <w:rPr>
          <w:rFonts w:hint="eastAsia" w:ascii="宋体" w:hAnsi="宋体"/>
          <w:bCs/>
          <w:sz w:val="24"/>
          <w:szCs w:val="24"/>
        </w:rPr>
        <w:t>2</w:t>
      </w:r>
      <w:r>
        <w:rPr>
          <w:rFonts w:ascii="宋体" w:hAnsi="宋体"/>
          <w:bCs/>
          <w:sz w:val="24"/>
          <w:szCs w:val="24"/>
        </w:rPr>
        <w:t>8</w:t>
      </w:r>
      <w:r>
        <w:rPr>
          <w:rFonts w:hint="eastAsia" w:ascii="宋体" w:hAnsi="宋体"/>
          <w:bCs/>
          <w:sz w:val="24"/>
          <w:szCs w:val="24"/>
        </w:rPr>
        <w:t>.1 评标委员会根据评标标准及评分细则，经评审后推荐排名前三的投标人为中标候选人。</w:t>
      </w:r>
    </w:p>
    <w:p w14:paraId="3F7B2F93">
      <w:pPr>
        <w:tabs>
          <w:tab w:val="left" w:pos="1530"/>
        </w:tabs>
        <w:spacing w:line="360" w:lineRule="auto"/>
        <w:rPr>
          <w:rFonts w:hint="eastAsia" w:ascii="宋体" w:hAnsi="宋体"/>
          <w:bCs/>
          <w:sz w:val="24"/>
          <w:szCs w:val="24"/>
        </w:rPr>
      </w:pPr>
      <w:r>
        <w:rPr>
          <w:rFonts w:hint="eastAsia" w:ascii="宋体" w:hAnsi="宋体"/>
          <w:bCs/>
          <w:sz w:val="24"/>
          <w:szCs w:val="24"/>
        </w:rPr>
        <w:t>2</w:t>
      </w:r>
      <w:r>
        <w:rPr>
          <w:rFonts w:ascii="宋体" w:hAnsi="宋体"/>
          <w:bCs/>
          <w:sz w:val="24"/>
          <w:szCs w:val="24"/>
        </w:rPr>
        <w:t>8</w:t>
      </w:r>
      <w:r>
        <w:rPr>
          <w:rFonts w:hint="eastAsia" w:ascii="宋体" w:hAnsi="宋体"/>
          <w:bCs/>
          <w:sz w:val="24"/>
          <w:szCs w:val="24"/>
        </w:rPr>
        <w:t>.2 采购代理机构应当在评标结束后2个工作日内将评标报告送采购人。</w:t>
      </w:r>
    </w:p>
    <w:p w14:paraId="73DCFC55">
      <w:pPr>
        <w:tabs>
          <w:tab w:val="left" w:pos="1530"/>
        </w:tabs>
        <w:spacing w:line="360" w:lineRule="auto"/>
        <w:rPr>
          <w:rFonts w:hint="eastAsia" w:ascii="宋体" w:hAnsi="宋体"/>
          <w:bCs/>
          <w:sz w:val="24"/>
          <w:szCs w:val="24"/>
        </w:rPr>
      </w:pPr>
      <w:r>
        <w:rPr>
          <w:rFonts w:hint="eastAsia" w:ascii="宋体" w:hAnsi="宋体"/>
          <w:bCs/>
          <w:sz w:val="24"/>
          <w:szCs w:val="24"/>
        </w:rPr>
        <w:t>2</w:t>
      </w:r>
      <w:r>
        <w:rPr>
          <w:rFonts w:ascii="宋体" w:hAnsi="宋体"/>
          <w:bCs/>
          <w:sz w:val="24"/>
          <w:szCs w:val="24"/>
        </w:rPr>
        <w:t>8</w:t>
      </w:r>
      <w:r>
        <w:rPr>
          <w:rFonts w:hint="eastAsia" w:ascii="宋体" w:hAnsi="宋体"/>
          <w:bCs/>
          <w:sz w:val="24"/>
          <w:szCs w:val="24"/>
        </w:rPr>
        <w:t>.3采购人应当自收到评标报告之日起5个工作日内，在评标报告确定的中标候选人名单中按顺序确定中标人。</w:t>
      </w:r>
    </w:p>
    <w:p w14:paraId="7FC93239">
      <w:pPr>
        <w:tabs>
          <w:tab w:val="left" w:pos="1530"/>
        </w:tabs>
        <w:spacing w:line="360" w:lineRule="auto"/>
        <w:rPr>
          <w:rFonts w:hint="eastAsia" w:ascii="宋体" w:hAnsi="宋体"/>
          <w:bCs/>
          <w:sz w:val="24"/>
          <w:szCs w:val="24"/>
        </w:rPr>
      </w:pPr>
      <w:r>
        <w:rPr>
          <w:rFonts w:hint="eastAsia" w:ascii="宋体" w:hAnsi="宋体"/>
          <w:bCs/>
          <w:sz w:val="24"/>
          <w:szCs w:val="24"/>
        </w:rPr>
        <w:t>2</w:t>
      </w:r>
      <w:r>
        <w:rPr>
          <w:rFonts w:ascii="宋体" w:hAnsi="宋体"/>
          <w:bCs/>
          <w:sz w:val="24"/>
          <w:szCs w:val="24"/>
        </w:rPr>
        <w:t>8</w:t>
      </w:r>
      <w:r>
        <w:rPr>
          <w:rFonts w:hint="eastAsia" w:ascii="宋体" w:hAnsi="宋体"/>
          <w:bCs/>
          <w:sz w:val="24"/>
          <w:szCs w:val="24"/>
        </w:rPr>
        <w:t>.4 采购人在收到评标报告5个工作日内未按评标报告推荐的中标候选人顺序确定中标人，又不能说明合法理由的，视同按评标报告推荐的顺序确定排名第一的中标候选人为中标人。</w:t>
      </w:r>
    </w:p>
    <w:p w14:paraId="6498C3E5">
      <w:pPr>
        <w:spacing w:line="360" w:lineRule="auto"/>
        <w:ind w:left="482" w:hanging="480" w:hangingChars="200"/>
        <w:rPr>
          <w:rFonts w:hint="eastAsia" w:ascii="宋体" w:hAnsi="宋体"/>
          <w:bCs/>
          <w:sz w:val="24"/>
          <w:szCs w:val="24"/>
        </w:rPr>
      </w:pPr>
      <w:r>
        <w:rPr>
          <w:rFonts w:ascii="宋体" w:hAnsi="宋体"/>
          <w:b/>
          <w:sz w:val="24"/>
          <w:szCs w:val="24"/>
        </w:rPr>
        <w:t>29</w:t>
      </w:r>
      <w:r>
        <w:rPr>
          <w:rFonts w:hint="eastAsia" w:ascii="宋体" w:hAnsi="宋体"/>
          <w:b/>
          <w:sz w:val="24"/>
          <w:szCs w:val="24"/>
        </w:rPr>
        <w:t>. 中标结果公布和中标通知书</w:t>
      </w:r>
    </w:p>
    <w:p w14:paraId="53A00686">
      <w:pPr>
        <w:spacing w:line="360" w:lineRule="auto"/>
        <w:contextualSpacing/>
        <w:rPr>
          <w:rFonts w:hint="eastAsia" w:ascii="宋体" w:hAnsi="宋体"/>
          <w:bCs/>
          <w:sz w:val="24"/>
          <w:szCs w:val="24"/>
        </w:rPr>
      </w:pPr>
      <w:r>
        <w:rPr>
          <w:rFonts w:ascii="宋体" w:hAnsi="宋体"/>
          <w:bCs/>
          <w:sz w:val="24"/>
          <w:szCs w:val="24"/>
        </w:rPr>
        <w:t>29</w:t>
      </w:r>
      <w:r>
        <w:rPr>
          <w:rFonts w:hint="eastAsia" w:ascii="宋体" w:hAnsi="宋体"/>
          <w:bCs/>
          <w:sz w:val="24"/>
          <w:szCs w:val="24"/>
        </w:rPr>
        <w:t>.1中标人确定后的2个工作日内，采购代理机构将在财政部门指定的媒体上公告中标结果，</w:t>
      </w:r>
      <w:r>
        <w:rPr>
          <w:rFonts w:ascii="宋体" w:hAnsi="宋体"/>
          <w:bCs/>
          <w:sz w:val="24"/>
          <w:szCs w:val="24"/>
        </w:rPr>
        <w:t>公告期限为1 个工作日</w:t>
      </w:r>
      <w:r>
        <w:rPr>
          <w:rFonts w:hint="eastAsia" w:ascii="宋体" w:hAnsi="宋体"/>
          <w:bCs/>
          <w:sz w:val="24"/>
          <w:szCs w:val="24"/>
        </w:rPr>
        <w:t>。</w:t>
      </w:r>
    </w:p>
    <w:p w14:paraId="3D2736D2">
      <w:pPr>
        <w:spacing w:line="360" w:lineRule="auto"/>
        <w:rPr>
          <w:rFonts w:hint="eastAsia" w:ascii="宋体" w:hAnsi="宋体"/>
          <w:bCs/>
          <w:sz w:val="24"/>
          <w:szCs w:val="24"/>
        </w:rPr>
      </w:pPr>
      <w:r>
        <w:rPr>
          <w:rFonts w:ascii="宋体" w:hAnsi="宋体"/>
          <w:bCs/>
          <w:sz w:val="24"/>
          <w:szCs w:val="24"/>
        </w:rPr>
        <w:t>29</w:t>
      </w:r>
      <w:r>
        <w:rPr>
          <w:rFonts w:hint="eastAsia" w:ascii="宋体" w:hAnsi="宋体"/>
          <w:bCs/>
          <w:sz w:val="24"/>
          <w:szCs w:val="24"/>
        </w:rPr>
        <w:t>.2 在公告中标结果的同时，采购代理机构将向中标人发出中标通知书，中标通知书是合同</w:t>
      </w:r>
      <w:r>
        <w:rPr>
          <w:rFonts w:ascii="宋体" w:hAnsi="宋体"/>
          <w:bCs/>
          <w:sz w:val="24"/>
          <w:szCs w:val="24"/>
        </w:rPr>
        <w:t>的</w:t>
      </w:r>
      <w:r>
        <w:rPr>
          <w:rFonts w:hint="eastAsia" w:ascii="宋体" w:hAnsi="宋体"/>
          <w:bCs/>
          <w:sz w:val="24"/>
          <w:szCs w:val="24"/>
        </w:rPr>
        <w:t>组成部分,</w:t>
      </w:r>
      <w:r>
        <w:rPr>
          <w:rFonts w:hint="eastAsia" w:cs="SSJ-PK74820000023-Identity-H"/>
          <w:kern w:val="0"/>
          <w:sz w:val="24"/>
          <w:szCs w:val="24"/>
        </w:rPr>
        <w:t>对采购人和中标人具有同等法律效力。</w:t>
      </w:r>
    </w:p>
    <w:p w14:paraId="246EDE99">
      <w:pPr>
        <w:autoSpaceDE w:val="0"/>
        <w:autoSpaceDN w:val="0"/>
        <w:adjustRightInd w:val="0"/>
        <w:spacing w:line="360" w:lineRule="auto"/>
        <w:rPr>
          <w:rFonts w:cs="SSJ-PK74820000023-Identity-H"/>
          <w:kern w:val="0"/>
          <w:sz w:val="24"/>
          <w:szCs w:val="24"/>
        </w:rPr>
      </w:pPr>
      <w:r>
        <w:rPr>
          <w:rFonts w:hint="eastAsia" w:ascii="宋体" w:hAnsi="宋体"/>
          <w:bCs/>
          <w:sz w:val="24"/>
          <w:szCs w:val="24"/>
        </w:rPr>
        <w:t>29.3</w:t>
      </w:r>
      <w:r>
        <w:rPr>
          <w:rFonts w:hint="eastAsia" w:cs="SSJ-PK74820000023-Identity-H"/>
          <w:kern w:val="0"/>
          <w:sz w:val="24"/>
          <w:szCs w:val="24"/>
        </w:rPr>
        <w:t xml:space="preserve"> 中标通知书发出后，中标人无正当理由不得放弃中标。</w:t>
      </w:r>
    </w:p>
    <w:p w14:paraId="4C5E51EC">
      <w:pPr>
        <w:spacing w:line="360" w:lineRule="auto"/>
        <w:rPr>
          <w:rFonts w:hint="eastAsia" w:ascii="宋体" w:hAnsi="宋体"/>
          <w:bCs/>
          <w:sz w:val="24"/>
          <w:szCs w:val="24"/>
        </w:rPr>
      </w:pPr>
      <w:r>
        <w:rPr>
          <w:rFonts w:hint="eastAsia" w:ascii="宋体" w:hAnsi="宋体"/>
          <w:b/>
          <w:sz w:val="24"/>
          <w:szCs w:val="24"/>
        </w:rPr>
        <w:t>30. 签订合同</w:t>
      </w:r>
    </w:p>
    <w:p w14:paraId="5979A95E">
      <w:pPr>
        <w:spacing w:line="360" w:lineRule="auto"/>
        <w:rPr>
          <w:rFonts w:hint="eastAsia" w:ascii="宋体" w:hAnsi="宋体"/>
          <w:bCs/>
          <w:sz w:val="24"/>
          <w:szCs w:val="24"/>
        </w:rPr>
      </w:pPr>
      <w:r>
        <w:rPr>
          <w:rFonts w:hint="eastAsia" w:ascii="宋体" w:hAnsi="宋体"/>
          <w:bCs/>
          <w:sz w:val="24"/>
          <w:szCs w:val="24"/>
        </w:rPr>
        <w:t>30.1采购人应当自中标通知书发出之日起</w:t>
      </w:r>
      <w:r>
        <w:rPr>
          <w:rFonts w:ascii="宋体" w:hAnsi="宋体"/>
          <w:bCs/>
          <w:sz w:val="24"/>
          <w:szCs w:val="24"/>
        </w:rPr>
        <w:t>30</w:t>
      </w:r>
      <w:r>
        <w:rPr>
          <w:rFonts w:hint="eastAsia" w:ascii="宋体" w:hAnsi="宋体"/>
          <w:bCs/>
          <w:sz w:val="24"/>
          <w:szCs w:val="24"/>
        </w:rPr>
        <w:t>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2B6364CD">
      <w:pPr>
        <w:spacing w:line="360" w:lineRule="auto"/>
        <w:rPr>
          <w:rFonts w:hint="eastAsia" w:ascii="宋体" w:hAnsi="宋体"/>
          <w:bCs/>
          <w:sz w:val="24"/>
          <w:szCs w:val="24"/>
        </w:rPr>
      </w:pPr>
      <w:r>
        <w:rPr>
          <w:rFonts w:hint="eastAsia" w:ascii="宋体" w:hAnsi="宋体"/>
          <w:bCs/>
          <w:sz w:val="24"/>
          <w:szCs w:val="24"/>
        </w:rPr>
        <w:t>30.2</w:t>
      </w:r>
      <w:r>
        <w:rPr>
          <w:rFonts w:ascii="宋体" w:hAnsi="宋体"/>
          <w:bCs/>
          <w:sz w:val="24"/>
          <w:szCs w:val="24"/>
        </w:rPr>
        <w:t>中标</w:t>
      </w:r>
      <w:r>
        <w:rPr>
          <w:rFonts w:hint="eastAsia" w:ascii="宋体" w:hAnsi="宋体"/>
          <w:bCs/>
          <w:sz w:val="24"/>
          <w:szCs w:val="24"/>
        </w:rPr>
        <w:t>人</w:t>
      </w:r>
      <w:r>
        <w:rPr>
          <w:rFonts w:ascii="宋体" w:hAnsi="宋体"/>
          <w:bCs/>
          <w:sz w:val="24"/>
          <w:szCs w:val="24"/>
        </w:rPr>
        <w:t>拒绝与采购人签订合同的，采购人可以按照评标报告推荐的中标候选人名单排序，确定下一候选人为中标</w:t>
      </w:r>
      <w:r>
        <w:rPr>
          <w:rFonts w:hint="eastAsia" w:ascii="宋体" w:hAnsi="宋体"/>
          <w:bCs/>
          <w:sz w:val="24"/>
          <w:szCs w:val="24"/>
        </w:rPr>
        <w:t>人</w:t>
      </w:r>
      <w:r>
        <w:rPr>
          <w:rFonts w:ascii="宋体" w:hAnsi="宋体"/>
          <w:bCs/>
          <w:sz w:val="24"/>
          <w:szCs w:val="24"/>
        </w:rPr>
        <w:t>，也可以重新开展政府采购活动。</w:t>
      </w:r>
    </w:p>
    <w:p w14:paraId="1F1EC44C">
      <w:pPr>
        <w:spacing w:line="360" w:lineRule="auto"/>
        <w:rPr>
          <w:rFonts w:hint="eastAsia" w:ascii="宋体" w:hAnsi="宋体"/>
          <w:bCs/>
          <w:sz w:val="24"/>
          <w:szCs w:val="24"/>
        </w:rPr>
      </w:pPr>
      <w:r>
        <w:rPr>
          <w:rFonts w:hint="eastAsia" w:ascii="宋体" w:hAnsi="宋体"/>
          <w:bCs/>
          <w:sz w:val="24"/>
          <w:szCs w:val="24"/>
        </w:rPr>
        <w:t>30.</w:t>
      </w:r>
      <w:r>
        <w:rPr>
          <w:rFonts w:ascii="宋体" w:hAnsi="宋体"/>
          <w:bCs/>
          <w:sz w:val="24"/>
          <w:szCs w:val="24"/>
        </w:rPr>
        <w:t>3</w:t>
      </w:r>
      <w:r>
        <w:rPr>
          <w:rFonts w:hint="eastAsia" w:ascii="宋体" w:hAnsi="宋体"/>
          <w:bCs/>
          <w:sz w:val="24"/>
          <w:szCs w:val="24"/>
        </w:rPr>
        <w:t xml:space="preserve"> 招标文件、投标文件、投标人的澄清文件和中标通知书等均作为签订合同的主要部分。</w:t>
      </w:r>
    </w:p>
    <w:p w14:paraId="7A5D5772">
      <w:pPr>
        <w:spacing w:line="360" w:lineRule="auto"/>
        <w:rPr>
          <w:rFonts w:hint="eastAsia" w:ascii="宋体" w:hAnsi="宋体"/>
          <w:bCs/>
          <w:sz w:val="24"/>
          <w:szCs w:val="24"/>
        </w:rPr>
      </w:pPr>
      <w:r>
        <w:rPr>
          <w:rFonts w:hint="eastAsia" w:ascii="宋体" w:hAnsi="宋体"/>
          <w:bCs/>
          <w:sz w:val="24"/>
          <w:szCs w:val="24"/>
        </w:rPr>
        <w:t>30.4根据财库〔2016〕125号《财政部关于在政府采购活动中查询及使用信用记录有关问题的通知》的要求，截止到合同签订之日。一旦中标人在“信用中国”网站（www.creditchina.gov.cn）、中国政府采购网（www.ccgp.gov.cn）中被列入失信被执行人、重大税收违法案件当事人名单、政府采购严重违法失信行为记录名单的，采购人有权拒绝与其签订合同。</w:t>
      </w:r>
    </w:p>
    <w:p w14:paraId="69F0A753">
      <w:pPr>
        <w:spacing w:line="360" w:lineRule="auto"/>
        <w:ind w:left="482" w:hanging="480" w:hangingChars="200"/>
        <w:rPr>
          <w:rFonts w:hint="eastAsia" w:ascii="宋体" w:hAnsi="宋体"/>
          <w:bCs/>
          <w:sz w:val="24"/>
          <w:szCs w:val="24"/>
        </w:rPr>
      </w:pPr>
      <w:r>
        <w:rPr>
          <w:rFonts w:hint="eastAsia" w:ascii="宋体" w:hAnsi="宋体"/>
          <w:b/>
          <w:sz w:val="24"/>
          <w:szCs w:val="24"/>
        </w:rPr>
        <w:t>31. 履约保证金（如需）</w:t>
      </w:r>
    </w:p>
    <w:p w14:paraId="504FFF2E">
      <w:pPr>
        <w:spacing w:line="360" w:lineRule="auto"/>
        <w:rPr>
          <w:rFonts w:hint="eastAsia" w:ascii="宋体" w:hAnsi="宋体"/>
          <w:bCs/>
          <w:sz w:val="24"/>
          <w:szCs w:val="24"/>
        </w:rPr>
      </w:pPr>
      <w:r>
        <w:rPr>
          <w:rFonts w:hint="eastAsia" w:ascii="宋体" w:hAnsi="宋体"/>
          <w:bCs/>
          <w:sz w:val="24"/>
          <w:szCs w:val="24"/>
        </w:rPr>
        <w:t>31.1中标人与采购人签订合同时应按照招标文件要求向采购人提交履约保证金，</w:t>
      </w:r>
      <w:r>
        <w:rPr>
          <w:rFonts w:ascii="宋体" w:hAnsi="宋体"/>
          <w:bCs/>
          <w:sz w:val="24"/>
          <w:szCs w:val="24"/>
        </w:rPr>
        <w:t>履约保证金的金额不超过合同金额的10%</w:t>
      </w:r>
      <w:r>
        <w:rPr>
          <w:rFonts w:hint="eastAsia" w:ascii="宋体" w:hAnsi="宋体"/>
          <w:bCs/>
          <w:sz w:val="24"/>
          <w:szCs w:val="24"/>
        </w:rPr>
        <w:t>，其形式为</w:t>
      </w:r>
      <w:r>
        <w:rPr>
          <w:rFonts w:ascii="宋体" w:hAnsi="宋体"/>
          <w:bCs/>
          <w:sz w:val="24"/>
          <w:szCs w:val="24"/>
        </w:rPr>
        <w:t>支票、汇票、本票或者金融机构</w:t>
      </w:r>
      <w:r>
        <w:rPr>
          <w:rFonts w:hint="eastAsia" w:ascii="宋体" w:hAnsi="宋体"/>
          <w:bCs/>
          <w:sz w:val="24"/>
          <w:szCs w:val="24"/>
        </w:rPr>
        <w:t>（格式见附件）</w:t>
      </w:r>
      <w:r>
        <w:rPr>
          <w:rFonts w:ascii="宋体" w:hAnsi="宋体"/>
          <w:bCs/>
          <w:sz w:val="24"/>
          <w:szCs w:val="24"/>
        </w:rPr>
        <w:t>、</w:t>
      </w:r>
      <w:r>
        <w:rPr>
          <w:rFonts w:hint="eastAsia" w:ascii="宋体" w:hAnsi="宋体"/>
          <w:bCs/>
          <w:sz w:val="24"/>
          <w:szCs w:val="24"/>
        </w:rPr>
        <w:t>专业</w:t>
      </w:r>
      <w:r>
        <w:rPr>
          <w:rFonts w:ascii="宋体" w:hAnsi="宋体"/>
          <w:bCs/>
          <w:sz w:val="24"/>
          <w:szCs w:val="24"/>
        </w:rPr>
        <w:t>担保机构出具的政府采购履约担保函</w:t>
      </w:r>
      <w:r>
        <w:rPr>
          <w:rFonts w:hint="eastAsia" w:ascii="宋体" w:hAnsi="宋体"/>
          <w:bCs/>
          <w:sz w:val="24"/>
          <w:szCs w:val="24"/>
        </w:rPr>
        <w:t>（</w:t>
      </w:r>
      <w:r>
        <w:rPr>
          <w:rFonts w:ascii="宋体" w:hAnsi="宋体"/>
          <w:bCs/>
          <w:sz w:val="24"/>
          <w:szCs w:val="24"/>
        </w:rPr>
        <w:t>格式见</w:t>
      </w:r>
      <w:r>
        <w:rPr>
          <w:rFonts w:hint="eastAsia" w:ascii="宋体" w:hAnsi="宋体"/>
          <w:bCs/>
          <w:sz w:val="24"/>
          <w:szCs w:val="24"/>
        </w:rPr>
        <w:t>附件）</w:t>
      </w:r>
      <w:r>
        <w:rPr>
          <w:rFonts w:ascii="宋体" w:hAnsi="宋体"/>
          <w:bCs/>
          <w:sz w:val="24"/>
          <w:szCs w:val="24"/>
        </w:rPr>
        <w:t>等非现金形式</w:t>
      </w:r>
      <w:r>
        <w:rPr>
          <w:rFonts w:hint="eastAsia" w:ascii="宋体" w:hAnsi="宋体"/>
          <w:bCs/>
          <w:sz w:val="24"/>
          <w:szCs w:val="24"/>
        </w:rPr>
        <w:t>。</w:t>
      </w:r>
    </w:p>
    <w:p w14:paraId="27FD745C">
      <w:pPr>
        <w:spacing w:line="360" w:lineRule="auto"/>
        <w:rPr>
          <w:rFonts w:hint="eastAsia" w:ascii="宋体" w:hAnsi="宋体"/>
          <w:bCs/>
          <w:sz w:val="24"/>
          <w:szCs w:val="24"/>
        </w:rPr>
      </w:pPr>
      <w:r>
        <w:rPr>
          <w:rFonts w:hint="eastAsia" w:ascii="宋体" w:hAnsi="宋体"/>
          <w:bCs/>
          <w:sz w:val="24"/>
          <w:szCs w:val="24"/>
        </w:rPr>
        <w:t>31.2 如果中标人没按照第30或31.1条规定去做，采购人将有充分理由取消该授标，并没收其投标保证金。</w:t>
      </w:r>
    </w:p>
    <w:p w14:paraId="4165AF6F">
      <w:pPr>
        <w:spacing w:line="360" w:lineRule="auto"/>
        <w:ind w:left="482" w:hanging="480" w:hangingChars="200"/>
        <w:rPr>
          <w:rFonts w:hint="eastAsia" w:ascii="宋体" w:hAnsi="宋体"/>
          <w:bCs/>
          <w:sz w:val="24"/>
          <w:szCs w:val="24"/>
        </w:rPr>
      </w:pPr>
      <w:r>
        <w:rPr>
          <w:rFonts w:ascii="宋体" w:hAnsi="宋体"/>
          <w:b/>
          <w:sz w:val="24"/>
          <w:szCs w:val="24"/>
        </w:rPr>
        <w:t>3</w:t>
      </w:r>
      <w:r>
        <w:rPr>
          <w:rFonts w:hint="eastAsia" w:ascii="宋体" w:hAnsi="宋体"/>
          <w:b/>
          <w:sz w:val="24"/>
          <w:szCs w:val="24"/>
        </w:rPr>
        <w:t>2. 授予合同后其他权利（如需）</w:t>
      </w:r>
    </w:p>
    <w:p w14:paraId="75081022">
      <w:pPr>
        <w:spacing w:line="360" w:lineRule="auto"/>
        <w:rPr>
          <w:rFonts w:hint="eastAsia" w:ascii="宋体" w:hAnsi="宋体"/>
          <w:bCs/>
          <w:sz w:val="24"/>
          <w:szCs w:val="24"/>
        </w:rPr>
      </w:pPr>
      <w:r>
        <w:rPr>
          <w:rFonts w:ascii="宋体" w:hAnsi="宋体"/>
          <w:bCs/>
          <w:sz w:val="24"/>
          <w:szCs w:val="24"/>
        </w:rPr>
        <w:t>3</w:t>
      </w:r>
      <w:r>
        <w:rPr>
          <w:rFonts w:hint="eastAsia" w:ascii="宋体" w:hAnsi="宋体"/>
          <w:bCs/>
          <w:sz w:val="24"/>
          <w:szCs w:val="24"/>
        </w:rPr>
        <w:t>2.1采购人须保证原有采购项目一致性或者服务配套的要求，需要继续从中标人处添购，且添购资金总额不超过原合同采购金额百分之十的，</w:t>
      </w:r>
      <w:r>
        <w:rPr>
          <w:rFonts w:ascii="宋体" w:hAnsi="宋体"/>
          <w:bCs/>
          <w:sz w:val="24"/>
          <w:szCs w:val="24"/>
        </w:rPr>
        <w:t>不改变合同其他条款的前提下，可以与</w:t>
      </w:r>
      <w:r>
        <w:rPr>
          <w:rFonts w:hint="eastAsia" w:ascii="宋体" w:hAnsi="宋体"/>
          <w:bCs/>
          <w:sz w:val="24"/>
          <w:szCs w:val="24"/>
        </w:rPr>
        <w:t>中标人</w:t>
      </w:r>
      <w:r>
        <w:rPr>
          <w:rFonts w:ascii="宋体" w:hAnsi="宋体"/>
          <w:bCs/>
          <w:sz w:val="24"/>
          <w:szCs w:val="24"/>
        </w:rPr>
        <w:t>协商签订补充合同</w:t>
      </w:r>
      <w:r>
        <w:rPr>
          <w:rFonts w:hint="eastAsia" w:ascii="宋体" w:hAnsi="宋体"/>
          <w:bCs/>
          <w:sz w:val="24"/>
          <w:szCs w:val="24"/>
        </w:rPr>
        <w:t>。</w:t>
      </w:r>
    </w:p>
    <w:p w14:paraId="515FEE3F">
      <w:pPr>
        <w:spacing w:line="360" w:lineRule="auto"/>
        <w:rPr>
          <w:rFonts w:hint="eastAsia" w:ascii="宋体" w:hAnsi="宋体"/>
          <w:bCs/>
          <w:sz w:val="24"/>
          <w:szCs w:val="24"/>
        </w:rPr>
      </w:pPr>
    </w:p>
    <w:p w14:paraId="6843D780">
      <w:pPr>
        <w:pStyle w:val="2"/>
        <w:spacing w:line="360" w:lineRule="auto"/>
        <w:contextualSpacing/>
        <w:jc w:val="center"/>
        <w:rPr>
          <w:rFonts w:hint="eastAsia" w:ascii="宋体" w:hAnsi="宋体"/>
          <w:spacing w:val="60"/>
          <w:szCs w:val="24"/>
        </w:rPr>
      </w:pPr>
      <w:bookmarkStart w:id="48" w:name="_Toc525851073"/>
      <w:bookmarkStart w:id="49" w:name="_Toc527548999"/>
      <w:bookmarkStart w:id="50" w:name="_Toc115623231"/>
      <w:bookmarkStart w:id="51" w:name="_Toc527552502"/>
      <w:bookmarkStart w:id="52" w:name="_Toc7531910"/>
      <w:bookmarkStart w:id="53" w:name="_Toc176023821"/>
      <w:bookmarkStart w:id="54" w:name="_Toc526860129"/>
      <w:r>
        <w:rPr>
          <w:rFonts w:hint="eastAsia" w:ascii="宋体" w:hAnsi="宋体"/>
          <w:spacing w:val="60"/>
          <w:szCs w:val="24"/>
        </w:rPr>
        <w:t>七、质疑</w:t>
      </w:r>
      <w:bookmarkEnd w:id="48"/>
      <w:bookmarkEnd w:id="49"/>
      <w:bookmarkEnd w:id="50"/>
      <w:bookmarkEnd w:id="51"/>
      <w:bookmarkEnd w:id="52"/>
      <w:bookmarkEnd w:id="53"/>
      <w:bookmarkEnd w:id="54"/>
    </w:p>
    <w:p w14:paraId="0DAF49EE">
      <w:pPr>
        <w:spacing w:line="360" w:lineRule="auto"/>
        <w:ind w:left="482" w:hanging="480" w:hangingChars="200"/>
        <w:rPr>
          <w:rFonts w:hint="eastAsia" w:ascii="宋体" w:hAnsi="宋体"/>
          <w:b/>
          <w:sz w:val="24"/>
          <w:szCs w:val="24"/>
        </w:rPr>
      </w:pPr>
      <w:r>
        <w:rPr>
          <w:rFonts w:hint="eastAsia" w:ascii="宋体" w:hAnsi="宋体"/>
          <w:b/>
          <w:sz w:val="24"/>
          <w:szCs w:val="24"/>
        </w:rPr>
        <w:t>33 质疑</w:t>
      </w:r>
    </w:p>
    <w:p w14:paraId="18B3EFAD">
      <w:pPr>
        <w:spacing w:line="360" w:lineRule="auto"/>
        <w:rPr>
          <w:rFonts w:hint="eastAsia" w:ascii="宋体" w:hAnsi="宋体"/>
          <w:bCs/>
          <w:sz w:val="24"/>
          <w:szCs w:val="24"/>
        </w:rPr>
      </w:pPr>
      <w:r>
        <w:rPr>
          <w:rFonts w:hint="eastAsia" w:ascii="宋体" w:hAnsi="宋体"/>
          <w:bCs/>
          <w:sz w:val="24"/>
          <w:szCs w:val="24"/>
        </w:rPr>
        <w:t>33.1 投标人认为采购文件、采购过程、中标或者成交结果使自己的权益受到损害的，可以在知道或者应知其权益受到损害之日起7个工作日内，以书面形式（原件）向采购代理机构提出质疑。提出质疑时需向采购代理机构提交如下材料原件：</w:t>
      </w:r>
    </w:p>
    <w:p w14:paraId="49FE8CE0">
      <w:pPr>
        <w:spacing w:line="360" w:lineRule="auto"/>
        <w:rPr>
          <w:rFonts w:hint="eastAsia" w:ascii="宋体" w:hAnsi="宋体" w:cs="Arial"/>
          <w:kern w:val="0"/>
          <w:sz w:val="24"/>
          <w:szCs w:val="24"/>
        </w:rPr>
      </w:pPr>
      <w:r>
        <w:rPr>
          <w:rFonts w:hint="eastAsia" w:ascii="宋体" w:hAnsi="宋体"/>
          <w:bCs/>
          <w:sz w:val="24"/>
          <w:szCs w:val="24"/>
        </w:rPr>
        <w:t>33.1.1提出质疑应当提交质疑函和必要的证明材料。</w:t>
      </w:r>
    </w:p>
    <w:p w14:paraId="456F3CB9">
      <w:pPr>
        <w:spacing w:line="360" w:lineRule="auto"/>
        <w:rPr>
          <w:rFonts w:hint="eastAsia" w:ascii="宋体" w:hAnsi="宋体"/>
          <w:bCs/>
          <w:sz w:val="24"/>
          <w:szCs w:val="24"/>
        </w:rPr>
      </w:pPr>
      <w:r>
        <w:rPr>
          <w:rFonts w:hint="eastAsia" w:ascii="宋体" w:hAnsi="宋体"/>
          <w:bCs/>
          <w:sz w:val="24"/>
          <w:szCs w:val="24"/>
        </w:rPr>
        <w:t>质疑函原件须加盖公章，</w:t>
      </w:r>
      <w:r>
        <w:rPr>
          <w:rFonts w:ascii="宋体" w:hAnsi="宋体"/>
          <w:bCs/>
          <w:sz w:val="24"/>
          <w:szCs w:val="24"/>
        </w:rPr>
        <w:t>质疑函应当包括下列内容：</w:t>
      </w:r>
    </w:p>
    <w:p w14:paraId="57796CC2">
      <w:pPr>
        <w:spacing w:line="360" w:lineRule="auto"/>
        <w:rPr>
          <w:rFonts w:hint="eastAsia" w:ascii="宋体" w:hAnsi="宋体"/>
          <w:bCs/>
          <w:sz w:val="24"/>
          <w:szCs w:val="24"/>
        </w:rPr>
      </w:pPr>
      <w:r>
        <w:rPr>
          <w:rFonts w:hint="eastAsia" w:ascii="宋体" w:hAnsi="宋体"/>
          <w:bCs/>
          <w:sz w:val="24"/>
          <w:szCs w:val="24"/>
        </w:rPr>
        <w:t>（1）投标人</w:t>
      </w:r>
      <w:r>
        <w:rPr>
          <w:rFonts w:ascii="宋体" w:hAnsi="宋体"/>
          <w:bCs/>
          <w:sz w:val="24"/>
          <w:szCs w:val="24"/>
        </w:rPr>
        <w:t>名称、地址、邮编、联系人及联系电话；</w:t>
      </w:r>
    </w:p>
    <w:p w14:paraId="684E295D">
      <w:pPr>
        <w:spacing w:line="360" w:lineRule="auto"/>
        <w:rPr>
          <w:rFonts w:hint="eastAsia" w:ascii="宋体" w:hAnsi="宋体"/>
          <w:bCs/>
          <w:sz w:val="24"/>
          <w:szCs w:val="24"/>
        </w:rPr>
      </w:pPr>
      <w:r>
        <w:rPr>
          <w:rFonts w:hint="eastAsia" w:ascii="宋体" w:hAnsi="宋体"/>
          <w:bCs/>
          <w:sz w:val="24"/>
          <w:szCs w:val="24"/>
        </w:rPr>
        <w:t>（2）</w:t>
      </w:r>
      <w:r>
        <w:rPr>
          <w:rFonts w:ascii="宋体" w:hAnsi="宋体"/>
          <w:bCs/>
          <w:sz w:val="24"/>
          <w:szCs w:val="24"/>
        </w:rPr>
        <w:t>质疑项目的名称、编号；</w:t>
      </w:r>
    </w:p>
    <w:p w14:paraId="1995BB4A">
      <w:pPr>
        <w:spacing w:line="360" w:lineRule="auto"/>
        <w:rPr>
          <w:rFonts w:hint="eastAsia" w:ascii="宋体" w:hAnsi="宋体"/>
          <w:bCs/>
          <w:sz w:val="24"/>
          <w:szCs w:val="24"/>
        </w:rPr>
      </w:pPr>
      <w:r>
        <w:rPr>
          <w:rFonts w:hint="eastAsia" w:ascii="宋体" w:hAnsi="宋体"/>
          <w:bCs/>
          <w:sz w:val="24"/>
          <w:szCs w:val="24"/>
        </w:rPr>
        <w:t>（3）</w:t>
      </w:r>
      <w:r>
        <w:rPr>
          <w:rFonts w:ascii="宋体" w:hAnsi="宋体"/>
          <w:bCs/>
          <w:sz w:val="24"/>
          <w:szCs w:val="24"/>
        </w:rPr>
        <w:t>具体、明确的质疑事项和与质疑事项相关的请求；</w:t>
      </w:r>
    </w:p>
    <w:p w14:paraId="203ECBF1">
      <w:pPr>
        <w:spacing w:line="360" w:lineRule="auto"/>
        <w:rPr>
          <w:rFonts w:hint="eastAsia" w:ascii="宋体" w:hAnsi="宋体"/>
          <w:bCs/>
          <w:sz w:val="24"/>
          <w:szCs w:val="24"/>
        </w:rPr>
      </w:pPr>
      <w:r>
        <w:rPr>
          <w:rFonts w:hint="eastAsia" w:ascii="宋体" w:hAnsi="宋体"/>
          <w:bCs/>
          <w:sz w:val="24"/>
          <w:szCs w:val="24"/>
        </w:rPr>
        <w:t>（4）</w:t>
      </w:r>
      <w:r>
        <w:rPr>
          <w:rFonts w:ascii="宋体" w:hAnsi="宋体"/>
          <w:bCs/>
          <w:sz w:val="24"/>
          <w:szCs w:val="24"/>
        </w:rPr>
        <w:t>事实依据；</w:t>
      </w:r>
    </w:p>
    <w:p w14:paraId="2422B006">
      <w:pPr>
        <w:spacing w:line="360" w:lineRule="auto"/>
        <w:rPr>
          <w:rFonts w:hint="eastAsia" w:ascii="宋体" w:hAnsi="宋体"/>
          <w:bCs/>
          <w:sz w:val="24"/>
          <w:szCs w:val="24"/>
        </w:rPr>
      </w:pPr>
      <w:r>
        <w:rPr>
          <w:rFonts w:hint="eastAsia" w:ascii="宋体" w:hAnsi="宋体"/>
          <w:bCs/>
          <w:sz w:val="24"/>
          <w:szCs w:val="24"/>
        </w:rPr>
        <w:t>（5）</w:t>
      </w:r>
      <w:r>
        <w:rPr>
          <w:rFonts w:ascii="宋体" w:hAnsi="宋体"/>
          <w:bCs/>
          <w:sz w:val="24"/>
          <w:szCs w:val="24"/>
        </w:rPr>
        <w:t>必要的法律依据；</w:t>
      </w:r>
    </w:p>
    <w:p w14:paraId="61C796FE">
      <w:pPr>
        <w:spacing w:line="360" w:lineRule="auto"/>
        <w:rPr>
          <w:rFonts w:hint="eastAsia" w:ascii="宋体" w:hAnsi="宋体"/>
          <w:bCs/>
          <w:sz w:val="24"/>
          <w:szCs w:val="24"/>
        </w:rPr>
      </w:pPr>
      <w:r>
        <w:rPr>
          <w:rFonts w:hint="eastAsia" w:ascii="宋体" w:hAnsi="宋体"/>
          <w:bCs/>
          <w:sz w:val="24"/>
          <w:szCs w:val="24"/>
        </w:rPr>
        <w:t>（6）</w:t>
      </w:r>
      <w:r>
        <w:rPr>
          <w:rFonts w:ascii="宋体" w:hAnsi="宋体"/>
          <w:bCs/>
          <w:sz w:val="24"/>
          <w:szCs w:val="24"/>
        </w:rPr>
        <w:t>提出质疑的日期。</w:t>
      </w:r>
    </w:p>
    <w:p w14:paraId="40F86CAF">
      <w:pPr>
        <w:spacing w:line="360" w:lineRule="auto"/>
        <w:rPr>
          <w:rFonts w:hint="eastAsia" w:ascii="宋体" w:hAnsi="宋体"/>
          <w:bCs/>
          <w:sz w:val="24"/>
          <w:szCs w:val="24"/>
        </w:rPr>
      </w:pPr>
      <w:r>
        <w:rPr>
          <w:rFonts w:hint="eastAsia" w:ascii="宋体" w:hAnsi="宋体"/>
          <w:bCs/>
          <w:sz w:val="24"/>
          <w:szCs w:val="24"/>
        </w:rPr>
        <w:t xml:space="preserve">投标人为自然人的，应当由本人签字；投标人为法人或者其他组织的，应当由法定代表人、主要负责人，或者其授权代表签字或者盖章，并加盖公章。 </w:t>
      </w:r>
    </w:p>
    <w:p w14:paraId="156E4A52">
      <w:pPr>
        <w:spacing w:line="360" w:lineRule="auto"/>
        <w:rPr>
          <w:rFonts w:hint="eastAsia" w:ascii="宋体" w:hAnsi="宋体"/>
          <w:bCs/>
          <w:sz w:val="24"/>
          <w:szCs w:val="24"/>
        </w:rPr>
      </w:pPr>
      <w:r>
        <w:rPr>
          <w:rFonts w:hint="eastAsia" w:ascii="宋体" w:hAnsi="宋体"/>
          <w:bCs/>
          <w:sz w:val="24"/>
          <w:szCs w:val="24"/>
        </w:rPr>
        <w:t>33.1.2 法定代表人授权委托书原件并加盖公章。</w:t>
      </w:r>
      <w:r>
        <w:rPr>
          <w:rFonts w:ascii="宋体" w:hAnsi="宋体"/>
          <w:bCs/>
          <w:sz w:val="24"/>
          <w:szCs w:val="24"/>
        </w:rPr>
        <w:t>授权委托书应当载明代理人的姓名或者名称、代理事项、具体权限、期限和相关事项</w:t>
      </w:r>
      <w:r>
        <w:rPr>
          <w:rFonts w:hint="eastAsia" w:ascii="宋体" w:hAnsi="宋体"/>
          <w:bCs/>
          <w:sz w:val="24"/>
          <w:szCs w:val="24"/>
        </w:rPr>
        <w:t>，并</w:t>
      </w:r>
      <w:r>
        <w:rPr>
          <w:rFonts w:ascii="宋体" w:hAnsi="宋体"/>
          <w:bCs/>
          <w:sz w:val="24"/>
          <w:szCs w:val="24"/>
        </w:rPr>
        <w:t>由法定代表人、主要负责人签字或者盖章，并加盖公章。</w:t>
      </w:r>
    </w:p>
    <w:p w14:paraId="4325EFF9">
      <w:pPr>
        <w:spacing w:line="360" w:lineRule="auto"/>
        <w:rPr>
          <w:rFonts w:hint="eastAsia" w:ascii="宋体" w:hAnsi="宋体"/>
          <w:bCs/>
          <w:sz w:val="24"/>
          <w:szCs w:val="24"/>
        </w:rPr>
      </w:pPr>
      <w:r>
        <w:rPr>
          <w:rFonts w:hint="eastAsia" w:ascii="宋体" w:hAnsi="宋体"/>
          <w:bCs/>
          <w:sz w:val="24"/>
          <w:szCs w:val="24"/>
        </w:rPr>
        <w:t>33.2投标人</w:t>
      </w:r>
      <w:r>
        <w:rPr>
          <w:rFonts w:ascii="宋体" w:hAnsi="宋体"/>
          <w:bCs/>
          <w:sz w:val="24"/>
          <w:szCs w:val="24"/>
        </w:rPr>
        <w:t>在法定质疑期内</w:t>
      </w:r>
      <w:r>
        <w:rPr>
          <w:rFonts w:hint="eastAsia" w:ascii="宋体" w:hAnsi="宋体"/>
          <w:bCs/>
          <w:sz w:val="24"/>
          <w:szCs w:val="24"/>
        </w:rPr>
        <w:t>需</w:t>
      </w:r>
      <w:r>
        <w:rPr>
          <w:rFonts w:ascii="宋体" w:hAnsi="宋体"/>
          <w:bCs/>
          <w:sz w:val="24"/>
          <w:szCs w:val="24"/>
        </w:rPr>
        <w:t>一次性提出针对同一采购程序环节的质疑。</w:t>
      </w:r>
      <w:r>
        <w:rPr>
          <w:rFonts w:hint="eastAsia" w:ascii="宋体" w:hAnsi="宋体"/>
          <w:bCs/>
          <w:sz w:val="24"/>
          <w:szCs w:val="24"/>
        </w:rPr>
        <w:t>对同一采购程序环节提出的后续多次质疑将不予接受。</w:t>
      </w:r>
    </w:p>
    <w:p w14:paraId="2174088A">
      <w:pPr>
        <w:autoSpaceDE w:val="0"/>
        <w:autoSpaceDN w:val="0"/>
        <w:adjustRightInd w:val="0"/>
        <w:spacing w:line="360" w:lineRule="auto"/>
        <w:rPr>
          <w:rFonts w:cs="SSJ-PK74820000023-Identity-H"/>
          <w:kern w:val="0"/>
          <w:sz w:val="24"/>
          <w:szCs w:val="24"/>
        </w:rPr>
      </w:pPr>
      <w:r>
        <w:rPr>
          <w:rFonts w:hint="eastAsia" w:ascii="宋体" w:hAnsi="宋体" w:cs="SSJ-PK74820000023-Identity-H"/>
          <w:kern w:val="0"/>
          <w:sz w:val="24"/>
          <w:szCs w:val="24"/>
        </w:rPr>
        <w:t>33.3 投标人对采购人或采购代理机构的答复不满意，或采购人或采购代理机构未在规定的期</w:t>
      </w:r>
      <w:r>
        <w:rPr>
          <w:rFonts w:hint="eastAsia" w:cs="SSJ-PK74820000023-Identity-H"/>
          <w:kern w:val="0"/>
          <w:sz w:val="24"/>
          <w:szCs w:val="24"/>
        </w:rPr>
        <w:t>限作出答复的，可在答复期满后15个工作日内，按政府采购法律法规规定及程序，向财政部提出投诉。</w:t>
      </w:r>
    </w:p>
    <w:p w14:paraId="7B784AE1">
      <w:pPr>
        <w:spacing w:line="360" w:lineRule="auto"/>
        <w:rPr>
          <w:rFonts w:hint="eastAsia" w:ascii="宋体" w:hAnsi="宋体"/>
          <w:bCs/>
          <w:sz w:val="24"/>
          <w:szCs w:val="24"/>
        </w:rPr>
      </w:pPr>
    </w:p>
    <w:p w14:paraId="50DD9525">
      <w:pPr>
        <w:pStyle w:val="2"/>
        <w:spacing w:line="360" w:lineRule="auto"/>
        <w:contextualSpacing/>
        <w:jc w:val="center"/>
        <w:rPr>
          <w:rFonts w:hint="eastAsia" w:ascii="宋体" w:hAnsi="宋体"/>
          <w:spacing w:val="60"/>
          <w:szCs w:val="24"/>
        </w:rPr>
      </w:pPr>
      <w:bookmarkStart w:id="55" w:name="_Toc7531911"/>
      <w:bookmarkStart w:id="56" w:name="_Toc527552503"/>
      <w:bookmarkStart w:id="57" w:name="_Toc526860130"/>
      <w:bookmarkStart w:id="58" w:name="_Toc176023822"/>
      <w:bookmarkStart w:id="59" w:name="_Toc115623232"/>
      <w:bookmarkStart w:id="60" w:name="_Toc525851074"/>
      <w:bookmarkStart w:id="61" w:name="_Toc527549000"/>
      <w:r>
        <w:rPr>
          <w:rFonts w:hint="eastAsia" w:ascii="宋体" w:hAnsi="宋体"/>
          <w:spacing w:val="60"/>
          <w:szCs w:val="24"/>
        </w:rPr>
        <w:t>八、其他</w:t>
      </w:r>
      <w:bookmarkEnd w:id="55"/>
      <w:bookmarkEnd w:id="56"/>
      <w:bookmarkEnd w:id="57"/>
      <w:bookmarkEnd w:id="58"/>
      <w:bookmarkEnd w:id="59"/>
      <w:bookmarkEnd w:id="60"/>
      <w:bookmarkEnd w:id="61"/>
    </w:p>
    <w:p w14:paraId="5FAF8C93">
      <w:pPr>
        <w:spacing w:line="360" w:lineRule="auto"/>
        <w:ind w:left="482" w:hanging="480" w:hangingChars="200"/>
        <w:contextualSpacing/>
        <w:rPr>
          <w:rFonts w:hint="eastAsia" w:ascii="宋体" w:hAnsi="宋体"/>
          <w:b/>
          <w:sz w:val="24"/>
          <w:szCs w:val="24"/>
        </w:rPr>
      </w:pPr>
      <w:r>
        <w:rPr>
          <w:rFonts w:hint="eastAsia" w:ascii="宋体" w:hAnsi="宋体"/>
          <w:b/>
          <w:sz w:val="24"/>
          <w:szCs w:val="24"/>
        </w:rPr>
        <w:t>34.代理服务费</w:t>
      </w:r>
    </w:p>
    <w:p w14:paraId="6CB0BEF6">
      <w:pPr>
        <w:autoSpaceDE w:val="0"/>
        <w:autoSpaceDN w:val="0"/>
        <w:adjustRightInd w:val="0"/>
        <w:spacing w:line="360" w:lineRule="auto"/>
        <w:rPr>
          <w:rFonts w:hint="eastAsia" w:ascii="宋体" w:hAnsi="宋体" w:cs="SSJ-PK74820000023-Identity-H"/>
          <w:kern w:val="0"/>
          <w:sz w:val="24"/>
          <w:szCs w:val="24"/>
        </w:rPr>
      </w:pPr>
      <w:r>
        <w:rPr>
          <w:rFonts w:hint="eastAsia" w:ascii="宋体" w:hAnsi="宋体" w:cs="SSJ-PK74820000023-Identity-H"/>
          <w:kern w:val="0"/>
          <w:sz w:val="24"/>
          <w:szCs w:val="24"/>
        </w:rPr>
        <w:t xml:space="preserve">34.1 </w:t>
      </w:r>
      <w:r>
        <w:rPr>
          <w:rFonts w:ascii="宋体" w:hAnsi="宋体" w:cs="SSJ-PK74820000023-Identity-H"/>
          <w:kern w:val="0"/>
          <w:sz w:val="24"/>
          <w:szCs w:val="24"/>
        </w:rPr>
        <w:t>收费对象、收费标准及缴纳时间见《投标人须知资料表》。由中标人支付的，中标人须一次性向采购代理机构缴纳代理费，投标报价应包含代理费用</w:t>
      </w:r>
      <w:r>
        <w:rPr>
          <w:rFonts w:hint="eastAsia" w:ascii="宋体" w:hAnsi="宋体" w:cs="SSJ-PK74820000023-Identity-H"/>
          <w:kern w:val="0"/>
          <w:sz w:val="24"/>
          <w:szCs w:val="24"/>
        </w:rPr>
        <w:t>（可不在投标分项报价中体现）</w:t>
      </w:r>
      <w:r>
        <w:rPr>
          <w:rFonts w:ascii="宋体" w:hAnsi="宋体" w:cs="SSJ-PK74820000023-Identity-H"/>
          <w:kern w:val="0"/>
          <w:sz w:val="24"/>
          <w:szCs w:val="24"/>
        </w:rPr>
        <w:t>。</w:t>
      </w:r>
    </w:p>
    <w:p w14:paraId="539AE238">
      <w:pPr>
        <w:spacing w:line="360" w:lineRule="auto"/>
        <w:ind w:left="482" w:hanging="480" w:hangingChars="200"/>
        <w:contextualSpacing/>
        <w:rPr>
          <w:rFonts w:hint="eastAsia" w:ascii="宋体" w:hAnsi="宋体"/>
          <w:b/>
          <w:sz w:val="24"/>
          <w:szCs w:val="24"/>
        </w:rPr>
      </w:pPr>
      <w:r>
        <w:rPr>
          <w:rFonts w:hint="eastAsia" w:ascii="宋体" w:hAnsi="宋体"/>
          <w:b/>
          <w:sz w:val="24"/>
          <w:szCs w:val="24"/>
        </w:rPr>
        <w:t>35. 腐败和欺诈行为</w:t>
      </w:r>
    </w:p>
    <w:p w14:paraId="77E56C1C">
      <w:pPr>
        <w:spacing w:line="360" w:lineRule="auto"/>
        <w:ind w:left="480" w:hanging="480" w:hangingChars="200"/>
        <w:contextualSpacing/>
        <w:rPr>
          <w:rFonts w:hint="eastAsia" w:ascii="宋体" w:hAnsi="宋体"/>
          <w:bCs/>
          <w:sz w:val="24"/>
          <w:szCs w:val="24"/>
        </w:rPr>
      </w:pPr>
      <w:r>
        <w:rPr>
          <w:rFonts w:hint="eastAsia" w:ascii="宋体" w:hAnsi="宋体"/>
          <w:bCs/>
          <w:sz w:val="24"/>
          <w:szCs w:val="24"/>
        </w:rPr>
        <w:t>35.1 定义</w:t>
      </w:r>
    </w:p>
    <w:p w14:paraId="37717259">
      <w:pPr>
        <w:spacing w:line="360" w:lineRule="auto"/>
        <w:contextualSpacing/>
        <w:rPr>
          <w:rFonts w:hint="eastAsia" w:ascii="宋体" w:hAnsi="宋体"/>
          <w:bCs/>
          <w:sz w:val="24"/>
          <w:szCs w:val="24"/>
        </w:rPr>
      </w:pPr>
      <w:r>
        <w:rPr>
          <w:rFonts w:hint="eastAsia" w:ascii="宋体" w:hAnsi="宋体"/>
          <w:bCs/>
          <w:sz w:val="24"/>
          <w:szCs w:val="24"/>
        </w:rPr>
        <w:t>（1）“腐败行为”是指提供给予接受或索取任何有价值的东西来影响采购代理机构和/或采购人在采购过程或合同实施过程中的行为；</w:t>
      </w:r>
    </w:p>
    <w:p w14:paraId="163C83B2">
      <w:pPr>
        <w:spacing w:line="360" w:lineRule="auto"/>
        <w:contextualSpacing/>
        <w:rPr>
          <w:rFonts w:hint="eastAsia" w:ascii="宋体" w:hAnsi="宋体"/>
          <w:bCs/>
          <w:sz w:val="24"/>
          <w:szCs w:val="24"/>
        </w:rPr>
      </w:pPr>
      <w:r>
        <w:rPr>
          <w:rFonts w:hint="eastAsia" w:ascii="宋体" w:hAnsi="宋体"/>
          <w:bCs/>
          <w:sz w:val="24"/>
          <w:szCs w:val="24"/>
        </w:rPr>
        <w:t>（2）“欺诈行为”是指为了影响采购过程或合同实施过程而谎报事实，损害采购代理机构和/或采购人的利益，包括投标人之间串通投标（递交投标</w:t>
      </w:r>
      <w:r>
        <w:rPr>
          <w:rFonts w:ascii="宋体" w:hAnsi="宋体"/>
          <w:bCs/>
          <w:sz w:val="24"/>
          <w:szCs w:val="24"/>
        </w:rPr>
        <w:t>文件</w:t>
      </w:r>
      <w:r>
        <w:rPr>
          <w:rFonts w:hint="eastAsia" w:ascii="宋体" w:hAnsi="宋体"/>
          <w:bCs/>
          <w:sz w:val="24"/>
          <w:szCs w:val="24"/>
        </w:rPr>
        <w:t>之前和之后），人为地使投标丧失竞争性，剥夺采购人从自由公开竞争所能获得的权益。</w:t>
      </w:r>
    </w:p>
    <w:p w14:paraId="2A950275">
      <w:pPr>
        <w:spacing w:line="360" w:lineRule="auto"/>
        <w:rPr>
          <w:rFonts w:hint="eastAsia" w:ascii="宋体" w:hAnsi="宋体"/>
          <w:bCs/>
          <w:sz w:val="24"/>
          <w:szCs w:val="24"/>
        </w:rPr>
      </w:pPr>
      <w:r>
        <w:rPr>
          <w:rFonts w:hint="eastAsia" w:ascii="宋体" w:hAnsi="宋体"/>
          <w:bCs/>
          <w:sz w:val="24"/>
          <w:szCs w:val="24"/>
        </w:rPr>
        <w:t>35.2 如果采购代理机构和采购人认为投标人在本项目的竞争中有腐败或欺诈行为，其投标将按无效投标处理。</w:t>
      </w:r>
      <w:bookmarkStart w:id="62" w:name="_Toc161643974"/>
    </w:p>
    <w:p w14:paraId="318BFE39">
      <w:pPr>
        <w:autoSpaceDE w:val="0"/>
        <w:autoSpaceDN w:val="0"/>
        <w:adjustRightInd w:val="0"/>
        <w:spacing w:line="360" w:lineRule="auto"/>
        <w:jc w:val="left"/>
        <w:rPr>
          <w:rFonts w:hint="eastAsia" w:ascii="宋体" w:hAnsi="宋体" w:cs="SSJ-PK74820000023-Identity-H"/>
          <w:b/>
          <w:bCs/>
          <w:kern w:val="0"/>
          <w:sz w:val="24"/>
          <w:szCs w:val="24"/>
        </w:rPr>
      </w:pPr>
      <w:r>
        <w:rPr>
          <w:rFonts w:hint="eastAsia" w:ascii="宋体" w:hAnsi="宋体" w:cs="SSJ-PK74820000023-Identity-H"/>
          <w:b/>
          <w:bCs/>
          <w:kern w:val="0"/>
          <w:sz w:val="24"/>
          <w:szCs w:val="24"/>
        </w:rPr>
        <w:t>36.未尽事宜</w:t>
      </w:r>
    </w:p>
    <w:p w14:paraId="62A4A1A1">
      <w:pPr>
        <w:autoSpaceDE w:val="0"/>
        <w:autoSpaceDN w:val="0"/>
        <w:adjustRightInd w:val="0"/>
        <w:spacing w:line="360" w:lineRule="auto"/>
        <w:jc w:val="left"/>
        <w:rPr>
          <w:rFonts w:hint="eastAsia" w:ascii="宋体" w:hAnsi="宋体" w:cs="SSJ-PK74820000023-Identity-H"/>
          <w:kern w:val="0"/>
          <w:sz w:val="24"/>
          <w:szCs w:val="24"/>
        </w:rPr>
      </w:pPr>
      <w:r>
        <w:rPr>
          <w:rFonts w:hint="eastAsia" w:ascii="宋体" w:hAnsi="宋体" w:cs="SSJ-PK74820000023-Identity-H"/>
          <w:kern w:val="0"/>
          <w:sz w:val="24"/>
          <w:szCs w:val="24"/>
        </w:rPr>
        <w:t>36.1　其他未尽事宜按政府采购法律法规的规定执行。</w:t>
      </w:r>
    </w:p>
    <w:p w14:paraId="60D97DEB">
      <w:pPr>
        <w:autoSpaceDE w:val="0"/>
        <w:autoSpaceDN w:val="0"/>
        <w:adjustRightInd w:val="0"/>
        <w:spacing w:line="360" w:lineRule="auto"/>
        <w:jc w:val="left"/>
        <w:rPr>
          <w:rFonts w:hint="eastAsia" w:ascii="宋体" w:hAnsi="宋体" w:cs="SSJ-PK74820000023-Identity-H"/>
          <w:b/>
          <w:bCs/>
          <w:kern w:val="0"/>
          <w:sz w:val="24"/>
          <w:szCs w:val="24"/>
        </w:rPr>
      </w:pPr>
      <w:r>
        <w:rPr>
          <w:rFonts w:ascii="宋体" w:hAnsi="宋体" w:cs="SSJ-PK74820000023-Identity-H"/>
          <w:b/>
          <w:bCs/>
          <w:kern w:val="0"/>
          <w:sz w:val="24"/>
          <w:szCs w:val="24"/>
        </w:rPr>
        <w:t>3</w:t>
      </w:r>
      <w:r>
        <w:rPr>
          <w:rFonts w:hint="eastAsia" w:ascii="宋体" w:hAnsi="宋体" w:cs="SSJ-PK74820000023-Identity-H"/>
          <w:b/>
          <w:bCs/>
          <w:kern w:val="0"/>
          <w:sz w:val="24"/>
          <w:szCs w:val="24"/>
        </w:rPr>
        <w:t>7.文件解释权</w:t>
      </w:r>
    </w:p>
    <w:p w14:paraId="12C097CF">
      <w:pPr>
        <w:spacing w:line="360" w:lineRule="auto"/>
        <w:rPr>
          <w:rFonts w:hint="eastAsia" w:ascii="宋体" w:hAnsi="宋体"/>
          <w:sz w:val="24"/>
          <w:szCs w:val="24"/>
        </w:rPr>
      </w:pPr>
      <w:r>
        <w:rPr>
          <w:rFonts w:ascii="宋体" w:hAnsi="宋体" w:cs="SSJ-PK74820000023-Identity-H"/>
          <w:sz w:val="24"/>
          <w:szCs w:val="24"/>
        </w:rPr>
        <w:t>3</w:t>
      </w:r>
      <w:r>
        <w:rPr>
          <w:rFonts w:hint="eastAsia" w:ascii="宋体" w:hAnsi="宋体" w:cs="SSJ-PK74820000023-Identity-H"/>
          <w:sz w:val="24"/>
          <w:szCs w:val="24"/>
        </w:rPr>
        <w:t>7</w:t>
      </w:r>
      <w:r>
        <w:rPr>
          <w:rFonts w:ascii="宋体" w:hAnsi="宋体" w:cs="SSJ-PK74820000023-Identity-H"/>
          <w:sz w:val="24"/>
          <w:szCs w:val="24"/>
        </w:rPr>
        <w:t>.1</w:t>
      </w:r>
      <w:r>
        <w:rPr>
          <w:rFonts w:hint="eastAsia" w:ascii="宋体" w:hAnsi="宋体" w:cs="SSJ-PK74820000023-Identity-H"/>
          <w:sz w:val="24"/>
          <w:szCs w:val="24"/>
        </w:rPr>
        <w:t>　本招标文件的解释权归采购人（或采购代理机构）所有。</w:t>
      </w:r>
    </w:p>
    <w:p w14:paraId="018CA836">
      <w:pPr>
        <w:spacing w:line="360" w:lineRule="auto"/>
        <w:rPr>
          <w:rFonts w:hint="eastAsia" w:ascii="宋体" w:hAnsi="宋体"/>
          <w:sz w:val="24"/>
          <w:szCs w:val="24"/>
        </w:rPr>
      </w:pPr>
    </w:p>
    <w:p w14:paraId="0C1DC216">
      <w:pPr>
        <w:spacing w:line="360" w:lineRule="auto"/>
        <w:rPr>
          <w:rFonts w:hint="eastAsia" w:ascii="宋体" w:hAnsi="宋体"/>
          <w:sz w:val="24"/>
          <w:szCs w:val="24"/>
        </w:rPr>
      </w:pPr>
    </w:p>
    <w:p w14:paraId="6CAB8EBF">
      <w:pPr>
        <w:spacing w:line="360" w:lineRule="auto"/>
        <w:rPr>
          <w:rFonts w:hint="eastAsia" w:ascii="宋体" w:hAnsi="宋体"/>
          <w:sz w:val="24"/>
          <w:szCs w:val="24"/>
        </w:rPr>
      </w:pPr>
    </w:p>
    <w:p w14:paraId="0C90290B">
      <w:pPr>
        <w:spacing w:line="360" w:lineRule="auto"/>
        <w:rPr>
          <w:rFonts w:hint="eastAsia" w:ascii="宋体" w:hAnsi="宋体"/>
          <w:sz w:val="24"/>
          <w:szCs w:val="24"/>
        </w:rPr>
      </w:pPr>
    </w:p>
    <w:p w14:paraId="1183393B">
      <w:pPr>
        <w:rPr>
          <w:rFonts w:hint="eastAsia" w:ascii="宋体" w:hAnsi="宋体"/>
        </w:rPr>
      </w:pPr>
    </w:p>
    <w:p w14:paraId="723742AE">
      <w:pPr>
        <w:rPr>
          <w:rFonts w:hint="eastAsia" w:ascii="宋体" w:hAnsi="宋体"/>
        </w:rPr>
      </w:pPr>
    </w:p>
    <w:p w14:paraId="4D05FA88">
      <w:pPr>
        <w:rPr>
          <w:rFonts w:hint="eastAsia" w:ascii="宋体" w:hAnsi="宋体"/>
        </w:rPr>
      </w:pPr>
    </w:p>
    <w:p w14:paraId="79690DD7">
      <w:pPr>
        <w:rPr>
          <w:rFonts w:hint="eastAsia" w:ascii="宋体" w:hAnsi="宋体"/>
        </w:rPr>
      </w:pPr>
    </w:p>
    <w:p w14:paraId="4E44FA86">
      <w:pPr>
        <w:rPr>
          <w:rFonts w:hint="eastAsia" w:ascii="宋体" w:hAnsi="宋体"/>
        </w:rPr>
      </w:pPr>
    </w:p>
    <w:p w14:paraId="474BC59D">
      <w:pPr>
        <w:rPr>
          <w:rFonts w:hint="eastAsia" w:ascii="宋体" w:hAnsi="宋体"/>
        </w:rPr>
      </w:pPr>
    </w:p>
    <w:p w14:paraId="40E8F732">
      <w:pPr>
        <w:rPr>
          <w:rFonts w:hint="eastAsia" w:ascii="宋体" w:hAnsi="宋体"/>
        </w:rPr>
      </w:pPr>
    </w:p>
    <w:p w14:paraId="446006DD">
      <w:pPr>
        <w:rPr>
          <w:rFonts w:hint="eastAsia" w:ascii="宋体" w:hAnsi="宋体"/>
        </w:rPr>
      </w:pPr>
    </w:p>
    <w:p w14:paraId="32F433FD">
      <w:pPr>
        <w:rPr>
          <w:rFonts w:hint="eastAsia" w:ascii="宋体" w:hAnsi="宋体"/>
        </w:rPr>
      </w:pPr>
    </w:p>
    <w:p w14:paraId="5D7B335F">
      <w:pPr>
        <w:rPr>
          <w:rFonts w:hint="eastAsia" w:ascii="宋体" w:hAnsi="宋体"/>
        </w:rPr>
      </w:pPr>
    </w:p>
    <w:p w14:paraId="5A6EA1C5">
      <w:pPr>
        <w:rPr>
          <w:rFonts w:hint="eastAsia" w:ascii="宋体" w:hAnsi="宋体"/>
        </w:rPr>
      </w:pPr>
    </w:p>
    <w:p w14:paraId="6140EFBC">
      <w:pPr>
        <w:rPr>
          <w:rFonts w:hint="eastAsia" w:ascii="宋体" w:hAnsi="宋体"/>
        </w:rPr>
      </w:pPr>
    </w:p>
    <w:p w14:paraId="1339F217">
      <w:pPr>
        <w:rPr>
          <w:rFonts w:hint="eastAsia" w:ascii="宋体" w:hAnsi="宋体"/>
        </w:rPr>
      </w:pPr>
      <w:r>
        <w:rPr>
          <w:rFonts w:ascii="宋体" w:hAnsi="宋体"/>
        </w:rPr>
        <w:br w:type="page"/>
      </w:r>
    </w:p>
    <w:p w14:paraId="31091A53">
      <w:pPr>
        <w:pStyle w:val="44"/>
        <w:ind w:firstLine="480"/>
      </w:pPr>
    </w:p>
    <w:p w14:paraId="45439DF2">
      <w:pPr>
        <w:rPr>
          <w:rFonts w:hint="eastAsia" w:ascii="宋体" w:hAnsi="宋体"/>
        </w:rPr>
      </w:pPr>
    </w:p>
    <w:p w14:paraId="4E0F24CE">
      <w:pPr>
        <w:rPr>
          <w:rFonts w:hint="eastAsia" w:ascii="宋体" w:hAnsi="宋体"/>
        </w:rPr>
      </w:pPr>
    </w:p>
    <w:p w14:paraId="3603CF26">
      <w:pPr>
        <w:rPr>
          <w:rFonts w:hint="eastAsia" w:ascii="宋体" w:hAnsi="宋体"/>
        </w:rPr>
      </w:pPr>
    </w:p>
    <w:p w14:paraId="4B2EB640">
      <w:pPr>
        <w:rPr>
          <w:rFonts w:hint="eastAsia" w:ascii="宋体" w:hAnsi="宋体"/>
        </w:rPr>
      </w:pPr>
    </w:p>
    <w:p w14:paraId="5A12A019">
      <w:pPr>
        <w:rPr>
          <w:rFonts w:hint="eastAsia" w:ascii="宋体" w:hAnsi="宋体"/>
        </w:rPr>
      </w:pPr>
    </w:p>
    <w:p w14:paraId="1794B9AC">
      <w:pPr>
        <w:rPr>
          <w:rFonts w:hint="eastAsia" w:ascii="宋体" w:hAnsi="宋体"/>
        </w:rPr>
      </w:pPr>
    </w:p>
    <w:p w14:paraId="3FA3C61D">
      <w:pPr>
        <w:spacing w:line="480" w:lineRule="auto"/>
        <w:jc w:val="center"/>
        <w:outlineLvl w:val="0"/>
        <w:rPr>
          <w:rFonts w:hint="eastAsia" w:ascii="宋体" w:hAnsi="宋体"/>
          <w:b/>
          <w:spacing w:val="100"/>
          <w:sz w:val="40"/>
          <w:szCs w:val="40"/>
        </w:rPr>
      </w:pPr>
      <w:bookmarkStart w:id="63" w:name="_Toc176023823"/>
      <w:r>
        <w:rPr>
          <w:rFonts w:ascii="宋体" w:hAnsi="宋体"/>
          <w:b/>
          <w:spacing w:val="100"/>
          <w:sz w:val="40"/>
          <w:szCs w:val="40"/>
        </w:rPr>
        <w:t>第</w:t>
      </w:r>
      <w:r>
        <w:rPr>
          <w:rFonts w:hint="eastAsia" w:ascii="宋体" w:hAnsi="宋体"/>
          <w:b/>
          <w:spacing w:val="100"/>
          <w:sz w:val="40"/>
          <w:szCs w:val="40"/>
        </w:rPr>
        <w:t>三</w:t>
      </w:r>
      <w:r>
        <w:rPr>
          <w:rFonts w:ascii="宋体" w:hAnsi="宋体"/>
          <w:b/>
          <w:spacing w:val="100"/>
          <w:sz w:val="40"/>
          <w:szCs w:val="40"/>
        </w:rPr>
        <w:t>章 技术总体要求</w:t>
      </w:r>
      <w:bookmarkEnd w:id="62"/>
      <w:bookmarkEnd w:id="63"/>
    </w:p>
    <w:p w14:paraId="08F41D15">
      <w:pPr>
        <w:rPr>
          <w:rFonts w:hint="eastAsia" w:ascii="宋体" w:hAnsi="宋体"/>
        </w:rPr>
      </w:pPr>
    </w:p>
    <w:p w14:paraId="180C5A3D">
      <w:pPr>
        <w:rPr>
          <w:rFonts w:hint="eastAsia" w:ascii="宋体" w:hAnsi="宋体"/>
        </w:rPr>
      </w:pPr>
    </w:p>
    <w:p w14:paraId="2CEEA510">
      <w:pPr>
        <w:rPr>
          <w:rFonts w:hint="eastAsia" w:ascii="宋体" w:hAnsi="宋体"/>
        </w:rPr>
      </w:pPr>
    </w:p>
    <w:p w14:paraId="5A3F148D">
      <w:pPr>
        <w:rPr>
          <w:rFonts w:hint="eastAsia" w:ascii="宋体" w:hAnsi="宋体"/>
        </w:rPr>
      </w:pPr>
    </w:p>
    <w:p w14:paraId="410458D6">
      <w:pPr>
        <w:spacing w:line="360" w:lineRule="auto"/>
        <w:contextualSpacing/>
        <w:jc w:val="center"/>
        <w:rPr>
          <w:rFonts w:hint="eastAsia" w:ascii="宋体" w:hAnsi="宋体"/>
          <w:b/>
          <w:sz w:val="30"/>
          <w:szCs w:val="30"/>
        </w:rPr>
      </w:pPr>
      <w:r>
        <w:rPr>
          <w:rFonts w:ascii="宋体" w:hAnsi="宋体"/>
          <w:sz w:val="30"/>
          <w:szCs w:val="30"/>
        </w:rPr>
        <w:br w:type="page"/>
      </w:r>
      <w:bookmarkStart w:id="64" w:name="_Toc161643979"/>
      <w:bookmarkStart w:id="65" w:name="_Hlk54683407"/>
      <w:bookmarkStart w:id="66" w:name="_Hlk194862596"/>
      <w:bookmarkStart w:id="67" w:name="_Toc413253826"/>
      <w:r>
        <w:rPr>
          <w:rFonts w:ascii="宋体" w:hAnsi="宋体"/>
          <w:b/>
          <w:sz w:val="30"/>
          <w:szCs w:val="30"/>
        </w:rPr>
        <w:t>一</w:t>
      </w:r>
      <w:r>
        <w:rPr>
          <w:rFonts w:hint="eastAsia" w:ascii="宋体" w:hAnsi="宋体"/>
          <w:b/>
          <w:sz w:val="30"/>
          <w:szCs w:val="30"/>
        </w:rPr>
        <w:t xml:space="preserve"> 、货物需求一览表</w:t>
      </w:r>
    </w:p>
    <w:tbl>
      <w:tblPr>
        <w:tblStyle w:val="36"/>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3440"/>
        <w:gridCol w:w="1080"/>
        <w:gridCol w:w="1705"/>
        <w:gridCol w:w="1524"/>
      </w:tblGrid>
      <w:tr w14:paraId="5FAC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8" w:type="dxa"/>
            <w:noWrap/>
            <w:vAlign w:val="center"/>
          </w:tcPr>
          <w:p w14:paraId="5ED0EDFF">
            <w:pPr>
              <w:widowControl/>
              <w:snapToGrid w:val="0"/>
              <w:jc w:val="center"/>
              <w:rPr>
                <w:rFonts w:hint="eastAsia" w:ascii="宋体" w:hAnsi="宋体" w:cs="宋体"/>
                <w:b/>
                <w:kern w:val="0"/>
                <w:sz w:val="24"/>
                <w:szCs w:val="24"/>
              </w:rPr>
            </w:pPr>
            <w:r>
              <w:rPr>
                <w:rFonts w:hint="eastAsia" w:ascii="宋体" w:hAnsi="宋体" w:cs="宋体"/>
                <w:b/>
                <w:kern w:val="0"/>
                <w:sz w:val="24"/>
                <w:szCs w:val="24"/>
              </w:rPr>
              <w:t>品目号</w:t>
            </w:r>
          </w:p>
        </w:tc>
        <w:tc>
          <w:tcPr>
            <w:tcW w:w="3440" w:type="dxa"/>
            <w:noWrap/>
            <w:vAlign w:val="center"/>
          </w:tcPr>
          <w:p w14:paraId="10472AD4">
            <w:pPr>
              <w:widowControl/>
              <w:snapToGrid w:val="0"/>
              <w:jc w:val="center"/>
              <w:rPr>
                <w:rFonts w:hint="eastAsia" w:ascii="宋体" w:hAnsi="宋体" w:cs="宋体"/>
                <w:b/>
                <w:kern w:val="0"/>
                <w:sz w:val="24"/>
                <w:szCs w:val="24"/>
              </w:rPr>
            </w:pPr>
            <w:r>
              <w:rPr>
                <w:rFonts w:hint="eastAsia" w:ascii="宋体" w:hAnsi="宋体" w:cs="宋体"/>
                <w:b/>
                <w:kern w:val="0"/>
                <w:sz w:val="24"/>
                <w:szCs w:val="24"/>
              </w:rPr>
              <w:t>产品名称</w:t>
            </w:r>
          </w:p>
        </w:tc>
        <w:tc>
          <w:tcPr>
            <w:tcW w:w="1080" w:type="dxa"/>
            <w:noWrap/>
            <w:vAlign w:val="center"/>
          </w:tcPr>
          <w:p w14:paraId="1542BCAB">
            <w:pPr>
              <w:widowControl/>
              <w:snapToGrid w:val="0"/>
              <w:jc w:val="center"/>
              <w:rPr>
                <w:rFonts w:hint="eastAsia" w:ascii="宋体" w:hAnsi="宋体" w:cs="宋体"/>
                <w:b/>
                <w:kern w:val="0"/>
                <w:sz w:val="24"/>
                <w:szCs w:val="24"/>
              </w:rPr>
            </w:pPr>
            <w:r>
              <w:rPr>
                <w:rFonts w:hint="eastAsia" w:ascii="宋体" w:hAnsi="宋体" w:cs="宋体"/>
                <w:b/>
                <w:kern w:val="0"/>
                <w:sz w:val="24"/>
                <w:szCs w:val="24"/>
              </w:rPr>
              <w:t>数量</w:t>
            </w:r>
          </w:p>
        </w:tc>
        <w:tc>
          <w:tcPr>
            <w:tcW w:w="1705" w:type="dxa"/>
            <w:vAlign w:val="center"/>
          </w:tcPr>
          <w:p w14:paraId="3C4CA1B2">
            <w:pPr>
              <w:widowControl/>
              <w:snapToGrid w:val="0"/>
              <w:jc w:val="center"/>
              <w:rPr>
                <w:rFonts w:hint="eastAsia" w:ascii="宋体" w:hAnsi="宋体" w:cs="宋体"/>
                <w:b/>
                <w:kern w:val="0"/>
                <w:sz w:val="24"/>
                <w:szCs w:val="24"/>
              </w:rPr>
            </w:pPr>
            <w:r>
              <w:rPr>
                <w:rFonts w:hint="eastAsia" w:ascii="宋体" w:hAnsi="宋体" w:cs="宋体"/>
                <w:b/>
                <w:kern w:val="0"/>
                <w:sz w:val="24"/>
                <w:szCs w:val="24"/>
              </w:rPr>
              <w:t>交货时间</w:t>
            </w:r>
          </w:p>
        </w:tc>
        <w:tc>
          <w:tcPr>
            <w:tcW w:w="1524" w:type="dxa"/>
            <w:vAlign w:val="center"/>
          </w:tcPr>
          <w:p w14:paraId="62E3FEA2">
            <w:pPr>
              <w:widowControl/>
              <w:snapToGrid w:val="0"/>
              <w:jc w:val="center"/>
              <w:rPr>
                <w:rFonts w:hint="eastAsia" w:ascii="宋体" w:hAnsi="宋体" w:cs="宋体"/>
                <w:b/>
                <w:kern w:val="0"/>
                <w:sz w:val="24"/>
                <w:szCs w:val="24"/>
              </w:rPr>
            </w:pPr>
            <w:r>
              <w:rPr>
                <w:rFonts w:hint="eastAsia" w:ascii="宋体" w:hAnsi="宋体" w:cs="宋体"/>
                <w:b/>
                <w:kern w:val="0"/>
                <w:sz w:val="24"/>
                <w:szCs w:val="24"/>
              </w:rPr>
              <w:t>交货地点</w:t>
            </w:r>
          </w:p>
        </w:tc>
      </w:tr>
      <w:tr w14:paraId="33B2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noWrap/>
            <w:vAlign w:val="center"/>
          </w:tcPr>
          <w:p w14:paraId="73CFA743">
            <w:pPr>
              <w:widowControl/>
              <w:snapToGrid w:val="0"/>
              <w:jc w:val="center"/>
              <w:rPr>
                <w:rFonts w:hint="eastAsia" w:ascii="宋体" w:hAnsi="宋体" w:cs="宋体"/>
                <w:kern w:val="0"/>
                <w:sz w:val="24"/>
                <w:szCs w:val="24"/>
              </w:rPr>
            </w:pPr>
            <w:r>
              <w:rPr>
                <w:rFonts w:hint="eastAsia" w:ascii="宋体" w:hAnsi="宋体"/>
                <w:sz w:val="24"/>
                <w:szCs w:val="24"/>
              </w:rPr>
              <w:t>1</w:t>
            </w:r>
          </w:p>
        </w:tc>
        <w:tc>
          <w:tcPr>
            <w:tcW w:w="3440" w:type="dxa"/>
            <w:vAlign w:val="center"/>
          </w:tcPr>
          <w:p w14:paraId="0050B7F2">
            <w:pPr>
              <w:widowControl/>
              <w:jc w:val="center"/>
              <w:rPr>
                <w:rFonts w:hint="eastAsia" w:ascii="宋体" w:hAnsi="宋体" w:cs="宋体"/>
                <w:kern w:val="0"/>
                <w:sz w:val="24"/>
                <w:szCs w:val="24"/>
              </w:rPr>
            </w:pPr>
            <w:r>
              <w:rPr>
                <w:rFonts w:ascii="宋体" w:hAnsi="宋体" w:cs="宋体"/>
                <w:kern w:val="0"/>
                <w:sz w:val="24"/>
                <w:szCs w:val="24"/>
              </w:rPr>
              <w:t>纯水处理系统</w:t>
            </w:r>
          </w:p>
        </w:tc>
        <w:tc>
          <w:tcPr>
            <w:tcW w:w="1080" w:type="dxa"/>
            <w:vAlign w:val="center"/>
          </w:tcPr>
          <w:p w14:paraId="33AD631B">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705" w:type="dxa"/>
            <w:vMerge w:val="restart"/>
            <w:vAlign w:val="center"/>
          </w:tcPr>
          <w:p w14:paraId="1DBFD263">
            <w:pPr>
              <w:widowControl/>
              <w:snapToGrid w:val="0"/>
              <w:jc w:val="center"/>
              <w:rPr>
                <w:rFonts w:hint="eastAsia" w:ascii="宋体" w:hAnsi="宋体" w:cs="宋体"/>
                <w:kern w:val="0"/>
                <w:sz w:val="24"/>
                <w:szCs w:val="24"/>
              </w:rPr>
            </w:pPr>
            <w:r>
              <w:rPr>
                <w:rFonts w:hint="eastAsia" w:ascii="宋体" w:hAnsi="宋体"/>
                <w:sz w:val="24"/>
                <w:szCs w:val="24"/>
              </w:rPr>
              <w:t>自合同签订之日后，接到采购人书面供货通知起30日历日内交货，到货15日历日内安装调试完毕。</w:t>
            </w:r>
          </w:p>
        </w:tc>
        <w:tc>
          <w:tcPr>
            <w:tcW w:w="1524" w:type="dxa"/>
            <w:vMerge w:val="restart"/>
            <w:vAlign w:val="center"/>
          </w:tcPr>
          <w:p w14:paraId="62F6DE14">
            <w:pPr>
              <w:widowControl/>
              <w:snapToGrid w:val="0"/>
              <w:jc w:val="center"/>
              <w:rPr>
                <w:rFonts w:hint="eastAsia" w:ascii="宋体" w:hAnsi="宋体" w:cs="宋体"/>
                <w:kern w:val="0"/>
                <w:sz w:val="24"/>
                <w:szCs w:val="24"/>
              </w:rPr>
            </w:pPr>
            <w:r>
              <w:rPr>
                <w:rFonts w:hint="eastAsia" w:ascii="宋体" w:hAnsi="宋体"/>
                <w:sz w:val="24"/>
                <w:szCs w:val="24"/>
              </w:rPr>
              <w:t>采购人指定地点。</w:t>
            </w:r>
          </w:p>
        </w:tc>
      </w:tr>
      <w:tr w14:paraId="195A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6518BA12">
            <w:pPr>
              <w:widowControl/>
              <w:snapToGrid w:val="0"/>
              <w:jc w:val="center"/>
              <w:rPr>
                <w:rFonts w:hint="eastAsia" w:ascii="宋体" w:hAnsi="宋体" w:cs="宋体"/>
                <w:kern w:val="0"/>
                <w:sz w:val="24"/>
                <w:szCs w:val="24"/>
              </w:rPr>
            </w:pPr>
            <w:r>
              <w:rPr>
                <w:rFonts w:hint="eastAsia" w:ascii="宋体" w:hAnsi="宋体" w:cs="宋体"/>
                <w:kern w:val="0"/>
                <w:sz w:val="24"/>
                <w:szCs w:val="24"/>
              </w:rPr>
              <w:t>2</w:t>
            </w:r>
          </w:p>
        </w:tc>
        <w:tc>
          <w:tcPr>
            <w:tcW w:w="3440" w:type="dxa"/>
            <w:vAlign w:val="center"/>
          </w:tcPr>
          <w:p w14:paraId="00A7219B">
            <w:pPr>
              <w:widowControl/>
              <w:jc w:val="center"/>
              <w:rPr>
                <w:rFonts w:hint="eastAsia" w:ascii="宋体" w:hAnsi="宋体" w:cs="宋体"/>
                <w:kern w:val="0"/>
                <w:sz w:val="24"/>
                <w:szCs w:val="24"/>
              </w:rPr>
            </w:pPr>
            <w:r>
              <w:rPr>
                <w:rFonts w:hint="eastAsia" w:ascii="宋体" w:hAnsi="宋体" w:cs="宋体"/>
                <w:kern w:val="0"/>
                <w:sz w:val="24"/>
                <w:szCs w:val="24"/>
              </w:rPr>
              <w:t>全自动流式细</w:t>
            </w:r>
            <w:r>
              <w:rPr>
                <w:rFonts w:ascii="宋体" w:hAnsi="宋体" w:cs="宋体"/>
                <w:kern w:val="0"/>
                <w:sz w:val="24"/>
                <w:szCs w:val="24"/>
              </w:rPr>
              <w:t>胞仪</w:t>
            </w:r>
          </w:p>
        </w:tc>
        <w:tc>
          <w:tcPr>
            <w:tcW w:w="1080" w:type="dxa"/>
            <w:vAlign w:val="center"/>
          </w:tcPr>
          <w:p w14:paraId="26C0DB5A">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705" w:type="dxa"/>
            <w:vMerge w:val="continue"/>
            <w:vAlign w:val="center"/>
          </w:tcPr>
          <w:p w14:paraId="4FABCD55">
            <w:pPr>
              <w:widowControl/>
              <w:snapToGrid w:val="0"/>
              <w:jc w:val="center"/>
              <w:rPr>
                <w:rFonts w:hint="eastAsia" w:ascii="宋体" w:hAnsi="宋体" w:cs="宋体"/>
                <w:kern w:val="0"/>
                <w:sz w:val="24"/>
                <w:szCs w:val="24"/>
              </w:rPr>
            </w:pPr>
          </w:p>
        </w:tc>
        <w:tc>
          <w:tcPr>
            <w:tcW w:w="1524" w:type="dxa"/>
            <w:vMerge w:val="continue"/>
            <w:vAlign w:val="center"/>
          </w:tcPr>
          <w:p w14:paraId="0CF11FB8">
            <w:pPr>
              <w:widowControl/>
              <w:snapToGrid w:val="0"/>
              <w:jc w:val="center"/>
              <w:rPr>
                <w:rFonts w:hint="eastAsia" w:ascii="宋体" w:hAnsi="宋体" w:cs="宋体"/>
                <w:kern w:val="0"/>
                <w:sz w:val="24"/>
                <w:szCs w:val="24"/>
              </w:rPr>
            </w:pPr>
          </w:p>
        </w:tc>
      </w:tr>
      <w:tr w14:paraId="38AD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8" w:type="dxa"/>
            <w:vAlign w:val="center"/>
          </w:tcPr>
          <w:p w14:paraId="41B77BEF">
            <w:pPr>
              <w:widowControl/>
              <w:snapToGrid w:val="0"/>
              <w:jc w:val="center"/>
              <w:rPr>
                <w:rFonts w:hint="eastAsia" w:ascii="宋体" w:hAnsi="宋体" w:cs="宋体"/>
                <w:kern w:val="0"/>
                <w:sz w:val="24"/>
                <w:szCs w:val="24"/>
              </w:rPr>
            </w:pPr>
            <w:r>
              <w:rPr>
                <w:rFonts w:hint="eastAsia" w:ascii="宋体" w:hAnsi="宋体" w:cs="宋体"/>
                <w:kern w:val="0"/>
                <w:sz w:val="24"/>
                <w:szCs w:val="24"/>
              </w:rPr>
              <w:t>3</w:t>
            </w:r>
          </w:p>
        </w:tc>
        <w:tc>
          <w:tcPr>
            <w:tcW w:w="3440" w:type="dxa"/>
            <w:vAlign w:val="center"/>
          </w:tcPr>
          <w:p w14:paraId="371A626E">
            <w:pPr>
              <w:widowControl/>
              <w:jc w:val="center"/>
              <w:rPr>
                <w:rFonts w:hint="eastAsia" w:ascii="宋体" w:hAnsi="宋体" w:cs="宋体"/>
                <w:kern w:val="0"/>
                <w:sz w:val="24"/>
                <w:szCs w:val="24"/>
              </w:rPr>
            </w:pPr>
            <w:r>
              <w:rPr>
                <w:rFonts w:ascii="宋体" w:hAnsi="宋体" w:cs="宋体"/>
                <w:kern w:val="0"/>
                <w:sz w:val="24"/>
                <w:szCs w:val="24"/>
              </w:rPr>
              <w:t>酶标仪</w:t>
            </w:r>
          </w:p>
        </w:tc>
        <w:tc>
          <w:tcPr>
            <w:tcW w:w="1080" w:type="dxa"/>
            <w:vAlign w:val="center"/>
          </w:tcPr>
          <w:p w14:paraId="0A3EF14D">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705" w:type="dxa"/>
            <w:vMerge w:val="continue"/>
            <w:vAlign w:val="center"/>
          </w:tcPr>
          <w:p w14:paraId="2BBBDA8F">
            <w:pPr>
              <w:widowControl/>
              <w:snapToGrid w:val="0"/>
              <w:jc w:val="center"/>
              <w:rPr>
                <w:rFonts w:hint="eastAsia" w:ascii="宋体" w:hAnsi="宋体" w:cs="宋体"/>
                <w:kern w:val="0"/>
                <w:sz w:val="24"/>
                <w:szCs w:val="24"/>
              </w:rPr>
            </w:pPr>
          </w:p>
        </w:tc>
        <w:tc>
          <w:tcPr>
            <w:tcW w:w="1524" w:type="dxa"/>
            <w:vMerge w:val="continue"/>
            <w:vAlign w:val="center"/>
          </w:tcPr>
          <w:p w14:paraId="60BC73A4">
            <w:pPr>
              <w:widowControl/>
              <w:snapToGrid w:val="0"/>
              <w:jc w:val="center"/>
              <w:rPr>
                <w:rFonts w:hint="eastAsia" w:ascii="宋体" w:hAnsi="宋体" w:cs="宋体"/>
                <w:kern w:val="0"/>
                <w:sz w:val="24"/>
                <w:szCs w:val="24"/>
              </w:rPr>
            </w:pPr>
          </w:p>
        </w:tc>
      </w:tr>
      <w:tr w14:paraId="2D8E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6CE26370">
            <w:pPr>
              <w:widowControl/>
              <w:snapToGrid w:val="0"/>
              <w:jc w:val="center"/>
              <w:rPr>
                <w:rFonts w:hint="eastAsia" w:ascii="宋体" w:hAnsi="宋体" w:cs="宋体"/>
                <w:kern w:val="0"/>
                <w:sz w:val="24"/>
                <w:szCs w:val="24"/>
              </w:rPr>
            </w:pPr>
            <w:r>
              <w:rPr>
                <w:rFonts w:hint="eastAsia" w:ascii="宋体" w:hAnsi="宋体" w:cs="宋体"/>
                <w:kern w:val="0"/>
                <w:sz w:val="24"/>
                <w:szCs w:val="24"/>
              </w:rPr>
              <w:t>4</w:t>
            </w:r>
          </w:p>
        </w:tc>
        <w:tc>
          <w:tcPr>
            <w:tcW w:w="3440" w:type="dxa"/>
            <w:vAlign w:val="center"/>
          </w:tcPr>
          <w:p w14:paraId="440DBBEB">
            <w:pPr>
              <w:widowControl/>
              <w:jc w:val="center"/>
              <w:rPr>
                <w:rFonts w:hint="eastAsia" w:ascii="宋体" w:hAnsi="宋体" w:cs="宋体"/>
                <w:kern w:val="0"/>
                <w:sz w:val="24"/>
                <w:szCs w:val="24"/>
              </w:rPr>
            </w:pPr>
            <w:r>
              <w:rPr>
                <w:rFonts w:ascii="宋体" w:hAnsi="宋体" w:cs="宋体"/>
                <w:kern w:val="0"/>
                <w:sz w:val="24"/>
                <w:szCs w:val="24"/>
              </w:rPr>
              <w:t>全自动粪便分析仪</w:t>
            </w:r>
          </w:p>
        </w:tc>
        <w:tc>
          <w:tcPr>
            <w:tcW w:w="1080" w:type="dxa"/>
            <w:vAlign w:val="center"/>
          </w:tcPr>
          <w:p w14:paraId="5DEF0681">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705" w:type="dxa"/>
            <w:vMerge w:val="continue"/>
            <w:vAlign w:val="center"/>
          </w:tcPr>
          <w:p w14:paraId="35D95E6D">
            <w:pPr>
              <w:widowControl/>
              <w:snapToGrid w:val="0"/>
              <w:jc w:val="center"/>
              <w:rPr>
                <w:rFonts w:hint="eastAsia" w:ascii="宋体" w:hAnsi="宋体" w:cs="宋体"/>
                <w:kern w:val="0"/>
                <w:sz w:val="24"/>
                <w:szCs w:val="24"/>
              </w:rPr>
            </w:pPr>
          </w:p>
        </w:tc>
        <w:tc>
          <w:tcPr>
            <w:tcW w:w="1524" w:type="dxa"/>
            <w:vMerge w:val="continue"/>
            <w:vAlign w:val="center"/>
          </w:tcPr>
          <w:p w14:paraId="6F085416">
            <w:pPr>
              <w:widowControl/>
              <w:snapToGrid w:val="0"/>
              <w:jc w:val="center"/>
              <w:rPr>
                <w:rFonts w:hint="eastAsia" w:ascii="宋体" w:hAnsi="宋体" w:cs="宋体"/>
                <w:kern w:val="0"/>
                <w:sz w:val="24"/>
                <w:szCs w:val="24"/>
              </w:rPr>
            </w:pPr>
          </w:p>
        </w:tc>
      </w:tr>
      <w:tr w14:paraId="5729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580FDFC7">
            <w:pPr>
              <w:widowControl/>
              <w:snapToGrid w:val="0"/>
              <w:jc w:val="center"/>
              <w:rPr>
                <w:rFonts w:hint="eastAsia" w:ascii="宋体" w:hAnsi="宋体" w:cs="宋体"/>
                <w:kern w:val="0"/>
                <w:sz w:val="24"/>
                <w:szCs w:val="24"/>
              </w:rPr>
            </w:pPr>
            <w:r>
              <w:rPr>
                <w:rFonts w:hint="eastAsia" w:ascii="宋体" w:hAnsi="宋体" w:cs="宋体"/>
                <w:kern w:val="0"/>
                <w:sz w:val="24"/>
                <w:szCs w:val="24"/>
              </w:rPr>
              <w:t>5</w:t>
            </w:r>
          </w:p>
        </w:tc>
        <w:tc>
          <w:tcPr>
            <w:tcW w:w="3440" w:type="dxa"/>
            <w:vAlign w:val="center"/>
          </w:tcPr>
          <w:p w14:paraId="7408C323">
            <w:pPr>
              <w:widowControl/>
              <w:jc w:val="center"/>
              <w:rPr>
                <w:rFonts w:hint="eastAsia" w:ascii="宋体" w:hAnsi="宋体" w:cs="宋体"/>
                <w:kern w:val="0"/>
                <w:sz w:val="24"/>
                <w:szCs w:val="24"/>
              </w:rPr>
            </w:pPr>
            <w:r>
              <w:rPr>
                <w:rFonts w:ascii="宋体" w:hAnsi="宋体" w:cs="宋体"/>
                <w:kern w:val="0"/>
                <w:sz w:val="24"/>
                <w:szCs w:val="24"/>
              </w:rPr>
              <w:t>全自动化学发光免疫分析仪</w:t>
            </w:r>
          </w:p>
        </w:tc>
        <w:tc>
          <w:tcPr>
            <w:tcW w:w="1080" w:type="dxa"/>
            <w:vAlign w:val="center"/>
          </w:tcPr>
          <w:p w14:paraId="0F32FA7F">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705" w:type="dxa"/>
            <w:vMerge w:val="continue"/>
            <w:vAlign w:val="center"/>
          </w:tcPr>
          <w:p w14:paraId="31C09974">
            <w:pPr>
              <w:widowControl/>
              <w:snapToGrid w:val="0"/>
              <w:jc w:val="center"/>
              <w:rPr>
                <w:rFonts w:hint="eastAsia" w:ascii="宋体" w:hAnsi="宋体" w:cs="宋体"/>
                <w:kern w:val="0"/>
                <w:sz w:val="24"/>
                <w:szCs w:val="24"/>
              </w:rPr>
            </w:pPr>
          </w:p>
        </w:tc>
        <w:tc>
          <w:tcPr>
            <w:tcW w:w="1524" w:type="dxa"/>
            <w:vMerge w:val="continue"/>
            <w:vAlign w:val="center"/>
          </w:tcPr>
          <w:p w14:paraId="44CBBD46">
            <w:pPr>
              <w:widowControl/>
              <w:snapToGrid w:val="0"/>
              <w:jc w:val="center"/>
              <w:rPr>
                <w:rFonts w:hint="eastAsia" w:ascii="宋体" w:hAnsi="宋体" w:cs="宋体"/>
                <w:kern w:val="0"/>
                <w:sz w:val="24"/>
                <w:szCs w:val="24"/>
              </w:rPr>
            </w:pPr>
          </w:p>
        </w:tc>
      </w:tr>
      <w:tr w14:paraId="778B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5B1327B4">
            <w:pPr>
              <w:widowControl/>
              <w:snapToGrid w:val="0"/>
              <w:jc w:val="center"/>
              <w:rPr>
                <w:rFonts w:hint="eastAsia" w:ascii="宋体" w:hAnsi="宋体" w:cs="宋体"/>
                <w:kern w:val="0"/>
                <w:sz w:val="24"/>
                <w:szCs w:val="24"/>
              </w:rPr>
            </w:pPr>
            <w:r>
              <w:rPr>
                <w:rFonts w:hint="eastAsia" w:ascii="宋体" w:hAnsi="宋体" w:cs="宋体"/>
                <w:kern w:val="0"/>
                <w:sz w:val="24"/>
                <w:szCs w:val="24"/>
              </w:rPr>
              <w:t>6</w:t>
            </w:r>
          </w:p>
        </w:tc>
        <w:tc>
          <w:tcPr>
            <w:tcW w:w="3440" w:type="dxa"/>
            <w:vAlign w:val="center"/>
          </w:tcPr>
          <w:p w14:paraId="08E7032E">
            <w:pPr>
              <w:widowControl/>
              <w:jc w:val="center"/>
              <w:rPr>
                <w:rFonts w:hint="eastAsia" w:ascii="宋体" w:hAnsi="宋体" w:cs="宋体"/>
                <w:kern w:val="0"/>
                <w:sz w:val="24"/>
                <w:szCs w:val="24"/>
              </w:rPr>
            </w:pPr>
            <w:r>
              <w:rPr>
                <w:rFonts w:ascii="宋体" w:hAnsi="宋体" w:cs="宋体"/>
                <w:kern w:val="0"/>
                <w:sz w:val="24"/>
                <w:szCs w:val="24"/>
              </w:rPr>
              <w:t>全自动尿液分析流水线</w:t>
            </w:r>
          </w:p>
        </w:tc>
        <w:tc>
          <w:tcPr>
            <w:tcW w:w="1080" w:type="dxa"/>
            <w:vAlign w:val="center"/>
          </w:tcPr>
          <w:p w14:paraId="2171A692">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705" w:type="dxa"/>
            <w:vMerge w:val="continue"/>
            <w:vAlign w:val="center"/>
          </w:tcPr>
          <w:p w14:paraId="201004FC">
            <w:pPr>
              <w:widowControl/>
              <w:snapToGrid w:val="0"/>
              <w:jc w:val="center"/>
              <w:rPr>
                <w:rFonts w:hint="eastAsia" w:ascii="宋体" w:hAnsi="宋体" w:cs="宋体"/>
                <w:kern w:val="0"/>
                <w:sz w:val="24"/>
                <w:szCs w:val="24"/>
              </w:rPr>
            </w:pPr>
          </w:p>
        </w:tc>
        <w:tc>
          <w:tcPr>
            <w:tcW w:w="1524" w:type="dxa"/>
            <w:vMerge w:val="continue"/>
            <w:vAlign w:val="center"/>
          </w:tcPr>
          <w:p w14:paraId="219BF823">
            <w:pPr>
              <w:widowControl/>
              <w:snapToGrid w:val="0"/>
              <w:jc w:val="center"/>
              <w:rPr>
                <w:rFonts w:hint="eastAsia" w:ascii="宋体" w:hAnsi="宋体" w:cs="宋体"/>
                <w:kern w:val="0"/>
                <w:sz w:val="24"/>
                <w:szCs w:val="24"/>
              </w:rPr>
            </w:pPr>
          </w:p>
        </w:tc>
      </w:tr>
      <w:tr w14:paraId="01F8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2F5FE574">
            <w:pPr>
              <w:widowControl/>
              <w:snapToGrid w:val="0"/>
              <w:jc w:val="center"/>
              <w:rPr>
                <w:rFonts w:hint="eastAsia" w:ascii="宋体" w:hAnsi="宋体" w:cs="宋体"/>
                <w:kern w:val="0"/>
                <w:sz w:val="24"/>
                <w:szCs w:val="24"/>
              </w:rPr>
            </w:pPr>
            <w:r>
              <w:rPr>
                <w:rFonts w:hint="eastAsia" w:ascii="宋体" w:hAnsi="宋体" w:cs="宋体"/>
                <w:kern w:val="0"/>
                <w:sz w:val="24"/>
                <w:szCs w:val="24"/>
              </w:rPr>
              <w:t>7</w:t>
            </w:r>
          </w:p>
        </w:tc>
        <w:tc>
          <w:tcPr>
            <w:tcW w:w="3440" w:type="dxa"/>
            <w:vAlign w:val="center"/>
          </w:tcPr>
          <w:p w14:paraId="0CF25634">
            <w:pPr>
              <w:widowControl/>
              <w:jc w:val="center"/>
              <w:rPr>
                <w:rFonts w:hint="eastAsia" w:ascii="宋体" w:hAnsi="宋体" w:cs="宋体"/>
                <w:kern w:val="0"/>
                <w:sz w:val="24"/>
                <w:szCs w:val="24"/>
              </w:rPr>
            </w:pPr>
            <w:r>
              <w:rPr>
                <w:rFonts w:ascii="宋体" w:hAnsi="宋体" w:cs="宋体"/>
                <w:kern w:val="0"/>
                <w:sz w:val="24"/>
                <w:szCs w:val="24"/>
              </w:rPr>
              <w:t>全自动凝血分析流水线</w:t>
            </w:r>
          </w:p>
        </w:tc>
        <w:tc>
          <w:tcPr>
            <w:tcW w:w="1080" w:type="dxa"/>
            <w:vAlign w:val="center"/>
          </w:tcPr>
          <w:p w14:paraId="47E1D22C">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705" w:type="dxa"/>
            <w:vMerge w:val="continue"/>
            <w:vAlign w:val="center"/>
          </w:tcPr>
          <w:p w14:paraId="3D48AE30">
            <w:pPr>
              <w:widowControl/>
              <w:snapToGrid w:val="0"/>
              <w:jc w:val="center"/>
              <w:rPr>
                <w:rFonts w:hint="eastAsia" w:ascii="宋体" w:hAnsi="宋体" w:cs="宋体"/>
                <w:kern w:val="0"/>
                <w:sz w:val="24"/>
                <w:szCs w:val="24"/>
              </w:rPr>
            </w:pPr>
          </w:p>
        </w:tc>
        <w:tc>
          <w:tcPr>
            <w:tcW w:w="1524" w:type="dxa"/>
            <w:vMerge w:val="continue"/>
            <w:vAlign w:val="center"/>
          </w:tcPr>
          <w:p w14:paraId="284F36DD">
            <w:pPr>
              <w:widowControl/>
              <w:snapToGrid w:val="0"/>
              <w:jc w:val="center"/>
              <w:rPr>
                <w:rFonts w:hint="eastAsia" w:ascii="宋体" w:hAnsi="宋体" w:cs="宋体"/>
                <w:kern w:val="0"/>
                <w:sz w:val="24"/>
                <w:szCs w:val="24"/>
              </w:rPr>
            </w:pPr>
          </w:p>
        </w:tc>
      </w:tr>
      <w:tr w14:paraId="5316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35FDB9D2">
            <w:pPr>
              <w:widowControl/>
              <w:snapToGrid w:val="0"/>
              <w:jc w:val="center"/>
              <w:rPr>
                <w:rFonts w:hint="eastAsia" w:ascii="宋体" w:hAnsi="宋体" w:cs="宋体"/>
                <w:kern w:val="0"/>
                <w:sz w:val="24"/>
                <w:szCs w:val="24"/>
              </w:rPr>
            </w:pPr>
            <w:r>
              <w:rPr>
                <w:rFonts w:hint="eastAsia" w:ascii="宋体" w:hAnsi="宋体" w:cs="宋体"/>
                <w:kern w:val="0"/>
                <w:sz w:val="24"/>
                <w:szCs w:val="24"/>
              </w:rPr>
              <w:t>8</w:t>
            </w:r>
          </w:p>
        </w:tc>
        <w:tc>
          <w:tcPr>
            <w:tcW w:w="3440" w:type="dxa"/>
            <w:vAlign w:val="center"/>
          </w:tcPr>
          <w:p w14:paraId="61CE6DCE">
            <w:pPr>
              <w:widowControl/>
              <w:jc w:val="center"/>
              <w:rPr>
                <w:rFonts w:hint="eastAsia" w:ascii="宋体" w:hAnsi="宋体" w:cs="宋体"/>
                <w:kern w:val="0"/>
                <w:sz w:val="24"/>
                <w:szCs w:val="24"/>
              </w:rPr>
            </w:pPr>
            <w:r>
              <w:rPr>
                <w:rFonts w:ascii="宋体" w:hAnsi="宋体" w:cs="宋体"/>
                <w:kern w:val="0"/>
                <w:sz w:val="24"/>
                <w:szCs w:val="24"/>
              </w:rPr>
              <w:t>全自动生化分析仪</w:t>
            </w:r>
          </w:p>
        </w:tc>
        <w:tc>
          <w:tcPr>
            <w:tcW w:w="1080" w:type="dxa"/>
            <w:vAlign w:val="center"/>
          </w:tcPr>
          <w:p w14:paraId="47575160">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705" w:type="dxa"/>
            <w:vMerge w:val="continue"/>
            <w:vAlign w:val="center"/>
          </w:tcPr>
          <w:p w14:paraId="7BD9AC09">
            <w:pPr>
              <w:widowControl/>
              <w:snapToGrid w:val="0"/>
              <w:jc w:val="center"/>
              <w:rPr>
                <w:rFonts w:hint="eastAsia" w:ascii="宋体" w:hAnsi="宋体" w:cs="宋体"/>
                <w:kern w:val="0"/>
                <w:sz w:val="24"/>
                <w:szCs w:val="24"/>
              </w:rPr>
            </w:pPr>
          </w:p>
        </w:tc>
        <w:tc>
          <w:tcPr>
            <w:tcW w:w="1524" w:type="dxa"/>
            <w:vMerge w:val="continue"/>
            <w:vAlign w:val="center"/>
          </w:tcPr>
          <w:p w14:paraId="68A9BF24">
            <w:pPr>
              <w:widowControl/>
              <w:snapToGrid w:val="0"/>
              <w:jc w:val="center"/>
              <w:rPr>
                <w:rFonts w:hint="eastAsia" w:ascii="宋体" w:hAnsi="宋体" w:cs="宋体"/>
                <w:kern w:val="0"/>
                <w:sz w:val="24"/>
                <w:szCs w:val="24"/>
              </w:rPr>
            </w:pPr>
          </w:p>
        </w:tc>
      </w:tr>
      <w:tr w14:paraId="1117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2A1A1A55">
            <w:pPr>
              <w:widowControl/>
              <w:snapToGrid w:val="0"/>
              <w:jc w:val="center"/>
              <w:rPr>
                <w:rFonts w:hint="eastAsia" w:ascii="宋体" w:hAnsi="宋体" w:cs="宋体"/>
                <w:kern w:val="0"/>
                <w:sz w:val="24"/>
                <w:szCs w:val="24"/>
              </w:rPr>
            </w:pPr>
            <w:r>
              <w:rPr>
                <w:rFonts w:hint="eastAsia" w:ascii="宋体" w:hAnsi="宋体" w:cs="宋体"/>
                <w:kern w:val="0"/>
                <w:sz w:val="24"/>
                <w:szCs w:val="24"/>
              </w:rPr>
              <w:t>9</w:t>
            </w:r>
          </w:p>
        </w:tc>
        <w:tc>
          <w:tcPr>
            <w:tcW w:w="3440" w:type="dxa"/>
            <w:vAlign w:val="center"/>
          </w:tcPr>
          <w:p w14:paraId="4670FC6E">
            <w:pPr>
              <w:widowControl/>
              <w:jc w:val="center"/>
              <w:rPr>
                <w:rFonts w:hint="eastAsia" w:ascii="宋体" w:hAnsi="宋体" w:cs="宋体"/>
                <w:kern w:val="0"/>
                <w:sz w:val="24"/>
                <w:szCs w:val="24"/>
              </w:rPr>
            </w:pPr>
            <w:r>
              <w:rPr>
                <w:rFonts w:ascii="宋体" w:hAnsi="宋体" w:cs="宋体"/>
                <w:kern w:val="0"/>
                <w:sz w:val="24"/>
                <w:szCs w:val="24"/>
              </w:rPr>
              <w:t>全自动生化免疫流水线</w:t>
            </w:r>
          </w:p>
        </w:tc>
        <w:tc>
          <w:tcPr>
            <w:tcW w:w="1080" w:type="dxa"/>
            <w:vAlign w:val="center"/>
          </w:tcPr>
          <w:p w14:paraId="7790E1B9">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705" w:type="dxa"/>
            <w:vMerge w:val="continue"/>
            <w:vAlign w:val="center"/>
          </w:tcPr>
          <w:p w14:paraId="0C306747">
            <w:pPr>
              <w:widowControl/>
              <w:snapToGrid w:val="0"/>
              <w:jc w:val="center"/>
              <w:rPr>
                <w:rFonts w:hint="eastAsia" w:ascii="宋体" w:hAnsi="宋体" w:cs="宋体"/>
                <w:kern w:val="0"/>
                <w:sz w:val="24"/>
                <w:szCs w:val="24"/>
              </w:rPr>
            </w:pPr>
          </w:p>
        </w:tc>
        <w:tc>
          <w:tcPr>
            <w:tcW w:w="1524" w:type="dxa"/>
            <w:vMerge w:val="continue"/>
            <w:vAlign w:val="center"/>
          </w:tcPr>
          <w:p w14:paraId="37F6C604">
            <w:pPr>
              <w:widowControl/>
              <w:snapToGrid w:val="0"/>
              <w:jc w:val="center"/>
              <w:rPr>
                <w:rFonts w:hint="eastAsia" w:ascii="宋体" w:hAnsi="宋体" w:cs="宋体"/>
                <w:kern w:val="0"/>
                <w:sz w:val="24"/>
                <w:szCs w:val="24"/>
              </w:rPr>
            </w:pPr>
          </w:p>
        </w:tc>
      </w:tr>
      <w:tr w14:paraId="6FB1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483BB495">
            <w:pPr>
              <w:widowControl/>
              <w:snapToGrid w:val="0"/>
              <w:jc w:val="center"/>
              <w:rPr>
                <w:rFonts w:hint="eastAsia" w:ascii="宋体" w:hAnsi="宋体" w:cs="宋体"/>
                <w:kern w:val="0"/>
                <w:sz w:val="24"/>
                <w:szCs w:val="24"/>
              </w:rPr>
            </w:pPr>
            <w:r>
              <w:rPr>
                <w:rFonts w:hint="eastAsia" w:ascii="宋体" w:hAnsi="宋体" w:cs="宋体"/>
                <w:kern w:val="0"/>
                <w:sz w:val="24"/>
                <w:szCs w:val="24"/>
              </w:rPr>
              <w:t>10</w:t>
            </w:r>
          </w:p>
        </w:tc>
        <w:tc>
          <w:tcPr>
            <w:tcW w:w="3440" w:type="dxa"/>
            <w:vAlign w:val="center"/>
          </w:tcPr>
          <w:p w14:paraId="358B9916">
            <w:pPr>
              <w:widowControl/>
              <w:jc w:val="center"/>
              <w:rPr>
                <w:rFonts w:hint="eastAsia" w:ascii="宋体" w:hAnsi="宋体" w:cs="宋体"/>
                <w:kern w:val="0"/>
                <w:sz w:val="24"/>
                <w:szCs w:val="24"/>
              </w:rPr>
            </w:pPr>
            <w:r>
              <w:rPr>
                <w:rFonts w:ascii="宋体" w:hAnsi="宋体" w:cs="宋体"/>
                <w:kern w:val="0"/>
                <w:sz w:val="24"/>
                <w:szCs w:val="24"/>
              </w:rPr>
              <w:t>全自动血沉仪</w:t>
            </w:r>
          </w:p>
        </w:tc>
        <w:tc>
          <w:tcPr>
            <w:tcW w:w="1080" w:type="dxa"/>
            <w:vAlign w:val="center"/>
          </w:tcPr>
          <w:p w14:paraId="477CBC7B">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705" w:type="dxa"/>
            <w:vMerge w:val="continue"/>
            <w:vAlign w:val="center"/>
          </w:tcPr>
          <w:p w14:paraId="17578C35">
            <w:pPr>
              <w:widowControl/>
              <w:snapToGrid w:val="0"/>
              <w:jc w:val="center"/>
              <w:rPr>
                <w:rFonts w:hint="eastAsia" w:ascii="宋体" w:hAnsi="宋体" w:cs="宋体"/>
                <w:kern w:val="0"/>
                <w:sz w:val="24"/>
                <w:szCs w:val="24"/>
              </w:rPr>
            </w:pPr>
          </w:p>
        </w:tc>
        <w:tc>
          <w:tcPr>
            <w:tcW w:w="1524" w:type="dxa"/>
            <w:vMerge w:val="continue"/>
            <w:vAlign w:val="center"/>
          </w:tcPr>
          <w:p w14:paraId="14AA98B6">
            <w:pPr>
              <w:widowControl/>
              <w:snapToGrid w:val="0"/>
              <w:jc w:val="center"/>
              <w:rPr>
                <w:rFonts w:hint="eastAsia" w:ascii="宋体" w:hAnsi="宋体" w:cs="宋体"/>
                <w:kern w:val="0"/>
                <w:sz w:val="24"/>
                <w:szCs w:val="24"/>
              </w:rPr>
            </w:pPr>
          </w:p>
        </w:tc>
      </w:tr>
      <w:tr w14:paraId="45F2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7B470BB5">
            <w:pPr>
              <w:widowControl/>
              <w:snapToGrid w:val="0"/>
              <w:jc w:val="center"/>
              <w:rPr>
                <w:rFonts w:hint="eastAsia" w:ascii="宋体" w:hAnsi="宋体" w:cs="宋体"/>
                <w:kern w:val="0"/>
                <w:sz w:val="24"/>
                <w:szCs w:val="24"/>
              </w:rPr>
            </w:pPr>
            <w:r>
              <w:rPr>
                <w:rFonts w:hint="eastAsia" w:ascii="宋体" w:hAnsi="宋体" w:cs="宋体"/>
                <w:kern w:val="0"/>
                <w:sz w:val="24"/>
                <w:szCs w:val="24"/>
              </w:rPr>
              <w:t>11</w:t>
            </w:r>
          </w:p>
        </w:tc>
        <w:tc>
          <w:tcPr>
            <w:tcW w:w="3440" w:type="dxa"/>
            <w:vAlign w:val="center"/>
          </w:tcPr>
          <w:p w14:paraId="6F991836">
            <w:pPr>
              <w:widowControl/>
              <w:jc w:val="center"/>
              <w:rPr>
                <w:rFonts w:hint="eastAsia" w:ascii="宋体" w:hAnsi="宋体" w:cs="宋体"/>
                <w:kern w:val="0"/>
                <w:sz w:val="24"/>
                <w:szCs w:val="24"/>
              </w:rPr>
            </w:pPr>
            <w:r>
              <w:rPr>
                <w:rFonts w:hint="eastAsia" w:ascii="宋体" w:hAnsi="宋体" w:cs="宋体"/>
                <w:kern w:val="0"/>
                <w:sz w:val="24"/>
                <w:szCs w:val="24"/>
              </w:rPr>
              <w:t>全自动血液细胞分析流水线（配C反应蛋白模块）</w:t>
            </w:r>
          </w:p>
        </w:tc>
        <w:tc>
          <w:tcPr>
            <w:tcW w:w="1080" w:type="dxa"/>
            <w:vAlign w:val="center"/>
          </w:tcPr>
          <w:p w14:paraId="5F42BA63">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705" w:type="dxa"/>
            <w:vMerge w:val="continue"/>
            <w:vAlign w:val="center"/>
          </w:tcPr>
          <w:p w14:paraId="1DF56207">
            <w:pPr>
              <w:widowControl/>
              <w:snapToGrid w:val="0"/>
              <w:jc w:val="center"/>
              <w:rPr>
                <w:rFonts w:hint="eastAsia" w:ascii="宋体" w:hAnsi="宋体" w:cs="宋体"/>
                <w:kern w:val="0"/>
                <w:sz w:val="24"/>
                <w:szCs w:val="24"/>
              </w:rPr>
            </w:pPr>
          </w:p>
        </w:tc>
        <w:tc>
          <w:tcPr>
            <w:tcW w:w="1524" w:type="dxa"/>
            <w:vMerge w:val="continue"/>
            <w:vAlign w:val="center"/>
          </w:tcPr>
          <w:p w14:paraId="69BE55E5">
            <w:pPr>
              <w:widowControl/>
              <w:snapToGrid w:val="0"/>
              <w:jc w:val="center"/>
              <w:rPr>
                <w:rFonts w:hint="eastAsia" w:ascii="宋体" w:hAnsi="宋体" w:cs="宋体"/>
                <w:kern w:val="0"/>
                <w:sz w:val="24"/>
                <w:szCs w:val="24"/>
              </w:rPr>
            </w:pPr>
          </w:p>
        </w:tc>
      </w:tr>
      <w:tr w14:paraId="76C3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76592BCF">
            <w:pPr>
              <w:widowControl/>
              <w:snapToGrid w:val="0"/>
              <w:jc w:val="center"/>
              <w:rPr>
                <w:rFonts w:hint="eastAsia" w:ascii="宋体" w:hAnsi="宋体" w:cs="宋体"/>
                <w:kern w:val="0"/>
                <w:sz w:val="24"/>
                <w:szCs w:val="24"/>
              </w:rPr>
            </w:pPr>
            <w:r>
              <w:rPr>
                <w:rFonts w:hint="eastAsia" w:ascii="宋体" w:hAnsi="宋体" w:cs="宋体"/>
                <w:kern w:val="0"/>
                <w:sz w:val="24"/>
                <w:szCs w:val="24"/>
              </w:rPr>
              <w:t>12</w:t>
            </w:r>
          </w:p>
        </w:tc>
        <w:tc>
          <w:tcPr>
            <w:tcW w:w="3440" w:type="dxa"/>
            <w:vAlign w:val="center"/>
          </w:tcPr>
          <w:p w14:paraId="55F2AA8B">
            <w:pPr>
              <w:widowControl/>
              <w:jc w:val="center"/>
              <w:rPr>
                <w:rFonts w:hint="eastAsia" w:ascii="宋体" w:hAnsi="宋体" w:cs="宋体"/>
                <w:kern w:val="0"/>
                <w:sz w:val="24"/>
                <w:szCs w:val="24"/>
              </w:rPr>
            </w:pPr>
            <w:r>
              <w:rPr>
                <w:rFonts w:hint="eastAsia" w:ascii="宋体" w:hAnsi="宋体" w:cs="宋体"/>
                <w:kern w:val="0"/>
                <w:sz w:val="24"/>
                <w:szCs w:val="24"/>
              </w:rPr>
              <w:t>全自动血液细胞分析仪+CRP 一体机</w:t>
            </w:r>
          </w:p>
        </w:tc>
        <w:tc>
          <w:tcPr>
            <w:tcW w:w="1080" w:type="dxa"/>
            <w:vAlign w:val="center"/>
          </w:tcPr>
          <w:p w14:paraId="59858A8F">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705" w:type="dxa"/>
            <w:vMerge w:val="continue"/>
            <w:vAlign w:val="center"/>
          </w:tcPr>
          <w:p w14:paraId="732177A6">
            <w:pPr>
              <w:widowControl/>
              <w:snapToGrid w:val="0"/>
              <w:jc w:val="center"/>
              <w:rPr>
                <w:rFonts w:hint="eastAsia" w:ascii="宋体" w:hAnsi="宋体" w:cs="宋体"/>
                <w:kern w:val="0"/>
                <w:sz w:val="24"/>
                <w:szCs w:val="24"/>
              </w:rPr>
            </w:pPr>
          </w:p>
        </w:tc>
        <w:tc>
          <w:tcPr>
            <w:tcW w:w="1524" w:type="dxa"/>
            <w:vMerge w:val="continue"/>
            <w:vAlign w:val="center"/>
          </w:tcPr>
          <w:p w14:paraId="65F80421">
            <w:pPr>
              <w:widowControl/>
              <w:snapToGrid w:val="0"/>
              <w:jc w:val="center"/>
              <w:rPr>
                <w:rFonts w:hint="eastAsia" w:ascii="宋体" w:hAnsi="宋体" w:cs="宋体"/>
                <w:kern w:val="0"/>
                <w:sz w:val="24"/>
                <w:szCs w:val="24"/>
              </w:rPr>
            </w:pPr>
          </w:p>
        </w:tc>
      </w:tr>
      <w:tr w14:paraId="6803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3C20F1EE">
            <w:pPr>
              <w:widowControl/>
              <w:snapToGrid w:val="0"/>
              <w:jc w:val="center"/>
              <w:rPr>
                <w:rFonts w:hint="eastAsia" w:ascii="宋体" w:hAnsi="宋体" w:cs="宋体"/>
                <w:kern w:val="0"/>
                <w:sz w:val="24"/>
                <w:szCs w:val="24"/>
              </w:rPr>
            </w:pPr>
            <w:r>
              <w:rPr>
                <w:rFonts w:hint="eastAsia" w:ascii="宋体" w:hAnsi="宋体" w:cs="宋体"/>
                <w:kern w:val="0"/>
                <w:sz w:val="24"/>
                <w:szCs w:val="24"/>
              </w:rPr>
              <w:t>13</w:t>
            </w:r>
          </w:p>
        </w:tc>
        <w:tc>
          <w:tcPr>
            <w:tcW w:w="3440" w:type="dxa"/>
            <w:vAlign w:val="center"/>
          </w:tcPr>
          <w:p w14:paraId="56EDFFEA">
            <w:pPr>
              <w:widowControl/>
              <w:jc w:val="center"/>
              <w:rPr>
                <w:rFonts w:hint="eastAsia" w:ascii="宋体" w:hAnsi="宋体" w:cs="宋体"/>
                <w:kern w:val="0"/>
                <w:sz w:val="24"/>
                <w:szCs w:val="24"/>
              </w:rPr>
            </w:pPr>
            <w:r>
              <w:rPr>
                <w:rFonts w:ascii="宋体" w:hAnsi="宋体" w:cs="宋体"/>
                <w:kern w:val="0"/>
                <w:sz w:val="24"/>
                <w:szCs w:val="24"/>
              </w:rPr>
              <w:t>洗板机</w:t>
            </w:r>
          </w:p>
        </w:tc>
        <w:tc>
          <w:tcPr>
            <w:tcW w:w="1080" w:type="dxa"/>
            <w:vAlign w:val="center"/>
          </w:tcPr>
          <w:p w14:paraId="037FA6A7">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705" w:type="dxa"/>
            <w:vMerge w:val="continue"/>
            <w:vAlign w:val="center"/>
          </w:tcPr>
          <w:p w14:paraId="532904B2">
            <w:pPr>
              <w:widowControl/>
              <w:snapToGrid w:val="0"/>
              <w:jc w:val="center"/>
              <w:rPr>
                <w:rFonts w:hint="eastAsia" w:ascii="宋体" w:hAnsi="宋体" w:cs="宋体"/>
                <w:kern w:val="0"/>
                <w:sz w:val="24"/>
                <w:szCs w:val="24"/>
              </w:rPr>
            </w:pPr>
          </w:p>
        </w:tc>
        <w:tc>
          <w:tcPr>
            <w:tcW w:w="1524" w:type="dxa"/>
            <w:vMerge w:val="continue"/>
            <w:vAlign w:val="center"/>
          </w:tcPr>
          <w:p w14:paraId="67A60B0F">
            <w:pPr>
              <w:widowControl/>
              <w:snapToGrid w:val="0"/>
              <w:jc w:val="center"/>
              <w:rPr>
                <w:rFonts w:hint="eastAsia" w:ascii="宋体" w:hAnsi="宋体" w:cs="宋体"/>
                <w:kern w:val="0"/>
                <w:sz w:val="24"/>
                <w:szCs w:val="24"/>
              </w:rPr>
            </w:pPr>
          </w:p>
        </w:tc>
      </w:tr>
      <w:tr w14:paraId="48E3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5F1FE2FE">
            <w:pPr>
              <w:widowControl/>
              <w:snapToGrid w:val="0"/>
              <w:jc w:val="center"/>
              <w:rPr>
                <w:rFonts w:hint="eastAsia" w:ascii="宋体" w:hAnsi="宋体" w:cs="宋体"/>
                <w:kern w:val="0"/>
                <w:sz w:val="24"/>
                <w:szCs w:val="24"/>
              </w:rPr>
            </w:pPr>
            <w:r>
              <w:rPr>
                <w:rFonts w:hint="eastAsia" w:ascii="宋体" w:hAnsi="宋体" w:cs="宋体"/>
                <w:kern w:val="0"/>
                <w:sz w:val="24"/>
                <w:szCs w:val="24"/>
              </w:rPr>
              <w:t>14</w:t>
            </w:r>
          </w:p>
        </w:tc>
        <w:tc>
          <w:tcPr>
            <w:tcW w:w="3440" w:type="dxa"/>
            <w:vAlign w:val="center"/>
          </w:tcPr>
          <w:p w14:paraId="655424EE">
            <w:pPr>
              <w:widowControl/>
              <w:jc w:val="center"/>
              <w:rPr>
                <w:rFonts w:hint="eastAsia" w:ascii="宋体" w:hAnsi="宋体" w:cs="宋体"/>
                <w:kern w:val="0"/>
                <w:sz w:val="24"/>
                <w:szCs w:val="24"/>
              </w:rPr>
            </w:pPr>
            <w:r>
              <w:rPr>
                <w:rFonts w:hint="eastAsia" w:ascii="宋体" w:hAnsi="宋体" w:cs="宋体"/>
                <w:kern w:val="0"/>
                <w:sz w:val="24"/>
                <w:szCs w:val="24"/>
              </w:rPr>
              <w:t>血流变分析仪</w:t>
            </w:r>
          </w:p>
        </w:tc>
        <w:tc>
          <w:tcPr>
            <w:tcW w:w="1080" w:type="dxa"/>
            <w:vAlign w:val="center"/>
          </w:tcPr>
          <w:p w14:paraId="6819A58F">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705" w:type="dxa"/>
            <w:vMerge w:val="continue"/>
            <w:vAlign w:val="center"/>
          </w:tcPr>
          <w:p w14:paraId="3AF15CC1">
            <w:pPr>
              <w:widowControl/>
              <w:snapToGrid w:val="0"/>
              <w:jc w:val="center"/>
              <w:rPr>
                <w:rFonts w:hint="eastAsia" w:ascii="宋体" w:hAnsi="宋体" w:cs="宋体"/>
                <w:kern w:val="0"/>
                <w:sz w:val="24"/>
                <w:szCs w:val="24"/>
              </w:rPr>
            </w:pPr>
          </w:p>
        </w:tc>
        <w:tc>
          <w:tcPr>
            <w:tcW w:w="1524" w:type="dxa"/>
            <w:vMerge w:val="continue"/>
            <w:vAlign w:val="center"/>
          </w:tcPr>
          <w:p w14:paraId="588030FA">
            <w:pPr>
              <w:widowControl/>
              <w:snapToGrid w:val="0"/>
              <w:jc w:val="center"/>
              <w:rPr>
                <w:rFonts w:hint="eastAsia" w:ascii="宋体" w:hAnsi="宋体" w:cs="宋体"/>
                <w:kern w:val="0"/>
                <w:sz w:val="24"/>
                <w:szCs w:val="24"/>
              </w:rPr>
            </w:pPr>
          </w:p>
        </w:tc>
      </w:tr>
    </w:tbl>
    <w:p w14:paraId="66D588DF">
      <w:pPr>
        <w:spacing w:line="360" w:lineRule="auto"/>
        <w:contextualSpacing/>
        <w:jc w:val="center"/>
        <w:rPr>
          <w:rFonts w:hint="eastAsia" w:ascii="宋体" w:hAnsi="宋体"/>
          <w:b/>
          <w:sz w:val="30"/>
          <w:szCs w:val="30"/>
        </w:rPr>
      </w:pPr>
    </w:p>
    <w:p w14:paraId="28F0C2BB">
      <w:pPr>
        <w:spacing w:line="360" w:lineRule="auto"/>
        <w:contextualSpacing/>
        <w:jc w:val="center"/>
        <w:rPr>
          <w:rFonts w:hint="eastAsia" w:ascii="宋体" w:hAnsi="宋体"/>
          <w:b/>
          <w:sz w:val="30"/>
          <w:szCs w:val="30"/>
        </w:rPr>
      </w:pPr>
      <w:r>
        <w:rPr>
          <w:rFonts w:hint="eastAsia" w:ascii="宋体" w:hAnsi="宋体"/>
          <w:b/>
          <w:sz w:val="30"/>
          <w:szCs w:val="30"/>
        </w:rPr>
        <w:t>二、</w:t>
      </w:r>
      <w:r>
        <w:rPr>
          <w:rFonts w:ascii="宋体" w:hAnsi="宋体"/>
          <w:b/>
          <w:sz w:val="30"/>
          <w:szCs w:val="30"/>
        </w:rPr>
        <w:t xml:space="preserve"> </w:t>
      </w:r>
      <w:r>
        <w:rPr>
          <w:rFonts w:hint="eastAsia" w:ascii="宋体" w:hAnsi="宋体"/>
          <w:b/>
          <w:sz w:val="30"/>
          <w:szCs w:val="30"/>
        </w:rPr>
        <w:t>技术参数要求</w:t>
      </w:r>
    </w:p>
    <w:p w14:paraId="376B531B">
      <w:pPr>
        <w:tabs>
          <w:tab w:val="left" w:pos="0"/>
        </w:tabs>
        <w:spacing w:line="360" w:lineRule="auto"/>
        <w:rPr>
          <w:rFonts w:hint="eastAsia" w:ascii="宋体" w:hAnsi="宋体"/>
          <w:bCs/>
          <w:kern w:val="0"/>
          <w:sz w:val="24"/>
          <w:szCs w:val="24"/>
        </w:rPr>
      </w:pPr>
      <w:r>
        <w:rPr>
          <w:rFonts w:ascii="宋体" w:hAnsi="宋体"/>
          <w:bCs/>
          <w:kern w:val="0"/>
          <w:sz w:val="24"/>
          <w:szCs w:val="24"/>
        </w:rPr>
        <w:t>注：</w:t>
      </w:r>
    </w:p>
    <w:p w14:paraId="2B5FFE1D">
      <w:pPr>
        <w:tabs>
          <w:tab w:val="left" w:pos="0"/>
        </w:tabs>
        <w:spacing w:line="360" w:lineRule="auto"/>
        <w:contextualSpacing/>
        <w:rPr>
          <w:rFonts w:hint="eastAsia" w:ascii="宋体" w:hAnsi="宋体"/>
          <w:bCs/>
          <w:kern w:val="0"/>
          <w:sz w:val="24"/>
          <w:szCs w:val="24"/>
        </w:rPr>
      </w:pPr>
      <w:r>
        <w:rPr>
          <w:rFonts w:hint="eastAsia" w:ascii="宋体" w:hAnsi="宋体"/>
          <w:sz w:val="24"/>
          <w:szCs w:val="24"/>
        </w:rPr>
        <w:t>（1）</w:t>
      </w:r>
      <w:r>
        <w:rPr>
          <w:rFonts w:ascii="宋体" w:hAnsi="宋体"/>
          <w:bCs/>
          <w:kern w:val="0"/>
          <w:sz w:val="24"/>
          <w:szCs w:val="24"/>
        </w:rPr>
        <w:t>以下技术指标及要求中如出现</w:t>
      </w:r>
      <w:r>
        <w:rPr>
          <w:rFonts w:hint="eastAsia" w:ascii="宋体" w:hAnsi="宋体"/>
          <w:bCs/>
          <w:kern w:val="0"/>
          <w:sz w:val="24"/>
          <w:szCs w:val="24"/>
        </w:rPr>
        <w:t>或指向某个</w:t>
      </w:r>
      <w:r>
        <w:rPr>
          <w:rFonts w:ascii="宋体" w:hAnsi="宋体"/>
          <w:bCs/>
          <w:kern w:val="0"/>
          <w:sz w:val="24"/>
          <w:szCs w:val="24"/>
        </w:rPr>
        <w:t>设备品牌，仅作为参考该设备所需达到的具体技术要求，不作为该设备的品牌要求。</w:t>
      </w:r>
    </w:p>
    <w:p w14:paraId="1CA46711">
      <w:pPr>
        <w:spacing w:line="360" w:lineRule="auto"/>
        <w:rPr>
          <w:rFonts w:hint="eastAsia" w:ascii="宋体" w:hAnsi="宋体"/>
          <w:bCs/>
          <w:kern w:val="0"/>
          <w:sz w:val="24"/>
          <w:szCs w:val="24"/>
        </w:rPr>
      </w:pPr>
      <w:r>
        <w:rPr>
          <w:rFonts w:hint="eastAsia" w:ascii="宋体" w:hAnsi="宋体"/>
          <w:bCs/>
          <w:sz w:val="24"/>
          <w:szCs w:val="24"/>
        </w:rPr>
        <w:t>（2）</w:t>
      </w:r>
      <w:r>
        <w:rPr>
          <w:rFonts w:ascii="宋体" w:hAnsi="宋体"/>
          <w:bCs/>
          <w:kern w:val="0"/>
          <w:sz w:val="24"/>
          <w:szCs w:val="24"/>
        </w:rPr>
        <w:t>投标人所供设备的生产日期不早于到货期前6个月，</w:t>
      </w:r>
      <w:r>
        <w:rPr>
          <w:rFonts w:hint="eastAsia" w:ascii="宋体" w:hAnsi="宋体"/>
          <w:bCs/>
          <w:kern w:val="0"/>
          <w:sz w:val="24"/>
          <w:szCs w:val="24"/>
        </w:rPr>
        <w:t>并包含已经发布的全部技术功能。货物需求表中的设备适合中国新疆地区的温湿度、供电环境。生产厂家制造的电源插头必须符合中国国家3C认证标准。投标人提供的产品应为全新未使用产品，采购人有权拒绝已经停产或已淘汰机型的老旧产品。</w:t>
      </w:r>
    </w:p>
    <w:p w14:paraId="6A12CA6B">
      <w:pPr>
        <w:spacing w:line="360" w:lineRule="auto"/>
        <w:rPr>
          <w:rFonts w:hint="eastAsia" w:ascii="宋体" w:hAnsi="宋体"/>
          <w:bCs/>
          <w:kern w:val="0"/>
          <w:sz w:val="24"/>
          <w:szCs w:val="24"/>
        </w:rPr>
      </w:pPr>
      <w:r>
        <w:rPr>
          <w:rFonts w:hint="eastAsia" w:ascii="宋体" w:hAnsi="宋体"/>
          <w:bCs/>
          <w:kern w:val="0"/>
          <w:sz w:val="24"/>
          <w:szCs w:val="24"/>
        </w:rPr>
        <w:t>（3）项目背景：新疆国际医疗中心</w:t>
      </w:r>
      <w:r>
        <w:rPr>
          <w:rFonts w:hint="eastAsia" w:ascii="宋体" w:hAnsi="宋体"/>
          <w:sz w:val="24"/>
          <w:szCs w:val="24"/>
        </w:rPr>
        <w:t>（新疆国际医院、新疆医学科学院）</w:t>
      </w:r>
      <w:r>
        <w:rPr>
          <w:rFonts w:hint="eastAsia" w:ascii="宋体" w:hAnsi="宋体"/>
          <w:bCs/>
          <w:kern w:val="0"/>
          <w:sz w:val="24"/>
          <w:szCs w:val="24"/>
        </w:rPr>
        <w:t>（以下简称“新疆国际医院”）是一家大型国际化、智能化的新型三级综合性医院，是落实国家“一带一路”战略、推进丝绸之路经济带核心区建设的重点任务；是立足新疆、辐射中亚区域国家的医学高地；是新疆维吾尔自治区“五大中心”建设医疗服务中心的标志性、示范性工程。</w:t>
      </w:r>
    </w:p>
    <w:p w14:paraId="6DEC6381">
      <w:pPr>
        <w:spacing w:line="360" w:lineRule="auto"/>
        <w:rPr>
          <w:rFonts w:hint="eastAsia" w:ascii="宋体" w:hAnsi="宋体" w:cs="宋体"/>
          <w:b/>
          <w:kern w:val="0"/>
          <w:sz w:val="24"/>
          <w:szCs w:val="24"/>
        </w:rPr>
      </w:pPr>
      <w:r>
        <w:rPr>
          <w:rFonts w:hint="eastAsia" w:ascii="宋体" w:hAnsi="宋体"/>
          <w:b/>
          <w:kern w:val="0"/>
          <w:sz w:val="24"/>
          <w:szCs w:val="24"/>
        </w:rPr>
        <w:t>注：下述技术参数中“★”号条款为实质性响应条款，负偏离的将作无效投标处理，</w:t>
      </w:r>
      <w:r>
        <w:rPr>
          <w:rFonts w:hint="eastAsia" w:ascii="宋体" w:hAnsi="宋体" w:cs="宋体"/>
          <w:b/>
          <w:kern w:val="0"/>
          <w:sz w:val="24"/>
          <w:szCs w:val="24"/>
        </w:rPr>
        <w:t>“</w:t>
      </w:r>
      <w:bookmarkStart w:id="68" w:name="OLE_LINK22"/>
      <w:r>
        <w:rPr>
          <w:rFonts w:hint="eastAsia" w:ascii="宋体" w:hAnsi="宋体" w:cs="宋体"/>
          <w:b/>
          <w:kern w:val="0"/>
          <w:sz w:val="24"/>
          <w:szCs w:val="24"/>
        </w:rPr>
        <w:t>▲</w:t>
      </w:r>
      <w:bookmarkEnd w:id="68"/>
      <w:r>
        <w:rPr>
          <w:rFonts w:hint="eastAsia" w:ascii="宋体" w:hAnsi="宋体" w:cs="宋体"/>
          <w:b/>
          <w:kern w:val="0"/>
          <w:sz w:val="24"/>
          <w:szCs w:val="24"/>
        </w:rPr>
        <w:t>”号条款为重要评审因素，非实质性响应条款。</w:t>
      </w:r>
    </w:p>
    <w:p w14:paraId="20B236A3">
      <w:pPr>
        <w:topLinePunct/>
        <w:spacing w:line="360" w:lineRule="auto"/>
        <w:jc w:val="left"/>
        <w:rPr>
          <w:rFonts w:hint="eastAsia" w:ascii="宋体" w:hAnsi="宋体" w:cs="宋体"/>
          <w:kern w:val="0"/>
          <w:sz w:val="24"/>
          <w:szCs w:val="24"/>
        </w:rPr>
      </w:pPr>
    </w:p>
    <w:p w14:paraId="6FE6DEE8">
      <w:pPr>
        <w:spacing w:line="360" w:lineRule="auto"/>
        <w:outlineLvl w:val="2"/>
        <w:rPr>
          <w:rFonts w:hint="eastAsia" w:ascii="宋体" w:hAnsi="宋体" w:cs="宋体"/>
          <w:b/>
          <w:bCs/>
          <w:sz w:val="24"/>
          <w:szCs w:val="24"/>
        </w:rPr>
      </w:pPr>
      <w:r>
        <w:rPr>
          <w:rFonts w:hint="eastAsia" w:ascii="宋体" w:hAnsi="宋体" w:cs="宋体"/>
          <w:b/>
          <w:bCs/>
          <w:sz w:val="24"/>
          <w:szCs w:val="24"/>
        </w:rPr>
        <w:t>品目1：纯水处理系统</w:t>
      </w:r>
    </w:p>
    <w:p w14:paraId="0702665E">
      <w:pPr>
        <w:spacing w:line="360" w:lineRule="auto"/>
        <w:rPr>
          <w:rFonts w:hint="eastAsia" w:ascii="宋体" w:hAnsi="宋体" w:cs="宋体"/>
          <w:b/>
          <w:sz w:val="24"/>
          <w:szCs w:val="24"/>
        </w:rPr>
      </w:pPr>
      <w:r>
        <w:rPr>
          <w:rFonts w:hint="eastAsia" w:ascii="宋体" w:hAnsi="宋体" w:cs="宋体"/>
          <w:b/>
          <w:kern w:val="0"/>
          <w:sz w:val="24"/>
          <w:szCs w:val="24"/>
        </w:rPr>
        <w:t>★</w:t>
      </w:r>
      <w:r>
        <w:rPr>
          <w:rFonts w:hint="eastAsia" w:ascii="宋体" w:hAnsi="宋体" w:cs="宋体"/>
          <w:b/>
          <w:sz w:val="24"/>
          <w:szCs w:val="24"/>
        </w:rPr>
        <w:t>1、所供设备产水需完全满足医院检验科各类检测仪器、试剂配制、样本稀释、微生物检测等对水质的要求。</w:t>
      </w:r>
    </w:p>
    <w:p w14:paraId="021DCFD6">
      <w:pPr>
        <w:spacing w:line="360" w:lineRule="auto"/>
        <w:rPr>
          <w:rFonts w:hint="eastAsia" w:ascii="宋体" w:hAnsi="宋体" w:cs="宋体"/>
          <w:sz w:val="24"/>
          <w:szCs w:val="24"/>
        </w:rPr>
      </w:pPr>
      <w:r>
        <w:rPr>
          <w:rFonts w:hint="eastAsia" w:ascii="宋体" w:hAnsi="宋体" w:cs="宋体"/>
          <w:sz w:val="24"/>
          <w:szCs w:val="24"/>
        </w:rPr>
        <w:t>2、纯水（RO水）：</w:t>
      </w:r>
    </w:p>
    <w:p w14:paraId="4CBAF43F">
      <w:pPr>
        <w:spacing w:line="360" w:lineRule="auto"/>
        <w:rPr>
          <w:rFonts w:hint="eastAsia" w:ascii="宋体" w:hAnsi="宋体" w:cs="宋体"/>
          <w:sz w:val="24"/>
          <w:szCs w:val="24"/>
        </w:rPr>
      </w:pPr>
      <w:r>
        <w:rPr>
          <w:rFonts w:hint="eastAsia" w:ascii="宋体" w:hAnsi="宋体" w:cs="宋体"/>
          <w:sz w:val="24"/>
          <w:szCs w:val="24"/>
        </w:rPr>
        <w:t>2.1.进水水源：城市自来水，水温 5-40℃，水压 1-5 ㎏ TDS≤500ppm；</w:t>
      </w:r>
    </w:p>
    <w:p w14:paraId="3B38F4DF">
      <w:pPr>
        <w:spacing w:line="360" w:lineRule="auto"/>
        <w:rPr>
          <w:rFonts w:hint="eastAsia" w:ascii="宋体" w:hAnsi="宋体" w:cs="宋体"/>
          <w:sz w:val="24"/>
          <w:szCs w:val="24"/>
        </w:rPr>
      </w:pPr>
      <w:r>
        <w:rPr>
          <w:rFonts w:hint="eastAsia" w:ascii="宋体" w:hAnsi="宋体" w:cs="宋体"/>
          <w:sz w:val="24"/>
          <w:szCs w:val="24"/>
        </w:rPr>
        <w:t>2.2.出水水质，UP超纯水电导率≤0.05-1μs/cm@25℃；电阻率≥15-18.25MΩ.cm@25℃；超纯水达到中国国家分析实验室用水一级水标准；吸光度（254nm，1cm 光程）：≤0.001可溶性硅[以（SiO2）计]： mg/L＜0.01；</w:t>
      </w:r>
    </w:p>
    <w:p w14:paraId="1316F3A5">
      <w:pPr>
        <w:spacing w:line="360" w:lineRule="auto"/>
        <w:rPr>
          <w:rFonts w:hint="eastAsia" w:ascii="宋体" w:hAnsi="宋体" w:cs="宋体"/>
          <w:sz w:val="24"/>
          <w:szCs w:val="24"/>
        </w:rPr>
      </w:pPr>
      <w:r>
        <w:rPr>
          <w:rFonts w:hint="eastAsia" w:ascii="宋体" w:hAnsi="宋体" w:cs="宋体"/>
          <w:sz w:val="24"/>
          <w:szCs w:val="24"/>
        </w:rPr>
        <w:t>2.3总有机碳量：TOC＜1-5ppb 微粒子/颗粒物（大于 0.22μm）含量：＜1/ml，重金属含量（mg/L.max）:＜0.01；</w:t>
      </w:r>
    </w:p>
    <w:p w14:paraId="728DB23E">
      <w:pPr>
        <w:spacing w:line="360" w:lineRule="auto"/>
        <w:rPr>
          <w:rFonts w:hint="eastAsia" w:ascii="宋体" w:hAnsi="宋体" w:cs="宋体"/>
          <w:sz w:val="24"/>
          <w:szCs w:val="24"/>
        </w:rPr>
      </w:pPr>
      <w:r>
        <w:rPr>
          <w:rFonts w:hint="eastAsia" w:ascii="宋体" w:hAnsi="宋体" w:cs="宋体"/>
          <w:sz w:val="24"/>
          <w:szCs w:val="24"/>
        </w:rPr>
        <w:t>氧化矽含量（mg/L.max）:≤0.01 细菌：＜0.01 cfu/ml，微生物含量：＜0.01cfu/ml. RNase 含量：＜0.5pg/ml DNase；</w:t>
      </w:r>
    </w:p>
    <w:p w14:paraId="40FBE24B">
      <w:pPr>
        <w:spacing w:line="360" w:lineRule="auto"/>
        <w:rPr>
          <w:rFonts w:hint="eastAsia" w:ascii="宋体" w:hAnsi="宋体" w:cs="宋体"/>
          <w:sz w:val="24"/>
          <w:szCs w:val="24"/>
        </w:rPr>
      </w:pPr>
      <w:r>
        <w:rPr>
          <w:rFonts w:hint="eastAsia" w:ascii="宋体" w:hAnsi="宋体" w:cs="宋体"/>
          <w:sz w:val="24"/>
          <w:szCs w:val="24"/>
        </w:rPr>
        <w:t>含量：＜10pg/m。</w:t>
      </w:r>
    </w:p>
    <w:p w14:paraId="1A253522">
      <w:pPr>
        <w:spacing w:line="360" w:lineRule="auto"/>
        <w:rPr>
          <w:rFonts w:hint="eastAsia" w:ascii="宋体" w:hAnsi="宋体" w:cs="宋体"/>
          <w:sz w:val="24"/>
          <w:szCs w:val="24"/>
        </w:rPr>
      </w:pPr>
      <w:r>
        <w:rPr>
          <w:rFonts w:hint="eastAsia" w:ascii="宋体" w:hAnsi="宋体" w:cs="宋体"/>
          <w:sz w:val="24"/>
          <w:szCs w:val="24"/>
        </w:rPr>
        <w:t>3、制水量≥500L/H(+10%)；瞬间取水量：4-8L/min。</w:t>
      </w:r>
    </w:p>
    <w:p w14:paraId="207423AF">
      <w:pPr>
        <w:spacing w:line="360" w:lineRule="auto"/>
        <w:rPr>
          <w:rFonts w:hint="eastAsia" w:ascii="宋体" w:hAnsi="宋体" w:cs="宋体"/>
          <w:sz w:val="24"/>
          <w:szCs w:val="24"/>
        </w:rPr>
      </w:pPr>
    </w:p>
    <w:p w14:paraId="2289AB3F">
      <w:pPr>
        <w:spacing w:line="360" w:lineRule="auto"/>
        <w:rPr>
          <w:rFonts w:hint="eastAsia" w:ascii="宋体" w:hAnsi="宋体" w:cs="宋体"/>
          <w:b/>
          <w:bCs/>
          <w:sz w:val="24"/>
          <w:szCs w:val="24"/>
        </w:rPr>
      </w:pPr>
      <w:r>
        <w:rPr>
          <w:rFonts w:hint="eastAsia" w:ascii="宋体" w:hAnsi="宋体" w:cs="宋体"/>
          <w:b/>
          <w:bCs/>
          <w:sz w:val="24"/>
          <w:szCs w:val="24"/>
        </w:rPr>
        <w:t>品目2：全自动流式细胞仪</w:t>
      </w:r>
    </w:p>
    <w:p w14:paraId="167B4BFB">
      <w:pPr>
        <w:spacing w:line="360" w:lineRule="auto"/>
        <w:rPr>
          <w:rFonts w:hint="eastAsia" w:ascii="宋体" w:hAnsi="宋体" w:cs="宋体"/>
          <w:sz w:val="24"/>
          <w:szCs w:val="24"/>
        </w:rPr>
      </w:pPr>
      <w:r>
        <w:rPr>
          <w:rFonts w:hint="eastAsia" w:ascii="宋体" w:hAnsi="宋体" w:cs="宋体"/>
          <w:sz w:val="24"/>
          <w:szCs w:val="24"/>
        </w:rPr>
        <w:t>1、激光器：蓝色激光（激光波长范围488nm±5nm）、红色激光 （激光波长范围635nm±5nm)。</w:t>
      </w:r>
    </w:p>
    <w:p w14:paraId="131EA996">
      <w:pPr>
        <w:spacing w:line="360" w:lineRule="auto"/>
        <w:rPr>
          <w:rFonts w:hint="eastAsia" w:ascii="宋体" w:hAnsi="宋体" w:cs="宋体"/>
          <w:sz w:val="24"/>
          <w:szCs w:val="24"/>
        </w:rPr>
      </w:pPr>
      <w:r>
        <w:rPr>
          <w:rFonts w:hint="eastAsia" w:ascii="宋体" w:hAnsi="宋体" w:cs="宋体"/>
          <w:sz w:val="24"/>
          <w:szCs w:val="24"/>
        </w:rPr>
        <w:t>2、荧光检测器：采用PMT或APD检测器。</w:t>
      </w:r>
    </w:p>
    <w:p w14:paraId="1A5CAB52">
      <w:pPr>
        <w:spacing w:line="360" w:lineRule="auto"/>
        <w:rPr>
          <w:rFonts w:hint="eastAsia" w:ascii="宋体" w:hAnsi="宋体" w:cs="宋体"/>
          <w:sz w:val="24"/>
          <w:szCs w:val="24"/>
        </w:rPr>
      </w:pPr>
      <w:r>
        <w:rPr>
          <w:rFonts w:hint="eastAsia" w:ascii="宋体" w:hAnsi="宋体" w:cs="宋体"/>
          <w:sz w:val="24"/>
          <w:szCs w:val="24"/>
        </w:rPr>
        <w:t>3、荧光通道配置：双激光四色。</w:t>
      </w:r>
    </w:p>
    <w:p w14:paraId="70253BBB">
      <w:pPr>
        <w:spacing w:line="360" w:lineRule="auto"/>
        <w:rPr>
          <w:rFonts w:hint="eastAsia" w:ascii="宋体" w:hAnsi="宋体" w:cs="宋体"/>
          <w:sz w:val="24"/>
          <w:szCs w:val="24"/>
        </w:rPr>
      </w:pPr>
      <w:r>
        <w:rPr>
          <w:rFonts w:hint="eastAsia" w:ascii="宋体" w:hAnsi="宋体" w:cs="宋体"/>
          <w:sz w:val="24"/>
          <w:szCs w:val="24"/>
        </w:rPr>
        <w:t xml:space="preserve">4、荧光检测灵敏度：FITC≤80MESF；PE≤50MESF；APC≤30MESF。 </w:t>
      </w:r>
    </w:p>
    <w:p w14:paraId="5F71780E">
      <w:pPr>
        <w:spacing w:line="360" w:lineRule="auto"/>
        <w:rPr>
          <w:rFonts w:hint="eastAsia" w:ascii="宋体" w:hAnsi="宋体" w:cs="宋体"/>
          <w:sz w:val="24"/>
          <w:szCs w:val="24"/>
        </w:rPr>
      </w:pPr>
      <w:r>
        <w:rPr>
          <w:rFonts w:hint="eastAsia" w:ascii="宋体" w:hAnsi="宋体" w:cs="宋体"/>
          <w:sz w:val="24"/>
          <w:szCs w:val="24"/>
        </w:rPr>
        <w:t>5、荧光分辨率：CV≤2%。</w:t>
      </w:r>
    </w:p>
    <w:p w14:paraId="1F17AC7F">
      <w:pPr>
        <w:spacing w:line="360" w:lineRule="auto"/>
        <w:rPr>
          <w:rFonts w:hint="eastAsia" w:ascii="宋体" w:hAnsi="宋体" w:cs="宋体"/>
          <w:sz w:val="24"/>
          <w:szCs w:val="24"/>
        </w:rPr>
      </w:pPr>
      <w:r>
        <w:rPr>
          <w:rFonts w:hint="eastAsia" w:ascii="宋体" w:hAnsi="宋体" w:cs="宋体"/>
          <w:sz w:val="24"/>
          <w:szCs w:val="24"/>
        </w:rPr>
        <w:t>6、分析速度：≥35000粒子/秒。</w:t>
      </w:r>
    </w:p>
    <w:p w14:paraId="6A413DD4">
      <w:pPr>
        <w:spacing w:line="360" w:lineRule="auto"/>
        <w:rPr>
          <w:rFonts w:hint="eastAsia" w:ascii="宋体" w:hAnsi="宋体" w:cs="宋体"/>
          <w:sz w:val="24"/>
          <w:szCs w:val="24"/>
        </w:rPr>
      </w:pPr>
      <w:r>
        <w:rPr>
          <w:rFonts w:hint="eastAsia" w:ascii="宋体" w:hAnsi="宋体" w:cs="宋体"/>
          <w:sz w:val="24"/>
          <w:szCs w:val="24"/>
        </w:rPr>
        <w:t>7、携带污染率：≤0.1%。</w:t>
      </w:r>
    </w:p>
    <w:p w14:paraId="63EDE8F9">
      <w:pPr>
        <w:spacing w:line="360" w:lineRule="auto"/>
        <w:rPr>
          <w:rFonts w:hint="eastAsia" w:ascii="宋体" w:hAnsi="宋体" w:cs="宋体"/>
          <w:sz w:val="24"/>
          <w:szCs w:val="24"/>
        </w:rPr>
      </w:pPr>
      <w:r>
        <w:rPr>
          <w:rFonts w:hint="eastAsia" w:ascii="宋体" w:hAnsi="宋体" w:cs="宋体"/>
          <w:sz w:val="24"/>
          <w:szCs w:val="24"/>
        </w:rPr>
        <w:t>8、进样方式：采用负压上样。</w:t>
      </w:r>
    </w:p>
    <w:p w14:paraId="390F7512">
      <w:pPr>
        <w:spacing w:line="360" w:lineRule="auto"/>
        <w:rPr>
          <w:rFonts w:hint="eastAsia" w:ascii="宋体" w:hAnsi="宋体" w:cs="宋体"/>
          <w:sz w:val="24"/>
          <w:szCs w:val="24"/>
        </w:rPr>
      </w:pPr>
      <w:r>
        <w:rPr>
          <w:rFonts w:hint="eastAsia" w:ascii="宋体" w:hAnsi="宋体" w:cs="宋体"/>
          <w:sz w:val="24"/>
          <w:szCs w:val="24"/>
        </w:rPr>
        <w:t>9、支持试管类型：12×75mm试管、1.5ml或2ml EP管。</w:t>
      </w:r>
    </w:p>
    <w:p w14:paraId="210AFA80">
      <w:pPr>
        <w:spacing w:line="360" w:lineRule="auto"/>
        <w:rPr>
          <w:rFonts w:hint="eastAsia" w:ascii="宋体" w:hAnsi="宋体" w:cs="宋体"/>
          <w:sz w:val="24"/>
          <w:szCs w:val="24"/>
        </w:rPr>
      </w:pPr>
      <w:r>
        <w:rPr>
          <w:rFonts w:hint="eastAsia" w:ascii="宋体" w:hAnsi="宋体" w:cs="宋体"/>
          <w:sz w:val="24"/>
          <w:szCs w:val="24"/>
        </w:rPr>
        <w:t xml:space="preserve">10、绝对计数：采用精确的体积法测量原理或者微球法计数。 </w:t>
      </w:r>
    </w:p>
    <w:p w14:paraId="3D38B480">
      <w:pPr>
        <w:spacing w:line="360" w:lineRule="auto"/>
        <w:rPr>
          <w:rFonts w:hint="eastAsia" w:ascii="宋体" w:hAnsi="宋体" w:cs="宋体"/>
          <w:sz w:val="24"/>
          <w:szCs w:val="24"/>
        </w:rPr>
      </w:pPr>
      <w:r>
        <w:rPr>
          <w:rFonts w:hint="eastAsia" w:ascii="宋体" w:hAnsi="宋体" w:cs="宋体"/>
          <w:sz w:val="24"/>
          <w:szCs w:val="24"/>
        </w:rPr>
        <w:t>11、LIS连接：可配置双向LIS连接。</w:t>
      </w:r>
    </w:p>
    <w:p w14:paraId="43716E96">
      <w:pPr>
        <w:spacing w:line="360" w:lineRule="auto"/>
        <w:rPr>
          <w:rFonts w:hint="eastAsia" w:ascii="宋体" w:hAnsi="宋体" w:cs="宋体"/>
          <w:sz w:val="24"/>
          <w:szCs w:val="24"/>
        </w:rPr>
      </w:pPr>
      <w:r>
        <w:rPr>
          <w:rFonts w:hint="eastAsia" w:ascii="宋体" w:hAnsi="宋体" w:cs="宋体"/>
          <w:sz w:val="24"/>
          <w:szCs w:val="24"/>
        </w:rPr>
        <w:t>12、荧光补偿：全矩阵荧光信号补偿系统，在测试前、测试中和测试后均可调节荧光补偿。</w:t>
      </w:r>
    </w:p>
    <w:p w14:paraId="71AC5365">
      <w:pPr>
        <w:spacing w:line="360" w:lineRule="auto"/>
        <w:rPr>
          <w:rFonts w:hint="eastAsia" w:ascii="宋体" w:hAnsi="宋体" w:cs="宋体"/>
          <w:sz w:val="24"/>
          <w:szCs w:val="24"/>
        </w:rPr>
      </w:pPr>
      <w:r>
        <w:rPr>
          <w:rFonts w:hint="eastAsia" w:ascii="宋体" w:hAnsi="宋体" w:cs="宋体"/>
          <w:sz w:val="24"/>
          <w:szCs w:val="24"/>
        </w:rPr>
        <w:t>13、自动进样器：支持自动进样。</w:t>
      </w:r>
    </w:p>
    <w:p w14:paraId="7B0840E6">
      <w:pPr>
        <w:spacing w:line="360" w:lineRule="auto"/>
        <w:rPr>
          <w:rFonts w:hint="eastAsia" w:ascii="宋体" w:hAnsi="宋体" w:cs="宋体"/>
          <w:sz w:val="24"/>
          <w:szCs w:val="24"/>
        </w:rPr>
      </w:pPr>
    </w:p>
    <w:p w14:paraId="06AEB776">
      <w:pPr>
        <w:spacing w:line="360" w:lineRule="auto"/>
        <w:outlineLvl w:val="2"/>
        <w:rPr>
          <w:rFonts w:hint="eastAsia" w:ascii="宋体" w:hAnsi="宋体" w:cs="宋体"/>
          <w:b/>
          <w:bCs/>
          <w:sz w:val="24"/>
          <w:szCs w:val="24"/>
        </w:rPr>
      </w:pPr>
      <w:r>
        <w:rPr>
          <w:rFonts w:hint="eastAsia" w:ascii="宋体" w:hAnsi="宋体" w:cs="宋体"/>
          <w:b/>
          <w:bCs/>
          <w:sz w:val="24"/>
          <w:szCs w:val="24"/>
        </w:rPr>
        <w:t>品目3：酶标仪</w:t>
      </w:r>
    </w:p>
    <w:p w14:paraId="77C0DFBD">
      <w:pPr>
        <w:spacing w:line="360" w:lineRule="auto"/>
        <w:rPr>
          <w:rStyle w:val="148"/>
          <w:rFonts w:hint="eastAsia" w:ascii="宋体" w:hAnsi="宋体" w:eastAsia="宋体" w:cs="宋体"/>
          <w:sz w:val="24"/>
          <w:szCs w:val="24"/>
        </w:rPr>
      </w:pPr>
      <w:r>
        <w:rPr>
          <w:rStyle w:val="148"/>
          <w:rFonts w:hint="eastAsia" w:ascii="宋体" w:hAnsi="宋体" w:eastAsia="宋体" w:cs="宋体"/>
          <w:sz w:val="24"/>
          <w:szCs w:val="24"/>
        </w:rPr>
        <w:t>1、波长：400-1000nm，8个滤光片位置（包含标配405、450、490、625nm）。</w:t>
      </w:r>
    </w:p>
    <w:p w14:paraId="3D544681">
      <w:pPr>
        <w:spacing w:line="360" w:lineRule="auto"/>
        <w:rPr>
          <w:rStyle w:val="148"/>
          <w:rFonts w:hint="eastAsia" w:ascii="宋体" w:hAnsi="宋体" w:eastAsia="宋体" w:cs="宋体"/>
          <w:sz w:val="24"/>
          <w:szCs w:val="24"/>
        </w:rPr>
      </w:pPr>
      <w:r>
        <w:rPr>
          <w:rStyle w:val="148"/>
          <w:rFonts w:hint="eastAsia" w:ascii="宋体" w:hAnsi="宋体" w:eastAsia="宋体" w:cs="宋体"/>
          <w:sz w:val="24"/>
          <w:szCs w:val="24"/>
        </w:rPr>
        <w:t>2、吸光度范围：0.0-4.5（A）。</w:t>
      </w:r>
    </w:p>
    <w:p w14:paraId="65218B9E">
      <w:pPr>
        <w:spacing w:line="360" w:lineRule="auto"/>
        <w:rPr>
          <w:rStyle w:val="148"/>
          <w:rFonts w:hint="eastAsia" w:ascii="宋体" w:hAnsi="宋体" w:eastAsia="宋体" w:cs="宋体"/>
          <w:sz w:val="24"/>
          <w:szCs w:val="24"/>
        </w:rPr>
      </w:pPr>
      <w:r>
        <w:rPr>
          <w:rStyle w:val="148"/>
          <w:rFonts w:hint="eastAsia" w:ascii="宋体" w:hAnsi="宋体" w:eastAsia="宋体" w:cs="宋体"/>
          <w:sz w:val="24"/>
          <w:szCs w:val="24"/>
        </w:rPr>
        <w:t>3、检测通道：8通道光纤。</w:t>
      </w:r>
    </w:p>
    <w:p w14:paraId="52F6148C">
      <w:pPr>
        <w:spacing w:line="360" w:lineRule="auto"/>
        <w:rPr>
          <w:rStyle w:val="148"/>
          <w:rFonts w:hint="eastAsia" w:ascii="宋体" w:hAnsi="宋体" w:eastAsia="宋体" w:cs="宋体"/>
          <w:sz w:val="24"/>
          <w:szCs w:val="24"/>
        </w:rPr>
      </w:pPr>
      <w:r>
        <w:rPr>
          <w:rStyle w:val="148"/>
          <w:rFonts w:hint="eastAsia" w:ascii="宋体" w:hAnsi="宋体" w:eastAsia="宋体" w:cs="宋体"/>
          <w:sz w:val="24"/>
          <w:szCs w:val="24"/>
        </w:rPr>
        <w:t>4、测量方式：单波长或双波长控制测量等。</w:t>
      </w:r>
    </w:p>
    <w:p w14:paraId="457F2B21">
      <w:pPr>
        <w:spacing w:line="360" w:lineRule="auto"/>
        <w:rPr>
          <w:rStyle w:val="148"/>
          <w:rFonts w:hint="eastAsia" w:ascii="宋体" w:hAnsi="宋体" w:eastAsia="宋体" w:cs="宋体"/>
          <w:sz w:val="24"/>
          <w:szCs w:val="24"/>
        </w:rPr>
      </w:pPr>
      <w:r>
        <w:rPr>
          <w:rStyle w:val="148"/>
          <w:rFonts w:hint="eastAsia" w:ascii="宋体" w:hAnsi="宋体" w:eastAsia="宋体" w:cs="宋体"/>
          <w:sz w:val="24"/>
          <w:szCs w:val="24"/>
        </w:rPr>
        <w:t>5、计算方式：吸光度法、定性计算、定量计算。</w:t>
      </w:r>
    </w:p>
    <w:p w14:paraId="3AA67CE3">
      <w:pPr>
        <w:spacing w:line="360" w:lineRule="auto"/>
        <w:rPr>
          <w:rStyle w:val="148"/>
          <w:rFonts w:hint="eastAsia" w:ascii="宋体" w:hAnsi="宋体" w:eastAsia="宋体" w:cs="宋体"/>
          <w:sz w:val="24"/>
          <w:szCs w:val="24"/>
        </w:rPr>
      </w:pPr>
      <w:r>
        <w:rPr>
          <w:rStyle w:val="148"/>
          <w:rFonts w:hint="eastAsia" w:ascii="宋体" w:hAnsi="宋体" w:eastAsia="宋体" w:cs="宋体"/>
          <w:sz w:val="24"/>
          <w:szCs w:val="24"/>
        </w:rPr>
        <w:t>6、测试速度：≤96孔/5秒（单、双波长）。</w:t>
      </w:r>
    </w:p>
    <w:p w14:paraId="2011D986">
      <w:pPr>
        <w:numPr>
          <w:ilvl w:val="0"/>
          <w:numId w:val="17"/>
        </w:numPr>
        <w:spacing w:line="360" w:lineRule="auto"/>
        <w:rPr>
          <w:rStyle w:val="148"/>
          <w:rFonts w:hint="eastAsia" w:ascii="宋体" w:hAnsi="宋体" w:eastAsia="宋体" w:cs="宋体"/>
          <w:sz w:val="24"/>
          <w:szCs w:val="24"/>
        </w:rPr>
      </w:pPr>
      <w:r>
        <w:rPr>
          <w:rStyle w:val="148"/>
          <w:rFonts w:hint="eastAsia" w:ascii="宋体" w:hAnsi="宋体" w:eastAsia="宋体" w:cs="宋体"/>
          <w:sz w:val="24"/>
          <w:szCs w:val="24"/>
        </w:rPr>
        <w:t>稳定性：≤0.01。</w:t>
      </w:r>
    </w:p>
    <w:p w14:paraId="67D2A0FA">
      <w:pPr>
        <w:spacing w:line="360" w:lineRule="auto"/>
        <w:rPr>
          <w:rStyle w:val="148"/>
          <w:rFonts w:hint="eastAsia" w:ascii="宋体" w:hAnsi="宋体" w:eastAsia="宋体" w:cs="宋体"/>
          <w:sz w:val="24"/>
          <w:szCs w:val="24"/>
        </w:rPr>
      </w:pPr>
      <w:r>
        <w:rPr>
          <w:rStyle w:val="148"/>
          <w:rFonts w:hint="eastAsia" w:ascii="宋体" w:hAnsi="宋体" w:eastAsia="宋体" w:cs="宋体"/>
          <w:sz w:val="24"/>
          <w:szCs w:val="24"/>
        </w:rPr>
        <w:t>8、重复性：≤0.005A。</w:t>
      </w:r>
    </w:p>
    <w:p w14:paraId="1676729C">
      <w:pPr>
        <w:spacing w:line="360" w:lineRule="auto"/>
        <w:rPr>
          <w:rStyle w:val="148"/>
          <w:rFonts w:hint="eastAsia" w:ascii="宋体" w:hAnsi="宋体" w:eastAsia="宋体" w:cs="宋体"/>
          <w:sz w:val="24"/>
          <w:szCs w:val="24"/>
        </w:rPr>
      </w:pPr>
      <w:r>
        <w:rPr>
          <w:rStyle w:val="148"/>
          <w:rFonts w:hint="eastAsia" w:ascii="宋体" w:hAnsi="宋体" w:eastAsia="宋体" w:cs="宋体"/>
          <w:sz w:val="24"/>
          <w:szCs w:val="24"/>
        </w:rPr>
        <w:t>9、显示方式：中文。</w:t>
      </w:r>
    </w:p>
    <w:p w14:paraId="591791B4">
      <w:pPr>
        <w:spacing w:line="360" w:lineRule="auto"/>
        <w:rPr>
          <w:rStyle w:val="148"/>
          <w:rFonts w:hint="eastAsia" w:ascii="宋体" w:hAnsi="宋体" w:eastAsia="宋体" w:cs="宋体"/>
          <w:sz w:val="24"/>
          <w:szCs w:val="24"/>
        </w:rPr>
      </w:pPr>
      <w:r>
        <w:rPr>
          <w:rStyle w:val="148"/>
          <w:rFonts w:hint="eastAsia" w:ascii="宋体" w:hAnsi="宋体" w:eastAsia="宋体" w:cs="宋体"/>
          <w:sz w:val="24"/>
          <w:szCs w:val="24"/>
        </w:rPr>
        <w:t>10、存储容量：可存储≥400个检测程序和≥800次96孔板检测结果。</w:t>
      </w:r>
    </w:p>
    <w:p w14:paraId="783D87B8">
      <w:pPr>
        <w:spacing w:line="360" w:lineRule="auto"/>
        <w:rPr>
          <w:rStyle w:val="148"/>
          <w:rFonts w:hint="eastAsia" w:ascii="宋体" w:hAnsi="宋体" w:eastAsia="宋体" w:cs="宋体"/>
          <w:sz w:val="24"/>
          <w:szCs w:val="24"/>
        </w:rPr>
      </w:pPr>
      <w:r>
        <w:rPr>
          <w:rStyle w:val="148"/>
          <w:rFonts w:hint="eastAsia" w:ascii="宋体" w:hAnsi="宋体" w:eastAsia="宋体" w:cs="宋体"/>
          <w:sz w:val="24"/>
          <w:szCs w:val="24"/>
        </w:rPr>
        <w:t>11、光源：长寿命冷光源。</w:t>
      </w:r>
    </w:p>
    <w:p w14:paraId="6B8C9C2C">
      <w:pPr>
        <w:numPr>
          <w:ilvl w:val="0"/>
          <w:numId w:val="18"/>
        </w:numPr>
        <w:spacing w:line="360" w:lineRule="auto"/>
        <w:rPr>
          <w:rStyle w:val="148"/>
          <w:rFonts w:hint="eastAsia" w:ascii="宋体" w:hAnsi="宋体" w:eastAsia="宋体" w:cs="宋体"/>
          <w:sz w:val="24"/>
          <w:szCs w:val="24"/>
        </w:rPr>
      </w:pPr>
      <w:r>
        <w:rPr>
          <w:rStyle w:val="148"/>
          <w:rFonts w:hint="eastAsia" w:ascii="宋体" w:hAnsi="宋体" w:eastAsia="宋体" w:cs="宋体"/>
          <w:sz w:val="24"/>
          <w:szCs w:val="24"/>
        </w:rPr>
        <w:t>操作界面：≥6.8英寸触摸屏界面。</w:t>
      </w:r>
    </w:p>
    <w:p w14:paraId="0C50276B">
      <w:pPr>
        <w:spacing w:line="360" w:lineRule="auto"/>
        <w:rPr>
          <w:rFonts w:hint="eastAsia" w:ascii="宋体" w:hAnsi="宋体" w:cs="宋体"/>
          <w:sz w:val="24"/>
          <w:szCs w:val="24"/>
        </w:rPr>
      </w:pPr>
    </w:p>
    <w:p w14:paraId="7A04E8D8">
      <w:pPr>
        <w:spacing w:line="360" w:lineRule="auto"/>
        <w:outlineLvl w:val="2"/>
        <w:rPr>
          <w:rFonts w:hint="eastAsia" w:ascii="宋体" w:hAnsi="宋体" w:cs="宋体"/>
          <w:b/>
          <w:bCs/>
          <w:sz w:val="24"/>
          <w:szCs w:val="24"/>
        </w:rPr>
      </w:pPr>
      <w:r>
        <w:rPr>
          <w:rFonts w:hint="eastAsia" w:ascii="宋体" w:hAnsi="宋体" w:cs="宋体"/>
          <w:b/>
          <w:bCs/>
          <w:sz w:val="24"/>
          <w:szCs w:val="24"/>
        </w:rPr>
        <w:t>品目4：全自动粪便分析仪</w:t>
      </w:r>
    </w:p>
    <w:p w14:paraId="2965906B">
      <w:pPr>
        <w:pStyle w:val="89"/>
        <w:spacing w:line="360" w:lineRule="auto"/>
        <w:ind w:firstLine="0" w:firstLineChars="0"/>
        <w:jc w:val="left"/>
        <w:rPr>
          <w:rFonts w:hint="eastAsia" w:ascii="宋体" w:hAnsi="宋体" w:cs="宋体"/>
          <w:b/>
          <w:sz w:val="24"/>
          <w:szCs w:val="24"/>
        </w:rPr>
      </w:pPr>
      <w:r>
        <w:rPr>
          <w:rFonts w:hint="eastAsia" w:ascii="宋体" w:hAnsi="宋体" w:cs="宋体"/>
          <w:b/>
          <w:kern w:val="0"/>
          <w:sz w:val="24"/>
          <w:szCs w:val="24"/>
        </w:rPr>
        <w:t>★</w:t>
      </w:r>
      <w:r>
        <w:rPr>
          <w:rFonts w:hint="eastAsia" w:ascii="宋体" w:hAnsi="宋体" w:cs="宋体"/>
          <w:b/>
          <w:sz w:val="24"/>
          <w:szCs w:val="24"/>
        </w:rPr>
        <w:t>1、用途：对粪便颜色、性状，化学、免疫学项目及有形成分进行检测，对检测结果进行自动分析与识别。</w:t>
      </w:r>
    </w:p>
    <w:p w14:paraId="38622CB7">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2、检测项目：</w:t>
      </w:r>
    </w:p>
    <w:p w14:paraId="295A4C23">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2.1理学指标：自动识别颜色、性状等。</w:t>
      </w:r>
    </w:p>
    <w:p w14:paraId="0827A486">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2.2有形成分：显微镜下可见的粪便标本中的所有病理有形成分。                             2.3化学及免疫学项目：粪便隐血、转铁蛋白、轮状病毒、腺病毒、幽门螺杆菌、钙卫蛋白、乳铁蛋白等。</w:t>
      </w:r>
    </w:p>
    <w:p w14:paraId="73DF58EE">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3、送样装置：轨道式送样，可批处理≥50个标本。</w:t>
      </w:r>
    </w:p>
    <w:p w14:paraId="5A63A1C3">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4、粪便标本采集器：取样勺多触点设计，方便病人多点取样；全密封设计，杯盖外覆铝箔膜，可气动传输，内覆硅胶膜，防止粪便悬液外渗，确保标本在检测前、检测中及检测后全程密闭，降低生物感染风险。</w:t>
      </w:r>
    </w:p>
    <w:p w14:paraId="3B41A70F">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5、标本前处理：自动完成样本稀释、搅拌混匀，采用智能搅拌控制系统，根据标本性状实时监控搅拌效果，自动调整搅拌时间与力度，对标本进行个性化前处理，确保病理成分充分释放且细胞形态不被破坏。</w:t>
      </w:r>
    </w:p>
    <w:p w14:paraId="60B2AF88">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6、病理成分富集：动态滤网设计，避免网孔堵塞，通过两侧分布的大、小孔径滤网，对病理成分主动捕捞，可有效过滤食物残渣并对病理成分（尤其是虫卵）富集。</w:t>
      </w:r>
    </w:p>
    <w:p w14:paraId="4204E061">
      <w:pPr>
        <w:spacing w:line="360" w:lineRule="auto"/>
        <w:rPr>
          <w:rFonts w:hint="eastAsia" w:ascii="宋体" w:hAnsi="宋体" w:cs="宋体"/>
          <w:sz w:val="24"/>
          <w:szCs w:val="24"/>
        </w:rPr>
      </w:pPr>
      <w:r>
        <w:rPr>
          <w:rFonts w:hint="eastAsia" w:ascii="宋体" w:hAnsi="宋体" w:cs="宋体"/>
          <w:sz w:val="24"/>
          <w:szCs w:val="24"/>
        </w:rPr>
        <w:t>7、闭盖取样：闭盖穿刺取样，避免开盖产生气溶胶造成的人员感染，保证生物安全性。</w:t>
      </w:r>
    </w:p>
    <w:p w14:paraId="5020B943">
      <w:pPr>
        <w:adjustRightInd w:val="0"/>
        <w:snapToGrid w:val="0"/>
        <w:spacing w:before="93" w:beforeLines="30" w:after="93" w:afterLines="30" w:line="360" w:lineRule="auto"/>
        <w:rPr>
          <w:rFonts w:hint="eastAsia" w:ascii="宋体" w:hAnsi="宋体" w:cs="宋体"/>
          <w:sz w:val="24"/>
          <w:szCs w:val="24"/>
        </w:rPr>
      </w:pPr>
      <w:r>
        <w:rPr>
          <w:rFonts w:hint="eastAsia" w:ascii="宋体" w:hAnsi="宋体" w:cs="宋体"/>
          <w:sz w:val="24"/>
          <w:szCs w:val="24"/>
        </w:rPr>
        <w:t>8、智能采图：高速显微镜结合高速摄像，对标本分层进行拍照和采集目标特征参数，防止有形成分漏检。</w:t>
      </w:r>
    </w:p>
    <w:p w14:paraId="127018E2">
      <w:pPr>
        <w:adjustRightInd w:val="0"/>
        <w:snapToGrid w:val="0"/>
        <w:spacing w:before="93" w:beforeLines="30" w:after="93" w:afterLines="30" w:line="360" w:lineRule="auto"/>
        <w:rPr>
          <w:rFonts w:hint="eastAsia" w:ascii="宋体" w:hAnsi="宋体" w:cs="宋体"/>
          <w:sz w:val="24"/>
          <w:szCs w:val="24"/>
        </w:rPr>
      </w:pPr>
      <w:r>
        <w:rPr>
          <w:rFonts w:hint="eastAsia" w:ascii="宋体" w:hAnsi="宋体" w:cs="宋体"/>
          <w:sz w:val="24"/>
          <w:szCs w:val="24"/>
        </w:rPr>
        <w:t>9、智能识别：运用智能化方法变换的检测和识别方法，精准识别红细胞、白细胞、真菌、淀粉颗粒、虫卵等病理成分。</w:t>
      </w:r>
    </w:p>
    <w:p w14:paraId="71774BE6">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10、集中审核功能：仪器自动从CCD所拍图片中截取单个有形成分的图片，分类集中排列，方便审核。</w:t>
      </w:r>
    </w:p>
    <w:p w14:paraId="08A7A06F">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11、检测卡装载：即插即用，无需人工装载，可不停机连续加载。</w:t>
      </w:r>
    </w:p>
    <w:p w14:paraId="21C268C4">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12、检测项目组合：化学及免疫学检测项目可自由任选组合，每次可同时检测1-5个不同项目。</w:t>
      </w:r>
    </w:p>
    <w:p w14:paraId="3A39E1A6">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13、计数板：采用高精度密封式一次性计数板，确保仪器吸取的粪便悬液锁定在密闭模块中，避免废液直接暴露在空气中，还可防止标本间的交叉污染，避免管路或计数池堵塞引起的设备故障，保证仪器稳定性和生物安全性。</w:t>
      </w:r>
    </w:p>
    <w:p w14:paraId="59926ADB">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14、计数板排队沉淀：一次性可容纳≥6个样本同时排队沉淀，保证粪便标本沉淀时间充分，提高图片清晰度及综合检测速度。</w:t>
      </w:r>
    </w:p>
    <w:p w14:paraId="611A2D52">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15、检测卡孵育：≥105个检测卡孵育位，确保检测卡孵育时间充分，结果准确。</w:t>
      </w:r>
    </w:p>
    <w:p w14:paraId="444993DB">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16、急诊功能：特设急诊位，急诊标本自动传送，自动检测。</w:t>
      </w:r>
    </w:p>
    <w:p w14:paraId="55BA1611">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17、质控功能：具备粪便有形成分质控物（包括阴性、灵敏度及精密度三种）和粪便隐血、转铁蛋白质控品（分别含正常值、低值、中值及高值四个浓度），保证检验质量。</w:t>
      </w:r>
    </w:p>
    <w:p w14:paraId="5EED7E63">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18、报告方式：提供综合理学、化学、免疫学及有形成分检测的报告，为临床诊断提供全面参考信息。</w:t>
      </w:r>
    </w:p>
    <w:p w14:paraId="5816919A">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19、检测速度：综合速度≥90标本/小时。</w:t>
      </w:r>
    </w:p>
    <w:p w14:paraId="74DCA186">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20、准确率偏差：有形成分的综合识别与计数准确率偏差≤5%。</w:t>
      </w:r>
    </w:p>
    <w:p w14:paraId="4F2D970D">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21、重复性：浓度20～100个/µl：CV≤20%；浓度500～1000个/µl：CV≤12%；浓度5000个/µl：CV≤8%。</w:t>
      </w:r>
    </w:p>
    <w:p w14:paraId="2308B3DA">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22、携带污染率：浓度（4600～5400）个/µl：≤1个/µl；浓度（9200～10800）个/µl：≤2个/µl。</w:t>
      </w:r>
    </w:p>
    <w:p w14:paraId="1FE87BC7">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23、计数板贮存仓容量：≥200个。</w:t>
      </w:r>
    </w:p>
    <w:p w14:paraId="34E14302">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24、数据储存量：≥20万个结果。</w:t>
      </w:r>
    </w:p>
    <w:p w14:paraId="40D462AB">
      <w:pPr>
        <w:pStyle w:val="89"/>
        <w:spacing w:line="360" w:lineRule="auto"/>
        <w:ind w:firstLine="0" w:firstLineChars="0"/>
        <w:jc w:val="left"/>
        <w:rPr>
          <w:rFonts w:hint="eastAsia" w:ascii="宋体" w:hAnsi="宋体" w:cs="宋体"/>
          <w:sz w:val="24"/>
          <w:szCs w:val="24"/>
          <w:highlight w:val="yellow"/>
        </w:rPr>
      </w:pPr>
    </w:p>
    <w:p w14:paraId="2EDA03C7">
      <w:pPr>
        <w:spacing w:line="360" w:lineRule="auto"/>
        <w:outlineLvl w:val="2"/>
        <w:rPr>
          <w:rFonts w:hint="eastAsia" w:ascii="宋体" w:hAnsi="宋体" w:cs="宋体"/>
          <w:b/>
          <w:bCs/>
          <w:sz w:val="24"/>
          <w:szCs w:val="24"/>
        </w:rPr>
      </w:pPr>
      <w:r>
        <w:rPr>
          <w:rFonts w:hint="eastAsia" w:ascii="宋体" w:hAnsi="宋体" w:cs="宋体"/>
          <w:b/>
          <w:bCs/>
          <w:sz w:val="24"/>
          <w:szCs w:val="24"/>
        </w:rPr>
        <w:t>品目5：全自动化学发光免疫分析仪</w:t>
      </w:r>
    </w:p>
    <w:p w14:paraId="7CCFB1F8">
      <w:pPr>
        <w:spacing w:line="360" w:lineRule="auto"/>
        <w:rPr>
          <w:rFonts w:hint="eastAsia" w:ascii="宋体" w:hAnsi="宋体" w:cs="宋体"/>
          <w:sz w:val="24"/>
          <w:szCs w:val="24"/>
        </w:rPr>
      </w:pPr>
      <w:r>
        <w:rPr>
          <w:rFonts w:hint="eastAsia" w:ascii="宋体" w:hAnsi="宋体" w:cs="宋体"/>
          <w:sz w:val="24"/>
          <w:szCs w:val="24"/>
        </w:rPr>
        <w:t>1、系统采用磁微粒参与的化学发光反应原理。</w:t>
      </w:r>
    </w:p>
    <w:p w14:paraId="46EB7EA4">
      <w:pPr>
        <w:spacing w:line="360" w:lineRule="auto"/>
        <w:rPr>
          <w:rFonts w:hint="eastAsia" w:ascii="宋体" w:hAnsi="宋体" w:cs="宋体"/>
          <w:sz w:val="24"/>
          <w:szCs w:val="24"/>
        </w:rPr>
      </w:pPr>
      <w:r>
        <w:rPr>
          <w:rFonts w:hint="eastAsia" w:ascii="宋体" w:hAnsi="宋体" w:cs="宋体"/>
          <w:b/>
          <w:kern w:val="0"/>
          <w:sz w:val="24"/>
          <w:szCs w:val="24"/>
        </w:rPr>
        <w:t>▲</w:t>
      </w:r>
      <w:r>
        <w:rPr>
          <w:rFonts w:hint="eastAsia" w:ascii="宋体" w:hAnsi="宋体" w:cs="宋体"/>
          <w:sz w:val="24"/>
          <w:szCs w:val="24"/>
        </w:rPr>
        <w:t>2、最大测试速度≥1000测试/小时。</w:t>
      </w:r>
    </w:p>
    <w:p w14:paraId="536623AE">
      <w:pPr>
        <w:spacing w:line="360" w:lineRule="auto"/>
        <w:rPr>
          <w:rFonts w:hint="eastAsia" w:ascii="宋体" w:hAnsi="宋体" w:cs="宋体"/>
          <w:sz w:val="24"/>
          <w:szCs w:val="24"/>
        </w:rPr>
      </w:pPr>
      <w:r>
        <w:rPr>
          <w:rFonts w:hint="eastAsia" w:ascii="宋体" w:hAnsi="宋体" w:cs="宋体"/>
          <w:sz w:val="24"/>
          <w:szCs w:val="24"/>
        </w:rPr>
        <w:t>3、支持1-4台模块联机，软件支持自动负载均衡，样本跟踪、联机仪器屏蔽功能。</w:t>
      </w:r>
    </w:p>
    <w:p w14:paraId="1073BCB4">
      <w:pPr>
        <w:spacing w:line="360" w:lineRule="auto"/>
        <w:rPr>
          <w:rFonts w:hint="eastAsia" w:ascii="宋体" w:hAnsi="宋体" w:cs="宋体"/>
          <w:sz w:val="24"/>
          <w:szCs w:val="24"/>
        </w:rPr>
      </w:pPr>
      <w:r>
        <w:rPr>
          <w:rFonts w:hint="eastAsia" w:ascii="宋体" w:hAnsi="宋体" w:cs="宋体"/>
          <w:sz w:val="24"/>
          <w:szCs w:val="24"/>
        </w:rPr>
        <w:t>4、首个结果最快出结果时间≤20min。</w:t>
      </w:r>
    </w:p>
    <w:p w14:paraId="431B0DD9">
      <w:pPr>
        <w:spacing w:line="360" w:lineRule="auto"/>
        <w:rPr>
          <w:rFonts w:hint="eastAsia" w:ascii="宋体" w:hAnsi="宋体" w:cs="宋体"/>
          <w:sz w:val="24"/>
          <w:szCs w:val="24"/>
        </w:rPr>
      </w:pPr>
      <w:r>
        <w:rPr>
          <w:rFonts w:hint="eastAsia" w:ascii="宋体" w:hAnsi="宋体" w:cs="宋体"/>
          <w:sz w:val="24"/>
          <w:szCs w:val="24"/>
        </w:rPr>
        <w:t>5、可支持仪器自动重测和急诊插入优先检测。</w:t>
      </w:r>
    </w:p>
    <w:p w14:paraId="7FEF0A1B">
      <w:pPr>
        <w:spacing w:line="360" w:lineRule="auto"/>
        <w:rPr>
          <w:rFonts w:hint="eastAsia" w:ascii="宋体" w:hAnsi="宋体" w:cs="宋体"/>
          <w:sz w:val="24"/>
          <w:szCs w:val="24"/>
        </w:rPr>
      </w:pPr>
      <w:r>
        <w:rPr>
          <w:rFonts w:hint="eastAsia" w:ascii="宋体" w:hAnsi="宋体" w:cs="宋体"/>
          <w:sz w:val="24"/>
          <w:szCs w:val="24"/>
        </w:rPr>
        <w:t>6、轨道式进样，同时放入≥300个样本，可以连续添加样本。</w:t>
      </w:r>
    </w:p>
    <w:p w14:paraId="1063AA91">
      <w:pPr>
        <w:spacing w:line="360" w:lineRule="auto"/>
        <w:rPr>
          <w:rFonts w:hint="eastAsia" w:ascii="宋体" w:hAnsi="宋体" w:cs="宋体"/>
          <w:sz w:val="24"/>
          <w:szCs w:val="24"/>
        </w:rPr>
      </w:pPr>
      <w:r>
        <w:rPr>
          <w:rFonts w:hint="eastAsia" w:ascii="宋体" w:hAnsi="宋体" w:cs="宋体"/>
          <w:sz w:val="24"/>
          <w:szCs w:val="24"/>
        </w:rPr>
        <w:t>7、样本质量监测：支持血清样本质量监测拍照功能。</w:t>
      </w:r>
    </w:p>
    <w:p w14:paraId="5A9340C9">
      <w:pPr>
        <w:spacing w:line="360" w:lineRule="auto"/>
        <w:rPr>
          <w:rFonts w:hint="eastAsia" w:ascii="宋体" w:hAnsi="宋体" w:cs="宋体"/>
          <w:sz w:val="24"/>
          <w:szCs w:val="24"/>
        </w:rPr>
      </w:pPr>
      <w:r>
        <w:rPr>
          <w:rFonts w:hint="eastAsia" w:ascii="宋体" w:hAnsi="宋体" w:cs="宋体"/>
          <w:sz w:val="24"/>
          <w:szCs w:val="24"/>
        </w:rPr>
        <w:t>8、仪器试剂位≥70个，试剂仓冷藏温度2-8℃。</w:t>
      </w:r>
    </w:p>
    <w:p w14:paraId="5E293D21">
      <w:pPr>
        <w:spacing w:line="360" w:lineRule="auto"/>
        <w:rPr>
          <w:rFonts w:hint="eastAsia" w:ascii="宋体" w:hAnsi="宋体" w:cs="宋体"/>
          <w:sz w:val="24"/>
          <w:szCs w:val="24"/>
        </w:rPr>
      </w:pPr>
      <w:r>
        <w:rPr>
          <w:rFonts w:hint="eastAsia" w:ascii="宋体" w:hAnsi="宋体" w:cs="宋体"/>
          <w:sz w:val="24"/>
          <w:szCs w:val="24"/>
        </w:rPr>
        <w:t>9、支持试剂可视化在线装载。</w:t>
      </w:r>
    </w:p>
    <w:p w14:paraId="6F1AFA38">
      <w:pPr>
        <w:spacing w:line="360" w:lineRule="auto"/>
        <w:rPr>
          <w:rFonts w:hint="eastAsia" w:ascii="宋体" w:hAnsi="宋体" w:cs="宋体"/>
          <w:sz w:val="24"/>
          <w:szCs w:val="24"/>
        </w:rPr>
      </w:pPr>
      <w:r>
        <w:rPr>
          <w:rFonts w:hint="eastAsia" w:ascii="宋体" w:hAnsi="宋体" w:cs="宋体"/>
          <w:sz w:val="24"/>
          <w:szCs w:val="24"/>
        </w:rPr>
        <w:t>10、样本采用钢针加样，具有液面探测、随量跟踪、立体防撞、气泡检测等功能。</w:t>
      </w:r>
    </w:p>
    <w:p w14:paraId="78FE315F">
      <w:pPr>
        <w:spacing w:line="360" w:lineRule="auto"/>
        <w:rPr>
          <w:rFonts w:hint="eastAsia" w:ascii="宋体" w:hAnsi="宋体" w:cs="宋体"/>
          <w:sz w:val="24"/>
          <w:szCs w:val="24"/>
        </w:rPr>
      </w:pPr>
      <w:r>
        <w:rPr>
          <w:rFonts w:hint="eastAsia" w:ascii="宋体" w:hAnsi="宋体" w:cs="宋体"/>
          <w:sz w:val="24"/>
          <w:szCs w:val="24"/>
        </w:rPr>
        <w:t>11、非接触式混匀。</w:t>
      </w:r>
    </w:p>
    <w:p w14:paraId="4AB9139B">
      <w:pPr>
        <w:spacing w:line="360" w:lineRule="auto"/>
        <w:rPr>
          <w:rFonts w:hint="eastAsia" w:ascii="宋体" w:hAnsi="宋体" w:cs="宋体"/>
          <w:sz w:val="24"/>
          <w:szCs w:val="24"/>
        </w:rPr>
      </w:pPr>
      <w:r>
        <w:rPr>
          <w:rFonts w:hint="eastAsia" w:ascii="宋体" w:hAnsi="宋体" w:cs="宋体"/>
          <w:sz w:val="24"/>
          <w:szCs w:val="24"/>
        </w:rPr>
        <w:t>12、采用一次性反应杯，倾倒式添加，可以一次性装载不低于2000个； 反应杯从加样位开始，全程孵育，直至检测结束。</w:t>
      </w:r>
    </w:p>
    <w:p w14:paraId="3931F228">
      <w:pPr>
        <w:spacing w:line="360" w:lineRule="auto"/>
        <w:rPr>
          <w:rFonts w:hint="eastAsia" w:ascii="宋体" w:hAnsi="宋体" w:cs="宋体"/>
          <w:sz w:val="24"/>
          <w:szCs w:val="24"/>
        </w:rPr>
      </w:pPr>
      <w:r>
        <w:rPr>
          <w:rFonts w:hint="eastAsia" w:ascii="宋体" w:hAnsi="宋体" w:cs="宋体"/>
          <w:sz w:val="24"/>
          <w:szCs w:val="24"/>
        </w:rPr>
        <w:t>13、检测完成后，仪器自动吸取反应废液，反应杯无液体残留，处理耗材无风险。</w:t>
      </w:r>
    </w:p>
    <w:p w14:paraId="4C23C1FF">
      <w:pPr>
        <w:spacing w:line="360" w:lineRule="auto"/>
        <w:rPr>
          <w:rFonts w:hint="eastAsia" w:ascii="宋体" w:hAnsi="宋体" w:cs="宋体"/>
          <w:sz w:val="24"/>
          <w:szCs w:val="24"/>
        </w:rPr>
      </w:pPr>
      <w:r>
        <w:rPr>
          <w:rFonts w:hint="eastAsia" w:ascii="宋体" w:hAnsi="宋体" w:cs="宋体"/>
          <w:sz w:val="24"/>
          <w:szCs w:val="24"/>
        </w:rPr>
        <w:t>14、可以跟LIS 系统进行双向通讯连接。</w:t>
      </w:r>
    </w:p>
    <w:p w14:paraId="12D628D5">
      <w:pPr>
        <w:spacing w:line="360" w:lineRule="auto"/>
        <w:rPr>
          <w:rFonts w:hint="eastAsia" w:ascii="宋体" w:hAnsi="宋体" w:cs="宋体"/>
          <w:sz w:val="24"/>
          <w:szCs w:val="24"/>
        </w:rPr>
      </w:pPr>
    </w:p>
    <w:p w14:paraId="3CE93B03">
      <w:pPr>
        <w:spacing w:line="360" w:lineRule="auto"/>
        <w:outlineLvl w:val="2"/>
        <w:rPr>
          <w:rFonts w:hint="eastAsia" w:ascii="宋体" w:hAnsi="宋体" w:cs="宋体"/>
          <w:b/>
          <w:bCs/>
          <w:sz w:val="24"/>
          <w:szCs w:val="24"/>
        </w:rPr>
      </w:pPr>
      <w:r>
        <w:rPr>
          <w:rFonts w:hint="eastAsia" w:ascii="宋体" w:hAnsi="宋体" w:cs="宋体"/>
          <w:b/>
          <w:bCs/>
          <w:sz w:val="24"/>
          <w:szCs w:val="24"/>
        </w:rPr>
        <w:t>品目6：全自动尿液分析流水线</w:t>
      </w:r>
    </w:p>
    <w:p w14:paraId="5A89AE71">
      <w:pPr>
        <w:pStyle w:val="31"/>
        <w:spacing w:before="0" w:beforeAutospacing="0" w:after="0" w:afterAutospacing="0" w:line="360" w:lineRule="auto"/>
        <w:rPr>
          <w:rFonts w:hint="eastAsia"/>
        </w:rPr>
      </w:pPr>
      <w:r>
        <w:rPr>
          <w:rFonts w:hint="eastAsia"/>
          <w:color w:val="000000"/>
        </w:rPr>
        <w:t>1、</w:t>
      </w:r>
      <w:r>
        <w:rPr>
          <w:rFonts w:hint="eastAsia"/>
        </w:rPr>
        <w:t>尿液流水线由尿干化学分析仪和尿沉渣组成，其中干化学检测速度≥200测试/小时，尿沉渣速度≥100测试/小时。</w:t>
      </w:r>
    </w:p>
    <w:p w14:paraId="6EF60269">
      <w:pPr>
        <w:pStyle w:val="31"/>
        <w:spacing w:before="0" w:beforeAutospacing="0" w:after="0" w:afterAutospacing="0" w:line="360" w:lineRule="auto"/>
        <w:rPr>
          <w:rFonts w:hint="eastAsia"/>
          <w:color w:val="000000"/>
        </w:rPr>
      </w:pPr>
      <w:r>
        <w:rPr>
          <w:rFonts w:hint="eastAsia"/>
          <w:color w:val="000000"/>
        </w:rPr>
        <w:t>2、智能联动功能：根据干化学结果自动提高有形成分扫描范围。</w:t>
      </w:r>
    </w:p>
    <w:p w14:paraId="6EC75C6B">
      <w:pPr>
        <w:pStyle w:val="31"/>
        <w:spacing w:before="0" w:beforeAutospacing="0" w:after="0" w:afterAutospacing="0" w:line="360" w:lineRule="auto"/>
        <w:rPr>
          <w:rFonts w:hint="eastAsia"/>
          <w:color w:val="000000"/>
        </w:rPr>
      </w:pPr>
      <w:r>
        <w:rPr>
          <w:rFonts w:hint="eastAsia"/>
          <w:color w:val="000000"/>
        </w:rPr>
        <w:t>3、携带污染率：≤0.01%（50000/uL）。</w:t>
      </w:r>
    </w:p>
    <w:p w14:paraId="713172D3">
      <w:pPr>
        <w:pStyle w:val="31"/>
        <w:spacing w:before="0" w:beforeAutospacing="0" w:after="0" w:afterAutospacing="0" w:line="360" w:lineRule="auto"/>
        <w:rPr>
          <w:rFonts w:hint="eastAsia"/>
          <w:color w:val="000000"/>
        </w:rPr>
      </w:pPr>
      <w:r>
        <w:rPr>
          <w:rFonts w:hint="eastAsia"/>
          <w:color w:val="000000"/>
        </w:rPr>
        <w:t>4、检测方法：机器视觉成像技术；光电比色原理+折射法。</w:t>
      </w:r>
    </w:p>
    <w:p w14:paraId="110EEF88">
      <w:pPr>
        <w:pStyle w:val="31"/>
        <w:spacing w:before="0" w:beforeAutospacing="0" w:after="0" w:afterAutospacing="0" w:line="360" w:lineRule="auto"/>
        <w:rPr>
          <w:rFonts w:hint="eastAsia"/>
          <w:color w:val="000000"/>
        </w:rPr>
      </w:pPr>
      <w:r>
        <w:rPr>
          <w:rFonts w:hint="eastAsia"/>
          <w:color w:val="000000"/>
        </w:rPr>
        <w:t>5、检测项目：干化学测试项目≥14 项，并提供微量白蛋白和肌酐的比值（ACR）、蛋白质与肌酐比值（PCR）。理学测试项目：颜色、浊度、比重。有形成分自动识别测试项目≥18项，红细胞位相相关参数≥8个，人工自定义参数≥30个。</w:t>
      </w:r>
    </w:p>
    <w:p w14:paraId="0507F705">
      <w:pPr>
        <w:pStyle w:val="31"/>
        <w:spacing w:before="0" w:beforeAutospacing="0" w:after="0" w:afterAutospacing="0" w:line="360" w:lineRule="auto"/>
        <w:rPr>
          <w:rFonts w:hint="eastAsia"/>
          <w:color w:val="000000"/>
        </w:rPr>
      </w:pPr>
      <w:r>
        <w:rPr>
          <w:rFonts w:hint="eastAsia"/>
          <w:color w:val="000000"/>
        </w:rPr>
        <w:t>6、待检区样本量：应用装载模块可一次性装载100份待检样本。</w:t>
      </w:r>
    </w:p>
    <w:p w14:paraId="1D9C40A7">
      <w:pPr>
        <w:pStyle w:val="31"/>
        <w:spacing w:before="0" w:beforeAutospacing="0" w:after="0" w:afterAutospacing="0" w:line="360" w:lineRule="auto"/>
        <w:rPr>
          <w:rFonts w:hint="eastAsia"/>
          <w:color w:val="000000"/>
        </w:rPr>
      </w:pPr>
      <w:r>
        <w:rPr>
          <w:rFonts w:hint="eastAsia"/>
          <w:color w:val="000000"/>
        </w:rPr>
        <w:t>7、样本量：≥2mL。</w:t>
      </w:r>
    </w:p>
    <w:p w14:paraId="0E69053D">
      <w:pPr>
        <w:pStyle w:val="31"/>
        <w:spacing w:before="0" w:beforeAutospacing="0" w:after="0" w:afterAutospacing="0" w:line="360" w:lineRule="auto"/>
        <w:rPr>
          <w:rFonts w:hint="eastAsia"/>
          <w:color w:val="000000"/>
        </w:rPr>
      </w:pPr>
      <w:r>
        <w:rPr>
          <w:rFonts w:hint="eastAsia"/>
          <w:color w:val="000000"/>
        </w:rPr>
        <w:t>8、整体化统一报告：尿液干化学分析结果+尿液有形成分分析结果+图形结果。</w:t>
      </w:r>
    </w:p>
    <w:p w14:paraId="6DFA9BF8">
      <w:pPr>
        <w:pStyle w:val="31"/>
        <w:spacing w:before="0" w:beforeAutospacing="0" w:after="0" w:afterAutospacing="0" w:line="360" w:lineRule="auto"/>
        <w:rPr>
          <w:rFonts w:hint="eastAsia"/>
          <w:color w:val="000000"/>
        </w:rPr>
      </w:pPr>
      <w:r>
        <w:rPr>
          <w:rFonts w:hint="eastAsia"/>
          <w:color w:val="000000"/>
        </w:rPr>
        <w:t>9、报告审核：具有自定义审核模式设定方式，可以自由设定审核条件。</w:t>
      </w:r>
    </w:p>
    <w:p w14:paraId="423E7CBE">
      <w:pPr>
        <w:pStyle w:val="31"/>
        <w:spacing w:before="0" w:beforeAutospacing="0" w:after="0" w:afterAutospacing="0" w:line="360" w:lineRule="auto"/>
        <w:rPr>
          <w:rFonts w:hint="eastAsia"/>
          <w:color w:val="000000"/>
        </w:rPr>
      </w:pPr>
      <w:r>
        <w:rPr>
          <w:rFonts w:hint="eastAsia"/>
          <w:color w:val="000000"/>
        </w:rPr>
        <w:t>10、样本类型：非离心尿和浓缩尿。</w:t>
      </w:r>
    </w:p>
    <w:p w14:paraId="72446468">
      <w:pPr>
        <w:pStyle w:val="31"/>
        <w:spacing w:before="0" w:beforeAutospacing="0" w:after="0" w:afterAutospacing="0" w:line="360" w:lineRule="auto"/>
        <w:rPr>
          <w:rFonts w:hint="eastAsia"/>
          <w:color w:val="000000"/>
        </w:rPr>
      </w:pPr>
      <w:r>
        <w:rPr>
          <w:rFonts w:hint="eastAsia"/>
          <w:color w:val="000000"/>
        </w:rPr>
        <w:t>11、吸样针清洗：采用高效清洗拭子清洗。</w:t>
      </w:r>
    </w:p>
    <w:p w14:paraId="44CCCC63">
      <w:pPr>
        <w:pStyle w:val="31"/>
        <w:spacing w:before="0" w:beforeAutospacing="0" w:after="0" w:afterAutospacing="0" w:line="360" w:lineRule="auto"/>
        <w:rPr>
          <w:rFonts w:hint="eastAsia"/>
          <w:color w:val="000000"/>
        </w:rPr>
      </w:pPr>
      <w:r>
        <w:rPr>
          <w:rFonts w:hint="eastAsia"/>
          <w:color w:val="000000"/>
        </w:rPr>
        <w:t>12、密闭样本管：系统支持使用配套薄膜密闭样本管，无需开盖。</w:t>
      </w:r>
    </w:p>
    <w:p w14:paraId="7FC9CD4D">
      <w:pPr>
        <w:pStyle w:val="31"/>
        <w:spacing w:before="0" w:beforeAutospacing="0" w:after="0" w:afterAutospacing="0" w:line="360" w:lineRule="auto"/>
        <w:rPr>
          <w:rFonts w:hint="eastAsia"/>
          <w:color w:val="000000"/>
        </w:rPr>
      </w:pPr>
      <w:r>
        <w:rPr>
          <w:rFonts w:hint="eastAsia"/>
          <w:color w:val="000000"/>
        </w:rPr>
        <w:t>13、携带污染率：≤0.01%。</w:t>
      </w:r>
    </w:p>
    <w:p w14:paraId="7BD5ECEB">
      <w:pPr>
        <w:pStyle w:val="31"/>
        <w:spacing w:before="0" w:beforeAutospacing="0" w:after="0" w:afterAutospacing="0" w:line="360" w:lineRule="auto"/>
        <w:rPr>
          <w:rFonts w:hint="eastAsia"/>
          <w:color w:val="000000"/>
        </w:rPr>
      </w:pPr>
      <w:r>
        <w:rPr>
          <w:rFonts w:hint="eastAsia"/>
          <w:color w:val="000000"/>
        </w:rPr>
        <w:t>14、条码扫描：单个分析模块均可配内置360°旋转条码扫描。</w:t>
      </w:r>
    </w:p>
    <w:p w14:paraId="58EEED94">
      <w:pPr>
        <w:pStyle w:val="31"/>
        <w:spacing w:before="0" w:beforeAutospacing="0" w:after="0" w:afterAutospacing="0" w:line="360" w:lineRule="auto"/>
        <w:rPr>
          <w:rFonts w:hint="eastAsia"/>
          <w:color w:val="000000"/>
        </w:rPr>
      </w:pPr>
      <w:r>
        <w:rPr>
          <w:rFonts w:hint="eastAsia"/>
          <w:color w:val="000000"/>
        </w:rPr>
        <w:t>15、图片分辨率：≥300W 像素。</w:t>
      </w:r>
    </w:p>
    <w:p w14:paraId="611D2A7E">
      <w:pPr>
        <w:pStyle w:val="31"/>
        <w:spacing w:before="0" w:beforeAutospacing="0" w:after="0" w:afterAutospacing="0" w:line="360" w:lineRule="auto"/>
        <w:rPr>
          <w:rFonts w:hint="eastAsia"/>
          <w:color w:val="000000"/>
        </w:rPr>
      </w:pPr>
      <w:r>
        <w:rPr>
          <w:rFonts w:hint="eastAsia"/>
          <w:color w:val="000000"/>
        </w:rPr>
        <w:t>16、重复性：有形成分重复性：CV≤5%（1000/μL）。干化学重复性：反射率CV≤1.0%。</w:t>
      </w:r>
    </w:p>
    <w:p w14:paraId="36F41AE9">
      <w:pPr>
        <w:pStyle w:val="31"/>
        <w:spacing w:before="0" w:beforeAutospacing="0" w:after="0" w:afterAutospacing="0" w:line="360" w:lineRule="auto"/>
        <w:rPr>
          <w:rFonts w:hint="eastAsia"/>
          <w:color w:val="000000"/>
        </w:rPr>
      </w:pPr>
      <w:r>
        <w:rPr>
          <w:rFonts w:hint="eastAsia"/>
          <w:color w:val="000000"/>
        </w:rPr>
        <w:t>17、有形成分识别率：红细胞≥90%、白细胞 ≥90%、管型 ≥90%。</w:t>
      </w:r>
    </w:p>
    <w:p w14:paraId="4DB92F24">
      <w:pPr>
        <w:pStyle w:val="31"/>
        <w:spacing w:before="0" w:beforeAutospacing="0" w:after="0" w:afterAutospacing="0" w:line="360" w:lineRule="auto"/>
        <w:rPr>
          <w:rFonts w:hint="eastAsia"/>
          <w:color w:val="000000"/>
        </w:rPr>
      </w:pPr>
      <w:r>
        <w:rPr>
          <w:rFonts w:hint="eastAsia"/>
          <w:color w:val="000000"/>
        </w:rPr>
        <w:t>18、有形成分检测线性：红细胞≥40000个/μL 线性误差不超过±15%。</w:t>
      </w:r>
    </w:p>
    <w:p w14:paraId="54525164">
      <w:pPr>
        <w:spacing w:line="360" w:lineRule="auto"/>
        <w:rPr>
          <w:rFonts w:hint="eastAsia" w:ascii="宋体" w:hAnsi="宋体" w:cs="宋体"/>
          <w:sz w:val="24"/>
          <w:szCs w:val="24"/>
        </w:rPr>
      </w:pPr>
    </w:p>
    <w:p w14:paraId="750956F2">
      <w:pPr>
        <w:spacing w:line="360" w:lineRule="auto"/>
        <w:outlineLvl w:val="2"/>
        <w:rPr>
          <w:rFonts w:hint="eastAsia" w:ascii="宋体" w:hAnsi="宋体" w:cs="宋体"/>
          <w:b/>
          <w:bCs/>
          <w:sz w:val="24"/>
          <w:szCs w:val="24"/>
        </w:rPr>
      </w:pPr>
      <w:r>
        <w:rPr>
          <w:rFonts w:hint="eastAsia" w:ascii="宋体" w:hAnsi="宋体" w:cs="宋体"/>
          <w:b/>
          <w:bCs/>
          <w:sz w:val="24"/>
          <w:szCs w:val="24"/>
        </w:rPr>
        <w:t>品目7：全自动凝血分析流水线</w:t>
      </w:r>
    </w:p>
    <w:p w14:paraId="02597828">
      <w:pPr>
        <w:spacing w:line="360" w:lineRule="auto"/>
        <w:rPr>
          <w:rFonts w:hint="eastAsia" w:ascii="宋体" w:hAnsi="宋体" w:cs="宋体"/>
          <w:bCs/>
          <w:sz w:val="24"/>
          <w:szCs w:val="24"/>
        </w:rPr>
      </w:pPr>
      <w:r>
        <w:rPr>
          <w:rFonts w:hint="eastAsia" w:ascii="宋体" w:hAnsi="宋体" w:cs="宋体"/>
          <w:bCs/>
          <w:kern w:val="0"/>
          <w:sz w:val="24"/>
          <w:szCs w:val="24"/>
        </w:rPr>
        <w:t>▲</w:t>
      </w:r>
      <w:r>
        <w:rPr>
          <w:rFonts w:hint="eastAsia" w:ascii="宋体" w:hAnsi="宋体" w:cs="宋体"/>
          <w:bCs/>
          <w:sz w:val="24"/>
          <w:szCs w:val="24"/>
        </w:rPr>
        <w:t>1、综合检测速度：PT检测速度≥900测试/小时， D-二聚体检测速度≥900测试/小时。</w:t>
      </w:r>
    </w:p>
    <w:p w14:paraId="3D633BEC">
      <w:pPr>
        <w:spacing w:line="360" w:lineRule="auto"/>
        <w:rPr>
          <w:rFonts w:hint="eastAsia" w:ascii="宋体" w:hAnsi="宋体" w:cs="宋体"/>
          <w:sz w:val="24"/>
          <w:szCs w:val="24"/>
        </w:rPr>
      </w:pPr>
      <w:r>
        <w:rPr>
          <w:rFonts w:hint="eastAsia" w:ascii="宋体" w:hAnsi="宋体" w:cs="宋体"/>
          <w:sz w:val="24"/>
          <w:szCs w:val="24"/>
        </w:rPr>
        <w:t>2、单模块检测速度：PT 检测速度≥450测试/小时，D-二聚体检测 速度≥400测试/小时。</w:t>
      </w:r>
    </w:p>
    <w:p w14:paraId="22FE98B7">
      <w:pPr>
        <w:spacing w:line="360" w:lineRule="auto"/>
        <w:rPr>
          <w:rFonts w:hint="eastAsia" w:ascii="宋体" w:hAnsi="宋体" w:cs="宋体"/>
          <w:sz w:val="24"/>
          <w:szCs w:val="24"/>
        </w:rPr>
      </w:pPr>
      <w:r>
        <w:rPr>
          <w:rFonts w:hint="eastAsia" w:ascii="宋体" w:hAnsi="宋体" w:cs="宋体"/>
          <w:sz w:val="24"/>
          <w:szCs w:val="24"/>
        </w:rPr>
        <w:t>3、检测方法：含凝固法、发色底物法、免疫比浊法等检测方法；检测通道≥20个：凝固法、发色底物法和免疫比浊法三种方法学均有20个检测通道。</w:t>
      </w:r>
    </w:p>
    <w:p w14:paraId="1C357601">
      <w:pPr>
        <w:spacing w:line="360" w:lineRule="auto"/>
        <w:rPr>
          <w:rFonts w:hint="eastAsia" w:ascii="宋体" w:hAnsi="宋体" w:cs="宋体"/>
          <w:sz w:val="24"/>
          <w:szCs w:val="24"/>
        </w:rPr>
      </w:pPr>
      <w:r>
        <w:rPr>
          <w:rFonts w:hint="eastAsia" w:ascii="宋体" w:hAnsi="宋体" w:cs="宋体"/>
          <w:sz w:val="24"/>
          <w:szCs w:val="24"/>
        </w:rPr>
        <w:t>4、检测参数：至少能开展PT、APTT、TT、Fib、AT-III、DD、FDP等项目。</w:t>
      </w:r>
    </w:p>
    <w:p w14:paraId="49FCCFD1">
      <w:pPr>
        <w:spacing w:line="360" w:lineRule="auto"/>
        <w:rPr>
          <w:rFonts w:hint="eastAsia" w:ascii="宋体" w:hAnsi="宋体" w:cs="宋体"/>
          <w:sz w:val="24"/>
          <w:szCs w:val="24"/>
        </w:rPr>
      </w:pPr>
      <w:r>
        <w:rPr>
          <w:rFonts w:hint="eastAsia" w:ascii="宋体" w:hAnsi="宋体" w:cs="宋体"/>
          <w:sz w:val="24"/>
          <w:szCs w:val="24"/>
        </w:rPr>
        <w:t>5、最大扩展流水线模块数：≥3个。</w:t>
      </w:r>
    </w:p>
    <w:p w14:paraId="02BD5B66">
      <w:pPr>
        <w:spacing w:line="360" w:lineRule="auto"/>
        <w:rPr>
          <w:rFonts w:hint="eastAsia" w:ascii="宋体" w:hAnsi="宋体" w:cs="宋体"/>
          <w:sz w:val="24"/>
          <w:szCs w:val="24"/>
        </w:rPr>
      </w:pPr>
      <w:r>
        <w:rPr>
          <w:rFonts w:hint="eastAsia" w:ascii="宋体" w:hAnsi="宋体" w:cs="宋体"/>
          <w:sz w:val="24"/>
          <w:szCs w:val="24"/>
        </w:rPr>
        <w:t>6、进样方式：支持全自动进样和急诊进样模式，均支持闭盖穿刺进样，避免气溶胶带来的实验室生物危害。</w:t>
      </w:r>
    </w:p>
    <w:p w14:paraId="3567FCB2">
      <w:pPr>
        <w:spacing w:line="360" w:lineRule="auto"/>
        <w:rPr>
          <w:rFonts w:hint="eastAsia" w:ascii="宋体" w:hAnsi="宋体" w:cs="宋体"/>
          <w:sz w:val="24"/>
          <w:szCs w:val="24"/>
        </w:rPr>
      </w:pPr>
      <w:r>
        <w:rPr>
          <w:rFonts w:hint="eastAsia" w:ascii="宋体" w:hAnsi="宋体" w:cs="宋体"/>
          <w:sz w:val="24"/>
          <w:szCs w:val="24"/>
        </w:rPr>
        <w:t>7、样本位：单模块≥200个；有专用急诊位，急诊可随到随测。</w:t>
      </w:r>
    </w:p>
    <w:p w14:paraId="71560BAF">
      <w:pPr>
        <w:spacing w:line="360" w:lineRule="auto"/>
        <w:rPr>
          <w:rFonts w:hint="eastAsia" w:ascii="宋体" w:hAnsi="宋体" w:cs="宋体"/>
          <w:sz w:val="24"/>
          <w:szCs w:val="24"/>
        </w:rPr>
      </w:pPr>
      <w:r>
        <w:rPr>
          <w:rFonts w:hint="eastAsia" w:ascii="宋体" w:hAnsi="宋体" w:cs="宋体"/>
          <w:sz w:val="24"/>
          <w:szCs w:val="24"/>
        </w:rPr>
        <w:t>8、加样针（包含样本针和试剂针）≥5根；综合针及试剂针具有立体防撞、液面感应以及温度自动补偿功能。</w:t>
      </w:r>
    </w:p>
    <w:p w14:paraId="0D0B334F">
      <w:pPr>
        <w:spacing w:line="360" w:lineRule="auto"/>
        <w:rPr>
          <w:rFonts w:hint="eastAsia" w:ascii="宋体" w:hAnsi="宋体" w:cs="宋体"/>
          <w:sz w:val="24"/>
          <w:szCs w:val="24"/>
        </w:rPr>
      </w:pPr>
      <w:r>
        <w:rPr>
          <w:rFonts w:hint="eastAsia" w:ascii="宋体" w:hAnsi="宋体" w:cs="宋体"/>
          <w:sz w:val="24"/>
          <w:szCs w:val="24"/>
        </w:rPr>
        <w:t>9、条码扫描：具有内置条码扫描装置，可以实时扫描样本的条码信息，自动进样架和急诊位进样，均支持样本旋转扫码。</w:t>
      </w:r>
    </w:p>
    <w:p w14:paraId="01BC258F">
      <w:pPr>
        <w:spacing w:line="360" w:lineRule="auto"/>
        <w:rPr>
          <w:rFonts w:hint="eastAsia" w:ascii="宋体" w:hAnsi="宋体" w:cs="宋体"/>
          <w:sz w:val="24"/>
          <w:szCs w:val="24"/>
        </w:rPr>
      </w:pPr>
      <w:r>
        <w:rPr>
          <w:rFonts w:hint="eastAsia" w:ascii="宋体" w:hAnsi="宋体" w:cs="宋体"/>
          <w:sz w:val="24"/>
          <w:szCs w:val="24"/>
        </w:rPr>
        <w:t>10、光源：长寿命光源。</w:t>
      </w:r>
    </w:p>
    <w:p w14:paraId="29F999D8">
      <w:pPr>
        <w:spacing w:line="360" w:lineRule="auto"/>
        <w:rPr>
          <w:rFonts w:hint="eastAsia" w:ascii="宋体" w:hAnsi="宋体" w:cs="宋体"/>
          <w:sz w:val="24"/>
          <w:szCs w:val="24"/>
        </w:rPr>
      </w:pPr>
      <w:r>
        <w:rPr>
          <w:rFonts w:hint="eastAsia" w:ascii="宋体" w:hAnsi="宋体" w:cs="宋体"/>
          <w:sz w:val="24"/>
          <w:szCs w:val="24"/>
        </w:rPr>
        <w:t>11、纤维蛋白原测定方法：仪器拥有PT演算纤维蛋白原与Clauss法实测纤维蛋白原两种方法。</w:t>
      </w:r>
    </w:p>
    <w:p w14:paraId="678FC477">
      <w:pPr>
        <w:spacing w:line="360" w:lineRule="auto"/>
        <w:rPr>
          <w:rFonts w:hint="eastAsia" w:ascii="宋体" w:hAnsi="宋体" w:cs="宋体"/>
          <w:sz w:val="24"/>
          <w:szCs w:val="24"/>
        </w:rPr>
      </w:pPr>
      <w:r>
        <w:rPr>
          <w:rFonts w:hint="eastAsia" w:ascii="宋体" w:hAnsi="宋体" w:cs="宋体"/>
          <w:sz w:val="24"/>
          <w:szCs w:val="24"/>
        </w:rPr>
        <w:t>12、溶血、黄疸、脂血样本监测功能：能自动监测并提示样本是否为溶血、黄疸或脂血标本。</w:t>
      </w:r>
    </w:p>
    <w:p w14:paraId="117107A3">
      <w:pPr>
        <w:spacing w:line="360" w:lineRule="auto"/>
        <w:rPr>
          <w:rFonts w:hint="eastAsia" w:ascii="宋体" w:hAnsi="宋体" w:cs="宋体"/>
          <w:sz w:val="24"/>
          <w:szCs w:val="24"/>
        </w:rPr>
      </w:pPr>
      <w:r>
        <w:rPr>
          <w:rFonts w:hint="eastAsia" w:ascii="宋体" w:hAnsi="宋体" w:cs="宋体"/>
          <w:sz w:val="24"/>
          <w:szCs w:val="24"/>
        </w:rPr>
        <w:t>13、检测波长：≥4个。</w:t>
      </w:r>
    </w:p>
    <w:p w14:paraId="383EBC1A">
      <w:pPr>
        <w:spacing w:line="360" w:lineRule="auto"/>
        <w:rPr>
          <w:rFonts w:hint="eastAsia" w:ascii="宋体" w:hAnsi="宋体" w:cs="宋体"/>
          <w:sz w:val="24"/>
          <w:szCs w:val="24"/>
        </w:rPr>
      </w:pPr>
      <w:r>
        <w:rPr>
          <w:rFonts w:hint="eastAsia" w:ascii="宋体" w:hAnsi="宋体" w:cs="宋体"/>
          <w:sz w:val="24"/>
          <w:szCs w:val="24"/>
        </w:rPr>
        <w:t>14、试剂加载：可实现不停机试剂加载，当前测试不暂停不中断。</w:t>
      </w:r>
    </w:p>
    <w:p w14:paraId="59C2FAA6">
      <w:pPr>
        <w:spacing w:line="360" w:lineRule="auto"/>
        <w:rPr>
          <w:rFonts w:hint="eastAsia" w:ascii="宋体" w:hAnsi="宋体" w:cs="宋体"/>
          <w:sz w:val="24"/>
          <w:szCs w:val="24"/>
        </w:rPr>
      </w:pPr>
      <w:r>
        <w:rPr>
          <w:rFonts w:hint="eastAsia" w:ascii="宋体" w:hAnsi="宋体" w:cs="宋体"/>
          <w:sz w:val="24"/>
          <w:szCs w:val="24"/>
        </w:rPr>
        <w:t>15、反应杯加载：可一次性装载反应杯≥1200个，并支持测试中添加。</w:t>
      </w:r>
    </w:p>
    <w:p w14:paraId="28169DE7">
      <w:pPr>
        <w:spacing w:line="360" w:lineRule="auto"/>
        <w:rPr>
          <w:rFonts w:hint="eastAsia" w:ascii="宋体" w:hAnsi="宋体" w:cs="宋体"/>
          <w:sz w:val="24"/>
          <w:szCs w:val="24"/>
        </w:rPr>
      </w:pPr>
      <w:r>
        <w:rPr>
          <w:rFonts w:hint="eastAsia" w:ascii="宋体" w:hAnsi="宋体" w:cs="宋体"/>
          <w:sz w:val="24"/>
          <w:szCs w:val="24"/>
        </w:rPr>
        <w:t>16、试剂信息读取：试剂信息自动扫描、报警、容量(测试数)提示功能。</w:t>
      </w:r>
    </w:p>
    <w:p w14:paraId="06B47A78">
      <w:pPr>
        <w:spacing w:line="360" w:lineRule="auto"/>
        <w:rPr>
          <w:rFonts w:hint="eastAsia" w:ascii="宋体" w:hAnsi="宋体" w:cs="宋体"/>
          <w:sz w:val="24"/>
          <w:szCs w:val="24"/>
        </w:rPr>
      </w:pPr>
      <w:r>
        <w:rPr>
          <w:rFonts w:hint="eastAsia" w:ascii="宋体" w:hAnsi="宋体" w:cs="宋体"/>
          <w:sz w:val="24"/>
          <w:szCs w:val="24"/>
        </w:rPr>
        <w:t>17、纠正实验：支持APTT纠正实验7步检测全自动化，且满足2h在机自动孵育。</w:t>
      </w:r>
    </w:p>
    <w:p w14:paraId="54CAEF03">
      <w:pPr>
        <w:spacing w:line="360" w:lineRule="auto"/>
        <w:rPr>
          <w:rFonts w:hint="eastAsia" w:ascii="宋体" w:hAnsi="宋体" w:cs="宋体"/>
          <w:sz w:val="24"/>
          <w:szCs w:val="24"/>
        </w:rPr>
      </w:pPr>
      <w:r>
        <w:rPr>
          <w:rFonts w:hint="eastAsia" w:ascii="宋体" w:hAnsi="宋体" w:cs="宋体"/>
          <w:sz w:val="24"/>
          <w:szCs w:val="24"/>
        </w:rPr>
        <w:t>18、质量控制：且支持手动或自动质控，具备报警功能。</w:t>
      </w:r>
    </w:p>
    <w:p w14:paraId="08402062">
      <w:pPr>
        <w:spacing w:line="360" w:lineRule="auto"/>
        <w:rPr>
          <w:rFonts w:hint="eastAsia" w:ascii="宋体" w:hAnsi="宋体" w:cs="宋体"/>
          <w:sz w:val="24"/>
          <w:szCs w:val="24"/>
        </w:rPr>
      </w:pPr>
      <w:r>
        <w:rPr>
          <w:rFonts w:hint="eastAsia" w:ascii="宋体" w:hAnsi="宋体" w:cs="宋体"/>
          <w:sz w:val="24"/>
          <w:szCs w:val="24"/>
        </w:rPr>
        <w:t>19、独立急诊专用进样通道，急诊响应时间≤30秒。</w:t>
      </w:r>
    </w:p>
    <w:p w14:paraId="1F26FE5C">
      <w:pPr>
        <w:spacing w:line="360" w:lineRule="auto"/>
        <w:rPr>
          <w:rFonts w:hint="eastAsia" w:ascii="宋体" w:hAnsi="宋体" w:cs="宋体"/>
          <w:sz w:val="24"/>
          <w:szCs w:val="24"/>
        </w:rPr>
      </w:pPr>
      <w:r>
        <w:rPr>
          <w:rFonts w:hint="eastAsia" w:ascii="宋体" w:hAnsi="宋体" w:cs="宋体"/>
          <w:sz w:val="24"/>
          <w:szCs w:val="24"/>
        </w:rPr>
        <w:t>20、单模块试剂腔位：≥50个，其中试剂冷藏位≥20个，冷藏温度低于 16℃。</w:t>
      </w:r>
    </w:p>
    <w:p w14:paraId="35F8D016">
      <w:pPr>
        <w:spacing w:line="360" w:lineRule="auto"/>
        <w:rPr>
          <w:rFonts w:hint="eastAsia" w:ascii="宋体" w:hAnsi="宋体" w:cs="宋体"/>
          <w:sz w:val="24"/>
          <w:szCs w:val="24"/>
        </w:rPr>
      </w:pPr>
    </w:p>
    <w:p w14:paraId="2553AC78">
      <w:pPr>
        <w:spacing w:line="360" w:lineRule="auto"/>
        <w:rPr>
          <w:rFonts w:hint="eastAsia" w:ascii="宋体" w:hAnsi="宋体" w:cs="宋体"/>
          <w:sz w:val="24"/>
          <w:szCs w:val="24"/>
        </w:rPr>
      </w:pPr>
    </w:p>
    <w:p w14:paraId="160C2E38">
      <w:pPr>
        <w:spacing w:line="360" w:lineRule="auto"/>
        <w:outlineLvl w:val="2"/>
        <w:rPr>
          <w:rFonts w:hint="eastAsia" w:ascii="宋体" w:hAnsi="宋体" w:cs="宋体"/>
          <w:b/>
          <w:bCs/>
          <w:sz w:val="24"/>
          <w:szCs w:val="24"/>
        </w:rPr>
      </w:pPr>
      <w:r>
        <w:rPr>
          <w:rFonts w:hint="eastAsia" w:ascii="宋体" w:hAnsi="宋体" w:cs="宋体"/>
          <w:b/>
          <w:bCs/>
          <w:sz w:val="24"/>
          <w:szCs w:val="24"/>
        </w:rPr>
        <w:t>品目8：全自动生化分析仪</w:t>
      </w:r>
    </w:p>
    <w:p w14:paraId="6C55DDC7">
      <w:pPr>
        <w:spacing w:line="360" w:lineRule="auto"/>
        <w:rPr>
          <w:rFonts w:hint="eastAsia" w:ascii="宋体" w:hAnsi="宋体" w:cs="宋体"/>
          <w:sz w:val="24"/>
          <w:szCs w:val="24"/>
        </w:rPr>
      </w:pPr>
      <w:r>
        <w:rPr>
          <w:rFonts w:hint="eastAsia" w:ascii="宋体" w:hAnsi="宋体" w:cs="宋体"/>
          <w:b/>
          <w:kern w:val="0"/>
          <w:sz w:val="24"/>
          <w:szCs w:val="24"/>
        </w:rPr>
        <w:t>▲</w:t>
      </w:r>
      <w:r>
        <w:rPr>
          <w:rFonts w:hint="eastAsia" w:ascii="宋体" w:hAnsi="宋体" w:cs="宋体"/>
          <w:sz w:val="24"/>
          <w:szCs w:val="24"/>
        </w:rPr>
        <w:t>1、处理能力：常规生化测定恒速≥2000测试/小时，电解质ISE单模块速度≥600测试/小时，且可扩展。</w:t>
      </w:r>
    </w:p>
    <w:p w14:paraId="352A076A">
      <w:pPr>
        <w:spacing w:line="360" w:lineRule="auto"/>
        <w:rPr>
          <w:rFonts w:hint="eastAsia" w:ascii="宋体" w:hAnsi="宋体" w:cs="宋体"/>
          <w:sz w:val="24"/>
          <w:szCs w:val="24"/>
        </w:rPr>
      </w:pPr>
      <w:r>
        <w:rPr>
          <w:rFonts w:hint="eastAsia" w:ascii="宋体" w:hAnsi="宋体" w:cs="宋体"/>
          <w:sz w:val="24"/>
          <w:szCs w:val="24"/>
        </w:rPr>
        <w:t>2、同时分析项目数：单模块双试剂≥60项，模块扩展后最大可实现同时分析≥100个项目。</w:t>
      </w:r>
    </w:p>
    <w:p w14:paraId="286B4B8B">
      <w:pPr>
        <w:spacing w:line="360" w:lineRule="auto"/>
        <w:rPr>
          <w:rFonts w:hint="eastAsia" w:ascii="宋体" w:hAnsi="宋体" w:cs="宋体"/>
          <w:sz w:val="24"/>
          <w:szCs w:val="24"/>
        </w:rPr>
      </w:pPr>
      <w:r>
        <w:rPr>
          <w:rFonts w:hint="eastAsia" w:ascii="宋体" w:hAnsi="宋体" w:cs="宋体"/>
          <w:sz w:val="24"/>
          <w:szCs w:val="24"/>
        </w:rPr>
        <w:t>3、采用轨道式进样，可连续装载样本，最大样本容量≥300个，样品架附有样品架条形码。</w:t>
      </w:r>
    </w:p>
    <w:p w14:paraId="373DEBC3">
      <w:pPr>
        <w:spacing w:line="360" w:lineRule="auto"/>
        <w:rPr>
          <w:rFonts w:hint="eastAsia" w:ascii="宋体" w:hAnsi="宋体" w:cs="宋体"/>
          <w:sz w:val="24"/>
          <w:szCs w:val="24"/>
        </w:rPr>
      </w:pPr>
      <w:r>
        <w:rPr>
          <w:rFonts w:hint="eastAsia" w:ascii="宋体" w:hAnsi="宋体" w:cs="宋体"/>
          <w:sz w:val="24"/>
          <w:szCs w:val="24"/>
        </w:rPr>
        <w:t>4、分析方法：终点法、固定时间法、速率法</w:t>
      </w:r>
    </w:p>
    <w:p w14:paraId="5D8A70A1">
      <w:pPr>
        <w:spacing w:line="360" w:lineRule="auto"/>
        <w:rPr>
          <w:rFonts w:hint="eastAsia" w:ascii="宋体" w:hAnsi="宋体" w:cs="宋体"/>
          <w:sz w:val="24"/>
          <w:szCs w:val="24"/>
        </w:rPr>
      </w:pPr>
      <w:r>
        <w:rPr>
          <w:rFonts w:hint="eastAsia" w:ascii="宋体" w:hAnsi="宋体" w:cs="宋体"/>
          <w:sz w:val="24"/>
          <w:szCs w:val="24"/>
        </w:rPr>
        <w:t>5、支持单/双、三/四试剂测试和单、双波长。</w:t>
      </w:r>
    </w:p>
    <w:p w14:paraId="230FB3B2">
      <w:pPr>
        <w:spacing w:line="360" w:lineRule="auto"/>
        <w:rPr>
          <w:rFonts w:hint="eastAsia" w:ascii="宋体" w:hAnsi="宋体" w:cs="宋体"/>
          <w:sz w:val="24"/>
          <w:szCs w:val="24"/>
        </w:rPr>
      </w:pPr>
      <w:r>
        <w:rPr>
          <w:rFonts w:hint="eastAsia" w:ascii="宋体" w:hAnsi="宋体" w:cs="宋体"/>
          <w:sz w:val="24"/>
          <w:szCs w:val="24"/>
        </w:rPr>
        <w:t>6、吸光度线性范围：0～3.5Abs, 单波长或双波长测量(16个波长，范围340nm～850 nm)。</w:t>
      </w:r>
    </w:p>
    <w:p w14:paraId="2C6D7A06">
      <w:pPr>
        <w:spacing w:line="360" w:lineRule="auto"/>
        <w:rPr>
          <w:rFonts w:hint="eastAsia" w:ascii="宋体" w:hAnsi="宋体" w:cs="宋体"/>
          <w:sz w:val="24"/>
          <w:szCs w:val="24"/>
        </w:rPr>
      </w:pPr>
      <w:r>
        <w:rPr>
          <w:rFonts w:hint="eastAsia" w:ascii="宋体" w:hAnsi="宋体" w:cs="宋体"/>
          <w:sz w:val="24"/>
          <w:szCs w:val="24"/>
        </w:rPr>
        <w:t>7、样品量：2ul～20ul,0.1ul步进，具有自动检测液面、纵向横向防碰自动保护功能。</w:t>
      </w:r>
    </w:p>
    <w:p w14:paraId="7EEF0128">
      <w:pPr>
        <w:spacing w:line="360" w:lineRule="auto"/>
        <w:rPr>
          <w:rFonts w:hint="eastAsia" w:ascii="宋体" w:hAnsi="宋体" w:cs="宋体"/>
          <w:sz w:val="24"/>
          <w:szCs w:val="24"/>
        </w:rPr>
      </w:pPr>
      <w:r>
        <w:rPr>
          <w:rFonts w:hint="eastAsia" w:ascii="宋体" w:hAnsi="宋体" w:cs="宋体"/>
          <w:sz w:val="24"/>
          <w:szCs w:val="24"/>
        </w:rPr>
        <w:t xml:space="preserve">8、反应杯：采用石英比色杯，兼顾检测精度与运行成本。 </w:t>
      </w:r>
    </w:p>
    <w:p w14:paraId="320C5896">
      <w:pPr>
        <w:spacing w:line="360" w:lineRule="auto"/>
        <w:rPr>
          <w:rFonts w:hint="eastAsia" w:ascii="宋体" w:hAnsi="宋体" w:cs="宋体"/>
          <w:sz w:val="24"/>
          <w:szCs w:val="24"/>
        </w:rPr>
      </w:pPr>
      <w:r>
        <w:rPr>
          <w:rFonts w:hint="eastAsia" w:ascii="宋体" w:hAnsi="宋体" w:cs="宋体"/>
          <w:sz w:val="24"/>
          <w:szCs w:val="24"/>
        </w:rPr>
        <w:t>9、恒温系统：采用循环水浴式控温或固体直热，37.0℃±0.3℃, 波动度不大于±0.1℃。</w:t>
      </w:r>
    </w:p>
    <w:p w14:paraId="1EAF527A">
      <w:pPr>
        <w:spacing w:line="360" w:lineRule="auto"/>
        <w:rPr>
          <w:rFonts w:hint="eastAsia" w:ascii="宋体" w:hAnsi="宋体" w:cs="宋体"/>
          <w:sz w:val="24"/>
          <w:szCs w:val="24"/>
        </w:rPr>
      </w:pPr>
      <w:r>
        <w:rPr>
          <w:rFonts w:hint="eastAsia" w:ascii="宋体" w:hAnsi="宋体" w:cs="宋体"/>
          <w:sz w:val="24"/>
          <w:szCs w:val="24"/>
        </w:rPr>
        <w:t>10、 样品针堵塞检测功能：可实时监控和解析吸样时样品针内压力变化，自动检测出吸样时的异常情况并及时发出预警，避免了样品针部分堵塞时导致的结果误判。</w:t>
      </w:r>
    </w:p>
    <w:p w14:paraId="46FBDFF2">
      <w:pPr>
        <w:spacing w:line="360" w:lineRule="auto"/>
        <w:rPr>
          <w:rFonts w:hint="eastAsia" w:ascii="宋体" w:hAnsi="宋体" w:cs="宋体"/>
          <w:sz w:val="24"/>
          <w:szCs w:val="24"/>
        </w:rPr>
      </w:pPr>
      <w:r>
        <w:rPr>
          <w:rFonts w:hint="eastAsia" w:ascii="宋体" w:hAnsi="宋体" w:cs="宋体"/>
          <w:sz w:val="24"/>
          <w:szCs w:val="24"/>
        </w:rPr>
        <w:t>11、具有质控管理、远程维护功能。</w:t>
      </w:r>
    </w:p>
    <w:p w14:paraId="47CB27A5">
      <w:pPr>
        <w:spacing w:line="360" w:lineRule="auto"/>
        <w:rPr>
          <w:rFonts w:hint="eastAsia" w:ascii="宋体" w:hAnsi="宋体" w:cs="宋体"/>
          <w:sz w:val="24"/>
          <w:szCs w:val="24"/>
        </w:rPr>
      </w:pPr>
      <w:r>
        <w:rPr>
          <w:rFonts w:hint="eastAsia" w:ascii="宋体" w:hAnsi="宋体" w:cs="宋体"/>
          <w:sz w:val="24"/>
          <w:szCs w:val="24"/>
        </w:rPr>
        <w:t>12、试剂全开放。</w:t>
      </w:r>
    </w:p>
    <w:p w14:paraId="57BCD1E3">
      <w:pPr>
        <w:spacing w:line="360" w:lineRule="auto"/>
        <w:rPr>
          <w:rFonts w:hint="eastAsia" w:ascii="宋体" w:hAnsi="宋体" w:cs="宋体"/>
          <w:sz w:val="24"/>
          <w:szCs w:val="24"/>
        </w:rPr>
      </w:pPr>
    </w:p>
    <w:p w14:paraId="01CCCF5B">
      <w:pPr>
        <w:spacing w:line="360" w:lineRule="auto"/>
        <w:outlineLvl w:val="2"/>
        <w:rPr>
          <w:rFonts w:hint="eastAsia" w:ascii="宋体" w:hAnsi="宋体" w:cs="宋体"/>
          <w:b/>
          <w:bCs/>
          <w:sz w:val="24"/>
          <w:szCs w:val="24"/>
        </w:rPr>
      </w:pPr>
      <w:r>
        <w:rPr>
          <w:rFonts w:hint="eastAsia" w:ascii="宋体" w:hAnsi="宋体" w:cs="宋体"/>
          <w:b/>
          <w:bCs/>
          <w:sz w:val="24"/>
          <w:szCs w:val="24"/>
        </w:rPr>
        <w:t>品目9：全自动生化免疫流水线</w:t>
      </w:r>
    </w:p>
    <w:p w14:paraId="293B7A07">
      <w:pPr>
        <w:spacing w:line="360" w:lineRule="auto"/>
        <w:rPr>
          <w:rFonts w:hint="eastAsia" w:ascii="宋体" w:hAnsi="宋体" w:cs="宋体"/>
          <w:b/>
          <w:bCs/>
          <w:sz w:val="24"/>
          <w:szCs w:val="24"/>
        </w:rPr>
      </w:pPr>
      <w:r>
        <w:rPr>
          <w:rFonts w:hint="eastAsia" w:ascii="宋体" w:hAnsi="宋体" w:cs="宋体"/>
          <w:b/>
          <w:bCs/>
          <w:sz w:val="24"/>
          <w:szCs w:val="24"/>
        </w:rPr>
        <w:t>一 、总体要求：</w:t>
      </w:r>
    </w:p>
    <w:p w14:paraId="69C51936">
      <w:pPr>
        <w:spacing w:line="360" w:lineRule="auto"/>
        <w:rPr>
          <w:rFonts w:hint="eastAsia" w:ascii="宋体" w:hAnsi="宋体" w:cs="宋体"/>
          <w:sz w:val="24"/>
          <w:szCs w:val="24"/>
        </w:rPr>
      </w:pPr>
      <w:r>
        <w:rPr>
          <w:rFonts w:hint="eastAsia" w:ascii="宋体" w:hAnsi="宋体" w:cs="宋体"/>
          <w:b/>
          <w:kern w:val="0"/>
          <w:sz w:val="24"/>
          <w:szCs w:val="24"/>
        </w:rPr>
        <w:t>▲</w:t>
      </w:r>
      <w:r>
        <w:rPr>
          <w:rFonts w:hint="eastAsia" w:ascii="宋体" w:hAnsi="宋体" w:cs="宋体"/>
          <w:sz w:val="24"/>
          <w:szCs w:val="24"/>
        </w:rPr>
        <w:t>1.所投设备需包括进样和出样模块、自动离心模块、自动去盖模块、全自动生化分析仪、全自动化学发光免疫分析仪、后处理系统、传输轨道及数据信息管理系统。</w:t>
      </w:r>
    </w:p>
    <w:p w14:paraId="49652613">
      <w:pPr>
        <w:spacing w:line="360" w:lineRule="auto"/>
        <w:rPr>
          <w:rFonts w:hint="eastAsia" w:ascii="宋体" w:hAnsi="宋体" w:cs="宋体"/>
          <w:b/>
          <w:bCs/>
          <w:sz w:val="24"/>
          <w:szCs w:val="24"/>
        </w:rPr>
      </w:pPr>
      <w:r>
        <w:rPr>
          <w:rFonts w:hint="eastAsia" w:ascii="宋体" w:hAnsi="宋体" w:cs="宋体"/>
          <w:b/>
          <w:bCs/>
          <w:sz w:val="24"/>
          <w:szCs w:val="24"/>
        </w:rPr>
        <w:t>二、全自动样本处理系统参数</w:t>
      </w:r>
    </w:p>
    <w:p w14:paraId="4872919A">
      <w:pPr>
        <w:tabs>
          <w:tab w:val="left" w:pos="6030"/>
        </w:tabs>
        <w:spacing w:line="360" w:lineRule="auto"/>
        <w:rPr>
          <w:rFonts w:hint="eastAsia" w:ascii="宋体" w:hAnsi="宋体" w:cs="宋体"/>
          <w:b/>
          <w:bCs/>
          <w:sz w:val="24"/>
          <w:szCs w:val="24"/>
        </w:rPr>
      </w:pPr>
      <w:r>
        <w:rPr>
          <w:rFonts w:hint="eastAsia" w:ascii="宋体" w:hAnsi="宋体" w:cs="宋体"/>
          <w:b/>
          <w:bCs/>
          <w:sz w:val="24"/>
          <w:szCs w:val="24"/>
        </w:rPr>
        <w:t>前处理：</w:t>
      </w:r>
      <w:r>
        <w:rPr>
          <w:rFonts w:hint="eastAsia" w:ascii="宋体" w:hAnsi="宋体" w:cs="宋体"/>
          <w:b/>
          <w:bCs/>
          <w:sz w:val="24"/>
          <w:szCs w:val="24"/>
        </w:rPr>
        <w:tab/>
      </w:r>
    </w:p>
    <w:p w14:paraId="6E488D98">
      <w:pPr>
        <w:spacing w:line="360" w:lineRule="auto"/>
        <w:rPr>
          <w:rFonts w:hint="eastAsia" w:ascii="宋体" w:hAnsi="宋体" w:cs="宋体"/>
          <w:sz w:val="24"/>
          <w:szCs w:val="24"/>
        </w:rPr>
      </w:pPr>
      <w:r>
        <w:rPr>
          <w:rFonts w:hint="eastAsia" w:ascii="宋体" w:hAnsi="宋体" w:cs="宋体"/>
          <w:sz w:val="24"/>
          <w:szCs w:val="24"/>
        </w:rPr>
        <w:t>1、单模块的处理能力：≥800管/小时。</w:t>
      </w:r>
    </w:p>
    <w:p w14:paraId="706CF973">
      <w:pPr>
        <w:spacing w:line="360" w:lineRule="auto"/>
        <w:rPr>
          <w:rFonts w:hint="eastAsia" w:ascii="宋体" w:hAnsi="宋体" w:cs="宋体"/>
          <w:sz w:val="24"/>
          <w:szCs w:val="24"/>
        </w:rPr>
      </w:pPr>
      <w:r>
        <w:rPr>
          <w:rFonts w:hint="eastAsia" w:ascii="宋体" w:hAnsi="宋体" w:cs="宋体"/>
          <w:sz w:val="24"/>
          <w:szCs w:val="24"/>
        </w:rPr>
        <w:t>2、进样量：≥800管，可连续进样。</w:t>
      </w:r>
    </w:p>
    <w:p w14:paraId="1FAAAD16">
      <w:pPr>
        <w:spacing w:line="360" w:lineRule="auto"/>
        <w:rPr>
          <w:rFonts w:hint="eastAsia" w:ascii="宋体" w:hAnsi="宋体" w:cs="宋体"/>
          <w:sz w:val="24"/>
          <w:szCs w:val="24"/>
        </w:rPr>
      </w:pPr>
      <w:r>
        <w:rPr>
          <w:rFonts w:hint="eastAsia" w:ascii="宋体" w:hAnsi="宋体" w:cs="宋体"/>
          <w:sz w:val="24"/>
          <w:szCs w:val="24"/>
        </w:rPr>
        <w:t>3、支持多类型样本管(直径13mm/16mm* 高度75mm/100mm)及微量杯、EP管,不同高度样本管可混用。</w:t>
      </w:r>
    </w:p>
    <w:p w14:paraId="71BEE5A7">
      <w:pPr>
        <w:spacing w:line="360" w:lineRule="auto"/>
        <w:rPr>
          <w:rFonts w:hint="eastAsia" w:ascii="宋体" w:hAnsi="宋体" w:cs="宋体"/>
          <w:sz w:val="24"/>
          <w:szCs w:val="24"/>
        </w:rPr>
      </w:pPr>
      <w:r>
        <w:rPr>
          <w:rFonts w:hint="eastAsia" w:ascii="宋体" w:hAnsi="宋体" w:cs="宋体"/>
          <w:sz w:val="24"/>
          <w:szCs w:val="24"/>
        </w:rPr>
        <w:t>4、支持急诊样本优先处理。</w:t>
      </w:r>
    </w:p>
    <w:p w14:paraId="437D2E81">
      <w:pPr>
        <w:spacing w:line="360" w:lineRule="auto"/>
        <w:rPr>
          <w:rFonts w:hint="eastAsia" w:ascii="宋体" w:hAnsi="宋体" w:cs="宋体"/>
          <w:sz w:val="24"/>
          <w:szCs w:val="24"/>
        </w:rPr>
      </w:pPr>
      <w:r>
        <w:rPr>
          <w:rFonts w:hint="eastAsia" w:ascii="宋体" w:hAnsi="宋体" w:cs="宋体"/>
          <w:sz w:val="24"/>
          <w:szCs w:val="24"/>
        </w:rPr>
        <w:t>5、自动旋转扫描样本管，支持多种码制的样本条码。</w:t>
      </w:r>
    </w:p>
    <w:p w14:paraId="346DE800">
      <w:pPr>
        <w:spacing w:line="360" w:lineRule="auto"/>
        <w:rPr>
          <w:rFonts w:hint="eastAsia" w:ascii="宋体" w:hAnsi="宋体" w:cs="宋体"/>
          <w:sz w:val="24"/>
          <w:szCs w:val="24"/>
        </w:rPr>
      </w:pPr>
      <w:r>
        <w:rPr>
          <w:rFonts w:hint="eastAsia" w:ascii="宋体" w:hAnsi="宋体" w:cs="宋体"/>
          <w:b/>
          <w:kern w:val="0"/>
          <w:sz w:val="24"/>
          <w:szCs w:val="24"/>
        </w:rPr>
        <w:t>▲</w:t>
      </w:r>
      <w:r>
        <w:rPr>
          <w:rFonts w:hint="eastAsia" w:ascii="宋体" w:hAnsi="宋体" w:cs="宋体"/>
          <w:sz w:val="24"/>
          <w:szCs w:val="24"/>
        </w:rPr>
        <w:t>6、整体离心速度≥920管/小时，可支持多台离心模块接入流水线。</w:t>
      </w:r>
    </w:p>
    <w:p w14:paraId="776A195E">
      <w:pPr>
        <w:spacing w:line="360" w:lineRule="auto"/>
        <w:rPr>
          <w:rFonts w:hint="eastAsia" w:ascii="宋体" w:hAnsi="宋体" w:cs="宋体"/>
          <w:sz w:val="24"/>
          <w:szCs w:val="24"/>
        </w:rPr>
      </w:pPr>
      <w:r>
        <w:rPr>
          <w:rFonts w:hint="eastAsia" w:ascii="宋体" w:hAnsi="宋体" w:cs="宋体"/>
          <w:sz w:val="24"/>
          <w:szCs w:val="24"/>
        </w:rPr>
        <w:t>7、单模块批次离心样本量：≥80管。</w:t>
      </w:r>
    </w:p>
    <w:p w14:paraId="3C5C3564">
      <w:pPr>
        <w:spacing w:line="360" w:lineRule="auto"/>
        <w:rPr>
          <w:rFonts w:hint="eastAsia" w:ascii="宋体" w:hAnsi="宋体" w:cs="宋体"/>
          <w:sz w:val="24"/>
          <w:szCs w:val="24"/>
        </w:rPr>
      </w:pPr>
      <w:r>
        <w:rPr>
          <w:rFonts w:hint="eastAsia" w:ascii="宋体" w:hAnsi="宋体" w:cs="宋体"/>
          <w:sz w:val="24"/>
          <w:szCs w:val="24"/>
        </w:rPr>
        <w:t>8、最大离心转速≥4500r/min，离心机离心力最大4200g。</w:t>
      </w:r>
    </w:p>
    <w:p w14:paraId="38791C1D">
      <w:pPr>
        <w:spacing w:line="360" w:lineRule="auto"/>
        <w:rPr>
          <w:rFonts w:hint="eastAsia" w:ascii="宋体" w:hAnsi="宋体" w:cs="宋体"/>
          <w:sz w:val="24"/>
          <w:szCs w:val="24"/>
        </w:rPr>
      </w:pPr>
      <w:r>
        <w:rPr>
          <w:rFonts w:hint="eastAsia" w:ascii="宋体" w:hAnsi="宋体" w:cs="宋体"/>
          <w:sz w:val="24"/>
          <w:szCs w:val="24"/>
        </w:rPr>
        <w:t>9、可自动配平，可设置离心转速、离心时间和单批次离心开始的等待时间。</w:t>
      </w:r>
    </w:p>
    <w:p w14:paraId="193855C3">
      <w:pPr>
        <w:spacing w:line="360" w:lineRule="auto"/>
        <w:rPr>
          <w:rFonts w:hint="eastAsia" w:ascii="宋体" w:hAnsi="宋体" w:cs="宋体"/>
          <w:sz w:val="24"/>
          <w:szCs w:val="24"/>
        </w:rPr>
      </w:pPr>
      <w:r>
        <w:rPr>
          <w:rFonts w:hint="eastAsia" w:ascii="宋体" w:hAnsi="宋体" w:cs="宋体"/>
          <w:sz w:val="24"/>
          <w:szCs w:val="24"/>
        </w:rPr>
        <w:t>10、视觉识别系统，可采集样本图像，识别样本条码信息和样本管信息，计算样本量和血清量，评估血清质量(脂血、黄疸、 溶血)和样本离心状态，可自定义血清质量的识别灵敏度。</w:t>
      </w:r>
    </w:p>
    <w:p w14:paraId="213EC96C">
      <w:pPr>
        <w:spacing w:line="360" w:lineRule="auto"/>
        <w:rPr>
          <w:rFonts w:hint="eastAsia" w:ascii="宋体" w:hAnsi="宋体" w:cs="宋体"/>
          <w:sz w:val="24"/>
          <w:szCs w:val="24"/>
        </w:rPr>
      </w:pPr>
      <w:r>
        <w:rPr>
          <w:rFonts w:hint="eastAsia" w:ascii="宋体" w:hAnsi="宋体" w:cs="宋体"/>
          <w:sz w:val="24"/>
          <w:szCs w:val="24"/>
        </w:rPr>
        <w:t>11、开盖速度≥800管/小时，具备气溶胶过滤或紫外线消毒功能。可倾倒式进样，2个倾倒进样接受口，满足常规和急诊的需求。</w:t>
      </w:r>
    </w:p>
    <w:p w14:paraId="00C1F4D4">
      <w:pPr>
        <w:spacing w:line="360" w:lineRule="auto"/>
        <w:rPr>
          <w:rFonts w:hint="eastAsia" w:ascii="宋体" w:hAnsi="宋体" w:cs="宋体"/>
          <w:sz w:val="24"/>
          <w:szCs w:val="24"/>
        </w:rPr>
      </w:pPr>
      <w:r>
        <w:rPr>
          <w:rFonts w:hint="eastAsia" w:ascii="宋体" w:hAnsi="宋体" w:cs="宋体"/>
          <w:sz w:val="24"/>
          <w:szCs w:val="24"/>
        </w:rPr>
        <w:t>12、倾倒模块≥850管/小时。</w:t>
      </w:r>
    </w:p>
    <w:p w14:paraId="2BDA0C29">
      <w:pPr>
        <w:spacing w:line="360" w:lineRule="auto"/>
        <w:rPr>
          <w:rFonts w:hint="eastAsia" w:ascii="宋体" w:hAnsi="宋体" w:cs="宋体"/>
          <w:sz w:val="24"/>
          <w:szCs w:val="24"/>
        </w:rPr>
      </w:pPr>
      <w:r>
        <w:rPr>
          <w:rFonts w:hint="eastAsia" w:ascii="宋体" w:hAnsi="宋体" w:cs="宋体"/>
          <w:sz w:val="24"/>
          <w:szCs w:val="24"/>
        </w:rPr>
        <w:t>13、倾倒模块样本容量：≥800管。</w:t>
      </w:r>
    </w:p>
    <w:p w14:paraId="67113BA3">
      <w:pPr>
        <w:spacing w:line="360" w:lineRule="auto"/>
        <w:rPr>
          <w:rFonts w:hint="eastAsia" w:ascii="宋体" w:hAnsi="宋体" w:cs="宋体"/>
          <w:sz w:val="24"/>
          <w:szCs w:val="24"/>
        </w:rPr>
      </w:pPr>
      <w:r>
        <w:rPr>
          <w:rFonts w:hint="eastAsia" w:ascii="宋体" w:hAnsi="宋体" w:cs="宋体"/>
          <w:sz w:val="24"/>
          <w:szCs w:val="24"/>
        </w:rPr>
        <w:t>14、预先进行样本管的转移和分类，提前规划样本路径，优化样本流程。</w:t>
      </w:r>
    </w:p>
    <w:p w14:paraId="1B29D125">
      <w:pPr>
        <w:spacing w:line="360" w:lineRule="auto"/>
        <w:rPr>
          <w:rFonts w:hint="eastAsia" w:ascii="宋体" w:hAnsi="宋体" w:cs="宋体"/>
          <w:b/>
          <w:bCs/>
          <w:sz w:val="24"/>
          <w:szCs w:val="24"/>
        </w:rPr>
      </w:pPr>
      <w:r>
        <w:rPr>
          <w:rFonts w:hint="eastAsia" w:ascii="宋体" w:hAnsi="宋体" w:cs="宋体"/>
          <w:b/>
          <w:bCs/>
          <w:sz w:val="24"/>
          <w:szCs w:val="24"/>
        </w:rPr>
        <w:t>后处理系统：</w:t>
      </w:r>
    </w:p>
    <w:p w14:paraId="2E492A0C">
      <w:pPr>
        <w:spacing w:line="360" w:lineRule="auto"/>
        <w:rPr>
          <w:rFonts w:hint="eastAsia" w:ascii="宋体" w:hAnsi="宋体" w:cs="宋体"/>
          <w:sz w:val="24"/>
          <w:szCs w:val="24"/>
        </w:rPr>
      </w:pPr>
      <w:r>
        <w:rPr>
          <w:rFonts w:hint="eastAsia" w:ascii="宋体" w:hAnsi="宋体" w:cs="宋体"/>
          <w:sz w:val="24"/>
          <w:szCs w:val="24"/>
        </w:rPr>
        <w:t>15、在线后处理单元容量≥10000管。</w:t>
      </w:r>
    </w:p>
    <w:p w14:paraId="47DECB47">
      <w:pPr>
        <w:spacing w:line="360" w:lineRule="auto"/>
        <w:rPr>
          <w:rFonts w:hint="eastAsia" w:ascii="宋体" w:hAnsi="宋体" w:cs="宋体"/>
          <w:sz w:val="24"/>
          <w:szCs w:val="24"/>
        </w:rPr>
      </w:pPr>
      <w:r>
        <w:rPr>
          <w:rFonts w:hint="eastAsia" w:ascii="宋体" w:hAnsi="宋体" w:cs="宋体"/>
          <w:sz w:val="24"/>
          <w:szCs w:val="24"/>
        </w:rPr>
        <w:t>16、在线后处理单元处理速度≥800管/h。</w:t>
      </w:r>
    </w:p>
    <w:p w14:paraId="4929301E">
      <w:pPr>
        <w:spacing w:line="360" w:lineRule="auto"/>
        <w:rPr>
          <w:rFonts w:hint="eastAsia" w:ascii="宋体" w:hAnsi="宋体" w:cs="宋体"/>
          <w:sz w:val="24"/>
          <w:szCs w:val="24"/>
        </w:rPr>
      </w:pPr>
      <w:r>
        <w:rPr>
          <w:rFonts w:hint="eastAsia" w:ascii="宋体" w:hAnsi="宋体" w:cs="宋体"/>
          <w:sz w:val="24"/>
          <w:szCs w:val="24"/>
        </w:rPr>
        <w:t>17、在线后处理单元冰箱温度2-8℃。</w:t>
      </w:r>
    </w:p>
    <w:p w14:paraId="4C27DA1F">
      <w:pPr>
        <w:spacing w:line="360" w:lineRule="auto"/>
        <w:rPr>
          <w:rFonts w:hint="eastAsia" w:ascii="宋体" w:hAnsi="宋体" w:cs="宋体"/>
          <w:sz w:val="24"/>
          <w:szCs w:val="24"/>
        </w:rPr>
      </w:pPr>
      <w:r>
        <w:rPr>
          <w:rFonts w:hint="eastAsia" w:ascii="宋体" w:hAnsi="宋体" w:cs="宋体"/>
          <w:sz w:val="24"/>
          <w:szCs w:val="24"/>
        </w:rPr>
        <w:t>18、在线后处理单元智能软件可以设定自动储存和丢弃过期样本，无需人工介入。</w:t>
      </w:r>
    </w:p>
    <w:p w14:paraId="2FE7AE54">
      <w:pPr>
        <w:spacing w:line="360" w:lineRule="auto"/>
        <w:rPr>
          <w:rFonts w:hint="eastAsia" w:ascii="宋体" w:hAnsi="宋体" w:cs="宋体"/>
          <w:sz w:val="24"/>
          <w:szCs w:val="24"/>
        </w:rPr>
      </w:pPr>
      <w:r>
        <w:rPr>
          <w:rFonts w:hint="eastAsia" w:ascii="宋体" w:hAnsi="宋体" w:cs="宋体"/>
          <w:sz w:val="24"/>
          <w:szCs w:val="24"/>
        </w:rPr>
        <w:t>19、支持自动质控、样本自动调取、一键完成项目复查和项目追加测试等功能。</w:t>
      </w:r>
    </w:p>
    <w:p w14:paraId="6617A8E6">
      <w:pPr>
        <w:spacing w:line="360" w:lineRule="auto"/>
        <w:rPr>
          <w:rFonts w:hint="eastAsia" w:ascii="宋体" w:hAnsi="宋体" w:cs="宋体"/>
          <w:sz w:val="24"/>
          <w:szCs w:val="24"/>
        </w:rPr>
      </w:pPr>
      <w:r>
        <w:rPr>
          <w:rFonts w:hint="eastAsia" w:ascii="宋体" w:hAnsi="宋体" w:cs="宋体"/>
          <w:sz w:val="24"/>
          <w:szCs w:val="24"/>
        </w:rPr>
        <w:t>20、加盖速度：≥800管/小时。</w:t>
      </w:r>
    </w:p>
    <w:p w14:paraId="34B77E56">
      <w:pPr>
        <w:spacing w:line="360" w:lineRule="auto"/>
        <w:rPr>
          <w:rFonts w:hint="eastAsia" w:ascii="宋体" w:hAnsi="宋体" w:cs="宋体"/>
          <w:sz w:val="24"/>
          <w:szCs w:val="24"/>
        </w:rPr>
      </w:pPr>
      <w:r>
        <w:rPr>
          <w:rFonts w:hint="eastAsia" w:ascii="宋体" w:hAnsi="宋体" w:cs="宋体"/>
          <w:sz w:val="24"/>
          <w:szCs w:val="24"/>
        </w:rPr>
        <w:t>21、出样模块存储容量≥700管。</w:t>
      </w:r>
    </w:p>
    <w:p w14:paraId="7E76699A">
      <w:pPr>
        <w:spacing w:line="360" w:lineRule="auto"/>
        <w:rPr>
          <w:rFonts w:hint="eastAsia" w:ascii="宋体" w:hAnsi="宋体" w:cs="宋体"/>
          <w:b/>
          <w:bCs/>
          <w:sz w:val="24"/>
          <w:szCs w:val="24"/>
        </w:rPr>
      </w:pPr>
      <w:r>
        <w:rPr>
          <w:rFonts w:hint="eastAsia" w:ascii="宋体" w:hAnsi="宋体" w:cs="宋体"/>
          <w:b/>
          <w:bCs/>
          <w:sz w:val="24"/>
          <w:szCs w:val="24"/>
        </w:rPr>
        <w:t>轨道：</w:t>
      </w:r>
    </w:p>
    <w:p w14:paraId="1FBE3A46">
      <w:pPr>
        <w:spacing w:line="360" w:lineRule="auto"/>
        <w:rPr>
          <w:rFonts w:hint="eastAsia" w:ascii="宋体" w:hAnsi="宋体" w:cs="宋体"/>
          <w:sz w:val="24"/>
          <w:szCs w:val="24"/>
        </w:rPr>
      </w:pPr>
      <w:r>
        <w:rPr>
          <w:rFonts w:hint="eastAsia" w:ascii="宋体" w:hAnsi="宋体" w:cs="宋体"/>
          <w:sz w:val="24"/>
          <w:szCs w:val="24"/>
        </w:rPr>
        <w:t>22、主体轨道≥4轨道。</w:t>
      </w:r>
    </w:p>
    <w:p w14:paraId="5FCE56AF">
      <w:pPr>
        <w:spacing w:line="360" w:lineRule="auto"/>
        <w:rPr>
          <w:rFonts w:hint="eastAsia" w:ascii="宋体" w:hAnsi="宋体" w:cs="宋体"/>
          <w:sz w:val="24"/>
          <w:szCs w:val="24"/>
        </w:rPr>
      </w:pPr>
      <w:r>
        <w:rPr>
          <w:rFonts w:hint="eastAsia" w:ascii="宋体" w:hAnsi="宋体" w:cs="宋体"/>
          <w:sz w:val="24"/>
          <w:szCs w:val="24"/>
        </w:rPr>
        <w:t>23、轨道将前处理、后处理与分析仪及其他模块连接起来，组成完整的分析前、分析中和分析后系统，实现样本进样、检测、存储的自动化流程。</w:t>
      </w:r>
    </w:p>
    <w:p w14:paraId="09E06DD1">
      <w:pPr>
        <w:spacing w:line="360" w:lineRule="auto"/>
        <w:rPr>
          <w:rFonts w:hint="eastAsia" w:ascii="宋体" w:hAnsi="宋体" w:cs="宋体"/>
          <w:sz w:val="24"/>
          <w:szCs w:val="24"/>
        </w:rPr>
      </w:pPr>
      <w:r>
        <w:rPr>
          <w:rFonts w:hint="eastAsia" w:ascii="宋体" w:hAnsi="宋体" w:cs="宋体"/>
          <w:sz w:val="24"/>
          <w:szCs w:val="24"/>
        </w:rPr>
        <w:t>24、运输标本轨道总速度≥5000管/小时,便于样本及时传送和重新返回仪器分析，避免拥堵的可能。</w:t>
      </w:r>
    </w:p>
    <w:p w14:paraId="01E1902B">
      <w:pPr>
        <w:spacing w:line="360" w:lineRule="auto"/>
        <w:rPr>
          <w:rFonts w:hint="eastAsia" w:ascii="宋体" w:hAnsi="宋体" w:cs="宋体"/>
          <w:sz w:val="24"/>
          <w:szCs w:val="24"/>
        </w:rPr>
      </w:pPr>
      <w:r>
        <w:rPr>
          <w:rFonts w:hint="eastAsia" w:ascii="宋体" w:hAnsi="宋体" w:cs="宋体"/>
          <w:sz w:val="24"/>
          <w:szCs w:val="24"/>
        </w:rPr>
        <w:t>25、样本采用无线射频技术 (RFID),实时追踪样本位置。</w:t>
      </w:r>
    </w:p>
    <w:p w14:paraId="45647FA9">
      <w:pPr>
        <w:spacing w:line="360" w:lineRule="auto"/>
        <w:rPr>
          <w:rFonts w:hint="eastAsia" w:ascii="宋体" w:hAnsi="宋体" w:cs="宋体"/>
          <w:sz w:val="24"/>
          <w:szCs w:val="24"/>
        </w:rPr>
      </w:pPr>
      <w:r>
        <w:rPr>
          <w:rFonts w:hint="eastAsia" w:ascii="宋体" w:hAnsi="宋体" w:cs="宋体"/>
          <w:sz w:val="24"/>
          <w:szCs w:val="24"/>
        </w:rPr>
        <w:t>26、轨道故障时，流水线上的各分析仪器仍可独立运行，批量进样。</w:t>
      </w:r>
    </w:p>
    <w:p w14:paraId="3B825F86">
      <w:pPr>
        <w:spacing w:line="360" w:lineRule="auto"/>
        <w:rPr>
          <w:rFonts w:hint="eastAsia" w:ascii="宋体" w:hAnsi="宋体" w:cs="宋体"/>
          <w:sz w:val="24"/>
          <w:szCs w:val="24"/>
        </w:rPr>
      </w:pPr>
      <w:r>
        <w:rPr>
          <w:rFonts w:hint="eastAsia" w:ascii="宋体" w:hAnsi="宋体" w:cs="宋体"/>
          <w:sz w:val="24"/>
          <w:szCs w:val="24"/>
        </w:rPr>
        <w:t>27、可根据医院需求和发展进行升级，可变换形状布局、延长轨道和扩展功能。</w:t>
      </w:r>
    </w:p>
    <w:p w14:paraId="13975C18">
      <w:pPr>
        <w:spacing w:line="360" w:lineRule="auto"/>
        <w:rPr>
          <w:rFonts w:hint="eastAsia" w:ascii="宋体" w:hAnsi="宋体" w:cs="宋体"/>
          <w:b/>
          <w:bCs/>
          <w:sz w:val="24"/>
          <w:szCs w:val="24"/>
        </w:rPr>
      </w:pPr>
      <w:r>
        <w:rPr>
          <w:rFonts w:hint="eastAsia" w:ascii="宋体" w:hAnsi="宋体" w:cs="宋体"/>
          <w:b/>
          <w:bCs/>
          <w:sz w:val="24"/>
          <w:szCs w:val="24"/>
        </w:rPr>
        <w:t>数据管理系统</w:t>
      </w:r>
    </w:p>
    <w:p w14:paraId="30B4B1FA">
      <w:pPr>
        <w:spacing w:line="360" w:lineRule="auto"/>
        <w:rPr>
          <w:rFonts w:hint="eastAsia" w:ascii="宋体" w:hAnsi="宋体" w:cs="宋体"/>
          <w:sz w:val="24"/>
          <w:szCs w:val="24"/>
        </w:rPr>
      </w:pPr>
      <w:r>
        <w:rPr>
          <w:rFonts w:hint="eastAsia" w:ascii="宋体" w:hAnsi="宋体" w:cs="宋体"/>
          <w:sz w:val="24"/>
          <w:szCs w:val="24"/>
        </w:rPr>
        <w:t>28、配套实验室智能化系统，能与LIS 和各分析仪软件连接，实现数据通讯，实现对样本、数据、仪器等智能化管理，全面监控样本流转的各个环节，实时了解样本位置和状态。</w:t>
      </w:r>
    </w:p>
    <w:p w14:paraId="1F1C9293">
      <w:pPr>
        <w:spacing w:line="360" w:lineRule="auto"/>
        <w:rPr>
          <w:rFonts w:hint="eastAsia" w:ascii="宋体" w:hAnsi="宋体" w:cs="宋体"/>
          <w:b/>
          <w:bCs/>
          <w:sz w:val="24"/>
          <w:szCs w:val="24"/>
        </w:rPr>
      </w:pPr>
      <w:r>
        <w:rPr>
          <w:rFonts w:hint="eastAsia" w:ascii="宋体" w:hAnsi="宋体" w:cs="宋体"/>
          <w:b/>
          <w:bCs/>
          <w:sz w:val="24"/>
          <w:szCs w:val="24"/>
        </w:rPr>
        <w:t>三 、在线全自动生化分析仪参数(2台，综合速度：比色法≥4000 测试/小时，ISE≥1200 测试/小时)</w:t>
      </w:r>
    </w:p>
    <w:p w14:paraId="262FC135">
      <w:pPr>
        <w:spacing w:line="360" w:lineRule="auto"/>
        <w:rPr>
          <w:rFonts w:hint="eastAsia" w:ascii="宋体" w:hAnsi="宋体" w:cs="宋体"/>
          <w:sz w:val="24"/>
          <w:szCs w:val="24"/>
        </w:rPr>
      </w:pPr>
      <w:r>
        <w:rPr>
          <w:rFonts w:hint="eastAsia" w:ascii="宋体" w:hAnsi="宋体" w:cs="宋体"/>
          <w:sz w:val="24"/>
          <w:szCs w:val="24"/>
        </w:rPr>
        <w:t>1、处理能力：常规生化单模块测定恒速≥2000测试/小时，电解质ISE单模块速度≥600测试/小时，且可扩展。</w:t>
      </w:r>
    </w:p>
    <w:p w14:paraId="1113E3C0">
      <w:pPr>
        <w:spacing w:line="360" w:lineRule="auto"/>
        <w:rPr>
          <w:rFonts w:hint="eastAsia" w:ascii="宋体" w:hAnsi="宋体" w:cs="宋体"/>
          <w:sz w:val="24"/>
          <w:szCs w:val="24"/>
        </w:rPr>
      </w:pPr>
      <w:r>
        <w:rPr>
          <w:rFonts w:hint="eastAsia" w:ascii="宋体" w:hAnsi="宋体" w:cs="宋体"/>
          <w:sz w:val="24"/>
          <w:szCs w:val="24"/>
        </w:rPr>
        <w:t>2、同时分析项目数：单模块双试剂≥60项，模块扩展后最大可实现同时分析≥100个项目。</w:t>
      </w:r>
    </w:p>
    <w:p w14:paraId="4314F9E4">
      <w:pPr>
        <w:spacing w:line="360" w:lineRule="auto"/>
        <w:rPr>
          <w:rFonts w:hint="eastAsia" w:ascii="宋体" w:hAnsi="宋体" w:cs="宋体"/>
          <w:sz w:val="24"/>
          <w:szCs w:val="24"/>
        </w:rPr>
      </w:pPr>
      <w:r>
        <w:rPr>
          <w:rFonts w:hint="eastAsia" w:ascii="宋体" w:hAnsi="宋体" w:cs="宋体"/>
          <w:sz w:val="24"/>
          <w:szCs w:val="24"/>
        </w:rPr>
        <w:t>3、采用轨道式进样，可连续装载样本，最大样本容量≥300个，样品架附有样品架条形码。</w:t>
      </w:r>
    </w:p>
    <w:p w14:paraId="16C38210">
      <w:pPr>
        <w:spacing w:line="360" w:lineRule="auto"/>
        <w:rPr>
          <w:rFonts w:hint="eastAsia" w:ascii="宋体" w:hAnsi="宋体" w:cs="宋体"/>
          <w:sz w:val="24"/>
          <w:szCs w:val="24"/>
        </w:rPr>
      </w:pPr>
      <w:r>
        <w:rPr>
          <w:rFonts w:hint="eastAsia" w:ascii="宋体" w:hAnsi="宋体" w:cs="宋体"/>
          <w:sz w:val="24"/>
          <w:szCs w:val="24"/>
        </w:rPr>
        <w:t>4、分析方法：终点法、固定时间法、速率法，支持单/双、三/四试剂测试和单、双波长。</w:t>
      </w:r>
    </w:p>
    <w:p w14:paraId="6561584E">
      <w:pPr>
        <w:spacing w:line="360" w:lineRule="auto"/>
        <w:rPr>
          <w:rFonts w:hint="eastAsia" w:ascii="宋体" w:hAnsi="宋体" w:cs="宋体"/>
          <w:sz w:val="24"/>
          <w:szCs w:val="24"/>
        </w:rPr>
      </w:pPr>
      <w:r>
        <w:rPr>
          <w:rFonts w:hint="eastAsia" w:ascii="宋体" w:hAnsi="宋体" w:cs="宋体"/>
          <w:sz w:val="24"/>
          <w:szCs w:val="24"/>
        </w:rPr>
        <w:t>5、吸光度线性范围：0～3.5Abs, 单波长或双波长测量(16个波长，范围340nm～850 nm)。</w:t>
      </w:r>
    </w:p>
    <w:p w14:paraId="6285A6E3">
      <w:pPr>
        <w:spacing w:line="360" w:lineRule="auto"/>
        <w:rPr>
          <w:rFonts w:hint="eastAsia" w:ascii="宋体" w:hAnsi="宋体" w:cs="宋体"/>
          <w:sz w:val="24"/>
          <w:szCs w:val="24"/>
        </w:rPr>
      </w:pPr>
      <w:r>
        <w:rPr>
          <w:rFonts w:hint="eastAsia" w:ascii="宋体" w:hAnsi="宋体" w:cs="宋体"/>
          <w:sz w:val="24"/>
          <w:szCs w:val="24"/>
        </w:rPr>
        <w:t>6、样品量：2ul～20ul,0.1ul步进，具有自动检测液面、纵向横向防碰自动保护功能。</w:t>
      </w:r>
    </w:p>
    <w:p w14:paraId="3C604AA6">
      <w:pPr>
        <w:spacing w:line="360" w:lineRule="auto"/>
        <w:rPr>
          <w:rFonts w:hint="eastAsia" w:ascii="宋体" w:hAnsi="宋体" w:cs="宋体"/>
          <w:sz w:val="24"/>
          <w:szCs w:val="24"/>
        </w:rPr>
      </w:pPr>
      <w:r>
        <w:rPr>
          <w:rFonts w:hint="eastAsia" w:ascii="宋体" w:hAnsi="宋体" w:cs="宋体"/>
          <w:sz w:val="24"/>
          <w:szCs w:val="24"/>
        </w:rPr>
        <w:t xml:space="preserve">7、反应杯：采用石英比色杯，兼顾检测精度与运行成本。 </w:t>
      </w:r>
    </w:p>
    <w:p w14:paraId="551CA9A1">
      <w:pPr>
        <w:spacing w:line="360" w:lineRule="auto"/>
        <w:rPr>
          <w:rFonts w:hint="eastAsia" w:ascii="宋体" w:hAnsi="宋体" w:cs="宋体"/>
          <w:sz w:val="24"/>
          <w:szCs w:val="24"/>
        </w:rPr>
      </w:pPr>
      <w:r>
        <w:rPr>
          <w:rFonts w:hint="eastAsia" w:ascii="宋体" w:hAnsi="宋体" w:cs="宋体"/>
          <w:sz w:val="24"/>
          <w:szCs w:val="24"/>
        </w:rPr>
        <w:t>8、恒温系统：采用循环水浴式控温或固体直热，37.0℃±0.3℃, 波动度不大于±0.1℃</w:t>
      </w:r>
    </w:p>
    <w:p w14:paraId="47A471D6">
      <w:pPr>
        <w:spacing w:line="360" w:lineRule="auto"/>
        <w:rPr>
          <w:rFonts w:hint="eastAsia" w:ascii="宋体" w:hAnsi="宋体" w:cs="宋体"/>
          <w:sz w:val="24"/>
          <w:szCs w:val="24"/>
        </w:rPr>
      </w:pPr>
      <w:r>
        <w:rPr>
          <w:rFonts w:hint="eastAsia" w:ascii="宋体" w:hAnsi="宋体" w:cs="宋体"/>
          <w:sz w:val="24"/>
          <w:szCs w:val="24"/>
        </w:rPr>
        <w:t>9、样品针堵塞检测功能：可实时监控和解析吸样时样品针内压力变化，自动检测出吸样时的异常情况并及时发出预警，避免了样品针部分堵塞时导致的结果误判。</w:t>
      </w:r>
    </w:p>
    <w:p w14:paraId="0AAFEB3F">
      <w:pPr>
        <w:spacing w:line="360" w:lineRule="auto"/>
        <w:rPr>
          <w:rFonts w:hint="eastAsia" w:ascii="宋体" w:hAnsi="宋体" w:cs="宋体"/>
          <w:sz w:val="24"/>
          <w:szCs w:val="24"/>
        </w:rPr>
      </w:pPr>
      <w:r>
        <w:rPr>
          <w:rFonts w:hint="eastAsia" w:ascii="宋体" w:hAnsi="宋体" w:cs="宋体"/>
          <w:sz w:val="24"/>
          <w:szCs w:val="24"/>
        </w:rPr>
        <w:t>10、具有质控管理、远程维护功能。</w:t>
      </w:r>
    </w:p>
    <w:p w14:paraId="19E094D3">
      <w:pPr>
        <w:spacing w:line="360" w:lineRule="auto"/>
        <w:rPr>
          <w:rFonts w:hint="eastAsia" w:ascii="宋体" w:hAnsi="宋体" w:cs="宋体"/>
          <w:sz w:val="24"/>
          <w:szCs w:val="24"/>
        </w:rPr>
      </w:pPr>
      <w:r>
        <w:rPr>
          <w:rFonts w:hint="eastAsia" w:ascii="宋体" w:hAnsi="宋体" w:cs="宋体"/>
          <w:sz w:val="24"/>
          <w:szCs w:val="24"/>
        </w:rPr>
        <w:t>11、试剂全开放。</w:t>
      </w:r>
    </w:p>
    <w:p w14:paraId="57BA1A53">
      <w:pPr>
        <w:spacing w:line="360" w:lineRule="auto"/>
        <w:rPr>
          <w:rFonts w:hint="eastAsia" w:ascii="宋体" w:hAnsi="宋体" w:cs="宋体"/>
          <w:b/>
          <w:bCs/>
          <w:sz w:val="24"/>
          <w:szCs w:val="24"/>
        </w:rPr>
      </w:pPr>
      <w:r>
        <w:rPr>
          <w:rFonts w:hint="eastAsia" w:ascii="宋体" w:hAnsi="宋体" w:cs="宋体"/>
          <w:b/>
          <w:bCs/>
          <w:sz w:val="24"/>
          <w:szCs w:val="24"/>
        </w:rPr>
        <w:t>四 、在线全自动化学发光免疫分析仪（综合速度：1000测试/小时)</w:t>
      </w:r>
    </w:p>
    <w:p w14:paraId="1990BA6C">
      <w:pPr>
        <w:numPr>
          <w:ilvl w:val="0"/>
          <w:numId w:val="19"/>
        </w:numPr>
        <w:spacing w:line="360" w:lineRule="auto"/>
        <w:rPr>
          <w:rFonts w:hint="eastAsia" w:ascii="宋体" w:hAnsi="宋体" w:cs="宋体"/>
          <w:sz w:val="24"/>
          <w:szCs w:val="24"/>
        </w:rPr>
      </w:pPr>
      <w:r>
        <w:rPr>
          <w:rFonts w:hint="eastAsia" w:ascii="宋体" w:hAnsi="宋体" w:cs="宋体"/>
          <w:sz w:val="24"/>
          <w:szCs w:val="24"/>
        </w:rPr>
        <w:t>系统采用磁微粒参与的化学发光反应原理。</w:t>
      </w:r>
    </w:p>
    <w:p w14:paraId="604C73A9">
      <w:pPr>
        <w:numPr>
          <w:ilvl w:val="0"/>
          <w:numId w:val="19"/>
        </w:numPr>
        <w:spacing w:line="360" w:lineRule="auto"/>
        <w:rPr>
          <w:rFonts w:hint="eastAsia" w:ascii="宋体" w:hAnsi="宋体" w:cs="宋体"/>
          <w:sz w:val="24"/>
          <w:szCs w:val="24"/>
        </w:rPr>
      </w:pPr>
      <w:r>
        <w:rPr>
          <w:rFonts w:hint="eastAsia" w:ascii="宋体" w:hAnsi="宋体" w:cs="宋体"/>
          <w:sz w:val="24"/>
          <w:szCs w:val="24"/>
        </w:rPr>
        <w:t>单台测试速度≥400测试/小时。</w:t>
      </w:r>
    </w:p>
    <w:p w14:paraId="6FFDFD99">
      <w:pPr>
        <w:numPr>
          <w:ilvl w:val="0"/>
          <w:numId w:val="19"/>
        </w:numPr>
        <w:spacing w:line="360" w:lineRule="auto"/>
        <w:rPr>
          <w:rFonts w:hint="eastAsia" w:ascii="宋体" w:hAnsi="宋体" w:cs="宋体"/>
          <w:sz w:val="24"/>
          <w:szCs w:val="24"/>
        </w:rPr>
      </w:pPr>
      <w:r>
        <w:rPr>
          <w:rFonts w:hint="eastAsia" w:ascii="宋体" w:hAnsi="宋体" w:cs="宋体"/>
          <w:sz w:val="24"/>
          <w:szCs w:val="24"/>
        </w:rPr>
        <w:t>首个结果最快出结果时间≤20min。</w:t>
      </w:r>
    </w:p>
    <w:p w14:paraId="7DF6C34D">
      <w:pPr>
        <w:numPr>
          <w:ilvl w:val="0"/>
          <w:numId w:val="19"/>
        </w:numPr>
        <w:spacing w:line="360" w:lineRule="auto"/>
        <w:rPr>
          <w:rFonts w:hint="eastAsia" w:ascii="宋体" w:hAnsi="宋体" w:cs="宋体"/>
          <w:sz w:val="24"/>
          <w:szCs w:val="24"/>
        </w:rPr>
      </w:pPr>
      <w:r>
        <w:rPr>
          <w:rFonts w:hint="eastAsia" w:ascii="宋体" w:hAnsi="宋体" w:cs="宋体"/>
          <w:sz w:val="24"/>
          <w:szCs w:val="24"/>
        </w:rPr>
        <w:t>支持级联拓展≥2个相同分析模块。</w:t>
      </w:r>
    </w:p>
    <w:p w14:paraId="7EAF5063">
      <w:pPr>
        <w:numPr>
          <w:ilvl w:val="0"/>
          <w:numId w:val="19"/>
        </w:numPr>
        <w:spacing w:line="360" w:lineRule="auto"/>
        <w:rPr>
          <w:rFonts w:hint="eastAsia" w:ascii="宋体" w:hAnsi="宋体" w:cs="宋体"/>
          <w:sz w:val="24"/>
          <w:szCs w:val="24"/>
        </w:rPr>
      </w:pPr>
      <w:r>
        <w:rPr>
          <w:rFonts w:hint="eastAsia" w:ascii="宋体" w:hAnsi="宋体" w:cs="宋体"/>
          <w:sz w:val="24"/>
          <w:szCs w:val="24"/>
        </w:rPr>
        <w:t>支持接入实验室流水线。</w:t>
      </w:r>
    </w:p>
    <w:p w14:paraId="26ABEA11">
      <w:pPr>
        <w:numPr>
          <w:ilvl w:val="0"/>
          <w:numId w:val="19"/>
        </w:numPr>
        <w:spacing w:line="360" w:lineRule="auto"/>
        <w:rPr>
          <w:rFonts w:hint="eastAsia" w:ascii="宋体" w:hAnsi="宋体" w:cs="宋体"/>
          <w:sz w:val="24"/>
          <w:szCs w:val="24"/>
        </w:rPr>
      </w:pPr>
      <w:r>
        <w:rPr>
          <w:rFonts w:hint="eastAsia" w:ascii="宋体" w:hAnsi="宋体" w:cs="宋体"/>
          <w:sz w:val="24"/>
          <w:szCs w:val="24"/>
        </w:rPr>
        <w:t>可支持仪器自动重测和急诊插入优先检测。</w:t>
      </w:r>
    </w:p>
    <w:p w14:paraId="2C3F4AA5">
      <w:pPr>
        <w:numPr>
          <w:ilvl w:val="0"/>
          <w:numId w:val="19"/>
        </w:numPr>
        <w:spacing w:line="360" w:lineRule="auto"/>
        <w:rPr>
          <w:rFonts w:hint="eastAsia" w:ascii="宋体" w:hAnsi="宋体" w:cs="宋体"/>
          <w:sz w:val="24"/>
          <w:szCs w:val="24"/>
        </w:rPr>
      </w:pPr>
      <w:r>
        <w:rPr>
          <w:rFonts w:hint="eastAsia" w:ascii="宋体" w:hAnsi="宋体" w:cs="宋体"/>
          <w:sz w:val="24"/>
          <w:szCs w:val="24"/>
        </w:rPr>
        <w:t>轨道式进样，同时放入≥300个样本，可以连续添加样本。</w:t>
      </w:r>
    </w:p>
    <w:p w14:paraId="131F65D3">
      <w:pPr>
        <w:numPr>
          <w:ilvl w:val="0"/>
          <w:numId w:val="19"/>
        </w:numPr>
        <w:spacing w:line="360" w:lineRule="auto"/>
        <w:rPr>
          <w:rFonts w:hint="eastAsia" w:ascii="宋体" w:hAnsi="宋体" w:cs="宋体"/>
          <w:sz w:val="24"/>
          <w:szCs w:val="24"/>
        </w:rPr>
      </w:pPr>
      <w:r>
        <w:rPr>
          <w:rFonts w:hint="eastAsia" w:ascii="宋体" w:hAnsi="宋体" w:cs="宋体"/>
          <w:sz w:val="24"/>
          <w:szCs w:val="24"/>
        </w:rPr>
        <w:t>样本质量监测：支持血清样本质量监测拍照功能。</w:t>
      </w:r>
    </w:p>
    <w:p w14:paraId="369206E0">
      <w:pPr>
        <w:numPr>
          <w:ilvl w:val="0"/>
          <w:numId w:val="19"/>
        </w:numPr>
        <w:spacing w:line="360" w:lineRule="auto"/>
        <w:rPr>
          <w:rFonts w:hint="eastAsia" w:ascii="宋体" w:hAnsi="宋体" w:cs="宋体"/>
          <w:sz w:val="24"/>
          <w:szCs w:val="24"/>
        </w:rPr>
      </w:pPr>
      <w:r>
        <w:rPr>
          <w:rFonts w:hint="eastAsia" w:ascii="宋体" w:hAnsi="宋体" w:cs="宋体"/>
          <w:sz w:val="24"/>
          <w:szCs w:val="24"/>
        </w:rPr>
        <w:t>仪器试剂位≥70个，试剂仓冷藏温度2-8℃。</w:t>
      </w:r>
    </w:p>
    <w:p w14:paraId="1B1E9432">
      <w:pPr>
        <w:numPr>
          <w:ilvl w:val="0"/>
          <w:numId w:val="19"/>
        </w:numPr>
        <w:spacing w:line="360" w:lineRule="auto"/>
        <w:rPr>
          <w:rFonts w:hint="eastAsia" w:ascii="宋体" w:hAnsi="宋体" w:cs="宋体"/>
          <w:sz w:val="24"/>
          <w:szCs w:val="24"/>
        </w:rPr>
      </w:pPr>
      <w:r>
        <w:rPr>
          <w:rFonts w:hint="eastAsia" w:ascii="宋体" w:hAnsi="宋体" w:cs="宋体"/>
          <w:sz w:val="24"/>
          <w:szCs w:val="24"/>
        </w:rPr>
        <w:t>支持试剂可视化在线装载。</w:t>
      </w:r>
    </w:p>
    <w:p w14:paraId="7F280D50">
      <w:pPr>
        <w:numPr>
          <w:ilvl w:val="0"/>
          <w:numId w:val="19"/>
        </w:numPr>
        <w:spacing w:line="360" w:lineRule="auto"/>
        <w:rPr>
          <w:rFonts w:hint="eastAsia" w:ascii="宋体" w:hAnsi="宋体" w:cs="宋体"/>
          <w:sz w:val="24"/>
          <w:szCs w:val="24"/>
        </w:rPr>
      </w:pPr>
      <w:r>
        <w:rPr>
          <w:rFonts w:hint="eastAsia" w:ascii="宋体" w:hAnsi="宋体" w:cs="宋体"/>
          <w:sz w:val="24"/>
          <w:szCs w:val="24"/>
        </w:rPr>
        <w:t>样本采用钢针加样，具有液面探测、随量跟踪、立体防撞、气泡检测等功能。</w:t>
      </w:r>
    </w:p>
    <w:p w14:paraId="3E93BD62">
      <w:pPr>
        <w:numPr>
          <w:ilvl w:val="0"/>
          <w:numId w:val="19"/>
        </w:numPr>
        <w:spacing w:line="360" w:lineRule="auto"/>
        <w:rPr>
          <w:rFonts w:hint="eastAsia" w:ascii="宋体" w:hAnsi="宋体" w:cs="宋体"/>
          <w:sz w:val="24"/>
          <w:szCs w:val="24"/>
        </w:rPr>
      </w:pPr>
      <w:r>
        <w:rPr>
          <w:rFonts w:hint="eastAsia" w:ascii="宋体" w:hAnsi="宋体" w:cs="宋体"/>
          <w:sz w:val="24"/>
          <w:szCs w:val="24"/>
        </w:rPr>
        <w:t>混匀方式：非接触式偏心混匀。</w:t>
      </w:r>
    </w:p>
    <w:p w14:paraId="44D5343D">
      <w:pPr>
        <w:numPr>
          <w:ilvl w:val="0"/>
          <w:numId w:val="19"/>
        </w:numPr>
        <w:spacing w:line="360" w:lineRule="auto"/>
        <w:rPr>
          <w:rFonts w:hint="eastAsia" w:ascii="宋体" w:hAnsi="宋体" w:cs="宋体"/>
          <w:sz w:val="24"/>
          <w:szCs w:val="24"/>
        </w:rPr>
      </w:pPr>
      <w:r>
        <w:rPr>
          <w:rFonts w:hint="eastAsia" w:ascii="宋体" w:hAnsi="宋体" w:cs="宋体"/>
          <w:sz w:val="24"/>
          <w:szCs w:val="24"/>
        </w:rPr>
        <w:t>采用一次性反应杯，倾倒式添加，可以一次性装载≥2000个；反应杯从加样位开始，全程孵育，直至检测结束。</w:t>
      </w:r>
    </w:p>
    <w:p w14:paraId="4241E79E">
      <w:pPr>
        <w:numPr>
          <w:ilvl w:val="0"/>
          <w:numId w:val="19"/>
        </w:numPr>
        <w:spacing w:line="360" w:lineRule="auto"/>
        <w:rPr>
          <w:rFonts w:hint="eastAsia" w:ascii="宋体" w:hAnsi="宋体" w:cs="宋体"/>
          <w:sz w:val="24"/>
          <w:szCs w:val="24"/>
        </w:rPr>
      </w:pPr>
      <w:r>
        <w:rPr>
          <w:rFonts w:hint="eastAsia" w:ascii="宋体" w:hAnsi="宋体" w:cs="宋体"/>
          <w:sz w:val="24"/>
          <w:szCs w:val="24"/>
        </w:rPr>
        <w:t>采用浓缩的清洗缓冲液，仪器自动配制使用。</w:t>
      </w:r>
    </w:p>
    <w:p w14:paraId="755F81F8">
      <w:pPr>
        <w:numPr>
          <w:ilvl w:val="0"/>
          <w:numId w:val="19"/>
        </w:numPr>
        <w:spacing w:line="360" w:lineRule="auto"/>
        <w:rPr>
          <w:rFonts w:hint="eastAsia" w:ascii="宋体" w:hAnsi="宋体" w:cs="宋体"/>
          <w:sz w:val="24"/>
          <w:szCs w:val="24"/>
        </w:rPr>
      </w:pPr>
      <w:r>
        <w:rPr>
          <w:rFonts w:hint="eastAsia" w:ascii="宋体" w:hAnsi="宋体" w:cs="宋体"/>
          <w:sz w:val="24"/>
          <w:szCs w:val="24"/>
        </w:rPr>
        <w:t>检测完成后，仪器自动吸取反应废液，反应杯无液体残留。</w:t>
      </w:r>
    </w:p>
    <w:p w14:paraId="6C0A04AC">
      <w:pPr>
        <w:numPr>
          <w:ilvl w:val="0"/>
          <w:numId w:val="19"/>
        </w:numPr>
        <w:spacing w:line="360" w:lineRule="auto"/>
        <w:rPr>
          <w:rFonts w:hint="eastAsia" w:ascii="宋体" w:hAnsi="宋体" w:cs="宋体"/>
          <w:sz w:val="24"/>
          <w:szCs w:val="24"/>
        </w:rPr>
      </w:pPr>
      <w:r>
        <w:rPr>
          <w:rFonts w:hint="eastAsia" w:ascii="宋体" w:hAnsi="宋体" w:cs="宋体"/>
          <w:sz w:val="24"/>
          <w:szCs w:val="24"/>
        </w:rPr>
        <w:t>配套试剂开瓶上机后可保存≥25天。</w:t>
      </w:r>
    </w:p>
    <w:p w14:paraId="576224CE">
      <w:pPr>
        <w:numPr>
          <w:ilvl w:val="0"/>
          <w:numId w:val="19"/>
        </w:numPr>
        <w:spacing w:line="360" w:lineRule="auto"/>
        <w:rPr>
          <w:rFonts w:hint="eastAsia" w:ascii="宋体" w:hAnsi="宋体" w:cs="宋体"/>
          <w:sz w:val="24"/>
          <w:szCs w:val="24"/>
        </w:rPr>
      </w:pPr>
      <w:r>
        <w:rPr>
          <w:rFonts w:hint="eastAsia" w:ascii="宋体" w:hAnsi="宋体" w:cs="宋体"/>
          <w:sz w:val="24"/>
          <w:szCs w:val="24"/>
        </w:rPr>
        <w:t>HBSAg检出常见突变株，至少检测50种或以上突变体。</w:t>
      </w:r>
    </w:p>
    <w:p w14:paraId="6B2AE972">
      <w:pPr>
        <w:numPr>
          <w:ilvl w:val="0"/>
          <w:numId w:val="19"/>
        </w:numPr>
        <w:spacing w:line="360" w:lineRule="auto"/>
        <w:rPr>
          <w:rFonts w:hint="eastAsia" w:ascii="宋体" w:hAnsi="宋体" w:cs="宋体"/>
          <w:sz w:val="24"/>
          <w:szCs w:val="24"/>
        </w:rPr>
      </w:pPr>
      <w:r>
        <w:rPr>
          <w:rFonts w:hint="eastAsia" w:ascii="宋体" w:hAnsi="宋体" w:cs="宋体"/>
          <w:sz w:val="24"/>
          <w:szCs w:val="24"/>
        </w:rPr>
        <w:t>定标方式：≤3点定标，减少定标液浪费。</w:t>
      </w:r>
    </w:p>
    <w:p w14:paraId="684AA8DB">
      <w:pPr>
        <w:numPr>
          <w:ilvl w:val="0"/>
          <w:numId w:val="19"/>
        </w:numPr>
        <w:spacing w:line="360" w:lineRule="auto"/>
        <w:rPr>
          <w:rFonts w:hint="eastAsia" w:ascii="宋体" w:hAnsi="宋体" w:cs="宋体"/>
          <w:sz w:val="24"/>
          <w:szCs w:val="24"/>
        </w:rPr>
      </w:pPr>
      <w:r>
        <w:rPr>
          <w:rFonts w:hint="eastAsia" w:ascii="宋体" w:hAnsi="宋体" w:cs="宋体"/>
          <w:sz w:val="24"/>
          <w:szCs w:val="24"/>
        </w:rPr>
        <w:t>可以跟LIS系统进行双向通讯连接。</w:t>
      </w:r>
    </w:p>
    <w:p w14:paraId="133CCFE0">
      <w:pPr>
        <w:spacing w:line="360" w:lineRule="auto"/>
        <w:rPr>
          <w:rFonts w:hint="eastAsia" w:ascii="宋体" w:hAnsi="宋体" w:cs="宋体"/>
          <w:sz w:val="24"/>
          <w:szCs w:val="24"/>
        </w:rPr>
      </w:pPr>
    </w:p>
    <w:p w14:paraId="1EFF7096">
      <w:pPr>
        <w:spacing w:line="360" w:lineRule="auto"/>
        <w:outlineLvl w:val="2"/>
        <w:rPr>
          <w:rFonts w:hint="eastAsia" w:ascii="宋体" w:hAnsi="宋体" w:cs="宋体"/>
          <w:b/>
          <w:bCs/>
          <w:sz w:val="24"/>
          <w:szCs w:val="24"/>
        </w:rPr>
      </w:pPr>
      <w:r>
        <w:rPr>
          <w:rFonts w:hint="eastAsia" w:ascii="宋体" w:hAnsi="宋体" w:cs="宋体"/>
          <w:b/>
          <w:bCs/>
          <w:sz w:val="24"/>
          <w:szCs w:val="24"/>
        </w:rPr>
        <w:t>品目10：全自动血沉仪</w:t>
      </w:r>
    </w:p>
    <w:p w14:paraId="488EE469">
      <w:pPr>
        <w:spacing w:line="360" w:lineRule="auto"/>
        <w:rPr>
          <w:rFonts w:hint="eastAsia" w:ascii="宋体" w:hAnsi="宋体" w:cs="宋体"/>
          <w:sz w:val="24"/>
          <w:szCs w:val="24"/>
        </w:rPr>
      </w:pPr>
      <w:r>
        <w:rPr>
          <w:rFonts w:hint="eastAsia" w:ascii="宋体" w:hAnsi="宋体" w:cs="宋体"/>
          <w:sz w:val="24"/>
          <w:szCs w:val="24"/>
        </w:rPr>
        <w:t>1、采用≥6寸大屏幕显示触摸控制技术，所有检测通道及状态实时显示功能。</w:t>
      </w:r>
    </w:p>
    <w:p w14:paraId="2CDD79A5">
      <w:pPr>
        <w:spacing w:line="360" w:lineRule="auto"/>
        <w:rPr>
          <w:rFonts w:hint="eastAsia" w:ascii="宋体" w:hAnsi="宋体" w:cs="宋体"/>
          <w:sz w:val="24"/>
          <w:szCs w:val="24"/>
        </w:rPr>
      </w:pPr>
      <w:r>
        <w:rPr>
          <w:rFonts w:hint="eastAsia" w:ascii="宋体" w:hAnsi="宋体" w:cs="宋体"/>
          <w:sz w:val="24"/>
          <w:szCs w:val="24"/>
        </w:rPr>
        <w:t>2、样品位（孔）：≥95。</w:t>
      </w:r>
    </w:p>
    <w:p w14:paraId="47907F31">
      <w:pPr>
        <w:spacing w:line="360" w:lineRule="auto"/>
        <w:rPr>
          <w:rFonts w:hint="eastAsia" w:ascii="宋体" w:hAnsi="宋体" w:cs="宋体"/>
          <w:sz w:val="24"/>
          <w:szCs w:val="24"/>
        </w:rPr>
      </w:pPr>
      <w:r>
        <w:rPr>
          <w:rFonts w:hint="eastAsia" w:ascii="宋体" w:hAnsi="宋体" w:cs="宋体"/>
          <w:sz w:val="24"/>
          <w:szCs w:val="24"/>
        </w:rPr>
        <w:t>3、血沉测试速度（Ts/h）:≥180。</w:t>
      </w:r>
    </w:p>
    <w:p w14:paraId="0D6C42E3">
      <w:pPr>
        <w:spacing w:line="360" w:lineRule="auto"/>
        <w:rPr>
          <w:rFonts w:hint="eastAsia" w:ascii="宋体" w:hAnsi="宋体" w:cs="宋体"/>
          <w:sz w:val="24"/>
          <w:szCs w:val="24"/>
        </w:rPr>
      </w:pPr>
      <w:r>
        <w:rPr>
          <w:rFonts w:hint="eastAsia" w:ascii="宋体" w:hAnsi="宋体" w:cs="宋体"/>
          <w:sz w:val="24"/>
          <w:szCs w:val="24"/>
        </w:rPr>
        <w:t>4、压积测试速度（Ts/h）:≥15000。</w:t>
      </w:r>
    </w:p>
    <w:p w14:paraId="0D4EA7E7">
      <w:pPr>
        <w:spacing w:line="360" w:lineRule="auto"/>
        <w:rPr>
          <w:rFonts w:hint="eastAsia" w:ascii="宋体" w:hAnsi="宋体" w:cs="宋体"/>
          <w:sz w:val="24"/>
          <w:szCs w:val="24"/>
        </w:rPr>
      </w:pPr>
      <w:r>
        <w:rPr>
          <w:rFonts w:hint="eastAsia" w:ascii="宋体" w:hAnsi="宋体" w:cs="宋体"/>
          <w:sz w:val="24"/>
          <w:szCs w:val="24"/>
        </w:rPr>
        <w:t>5、具有压积独立测量功能。</w:t>
      </w:r>
    </w:p>
    <w:p w14:paraId="1D8C0D8E">
      <w:pPr>
        <w:spacing w:line="360" w:lineRule="auto"/>
        <w:rPr>
          <w:rFonts w:hint="eastAsia" w:ascii="宋体" w:hAnsi="宋体" w:cs="宋体"/>
          <w:sz w:val="24"/>
          <w:szCs w:val="24"/>
        </w:rPr>
      </w:pPr>
      <w:r>
        <w:rPr>
          <w:rFonts w:hint="eastAsia" w:ascii="宋体" w:hAnsi="宋体" w:cs="宋体"/>
          <w:sz w:val="24"/>
          <w:szCs w:val="24"/>
        </w:rPr>
        <w:t>6、具有红细胞沉降过程中的最大沉降速度Vm及发生时间Tm值检测功能。</w:t>
      </w:r>
    </w:p>
    <w:p w14:paraId="20F0C2C0">
      <w:pPr>
        <w:spacing w:line="360" w:lineRule="auto"/>
        <w:rPr>
          <w:rFonts w:hint="eastAsia" w:ascii="宋体" w:hAnsi="宋体" w:cs="宋体"/>
          <w:sz w:val="24"/>
          <w:szCs w:val="24"/>
        </w:rPr>
      </w:pPr>
      <w:r>
        <w:rPr>
          <w:rFonts w:hint="eastAsia" w:ascii="宋体" w:hAnsi="宋体" w:cs="宋体"/>
          <w:sz w:val="24"/>
          <w:szCs w:val="24"/>
        </w:rPr>
        <w:t>7、具有动态血沉曲线显示打印功能。</w:t>
      </w:r>
    </w:p>
    <w:p w14:paraId="4F6C0223">
      <w:pPr>
        <w:spacing w:line="360" w:lineRule="auto"/>
        <w:rPr>
          <w:rFonts w:hint="eastAsia" w:ascii="宋体" w:hAnsi="宋体" w:cs="宋体"/>
          <w:sz w:val="24"/>
          <w:szCs w:val="24"/>
        </w:rPr>
      </w:pPr>
      <w:r>
        <w:rPr>
          <w:rFonts w:hint="eastAsia" w:ascii="宋体" w:hAnsi="宋体" w:cs="宋体"/>
          <w:sz w:val="24"/>
          <w:szCs w:val="24"/>
        </w:rPr>
        <w:t>8、具有自动换算血沉方程k值。</w:t>
      </w:r>
    </w:p>
    <w:p w14:paraId="7D9AD001">
      <w:pPr>
        <w:spacing w:line="360" w:lineRule="auto"/>
        <w:rPr>
          <w:rFonts w:hint="eastAsia" w:ascii="宋体" w:hAnsi="宋体" w:cs="宋体"/>
          <w:sz w:val="24"/>
          <w:szCs w:val="24"/>
        </w:rPr>
      </w:pPr>
      <w:r>
        <w:rPr>
          <w:rFonts w:hint="eastAsia" w:ascii="宋体" w:hAnsi="宋体" w:cs="宋体"/>
          <w:sz w:val="24"/>
          <w:szCs w:val="24"/>
        </w:rPr>
        <w:t>9、具有可选择30min或60min血沉独立测量功能及血沉和压积组合联测功能。</w:t>
      </w:r>
    </w:p>
    <w:p w14:paraId="372AA7A8">
      <w:pPr>
        <w:spacing w:line="360" w:lineRule="auto"/>
        <w:rPr>
          <w:rFonts w:hint="eastAsia" w:ascii="宋体" w:hAnsi="宋体" w:cs="宋体"/>
          <w:sz w:val="24"/>
          <w:szCs w:val="24"/>
        </w:rPr>
      </w:pPr>
      <w:r>
        <w:rPr>
          <w:rFonts w:hint="eastAsia" w:ascii="宋体" w:hAnsi="宋体" w:cs="宋体"/>
          <w:sz w:val="24"/>
          <w:szCs w:val="24"/>
        </w:rPr>
        <w:t>10、具有单个或批量测试结果查询、打印功能。</w:t>
      </w:r>
    </w:p>
    <w:p w14:paraId="7A6EA415">
      <w:pPr>
        <w:spacing w:line="360" w:lineRule="auto"/>
        <w:rPr>
          <w:rFonts w:hint="eastAsia" w:ascii="宋体" w:hAnsi="宋体" w:cs="宋体"/>
          <w:sz w:val="24"/>
          <w:szCs w:val="24"/>
        </w:rPr>
      </w:pPr>
      <w:r>
        <w:rPr>
          <w:rFonts w:hint="eastAsia" w:ascii="宋体" w:hAnsi="宋体" w:cs="宋体"/>
          <w:sz w:val="24"/>
          <w:szCs w:val="24"/>
        </w:rPr>
        <w:t>11、显示结果温度设定换算功能：仪器具有选择环境温度补偿功能。</w:t>
      </w:r>
    </w:p>
    <w:p w14:paraId="0199A17C">
      <w:pPr>
        <w:spacing w:line="360" w:lineRule="auto"/>
        <w:rPr>
          <w:rFonts w:hint="eastAsia" w:ascii="宋体" w:hAnsi="宋体" w:cs="宋体"/>
          <w:sz w:val="24"/>
          <w:szCs w:val="24"/>
        </w:rPr>
      </w:pPr>
      <w:r>
        <w:rPr>
          <w:rFonts w:hint="eastAsia" w:ascii="宋体" w:hAnsi="宋体" w:cs="宋体"/>
          <w:sz w:val="24"/>
          <w:szCs w:val="24"/>
        </w:rPr>
        <w:t>12、测试结果存储≥800个（存储容量≥15G）。</w:t>
      </w:r>
    </w:p>
    <w:p w14:paraId="7DD4BC3A">
      <w:pPr>
        <w:spacing w:line="360" w:lineRule="auto"/>
        <w:rPr>
          <w:rFonts w:hint="eastAsia" w:ascii="宋体" w:hAnsi="宋体" w:cs="宋体"/>
          <w:sz w:val="24"/>
          <w:szCs w:val="24"/>
        </w:rPr>
      </w:pPr>
      <w:r>
        <w:rPr>
          <w:rFonts w:hint="eastAsia" w:ascii="宋体" w:hAnsi="宋体" w:cs="宋体"/>
          <w:sz w:val="24"/>
          <w:szCs w:val="24"/>
        </w:rPr>
        <w:t>13、具有液面跟踪扫描功能。</w:t>
      </w:r>
    </w:p>
    <w:p w14:paraId="65460763">
      <w:pPr>
        <w:spacing w:line="360" w:lineRule="auto"/>
        <w:rPr>
          <w:rFonts w:hint="eastAsia" w:ascii="宋体" w:hAnsi="宋体" w:cs="宋体"/>
          <w:sz w:val="24"/>
          <w:szCs w:val="24"/>
        </w:rPr>
      </w:pPr>
      <w:r>
        <w:rPr>
          <w:rFonts w:hint="eastAsia" w:ascii="宋体" w:hAnsi="宋体" w:cs="宋体"/>
          <w:sz w:val="24"/>
          <w:szCs w:val="24"/>
        </w:rPr>
        <w:t>14、具有标本异常，自动识别提示功能。</w:t>
      </w:r>
    </w:p>
    <w:p w14:paraId="4A96522E">
      <w:pPr>
        <w:spacing w:line="360" w:lineRule="auto"/>
        <w:rPr>
          <w:rFonts w:hint="eastAsia" w:ascii="宋体" w:hAnsi="宋体" w:cs="宋体"/>
          <w:sz w:val="24"/>
          <w:szCs w:val="24"/>
        </w:rPr>
      </w:pPr>
      <w:r>
        <w:rPr>
          <w:rFonts w:hint="eastAsia" w:ascii="宋体" w:hAnsi="宋体" w:cs="宋体"/>
          <w:sz w:val="24"/>
          <w:szCs w:val="24"/>
        </w:rPr>
        <w:t>15、具有断电后数据保存功能。</w:t>
      </w:r>
    </w:p>
    <w:p w14:paraId="03DB9A29">
      <w:pPr>
        <w:spacing w:line="360" w:lineRule="auto"/>
        <w:rPr>
          <w:rFonts w:hint="eastAsia" w:ascii="宋体" w:hAnsi="宋体" w:cs="宋体"/>
          <w:sz w:val="24"/>
          <w:szCs w:val="24"/>
        </w:rPr>
      </w:pPr>
      <w:r>
        <w:rPr>
          <w:rFonts w:hint="eastAsia" w:ascii="宋体" w:hAnsi="宋体" w:cs="宋体"/>
          <w:sz w:val="24"/>
          <w:szCs w:val="24"/>
        </w:rPr>
        <w:t>16、条码扫描功能。</w:t>
      </w:r>
    </w:p>
    <w:p w14:paraId="1AB5DC81">
      <w:pPr>
        <w:spacing w:line="360" w:lineRule="auto"/>
        <w:rPr>
          <w:rFonts w:hint="eastAsia" w:ascii="宋体" w:hAnsi="宋体" w:cs="宋体"/>
          <w:sz w:val="24"/>
          <w:szCs w:val="24"/>
        </w:rPr>
      </w:pPr>
      <w:r>
        <w:rPr>
          <w:rFonts w:hint="eastAsia" w:ascii="宋体" w:hAnsi="宋体" w:cs="宋体"/>
          <w:sz w:val="24"/>
          <w:szCs w:val="24"/>
        </w:rPr>
        <w:t>17、配有RS-232和USB接口，具有数据转输功能。</w:t>
      </w:r>
    </w:p>
    <w:p w14:paraId="4DD910E3">
      <w:pPr>
        <w:spacing w:line="360" w:lineRule="auto"/>
        <w:rPr>
          <w:rFonts w:hint="eastAsia" w:ascii="宋体" w:hAnsi="宋体" w:cs="宋体"/>
          <w:sz w:val="24"/>
          <w:szCs w:val="24"/>
        </w:rPr>
      </w:pPr>
    </w:p>
    <w:p w14:paraId="1B69AE02">
      <w:pPr>
        <w:spacing w:line="360" w:lineRule="auto"/>
        <w:outlineLvl w:val="2"/>
        <w:rPr>
          <w:rFonts w:hint="eastAsia" w:ascii="宋体" w:hAnsi="宋体" w:cs="宋体"/>
          <w:b/>
          <w:bCs/>
          <w:sz w:val="24"/>
          <w:szCs w:val="24"/>
        </w:rPr>
      </w:pPr>
      <w:r>
        <w:rPr>
          <w:rFonts w:hint="eastAsia" w:ascii="宋体" w:hAnsi="宋体" w:cs="宋体"/>
          <w:b/>
          <w:bCs/>
          <w:sz w:val="24"/>
          <w:szCs w:val="24"/>
        </w:rPr>
        <w:t>品目11：全自动血液细胞分析流水线（配C反应蛋白模块）</w:t>
      </w:r>
    </w:p>
    <w:p w14:paraId="40453886">
      <w:pPr>
        <w:spacing w:line="360" w:lineRule="auto"/>
        <w:rPr>
          <w:rFonts w:hint="eastAsia" w:ascii="宋体" w:hAnsi="宋体" w:cs="宋体"/>
          <w:sz w:val="24"/>
          <w:szCs w:val="24"/>
        </w:rPr>
      </w:pPr>
      <w:r>
        <w:rPr>
          <w:rFonts w:hint="eastAsia" w:ascii="宋体" w:hAnsi="宋体" w:cs="宋体"/>
          <w:sz w:val="24"/>
          <w:szCs w:val="24"/>
        </w:rPr>
        <w:t>一、全自动血液分析流水线基本功能及要求</w:t>
      </w:r>
    </w:p>
    <w:p w14:paraId="3A96568E">
      <w:pPr>
        <w:spacing w:line="360" w:lineRule="auto"/>
        <w:rPr>
          <w:rFonts w:hint="eastAsia" w:ascii="宋体" w:hAnsi="宋体" w:cs="宋体"/>
          <w:sz w:val="24"/>
          <w:szCs w:val="24"/>
        </w:rPr>
      </w:pPr>
      <w:r>
        <w:rPr>
          <w:rFonts w:hint="eastAsia" w:ascii="宋体" w:hAnsi="宋体" w:cs="宋体"/>
          <w:b/>
          <w:kern w:val="0"/>
          <w:sz w:val="24"/>
          <w:szCs w:val="24"/>
        </w:rPr>
        <w:t>▲</w:t>
      </w:r>
      <w:r>
        <w:rPr>
          <w:rFonts w:hint="eastAsia" w:ascii="宋体" w:hAnsi="宋体" w:cs="宋体"/>
          <w:sz w:val="24"/>
          <w:szCs w:val="24"/>
        </w:rPr>
        <w:t>1、全自动血液分析流水线由全自动五分类血液细胞分析仪、推片染色机、糖化血红蛋白检测模块和全自动细胞形态学分析仪（阅片机）等模块通过轨道连接组成。</w:t>
      </w:r>
    </w:p>
    <w:p w14:paraId="34835250">
      <w:pPr>
        <w:spacing w:line="360" w:lineRule="auto"/>
        <w:rPr>
          <w:rFonts w:hint="eastAsia" w:ascii="宋体" w:hAnsi="宋体" w:cs="宋体"/>
          <w:sz w:val="24"/>
          <w:szCs w:val="24"/>
        </w:rPr>
      </w:pPr>
      <w:r>
        <w:rPr>
          <w:rFonts w:hint="eastAsia" w:ascii="宋体" w:hAnsi="宋体" w:cs="宋体"/>
          <w:sz w:val="24"/>
          <w:szCs w:val="24"/>
        </w:rPr>
        <w:t>2、全自动血液分析流水线需包含血细胞分析及计数、白细胞分类、有核红细胞检测、网织红细胞检测、体液细胞检测、C-反应蛋白、淀粉样蛋白（SAA）、糖化血红蛋白等检测项目。</w:t>
      </w:r>
    </w:p>
    <w:p w14:paraId="2CF9A0E7">
      <w:pPr>
        <w:spacing w:line="360" w:lineRule="auto"/>
        <w:rPr>
          <w:rFonts w:hint="eastAsia" w:ascii="宋体" w:hAnsi="宋体" w:cs="宋体"/>
          <w:sz w:val="24"/>
          <w:szCs w:val="24"/>
        </w:rPr>
      </w:pPr>
      <w:r>
        <w:rPr>
          <w:rFonts w:hint="eastAsia" w:ascii="宋体" w:hAnsi="宋体" w:cs="宋体"/>
          <w:sz w:val="24"/>
          <w:szCs w:val="24"/>
        </w:rPr>
        <w:t>3、检测速度要求：全血细胞计数+五分类检测速度≥220个样本/小时。</w:t>
      </w:r>
    </w:p>
    <w:p w14:paraId="7F9E8F96">
      <w:pPr>
        <w:spacing w:line="360" w:lineRule="auto"/>
        <w:rPr>
          <w:rFonts w:hint="eastAsia" w:ascii="宋体" w:hAnsi="宋体" w:cs="宋体"/>
          <w:sz w:val="24"/>
          <w:szCs w:val="24"/>
        </w:rPr>
      </w:pPr>
      <w:r>
        <w:rPr>
          <w:rFonts w:hint="eastAsia" w:ascii="宋体" w:hAnsi="宋体" w:cs="宋体"/>
          <w:sz w:val="24"/>
          <w:szCs w:val="24"/>
        </w:rPr>
        <w:t>4、流水线上模块可同时开展CRP以及SAA检测并且CRP或SAA检测速度≥200个样本/小时。</w:t>
      </w:r>
    </w:p>
    <w:p w14:paraId="00F76D40">
      <w:pPr>
        <w:spacing w:line="360" w:lineRule="auto"/>
        <w:rPr>
          <w:rFonts w:hint="eastAsia" w:ascii="宋体" w:hAnsi="宋体" w:cs="宋体"/>
          <w:sz w:val="24"/>
          <w:szCs w:val="24"/>
        </w:rPr>
      </w:pPr>
      <w:r>
        <w:rPr>
          <w:rFonts w:hint="eastAsia" w:ascii="宋体" w:hAnsi="宋体" w:cs="宋体"/>
          <w:sz w:val="24"/>
          <w:szCs w:val="24"/>
        </w:rPr>
        <w:t>5、自动推片染色速度≥120个样本/小时。</w:t>
      </w:r>
    </w:p>
    <w:p w14:paraId="2F26D830">
      <w:pPr>
        <w:spacing w:line="360" w:lineRule="auto"/>
        <w:rPr>
          <w:rFonts w:hint="eastAsia" w:ascii="宋体" w:hAnsi="宋体" w:cs="宋体"/>
          <w:sz w:val="24"/>
          <w:szCs w:val="24"/>
        </w:rPr>
      </w:pPr>
      <w:r>
        <w:rPr>
          <w:rFonts w:hint="eastAsia" w:ascii="宋体" w:hAnsi="宋体" w:cs="宋体"/>
          <w:b/>
          <w:kern w:val="0"/>
          <w:sz w:val="24"/>
          <w:szCs w:val="24"/>
        </w:rPr>
        <w:t>▲</w:t>
      </w:r>
      <w:r>
        <w:rPr>
          <w:rFonts w:hint="eastAsia" w:ascii="宋体" w:hAnsi="宋体" w:cs="宋体"/>
          <w:sz w:val="24"/>
          <w:szCs w:val="24"/>
        </w:rPr>
        <w:t>6、糖化血红蛋白处理速度≥120个样本/小时。</w:t>
      </w:r>
    </w:p>
    <w:p w14:paraId="00407C2A">
      <w:pPr>
        <w:spacing w:line="360" w:lineRule="auto"/>
        <w:rPr>
          <w:rFonts w:hint="eastAsia" w:ascii="宋体" w:hAnsi="宋体" w:cs="宋体"/>
          <w:sz w:val="24"/>
          <w:szCs w:val="24"/>
        </w:rPr>
      </w:pPr>
      <w:r>
        <w:rPr>
          <w:rFonts w:hint="eastAsia" w:ascii="宋体" w:hAnsi="宋体" w:cs="宋体"/>
          <w:sz w:val="24"/>
          <w:szCs w:val="24"/>
        </w:rPr>
        <w:t>二、全自动血液体液细胞分析仪参数要求</w:t>
      </w:r>
    </w:p>
    <w:p w14:paraId="44E80441">
      <w:pPr>
        <w:spacing w:line="360" w:lineRule="auto"/>
        <w:rPr>
          <w:rFonts w:hint="eastAsia" w:ascii="宋体" w:hAnsi="宋体" w:cs="宋体"/>
          <w:sz w:val="24"/>
          <w:szCs w:val="24"/>
        </w:rPr>
      </w:pPr>
      <w:r>
        <w:rPr>
          <w:rFonts w:hint="eastAsia" w:ascii="宋体" w:hAnsi="宋体" w:cs="宋体"/>
          <w:sz w:val="24"/>
          <w:szCs w:val="24"/>
        </w:rPr>
        <w:t>1、流水线上血液分析仪任一单机一次进样即可实现血常规、CRP、SAA项目检测。</w:t>
      </w:r>
    </w:p>
    <w:p w14:paraId="13F7FB29">
      <w:pPr>
        <w:spacing w:line="360" w:lineRule="auto"/>
        <w:rPr>
          <w:rFonts w:hint="eastAsia" w:ascii="宋体" w:hAnsi="宋体" w:cs="宋体"/>
          <w:sz w:val="24"/>
          <w:szCs w:val="24"/>
        </w:rPr>
      </w:pPr>
      <w:r>
        <w:rPr>
          <w:rFonts w:hint="eastAsia" w:ascii="宋体" w:hAnsi="宋体" w:cs="宋体"/>
          <w:sz w:val="24"/>
          <w:szCs w:val="24"/>
        </w:rPr>
        <w:t>2、单机检测速度需满足：CBC＋DIFF＋NRBC≥100样本/小时。</w:t>
      </w:r>
    </w:p>
    <w:p w14:paraId="2B6B0D4B">
      <w:pPr>
        <w:spacing w:line="360" w:lineRule="auto"/>
        <w:rPr>
          <w:rFonts w:hint="eastAsia" w:ascii="宋体" w:hAnsi="宋体" w:cs="宋体"/>
          <w:sz w:val="24"/>
          <w:szCs w:val="24"/>
        </w:rPr>
      </w:pPr>
      <w:r>
        <w:rPr>
          <w:rFonts w:hint="eastAsia" w:ascii="宋体" w:hAnsi="宋体" w:cs="宋体"/>
          <w:sz w:val="24"/>
          <w:szCs w:val="24"/>
        </w:rPr>
        <w:t>3、用血量：末梢全血模式（非预稀释）检测CD+CRP用血量≤40μl。</w:t>
      </w:r>
    </w:p>
    <w:p w14:paraId="44E9AEF8">
      <w:pPr>
        <w:spacing w:line="360" w:lineRule="auto"/>
        <w:rPr>
          <w:rFonts w:hint="eastAsia" w:ascii="宋体" w:hAnsi="宋体" w:cs="宋体"/>
          <w:sz w:val="24"/>
          <w:szCs w:val="24"/>
        </w:rPr>
      </w:pPr>
      <w:r>
        <w:rPr>
          <w:rFonts w:hint="eastAsia" w:ascii="宋体" w:hAnsi="宋体" w:cs="宋体"/>
          <w:sz w:val="24"/>
          <w:szCs w:val="24"/>
        </w:rPr>
        <w:t>4、检测方法及原理：半导体激光法、鞘流阻抗法、核酸荧光染色法、流式细胞技术。</w:t>
      </w:r>
    </w:p>
    <w:p w14:paraId="53EA26D3">
      <w:pPr>
        <w:spacing w:line="360" w:lineRule="auto"/>
        <w:rPr>
          <w:rFonts w:hint="eastAsia" w:ascii="宋体" w:hAnsi="宋体" w:cs="宋体"/>
          <w:sz w:val="24"/>
          <w:szCs w:val="24"/>
        </w:rPr>
      </w:pPr>
      <w:r>
        <w:rPr>
          <w:rFonts w:hint="eastAsia" w:ascii="宋体" w:hAnsi="宋体" w:cs="宋体"/>
          <w:sz w:val="24"/>
          <w:szCs w:val="24"/>
        </w:rPr>
        <w:t xml:space="preserve">5、具有全自动体液（含胸水、腹水、脑脊液、滑膜液等体液）细胞计数和对体液中的白细胞进行分类的功能，并能出具报告参数且报告参数≥7项。 </w:t>
      </w:r>
    </w:p>
    <w:p w14:paraId="58E05879">
      <w:pPr>
        <w:spacing w:line="360" w:lineRule="auto"/>
        <w:rPr>
          <w:rFonts w:hint="eastAsia" w:ascii="宋体" w:hAnsi="宋体" w:cs="宋体"/>
          <w:sz w:val="24"/>
          <w:szCs w:val="24"/>
        </w:rPr>
      </w:pPr>
      <w:r>
        <w:rPr>
          <w:rFonts w:hint="eastAsia" w:ascii="宋体" w:hAnsi="宋体" w:cs="宋体"/>
          <w:sz w:val="24"/>
          <w:szCs w:val="24"/>
        </w:rPr>
        <w:t>6、具有低值白细胞检测功能，如遇白细胞低值时自动增加计数颗粒数量，无需额外消耗试剂。</w:t>
      </w:r>
    </w:p>
    <w:p w14:paraId="31AF0269">
      <w:pPr>
        <w:spacing w:line="360" w:lineRule="auto"/>
        <w:rPr>
          <w:rFonts w:hint="eastAsia" w:ascii="宋体" w:hAnsi="宋体" w:cs="宋体"/>
          <w:sz w:val="24"/>
          <w:szCs w:val="24"/>
        </w:rPr>
      </w:pPr>
      <w:r>
        <w:rPr>
          <w:rFonts w:hint="eastAsia" w:ascii="宋体" w:hAnsi="宋体" w:cs="宋体"/>
          <w:sz w:val="24"/>
          <w:szCs w:val="24"/>
        </w:rPr>
        <w:t>7、血液分析线性范围（静脉血）：血液分析线性范围（静脉血）：白细胞：（0-500）</w:t>
      </w:r>
      <w:r>
        <w:rPr>
          <w:rFonts w:hint="eastAsia" w:ascii="宋体" w:hAnsi="宋体" w:cs="宋体"/>
          <w:sz w:val="24"/>
          <w:szCs w:val="24"/>
        </w:rPr>
        <w:sym w:font="Symbol" w:char="F0B4"/>
      </w:r>
      <w:r>
        <w:rPr>
          <w:rFonts w:hint="eastAsia" w:ascii="宋体" w:hAnsi="宋体" w:cs="宋体"/>
          <w:sz w:val="24"/>
          <w:szCs w:val="24"/>
        </w:rPr>
        <w:t xml:space="preserve"> 10</w:t>
      </w:r>
      <w:r>
        <w:rPr>
          <w:rFonts w:hint="eastAsia" w:ascii="宋体" w:hAnsi="宋体" w:cs="宋体"/>
          <w:sz w:val="24"/>
          <w:szCs w:val="24"/>
          <w:vertAlign w:val="superscript"/>
        </w:rPr>
        <w:t>9</w:t>
      </w:r>
      <w:r>
        <w:rPr>
          <w:rFonts w:hint="eastAsia" w:ascii="宋体" w:hAnsi="宋体" w:cs="宋体"/>
          <w:sz w:val="24"/>
          <w:szCs w:val="24"/>
        </w:rPr>
        <w:t>/L，红细胞：（0-8.6）</w:t>
      </w:r>
      <w:r>
        <w:rPr>
          <w:rFonts w:hint="eastAsia" w:ascii="宋体" w:hAnsi="宋体" w:cs="宋体"/>
          <w:sz w:val="24"/>
          <w:szCs w:val="24"/>
        </w:rPr>
        <w:sym w:font="Symbol" w:char="F0B4"/>
      </w:r>
      <w:r>
        <w:rPr>
          <w:rFonts w:hint="eastAsia" w:ascii="宋体" w:hAnsi="宋体" w:cs="宋体"/>
          <w:sz w:val="24"/>
          <w:szCs w:val="24"/>
        </w:rPr>
        <w:t xml:space="preserve"> 10</w:t>
      </w:r>
      <w:r>
        <w:rPr>
          <w:rFonts w:hint="eastAsia" w:ascii="宋体" w:hAnsi="宋体" w:cs="宋体"/>
          <w:sz w:val="24"/>
          <w:szCs w:val="24"/>
          <w:vertAlign w:val="superscript"/>
        </w:rPr>
        <w:t>12</w:t>
      </w:r>
      <w:r>
        <w:rPr>
          <w:rFonts w:hint="eastAsia" w:ascii="宋体" w:hAnsi="宋体" w:cs="宋体"/>
          <w:sz w:val="24"/>
          <w:szCs w:val="24"/>
        </w:rPr>
        <w:t>/L，血小板：（0-5000）</w:t>
      </w:r>
      <w:r>
        <w:rPr>
          <w:rFonts w:hint="eastAsia" w:ascii="宋体" w:hAnsi="宋体" w:cs="宋体"/>
          <w:sz w:val="24"/>
          <w:szCs w:val="24"/>
        </w:rPr>
        <w:sym w:font="Symbol" w:char="F0B4"/>
      </w:r>
      <w:r>
        <w:rPr>
          <w:rFonts w:hint="eastAsia" w:ascii="宋体" w:hAnsi="宋体" w:cs="宋体"/>
          <w:sz w:val="24"/>
          <w:szCs w:val="24"/>
        </w:rPr>
        <w:t xml:space="preserve"> 10</w:t>
      </w:r>
      <w:r>
        <w:rPr>
          <w:rFonts w:hint="eastAsia" w:ascii="宋体" w:hAnsi="宋体" w:cs="宋体"/>
          <w:sz w:val="24"/>
          <w:szCs w:val="24"/>
          <w:vertAlign w:val="superscript"/>
        </w:rPr>
        <w:t>9</w:t>
      </w:r>
      <w:r>
        <w:rPr>
          <w:rFonts w:hint="eastAsia" w:ascii="宋体" w:hAnsi="宋体" w:cs="宋体"/>
          <w:sz w:val="24"/>
          <w:szCs w:val="24"/>
        </w:rPr>
        <w:t>/L。</w:t>
      </w:r>
    </w:p>
    <w:p w14:paraId="21FC3191">
      <w:pPr>
        <w:spacing w:line="360" w:lineRule="auto"/>
        <w:rPr>
          <w:rFonts w:hint="eastAsia" w:ascii="宋体" w:hAnsi="宋体" w:cs="宋体"/>
          <w:sz w:val="24"/>
          <w:szCs w:val="24"/>
        </w:rPr>
      </w:pPr>
      <w:r>
        <w:rPr>
          <w:rFonts w:hint="eastAsia" w:ascii="宋体" w:hAnsi="宋体" w:cs="宋体"/>
          <w:sz w:val="24"/>
          <w:szCs w:val="24"/>
        </w:rPr>
        <w:t>8、为减少更换稀释液的次数，需提供浓缩稀释系统对稀释液进行稀释。</w:t>
      </w:r>
    </w:p>
    <w:p w14:paraId="63063CB9">
      <w:pPr>
        <w:spacing w:line="360" w:lineRule="auto"/>
        <w:rPr>
          <w:rFonts w:hint="eastAsia" w:ascii="宋体" w:hAnsi="宋体" w:cs="宋体"/>
          <w:sz w:val="24"/>
          <w:szCs w:val="24"/>
        </w:rPr>
      </w:pPr>
      <w:r>
        <w:rPr>
          <w:rFonts w:hint="eastAsia" w:ascii="宋体" w:hAnsi="宋体" w:cs="宋体"/>
          <w:sz w:val="24"/>
          <w:szCs w:val="24"/>
        </w:rPr>
        <w:t>9、具有低值血小板自解聚功能，血小板解聚率≥80%。</w:t>
      </w:r>
    </w:p>
    <w:p w14:paraId="01547621">
      <w:pPr>
        <w:spacing w:line="360" w:lineRule="auto"/>
        <w:rPr>
          <w:rFonts w:hint="eastAsia" w:ascii="宋体" w:hAnsi="宋体" w:cs="宋体"/>
          <w:sz w:val="24"/>
          <w:szCs w:val="24"/>
        </w:rPr>
      </w:pPr>
      <w:r>
        <w:rPr>
          <w:rFonts w:hint="eastAsia" w:ascii="宋体" w:hAnsi="宋体" w:cs="宋体"/>
          <w:sz w:val="24"/>
          <w:szCs w:val="24"/>
        </w:rPr>
        <w:t>10、SAA线性范围：5~320mg/L</w:t>
      </w:r>
    </w:p>
    <w:p w14:paraId="20447933">
      <w:pPr>
        <w:spacing w:line="360" w:lineRule="auto"/>
        <w:rPr>
          <w:rFonts w:hint="eastAsia" w:ascii="宋体" w:hAnsi="宋体" w:cs="宋体"/>
          <w:sz w:val="24"/>
          <w:szCs w:val="24"/>
        </w:rPr>
      </w:pPr>
      <w:r>
        <w:rPr>
          <w:rFonts w:hint="eastAsia" w:ascii="宋体" w:hAnsi="宋体" w:cs="宋体"/>
          <w:sz w:val="24"/>
          <w:szCs w:val="24"/>
        </w:rPr>
        <w:t>三、糖化血红蛋白分析仪</w:t>
      </w:r>
    </w:p>
    <w:p w14:paraId="7DEA6F9E">
      <w:pPr>
        <w:spacing w:line="360" w:lineRule="auto"/>
        <w:rPr>
          <w:rFonts w:hint="eastAsia" w:ascii="宋体" w:hAnsi="宋体" w:cs="宋体"/>
          <w:sz w:val="24"/>
          <w:szCs w:val="24"/>
        </w:rPr>
      </w:pPr>
      <w:r>
        <w:rPr>
          <w:rFonts w:hint="eastAsia" w:ascii="宋体" w:hAnsi="宋体" w:cs="宋体"/>
          <w:sz w:val="24"/>
          <w:szCs w:val="24"/>
        </w:rPr>
        <w:t>1、仪器检测原理需为高效液相色谱法（HPLC）。</w:t>
      </w:r>
    </w:p>
    <w:p w14:paraId="25C900CA">
      <w:pPr>
        <w:spacing w:line="360" w:lineRule="auto"/>
        <w:rPr>
          <w:rFonts w:hint="eastAsia" w:ascii="宋体" w:hAnsi="宋体" w:cs="宋体"/>
          <w:sz w:val="24"/>
          <w:szCs w:val="24"/>
        </w:rPr>
      </w:pPr>
      <w:r>
        <w:rPr>
          <w:rFonts w:hint="eastAsia" w:ascii="宋体" w:hAnsi="宋体" w:cs="宋体"/>
          <w:sz w:val="24"/>
          <w:szCs w:val="24"/>
        </w:rPr>
        <w:t>2、仪器能有效变异体HbS、Hbc、HbD、HbE，无需额外使用变异体层析柱及专用试剂。</w:t>
      </w:r>
    </w:p>
    <w:p w14:paraId="2B301555">
      <w:pPr>
        <w:spacing w:line="360" w:lineRule="auto"/>
        <w:rPr>
          <w:rFonts w:hint="eastAsia" w:ascii="宋体" w:hAnsi="宋体" w:cs="宋体"/>
          <w:sz w:val="24"/>
          <w:szCs w:val="24"/>
        </w:rPr>
      </w:pPr>
      <w:r>
        <w:rPr>
          <w:rFonts w:hint="eastAsia" w:ascii="宋体" w:hAnsi="宋体" w:cs="宋体"/>
          <w:sz w:val="24"/>
          <w:szCs w:val="24"/>
        </w:rPr>
        <w:t>3、单台糖化血红蛋白分析仪测试速度≥60个样本/小时。</w:t>
      </w:r>
    </w:p>
    <w:p w14:paraId="6EAF3073">
      <w:pPr>
        <w:spacing w:line="360" w:lineRule="auto"/>
        <w:rPr>
          <w:rFonts w:hint="eastAsia" w:ascii="宋体" w:hAnsi="宋体" w:cs="宋体"/>
          <w:sz w:val="24"/>
          <w:szCs w:val="24"/>
        </w:rPr>
      </w:pPr>
      <w:r>
        <w:rPr>
          <w:rFonts w:hint="eastAsia" w:ascii="宋体" w:hAnsi="宋体" w:cs="宋体"/>
          <w:sz w:val="24"/>
          <w:szCs w:val="24"/>
        </w:rPr>
        <w:t>4、糖化血红蛋白模块线性要求需覆盖 3-20%区间。</w:t>
      </w:r>
    </w:p>
    <w:p w14:paraId="51E28C0F">
      <w:pPr>
        <w:spacing w:line="360" w:lineRule="auto"/>
        <w:rPr>
          <w:rFonts w:hint="eastAsia" w:ascii="宋体" w:hAnsi="宋体" w:cs="宋体"/>
          <w:sz w:val="24"/>
          <w:szCs w:val="24"/>
        </w:rPr>
      </w:pPr>
      <w:r>
        <w:rPr>
          <w:rFonts w:hint="eastAsia" w:ascii="宋体" w:hAnsi="宋体" w:cs="宋体"/>
          <w:sz w:val="24"/>
          <w:szCs w:val="24"/>
        </w:rPr>
        <w:t>5、仪器检测参数需包含：平均血糖（eAG）。</w:t>
      </w:r>
    </w:p>
    <w:p w14:paraId="7B240505">
      <w:pPr>
        <w:spacing w:line="360" w:lineRule="auto"/>
        <w:rPr>
          <w:rFonts w:hint="eastAsia" w:ascii="宋体" w:hAnsi="宋体" w:cs="宋体"/>
          <w:sz w:val="24"/>
          <w:szCs w:val="24"/>
        </w:rPr>
      </w:pPr>
      <w:r>
        <w:rPr>
          <w:rFonts w:hint="eastAsia" w:ascii="宋体" w:hAnsi="宋体" w:cs="宋体"/>
          <w:sz w:val="24"/>
          <w:szCs w:val="24"/>
        </w:rPr>
        <w:t>6、仪器检测参数需包含：HbA1。</w:t>
      </w:r>
    </w:p>
    <w:p w14:paraId="2FE18E66">
      <w:pPr>
        <w:spacing w:line="360" w:lineRule="auto"/>
        <w:rPr>
          <w:rFonts w:hint="eastAsia" w:ascii="宋体" w:hAnsi="宋体" w:cs="宋体"/>
          <w:sz w:val="24"/>
          <w:szCs w:val="24"/>
        </w:rPr>
      </w:pPr>
      <w:r>
        <w:rPr>
          <w:rFonts w:hint="eastAsia" w:ascii="宋体" w:hAnsi="宋体" w:cs="宋体"/>
          <w:sz w:val="24"/>
          <w:szCs w:val="24"/>
        </w:rPr>
        <w:t>四、推片染色机</w:t>
      </w:r>
    </w:p>
    <w:p w14:paraId="7B20A303">
      <w:pPr>
        <w:spacing w:line="360" w:lineRule="auto"/>
        <w:rPr>
          <w:rFonts w:hint="eastAsia" w:ascii="宋体" w:hAnsi="宋体" w:cs="宋体"/>
          <w:sz w:val="24"/>
          <w:szCs w:val="24"/>
        </w:rPr>
      </w:pPr>
      <w:r>
        <w:rPr>
          <w:rFonts w:hint="eastAsia" w:ascii="宋体" w:hAnsi="宋体" w:cs="宋体"/>
          <w:sz w:val="24"/>
          <w:szCs w:val="24"/>
        </w:rPr>
        <w:t>1、应保障各模块检测结果兼容。</w:t>
      </w:r>
    </w:p>
    <w:p w14:paraId="2E1AA0A1">
      <w:pPr>
        <w:spacing w:line="360" w:lineRule="auto"/>
        <w:rPr>
          <w:rFonts w:hint="eastAsia" w:ascii="宋体" w:hAnsi="宋体" w:cs="宋体"/>
          <w:sz w:val="24"/>
          <w:szCs w:val="24"/>
        </w:rPr>
      </w:pPr>
      <w:r>
        <w:rPr>
          <w:rFonts w:hint="eastAsia" w:ascii="宋体" w:hAnsi="宋体" w:cs="宋体"/>
          <w:sz w:val="24"/>
          <w:szCs w:val="24"/>
        </w:rPr>
        <w:t>2、流水线上单台自动推片染色综合速度≥120个样本/小时（每个样本均需完成制片及染色）。</w:t>
      </w:r>
    </w:p>
    <w:p w14:paraId="4E9101C0">
      <w:pPr>
        <w:spacing w:line="360" w:lineRule="auto"/>
        <w:rPr>
          <w:rFonts w:hint="eastAsia" w:ascii="宋体" w:hAnsi="宋体" w:cs="宋体"/>
          <w:sz w:val="24"/>
          <w:szCs w:val="24"/>
        </w:rPr>
      </w:pPr>
      <w:r>
        <w:rPr>
          <w:rFonts w:hint="eastAsia" w:ascii="宋体" w:hAnsi="宋体" w:cs="宋体"/>
          <w:sz w:val="24"/>
          <w:szCs w:val="24"/>
        </w:rPr>
        <w:t>3、推片所需最小样本量≤40μl。</w:t>
      </w:r>
    </w:p>
    <w:p w14:paraId="2BFD049C">
      <w:pPr>
        <w:spacing w:line="360" w:lineRule="auto"/>
        <w:rPr>
          <w:rFonts w:hint="eastAsia" w:ascii="宋体" w:hAnsi="宋体" w:cs="宋体"/>
          <w:sz w:val="24"/>
          <w:szCs w:val="24"/>
        </w:rPr>
      </w:pPr>
      <w:r>
        <w:rPr>
          <w:rFonts w:hint="eastAsia" w:ascii="宋体" w:hAnsi="宋体" w:cs="宋体"/>
          <w:sz w:val="24"/>
          <w:szCs w:val="24"/>
        </w:rPr>
        <w:t>4、仪器的宽度（即长度和深度中最大尺寸）需≤1.5米。</w:t>
      </w:r>
    </w:p>
    <w:p w14:paraId="24A690B1">
      <w:pPr>
        <w:spacing w:line="360" w:lineRule="auto"/>
        <w:rPr>
          <w:rFonts w:hint="eastAsia" w:ascii="宋体" w:hAnsi="宋体" w:cs="宋体"/>
          <w:sz w:val="24"/>
          <w:szCs w:val="24"/>
        </w:rPr>
      </w:pPr>
      <w:r>
        <w:rPr>
          <w:rFonts w:hint="eastAsia" w:ascii="宋体" w:hAnsi="宋体" w:cs="宋体"/>
          <w:sz w:val="24"/>
          <w:szCs w:val="24"/>
        </w:rPr>
        <w:t>5、单台仪器对玻片的最大装载量≥140片。</w:t>
      </w:r>
    </w:p>
    <w:p w14:paraId="25099CBC">
      <w:pPr>
        <w:spacing w:line="360" w:lineRule="auto"/>
        <w:rPr>
          <w:rFonts w:hint="eastAsia" w:ascii="宋体" w:hAnsi="宋体" w:cs="宋体"/>
          <w:sz w:val="24"/>
          <w:szCs w:val="24"/>
        </w:rPr>
      </w:pPr>
      <w:r>
        <w:rPr>
          <w:rFonts w:hint="eastAsia" w:ascii="宋体" w:hAnsi="宋体" w:cs="宋体"/>
          <w:sz w:val="24"/>
          <w:szCs w:val="24"/>
        </w:rPr>
        <w:t>6、支持一次吸样多次推片，推片次数≥5次推片。</w:t>
      </w:r>
    </w:p>
    <w:p w14:paraId="7CCEA83E">
      <w:pPr>
        <w:spacing w:line="360" w:lineRule="auto"/>
        <w:rPr>
          <w:rFonts w:hint="eastAsia" w:ascii="宋体" w:hAnsi="宋体" w:cs="宋体"/>
          <w:sz w:val="24"/>
          <w:szCs w:val="24"/>
        </w:rPr>
      </w:pPr>
      <w:r>
        <w:rPr>
          <w:rFonts w:hint="eastAsia" w:ascii="宋体" w:hAnsi="宋体" w:cs="宋体"/>
          <w:sz w:val="24"/>
          <w:szCs w:val="24"/>
        </w:rPr>
        <w:t>五、全自动细胞形态学分析仪</w:t>
      </w:r>
    </w:p>
    <w:p w14:paraId="1F194B76">
      <w:pPr>
        <w:spacing w:line="360" w:lineRule="auto"/>
        <w:rPr>
          <w:rFonts w:hint="eastAsia" w:ascii="宋体" w:hAnsi="宋体" w:cs="宋体"/>
          <w:sz w:val="24"/>
          <w:szCs w:val="24"/>
        </w:rPr>
      </w:pPr>
      <w:r>
        <w:rPr>
          <w:rFonts w:hint="eastAsia" w:ascii="宋体" w:hAnsi="宋体" w:cs="宋体"/>
          <w:sz w:val="24"/>
          <w:szCs w:val="24"/>
        </w:rPr>
        <w:t>1、适用范围：用于对外周血涂片血细胞的形态图像摄取、可视化观察及描述，包括白细胞单细胞图像摄取、初步分类，红细胞形态描述及血小板数目估算。</w:t>
      </w:r>
    </w:p>
    <w:p w14:paraId="2870A7F0">
      <w:pPr>
        <w:spacing w:line="360" w:lineRule="auto"/>
        <w:rPr>
          <w:rFonts w:hint="eastAsia" w:ascii="宋体" w:hAnsi="宋体" w:cs="宋体"/>
          <w:sz w:val="24"/>
          <w:szCs w:val="24"/>
        </w:rPr>
      </w:pPr>
      <w:r>
        <w:rPr>
          <w:rFonts w:hint="eastAsia" w:ascii="宋体" w:hAnsi="宋体" w:cs="宋体"/>
          <w:sz w:val="24"/>
          <w:szCs w:val="24"/>
        </w:rPr>
        <w:t>2、全自动处理：从进样、扫描、定位、加油、各放大倍数间切换、拍摄、初步分类实现完全自动化。</w:t>
      </w:r>
    </w:p>
    <w:p w14:paraId="04E77344">
      <w:pPr>
        <w:spacing w:line="360" w:lineRule="auto"/>
        <w:rPr>
          <w:rFonts w:hint="eastAsia" w:ascii="宋体" w:hAnsi="宋体" w:cs="宋体"/>
          <w:sz w:val="24"/>
          <w:szCs w:val="24"/>
        </w:rPr>
      </w:pPr>
      <w:r>
        <w:rPr>
          <w:rFonts w:hint="eastAsia" w:ascii="宋体" w:hAnsi="宋体" w:cs="宋体"/>
          <w:sz w:val="24"/>
          <w:szCs w:val="24"/>
        </w:rPr>
        <w:t>3、检测模式：WBC、RBC+PLT、PLT聚集、数字玻片（以上模式可自由组合）。</w:t>
      </w:r>
    </w:p>
    <w:p w14:paraId="3E3D9959">
      <w:pPr>
        <w:spacing w:line="360" w:lineRule="auto"/>
        <w:rPr>
          <w:rFonts w:hint="eastAsia" w:ascii="宋体" w:hAnsi="宋体" w:cs="宋体"/>
          <w:sz w:val="24"/>
          <w:szCs w:val="24"/>
        </w:rPr>
      </w:pPr>
      <w:r>
        <w:rPr>
          <w:rFonts w:hint="eastAsia" w:ascii="宋体" w:hAnsi="宋体" w:cs="宋体"/>
          <w:sz w:val="24"/>
          <w:szCs w:val="24"/>
        </w:rPr>
        <w:t>4、处理能力：外周血涂片（100WBC+RBC+PLT）≥40张/小时。</w:t>
      </w:r>
    </w:p>
    <w:p w14:paraId="5C30B429">
      <w:pPr>
        <w:spacing w:line="360" w:lineRule="auto"/>
        <w:rPr>
          <w:rFonts w:hint="eastAsia" w:ascii="宋体" w:hAnsi="宋体" w:cs="宋体"/>
          <w:sz w:val="24"/>
          <w:szCs w:val="24"/>
        </w:rPr>
      </w:pPr>
      <w:r>
        <w:rPr>
          <w:rFonts w:hint="eastAsia" w:ascii="宋体" w:hAnsi="宋体" w:cs="宋体"/>
          <w:sz w:val="24"/>
          <w:szCs w:val="24"/>
        </w:rPr>
        <w:t>白细胞预分类参数≥12类；非白细胞预分类参数≥5类；红细胞形态定性类型≥6类。</w:t>
      </w:r>
    </w:p>
    <w:p w14:paraId="537C7803">
      <w:pPr>
        <w:spacing w:line="360" w:lineRule="auto"/>
        <w:rPr>
          <w:rFonts w:hint="eastAsia" w:ascii="宋体" w:hAnsi="宋体" w:cs="宋体"/>
          <w:sz w:val="24"/>
          <w:szCs w:val="24"/>
        </w:rPr>
      </w:pPr>
      <w:r>
        <w:rPr>
          <w:rFonts w:hint="eastAsia" w:ascii="宋体" w:hAnsi="宋体" w:cs="宋体"/>
          <w:sz w:val="24"/>
          <w:szCs w:val="24"/>
        </w:rPr>
        <w:t>5、血小板聚集：可扫描血涂片体部、边缘两侧、尾部以判断是否有血小板聚集。</w:t>
      </w:r>
    </w:p>
    <w:p w14:paraId="6914F33D">
      <w:pPr>
        <w:spacing w:line="360" w:lineRule="auto"/>
        <w:rPr>
          <w:rFonts w:hint="eastAsia" w:ascii="宋体" w:hAnsi="宋体" w:cs="宋体"/>
          <w:sz w:val="24"/>
          <w:szCs w:val="24"/>
        </w:rPr>
      </w:pPr>
      <w:r>
        <w:rPr>
          <w:rFonts w:hint="eastAsia" w:ascii="宋体" w:hAnsi="宋体" w:cs="宋体"/>
          <w:sz w:val="24"/>
          <w:szCs w:val="24"/>
        </w:rPr>
        <w:t>6、血小板估数：具备估算外周血血小板数量的功能。</w:t>
      </w:r>
    </w:p>
    <w:p w14:paraId="63C4576E">
      <w:pPr>
        <w:spacing w:line="360" w:lineRule="auto"/>
        <w:rPr>
          <w:rFonts w:hint="eastAsia" w:ascii="宋体" w:hAnsi="宋体" w:cs="宋体"/>
          <w:sz w:val="24"/>
          <w:szCs w:val="24"/>
        </w:rPr>
      </w:pPr>
      <w:r>
        <w:rPr>
          <w:rFonts w:hint="eastAsia" w:ascii="宋体" w:hAnsi="宋体" w:cs="宋体"/>
          <w:sz w:val="24"/>
          <w:szCs w:val="24"/>
        </w:rPr>
        <w:t>7、白细胞识别符合率大于85%。</w:t>
      </w:r>
    </w:p>
    <w:p w14:paraId="7E5B02DB">
      <w:pPr>
        <w:spacing w:line="360" w:lineRule="auto"/>
        <w:rPr>
          <w:rFonts w:hint="eastAsia" w:ascii="宋体" w:hAnsi="宋体" w:cs="宋体"/>
          <w:sz w:val="24"/>
          <w:szCs w:val="24"/>
        </w:rPr>
      </w:pPr>
      <w:r>
        <w:rPr>
          <w:rFonts w:hint="eastAsia" w:ascii="宋体" w:hAnsi="宋体" w:cs="宋体"/>
          <w:sz w:val="24"/>
          <w:szCs w:val="24"/>
        </w:rPr>
        <w:t>8、可与全自动推染片机连接，自动接收推染片机制作好的涂片，并能接收外来血涂片。</w:t>
      </w:r>
    </w:p>
    <w:p w14:paraId="04897AFB">
      <w:pPr>
        <w:spacing w:line="360" w:lineRule="auto"/>
        <w:rPr>
          <w:rFonts w:hint="eastAsia" w:ascii="宋体" w:hAnsi="宋体" w:cs="宋体"/>
          <w:sz w:val="24"/>
          <w:szCs w:val="24"/>
        </w:rPr>
      </w:pPr>
      <w:r>
        <w:rPr>
          <w:rFonts w:hint="eastAsia" w:ascii="宋体" w:hAnsi="宋体" w:cs="宋体"/>
          <w:sz w:val="24"/>
          <w:szCs w:val="24"/>
        </w:rPr>
        <w:t>9、支撑单片进样模式，以支持急诊插入分析样本。</w:t>
      </w:r>
    </w:p>
    <w:p w14:paraId="293FA68F">
      <w:pPr>
        <w:spacing w:line="360" w:lineRule="auto"/>
        <w:rPr>
          <w:rFonts w:hint="eastAsia" w:ascii="宋体" w:hAnsi="宋体" w:cs="宋体"/>
          <w:sz w:val="24"/>
          <w:szCs w:val="24"/>
        </w:rPr>
      </w:pPr>
      <w:r>
        <w:rPr>
          <w:rFonts w:hint="eastAsia" w:ascii="宋体" w:hAnsi="宋体" w:cs="宋体"/>
          <w:sz w:val="24"/>
          <w:szCs w:val="24"/>
        </w:rPr>
        <w:t>10、质控：可对分析仪的细胞定位准确性进行检测，验证硬件和涂片的质量。</w:t>
      </w:r>
    </w:p>
    <w:p w14:paraId="09E57858">
      <w:pPr>
        <w:spacing w:line="360" w:lineRule="auto"/>
        <w:rPr>
          <w:rFonts w:hint="eastAsia" w:ascii="宋体" w:hAnsi="宋体" w:cs="宋体"/>
          <w:sz w:val="24"/>
          <w:szCs w:val="24"/>
        </w:rPr>
      </w:pPr>
      <w:r>
        <w:rPr>
          <w:rFonts w:hint="eastAsia" w:ascii="宋体" w:hAnsi="宋体" w:cs="宋体"/>
          <w:sz w:val="24"/>
          <w:szCs w:val="24"/>
        </w:rPr>
        <w:t>11、数据存储：支持外周血玻片的数据和细胞图片存档，可存储≥4万个样本的细胞图形及血液分析结果信息。</w:t>
      </w:r>
    </w:p>
    <w:p w14:paraId="43468AE1">
      <w:pPr>
        <w:spacing w:line="360" w:lineRule="auto"/>
        <w:rPr>
          <w:rFonts w:hint="eastAsia" w:ascii="宋体" w:hAnsi="宋体" w:cs="宋体"/>
          <w:sz w:val="24"/>
          <w:szCs w:val="24"/>
        </w:rPr>
      </w:pPr>
      <w:r>
        <w:rPr>
          <w:rFonts w:hint="eastAsia" w:ascii="宋体" w:hAnsi="宋体" w:cs="宋体"/>
          <w:sz w:val="24"/>
          <w:szCs w:val="24"/>
        </w:rPr>
        <w:t>12、支持全自动细胞形态学分析仪结果和其他分析仪结果同屏显示的功能, 并可自动修正血常规结果。</w:t>
      </w:r>
    </w:p>
    <w:p w14:paraId="044ABB73">
      <w:pPr>
        <w:spacing w:line="360" w:lineRule="auto"/>
        <w:rPr>
          <w:rFonts w:hint="eastAsia" w:ascii="宋体" w:hAnsi="宋体" w:cs="宋体"/>
          <w:sz w:val="24"/>
          <w:szCs w:val="24"/>
        </w:rPr>
      </w:pPr>
      <w:r>
        <w:rPr>
          <w:rFonts w:hint="eastAsia" w:ascii="宋体" w:hAnsi="宋体" w:cs="宋体"/>
          <w:sz w:val="24"/>
          <w:szCs w:val="24"/>
        </w:rPr>
        <w:t>13、支持根据血液分析仪结果触发不同检测模式的功能。</w:t>
      </w:r>
    </w:p>
    <w:p w14:paraId="4205D8DC">
      <w:pPr>
        <w:spacing w:line="360" w:lineRule="auto"/>
        <w:rPr>
          <w:rFonts w:hint="eastAsia" w:ascii="宋体" w:hAnsi="宋体" w:cs="宋体"/>
          <w:sz w:val="24"/>
          <w:szCs w:val="24"/>
        </w:rPr>
      </w:pPr>
      <w:r>
        <w:rPr>
          <w:rFonts w:hint="eastAsia" w:ascii="宋体" w:hAnsi="宋体" w:cs="宋体"/>
          <w:sz w:val="24"/>
          <w:szCs w:val="24"/>
        </w:rPr>
        <w:t>14、支持根据实时外周血涂片血细胞的形态分析过程中的结果而修改检测模式的功能。</w:t>
      </w:r>
    </w:p>
    <w:p w14:paraId="755D3E98">
      <w:pPr>
        <w:spacing w:line="360" w:lineRule="auto"/>
        <w:rPr>
          <w:rFonts w:hint="eastAsia" w:ascii="宋体" w:hAnsi="宋体" w:cs="宋体"/>
          <w:sz w:val="24"/>
          <w:szCs w:val="24"/>
        </w:rPr>
      </w:pPr>
      <w:r>
        <w:rPr>
          <w:rFonts w:hint="eastAsia" w:ascii="宋体" w:hAnsi="宋体" w:cs="宋体"/>
          <w:sz w:val="24"/>
          <w:szCs w:val="24"/>
        </w:rPr>
        <w:t>15、具有一键开关机功能，无需逐台按顺序开关机。</w:t>
      </w:r>
    </w:p>
    <w:p w14:paraId="153742C9">
      <w:pPr>
        <w:spacing w:line="360" w:lineRule="auto"/>
        <w:rPr>
          <w:rFonts w:hint="eastAsia" w:ascii="宋体" w:hAnsi="宋体" w:cs="宋体"/>
          <w:sz w:val="24"/>
          <w:szCs w:val="24"/>
        </w:rPr>
      </w:pPr>
      <w:r>
        <w:rPr>
          <w:rFonts w:hint="eastAsia" w:ascii="宋体" w:hAnsi="宋体" w:cs="宋体"/>
          <w:sz w:val="24"/>
          <w:szCs w:val="24"/>
        </w:rPr>
        <w:t>16、细胞分类添加功能：可以添加自定义白细胞、非白细胞分类、红细胞定性项目。</w:t>
      </w:r>
    </w:p>
    <w:p w14:paraId="0409CC59">
      <w:pPr>
        <w:spacing w:line="360" w:lineRule="auto"/>
        <w:rPr>
          <w:rFonts w:hint="eastAsia" w:ascii="宋体" w:hAnsi="宋体" w:cs="宋体"/>
          <w:sz w:val="24"/>
          <w:szCs w:val="24"/>
        </w:rPr>
      </w:pPr>
      <w:r>
        <w:rPr>
          <w:rFonts w:hint="eastAsia" w:ascii="宋体" w:hAnsi="宋体" w:cs="宋体"/>
          <w:sz w:val="24"/>
          <w:szCs w:val="24"/>
        </w:rPr>
        <w:t>17、血涂片数字扫描功能：提供血涂片数字扫描并保存的功能, 可以支持教学工作。</w:t>
      </w:r>
    </w:p>
    <w:p w14:paraId="06F13612">
      <w:pPr>
        <w:spacing w:line="360" w:lineRule="auto"/>
        <w:rPr>
          <w:rFonts w:hint="eastAsia" w:ascii="宋体" w:hAnsi="宋体" w:cs="宋体"/>
          <w:sz w:val="24"/>
          <w:szCs w:val="24"/>
        </w:rPr>
      </w:pPr>
      <w:r>
        <w:rPr>
          <w:rFonts w:hint="eastAsia" w:ascii="宋体" w:hAnsi="宋体" w:cs="宋体"/>
          <w:sz w:val="24"/>
          <w:szCs w:val="24"/>
        </w:rPr>
        <w:t>18、条码阅读功能：系统可以接受二维码和条形码。</w:t>
      </w:r>
    </w:p>
    <w:p w14:paraId="6EB40BCE">
      <w:pPr>
        <w:spacing w:line="360" w:lineRule="auto"/>
        <w:rPr>
          <w:rFonts w:hint="eastAsia" w:ascii="宋体" w:hAnsi="宋体" w:cs="宋体"/>
          <w:sz w:val="24"/>
          <w:szCs w:val="24"/>
        </w:rPr>
      </w:pPr>
      <w:r>
        <w:rPr>
          <w:rFonts w:hint="eastAsia" w:ascii="宋体" w:hAnsi="宋体" w:cs="宋体"/>
          <w:sz w:val="24"/>
          <w:szCs w:val="24"/>
        </w:rPr>
        <w:t>19、报告格式：可以由用户自定义打印报告格式，可以输出图片进行打印。</w:t>
      </w:r>
    </w:p>
    <w:p w14:paraId="0C35D1AE">
      <w:pPr>
        <w:spacing w:line="360" w:lineRule="auto"/>
        <w:rPr>
          <w:rFonts w:hint="eastAsia" w:ascii="宋体" w:hAnsi="宋体" w:cs="宋体"/>
          <w:sz w:val="24"/>
          <w:szCs w:val="24"/>
        </w:rPr>
      </w:pPr>
    </w:p>
    <w:p w14:paraId="07B9ACCC">
      <w:pPr>
        <w:spacing w:line="360" w:lineRule="auto"/>
        <w:outlineLvl w:val="2"/>
        <w:rPr>
          <w:rFonts w:hint="eastAsia" w:ascii="宋体" w:hAnsi="宋体" w:cs="宋体"/>
          <w:b/>
          <w:bCs/>
          <w:sz w:val="24"/>
          <w:szCs w:val="24"/>
        </w:rPr>
      </w:pPr>
      <w:r>
        <w:rPr>
          <w:rFonts w:hint="eastAsia" w:ascii="宋体" w:hAnsi="宋体" w:cs="宋体"/>
          <w:b/>
          <w:bCs/>
          <w:sz w:val="24"/>
          <w:szCs w:val="24"/>
        </w:rPr>
        <w:t>品目12：全自动血液细胞分析仪+CRP一体机</w:t>
      </w:r>
    </w:p>
    <w:p w14:paraId="7926C481">
      <w:pPr>
        <w:numPr>
          <w:ilvl w:val="0"/>
          <w:numId w:val="20"/>
        </w:numPr>
        <w:spacing w:line="360" w:lineRule="auto"/>
        <w:rPr>
          <w:rFonts w:hint="eastAsia" w:ascii="宋体" w:hAnsi="宋体" w:cs="宋体"/>
          <w:sz w:val="24"/>
          <w:szCs w:val="24"/>
        </w:rPr>
      </w:pPr>
      <w:r>
        <w:rPr>
          <w:rFonts w:hint="eastAsia" w:ascii="宋体" w:hAnsi="宋体" w:cs="宋体"/>
          <w:sz w:val="24"/>
          <w:szCs w:val="24"/>
        </w:rPr>
        <w:t>检测方法及原理：血液分析采用半导体激光法、鞘流电阻抗法、荧光染色法和流式细胞技术原理，CRP检测采用胶乳增强免疫散射比浊法。</w:t>
      </w:r>
    </w:p>
    <w:p w14:paraId="5F4D841E">
      <w:pPr>
        <w:numPr>
          <w:ilvl w:val="0"/>
          <w:numId w:val="20"/>
        </w:numPr>
        <w:spacing w:line="360" w:lineRule="auto"/>
        <w:rPr>
          <w:rFonts w:hint="eastAsia" w:ascii="宋体" w:hAnsi="宋体" w:cs="宋体"/>
          <w:sz w:val="24"/>
          <w:szCs w:val="24"/>
        </w:rPr>
      </w:pPr>
      <w:r>
        <w:rPr>
          <w:rFonts w:hint="eastAsia" w:ascii="宋体" w:hAnsi="宋体" w:cs="宋体"/>
          <w:sz w:val="24"/>
          <w:szCs w:val="24"/>
        </w:rPr>
        <w:t>报告参数≥36个，三维散点图≥3个。</w:t>
      </w:r>
    </w:p>
    <w:p w14:paraId="3BD26B75">
      <w:pPr>
        <w:numPr>
          <w:ilvl w:val="0"/>
          <w:numId w:val="20"/>
        </w:numPr>
        <w:spacing w:line="360" w:lineRule="auto"/>
        <w:rPr>
          <w:rFonts w:hint="eastAsia" w:ascii="宋体" w:hAnsi="宋体" w:cs="宋体"/>
          <w:sz w:val="24"/>
          <w:szCs w:val="24"/>
        </w:rPr>
      </w:pPr>
      <w:r>
        <w:rPr>
          <w:rFonts w:hint="eastAsia" w:ascii="宋体" w:hAnsi="宋体" w:cs="宋体"/>
          <w:sz w:val="24"/>
          <w:szCs w:val="24"/>
        </w:rPr>
        <w:t>单机检测速度：CBC＋DIFF＋NRBC≥100个样本/小时；CBC＋DIFF＋NRBC＋CRP ≥100样本/小时。</w:t>
      </w:r>
    </w:p>
    <w:p w14:paraId="12714B50">
      <w:pPr>
        <w:numPr>
          <w:ilvl w:val="0"/>
          <w:numId w:val="20"/>
        </w:numPr>
        <w:spacing w:line="360" w:lineRule="auto"/>
        <w:rPr>
          <w:rFonts w:hint="eastAsia" w:ascii="宋体" w:hAnsi="宋体" w:cs="宋体"/>
          <w:sz w:val="24"/>
          <w:szCs w:val="24"/>
        </w:rPr>
      </w:pPr>
      <w:r>
        <w:rPr>
          <w:rFonts w:hint="eastAsia" w:ascii="宋体" w:hAnsi="宋体" w:cs="宋体"/>
          <w:sz w:val="24"/>
          <w:szCs w:val="24"/>
        </w:rPr>
        <w:t>进样方式及用血量：静脉血和末梢全血均可自动批量进样或手动进样；末梢全血检测CD+CRP用血量≤40μl，预稀释模式CD+CRP用血量≤20μl。</w:t>
      </w:r>
    </w:p>
    <w:p w14:paraId="1F62ED71">
      <w:pPr>
        <w:numPr>
          <w:ilvl w:val="0"/>
          <w:numId w:val="20"/>
        </w:numPr>
        <w:spacing w:line="360" w:lineRule="auto"/>
        <w:rPr>
          <w:rFonts w:hint="eastAsia" w:ascii="宋体" w:hAnsi="宋体" w:cs="宋体"/>
          <w:sz w:val="24"/>
          <w:szCs w:val="24"/>
        </w:rPr>
      </w:pPr>
      <w:r>
        <w:rPr>
          <w:rFonts w:hint="eastAsia" w:ascii="宋体" w:hAnsi="宋体" w:cs="宋体"/>
          <w:sz w:val="24"/>
          <w:szCs w:val="24"/>
        </w:rPr>
        <w:t>自动进样器，自动进样器内轨具有回退功能，有开放进样或封闭进样装置。</w:t>
      </w:r>
    </w:p>
    <w:p w14:paraId="313BD66D">
      <w:pPr>
        <w:numPr>
          <w:ilvl w:val="0"/>
          <w:numId w:val="20"/>
        </w:numPr>
        <w:spacing w:line="360" w:lineRule="auto"/>
        <w:rPr>
          <w:rFonts w:hint="eastAsia" w:ascii="宋体" w:hAnsi="宋体" w:cs="宋体"/>
          <w:sz w:val="24"/>
          <w:szCs w:val="24"/>
        </w:rPr>
      </w:pPr>
      <w:r>
        <w:rPr>
          <w:rFonts w:hint="eastAsia" w:ascii="宋体" w:hAnsi="宋体" w:cs="宋体"/>
          <w:sz w:val="24"/>
          <w:szCs w:val="24"/>
        </w:rPr>
        <w:t>末梢血自动批量检测模式支持：自动扫码进样、自动混匀、异常标本自动回退复检功能；自动混匀功能可适配主流末梢血采血管。</w:t>
      </w:r>
    </w:p>
    <w:p w14:paraId="5F9DED49">
      <w:pPr>
        <w:numPr>
          <w:ilvl w:val="0"/>
          <w:numId w:val="20"/>
        </w:numPr>
        <w:spacing w:line="360" w:lineRule="auto"/>
        <w:rPr>
          <w:rFonts w:hint="eastAsia" w:ascii="宋体" w:hAnsi="宋体" w:cs="宋体"/>
          <w:sz w:val="24"/>
          <w:szCs w:val="24"/>
        </w:rPr>
      </w:pPr>
      <w:r>
        <w:rPr>
          <w:rFonts w:hint="eastAsia" w:ascii="宋体" w:hAnsi="宋体" w:cs="宋体"/>
          <w:sz w:val="24"/>
          <w:szCs w:val="24"/>
        </w:rPr>
        <w:t>预稀释模式也能进行白细胞五分类、有核红细胞和CRP检测，有急诊插入功能。</w:t>
      </w:r>
    </w:p>
    <w:p w14:paraId="48A4F39E">
      <w:pPr>
        <w:numPr>
          <w:ilvl w:val="0"/>
          <w:numId w:val="20"/>
        </w:numPr>
        <w:spacing w:line="360" w:lineRule="auto"/>
        <w:rPr>
          <w:rFonts w:hint="eastAsia" w:ascii="宋体" w:hAnsi="宋体" w:cs="宋体"/>
          <w:sz w:val="24"/>
          <w:szCs w:val="24"/>
        </w:rPr>
      </w:pPr>
      <w:r>
        <w:rPr>
          <w:rFonts w:hint="eastAsia" w:ascii="宋体" w:hAnsi="宋体" w:cs="宋体"/>
          <w:sz w:val="24"/>
          <w:szCs w:val="24"/>
        </w:rPr>
        <w:t>具有全自动体液（含胸水、腹水、脑脊液和浆膜液等体液）细胞计数和对体液中的白细胞进行分类的功能；具有通过高荧光体液细胞参数对肿瘤细胞进行提示功能。</w:t>
      </w:r>
    </w:p>
    <w:p w14:paraId="7B22D607">
      <w:pPr>
        <w:numPr>
          <w:ilvl w:val="0"/>
          <w:numId w:val="20"/>
        </w:numPr>
        <w:spacing w:line="360" w:lineRule="auto"/>
        <w:rPr>
          <w:rFonts w:hint="eastAsia" w:ascii="宋体" w:hAnsi="宋体" w:cs="宋体"/>
          <w:sz w:val="24"/>
          <w:szCs w:val="24"/>
        </w:rPr>
      </w:pPr>
      <w:r>
        <w:rPr>
          <w:rFonts w:hint="eastAsia" w:ascii="宋体" w:hAnsi="宋体" w:cs="宋体"/>
          <w:sz w:val="24"/>
          <w:szCs w:val="24"/>
        </w:rPr>
        <w:t>使用荧光染料和半导体激光检测WBC五分类，并具有有核红细胞检测功能，能自动进行对白细胞计数的校正。</w:t>
      </w:r>
    </w:p>
    <w:p w14:paraId="0279BE63">
      <w:pPr>
        <w:numPr>
          <w:ilvl w:val="0"/>
          <w:numId w:val="20"/>
        </w:numPr>
        <w:spacing w:line="360" w:lineRule="auto"/>
        <w:rPr>
          <w:rFonts w:hint="eastAsia" w:ascii="宋体" w:hAnsi="宋体" w:cs="宋体"/>
          <w:sz w:val="24"/>
          <w:szCs w:val="24"/>
        </w:rPr>
      </w:pPr>
      <w:r>
        <w:rPr>
          <w:rFonts w:hint="eastAsia" w:ascii="宋体" w:hAnsi="宋体" w:cs="宋体"/>
          <w:sz w:val="24"/>
          <w:szCs w:val="24"/>
        </w:rPr>
        <w:t>具有低值白细胞检测功能，如遇白细胞低值时自动增加计数颗粒数量来保证检测结果的准确性，无需二次折返检测。</w:t>
      </w:r>
    </w:p>
    <w:p w14:paraId="1389888D">
      <w:pPr>
        <w:numPr>
          <w:ilvl w:val="0"/>
          <w:numId w:val="20"/>
        </w:numPr>
        <w:spacing w:line="360" w:lineRule="auto"/>
        <w:rPr>
          <w:rFonts w:hint="eastAsia" w:ascii="宋体" w:hAnsi="宋体" w:cs="宋体"/>
          <w:sz w:val="24"/>
          <w:szCs w:val="24"/>
        </w:rPr>
      </w:pPr>
      <w:r>
        <w:rPr>
          <w:rFonts w:hint="eastAsia" w:ascii="宋体" w:hAnsi="宋体" w:cs="宋体"/>
          <w:sz w:val="24"/>
          <w:szCs w:val="24"/>
        </w:rPr>
        <w:t>配备原厂中文报告及数据处理系统。</w:t>
      </w:r>
    </w:p>
    <w:p w14:paraId="1E483FA0">
      <w:pPr>
        <w:numPr>
          <w:ilvl w:val="0"/>
          <w:numId w:val="20"/>
        </w:numPr>
        <w:spacing w:line="360" w:lineRule="auto"/>
        <w:rPr>
          <w:rFonts w:hint="eastAsia" w:ascii="宋体" w:hAnsi="宋体" w:cs="宋体"/>
          <w:sz w:val="24"/>
          <w:szCs w:val="24"/>
        </w:rPr>
      </w:pPr>
      <w:r>
        <w:rPr>
          <w:rFonts w:hint="eastAsia" w:ascii="宋体" w:hAnsi="宋体" w:cs="宋体"/>
          <w:sz w:val="24"/>
          <w:szCs w:val="24"/>
        </w:rPr>
        <w:t>血液分析仪主机自带≥10寸液晶触摸屏。</w:t>
      </w:r>
    </w:p>
    <w:p w14:paraId="54BDA2A8">
      <w:pPr>
        <w:numPr>
          <w:ilvl w:val="0"/>
          <w:numId w:val="20"/>
        </w:numPr>
        <w:spacing w:line="360" w:lineRule="auto"/>
        <w:rPr>
          <w:rFonts w:hint="eastAsia" w:ascii="宋体" w:hAnsi="宋体" w:cs="宋体"/>
          <w:sz w:val="24"/>
          <w:szCs w:val="24"/>
        </w:rPr>
      </w:pPr>
      <w:r>
        <w:rPr>
          <w:rFonts w:hint="eastAsia" w:ascii="宋体" w:hAnsi="宋体" w:cs="宋体"/>
          <w:sz w:val="24"/>
          <w:szCs w:val="24"/>
        </w:rPr>
        <w:t>血液分析线性范围（静脉血）：白细胞：（0-500）</w:t>
      </w:r>
      <w:r>
        <w:rPr>
          <w:rFonts w:hint="eastAsia" w:ascii="宋体" w:hAnsi="宋体" w:cs="宋体"/>
          <w:sz w:val="24"/>
          <w:szCs w:val="24"/>
        </w:rPr>
        <w:sym w:font="Symbol" w:char="F0B4"/>
      </w:r>
      <w:r>
        <w:rPr>
          <w:rFonts w:hint="eastAsia" w:ascii="宋体" w:hAnsi="宋体" w:cs="宋体"/>
          <w:sz w:val="24"/>
          <w:szCs w:val="24"/>
        </w:rPr>
        <w:t xml:space="preserve"> 109/L，红细胞：（0-8.6）</w:t>
      </w:r>
      <w:r>
        <w:rPr>
          <w:rFonts w:hint="eastAsia" w:ascii="宋体" w:hAnsi="宋体" w:cs="宋体"/>
          <w:sz w:val="24"/>
          <w:szCs w:val="24"/>
        </w:rPr>
        <w:sym w:font="Symbol" w:char="F0B4"/>
      </w:r>
      <w:r>
        <w:rPr>
          <w:rFonts w:hint="eastAsia" w:ascii="宋体" w:hAnsi="宋体" w:cs="宋体"/>
          <w:sz w:val="24"/>
          <w:szCs w:val="24"/>
        </w:rPr>
        <w:t xml:space="preserve"> 1012/L，血小板：（0-5000）</w:t>
      </w:r>
      <w:r>
        <w:rPr>
          <w:rFonts w:hint="eastAsia" w:ascii="宋体" w:hAnsi="宋体" w:cs="宋体"/>
          <w:sz w:val="24"/>
          <w:szCs w:val="24"/>
        </w:rPr>
        <w:sym w:font="Symbol" w:char="F0B4"/>
      </w:r>
      <w:r>
        <w:rPr>
          <w:rFonts w:hint="eastAsia" w:ascii="宋体" w:hAnsi="宋体" w:cs="宋体"/>
          <w:sz w:val="24"/>
          <w:szCs w:val="24"/>
        </w:rPr>
        <w:t>109/L，血红蛋白：（0-260）g/L。</w:t>
      </w:r>
    </w:p>
    <w:p w14:paraId="0A15F674">
      <w:pPr>
        <w:numPr>
          <w:ilvl w:val="0"/>
          <w:numId w:val="20"/>
        </w:numPr>
        <w:spacing w:line="360" w:lineRule="auto"/>
        <w:rPr>
          <w:rFonts w:hint="eastAsia" w:ascii="宋体" w:hAnsi="宋体" w:cs="宋体"/>
          <w:sz w:val="24"/>
          <w:szCs w:val="24"/>
        </w:rPr>
      </w:pPr>
      <w:r>
        <w:rPr>
          <w:rFonts w:hint="eastAsia" w:ascii="宋体" w:hAnsi="宋体" w:cs="宋体"/>
          <w:sz w:val="24"/>
          <w:szCs w:val="24"/>
        </w:rPr>
        <w:t xml:space="preserve">血液模式空白计数要求：白细胞≤0.1 </w:t>
      </w:r>
      <w:r>
        <w:rPr>
          <w:rFonts w:hint="eastAsia" w:ascii="宋体" w:hAnsi="宋体" w:cs="宋体"/>
          <w:sz w:val="24"/>
          <w:szCs w:val="24"/>
        </w:rPr>
        <w:sym w:font="Symbol" w:char="F0B4"/>
      </w:r>
      <w:r>
        <w:rPr>
          <w:rFonts w:hint="eastAsia" w:ascii="宋体" w:hAnsi="宋体" w:cs="宋体"/>
          <w:sz w:val="24"/>
          <w:szCs w:val="24"/>
        </w:rPr>
        <w:t xml:space="preserve"> 109/L，红细胞≤0.02 </w:t>
      </w:r>
      <w:r>
        <w:rPr>
          <w:rFonts w:hint="eastAsia" w:ascii="宋体" w:hAnsi="宋体" w:cs="宋体"/>
          <w:sz w:val="24"/>
          <w:szCs w:val="24"/>
        </w:rPr>
        <w:sym w:font="Symbol" w:char="F0B4"/>
      </w:r>
      <w:r>
        <w:rPr>
          <w:rFonts w:hint="eastAsia" w:ascii="宋体" w:hAnsi="宋体" w:cs="宋体"/>
          <w:sz w:val="24"/>
          <w:szCs w:val="24"/>
        </w:rPr>
        <w:t xml:space="preserve"> 1012/L，血红蛋白≤1g/L，阻抗法血小板≤3 </w:t>
      </w:r>
      <w:r>
        <w:rPr>
          <w:rFonts w:hint="eastAsia" w:ascii="宋体" w:hAnsi="宋体" w:cs="宋体"/>
          <w:sz w:val="24"/>
          <w:szCs w:val="24"/>
        </w:rPr>
        <w:sym w:font="Symbol" w:char="F0B4"/>
      </w:r>
      <w:r>
        <w:rPr>
          <w:rFonts w:hint="eastAsia" w:ascii="宋体" w:hAnsi="宋体" w:cs="宋体"/>
          <w:sz w:val="24"/>
          <w:szCs w:val="24"/>
        </w:rPr>
        <w:t xml:space="preserve"> 109/L。</w:t>
      </w:r>
    </w:p>
    <w:p w14:paraId="079C7771">
      <w:pPr>
        <w:numPr>
          <w:ilvl w:val="0"/>
          <w:numId w:val="20"/>
        </w:numPr>
        <w:spacing w:line="360" w:lineRule="auto"/>
        <w:rPr>
          <w:rFonts w:hint="eastAsia" w:ascii="宋体" w:hAnsi="宋体" w:cs="宋体"/>
          <w:sz w:val="24"/>
          <w:szCs w:val="24"/>
        </w:rPr>
      </w:pPr>
      <w:r>
        <w:rPr>
          <w:rFonts w:hint="eastAsia" w:ascii="宋体" w:hAnsi="宋体" w:cs="宋体"/>
          <w:sz w:val="24"/>
          <w:szCs w:val="24"/>
        </w:rPr>
        <w:t>CRP线性范围：0.2~320mg/L。</w:t>
      </w:r>
    </w:p>
    <w:p w14:paraId="189EDF7A">
      <w:pPr>
        <w:spacing w:line="360" w:lineRule="auto"/>
        <w:rPr>
          <w:rFonts w:hint="eastAsia" w:ascii="宋体" w:hAnsi="宋体" w:cs="宋体"/>
          <w:sz w:val="24"/>
          <w:szCs w:val="24"/>
        </w:rPr>
      </w:pPr>
    </w:p>
    <w:p w14:paraId="21F0125B">
      <w:pPr>
        <w:spacing w:line="360" w:lineRule="auto"/>
        <w:outlineLvl w:val="2"/>
        <w:rPr>
          <w:rFonts w:hint="eastAsia" w:ascii="宋体" w:hAnsi="宋体" w:cs="宋体"/>
          <w:b/>
          <w:bCs/>
          <w:sz w:val="24"/>
          <w:szCs w:val="24"/>
        </w:rPr>
      </w:pPr>
      <w:r>
        <w:rPr>
          <w:rFonts w:hint="eastAsia" w:ascii="宋体" w:hAnsi="宋体" w:cs="宋体"/>
          <w:b/>
          <w:bCs/>
          <w:sz w:val="24"/>
          <w:szCs w:val="24"/>
        </w:rPr>
        <w:t>品目13：洗板机</w:t>
      </w:r>
    </w:p>
    <w:p w14:paraId="11FCE808">
      <w:pPr>
        <w:spacing w:line="360" w:lineRule="auto"/>
        <w:rPr>
          <w:rFonts w:hint="eastAsia" w:ascii="宋体" w:hAnsi="宋体" w:cs="宋体"/>
          <w:sz w:val="24"/>
          <w:szCs w:val="24"/>
        </w:rPr>
      </w:pPr>
      <w:r>
        <w:rPr>
          <w:rFonts w:hint="eastAsia" w:ascii="宋体" w:hAnsi="宋体" w:cs="宋体"/>
          <w:sz w:val="24"/>
          <w:szCs w:val="24"/>
        </w:rPr>
        <w:t>1、适应板型：≥96孔，平、U、V型底酶标板或条。</w:t>
      </w:r>
    </w:p>
    <w:p w14:paraId="2E5E2C83">
      <w:pPr>
        <w:spacing w:line="360" w:lineRule="auto"/>
        <w:rPr>
          <w:rFonts w:hint="eastAsia" w:ascii="宋体" w:hAnsi="宋体" w:cs="宋体"/>
          <w:sz w:val="24"/>
          <w:szCs w:val="24"/>
        </w:rPr>
      </w:pPr>
      <w:r>
        <w:rPr>
          <w:rFonts w:hint="eastAsia" w:ascii="宋体" w:hAnsi="宋体" w:cs="宋体"/>
          <w:sz w:val="24"/>
          <w:szCs w:val="24"/>
        </w:rPr>
        <w:t>2、洗板头：≥96针洗头。</w:t>
      </w:r>
    </w:p>
    <w:p w14:paraId="6DDE5A81">
      <w:pPr>
        <w:spacing w:line="360" w:lineRule="auto"/>
        <w:rPr>
          <w:rFonts w:hint="eastAsia" w:ascii="宋体" w:hAnsi="宋体" w:cs="宋体"/>
          <w:sz w:val="24"/>
          <w:szCs w:val="24"/>
        </w:rPr>
      </w:pPr>
      <w:r>
        <w:rPr>
          <w:rFonts w:hint="eastAsia" w:ascii="宋体" w:hAnsi="宋体" w:cs="宋体"/>
          <w:sz w:val="24"/>
          <w:szCs w:val="24"/>
        </w:rPr>
        <w:t>3、清洗模式：单板、双板或多板。</w:t>
      </w:r>
    </w:p>
    <w:p w14:paraId="0642FA8E">
      <w:pPr>
        <w:spacing w:line="360" w:lineRule="auto"/>
        <w:rPr>
          <w:rFonts w:hint="eastAsia" w:ascii="宋体" w:hAnsi="宋体" w:cs="宋体"/>
          <w:sz w:val="24"/>
          <w:szCs w:val="24"/>
        </w:rPr>
      </w:pPr>
      <w:r>
        <w:rPr>
          <w:rFonts w:hint="eastAsia" w:ascii="宋体" w:hAnsi="宋体" w:cs="宋体"/>
          <w:sz w:val="24"/>
          <w:szCs w:val="24"/>
        </w:rPr>
        <w:t>4、洗液通道：≥3个通道（洗液通道），1个缓冲液通道，1个废液通道。</w:t>
      </w:r>
    </w:p>
    <w:p w14:paraId="5292DE72">
      <w:pPr>
        <w:spacing w:line="360" w:lineRule="auto"/>
        <w:rPr>
          <w:rFonts w:hint="eastAsia" w:ascii="宋体" w:hAnsi="宋体" w:cs="宋体"/>
          <w:sz w:val="24"/>
          <w:szCs w:val="24"/>
        </w:rPr>
      </w:pPr>
      <w:r>
        <w:rPr>
          <w:rFonts w:hint="eastAsia" w:ascii="宋体" w:hAnsi="宋体" w:cs="宋体"/>
          <w:sz w:val="24"/>
          <w:szCs w:val="24"/>
        </w:rPr>
        <w:t>5、注液精度： CV≤2%。</w:t>
      </w:r>
    </w:p>
    <w:p w14:paraId="676C927B">
      <w:pPr>
        <w:spacing w:line="360" w:lineRule="auto"/>
        <w:rPr>
          <w:rFonts w:hint="eastAsia" w:ascii="宋体" w:hAnsi="宋体" w:cs="宋体"/>
          <w:sz w:val="24"/>
          <w:szCs w:val="24"/>
        </w:rPr>
      </w:pPr>
      <w:r>
        <w:rPr>
          <w:rFonts w:hint="eastAsia" w:ascii="宋体" w:hAnsi="宋体" w:cs="宋体"/>
          <w:sz w:val="24"/>
          <w:szCs w:val="24"/>
        </w:rPr>
        <w:t>6、注液和吸液速度：可调节。</w:t>
      </w:r>
    </w:p>
    <w:p w14:paraId="4B3C5512">
      <w:pPr>
        <w:spacing w:line="360" w:lineRule="auto"/>
        <w:rPr>
          <w:rFonts w:hint="eastAsia" w:ascii="宋体" w:hAnsi="宋体" w:cs="宋体"/>
          <w:sz w:val="24"/>
          <w:szCs w:val="24"/>
        </w:rPr>
      </w:pPr>
      <w:r>
        <w:rPr>
          <w:rFonts w:hint="eastAsia" w:ascii="宋体" w:hAnsi="宋体" w:cs="宋体"/>
          <w:sz w:val="24"/>
          <w:szCs w:val="24"/>
        </w:rPr>
        <w:t>7、残液量：≤0.8ul/孔。</w:t>
      </w:r>
    </w:p>
    <w:p w14:paraId="64986BF4">
      <w:pPr>
        <w:spacing w:line="360" w:lineRule="auto"/>
        <w:rPr>
          <w:rFonts w:hint="eastAsia" w:ascii="宋体" w:hAnsi="宋体" w:cs="宋体"/>
          <w:sz w:val="24"/>
          <w:szCs w:val="24"/>
        </w:rPr>
      </w:pPr>
      <w:r>
        <w:rPr>
          <w:rFonts w:hint="eastAsia" w:ascii="宋体" w:hAnsi="宋体" w:cs="宋体"/>
          <w:sz w:val="24"/>
          <w:szCs w:val="24"/>
        </w:rPr>
        <w:t>8、酶标板振动：支持振荡功能，弱、中、强可调节。</w:t>
      </w:r>
    </w:p>
    <w:p w14:paraId="4672565E">
      <w:pPr>
        <w:spacing w:line="360" w:lineRule="auto"/>
        <w:rPr>
          <w:rFonts w:hint="eastAsia" w:ascii="宋体" w:hAnsi="宋体" w:cs="宋体"/>
          <w:sz w:val="24"/>
          <w:szCs w:val="24"/>
        </w:rPr>
      </w:pPr>
      <w:r>
        <w:rPr>
          <w:rFonts w:hint="eastAsia" w:ascii="宋体" w:hAnsi="宋体" w:cs="宋体"/>
          <w:sz w:val="24"/>
          <w:szCs w:val="24"/>
        </w:rPr>
        <w:t>9、振板时间：0～15分钟。</w:t>
      </w:r>
    </w:p>
    <w:p w14:paraId="2B682F1D">
      <w:pPr>
        <w:spacing w:line="360" w:lineRule="auto"/>
        <w:rPr>
          <w:rFonts w:hint="eastAsia" w:ascii="宋体" w:hAnsi="宋体" w:cs="宋体"/>
          <w:sz w:val="24"/>
          <w:szCs w:val="24"/>
        </w:rPr>
      </w:pPr>
      <w:r>
        <w:rPr>
          <w:rFonts w:hint="eastAsia" w:ascii="宋体" w:hAnsi="宋体" w:cs="宋体"/>
          <w:sz w:val="24"/>
          <w:szCs w:val="24"/>
        </w:rPr>
        <w:t>10、程序储存能力：≥80个程序。</w:t>
      </w:r>
    </w:p>
    <w:p w14:paraId="56E432A4">
      <w:pPr>
        <w:spacing w:line="360" w:lineRule="auto"/>
        <w:rPr>
          <w:rFonts w:hint="eastAsia" w:ascii="宋体" w:hAnsi="宋体" w:cs="宋体"/>
          <w:sz w:val="24"/>
          <w:szCs w:val="24"/>
        </w:rPr>
      </w:pPr>
      <w:r>
        <w:rPr>
          <w:rFonts w:hint="eastAsia" w:ascii="宋体" w:hAnsi="宋体" w:cs="宋体"/>
          <w:sz w:val="24"/>
          <w:szCs w:val="24"/>
        </w:rPr>
        <w:t>11、清洗容量：50～2000ul。</w:t>
      </w:r>
    </w:p>
    <w:p w14:paraId="0B77A5E2">
      <w:pPr>
        <w:spacing w:line="360" w:lineRule="auto"/>
        <w:rPr>
          <w:rFonts w:hint="eastAsia" w:ascii="宋体" w:hAnsi="宋体" w:cs="宋体"/>
          <w:sz w:val="24"/>
          <w:szCs w:val="24"/>
        </w:rPr>
      </w:pPr>
      <w:r>
        <w:rPr>
          <w:rFonts w:hint="eastAsia" w:ascii="宋体" w:hAnsi="宋体" w:cs="宋体"/>
          <w:sz w:val="24"/>
          <w:szCs w:val="24"/>
        </w:rPr>
        <w:t>12、清洗次数：0-90次。</w:t>
      </w:r>
    </w:p>
    <w:p w14:paraId="08237C96">
      <w:pPr>
        <w:spacing w:line="360" w:lineRule="auto"/>
        <w:rPr>
          <w:rFonts w:hint="eastAsia" w:ascii="宋体" w:hAnsi="宋体" w:cs="宋体"/>
          <w:sz w:val="24"/>
          <w:szCs w:val="24"/>
        </w:rPr>
      </w:pPr>
      <w:r>
        <w:rPr>
          <w:rFonts w:hint="eastAsia" w:ascii="宋体" w:hAnsi="宋体" w:cs="宋体"/>
          <w:sz w:val="24"/>
          <w:szCs w:val="24"/>
        </w:rPr>
        <w:t>13、侵泡时间：0～15分钟。</w:t>
      </w:r>
    </w:p>
    <w:p w14:paraId="546F43C8">
      <w:pPr>
        <w:spacing w:line="360" w:lineRule="auto"/>
        <w:rPr>
          <w:rFonts w:hint="eastAsia" w:ascii="宋体" w:hAnsi="宋体" w:cs="宋体"/>
          <w:sz w:val="24"/>
          <w:szCs w:val="24"/>
        </w:rPr>
      </w:pPr>
      <w:r>
        <w:rPr>
          <w:rFonts w:hint="eastAsia" w:ascii="宋体" w:hAnsi="宋体" w:cs="宋体"/>
          <w:sz w:val="24"/>
          <w:szCs w:val="24"/>
        </w:rPr>
        <w:t>14、具有空载报警技术，防止托盘空载加液。</w:t>
      </w:r>
    </w:p>
    <w:p w14:paraId="4B883FD3">
      <w:pPr>
        <w:spacing w:line="360" w:lineRule="auto"/>
        <w:rPr>
          <w:rFonts w:hint="eastAsia" w:ascii="宋体" w:hAnsi="宋体" w:cs="宋体"/>
          <w:sz w:val="24"/>
          <w:szCs w:val="24"/>
        </w:rPr>
      </w:pPr>
      <w:r>
        <w:rPr>
          <w:rFonts w:hint="eastAsia" w:ascii="宋体" w:hAnsi="宋体" w:cs="宋体"/>
          <w:sz w:val="24"/>
          <w:szCs w:val="24"/>
        </w:rPr>
        <w:t>15、自动检测液面，清洗液不足和废液满溢时自动报警。</w:t>
      </w:r>
    </w:p>
    <w:p w14:paraId="45055845">
      <w:pPr>
        <w:spacing w:line="360" w:lineRule="auto"/>
        <w:rPr>
          <w:rFonts w:hint="eastAsia" w:ascii="宋体" w:hAnsi="宋体" w:cs="宋体"/>
          <w:sz w:val="24"/>
          <w:szCs w:val="24"/>
        </w:rPr>
      </w:pPr>
      <w:r>
        <w:rPr>
          <w:rFonts w:hint="eastAsia" w:ascii="宋体" w:hAnsi="宋体" w:cs="宋体"/>
          <w:sz w:val="24"/>
          <w:szCs w:val="24"/>
        </w:rPr>
        <w:t>16、主机和内置泵独立分开设计（不在一个机体内），较少主机震动造成的加液、洗涤等影响（提供图片证明材料）。</w:t>
      </w:r>
    </w:p>
    <w:p w14:paraId="79182801">
      <w:pPr>
        <w:spacing w:line="360" w:lineRule="auto"/>
        <w:rPr>
          <w:rFonts w:hint="eastAsia" w:ascii="宋体" w:hAnsi="宋体" w:cs="宋体"/>
          <w:sz w:val="24"/>
          <w:szCs w:val="24"/>
        </w:rPr>
      </w:pPr>
      <w:r>
        <w:rPr>
          <w:rFonts w:hint="eastAsia" w:ascii="宋体" w:hAnsi="宋体" w:cs="宋体"/>
          <w:sz w:val="24"/>
          <w:szCs w:val="24"/>
        </w:rPr>
        <w:t>17、洗液、废液瓶容量：≥2L。</w:t>
      </w:r>
    </w:p>
    <w:p w14:paraId="2EC39F82">
      <w:pPr>
        <w:spacing w:line="360" w:lineRule="auto"/>
        <w:rPr>
          <w:rFonts w:hint="eastAsia" w:ascii="宋体" w:hAnsi="宋体" w:cs="宋体"/>
          <w:sz w:val="24"/>
          <w:szCs w:val="24"/>
        </w:rPr>
      </w:pPr>
    </w:p>
    <w:p w14:paraId="21CAFC7F">
      <w:pPr>
        <w:spacing w:line="360" w:lineRule="auto"/>
        <w:outlineLvl w:val="2"/>
        <w:rPr>
          <w:rFonts w:hint="eastAsia" w:ascii="宋体" w:hAnsi="宋体" w:cs="宋体"/>
          <w:b/>
          <w:bCs/>
          <w:sz w:val="24"/>
          <w:szCs w:val="24"/>
        </w:rPr>
      </w:pPr>
      <w:r>
        <w:rPr>
          <w:rFonts w:hint="eastAsia" w:ascii="宋体" w:hAnsi="宋体" w:cs="宋体"/>
          <w:b/>
          <w:bCs/>
          <w:sz w:val="24"/>
          <w:szCs w:val="24"/>
        </w:rPr>
        <w:t>品目14：血流变分析仪</w:t>
      </w:r>
    </w:p>
    <w:p w14:paraId="03454572">
      <w:pPr>
        <w:spacing w:line="360" w:lineRule="auto"/>
        <w:rPr>
          <w:rFonts w:hint="eastAsia" w:ascii="宋体" w:hAnsi="宋体" w:cs="宋体"/>
          <w:sz w:val="24"/>
          <w:szCs w:val="24"/>
        </w:rPr>
      </w:pPr>
      <w:r>
        <w:rPr>
          <w:rFonts w:hint="eastAsia" w:ascii="宋体" w:hAnsi="宋体" w:cs="宋体"/>
          <w:sz w:val="24"/>
          <w:szCs w:val="24"/>
        </w:rPr>
        <w:t>1、锥/板式测试机芯：2个，可进行双份全血并行同步测试。</w:t>
      </w:r>
    </w:p>
    <w:p w14:paraId="1385C776">
      <w:pPr>
        <w:spacing w:line="360" w:lineRule="auto"/>
        <w:rPr>
          <w:rFonts w:hint="eastAsia" w:ascii="宋体" w:hAnsi="宋体" w:cs="宋体"/>
          <w:sz w:val="24"/>
          <w:szCs w:val="24"/>
        </w:rPr>
      </w:pPr>
      <w:r>
        <w:rPr>
          <w:rFonts w:hint="eastAsia" w:ascii="宋体" w:hAnsi="宋体" w:cs="宋体"/>
          <w:sz w:val="24"/>
          <w:szCs w:val="24"/>
        </w:rPr>
        <w:t>2、全血测试时间：≤30s/2个标本。</w:t>
      </w:r>
    </w:p>
    <w:p w14:paraId="0E41B152">
      <w:pPr>
        <w:spacing w:line="360" w:lineRule="auto"/>
        <w:rPr>
          <w:rFonts w:hint="eastAsia" w:ascii="宋体" w:hAnsi="宋体" w:cs="宋体"/>
          <w:sz w:val="24"/>
          <w:szCs w:val="24"/>
        </w:rPr>
      </w:pPr>
      <w:r>
        <w:rPr>
          <w:rFonts w:hint="eastAsia" w:ascii="宋体" w:hAnsi="宋体" w:cs="宋体"/>
          <w:sz w:val="24"/>
          <w:szCs w:val="24"/>
        </w:rPr>
        <w:t>3、锥/板机芯具有双排液孔防堵功能。</w:t>
      </w:r>
    </w:p>
    <w:p w14:paraId="093C4ACB">
      <w:pPr>
        <w:spacing w:line="360" w:lineRule="auto"/>
        <w:rPr>
          <w:rFonts w:hint="eastAsia" w:ascii="宋体" w:hAnsi="宋体" w:cs="宋体"/>
          <w:sz w:val="24"/>
          <w:szCs w:val="24"/>
        </w:rPr>
      </w:pPr>
      <w:r>
        <w:rPr>
          <w:rFonts w:hint="eastAsia" w:ascii="宋体" w:hAnsi="宋体" w:cs="宋体"/>
          <w:sz w:val="24"/>
          <w:szCs w:val="24"/>
        </w:rPr>
        <w:t>4、毛细管式测试机芯：2个;可进行双份血浆并行同步测试。</w:t>
      </w:r>
    </w:p>
    <w:p w14:paraId="690E0378">
      <w:pPr>
        <w:spacing w:line="360" w:lineRule="auto"/>
        <w:rPr>
          <w:rFonts w:hint="eastAsia" w:ascii="宋体" w:hAnsi="宋体" w:cs="宋体"/>
          <w:sz w:val="24"/>
          <w:szCs w:val="24"/>
        </w:rPr>
      </w:pPr>
      <w:r>
        <w:rPr>
          <w:rFonts w:hint="eastAsia" w:ascii="宋体" w:hAnsi="宋体" w:cs="宋体"/>
          <w:sz w:val="24"/>
          <w:szCs w:val="24"/>
        </w:rPr>
        <w:t>5、血浆测试时间：≤0.4s/2个标本。</w:t>
      </w:r>
    </w:p>
    <w:p w14:paraId="59A7F57F">
      <w:pPr>
        <w:spacing w:line="360" w:lineRule="auto"/>
        <w:rPr>
          <w:rFonts w:hint="eastAsia" w:ascii="宋体" w:hAnsi="宋体" w:cs="宋体"/>
          <w:sz w:val="24"/>
          <w:szCs w:val="24"/>
        </w:rPr>
      </w:pPr>
      <w:r>
        <w:rPr>
          <w:rFonts w:hint="eastAsia" w:ascii="宋体" w:hAnsi="宋体" w:cs="宋体"/>
          <w:sz w:val="24"/>
          <w:szCs w:val="24"/>
        </w:rPr>
        <w:t>6、全血和血浆任意组合并行同步测试功能。</w:t>
      </w:r>
    </w:p>
    <w:p w14:paraId="1B82005A">
      <w:pPr>
        <w:spacing w:line="360" w:lineRule="auto"/>
        <w:rPr>
          <w:rFonts w:hint="eastAsia" w:ascii="宋体" w:hAnsi="宋体" w:cs="宋体"/>
          <w:sz w:val="24"/>
          <w:szCs w:val="24"/>
        </w:rPr>
      </w:pPr>
      <w:r>
        <w:rPr>
          <w:rFonts w:hint="eastAsia" w:ascii="宋体" w:hAnsi="宋体" w:cs="宋体"/>
          <w:sz w:val="24"/>
          <w:szCs w:val="24"/>
        </w:rPr>
        <w:t>7、双加样系统，加样针具有液面感应自动分离血浆功能。</w:t>
      </w:r>
    </w:p>
    <w:p w14:paraId="65542FCB">
      <w:pPr>
        <w:spacing w:line="360" w:lineRule="auto"/>
        <w:rPr>
          <w:rFonts w:hint="eastAsia" w:ascii="宋体" w:hAnsi="宋体" w:cs="宋体"/>
          <w:sz w:val="24"/>
          <w:szCs w:val="24"/>
        </w:rPr>
      </w:pPr>
      <w:r>
        <w:rPr>
          <w:rFonts w:hint="eastAsia" w:ascii="宋体" w:hAnsi="宋体" w:cs="宋体"/>
          <w:sz w:val="24"/>
          <w:szCs w:val="24"/>
        </w:rPr>
        <w:t>8、双90孔位全自动可互换式样品盘。</w:t>
      </w:r>
    </w:p>
    <w:p w14:paraId="69BA7A4D">
      <w:pPr>
        <w:spacing w:line="360" w:lineRule="auto"/>
        <w:rPr>
          <w:rFonts w:hint="eastAsia" w:ascii="宋体" w:hAnsi="宋体" w:cs="宋体"/>
          <w:sz w:val="24"/>
          <w:szCs w:val="24"/>
        </w:rPr>
      </w:pPr>
      <w:r>
        <w:rPr>
          <w:rFonts w:hint="eastAsia" w:ascii="宋体" w:hAnsi="宋体" w:cs="宋体"/>
          <w:sz w:val="24"/>
          <w:szCs w:val="24"/>
        </w:rPr>
        <w:t>9、采用双独立控制系统，确保不停机可持续工作。</w:t>
      </w:r>
    </w:p>
    <w:p w14:paraId="31F2C9F8">
      <w:pPr>
        <w:spacing w:line="360" w:lineRule="auto"/>
        <w:rPr>
          <w:rFonts w:hint="eastAsia" w:ascii="宋体" w:hAnsi="宋体" w:cs="宋体"/>
          <w:sz w:val="24"/>
          <w:szCs w:val="24"/>
        </w:rPr>
      </w:pPr>
      <w:r>
        <w:rPr>
          <w:rFonts w:hint="eastAsia" w:ascii="宋体" w:hAnsi="宋体" w:cs="宋体"/>
          <w:sz w:val="24"/>
          <w:szCs w:val="24"/>
        </w:rPr>
        <w:t>10、锥/板机芯具有轴心水平定位功能。</w:t>
      </w:r>
    </w:p>
    <w:p w14:paraId="4A3AFB72">
      <w:pPr>
        <w:spacing w:line="360" w:lineRule="auto"/>
        <w:rPr>
          <w:rFonts w:hint="eastAsia" w:ascii="宋体" w:hAnsi="宋体" w:cs="宋体"/>
          <w:sz w:val="24"/>
          <w:szCs w:val="24"/>
        </w:rPr>
      </w:pPr>
      <w:r>
        <w:rPr>
          <w:rFonts w:hint="eastAsia" w:ascii="宋体" w:hAnsi="宋体" w:cs="宋体"/>
          <w:sz w:val="24"/>
          <w:szCs w:val="24"/>
        </w:rPr>
        <w:t>11、仪器具有长寿命工作照明系统。</w:t>
      </w:r>
    </w:p>
    <w:p w14:paraId="53CD21C6">
      <w:pPr>
        <w:spacing w:line="360" w:lineRule="auto"/>
        <w:rPr>
          <w:rFonts w:hint="eastAsia" w:ascii="宋体" w:hAnsi="宋体" w:cs="宋体"/>
          <w:sz w:val="24"/>
          <w:szCs w:val="24"/>
        </w:rPr>
      </w:pPr>
      <w:r>
        <w:rPr>
          <w:rFonts w:hint="eastAsia" w:ascii="宋体" w:hAnsi="宋体" w:cs="宋体"/>
          <w:sz w:val="24"/>
          <w:szCs w:val="24"/>
        </w:rPr>
        <w:t>12、精度误差≤±1% ；重复性误差≤1％。</w:t>
      </w:r>
    </w:p>
    <w:p w14:paraId="7F958F34">
      <w:pPr>
        <w:spacing w:line="360" w:lineRule="auto"/>
        <w:rPr>
          <w:rFonts w:hint="eastAsia" w:ascii="宋体" w:hAnsi="宋体" w:cs="宋体"/>
          <w:sz w:val="24"/>
          <w:szCs w:val="24"/>
        </w:rPr>
      </w:pPr>
      <w:r>
        <w:rPr>
          <w:rFonts w:hint="eastAsia" w:ascii="宋体" w:hAnsi="宋体" w:cs="宋体"/>
          <w:sz w:val="24"/>
          <w:szCs w:val="24"/>
        </w:rPr>
        <w:t>13、全血粘度测量范围：0～60mPa.s（切应力0～14000mPa）。</w:t>
      </w:r>
    </w:p>
    <w:p w14:paraId="27A3BBC6">
      <w:pPr>
        <w:spacing w:line="360" w:lineRule="auto"/>
        <w:rPr>
          <w:rFonts w:hint="eastAsia" w:ascii="宋体" w:hAnsi="宋体" w:cs="宋体"/>
          <w:sz w:val="24"/>
          <w:szCs w:val="24"/>
        </w:rPr>
      </w:pPr>
      <w:r>
        <w:rPr>
          <w:rFonts w:hint="eastAsia" w:ascii="宋体" w:hAnsi="宋体" w:cs="宋体"/>
          <w:sz w:val="24"/>
          <w:szCs w:val="24"/>
        </w:rPr>
        <w:t>14、加样量可调范围：50 ul～1000 ul。</w:t>
      </w:r>
    </w:p>
    <w:p w14:paraId="4F675466">
      <w:pPr>
        <w:spacing w:line="360" w:lineRule="auto"/>
        <w:rPr>
          <w:rFonts w:hint="eastAsia" w:ascii="宋体" w:hAnsi="宋体" w:cs="宋体"/>
          <w:sz w:val="24"/>
          <w:szCs w:val="24"/>
        </w:rPr>
      </w:pPr>
      <w:r>
        <w:rPr>
          <w:rFonts w:hint="eastAsia" w:ascii="宋体" w:hAnsi="宋体" w:cs="宋体"/>
          <w:sz w:val="24"/>
          <w:szCs w:val="24"/>
        </w:rPr>
        <w:t>15、全血测试用血量：≤700 ul。</w:t>
      </w:r>
    </w:p>
    <w:p w14:paraId="4A1DB31B">
      <w:pPr>
        <w:spacing w:line="360" w:lineRule="auto"/>
        <w:rPr>
          <w:rFonts w:hint="eastAsia" w:ascii="宋体" w:hAnsi="宋体" w:cs="宋体"/>
          <w:sz w:val="24"/>
          <w:szCs w:val="24"/>
        </w:rPr>
      </w:pPr>
      <w:r>
        <w:rPr>
          <w:rFonts w:hint="eastAsia" w:ascii="宋体" w:hAnsi="宋体" w:cs="宋体"/>
          <w:sz w:val="24"/>
          <w:szCs w:val="24"/>
        </w:rPr>
        <w:t>16、血浆测试用血量：≤100ul。</w:t>
      </w:r>
    </w:p>
    <w:p w14:paraId="706CFBC8">
      <w:pPr>
        <w:spacing w:line="360" w:lineRule="auto"/>
        <w:rPr>
          <w:rFonts w:hint="eastAsia" w:ascii="宋体" w:hAnsi="宋体" w:cs="宋体"/>
          <w:sz w:val="24"/>
          <w:szCs w:val="24"/>
        </w:rPr>
      </w:pPr>
      <w:r>
        <w:rPr>
          <w:rFonts w:hint="eastAsia" w:ascii="宋体" w:hAnsi="宋体" w:cs="宋体"/>
          <w:sz w:val="24"/>
          <w:szCs w:val="24"/>
        </w:rPr>
        <w:t>17、切变率范围：1s-1～200s-1。</w:t>
      </w:r>
    </w:p>
    <w:p w14:paraId="200413DB">
      <w:pPr>
        <w:spacing w:line="360" w:lineRule="auto"/>
        <w:rPr>
          <w:rFonts w:hint="eastAsia" w:ascii="宋体" w:hAnsi="宋体" w:cs="宋体"/>
          <w:sz w:val="24"/>
          <w:szCs w:val="24"/>
        </w:rPr>
      </w:pPr>
      <w:r>
        <w:rPr>
          <w:rFonts w:hint="eastAsia" w:ascii="宋体" w:hAnsi="宋体" w:cs="宋体"/>
          <w:sz w:val="24"/>
          <w:szCs w:val="24"/>
        </w:rPr>
        <w:t>18、微电脑智能温控系统，精度±0.1℃。</w:t>
      </w:r>
    </w:p>
    <w:p w14:paraId="577A771F">
      <w:pPr>
        <w:spacing w:line="360" w:lineRule="auto"/>
        <w:rPr>
          <w:rFonts w:hint="eastAsia" w:ascii="宋体" w:hAnsi="宋体" w:cs="宋体"/>
          <w:sz w:val="24"/>
          <w:szCs w:val="24"/>
        </w:rPr>
      </w:pPr>
      <w:r>
        <w:rPr>
          <w:rFonts w:hint="eastAsia" w:ascii="宋体" w:hAnsi="宋体" w:cs="宋体"/>
          <w:sz w:val="24"/>
          <w:szCs w:val="24"/>
        </w:rPr>
        <w:t>19、挤压式强力蠕动泵进排液系统。</w:t>
      </w:r>
    </w:p>
    <w:p w14:paraId="1038D3CE">
      <w:pPr>
        <w:spacing w:line="360" w:lineRule="auto"/>
        <w:rPr>
          <w:rFonts w:hint="eastAsia" w:ascii="宋体" w:hAnsi="宋体" w:cs="宋体"/>
          <w:sz w:val="24"/>
          <w:szCs w:val="24"/>
        </w:rPr>
      </w:pPr>
      <w:r>
        <w:rPr>
          <w:rFonts w:hint="eastAsia" w:ascii="宋体" w:hAnsi="宋体" w:cs="宋体"/>
          <w:sz w:val="24"/>
          <w:szCs w:val="24"/>
        </w:rPr>
        <w:t>20、快速、全量程、逐点、稳态全血测量方式。</w:t>
      </w:r>
    </w:p>
    <w:p w14:paraId="6F223CC1">
      <w:pPr>
        <w:spacing w:line="360" w:lineRule="auto"/>
        <w:rPr>
          <w:rFonts w:hint="eastAsia" w:ascii="宋体" w:hAnsi="宋体" w:cs="宋体"/>
          <w:sz w:val="24"/>
          <w:szCs w:val="24"/>
        </w:rPr>
      </w:pPr>
      <w:r>
        <w:rPr>
          <w:rFonts w:hint="eastAsia" w:ascii="宋体" w:hAnsi="宋体" w:cs="宋体"/>
          <w:sz w:val="24"/>
          <w:szCs w:val="24"/>
        </w:rPr>
        <w:t>21、具有结果异常，清洗液不足，废液溢出等情况的报警功能。</w:t>
      </w:r>
    </w:p>
    <w:p w14:paraId="0F81BDCA">
      <w:pPr>
        <w:spacing w:line="360" w:lineRule="auto"/>
        <w:rPr>
          <w:rFonts w:hint="eastAsia" w:ascii="宋体" w:hAnsi="宋体" w:cs="宋体"/>
          <w:sz w:val="24"/>
          <w:szCs w:val="24"/>
        </w:rPr>
      </w:pPr>
      <w:r>
        <w:rPr>
          <w:rFonts w:hint="eastAsia" w:ascii="宋体" w:hAnsi="宋体" w:cs="宋体"/>
          <w:sz w:val="24"/>
          <w:szCs w:val="24"/>
        </w:rPr>
        <w:t>22、全自动及手动双重测试功能。</w:t>
      </w:r>
    </w:p>
    <w:p w14:paraId="7F5AA3A7">
      <w:pPr>
        <w:spacing w:line="360" w:lineRule="auto"/>
        <w:rPr>
          <w:rFonts w:hint="eastAsia" w:ascii="宋体" w:hAnsi="宋体" w:cs="宋体"/>
          <w:sz w:val="24"/>
          <w:szCs w:val="24"/>
        </w:rPr>
      </w:pPr>
      <w:r>
        <w:rPr>
          <w:rFonts w:hint="eastAsia" w:ascii="宋体" w:hAnsi="宋体" w:cs="宋体"/>
          <w:sz w:val="24"/>
          <w:szCs w:val="24"/>
        </w:rPr>
        <w:t>23、自定义开放式报告单模式，并可数据传输。</w:t>
      </w:r>
    </w:p>
    <w:p w14:paraId="5345437D">
      <w:pPr>
        <w:spacing w:line="360" w:lineRule="auto"/>
        <w:rPr>
          <w:rFonts w:hint="eastAsia" w:ascii="宋体" w:hAnsi="宋体" w:cs="宋体"/>
          <w:sz w:val="24"/>
          <w:szCs w:val="24"/>
        </w:rPr>
      </w:pPr>
      <w:r>
        <w:rPr>
          <w:rFonts w:hint="eastAsia" w:ascii="宋体" w:hAnsi="宋体" w:cs="宋体"/>
          <w:sz w:val="24"/>
          <w:szCs w:val="24"/>
        </w:rPr>
        <w:t>24、仪器测试范围：全血粘度、血浆粘度、相关参数换算。</w:t>
      </w:r>
    </w:p>
    <w:p w14:paraId="233AFC23">
      <w:pPr>
        <w:rPr>
          <w:rFonts w:hint="eastAsia" w:ascii="仿宋" w:hAnsi="仿宋" w:eastAsia="仿宋"/>
          <w:sz w:val="24"/>
          <w:szCs w:val="24"/>
        </w:rPr>
      </w:pPr>
    </w:p>
    <w:bookmarkEnd w:id="64"/>
    <w:bookmarkEnd w:id="65"/>
    <w:p w14:paraId="28E78982">
      <w:pPr>
        <w:spacing w:line="360" w:lineRule="auto"/>
        <w:contextualSpacing/>
        <w:jc w:val="center"/>
        <w:rPr>
          <w:rFonts w:hint="eastAsia" w:ascii="宋体" w:hAnsi="宋体"/>
          <w:b/>
          <w:sz w:val="30"/>
          <w:szCs w:val="30"/>
        </w:rPr>
      </w:pPr>
      <w:bookmarkStart w:id="69" w:name="_Toc479601815"/>
      <w:r>
        <w:rPr>
          <w:rFonts w:hint="eastAsia" w:ascii="宋体" w:hAnsi="宋体"/>
          <w:b/>
          <w:bCs/>
          <w:sz w:val="32"/>
          <w:szCs w:val="32"/>
        </w:rPr>
        <w:t>三、</w:t>
      </w:r>
      <w:r>
        <w:rPr>
          <w:rFonts w:ascii="宋体" w:hAnsi="宋体"/>
          <w:b/>
          <w:bCs/>
          <w:sz w:val="32"/>
          <w:szCs w:val="32"/>
        </w:rPr>
        <w:t>其他相关要求</w:t>
      </w:r>
    </w:p>
    <w:p w14:paraId="5592FBF2">
      <w:pPr>
        <w:pStyle w:val="20"/>
        <w:spacing w:line="360" w:lineRule="auto"/>
        <w:contextualSpacing/>
        <w:rPr>
          <w:rFonts w:hint="eastAsia" w:hAnsi="宋体" w:eastAsia="宋体"/>
          <w:b/>
          <w:sz w:val="24"/>
          <w:szCs w:val="24"/>
        </w:rPr>
      </w:pPr>
      <w:r>
        <w:rPr>
          <w:rFonts w:hAnsi="宋体" w:eastAsia="宋体"/>
          <w:b/>
          <w:sz w:val="24"/>
          <w:szCs w:val="24"/>
        </w:rPr>
        <w:t>（一）基本要求</w:t>
      </w:r>
    </w:p>
    <w:p w14:paraId="02D843D7">
      <w:pPr>
        <w:pStyle w:val="20"/>
        <w:numPr>
          <w:ilvl w:val="0"/>
          <w:numId w:val="21"/>
        </w:numPr>
        <w:tabs>
          <w:tab w:val="left" w:pos="945"/>
        </w:tabs>
        <w:spacing w:line="360" w:lineRule="auto"/>
        <w:contextualSpacing/>
        <w:rPr>
          <w:rFonts w:hint="eastAsia" w:hAnsi="宋体" w:eastAsia="宋体"/>
          <w:sz w:val="24"/>
          <w:szCs w:val="24"/>
        </w:rPr>
      </w:pPr>
      <w:r>
        <w:rPr>
          <w:rFonts w:hAnsi="宋体" w:eastAsia="宋体"/>
          <w:sz w:val="24"/>
          <w:szCs w:val="24"/>
        </w:rPr>
        <w:t>投标人所供货物为全新未使用且具有产品质量合格证明文件的合格产品，</w:t>
      </w:r>
      <w:r>
        <w:rPr>
          <w:rFonts w:hint="eastAsia" w:hAnsi="宋体" w:eastAsia="宋体"/>
          <w:sz w:val="24"/>
          <w:szCs w:val="24"/>
        </w:rPr>
        <w:t>免费培训并提供相关培训资料（使用/操作手册）及维修手册和维修密码（如有）。</w:t>
      </w:r>
    </w:p>
    <w:p w14:paraId="3DAF492D">
      <w:pPr>
        <w:pStyle w:val="20"/>
        <w:numPr>
          <w:ilvl w:val="0"/>
          <w:numId w:val="21"/>
        </w:numPr>
        <w:tabs>
          <w:tab w:val="left" w:pos="945"/>
        </w:tabs>
        <w:spacing w:line="360" w:lineRule="auto"/>
        <w:rPr>
          <w:rFonts w:hint="eastAsia" w:hAnsi="宋体" w:eastAsia="宋体"/>
          <w:sz w:val="24"/>
          <w:szCs w:val="24"/>
        </w:rPr>
      </w:pPr>
      <w:r>
        <w:rPr>
          <w:rFonts w:hint="eastAsia" w:hAnsi="宋体" w:eastAsia="宋体"/>
          <w:sz w:val="24"/>
          <w:szCs w:val="24"/>
        </w:rPr>
        <w:t>投标所用的支持文件，如：产品datasheet，正式印刷版产品说明、目录、样本、图表、简图等都应清晰。</w:t>
      </w:r>
    </w:p>
    <w:p w14:paraId="0897146D">
      <w:pPr>
        <w:pStyle w:val="20"/>
        <w:numPr>
          <w:ilvl w:val="0"/>
          <w:numId w:val="21"/>
        </w:numPr>
        <w:tabs>
          <w:tab w:val="left" w:pos="945"/>
        </w:tabs>
        <w:spacing w:line="360" w:lineRule="auto"/>
        <w:rPr>
          <w:rFonts w:hint="eastAsia" w:hAnsi="宋体" w:eastAsia="宋体"/>
          <w:sz w:val="24"/>
          <w:szCs w:val="24"/>
        </w:rPr>
      </w:pPr>
      <w:r>
        <w:rPr>
          <w:rFonts w:hAnsi="宋体" w:eastAsia="宋体"/>
          <w:sz w:val="24"/>
          <w:szCs w:val="24"/>
        </w:rPr>
        <w:t>如果所供产品有特殊的工作条件要求，投标人应在投标文件中加以说明。</w:t>
      </w:r>
    </w:p>
    <w:p w14:paraId="26F7523F">
      <w:pPr>
        <w:pStyle w:val="20"/>
        <w:numPr>
          <w:ilvl w:val="0"/>
          <w:numId w:val="21"/>
        </w:numPr>
        <w:tabs>
          <w:tab w:val="left" w:pos="945"/>
        </w:tabs>
        <w:spacing w:line="360" w:lineRule="auto"/>
        <w:rPr>
          <w:rFonts w:hint="eastAsia" w:hAnsi="宋体" w:eastAsia="宋体"/>
          <w:sz w:val="24"/>
          <w:szCs w:val="24"/>
        </w:rPr>
      </w:pPr>
      <w:r>
        <w:rPr>
          <w:rFonts w:hAnsi="宋体" w:eastAsia="宋体"/>
          <w:sz w:val="24"/>
          <w:szCs w:val="24"/>
        </w:rPr>
        <w:t>投标人所提供的产品技术规格应符合招标文件的要求。如所供产品存在技术偏离，投标人应如实填写技术要求偏离表。</w:t>
      </w:r>
    </w:p>
    <w:p w14:paraId="29DB2B3F">
      <w:pPr>
        <w:pStyle w:val="20"/>
        <w:numPr>
          <w:ilvl w:val="0"/>
          <w:numId w:val="21"/>
        </w:numPr>
        <w:tabs>
          <w:tab w:val="left" w:pos="945"/>
        </w:tabs>
        <w:spacing w:line="360" w:lineRule="auto"/>
        <w:rPr>
          <w:rFonts w:hint="eastAsia" w:hAnsi="宋体" w:eastAsia="宋体"/>
          <w:sz w:val="24"/>
          <w:szCs w:val="24"/>
        </w:rPr>
      </w:pPr>
      <w:r>
        <w:rPr>
          <w:rFonts w:hint="eastAsia" w:hAnsi="宋体" w:eastAsia="宋体"/>
          <w:sz w:val="24"/>
          <w:szCs w:val="24"/>
        </w:rPr>
        <w:t>投标人提供的涉及使用耗材的设备，可使用开放耗材的应承诺支持开放耗材，并提供相应耗材清单作为后期采购参考，耗材不计入投标人此次投标总价，亦不作为供应耗材的唯一渠道。</w:t>
      </w:r>
    </w:p>
    <w:p w14:paraId="39FDA766">
      <w:pPr>
        <w:pStyle w:val="20"/>
        <w:spacing w:line="360" w:lineRule="auto"/>
        <w:rPr>
          <w:rFonts w:hint="eastAsia" w:hAnsi="宋体" w:eastAsia="宋体"/>
          <w:b/>
          <w:sz w:val="24"/>
          <w:szCs w:val="24"/>
        </w:rPr>
      </w:pPr>
      <w:r>
        <w:rPr>
          <w:rFonts w:hAnsi="宋体" w:eastAsia="宋体"/>
          <w:b/>
          <w:sz w:val="24"/>
          <w:szCs w:val="24"/>
        </w:rPr>
        <w:t>（二）验收标准</w:t>
      </w:r>
    </w:p>
    <w:p w14:paraId="530BBB3C">
      <w:pPr>
        <w:pStyle w:val="20"/>
        <w:spacing w:line="360" w:lineRule="auto"/>
        <w:rPr>
          <w:rFonts w:hint="eastAsia" w:hAnsi="宋体" w:eastAsia="宋体"/>
          <w:spacing w:val="-6"/>
          <w:sz w:val="24"/>
          <w:szCs w:val="24"/>
        </w:rPr>
      </w:pPr>
      <w:r>
        <w:rPr>
          <w:rFonts w:hAnsi="宋体" w:eastAsia="宋体"/>
          <w:spacing w:val="-6"/>
          <w:sz w:val="24"/>
          <w:szCs w:val="24"/>
        </w:rPr>
        <w:t>不低于生产厂家提供的出厂标准，经国家有关部门批准的技术标准和验收方法，甲乙双方共同现场验收。属于法定商检的，需提供《入境货物检验检疫证明》。</w:t>
      </w:r>
    </w:p>
    <w:p w14:paraId="041ADC12">
      <w:pPr>
        <w:pStyle w:val="20"/>
        <w:spacing w:line="360" w:lineRule="auto"/>
        <w:rPr>
          <w:rFonts w:hint="eastAsia" w:hAnsi="宋体" w:eastAsia="宋体"/>
          <w:b/>
          <w:sz w:val="24"/>
          <w:szCs w:val="24"/>
        </w:rPr>
      </w:pPr>
      <w:r>
        <w:rPr>
          <w:rFonts w:hint="eastAsia" w:hAnsi="宋体" w:eastAsia="宋体" w:cs="Times New Roman"/>
          <w:b/>
          <w:kern w:val="0"/>
          <w:sz w:val="24"/>
          <w:szCs w:val="24"/>
        </w:rPr>
        <w:t>★</w:t>
      </w:r>
      <w:r>
        <w:rPr>
          <w:rFonts w:hAnsi="宋体" w:eastAsia="宋体"/>
          <w:b/>
          <w:sz w:val="24"/>
          <w:szCs w:val="24"/>
        </w:rPr>
        <w:t>（三）</w:t>
      </w:r>
      <w:r>
        <w:rPr>
          <w:rFonts w:hint="eastAsia" w:hAnsi="宋体" w:eastAsia="宋体"/>
          <w:b/>
          <w:sz w:val="24"/>
          <w:szCs w:val="24"/>
        </w:rPr>
        <w:t>保修期</w:t>
      </w:r>
    </w:p>
    <w:p w14:paraId="157947E7">
      <w:pPr>
        <w:pStyle w:val="20"/>
        <w:spacing w:line="360" w:lineRule="auto"/>
        <w:rPr>
          <w:rFonts w:hint="eastAsia" w:hAnsi="宋体" w:eastAsia="宋体"/>
          <w:b/>
          <w:bCs/>
          <w:sz w:val="24"/>
          <w:szCs w:val="24"/>
        </w:rPr>
      </w:pPr>
      <w:r>
        <w:rPr>
          <w:rFonts w:hint="eastAsia" w:hAnsi="宋体" w:eastAsia="宋体" w:cs="Times New Roman"/>
          <w:b/>
          <w:kern w:val="0"/>
          <w:sz w:val="24"/>
          <w:szCs w:val="24"/>
        </w:rPr>
        <w:t>★</w:t>
      </w:r>
      <w:r>
        <w:rPr>
          <w:rFonts w:hint="eastAsia" w:hAnsi="宋体" w:eastAsia="宋体"/>
          <w:b/>
          <w:bCs/>
          <w:sz w:val="24"/>
          <w:szCs w:val="24"/>
        </w:rPr>
        <w:t>免费保修期：自全部设备及各关键部件验收合格之日起，设备及各关键部件均至少为36个月（含）。不满足的将作无效投标处理。（</w:t>
      </w:r>
      <w:r>
        <w:rPr>
          <w:rFonts w:hint="eastAsia" w:hAnsi="宋体" w:eastAsia="宋体"/>
          <w:sz w:val="24"/>
          <w:szCs w:val="24"/>
        </w:rPr>
        <w:t>具体期限以中标人的投标文件为准</w:t>
      </w:r>
      <w:r>
        <w:rPr>
          <w:rFonts w:hint="eastAsia" w:hAnsi="宋体" w:eastAsia="宋体"/>
          <w:b/>
          <w:bCs/>
          <w:sz w:val="24"/>
          <w:szCs w:val="24"/>
        </w:rPr>
        <w:t>）</w:t>
      </w:r>
    </w:p>
    <w:p w14:paraId="68C82695">
      <w:pPr>
        <w:pStyle w:val="20"/>
        <w:spacing w:line="360" w:lineRule="auto"/>
        <w:rPr>
          <w:rFonts w:hint="eastAsia" w:hAnsi="宋体" w:eastAsia="宋体"/>
          <w:b/>
          <w:sz w:val="24"/>
          <w:szCs w:val="24"/>
        </w:rPr>
      </w:pPr>
      <w:r>
        <w:rPr>
          <w:rFonts w:hAnsi="宋体" w:eastAsia="宋体"/>
          <w:b/>
          <w:sz w:val="24"/>
          <w:szCs w:val="24"/>
        </w:rPr>
        <w:t>（</w:t>
      </w:r>
      <w:r>
        <w:rPr>
          <w:rFonts w:hint="eastAsia" w:hAnsi="宋体" w:eastAsia="宋体"/>
          <w:b/>
          <w:sz w:val="24"/>
          <w:szCs w:val="24"/>
        </w:rPr>
        <w:t>四</w:t>
      </w:r>
      <w:r>
        <w:rPr>
          <w:rFonts w:hAnsi="宋体" w:eastAsia="宋体"/>
          <w:b/>
          <w:sz w:val="24"/>
          <w:szCs w:val="24"/>
        </w:rPr>
        <w:t>）售后服务要求</w:t>
      </w:r>
    </w:p>
    <w:p w14:paraId="617D0EC6">
      <w:pPr>
        <w:pStyle w:val="20"/>
        <w:spacing w:line="360" w:lineRule="auto"/>
        <w:rPr>
          <w:rFonts w:hint="eastAsia" w:hAnsi="宋体" w:eastAsia="宋体"/>
          <w:sz w:val="24"/>
          <w:szCs w:val="24"/>
        </w:rPr>
      </w:pPr>
      <w:bookmarkStart w:id="70" w:name="_Hlk39824318"/>
      <w:r>
        <w:rPr>
          <w:rFonts w:hint="eastAsia" w:hAnsi="宋体" w:eastAsia="宋体"/>
          <w:sz w:val="24"/>
          <w:szCs w:val="24"/>
        </w:rPr>
        <w:t>1、在免费保修期及采购人向投标人购买的全包保修期内，投标人免费更换整机部件及所含全部消耗性配件，免收相应人工工时费等费用。投标人免费将优化升级至最新最高版本并免费提供升级所需的硬件。整机终身年度定期上门免费预防性维护保养及质控次数不少于2次，并提供年度运行维护分析报告。</w:t>
      </w:r>
    </w:p>
    <w:p w14:paraId="15ACAA4F">
      <w:pPr>
        <w:pStyle w:val="20"/>
        <w:spacing w:line="360" w:lineRule="auto"/>
        <w:rPr>
          <w:rFonts w:hint="eastAsia" w:hAnsi="宋体" w:eastAsia="宋体"/>
          <w:sz w:val="24"/>
          <w:szCs w:val="24"/>
        </w:rPr>
      </w:pPr>
      <w:r>
        <w:rPr>
          <w:rFonts w:hint="eastAsia" w:hAnsi="宋体" w:eastAsia="宋体"/>
          <w:sz w:val="24"/>
          <w:szCs w:val="24"/>
        </w:rPr>
        <w:t xml:space="preserve">2、保修期外采购人未购买保修合同时，维修更换配件仅收取配件成本费，重复维修同一故障不收费。 </w:t>
      </w:r>
    </w:p>
    <w:p w14:paraId="1C0E4D27">
      <w:pPr>
        <w:pStyle w:val="20"/>
        <w:spacing w:line="360" w:lineRule="auto"/>
        <w:rPr>
          <w:rFonts w:hint="eastAsia" w:hAnsi="宋体" w:eastAsia="宋体"/>
          <w:sz w:val="24"/>
          <w:szCs w:val="24"/>
        </w:rPr>
      </w:pPr>
      <w:r>
        <w:rPr>
          <w:rFonts w:hint="eastAsia" w:hAnsi="宋体" w:eastAsia="宋体"/>
          <w:sz w:val="24"/>
          <w:szCs w:val="24"/>
        </w:rPr>
        <w:t>3、设备终身维修并应继续提供优质的服务。</w:t>
      </w:r>
    </w:p>
    <w:p w14:paraId="6BB28A56">
      <w:pPr>
        <w:spacing w:line="360" w:lineRule="auto"/>
        <w:jc w:val="left"/>
        <w:rPr>
          <w:rFonts w:hint="eastAsia" w:hAnsi="宋体"/>
          <w:sz w:val="24"/>
          <w:szCs w:val="24"/>
        </w:rPr>
      </w:pPr>
      <w:r>
        <w:rPr>
          <w:rFonts w:hint="eastAsia" w:hAnsi="宋体"/>
          <w:sz w:val="24"/>
          <w:szCs w:val="24"/>
        </w:rPr>
        <w:t>4、投标人应承诺在本地（新疆）</w:t>
      </w:r>
      <w:r>
        <w:rPr>
          <w:rFonts w:hint="eastAsia" w:ascii="宋体" w:hAnsi="宋体" w:cs="宋体"/>
          <w:bCs/>
          <w:sz w:val="24"/>
          <w:szCs w:val="24"/>
        </w:rPr>
        <w:t>具备核心备件仓库，</w:t>
      </w:r>
      <w:r>
        <w:rPr>
          <w:rFonts w:hint="eastAsia" w:hAnsi="宋体"/>
          <w:sz w:val="24"/>
          <w:szCs w:val="24"/>
        </w:rPr>
        <w:t>售后服务部门将在电话报修2小时之内提供</w:t>
      </w:r>
      <w:r>
        <w:rPr>
          <w:rFonts w:hint="eastAsia" w:ascii="宋体" w:hAnsi="宋体" w:cs="宋体"/>
          <w:bCs/>
          <w:sz w:val="24"/>
          <w:szCs w:val="24"/>
        </w:rPr>
        <w:t>现场响应服务</w:t>
      </w:r>
      <w:r>
        <w:rPr>
          <w:rFonts w:hint="eastAsia" w:hAnsi="宋体"/>
          <w:sz w:val="24"/>
          <w:szCs w:val="24"/>
        </w:rPr>
        <w:t xml:space="preserve">，24小时之内到现场解决故障（不可抗拒力量下除外）。 </w:t>
      </w:r>
    </w:p>
    <w:p w14:paraId="3B71F5C9">
      <w:pPr>
        <w:pStyle w:val="20"/>
        <w:spacing w:line="360" w:lineRule="auto"/>
        <w:rPr>
          <w:rFonts w:hint="eastAsia" w:hAnsi="宋体" w:eastAsia="宋体"/>
          <w:sz w:val="24"/>
          <w:szCs w:val="24"/>
        </w:rPr>
      </w:pPr>
      <w:r>
        <w:rPr>
          <w:rFonts w:hint="eastAsia" w:hAnsi="宋体" w:eastAsia="宋体"/>
          <w:sz w:val="24"/>
          <w:szCs w:val="24"/>
        </w:rPr>
        <w:t>5、投标人提供主机，零备件的中英文对照详细清单（含软硬件）及操作维护中文或中英文对照说明书以及维修密码。免费提供系统操作和维修的必要的专用工具及技术咨询。</w:t>
      </w:r>
    </w:p>
    <w:p w14:paraId="1DEEF344">
      <w:pPr>
        <w:pStyle w:val="20"/>
        <w:spacing w:line="360" w:lineRule="auto"/>
        <w:rPr>
          <w:rFonts w:hint="eastAsia" w:hAnsi="宋体" w:eastAsia="宋体"/>
          <w:sz w:val="24"/>
          <w:szCs w:val="24"/>
        </w:rPr>
      </w:pPr>
      <w:r>
        <w:rPr>
          <w:rFonts w:hint="eastAsia" w:hAnsi="宋体" w:eastAsia="宋体"/>
          <w:sz w:val="24"/>
          <w:szCs w:val="24"/>
        </w:rPr>
        <w:t>6、系统终身免费升级（含应用软硬件等全部费用）。</w:t>
      </w:r>
    </w:p>
    <w:p w14:paraId="72F749F9">
      <w:pPr>
        <w:pStyle w:val="20"/>
        <w:spacing w:line="360" w:lineRule="auto"/>
        <w:rPr>
          <w:rFonts w:hint="eastAsia" w:hAnsi="宋体" w:eastAsia="宋体"/>
          <w:sz w:val="24"/>
          <w:szCs w:val="24"/>
        </w:rPr>
      </w:pPr>
      <w:r>
        <w:rPr>
          <w:rFonts w:hint="eastAsia" w:hAnsi="宋体" w:eastAsia="宋体"/>
          <w:sz w:val="24"/>
          <w:szCs w:val="24"/>
        </w:rPr>
        <w:t>7、免费开放所有数字通讯接口及协议（含DICOM接口）。</w:t>
      </w:r>
    </w:p>
    <w:p w14:paraId="13DDC03C">
      <w:pPr>
        <w:pStyle w:val="20"/>
        <w:spacing w:line="360" w:lineRule="auto"/>
        <w:rPr>
          <w:rFonts w:hint="eastAsia" w:hAnsi="宋体" w:eastAsia="宋体"/>
          <w:sz w:val="24"/>
          <w:szCs w:val="24"/>
        </w:rPr>
      </w:pPr>
      <w:r>
        <w:rPr>
          <w:rFonts w:hint="eastAsia" w:hAnsi="宋体" w:eastAsia="宋体"/>
          <w:sz w:val="24"/>
          <w:szCs w:val="24"/>
        </w:rPr>
        <w:t>8、保修期外，维修零配件供应及保修合同条款由双方另设合同协商决定，不得以投标人格式合同条款方式对采购人进行任何约束。投标人不得对采购人购买保修合同的联保年限等提出限制性要求。</w:t>
      </w:r>
    </w:p>
    <w:p w14:paraId="3D246B21">
      <w:pPr>
        <w:spacing w:line="360" w:lineRule="auto"/>
        <w:jc w:val="left"/>
        <w:rPr>
          <w:rFonts w:hint="eastAsia" w:hAnsi="宋体"/>
          <w:b/>
          <w:sz w:val="24"/>
          <w:szCs w:val="24"/>
        </w:rPr>
      </w:pPr>
      <w:r>
        <w:rPr>
          <w:rFonts w:hint="eastAsia" w:hAnsi="宋体"/>
          <w:b/>
          <w:sz w:val="24"/>
          <w:szCs w:val="24"/>
        </w:rPr>
        <w:t>（五）具体交货、培训要求</w:t>
      </w:r>
    </w:p>
    <w:p w14:paraId="392EA6B5">
      <w:pPr>
        <w:spacing w:line="360" w:lineRule="auto"/>
        <w:contextualSpacing/>
        <w:rPr>
          <w:rFonts w:hint="eastAsia" w:ascii="宋体" w:hAnsi="宋体"/>
          <w:sz w:val="24"/>
          <w:szCs w:val="24"/>
        </w:rPr>
      </w:pPr>
      <w:r>
        <w:rPr>
          <w:rFonts w:hint="eastAsia" w:ascii="宋体" w:hAnsi="宋体"/>
          <w:sz w:val="24"/>
          <w:szCs w:val="24"/>
        </w:rPr>
        <w:t>1、交货地点：采购人指定地点</w:t>
      </w:r>
    </w:p>
    <w:bookmarkEnd w:id="70"/>
    <w:p w14:paraId="4DBE3FCD">
      <w:pPr>
        <w:spacing w:line="360" w:lineRule="auto"/>
        <w:contextualSpacing/>
        <w:rPr>
          <w:rFonts w:hint="eastAsia" w:ascii="宋体" w:hAnsi="宋体"/>
          <w:sz w:val="24"/>
          <w:szCs w:val="24"/>
        </w:rPr>
      </w:pPr>
      <w:r>
        <w:rPr>
          <w:rFonts w:hint="eastAsia" w:ascii="宋体" w:hAnsi="宋体"/>
          <w:sz w:val="24"/>
          <w:szCs w:val="24"/>
        </w:rPr>
        <w:t>2、交货要求：投标人负责将货物运至采购人最终指定的地点。</w:t>
      </w:r>
    </w:p>
    <w:p w14:paraId="16A27158">
      <w:pPr>
        <w:spacing w:line="360" w:lineRule="auto"/>
        <w:contextualSpacing/>
        <w:rPr>
          <w:rFonts w:hint="eastAsia" w:ascii="宋体" w:hAnsi="宋体"/>
          <w:sz w:val="24"/>
          <w:szCs w:val="24"/>
        </w:rPr>
      </w:pPr>
      <w:r>
        <w:rPr>
          <w:rFonts w:hint="eastAsia" w:ascii="宋体" w:hAnsi="宋体"/>
          <w:sz w:val="24"/>
          <w:szCs w:val="24"/>
        </w:rPr>
        <w:t>3、投标人未能按本合同约定按时发货或到货的，每逾期一天应向采购人支付该货物全部货款的千分之五的违约金，并承担全部损失及责任。</w:t>
      </w:r>
    </w:p>
    <w:p w14:paraId="70E2F696">
      <w:pPr>
        <w:spacing w:line="360" w:lineRule="auto"/>
        <w:contextualSpacing/>
        <w:rPr>
          <w:rFonts w:hint="eastAsia" w:ascii="宋体" w:hAnsi="宋体"/>
          <w:sz w:val="24"/>
          <w:szCs w:val="24"/>
        </w:rPr>
      </w:pPr>
      <w:r>
        <w:rPr>
          <w:rFonts w:hint="eastAsia" w:ascii="宋体" w:hAnsi="宋体"/>
          <w:sz w:val="24"/>
          <w:szCs w:val="24"/>
        </w:rPr>
        <w:t>4、投标人委派经验丰富的专业技术人员在采购人住所地对采购人临床医生及技术人员免费进行正规的整套设备操作、维护、维修、检测等内容的培训，包括</w:t>
      </w:r>
      <w:r>
        <w:rPr>
          <w:rFonts w:hint="eastAsia" w:ascii="宋体" w:hAnsi="宋体" w:cs="宋体"/>
          <w:kern w:val="0"/>
          <w:sz w:val="24"/>
          <w:szCs w:val="24"/>
        </w:rPr>
        <w:t>培训目标、培训计划等，</w:t>
      </w:r>
      <w:r>
        <w:rPr>
          <w:rFonts w:hint="eastAsia" w:ascii="宋体" w:hAnsi="宋体"/>
          <w:sz w:val="24"/>
          <w:szCs w:val="24"/>
        </w:rPr>
        <w:t>使采购人能够全面了解直至完全掌握设备的使用。</w:t>
      </w:r>
    </w:p>
    <w:p w14:paraId="4E1ACC7B">
      <w:pPr>
        <w:spacing w:line="360" w:lineRule="auto"/>
        <w:contextualSpacing/>
        <w:rPr>
          <w:rFonts w:hint="eastAsia" w:ascii="宋体" w:hAnsi="宋体"/>
          <w:sz w:val="24"/>
          <w:szCs w:val="24"/>
        </w:rPr>
      </w:pPr>
      <w:r>
        <w:rPr>
          <w:rFonts w:hint="eastAsia" w:ascii="宋体" w:hAnsi="宋体"/>
          <w:sz w:val="24"/>
          <w:szCs w:val="24"/>
        </w:rPr>
        <w:t>5、在采购人所在地由投标人负责按照采购人人员工作类别对采购人每类人员进行至少5人次，为期不少于20个工作日的操作及使用维护培训。</w:t>
      </w:r>
    </w:p>
    <w:p w14:paraId="75236B6A">
      <w:pPr>
        <w:spacing w:line="360" w:lineRule="auto"/>
        <w:contextualSpacing/>
        <w:rPr>
          <w:rFonts w:hint="eastAsia" w:ascii="宋体" w:hAnsi="宋体"/>
          <w:b/>
          <w:bCs/>
          <w:sz w:val="24"/>
          <w:szCs w:val="24"/>
        </w:rPr>
      </w:pPr>
      <w:r>
        <w:rPr>
          <w:rFonts w:hint="eastAsia" w:ascii="宋体" w:hAnsi="宋体"/>
          <w:b/>
          <w:bCs/>
          <w:sz w:val="24"/>
          <w:szCs w:val="24"/>
        </w:rPr>
        <w:t>（六）安装调试要求</w:t>
      </w:r>
    </w:p>
    <w:p w14:paraId="6ADCAE74">
      <w:pPr>
        <w:spacing w:line="360" w:lineRule="auto"/>
        <w:contextualSpacing/>
        <w:rPr>
          <w:rFonts w:hint="eastAsia" w:ascii="宋体" w:hAnsi="宋体"/>
          <w:sz w:val="24"/>
          <w:szCs w:val="24"/>
        </w:rPr>
      </w:pPr>
      <w:r>
        <w:rPr>
          <w:rFonts w:hint="eastAsia" w:ascii="宋体" w:hAnsi="宋体"/>
          <w:sz w:val="24"/>
          <w:szCs w:val="24"/>
        </w:rPr>
        <w:t>1、投标人负责拆箱安装就位并根据采购人实际使用需要调试设备测试程序，使整套系统达到预定可使用状态。应提供具体的安装计划、</w:t>
      </w:r>
      <w:r>
        <w:rPr>
          <w:rFonts w:hint="eastAsia" w:ascii="宋体" w:hAnsi="宋体" w:cs="宋体"/>
          <w:kern w:val="0"/>
          <w:sz w:val="24"/>
          <w:szCs w:val="24"/>
        </w:rPr>
        <w:t>调试内容等，</w:t>
      </w:r>
      <w:r>
        <w:rPr>
          <w:rFonts w:hint="eastAsia" w:ascii="宋体" w:hAnsi="宋体"/>
          <w:sz w:val="24"/>
          <w:szCs w:val="24"/>
        </w:rPr>
        <w:t>投标人须在运输及安装过程中匹配数量足够且专业的人员、车辆、工具和材料。</w:t>
      </w:r>
      <w:bookmarkStart w:id="71" w:name="OLE_LINK4"/>
    </w:p>
    <w:bookmarkEnd w:id="71"/>
    <w:p w14:paraId="2F1D762D">
      <w:pPr>
        <w:spacing w:line="360" w:lineRule="auto"/>
        <w:contextualSpacing/>
        <w:rPr>
          <w:rFonts w:hint="eastAsia" w:ascii="宋体" w:hAnsi="宋体"/>
          <w:sz w:val="24"/>
          <w:szCs w:val="24"/>
        </w:rPr>
      </w:pPr>
      <w:r>
        <w:rPr>
          <w:rFonts w:hint="eastAsia" w:ascii="宋体" w:hAnsi="宋体"/>
          <w:sz w:val="24"/>
          <w:szCs w:val="24"/>
        </w:rPr>
        <w:t>2、提升设备及整体系统运行的使用效率、安全性、数据管理能力，满足采购人所提出的自动化、智能化操作要求。</w:t>
      </w:r>
    </w:p>
    <w:bookmarkEnd w:id="66"/>
    <w:p w14:paraId="184B74B1">
      <w:pPr>
        <w:spacing w:line="360" w:lineRule="auto"/>
        <w:contextualSpacing/>
        <w:rPr>
          <w:rFonts w:hint="eastAsia" w:ascii="宋体" w:hAnsi="宋体"/>
          <w:sz w:val="24"/>
          <w:szCs w:val="24"/>
        </w:rPr>
      </w:pPr>
    </w:p>
    <w:p w14:paraId="21C863B3">
      <w:pPr>
        <w:spacing w:line="360" w:lineRule="auto"/>
        <w:contextualSpacing/>
        <w:rPr>
          <w:rFonts w:hint="eastAsia" w:ascii="宋体" w:hAnsi="宋体"/>
          <w:sz w:val="24"/>
          <w:szCs w:val="24"/>
        </w:rPr>
      </w:pPr>
    </w:p>
    <w:p w14:paraId="1FA582C0">
      <w:pPr>
        <w:spacing w:line="360" w:lineRule="auto"/>
        <w:contextualSpacing/>
        <w:rPr>
          <w:rFonts w:hint="eastAsia" w:ascii="宋体" w:hAnsi="宋体"/>
          <w:sz w:val="24"/>
          <w:szCs w:val="24"/>
        </w:rPr>
      </w:pPr>
    </w:p>
    <w:p w14:paraId="2B95C67C">
      <w:pPr>
        <w:rPr>
          <w:rFonts w:hint="eastAsia" w:ascii="宋体" w:hAnsi="宋体"/>
          <w:b/>
          <w:spacing w:val="100"/>
          <w:sz w:val="40"/>
          <w:szCs w:val="40"/>
        </w:rPr>
      </w:pPr>
      <w:bookmarkStart w:id="72" w:name="_Toc176023824"/>
      <w:bookmarkStart w:id="73" w:name="_Toc50994025"/>
      <w:r>
        <w:rPr>
          <w:rFonts w:ascii="宋体" w:hAnsi="宋体"/>
          <w:b/>
          <w:spacing w:val="100"/>
          <w:sz w:val="40"/>
          <w:szCs w:val="40"/>
        </w:rPr>
        <w:br w:type="page"/>
      </w:r>
    </w:p>
    <w:p w14:paraId="2BEC4882">
      <w:pPr>
        <w:spacing w:line="480" w:lineRule="auto"/>
        <w:jc w:val="center"/>
        <w:outlineLvl w:val="0"/>
        <w:rPr>
          <w:rFonts w:hint="eastAsia" w:ascii="宋体" w:hAnsi="宋体"/>
          <w:b/>
          <w:spacing w:val="100"/>
          <w:sz w:val="40"/>
          <w:szCs w:val="40"/>
        </w:rPr>
      </w:pPr>
      <w:r>
        <w:rPr>
          <w:rFonts w:ascii="宋体" w:hAnsi="宋体"/>
          <w:b/>
          <w:spacing w:val="100"/>
          <w:sz w:val="40"/>
          <w:szCs w:val="40"/>
        </w:rPr>
        <w:t>第</w:t>
      </w:r>
      <w:r>
        <w:rPr>
          <w:rFonts w:hint="eastAsia" w:ascii="宋体" w:hAnsi="宋体"/>
          <w:b/>
          <w:spacing w:val="100"/>
          <w:sz w:val="40"/>
          <w:szCs w:val="40"/>
        </w:rPr>
        <w:t>四</w:t>
      </w:r>
      <w:r>
        <w:rPr>
          <w:rFonts w:ascii="宋体" w:hAnsi="宋体"/>
          <w:b/>
          <w:spacing w:val="100"/>
          <w:sz w:val="40"/>
          <w:szCs w:val="40"/>
        </w:rPr>
        <w:t>章 合同格式</w:t>
      </w:r>
      <w:bookmarkEnd w:id="72"/>
    </w:p>
    <w:p w14:paraId="22A66551">
      <w:pPr>
        <w:spacing w:line="360" w:lineRule="auto"/>
        <w:ind w:left="-2" w:leftChars="-1"/>
        <w:contextualSpacing/>
        <w:rPr>
          <w:rFonts w:hint="eastAsia" w:ascii="宋体" w:hAnsi="宋体"/>
          <w:sz w:val="24"/>
        </w:rPr>
      </w:pPr>
      <w:r>
        <w:rPr>
          <w:rFonts w:hint="eastAsia" w:ascii="宋体" w:hAnsi="宋体"/>
          <w:sz w:val="24"/>
        </w:rPr>
        <w:t>注：以下合同条款均为招标文件商务条款的一部分，投标人可结合项目实际情况在第五章 附件6商务条款偏离表中按照要求进行响应。</w:t>
      </w:r>
      <w:bookmarkEnd w:id="69"/>
      <w:bookmarkEnd w:id="73"/>
    </w:p>
    <w:p w14:paraId="64898FD8">
      <w:pPr>
        <w:rPr>
          <w:rFonts w:hint="eastAsia" w:ascii="宋体" w:hAnsi="宋体" w:cs="宋体"/>
          <w:b/>
          <w:iCs/>
          <w:sz w:val="24"/>
          <w:szCs w:val="24"/>
          <w:lang w:bidi="ar"/>
        </w:rPr>
      </w:pPr>
      <w:r>
        <w:rPr>
          <w:rFonts w:hint="eastAsia" w:ascii="宋体" w:hAnsi="宋体" w:cs="宋体"/>
          <w:b/>
          <w:iCs/>
          <w:sz w:val="24"/>
          <w:szCs w:val="24"/>
          <w:lang w:bidi="ar"/>
        </w:rPr>
        <w:br w:type="page"/>
      </w:r>
    </w:p>
    <w:p w14:paraId="3C39956F">
      <w:pPr>
        <w:jc w:val="center"/>
        <w:rPr>
          <w:rFonts w:hint="eastAsia" w:cs="宋体"/>
          <w:b/>
          <w:iCs/>
          <w:sz w:val="28"/>
          <w:szCs w:val="28"/>
        </w:rPr>
      </w:pPr>
      <w:r>
        <w:rPr>
          <w:rFonts w:hint="eastAsia" w:ascii="宋体" w:hAnsi="宋体" w:cs="宋体"/>
          <w:b/>
          <w:iCs/>
          <w:sz w:val="28"/>
          <w:szCs w:val="28"/>
          <w:lang w:bidi="ar"/>
        </w:rPr>
        <w:t>新疆国际医疗中心（新疆国际医院）购置</w:t>
      </w:r>
    </w:p>
    <w:p w14:paraId="08269573">
      <w:pPr>
        <w:jc w:val="center"/>
        <w:rPr>
          <w:rFonts w:hint="eastAsia" w:cs="宋体"/>
          <w:sz w:val="28"/>
          <w:szCs w:val="28"/>
        </w:rPr>
      </w:pPr>
    </w:p>
    <w:p w14:paraId="4B401340">
      <w:pPr>
        <w:jc w:val="center"/>
        <w:rPr>
          <w:rFonts w:hint="eastAsia" w:cs="宋体"/>
          <w:b/>
          <w:sz w:val="28"/>
          <w:szCs w:val="28"/>
        </w:rPr>
      </w:pPr>
      <w:bookmarkStart w:id="74" w:name="tip_risk_bookmark_1"/>
      <w:r>
        <w:rPr>
          <w:rFonts w:hint="eastAsia" w:ascii="宋体" w:hAnsi="宋体" w:cs="宋体"/>
          <w:b/>
          <w:sz w:val="28"/>
          <w:szCs w:val="28"/>
          <w:lang w:bidi="ar"/>
        </w:rPr>
        <w:t>（设备名称）</w:t>
      </w:r>
    </w:p>
    <w:p w14:paraId="742F5A1C">
      <w:pPr>
        <w:rPr>
          <w:rFonts w:hint="eastAsia" w:cs="宋体"/>
          <w:sz w:val="28"/>
          <w:szCs w:val="28"/>
        </w:rPr>
      </w:pPr>
    </w:p>
    <w:p w14:paraId="57A0D889">
      <w:pPr>
        <w:rPr>
          <w:rFonts w:hint="eastAsia" w:cs="宋体"/>
          <w:sz w:val="28"/>
          <w:szCs w:val="28"/>
        </w:rPr>
      </w:pPr>
    </w:p>
    <w:p w14:paraId="509FDD0E">
      <w:pPr>
        <w:jc w:val="center"/>
        <w:rPr>
          <w:rFonts w:hint="eastAsia" w:cs="宋体"/>
          <w:b/>
          <w:sz w:val="28"/>
          <w:szCs w:val="28"/>
        </w:rPr>
      </w:pPr>
      <w:r>
        <w:rPr>
          <w:rFonts w:hint="eastAsia" w:ascii="宋体" w:hAnsi="宋体" w:cs="宋体"/>
          <w:b/>
          <w:sz w:val="28"/>
          <w:szCs w:val="28"/>
          <w:lang w:bidi="ar"/>
        </w:rPr>
        <w:t>销  售  合  同</w:t>
      </w:r>
      <w:bookmarkEnd w:id="74"/>
    </w:p>
    <w:p w14:paraId="1FF04166">
      <w:pPr>
        <w:jc w:val="center"/>
        <w:rPr>
          <w:rFonts w:hint="eastAsia" w:cs="宋体"/>
          <w:sz w:val="28"/>
          <w:szCs w:val="28"/>
        </w:rPr>
      </w:pPr>
    </w:p>
    <w:p w14:paraId="5F099B54">
      <w:pPr>
        <w:rPr>
          <w:rFonts w:hint="eastAsia" w:cs="宋体"/>
          <w:sz w:val="28"/>
          <w:szCs w:val="28"/>
        </w:rPr>
      </w:pPr>
    </w:p>
    <w:p w14:paraId="0E98C4FA">
      <w:pPr>
        <w:jc w:val="center"/>
        <w:rPr>
          <w:rFonts w:hint="eastAsia" w:cs="宋体"/>
          <w:sz w:val="28"/>
          <w:szCs w:val="28"/>
        </w:rPr>
      </w:pPr>
    </w:p>
    <w:p w14:paraId="15C96E09">
      <w:pPr>
        <w:jc w:val="center"/>
        <w:rPr>
          <w:rFonts w:hint="eastAsia" w:cs="宋体"/>
          <w:sz w:val="28"/>
          <w:szCs w:val="28"/>
        </w:rPr>
      </w:pPr>
    </w:p>
    <w:p w14:paraId="6B8F001F">
      <w:pPr>
        <w:ind w:firstLine="1120" w:firstLineChars="400"/>
        <w:rPr>
          <w:rFonts w:hint="eastAsia" w:cs="宋体"/>
          <w:sz w:val="28"/>
          <w:szCs w:val="28"/>
        </w:rPr>
      </w:pPr>
      <w:r>
        <w:rPr>
          <w:rFonts w:hint="eastAsia" w:ascii="宋体" w:hAnsi="宋体" w:cs="宋体"/>
          <w:b/>
          <w:sz w:val="28"/>
          <w:szCs w:val="28"/>
          <w:lang w:bidi="ar"/>
        </w:rPr>
        <w:t>甲方（买方）</w:t>
      </w:r>
      <w:r>
        <w:rPr>
          <w:rFonts w:hint="eastAsia" w:ascii="宋体" w:hAnsi="宋体" w:cs="宋体"/>
          <w:sz w:val="28"/>
          <w:szCs w:val="28"/>
          <w:lang w:bidi="ar"/>
        </w:rPr>
        <w:t>：</w:t>
      </w:r>
      <w:r>
        <w:rPr>
          <w:rFonts w:hint="eastAsia" w:ascii="宋体" w:hAnsi="宋体" w:cs="宋体"/>
          <w:b/>
          <w:sz w:val="28"/>
          <w:szCs w:val="28"/>
          <w:u w:val="single"/>
          <w:lang w:bidi="ar"/>
        </w:rPr>
        <w:t xml:space="preserve">新疆国际医疗中心（新疆国际医院）  </w:t>
      </w:r>
    </w:p>
    <w:p w14:paraId="68048F95">
      <w:pPr>
        <w:ind w:firstLine="1120" w:firstLineChars="400"/>
        <w:rPr>
          <w:rFonts w:hint="eastAsia" w:cs="宋体"/>
          <w:sz w:val="28"/>
          <w:szCs w:val="28"/>
          <w:u w:val="single"/>
        </w:rPr>
      </w:pPr>
      <w:r>
        <w:rPr>
          <w:rFonts w:hint="eastAsia" w:ascii="宋体" w:hAnsi="宋体" w:cs="宋体"/>
          <w:b/>
          <w:sz w:val="28"/>
          <w:szCs w:val="28"/>
          <w:lang w:bidi="ar"/>
        </w:rPr>
        <w:t>乙方（卖方）：</w:t>
      </w:r>
      <w:r>
        <w:rPr>
          <w:rFonts w:hint="eastAsia" w:ascii="宋体" w:hAnsi="宋体" w:cs="宋体"/>
          <w:b/>
          <w:sz w:val="28"/>
          <w:szCs w:val="28"/>
          <w:u w:val="single"/>
          <w:lang w:bidi="ar"/>
        </w:rPr>
        <w:t xml:space="preserve">                             </w:t>
      </w:r>
    </w:p>
    <w:p w14:paraId="12053DBE">
      <w:pPr>
        <w:ind w:firstLine="1120" w:firstLineChars="400"/>
        <w:rPr>
          <w:rFonts w:hint="eastAsia" w:cs="宋体"/>
          <w:sz w:val="28"/>
          <w:szCs w:val="28"/>
        </w:rPr>
      </w:pPr>
    </w:p>
    <w:p w14:paraId="6E1E6A1A">
      <w:pPr>
        <w:ind w:firstLine="1120" w:firstLineChars="400"/>
        <w:rPr>
          <w:rFonts w:hint="eastAsia" w:cs="宋体"/>
          <w:b/>
          <w:sz w:val="28"/>
          <w:szCs w:val="28"/>
        </w:rPr>
      </w:pPr>
      <w:bookmarkStart w:id="75" w:name="tip_risk_bookmark_2"/>
      <w:r>
        <w:rPr>
          <w:rFonts w:hint="eastAsia" w:ascii="宋体" w:hAnsi="宋体" w:cs="宋体"/>
          <w:b/>
          <w:sz w:val="28"/>
          <w:szCs w:val="28"/>
          <w:lang w:bidi="ar"/>
        </w:rPr>
        <w:t>合 同 编 号：</w:t>
      </w:r>
    </w:p>
    <w:p w14:paraId="1FD95D9C">
      <w:pPr>
        <w:ind w:firstLine="548" w:firstLineChars="196"/>
        <w:rPr>
          <w:rFonts w:hint="eastAsia" w:cs="宋体"/>
          <w:b/>
          <w:sz w:val="28"/>
          <w:szCs w:val="28"/>
        </w:rPr>
      </w:pPr>
    </w:p>
    <w:p w14:paraId="70E8EE61">
      <w:pPr>
        <w:ind w:firstLine="560" w:firstLineChars="200"/>
        <w:rPr>
          <w:rFonts w:hint="eastAsia" w:cs="宋体"/>
          <w:b/>
          <w:bCs/>
          <w:sz w:val="28"/>
          <w:szCs w:val="28"/>
        </w:rPr>
      </w:pPr>
    </w:p>
    <w:p w14:paraId="330DEEBC">
      <w:pPr>
        <w:jc w:val="center"/>
        <w:rPr>
          <w:rFonts w:hint="eastAsia" w:cs="宋体"/>
          <w:b/>
          <w:sz w:val="28"/>
          <w:szCs w:val="28"/>
        </w:rPr>
      </w:pPr>
      <w:r>
        <w:rPr>
          <w:rFonts w:hint="eastAsia" w:ascii="宋体" w:hAnsi="宋体" w:cs="宋体"/>
          <w:b/>
          <w:sz w:val="28"/>
          <w:szCs w:val="28"/>
          <w:lang w:bidi="ar"/>
        </w:rPr>
        <w:t xml:space="preserve">    年   月   日</w:t>
      </w:r>
      <w:bookmarkEnd w:id="75"/>
    </w:p>
    <w:p w14:paraId="388C6090">
      <w:pPr>
        <w:jc w:val="center"/>
        <w:rPr>
          <w:rFonts w:hint="eastAsia" w:cs="宋体"/>
          <w:b/>
          <w:szCs w:val="24"/>
        </w:rPr>
      </w:pPr>
    </w:p>
    <w:p w14:paraId="7C614BFA">
      <w:pPr>
        <w:rPr>
          <w:rFonts w:hint="eastAsia" w:cs="宋体"/>
          <w:b/>
          <w:szCs w:val="24"/>
          <w:lang w:bidi="ar"/>
        </w:rPr>
        <w:sectPr>
          <w:footerReference r:id="rId15" w:type="first"/>
          <w:headerReference r:id="rId13" w:type="default"/>
          <w:footerReference r:id="rId14" w:type="default"/>
          <w:pgSz w:w="11906" w:h="16838"/>
          <w:pgMar w:top="680" w:right="680" w:bottom="680" w:left="851" w:header="567" w:footer="567" w:gutter="0"/>
          <w:pgNumType w:start="1"/>
          <w:cols w:space="720" w:num="1"/>
          <w:docGrid w:type="linesAndChars" w:linePitch="312" w:charSpace="0"/>
        </w:sectPr>
      </w:pPr>
    </w:p>
    <w:p w14:paraId="3BACA397">
      <w:pPr>
        <w:jc w:val="center"/>
        <w:rPr>
          <w:rFonts w:hint="eastAsia" w:ascii="宋体" w:hAnsi="宋体" w:cs="宋体"/>
          <w:bCs/>
          <w:sz w:val="24"/>
          <w:szCs w:val="24"/>
        </w:rPr>
      </w:pPr>
      <w:r>
        <w:rPr>
          <w:rFonts w:hint="eastAsia" w:ascii="宋体" w:hAnsi="宋体" w:cs="宋体"/>
          <w:bCs/>
          <w:sz w:val="24"/>
          <w:szCs w:val="24"/>
          <w:lang w:bidi="ar"/>
        </w:rPr>
        <w:t>销 售 合 同</w:t>
      </w:r>
    </w:p>
    <w:p w14:paraId="690CB5BD">
      <w:pPr>
        <w:ind w:firstLine="240" w:firstLineChars="100"/>
        <w:rPr>
          <w:rFonts w:hint="eastAsia" w:ascii="宋体" w:hAnsi="宋体" w:cs="宋体"/>
          <w:bCs/>
          <w:sz w:val="24"/>
          <w:szCs w:val="24"/>
        </w:rPr>
      </w:pPr>
      <w:r>
        <w:rPr>
          <w:rFonts w:hint="eastAsia" w:ascii="宋体" w:hAnsi="宋体" w:cs="宋体"/>
          <w:bCs/>
          <w:sz w:val="24"/>
          <w:szCs w:val="24"/>
          <w:lang w:bidi="ar"/>
        </w:rPr>
        <w:t>甲方：新疆国际医疗中心（新疆国际医院）</w:t>
      </w:r>
    </w:p>
    <w:p w14:paraId="27A5045B">
      <w:pPr>
        <w:ind w:firstLine="240" w:firstLineChars="100"/>
        <w:rPr>
          <w:rFonts w:hint="eastAsia" w:ascii="宋体" w:hAnsi="宋体" w:cs="宋体"/>
          <w:bCs/>
          <w:sz w:val="24"/>
          <w:szCs w:val="24"/>
        </w:rPr>
      </w:pPr>
      <w:r>
        <w:rPr>
          <w:rFonts w:hint="eastAsia" w:ascii="宋体" w:hAnsi="宋体" w:cs="宋体"/>
          <w:bCs/>
          <w:sz w:val="24"/>
          <w:szCs w:val="24"/>
          <w:lang w:bidi="ar"/>
        </w:rPr>
        <w:t>地址：</w:t>
      </w:r>
    </w:p>
    <w:p w14:paraId="00A4D1BB">
      <w:pPr>
        <w:ind w:firstLine="240" w:firstLineChars="100"/>
        <w:rPr>
          <w:rFonts w:hint="eastAsia" w:ascii="宋体" w:hAnsi="宋体" w:cs="宋体"/>
          <w:bCs/>
          <w:sz w:val="24"/>
          <w:szCs w:val="24"/>
        </w:rPr>
      </w:pPr>
      <w:r>
        <w:rPr>
          <w:rFonts w:hint="eastAsia" w:ascii="宋体" w:hAnsi="宋体" w:cs="宋体"/>
          <w:bCs/>
          <w:sz w:val="24"/>
          <w:szCs w:val="24"/>
          <w:lang w:bidi="ar"/>
        </w:rPr>
        <w:t>联系方式：</w:t>
      </w:r>
    </w:p>
    <w:p w14:paraId="4E0EAF07">
      <w:pPr>
        <w:ind w:firstLine="240" w:firstLineChars="100"/>
        <w:rPr>
          <w:rFonts w:hint="eastAsia" w:ascii="宋体" w:hAnsi="宋体" w:cs="宋体"/>
          <w:bCs/>
          <w:sz w:val="24"/>
          <w:szCs w:val="24"/>
        </w:rPr>
      </w:pPr>
    </w:p>
    <w:p w14:paraId="245D6CF2">
      <w:pPr>
        <w:ind w:firstLine="240" w:firstLineChars="100"/>
        <w:rPr>
          <w:rFonts w:hint="eastAsia" w:ascii="宋体" w:hAnsi="宋体" w:cs="宋体"/>
          <w:bCs/>
          <w:sz w:val="24"/>
          <w:szCs w:val="24"/>
        </w:rPr>
      </w:pPr>
      <w:bookmarkStart w:id="76" w:name="tip_risk_bookmark_3"/>
      <w:r>
        <w:rPr>
          <w:rFonts w:hint="eastAsia" w:ascii="宋体" w:hAnsi="宋体" w:cs="宋体"/>
          <w:bCs/>
          <w:sz w:val="24"/>
          <w:szCs w:val="24"/>
          <w:lang w:bidi="ar"/>
        </w:rPr>
        <w:t>乙方：</w:t>
      </w:r>
    </w:p>
    <w:p w14:paraId="2F295735">
      <w:pPr>
        <w:ind w:firstLine="240" w:firstLineChars="100"/>
        <w:rPr>
          <w:rFonts w:hint="eastAsia" w:ascii="宋体" w:hAnsi="宋体" w:cs="宋体"/>
          <w:bCs/>
          <w:sz w:val="24"/>
          <w:szCs w:val="24"/>
        </w:rPr>
      </w:pPr>
      <w:r>
        <w:rPr>
          <w:rFonts w:hint="eastAsia" w:ascii="宋体" w:hAnsi="宋体" w:cs="宋体"/>
          <w:bCs/>
          <w:sz w:val="24"/>
          <w:szCs w:val="24"/>
          <w:lang w:bidi="ar"/>
        </w:rPr>
        <w:t>地址：</w:t>
      </w:r>
    </w:p>
    <w:p w14:paraId="6003572E">
      <w:pPr>
        <w:ind w:firstLine="240" w:firstLineChars="100"/>
        <w:rPr>
          <w:rFonts w:hint="eastAsia" w:ascii="宋体" w:hAnsi="宋体" w:cs="宋体"/>
          <w:bCs/>
          <w:sz w:val="24"/>
          <w:szCs w:val="24"/>
        </w:rPr>
      </w:pPr>
      <w:r>
        <w:rPr>
          <w:rFonts w:hint="eastAsia" w:ascii="宋体" w:hAnsi="宋体" w:cs="宋体"/>
          <w:bCs/>
          <w:sz w:val="24"/>
          <w:szCs w:val="24"/>
          <w:lang w:bidi="ar"/>
        </w:rPr>
        <w:t>联系方式：</w:t>
      </w:r>
      <w:bookmarkEnd w:id="76"/>
    </w:p>
    <w:p w14:paraId="7B347220">
      <w:pPr>
        <w:ind w:firstLine="240" w:firstLineChars="100"/>
        <w:rPr>
          <w:rFonts w:hint="eastAsia" w:ascii="宋体" w:hAnsi="宋体" w:cs="宋体"/>
          <w:bCs/>
          <w:sz w:val="24"/>
          <w:szCs w:val="24"/>
        </w:rPr>
      </w:pPr>
    </w:p>
    <w:p w14:paraId="260B1D7A">
      <w:pPr>
        <w:ind w:firstLine="480" w:firstLineChars="200"/>
        <w:rPr>
          <w:rFonts w:hint="eastAsia" w:ascii="宋体" w:hAnsi="宋体" w:cs="宋体"/>
          <w:bCs/>
          <w:sz w:val="24"/>
          <w:szCs w:val="24"/>
        </w:rPr>
      </w:pPr>
      <w:r>
        <w:rPr>
          <w:rFonts w:hint="eastAsia" w:ascii="宋体" w:hAnsi="宋体" w:cs="宋体"/>
          <w:bCs/>
          <w:sz w:val="24"/>
          <w:szCs w:val="24"/>
          <w:lang w:bidi="ar"/>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cs="宋体"/>
          <w:bCs/>
          <w:sz w:val="24"/>
          <w:szCs w:val="24"/>
          <w:u w:val="single"/>
          <w:lang w:bidi="ar"/>
        </w:rPr>
        <w:t xml:space="preserve">          </w:t>
      </w:r>
      <w:r>
        <w:rPr>
          <w:rFonts w:hint="eastAsia" w:ascii="宋体" w:hAnsi="宋体" w:cs="宋体"/>
          <w:bCs/>
          <w:sz w:val="24"/>
          <w:szCs w:val="24"/>
          <w:lang w:bidi="ar"/>
        </w:rPr>
        <w:t>设备并由乙方提供相关服务事宜，达成一致，协议如下：</w:t>
      </w:r>
    </w:p>
    <w:p w14:paraId="1376A1DF">
      <w:pPr>
        <w:numPr>
          <w:ilvl w:val="0"/>
          <w:numId w:val="22"/>
        </w:numPr>
        <w:spacing w:line="360" w:lineRule="auto"/>
        <w:rPr>
          <w:rFonts w:hint="eastAsia" w:ascii="宋体" w:hAnsi="宋体" w:cs="宋体"/>
          <w:bCs/>
          <w:sz w:val="24"/>
          <w:szCs w:val="24"/>
        </w:rPr>
      </w:pPr>
      <w:bookmarkStart w:id="77" w:name="tip_risk_bookmark_4"/>
      <w:r>
        <w:rPr>
          <w:rFonts w:hint="eastAsia" w:ascii="宋体" w:hAnsi="宋体" w:cs="宋体"/>
          <w:bCs/>
          <w:sz w:val="24"/>
          <w:szCs w:val="24"/>
          <w:lang w:bidi="ar"/>
        </w:rPr>
        <w:t>设备名称、规格（型号）、数量详见下表</w:t>
      </w:r>
    </w:p>
    <w:tbl>
      <w:tblPr>
        <w:tblStyle w:val="36"/>
        <w:tblW w:w="976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17"/>
        <w:gridCol w:w="1428"/>
        <w:gridCol w:w="821"/>
        <w:gridCol w:w="1535"/>
        <w:gridCol w:w="985"/>
        <w:gridCol w:w="686"/>
        <w:gridCol w:w="685"/>
        <w:gridCol w:w="1146"/>
        <w:gridCol w:w="1145"/>
        <w:gridCol w:w="717"/>
      </w:tblGrid>
      <w:tr w14:paraId="5279DD2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492CA59A">
            <w:pPr>
              <w:autoSpaceDE w:val="0"/>
              <w:autoSpaceDN w:val="0"/>
              <w:jc w:val="center"/>
              <w:rPr>
                <w:rFonts w:hint="eastAsia" w:ascii="宋体" w:hAnsi="宋体" w:cs="宋体"/>
                <w:bCs/>
                <w:sz w:val="24"/>
                <w:szCs w:val="24"/>
              </w:rPr>
            </w:pPr>
            <w:r>
              <w:rPr>
                <w:rFonts w:hint="eastAsia" w:ascii="宋体" w:hAnsi="宋体" w:cs="宋体"/>
                <w:bCs/>
                <w:sz w:val="24"/>
                <w:szCs w:val="24"/>
                <w:lang w:bidi="ar"/>
              </w:rPr>
              <w:t>序号</w:t>
            </w:r>
          </w:p>
        </w:tc>
        <w:tc>
          <w:tcPr>
            <w:tcW w:w="1429" w:type="dxa"/>
            <w:tcBorders>
              <w:top w:val="single" w:color="auto" w:sz="4" w:space="0"/>
              <w:left w:val="single" w:color="auto" w:sz="4" w:space="0"/>
              <w:bottom w:val="single" w:color="auto" w:sz="4" w:space="0"/>
              <w:right w:val="single" w:color="auto" w:sz="4" w:space="0"/>
            </w:tcBorders>
            <w:vAlign w:val="center"/>
          </w:tcPr>
          <w:p w14:paraId="50D9EA9F">
            <w:pPr>
              <w:jc w:val="center"/>
              <w:rPr>
                <w:rFonts w:hint="eastAsia" w:ascii="宋体" w:hAnsi="宋体" w:cs="宋体"/>
                <w:bCs/>
                <w:sz w:val="24"/>
                <w:szCs w:val="24"/>
              </w:rPr>
            </w:pPr>
            <w:r>
              <w:rPr>
                <w:rFonts w:hint="eastAsia" w:ascii="宋体" w:hAnsi="宋体" w:cs="宋体"/>
                <w:bCs/>
                <w:sz w:val="24"/>
                <w:szCs w:val="24"/>
                <w:lang w:bidi="ar"/>
              </w:rPr>
              <w:t>名称</w:t>
            </w:r>
          </w:p>
        </w:tc>
        <w:tc>
          <w:tcPr>
            <w:tcW w:w="821" w:type="dxa"/>
            <w:tcBorders>
              <w:top w:val="single" w:color="auto" w:sz="4" w:space="0"/>
              <w:left w:val="single" w:color="auto" w:sz="4" w:space="0"/>
              <w:bottom w:val="single" w:color="auto" w:sz="4" w:space="0"/>
              <w:right w:val="single" w:color="auto" w:sz="4" w:space="0"/>
            </w:tcBorders>
            <w:vAlign w:val="center"/>
          </w:tcPr>
          <w:p w14:paraId="530AC242">
            <w:pPr>
              <w:jc w:val="center"/>
              <w:rPr>
                <w:rFonts w:hint="eastAsia" w:ascii="宋体" w:hAnsi="宋体" w:cs="宋体"/>
                <w:bCs/>
                <w:sz w:val="24"/>
                <w:szCs w:val="24"/>
              </w:rPr>
            </w:pPr>
            <w:r>
              <w:rPr>
                <w:rFonts w:hint="eastAsia" w:ascii="宋体" w:hAnsi="宋体" w:cs="宋体"/>
                <w:bCs/>
                <w:sz w:val="24"/>
                <w:szCs w:val="24"/>
                <w:lang w:bidi="ar"/>
              </w:rPr>
              <w:t>规格</w:t>
            </w:r>
          </w:p>
          <w:p w14:paraId="5ECB386A">
            <w:pPr>
              <w:jc w:val="center"/>
              <w:rPr>
                <w:rFonts w:hint="eastAsia" w:ascii="宋体" w:hAnsi="宋体" w:cs="宋体"/>
                <w:bCs/>
                <w:sz w:val="24"/>
                <w:szCs w:val="24"/>
              </w:rPr>
            </w:pPr>
            <w:r>
              <w:rPr>
                <w:rFonts w:hint="eastAsia" w:ascii="宋体" w:hAnsi="宋体" w:cs="宋体"/>
                <w:bCs/>
                <w:sz w:val="24"/>
                <w:szCs w:val="24"/>
                <w:lang w:bidi="ar"/>
              </w:rPr>
              <w:t>型号</w:t>
            </w:r>
          </w:p>
        </w:tc>
        <w:tc>
          <w:tcPr>
            <w:tcW w:w="1536" w:type="dxa"/>
            <w:tcBorders>
              <w:top w:val="single" w:color="auto" w:sz="4" w:space="0"/>
              <w:left w:val="single" w:color="auto" w:sz="4" w:space="0"/>
              <w:bottom w:val="single" w:color="auto" w:sz="4" w:space="0"/>
              <w:right w:val="single" w:color="auto" w:sz="4" w:space="0"/>
            </w:tcBorders>
            <w:vAlign w:val="center"/>
          </w:tcPr>
          <w:p w14:paraId="35401D90">
            <w:pPr>
              <w:jc w:val="center"/>
              <w:rPr>
                <w:rFonts w:hint="eastAsia" w:ascii="宋体" w:hAnsi="宋体" w:cs="宋体"/>
                <w:bCs/>
                <w:sz w:val="24"/>
                <w:szCs w:val="24"/>
              </w:rPr>
            </w:pPr>
            <w:r>
              <w:rPr>
                <w:rFonts w:hint="eastAsia" w:ascii="宋体" w:hAnsi="宋体" w:cs="宋体"/>
                <w:bCs/>
                <w:sz w:val="24"/>
                <w:szCs w:val="24"/>
                <w:lang w:bidi="ar"/>
              </w:rPr>
              <w:t>制造商或品牌</w:t>
            </w:r>
          </w:p>
        </w:tc>
        <w:tc>
          <w:tcPr>
            <w:tcW w:w="986" w:type="dxa"/>
            <w:tcBorders>
              <w:top w:val="single" w:color="auto" w:sz="4" w:space="0"/>
              <w:left w:val="single" w:color="auto" w:sz="4" w:space="0"/>
              <w:bottom w:val="single" w:color="auto" w:sz="4" w:space="0"/>
              <w:right w:val="single" w:color="auto" w:sz="4" w:space="0"/>
            </w:tcBorders>
            <w:vAlign w:val="center"/>
          </w:tcPr>
          <w:p w14:paraId="77BAFC18">
            <w:pPr>
              <w:jc w:val="center"/>
              <w:rPr>
                <w:rFonts w:hint="eastAsia" w:ascii="宋体" w:hAnsi="宋体" w:cs="宋体"/>
                <w:bCs/>
                <w:sz w:val="24"/>
                <w:szCs w:val="24"/>
              </w:rPr>
            </w:pPr>
            <w:r>
              <w:rPr>
                <w:rFonts w:hint="eastAsia" w:ascii="宋体" w:hAnsi="宋体" w:cs="宋体"/>
                <w:bCs/>
                <w:sz w:val="24"/>
                <w:szCs w:val="24"/>
                <w:lang w:bidi="ar"/>
              </w:rPr>
              <w:t>原产地</w:t>
            </w:r>
          </w:p>
        </w:tc>
        <w:tc>
          <w:tcPr>
            <w:tcW w:w="686" w:type="dxa"/>
            <w:tcBorders>
              <w:top w:val="single" w:color="auto" w:sz="4" w:space="0"/>
              <w:left w:val="single" w:color="auto" w:sz="4" w:space="0"/>
              <w:bottom w:val="single" w:color="auto" w:sz="4" w:space="0"/>
              <w:right w:val="single" w:color="auto" w:sz="4" w:space="0"/>
            </w:tcBorders>
            <w:vAlign w:val="center"/>
          </w:tcPr>
          <w:p w14:paraId="5B661C4E">
            <w:pPr>
              <w:jc w:val="center"/>
              <w:rPr>
                <w:rFonts w:hint="eastAsia" w:ascii="宋体" w:hAnsi="宋体" w:cs="宋体"/>
                <w:bCs/>
                <w:sz w:val="24"/>
                <w:szCs w:val="24"/>
              </w:rPr>
            </w:pPr>
            <w:r>
              <w:rPr>
                <w:rFonts w:hint="eastAsia" w:ascii="宋体" w:hAnsi="宋体" w:cs="宋体"/>
                <w:bCs/>
                <w:sz w:val="24"/>
                <w:szCs w:val="24"/>
                <w:lang w:bidi="ar"/>
              </w:rPr>
              <w:t>单位</w:t>
            </w:r>
          </w:p>
        </w:tc>
        <w:tc>
          <w:tcPr>
            <w:tcW w:w="685" w:type="dxa"/>
            <w:tcBorders>
              <w:top w:val="single" w:color="auto" w:sz="4" w:space="0"/>
              <w:left w:val="single" w:color="auto" w:sz="4" w:space="0"/>
              <w:bottom w:val="single" w:color="auto" w:sz="4" w:space="0"/>
              <w:right w:val="single" w:color="auto" w:sz="4" w:space="0"/>
            </w:tcBorders>
            <w:vAlign w:val="center"/>
          </w:tcPr>
          <w:p w14:paraId="7758B247">
            <w:pPr>
              <w:jc w:val="center"/>
              <w:rPr>
                <w:rFonts w:hint="eastAsia" w:ascii="宋体" w:hAnsi="宋体" w:cs="宋体"/>
                <w:bCs/>
                <w:sz w:val="24"/>
                <w:szCs w:val="24"/>
              </w:rPr>
            </w:pPr>
            <w:r>
              <w:rPr>
                <w:rFonts w:hint="eastAsia" w:ascii="宋体" w:hAnsi="宋体" w:cs="宋体"/>
                <w:bCs/>
                <w:sz w:val="24"/>
                <w:szCs w:val="24"/>
                <w:lang w:bidi="ar"/>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20BC34BF">
            <w:pPr>
              <w:jc w:val="center"/>
              <w:rPr>
                <w:rFonts w:hint="eastAsia" w:ascii="宋体" w:hAnsi="宋体" w:cs="宋体"/>
                <w:bCs/>
                <w:sz w:val="24"/>
                <w:szCs w:val="24"/>
              </w:rPr>
            </w:pPr>
            <w:r>
              <w:rPr>
                <w:rFonts w:hint="eastAsia" w:ascii="宋体" w:hAnsi="宋体" w:cs="宋体"/>
                <w:bCs/>
                <w:sz w:val="24"/>
                <w:szCs w:val="24"/>
                <w:lang w:bidi="ar"/>
              </w:rPr>
              <w:t>含税单价</w:t>
            </w:r>
          </w:p>
          <w:p w14:paraId="6F404D0A">
            <w:pPr>
              <w:jc w:val="center"/>
              <w:rPr>
                <w:rFonts w:hint="eastAsia" w:ascii="宋体" w:hAnsi="宋体" w:cs="宋体"/>
                <w:bCs/>
                <w:sz w:val="24"/>
                <w:szCs w:val="24"/>
              </w:rPr>
            </w:pPr>
            <w:r>
              <w:rPr>
                <w:rFonts w:hint="eastAsia" w:ascii="宋体" w:hAnsi="宋体" w:cs="宋体"/>
                <w:bCs/>
                <w:sz w:val="24"/>
                <w:szCs w:val="24"/>
                <w:lang w:bidi="ar"/>
              </w:rPr>
              <w:t>(元)</w:t>
            </w:r>
          </w:p>
        </w:tc>
        <w:tc>
          <w:tcPr>
            <w:tcW w:w="1146" w:type="dxa"/>
            <w:tcBorders>
              <w:top w:val="single" w:color="auto" w:sz="4" w:space="0"/>
              <w:left w:val="single" w:color="auto" w:sz="4" w:space="0"/>
              <w:bottom w:val="single" w:color="auto" w:sz="4" w:space="0"/>
              <w:right w:val="single" w:color="auto" w:sz="4" w:space="0"/>
            </w:tcBorders>
            <w:vAlign w:val="center"/>
          </w:tcPr>
          <w:p w14:paraId="10D867AE">
            <w:pPr>
              <w:jc w:val="center"/>
              <w:rPr>
                <w:rFonts w:hint="eastAsia" w:ascii="宋体" w:hAnsi="宋体" w:cs="宋体"/>
                <w:bCs/>
                <w:sz w:val="24"/>
                <w:szCs w:val="24"/>
              </w:rPr>
            </w:pPr>
            <w:r>
              <w:rPr>
                <w:rFonts w:hint="eastAsia" w:ascii="宋体" w:hAnsi="宋体" w:cs="宋体"/>
                <w:bCs/>
                <w:sz w:val="24"/>
                <w:szCs w:val="24"/>
                <w:lang w:bidi="ar"/>
              </w:rPr>
              <w:t>合计金额</w:t>
            </w:r>
          </w:p>
          <w:p w14:paraId="590E392E">
            <w:pPr>
              <w:jc w:val="center"/>
              <w:rPr>
                <w:rFonts w:hint="eastAsia" w:ascii="宋体" w:hAnsi="宋体" w:cs="宋体"/>
                <w:bCs/>
                <w:sz w:val="24"/>
                <w:szCs w:val="24"/>
              </w:rPr>
            </w:pPr>
            <w:r>
              <w:rPr>
                <w:rFonts w:hint="eastAsia" w:ascii="宋体" w:hAnsi="宋体" w:cs="宋体"/>
                <w:bCs/>
                <w:sz w:val="24"/>
                <w:szCs w:val="24"/>
                <w:lang w:bidi="ar"/>
              </w:rPr>
              <w:t>（元）</w:t>
            </w:r>
          </w:p>
        </w:tc>
        <w:tc>
          <w:tcPr>
            <w:tcW w:w="717" w:type="dxa"/>
            <w:tcBorders>
              <w:top w:val="single" w:color="auto" w:sz="4" w:space="0"/>
              <w:left w:val="single" w:color="auto" w:sz="4" w:space="0"/>
              <w:bottom w:val="single" w:color="auto" w:sz="4" w:space="0"/>
              <w:right w:val="single" w:color="auto" w:sz="4" w:space="0"/>
            </w:tcBorders>
            <w:vAlign w:val="center"/>
          </w:tcPr>
          <w:p w14:paraId="11B471AE">
            <w:pPr>
              <w:jc w:val="center"/>
              <w:rPr>
                <w:rFonts w:hint="eastAsia" w:ascii="宋体" w:hAnsi="宋体" w:cs="宋体"/>
                <w:bCs/>
                <w:sz w:val="24"/>
                <w:szCs w:val="24"/>
              </w:rPr>
            </w:pPr>
            <w:r>
              <w:rPr>
                <w:rFonts w:hint="eastAsia" w:ascii="宋体" w:hAnsi="宋体" w:cs="宋体"/>
                <w:bCs/>
                <w:sz w:val="24"/>
                <w:szCs w:val="24"/>
                <w:lang w:bidi="ar"/>
              </w:rPr>
              <w:t>备注</w:t>
            </w:r>
          </w:p>
        </w:tc>
      </w:tr>
      <w:tr w14:paraId="5913CD6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28250851">
            <w:pPr>
              <w:autoSpaceDE w:val="0"/>
              <w:autoSpaceDN w:val="0"/>
              <w:jc w:val="center"/>
              <w:rPr>
                <w:rFonts w:hint="eastAsia" w:ascii="宋体" w:hAnsi="宋体" w:cs="宋体"/>
                <w:bCs/>
                <w:sz w:val="24"/>
                <w:szCs w:val="24"/>
              </w:rPr>
            </w:pPr>
            <w:r>
              <w:rPr>
                <w:rFonts w:hint="eastAsia" w:ascii="宋体" w:hAnsi="宋体" w:cs="宋体"/>
                <w:bCs/>
                <w:sz w:val="24"/>
                <w:szCs w:val="24"/>
                <w:lang w:bidi="ar"/>
              </w:rPr>
              <w:t>1</w:t>
            </w:r>
          </w:p>
        </w:tc>
        <w:tc>
          <w:tcPr>
            <w:tcW w:w="1429" w:type="dxa"/>
            <w:tcBorders>
              <w:top w:val="single" w:color="auto" w:sz="4" w:space="0"/>
              <w:left w:val="single" w:color="auto" w:sz="4" w:space="0"/>
              <w:bottom w:val="single" w:color="auto" w:sz="4" w:space="0"/>
              <w:right w:val="single" w:color="auto" w:sz="4" w:space="0"/>
            </w:tcBorders>
            <w:vAlign w:val="center"/>
          </w:tcPr>
          <w:p w14:paraId="2FBCD049">
            <w:pPr>
              <w:rPr>
                <w:rFonts w:hint="eastAsia" w:ascii="宋体" w:hAnsi="宋体" w:cs="宋体"/>
                <w:bCs/>
                <w:sz w:val="24"/>
                <w:szCs w:val="24"/>
              </w:rPr>
            </w:pPr>
          </w:p>
        </w:tc>
        <w:tc>
          <w:tcPr>
            <w:tcW w:w="821" w:type="dxa"/>
            <w:tcBorders>
              <w:top w:val="single" w:color="auto" w:sz="4" w:space="0"/>
              <w:left w:val="single" w:color="auto" w:sz="4" w:space="0"/>
              <w:bottom w:val="single" w:color="auto" w:sz="4" w:space="0"/>
              <w:right w:val="single" w:color="auto" w:sz="4" w:space="0"/>
            </w:tcBorders>
            <w:vAlign w:val="center"/>
          </w:tcPr>
          <w:p w14:paraId="798F5795">
            <w:pPr>
              <w:rPr>
                <w:rFonts w:hint="eastAsia" w:ascii="宋体" w:hAnsi="宋体" w:cs="宋体"/>
                <w:bCs/>
                <w:sz w:val="24"/>
                <w:szCs w:val="24"/>
              </w:rPr>
            </w:pPr>
          </w:p>
        </w:tc>
        <w:tc>
          <w:tcPr>
            <w:tcW w:w="1536" w:type="dxa"/>
            <w:tcBorders>
              <w:top w:val="single" w:color="auto" w:sz="4" w:space="0"/>
              <w:left w:val="single" w:color="auto" w:sz="4" w:space="0"/>
              <w:bottom w:val="single" w:color="auto" w:sz="4" w:space="0"/>
              <w:right w:val="single" w:color="auto" w:sz="4" w:space="0"/>
            </w:tcBorders>
            <w:vAlign w:val="center"/>
          </w:tcPr>
          <w:p w14:paraId="0B1FF1E2">
            <w:pPr>
              <w:rPr>
                <w:rFonts w:hint="eastAsia" w:ascii="宋体" w:hAnsi="宋体" w:cs="宋体"/>
                <w:bCs/>
                <w:sz w:val="24"/>
                <w:szCs w:val="24"/>
              </w:rPr>
            </w:pPr>
          </w:p>
        </w:tc>
        <w:tc>
          <w:tcPr>
            <w:tcW w:w="986" w:type="dxa"/>
            <w:tcBorders>
              <w:top w:val="single" w:color="auto" w:sz="4" w:space="0"/>
              <w:left w:val="single" w:color="auto" w:sz="4" w:space="0"/>
              <w:bottom w:val="single" w:color="auto" w:sz="4" w:space="0"/>
              <w:right w:val="single" w:color="auto" w:sz="4" w:space="0"/>
            </w:tcBorders>
            <w:vAlign w:val="center"/>
          </w:tcPr>
          <w:p w14:paraId="638F1D3A">
            <w:pPr>
              <w:rPr>
                <w:rFonts w:hint="eastAsia" w:ascii="宋体" w:hAnsi="宋体" w:cs="宋体"/>
                <w:bCs/>
                <w:sz w:val="24"/>
                <w:szCs w:val="24"/>
              </w:rPr>
            </w:pPr>
          </w:p>
        </w:tc>
        <w:tc>
          <w:tcPr>
            <w:tcW w:w="686" w:type="dxa"/>
            <w:tcBorders>
              <w:top w:val="single" w:color="auto" w:sz="4" w:space="0"/>
              <w:left w:val="single" w:color="auto" w:sz="4" w:space="0"/>
              <w:bottom w:val="single" w:color="auto" w:sz="4" w:space="0"/>
              <w:right w:val="single" w:color="auto" w:sz="4" w:space="0"/>
            </w:tcBorders>
            <w:vAlign w:val="center"/>
          </w:tcPr>
          <w:p w14:paraId="046127C5">
            <w:pPr>
              <w:rPr>
                <w:rFonts w:hint="eastAsia" w:ascii="宋体" w:hAnsi="宋体" w:cs="宋体"/>
                <w:bCs/>
                <w:sz w:val="24"/>
                <w:szCs w:val="24"/>
              </w:rPr>
            </w:pPr>
          </w:p>
        </w:tc>
        <w:tc>
          <w:tcPr>
            <w:tcW w:w="685" w:type="dxa"/>
            <w:tcBorders>
              <w:top w:val="single" w:color="auto" w:sz="4" w:space="0"/>
              <w:left w:val="single" w:color="auto" w:sz="4" w:space="0"/>
              <w:bottom w:val="single" w:color="auto" w:sz="4" w:space="0"/>
              <w:right w:val="single" w:color="auto" w:sz="4" w:space="0"/>
            </w:tcBorders>
            <w:vAlign w:val="center"/>
          </w:tcPr>
          <w:p w14:paraId="1E3F610C">
            <w:pPr>
              <w:rPr>
                <w:rFonts w:hint="eastAsia" w:ascii="宋体" w:hAnsi="宋体" w:cs="宋体"/>
                <w:bCs/>
                <w:sz w:val="24"/>
                <w:szCs w:val="24"/>
              </w:rPr>
            </w:pPr>
          </w:p>
        </w:tc>
        <w:tc>
          <w:tcPr>
            <w:tcW w:w="1147" w:type="dxa"/>
            <w:tcBorders>
              <w:top w:val="single" w:color="auto" w:sz="4" w:space="0"/>
              <w:left w:val="single" w:color="auto" w:sz="4" w:space="0"/>
              <w:bottom w:val="single" w:color="auto" w:sz="4" w:space="0"/>
              <w:right w:val="single" w:color="auto" w:sz="4" w:space="0"/>
            </w:tcBorders>
            <w:vAlign w:val="center"/>
          </w:tcPr>
          <w:p w14:paraId="007AD0D8">
            <w:pPr>
              <w:rPr>
                <w:rFonts w:hint="eastAsia" w:ascii="宋体" w:hAnsi="宋体" w:cs="宋体"/>
                <w:bCs/>
                <w:sz w:val="24"/>
                <w:szCs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02AAACE3">
            <w:pPr>
              <w:rPr>
                <w:rFonts w:hint="eastAsia" w:ascii="宋体" w:hAnsi="宋体" w:cs="宋体"/>
                <w:bCs/>
                <w:sz w:val="24"/>
                <w:szCs w:val="24"/>
              </w:rPr>
            </w:pPr>
          </w:p>
        </w:tc>
        <w:tc>
          <w:tcPr>
            <w:tcW w:w="717" w:type="dxa"/>
            <w:tcBorders>
              <w:top w:val="single" w:color="auto" w:sz="4" w:space="0"/>
              <w:left w:val="single" w:color="auto" w:sz="4" w:space="0"/>
              <w:bottom w:val="single" w:color="auto" w:sz="4" w:space="0"/>
              <w:right w:val="single" w:color="auto" w:sz="4" w:space="0"/>
            </w:tcBorders>
            <w:vAlign w:val="center"/>
          </w:tcPr>
          <w:p w14:paraId="68B73FB4">
            <w:pPr>
              <w:rPr>
                <w:rFonts w:hint="eastAsia" w:ascii="宋体" w:hAnsi="宋体" w:cs="宋体"/>
                <w:bCs/>
                <w:sz w:val="24"/>
                <w:szCs w:val="24"/>
              </w:rPr>
            </w:pPr>
          </w:p>
        </w:tc>
      </w:tr>
      <w:tr w14:paraId="6861FA5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67BC581D">
            <w:pPr>
              <w:autoSpaceDE w:val="0"/>
              <w:autoSpaceDN w:val="0"/>
              <w:jc w:val="center"/>
              <w:rPr>
                <w:rFonts w:hint="eastAsia" w:ascii="宋体" w:hAnsi="宋体" w:cs="宋体"/>
                <w:bCs/>
                <w:sz w:val="24"/>
                <w:szCs w:val="24"/>
              </w:rPr>
            </w:pPr>
            <w:r>
              <w:rPr>
                <w:rFonts w:hint="eastAsia" w:ascii="宋体" w:hAnsi="宋体" w:cs="宋体"/>
                <w:bCs/>
                <w:sz w:val="24"/>
                <w:szCs w:val="24"/>
                <w:lang w:bidi="ar"/>
              </w:rPr>
              <w:t>2</w:t>
            </w:r>
          </w:p>
        </w:tc>
        <w:tc>
          <w:tcPr>
            <w:tcW w:w="1429" w:type="dxa"/>
            <w:tcBorders>
              <w:top w:val="single" w:color="auto" w:sz="4" w:space="0"/>
              <w:left w:val="single" w:color="auto" w:sz="4" w:space="0"/>
              <w:bottom w:val="single" w:color="auto" w:sz="4" w:space="0"/>
              <w:right w:val="single" w:color="auto" w:sz="4" w:space="0"/>
            </w:tcBorders>
            <w:vAlign w:val="center"/>
          </w:tcPr>
          <w:p w14:paraId="3F8D2CFF">
            <w:pPr>
              <w:rPr>
                <w:rFonts w:hint="eastAsia" w:ascii="宋体" w:hAnsi="宋体" w:cs="宋体"/>
                <w:bCs/>
                <w:sz w:val="24"/>
                <w:szCs w:val="24"/>
              </w:rPr>
            </w:pPr>
          </w:p>
        </w:tc>
        <w:tc>
          <w:tcPr>
            <w:tcW w:w="821" w:type="dxa"/>
            <w:tcBorders>
              <w:top w:val="single" w:color="auto" w:sz="4" w:space="0"/>
              <w:left w:val="single" w:color="auto" w:sz="4" w:space="0"/>
              <w:bottom w:val="single" w:color="auto" w:sz="4" w:space="0"/>
              <w:right w:val="single" w:color="auto" w:sz="4" w:space="0"/>
            </w:tcBorders>
            <w:vAlign w:val="center"/>
          </w:tcPr>
          <w:p w14:paraId="26041206">
            <w:pPr>
              <w:rPr>
                <w:rFonts w:hint="eastAsia" w:ascii="宋体" w:hAnsi="宋体" w:cs="宋体"/>
                <w:bCs/>
                <w:sz w:val="24"/>
                <w:szCs w:val="24"/>
              </w:rPr>
            </w:pPr>
          </w:p>
        </w:tc>
        <w:tc>
          <w:tcPr>
            <w:tcW w:w="1536" w:type="dxa"/>
            <w:tcBorders>
              <w:top w:val="single" w:color="auto" w:sz="4" w:space="0"/>
              <w:left w:val="single" w:color="auto" w:sz="4" w:space="0"/>
              <w:bottom w:val="single" w:color="auto" w:sz="4" w:space="0"/>
              <w:right w:val="single" w:color="auto" w:sz="4" w:space="0"/>
            </w:tcBorders>
            <w:vAlign w:val="center"/>
          </w:tcPr>
          <w:p w14:paraId="05342C6D">
            <w:pPr>
              <w:rPr>
                <w:rFonts w:hint="eastAsia" w:ascii="宋体" w:hAnsi="宋体" w:cs="宋体"/>
                <w:bCs/>
                <w:sz w:val="24"/>
                <w:szCs w:val="24"/>
              </w:rPr>
            </w:pPr>
          </w:p>
        </w:tc>
        <w:tc>
          <w:tcPr>
            <w:tcW w:w="986" w:type="dxa"/>
            <w:tcBorders>
              <w:top w:val="single" w:color="auto" w:sz="4" w:space="0"/>
              <w:left w:val="single" w:color="auto" w:sz="4" w:space="0"/>
              <w:bottom w:val="single" w:color="auto" w:sz="4" w:space="0"/>
              <w:right w:val="single" w:color="auto" w:sz="4" w:space="0"/>
            </w:tcBorders>
            <w:vAlign w:val="center"/>
          </w:tcPr>
          <w:p w14:paraId="3D990693">
            <w:pPr>
              <w:rPr>
                <w:rFonts w:hint="eastAsia" w:ascii="宋体" w:hAnsi="宋体" w:cs="宋体"/>
                <w:bCs/>
                <w:sz w:val="24"/>
                <w:szCs w:val="24"/>
              </w:rPr>
            </w:pPr>
          </w:p>
        </w:tc>
        <w:tc>
          <w:tcPr>
            <w:tcW w:w="686" w:type="dxa"/>
            <w:tcBorders>
              <w:top w:val="single" w:color="auto" w:sz="4" w:space="0"/>
              <w:left w:val="single" w:color="auto" w:sz="4" w:space="0"/>
              <w:bottom w:val="single" w:color="auto" w:sz="4" w:space="0"/>
              <w:right w:val="single" w:color="auto" w:sz="4" w:space="0"/>
            </w:tcBorders>
            <w:vAlign w:val="center"/>
          </w:tcPr>
          <w:p w14:paraId="329DF8FD">
            <w:pPr>
              <w:rPr>
                <w:rFonts w:hint="eastAsia" w:ascii="宋体" w:hAnsi="宋体" w:cs="宋体"/>
                <w:bCs/>
                <w:sz w:val="24"/>
                <w:szCs w:val="24"/>
              </w:rPr>
            </w:pPr>
          </w:p>
        </w:tc>
        <w:tc>
          <w:tcPr>
            <w:tcW w:w="685" w:type="dxa"/>
            <w:tcBorders>
              <w:top w:val="single" w:color="auto" w:sz="4" w:space="0"/>
              <w:left w:val="single" w:color="auto" w:sz="4" w:space="0"/>
              <w:bottom w:val="single" w:color="auto" w:sz="4" w:space="0"/>
              <w:right w:val="single" w:color="auto" w:sz="4" w:space="0"/>
            </w:tcBorders>
            <w:vAlign w:val="center"/>
          </w:tcPr>
          <w:p w14:paraId="7165D59A">
            <w:pPr>
              <w:rPr>
                <w:rFonts w:hint="eastAsia" w:ascii="宋体" w:hAnsi="宋体" w:cs="宋体"/>
                <w:bCs/>
                <w:sz w:val="24"/>
                <w:szCs w:val="24"/>
              </w:rPr>
            </w:pPr>
          </w:p>
        </w:tc>
        <w:tc>
          <w:tcPr>
            <w:tcW w:w="1147" w:type="dxa"/>
            <w:tcBorders>
              <w:top w:val="single" w:color="auto" w:sz="4" w:space="0"/>
              <w:left w:val="single" w:color="auto" w:sz="4" w:space="0"/>
              <w:bottom w:val="single" w:color="auto" w:sz="4" w:space="0"/>
              <w:right w:val="single" w:color="auto" w:sz="4" w:space="0"/>
            </w:tcBorders>
            <w:vAlign w:val="center"/>
          </w:tcPr>
          <w:p w14:paraId="6AC07106">
            <w:pPr>
              <w:rPr>
                <w:rFonts w:hint="eastAsia" w:ascii="宋体" w:hAnsi="宋体" w:cs="宋体"/>
                <w:bCs/>
                <w:sz w:val="24"/>
                <w:szCs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73BCEB96">
            <w:pPr>
              <w:rPr>
                <w:rFonts w:hint="eastAsia" w:ascii="宋体" w:hAnsi="宋体" w:cs="宋体"/>
                <w:bCs/>
                <w:sz w:val="24"/>
                <w:szCs w:val="24"/>
              </w:rPr>
            </w:pPr>
          </w:p>
        </w:tc>
        <w:tc>
          <w:tcPr>
            <w:tcW w:w="717" w:type="dxa"/>
            <w:tcBorders>
              <w:top w:val="single" w:color="auto" w:sz="4" w:space="0"/>
              <w:left w:val="single" w:color="auto" w:sz="4" w:space="0"/>
              <w:bottom w:val="single" w:color="auto" w:sz="4" w:space="0"/>
              <w:right w:val="single" w:color="auto" w:sz="4" w:space="0"/>
            </w:tcBorders>
            <w:vAlign w:val="center"/>
          </w:tcPr>
          <w:p w14:paraId="31A6D5B9">
            <w:pPr>
              <w:rPr>
                <w:rFonts w:hint="eastAsia" w:ascii="宋体" w:hAnsi="宋体" w:cs="宋体"/>
                <w:bCs/>
                <w:sz w:val="24"/>
                <w:szCs w:val="24"/>
              </w:rPr>
            </w:pPr>
          </w:p>
        </w:tc>
      </w:tr>
      <w:tr w14:paraId="2C8AEBB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11CDB72C">
            <w:pPr>
              <w:autoSpaceDE w:val="0"/>
              <w:autoSpaceDN w:val="0"/>
              <w:jc w:val="center"/>
              <w:rPr>
                <w:rFonts w:hint="eastAsia" w:ascii="宋体" w:hAnsi="宋体" w:cs="宋体"/>
                <w:bCs/>
                <w:sz w:val="24"/>
                <w:szCs w:val="24"/>
                <w:lang w:bidi="ar"/>
              </w:rPr>
            </w:pPr>
            <w:r>
              <w:rPr>
                <w:rFonts w:hint="eastAsia" w:ascii="宋体" w:hAnsi="宋体" w:cs="宋体"/>
                <w:bCs/>
                <w:sz w:val="24"/>
                <w:szCs w:val="24"/>
                <w:lang w:bidi="ar"/>
              </w:rPr>
              <w:t>3</w:t>
            </w:r>
          </w:p>
        </w:tc>
        <w:tc>
          <w:tcPr>
            <w:tcW w:w="1429" w:type="dxa"/>
            <w:tcBorders>
              <w:top w:val="single" w:color="auto" w:sz="4" w:space="0"/>
              <w:left w:val="single" w:color="auto" w:sz="4" w:space="0"/>
              <w:bottom w:val="single" w:color="auto" w:sz="4" w:space="0"/>
              <w:right w:val="single" w:color="auto" w:sz="4" w:space="0"/>
            </w:tcBorders>
            <w:vAlign w:val="center"/>
          </w:tcPr>
          <w:p w14:paraId="1BF8C51D">
            <w:pPr>
              <w:rPr>
                <w:rFonts w:hint="eastAsia" w:ascii="宋体" w:hAnsi="宋体" w:cs="宋体"/>
                <w:bCs/>
                <w:sz w:val="24"/>
                <w:szCs w:val="24"/>
              </w:rPr>
            </w:pPr>
          </w:p>
        </w:tc>
        <w:tc>
          <w:tcPr>
            <w:tcW w:w="821" w:type="dxa"/>
            <w:tcBorders>
              <w:top w:val="single" w:color="auto" w:sz="4" w:space="0"/>
              <w:left w:val="single" w:color="auto" w:sz="4" w:space="0"/>
              <w:bottom w:val="single" w:color="auto" w:sz="4" w:space="0"/>
              <w:right w:val="single" w:color="auto" w:sz="4" w:space="0"/>
            </w:tcBorders>
            <w:vAlign w:val="center"/>
          </w:tcPr>
          <w:p w14:paraId="31AEB0DE">
            <w:pPr>
              <w:rPr>
                <w:rFonts w:hint="eastAsia" w:ascii="宋体" w:hAnsi="宋体" w:cs="宋体"/>
                <w:bCs/>
                <w:sz w:val="24"/>
                <w:szCs w:val="24"/>
              </w:rPr>
            </w:pPr>
          </w:p>
        </w:tc>
        <w:tc>
          <w:tcPr>
            <w:tcW w:w="1536" w:type="dxa"/>
            <w:tcBorders>
              <w:top w:val="single" w:color="auto" w:sz="4" w:space="0"/>
              <w:left w:val="single" w:color="auto" w:sz="4" w:space="0"/>
              <w:bottom w:val="single" w:color="auto" w:sz="4" w:space="0"/>
              <w:right w:val="single" w:color="auto" w:sz="4" w:space="0"/>
            </w:tcBorders>
            <w:vAlign w:val="center"/>
          </w:tcPr>
          <w:p w14:paraId="15C40B7E">
            <w:pPr>
              <w:rPr>
                <w:rFonts w:hint="eastAsia" w:ascii="宋体" w:hAnsi="宋体" w:cs="宋体"/>
                <w:bCs/>
                <w:sz w:val="24"/>
                <w:szCs w:val="24"/>
              </w:rPr>
            </w:pPr>
          </w:p>
        </w:tc>
        <w:tc>
          <w:tcPr>
            <w:tcW w:w="986" w:type="dxa"/>
            <w:tcBorders>
              <w:top w:val="single" w:color="auto" w:sz="4" w:space="0"/>
              <w:left w:val="single" w:color="auto" w:sz="4" w:space="0"/>
              <w:bottom w:val="single" w:color="auto" w:sz="4" w:space="0"/>
              <w:right w:val="single" w:color="auto" w:sz="4" w:space="0"/>
            </w:tcBorders>
            <w:vAlign w:val="center"/>
          </w:tcPr>
          <w:p w14:paraId="1CF9A842">
            <w:pPr>
              <w:rPr>
                <w:rFonts w:hint="eastAsia" w:ascii="宋体" w:hAnsi="宋体" w:cs="宋体"/>
                <w:bCs/>
                <w:sz w:val="24"/>
                <w:szCs w:val="24"/>
              </w:rPr>
            </w:pPr>
          </w:p>
        </w:tc>
        <w:tc>
          <w:tcPr>
            <w:tcW w:w="686" w:type="dxa"/>
            <w:tcBorders>
              <w:top w:val="single" w:color="auto" w:sz="4" w:space="0"/>
              <w:left w:val="single" w:color="auto" w:sz="4" w:space="0"/>
              <w:bottom w:val="single" w:color="auto" w:sz="4" w:space="0"/>
              <w:right w:val="single" w:color="auto" w:sz="4" w:space="0"/>
            </w:tcBorders>
            <w:vAlign w:val="center"/>
          </w:tcPr>
          <w:p w14:paraId="30B8AA65">
            <w:pPr>
              <w:rPr>
                <w:rFonts w:hint="eastAsia" w:ascii="宋体" w:hAnsi="宋体" w:cs="宋体"/>
                <w:bCs/>
                <w:sz w:val="24"/>
                <w:szCs w:val="24"/>
              </w:rPr>
            </w:pPr>
          </w:p>
        </w:tc>
        <w:tc>
          <w:tcPr>
            <w:tcW w:w="685" w:type="dxa"/>
            <w:tcBorders>
              <w:top w:val="single" w:color="auto" w:sz="4" w:space="0"/>
              <w:left w:val="single" w:color="auto" w:sz="4" w:space="0"/>
              <w:bottom w:val="single" w:color="auto" w:sz="4" w:space="0"/>
              <w:right w:val="single" w:color="auto" w:sz="4" w:space="0"/>
            </w:tcBorders>
            <w:vAlign w:val="center"/>
          </w:tcPr>
          <w:p w14:paraId="376DA3EF">
            <w:pPr>
              <w:rPr>
                <w:rFonts w:hint="eastAsia" w:ascii="宋体" w:hAnsi="宋体" w:cs="宋体"/>
                <w:bCs/>
                <w:sz w:val="24"/>
                <w:szCs w:val="24"/>
              </w:rPr>
            </w:pPr>
          </w:p>
        </w:tc>
        <w:tc>
          <w:tcPr>
            <w:tcW w:w="1147" w:type="dxa"/>
            <w:tcBorders>
              <w:top w:val="single" w:color="auto" w:sz="4" w:space="0"/>
              <w:left w:val="single" w:color="auto" w:sz="4" w:space="0"/>
              <w:bottom w:val="single" w:color="auto" w:sz="4" w:space="0"/>
              <w:right w:val="single" w:color="auto" w:sz="4" w:space="0"/>
            </w:tcBorders>
            <w:vAlign w:val="center"/>
          </w:tcPr>
          <w:p w14:paraId="0436C6FE">
            <w:pPr>
              <w:rPr>
                <w:rFonts w:hint="eastAsia" w:ascii="宋体" w:hAnsi="宋体" w:cs="宋体"/>
                <w:bCs/>
                <w:sz w:val="24"/>
                <w:szCs w:val="24"/>
              </w:rPr>
            </w:pPr>
          </w:p>
        </w:tc>
        <w:tc>
          <w:tcPr>
            <w:tcW w:w="1146" w:type="dxa"/>
            <w:tcBorders>
              <w:top w:val="single" w:color="auto" w:sz="4" w:space="0"/>
              <w:left w:val="single" w:color="auto" w:sz="4" w:space="0"/>
              <w:bottom w:val="single" w:color="auto" w:sz="4" w:space="0"/>
              <w:right w:val="single" w:color="auto" w:sz="4" w:space="0"/>
            </w:tcBorders>
            <w:vAlign w:val="center"/>
          </w:tcPr>
          <w:p w14:paraId="447CB678">
            <w:pPr>
              <w:rPr>
                <w:rFonts w:hint="eastAsia" w:ascii="宋体" w:hAnsi="宋体" w:cs="宋体"/>
                <w:bCs/>
                <w:sz w:val="24"/>
                <w:szCs w:val="24"/>
              </w:rPr>
            </w:pPr>
          </w:p>
        </w:tc>
        <w:tc>
          <w:tcPr>
            <w:tcW w:w="717" w:type="dxa"/>
            <w:tcBorders>
              <w:top w:val="single" w:color="auto" w:sz="4" w:space="0"/>
              <w:left w:val="single" w:color="auto" w:sz="4" w:space="0"/>
              <w:bottom w:val="single" w:color="auto" w:sz="4" w:space="0"/>
              <w:right w:val="single" w:color="auto" w:sz="4" w:space="0"/>
            </w:tcBorders>
            <w:vAlign w:val="center"/>
          </w:tcPr>
          <w:p w14:paraId="7F70FC45">
            <w:pPr>
              <w:rPr>
                <w:rFonts w:hint="eastAsia" w:ascii="宋体" w:hAnsi="宋体" w:cs="宋体"/>
                <w:bCs/>
                <w:sz w:val="24"/>
                <w:szCs w:val="24"/>
              </w:rPr>
            </w:pPr>
          </w:p>
        </w:tc>
      </w:tr>
      <w:tr w14:paraId="6F3AAC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770" w:type="dxa"/>
            <w:gridSpan w:val="10"/>
            <w:tcBorders>
              <w:top w:val="single" w:color="auto" w:sz="4" w:space="0"/>
              <w:left w:val="single" w:color="auto" w:sz="4" w:space="0"/>
              <w:bottom w:val="single" w:color="auto" w:sz="4" w:space="0"/>
              <w:right w:val="single" w:color="auto" w:sz="4" w:space="0"/>
            </w:tcBorders>
            <w:vAlign w:val="center"/>
          </w:tcPr>
          <w:p w14:paraId="6882711F">
            <w:pPr>
              <w:ind w:firstLine="120" w:firstLineChars="50"/>
              <w:rPr>
                <w:rFonts w:hint="eastAsia" w:ascii="宋体" w:hAnsi="宋体" w:cs="宋体"/>
                <w:bCs/>
                <w:sz w:val="24"/>
                <w:szCs w:val="24"/>
                <w:lang w:bidi="ar"/>
              </w:rPr>
            </w:pPr>
            <w:r>
              <w:rPr>
                <w:rFonts w:hint="eastAsia" w:ascii="宋体" w:hAnsi="宋体" w:cs="宋体"/>
                <w:bCs/>
                <w:sz w:val="24"/>
                <w:szCs w:val="24"/>
                <w:lang w:bidi="ar"/>
              </w:rPr>
              <w:t>总计：人民币（大写）     元整                 （小写）     元</w:t>
            </w:r>
          </w:p>
        </w:tc>
      </w:tr>
      <w:bookmarkEnd w:id="77"/>
    </w:tbl>
    <w:p w14:paraId="38FFFADC">
      <w:pPr>
        <w:ind w:firstLine="480" w:firstLineChars="200"/>
        <w:rPr>
          <w:rFonts w:hint="eastAsia" w:ascii="宋体" w:hAnsi="宋体" w:cs="宋体"/>
          <w:bCs/>
          <w:sz w:val="24"/>
          <w:szCs w:val="24"/>
        </w:rPr>
      </w:pPr>
      <w:bookmarkStart w:id="78" w:name="auto_fouce_5"/>
      <w:r>
        <w:rPr>
          <w:rFonts w:hint="eastAsia" w:ascii="宋体" w:hAnsi="宋体" w:cs="宋体"/>
          <w:bCs/>
          <w:sz w:val="24"/>
          <w:szCs w:val="24"/>
          <w:lang w:bidi="ar"/>
        </w:rPr>
        <w:t>本合同为</w:t>
      </w:r>
      <w:r>
        <w:rPr>
          <w:rFonts w:hint="eastAsia" w:ascii="宋体" w:hAnsi="宋体" w:cs="宋体"/>
          <w:bCs/>
          <w:sz w:val="24"/>
          <w:szCs w:val="24"/>
          <w:u w:val="single"/>
          <w:lang w:bidi="ar"/>
        </w:rPr>
        <w:t>固定总价/固定单价合同</w:t>
      </w:r>
      <w:r>
        <w:rPr>
          <w:rFonts w:hint="eastAsia" w:ascii="宋体" w:hAnsi="宋体" w:cs="宋体"/>
          <w:bCs/>
          <w:sz w:val="24"/>
          <w:szCs w:val="24"/>
          <w:lang w:bidi="ar"/>
        </w:rPr>
        <w:t>，上述合同价格包括但不限于以下全部项目：货物供给、货物包装、运输费、仓储费、装卸费、安装调试费、税金、相关手续费、保修费和保险等的全部费用。乙方应保证甲方除支付合同约定货款之外无需再行支付其他任何费用和款项。</w:t>
      </w:r>
      <w:bookmarkEnd w:id="78"/>
    </w:p>
    <w:p w14:paraId="4F47ADCD">
      <w:pPr>
        <w:ind w:firstLine="480" w:firstLineChars="200"/>
        <w:rPr>
          <w:rFonts w:hint="eastAsia" w:ascii="宋体" w:hAnsi="宋体" w:cs="宋体"/>
          <w:bCs/>
          <w:sz w:val="24"/>
          <w:szCs w:val="24"/>
        </w:rPr>
      </w:pPr>
      <w:r>
        <w:rPr>
          <w:rFonts w:hint="eastAsia" w:ascii="宋体" w:hAnsi="宋体" w:cs="宋体"/>
          <w:bCs/>
          <w:sz w:val="24"/>
          <w:szCs w:val="24"/>
          <w:lang w:bidi="ar"/>
        </w:rPr>
        <w:t xml:space="preserve">价格清单表是基于乙方在完全理解本项目材料所需为前提，同时对清单中的名称、规格、材质及数量等有校对的义务，乙方在合同有效期内不得对清单的综合费用提出任何费用的增加。 </w:t>
      </w:r>
    </w:p>
    <w:p w14:paraId="0BE3702F">
      <w:pPr>
        <w:ind w:firstLine="480" w:firstLineChars="200"/>
        <w:rPr>
          <w:rFonts w:hint="eastAsia" w:ascii="宋体" w:hAnsi="宋体" w:cs="宋体"/>
          <w:bCs/>
          <w:sz w:val="24"/>
          <w:szCs w:val="24"/>
        </w:rPr>
      </w:pPr>
      <w:r>
        <w:rPr>
          <w:rFonts w:hint="eastAsia" w:ascii="宋体" w:hAnsi="宋体" w:cs="宋体"/>
          <w:bCs/>
          <w:sz w:val="24"/>
          <w:szCs w:val="24"/>
          <w:lang w:bidi="ar"/>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2F538554">
      <w:pPr>
        <w:ind w:firstLine="480" w:firstLineChars="200"/>
        <w:rPr>
          <w:rFonts w:hint="eastAsia" w:ascii="宋体" w:hAnsi="宋体" w:cs="宋体"/>
          <w:bCs/>
          <w:sz w:val="24"/>
          <w:szCs w:val="24"/>
        </w:rPr>
      </w:pPr>
      <w:r>
        <w:rPr>
          <w:rFonts w:hint="eastAsia" w:ascii="宋体" w:hAnsi="宋体" w:cs="宋体"/>
          <w:bCs/>
          <w:sz w:val="24"/>
          <w:szCs w:val="24"/>
          <w:lang w:bidi="ar"/>
        </w:rPr>
        <w:t>本合同以人民币计价。</w:t>
      </w:r>
    </w:p>
    <w:p w14:paraId="322EC195">
      <w:pPr>
        <w:rPr>
          <w:rFonts w:hint="eastAsia" w:ascii="宋体" w:hAnsi="宋体" w:cs="宋体"/>
          <w:bCs/>
          <w:sz w:val="24"/>
          <w:szCs w:val="24"/>
          <w:u w:val="single"/>
        </w:rPr>
      </w:pPr>
      <w:r>
        <w:rPr>
          <w:rFonts w:hint="eastAsia" w:ascii="宋体" w:hAnsi="宋体" w:cs="宋体"/>
          <w:bCs/>
          <w:sz w:val="24"/>
          <w:szCs w:val="24"/>
          <w:lang w:bidi="ar"/>
        </w:rPr>
        <w:t>二、系统配置：详见附件</w:t>
      </w:r>
    </w:p>
    <w:p w14:paraId="46C53158">
      <w:pPr>
        <w:ind w:left="480" w:hanging="480" w:hangingChars="200"/>
        <w:rPr>
          <w:rFonts w:hint="eastAsia" w:ascii="宋体" w:hAnsi="宋体" w:cs="宋体"/>
          <w:bCs/>
          <w:sz w:val="24"/>
          <w:szCs w:val="24"/>
        </w:rPr>
      </w:pPr>
      <w:r>
        <w:rPr>
          <w:rFonts w:hint="eastAsia" w:ascii="宋体" w:hAnsi="宋体" w:cs="宋体"/>
          <w:bCs/>
          <w:sz w:val="24"/>
          <w:szCs w:val="24"/>
          <w:lang w:bidi="ar"/>
        </w:rPr>
        <w:t>三、</w:t>
      </w:r>
      <w:bookmarkStart w:id="79" w:name="auto_fouce_6"/>
      <w:r>
        <w:rPr>
          <w:rFonts w:hint="eastAsia" w:ascii="宋体" w:hAnsi="宋体" w:cs="宋体"/>
          <w:bCs/>
          <w:sz w:val="24"/>
          <w:szCs w:val="24"/>
          <w:lang w:bidi="ar"/>
        </w:rPr>
        <w:t>随机的必备品、配件、工具及其数量：乙方应按产品说明书、装箱单及出厂要求，配备全新、未使用的必备品、配件和专用工具，相关费用已包含在合同总价内，甲方无需另行支付任何费用。</w:t>
      </w:r>
      <w:bookmarkEnd w:id="79"/>
    </w:p>
    <w:p w14:paraId="1602C9FF">
      <w:pPr>
        <w:rPr>
          <w:rFonts w:hint="eastAsia" w:ascii="宋体" w:hAnsi="宋体" w:cs="宋体"/>
          <w:bCs/>
          <w:sz w:val="24"/>
          <w:szCs w:val="24"/>
        </w:rPr>
      </w:pPr>
      <w:r>
        <w:rPr>
          <w:rFonts w:hint="eastAsia" w:ascii="宋体" w:hAnsi="宋体" w:cs="宋体"/>
          <w:bCs/>
          <w:sz w:val="24"/>
          <w:szCs w:val="24"/>
          <w:lang w:bidi="ar"/>
        </w:rPr>
        <w:t>四、交货期、地点、售后服务期：</w:t>
      </w:r>
    </w:p>
    <w:p w14:paraId="040C0AFD">
      <w:pPr>
        <w:rPr>
          <w:rFonts w:hint="eastAsia" w:ascii="宋体" w:hAnsi="宋体" w:cs="宋体"/>
          <w:bCs/>
          <w:sz w:val="24"/>
          <w:szCs w:val="24"/>
        </w:rPr>
      </w:pPr>
      <w:r>
        <w:rPr>
          <w:rFonts w:hint="eastAsia" w:ascii="宋体" w:hAnsi="宋体" w:cs="宋体"/>
          <w:bCs/>
          <w:sz w:val="24"/>
          <w:szCs w:val="24"/>
          <w:lang w:bidi="ar"/>
        </w:rPr>
        <w:t>1、</w:t>
      </w:r>
      <w:bookmarkStart w:id="80" w:name="tip_risk_bookmark_8"/>
      <w:bookmarkStart w:id="81" w:name="tip_risk_bookmark_7"/>
      <w:r>
        <w:rPr>
          <w:rFonts w:hint="eastAsia" w:ascii="宋体" w:hAnsi="宋体" w:cs="宋体"/>
          <w:bCs/>
          <w:sz w:val="24"/>
          <w:szCs w:val="24"/>
          <w:lang w:bidi="ar"/>
        </w:rPr>
        <w:t>交货期：自合同签订之日后，接到甲方书面供货通知起</w:t>
      </w:r>
      <w:r>
        <w:rPr>
          <w:rFonts w:hint="eastAsia" w:ascii="宋体" w:hAnsi="宋体" w:cs="宋体"/>
          <w:bCs/>
          <w:sz w:val="24"/>
          <w:szCs w:val="24"/>
          <w:u w:val="single"/>
          <w:lang w:bidi="ar"/>
        </w:rPr>
        <w:t xml:space="preserve">     </w:t>
      </w:r>
      <w:r>
        <w:rPr>
          <w:rFonts w:hint="eastAsia" w:ascii="宋体" w:hAnsi="宋体" w:cs="宋体"/>
          <w:bCs/>
          <w:sz w:val="24"/>
          <w:szCs w:val="24"/>
          <w:lang w:bidi="ar"/>
        </w:rPr>
        <w:t>日历日内（按书面通知之日算起），将标的物运送至甲方指定地点，并负责完成安装调试，配合甲方完成验收。</w:t>
      </w:r>
      <w:bookmarkEnd w:id="80"/>
    </w:p>
    <w:p w14:paraId="5D0E4D19">
      <w:pPr>
        <w:rPr>
          <w:rFonts w:hint="eastAsia" w:ascii="宋体" w:hAnsi="宋体" w:cs="宋体"/>
          <w:bCs/>
          <w:sz w:val="24"/>
          <w:szCs w:val="24"/>
        </w:rPr>
      </w:pPr>
      <w:r>
        <w:rPr>
          <w:rFonts w:hint="eastAsia" w:ascii="宋体" w:hAnsi="宋体" w:cs="宋体"/>
          <w:bCs/>
          <w:sz w:val="24"/>
          <w:szCs w:val="24"/>
          <w:lang w:bidi="ar"/>
        </w:rPr>
        <w:t>2、交货地点：甲方指定。</w:t>
      </w:r>
    </w:p>
    <w:p w14:paraId="08B092F9">
      <w:pPr>
        <w:rPr>
          <w:rFonts w:hint="eastAsia" w:ascii="宋体" w:hAnsi="宋体" w:cs="宋体"/>
          <w:bCs/>
          <w:sz w:val="24"/>
          <w:szCs w:val="24"/>
          <w:lang w:bidi="ar"/>
        </w:rPr>
      </w:pPr>
      <w:r>
        <w:rPr>
          <w:rFonts w:hint="eastAsia" w:ascii="宋体" w:hAnsi="宋体" w:cs="宋体"/>
          <w:bCs/>
          <w:sz w:val="24"/>
          <w:szCs w:val="24"/>
          <w:lang w:bidi="ar"/>
        </w:rPr>
        <w:t>3、</w:t>
      </w:r>
      <w:bookmarkStart w:id="82" w:name="tip_risk_bookmark_9"/>
      <w:r>
        <w:rPr>
          <w:rFonts w:hint="eastAsia" w:ascii="宋体" w:hAnsi="宋体" w:cs="宋体"/>
          <w:bCs/>
          <w:sz w:val="24"/>
          <w:szCs w:val="24"/>
          <w:lang w:bidi="ar"/>
        </w:rPr>
        <w:t>保修期：自甲方书面验收合格之日起，提供整机原厂保修服务</w:t>
      </w:r>
      <w:r>
        <w:rPr>
          <w:rFonts w:hint="eastAsia" w:ascii="宋体" w:hAnsi="宋体" w:cs="宋体"/>
          <w:bCs/>
          <w:sz w:val="24"/>
          <w:szCs w:val="24"/>
          <w:u w:val="single"/>
          <w:lang w:bidi="ar"/>
        </w:rPr>
        <w:t xml:space="preserve">     </w:t>
      </w:r>
      <w:r>
        <w:rPr>
          <w:rFonts w:hint="eastAsia" w:ascii="宋体" w:hAnsi="宋体" w:cs="宋体"/>
          <w:bCs/>
          <w:sz w:val="24"/>
          <w:szCs w:val="24"/>
          <w:lang w:bidi="ar"/>
        </w:rPr>
        <w:t>年，乙方承担保修期内设备任何故障产生的费用</w:t>
      </w:r>
      <w:bookmarkEnd w:id="81"/>
      <w:bookmarkEnd w:id="82"/>
      <w:r>
        <w:rPr>
          <w:rFonts w:hint="eastAsia" w:ascii="宋体" w:hAnsi="宋体" w:cs="宋体"/>
          <w:bCs/>
          <w:sz w:val="24"/>
          <w:szCs w:val="24"/>
          <w:lang w:bidi="ar"/>
        </w:rPr>
        <w:t>。若设备原厂标准保修期长于本合同约定年限的，按原厂更长保修期限执行。</w:t>
      </w:r>
    </w:p>
    <w:p w14:paraId="79031A98">
      <w:pPr>
        <w:rPr>
          <w:rFonts w:hint="eastAsia" w:ascii="宋体" w:hAnsi="宋体" w:cs="宋体"/>
          <w:bCs/>
          <w:sz w:val="24"/>
          <w:szCs w:val="24"/>
          <w:lang w:bidi="ar"/>
        </w:rPr>
      </w:pPr>
      <w:r>
        <w:rPr>
          <w:rFonts w:hint="eastAsia" w:ascii="宋体" w:hAnsi="宋体" w:cs="宋体"/>
          <w:bCs/>
          <w:sz w:val="24"/>
          <w:szCs w:val="24"/>
          <w:lang w:bidi="ar"/>
        </w:rPr>
        <w:t>4.风险承担：标的物在运输、装卸、仓储、安装、调试及试运行期间的全部风险（包括但不限于灭失、损毁、丢失、被盗、损坏等）均由乙方承担，甲方不承担任何责任。标的物的风险自甲方最终书面验收合格并签署验收报告之日起转移至甲方。如因乙方原因导致标的物灭失、损毁、丢失、损坏等，甲方有权要求乙方在3日内无条件免费修复、更换或重新交付，且不影响甲方的验收、付款及其他权利。</w:t>
      </w:r>
    </w:p>
    <w:p w14:paraId="072025A5">
      <w:pPr>
        <w:rPr>
          <w:rFonts w:hint="eastAsia" w:ascii="宋体" w:hAnsi="宋体" w:cs="宋体"/>
          <w:bCs/>
          <w:color w:val="FF0000"/>
          <w:sz w:val="24"/>
          <w:szCs w:val="24"/>
          <w:lang w:bidi="ar"/>
        </w:rPr>
      </w:pPr>
      <w:r>
        <w:rPr>
          <w:rFonts w:hint="eastAsia" w:ascii="宋体" w:hAnsi="宋体" w:cs="宋体"/>
          <w:bCs/>
          <w:sz w:val="24"/>
          <w:szCs w:val="24"/>
          <w:lang w:bidi="ar"/>
        </w:rPr>
        <w:t>五、售后服务：详见附件，需涵盖以下条款</w:t>
      </w:r>
      <w:bookmarkStart w:id="83" w:name="auto_fouce_10"/>
    </w:p>
    <w:bookmarkEnd w:id="83"/>
    <w:p w14:paraId="7750D81F">
      <w:pPr>
        <w:rPr>
          <w:rFonts w:hint="eastAsia" w:ascii="宋体" w:hAnsi="宋体" w:cs="宋体"/>
          <w:bCs/>
          <w:sz w:val="24"/>
          <w:szCs w:val="24"/>
        </w:rPr>
      </w:pPr>
      <w:r>
        <w:rPr>
          <w:rFonts w:hint="eastAsia" w:ascii="宋体" w:hAnsi="宋体" w:cs="宋体"/>
          <w:bCs/>
          <w:sz w:val="24"/>
          <w:szCs w:val="24"/>
          <w:lang w:bidi="ar"/>
        </w:rPr>
        <w:t>1、保修期间，乙方需提供免费的维修及零配件更换，提供整机及增配设备原厂（免费）保修服务；在甲方发出要求服务通知的24小时内，乙方指派的服务人员必须到达用户方现场，对设备出现的较大的问题，解决时间不超过3个日历日。</w:t>
      </w:r>
    </w:p>
    <w:p w14:paraId="73800B67">
      <w:pPr>
        <w:rPr>
          <w:rFonts w:hint="eastAsia" w:ascii="宋体" w:hAnsi="宋体" w:cs="宋体"/>
          <w:bCs/>
          <w:sz w:val="24"/>
          <w:szCs w:val="24"/>
        </w:rPr>
      </w:pPr>
      <w:r>
        <w:rPr>
          <w:rFonts w:hint="eastAsia" w:ascii="宋体" w:hAnsi="宋体" w:cs="宋体"/>
          <w:bCs/>
          <w:sz w:val="24"/>
          <w:szCs w:val="24"/>
          <w:lang w:bidi="ar"/>
        </w:rPr>
        <w:t>2、</w:t>
      </w:r>
      <w:bookmarkStart w:id="84" w:name="auto_fouce_11"/>
      <w:r>
        <w:rPr>
          <w:rFonts w:hint="eastAsia" w:ascii="宋体" w:hAnsi="宋体" w:cs="宋体"/>
          <w:bCs/>
          <w:sz w:val="24"/>
          <w:szCs w:val="24"/>
          <w:lang w:bidi="ar"/>
        </w:rPr>
        <w:t>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bookmarkEnd w:id="84"/>
    </w:p>
    <w:p w14:paraId="12426F39">
      <w:pPr>
        <w:rPr>
          <w:rFonts w:hint="eastAsia" w:ascii="宋体" w:hAnsi="宋体" w:cs="宋体"/>
          <w:bCs/>
          <w:sz w:val="24"/>
          <w:szCs w:val="24"/>
        </w:rPr>
      </w:pPr>
      <w:r>
        <w:rPr>
          <w:rFonts w:hint="eastAsia" w:ascii="宋体" w:hAnsi="宋体" w:cs="宋体"/>
          <w:bCs/>
          <w:sz w:val="24"/>
          <w:szCs w:val="24"/>
          <w:lang w:bidi="ar"/>
        </w:rPr>
        <w:t>3、设备如出现故障，乙方二小时内回应，二十四小时内排除故障，如未能在24小时内解决处理的，应向甲方提供同类型的应急代用设备，如相同的事故出现两次将无偿更换新机或退回甲方货款。</w:t>
      </w:r>
    </w:p>
    <w:p w14:paraId="19B19A7A">
      <w:pPr>
        <w:rPr>
          <w:rFonts w:hint="eastAsia" w:ascii="宋体" w:hAnsi="宋体" w:cs="宋体"/>
          <w:bCs/>
          <w:sz w:val="24"/>
          <w:szCs w:val="24"/>
        </w:rPr>
      </w:pPr>
      <w:r>
        <w:rPr>
          <w:rFonts w:hint="eastAsia" w:ascii="宋体" w:hAnsi="宋体" w:cs="宋体"/>
          <w:bCs/>
          <w:sz w:val="24"/>
          <w:szCs w:val="24"/>
          <w:lang w:bidi="ar"/>
        </w:rPr>
        <w:t>4、如设备维修调试后达不到合同或招投标文件规定的质量或技术指标要求，甲方有权提出退货，并要求乙方退回货款。</w:t>
      </w:r>
    </w:p>
    <w:p w14:paraId="4D7FF9B6">
      <w:pPr>
        <w:rPr>
          <w:rFonts w:hint="eastAsia" w:ascii="宋体" w:hAnsi="宋体" w:cs="宋体"/>
          <w:bCs/>
          <w:sz w:val="24"/>
          <w:szCs w:val="24"/>
        </w:rPr>
      </w:pPr>
      <w:r>
        <w:rPr>
          <w:rFonts w:hint="eastAsia" w:ascii="宋体" w:hAnsi="宋体" w:cs="宋体"/>
          <w:bCs/>
          <w:sz w:val="24"/>
          <w:szCs w:val="24"/>
          <w:lang w:bidi="ar"/>
        </w:rPr>
        <w:t>5、乙方接到甲方通知后未依照约定时间到场提供维修（包括零配件更换）保养等售后服务的，甲方有权另行聘请专业人员进行维修处理，产生的合理费用在质量保函中予以扣除，不足部分，乙方应予以补足。乙方不得以此为由拒绝承担后续保修义务。</w:t>
      </w:r>
    </w:p>
    <w:p w14:paraId="419B8838">
      <w:pPr>
        <w:rPr>
          <w:rFonts w:hint="eastAsia" w:ascii="宋体" w:hAnsi="宋体" w:cs="宋体"/>
          <w:bCs/>
          <w:sz w:val="24"/>
          <w:szCs w:val="24"/>
        </w:rPr>
      </w:pPr>
      <w:r>
        <w:rPr>
          <w:rFonts w:hint="eastAsia" w:ascii="宋体" w:hAnsi="宋体" w:cs="宋体"/>
          <w:bCs/>
          <w:sz w:val="24"/>
          <w:szCs w:val="24"/>
          <w:lang w:bidi="ar"/>
        </w:rPr>
        <w:t>6、乙方应当按照附件及本约定履行售后服务义务，附件与本约定不一致的，以本约定为准。</w:t>
      </w:r>
    </w:p>
    <w:p w14:paraId="06C5A2AA">
      <w:pPr>
        <w:rPr>
          <w:rFonts w:hint="eastAsia" w:ascii="宋体" w:hAnsi="宋体" w:cs="宋体"/>
          <w:bCs/>
          <w:sz w:val="24"/>
          <w:szCs w:val="24"/>
        </w:rPr>
      </w:pPr>
      <w:r>
        <w:rPr>
          <w:rFonts w:hint="eastAsia" w:ascii="宋体" w:hAnsi="宋体" w:cs="宋体"/>
          <w:bCs/>
          <w:sz w:val="24"/>
          <w:szCs w:val="24"/>
          <w:lang w:bidi="ar"/>
        </w:rPr>
        <w:t>六、付款方式：</w:t>
      </w:r>
    </w:p>
    <w:p w14:paraId="66FE10D3">
      <w:pPr>
        <w:pStyle w:val="18"/>
        <w:spacing w:line="288" w:lineRule="auto"/>
        <w:ind w:left="0" w:firstLine="0"/>
        <w:rPr>
          <w:rFonts w:hint="eastAsia" w:ascii="宋体" w:hAnsi="宋体" w:cs="宋体"/>
          <w:sz w:val="24"/>
          <w:szCs w:val="24"/>
        </w:rPr>
      </w:pPr>
      <w:r>
        <w:rPr>
          <w:rFonts w:hint="eastAsia" w:ascii="宋体" w:hAnsi="宋体" w:cs="宋体"/>
          <w:sz w:val="24"/>
          <w:szCs w:val="24"/>
        </w:rPr>
        <w:t>1.第一条 货款支付方式及节点</w:t>
      </w:r>
    </w:p>
    <w:p w14:paraId="3BD849EA">
      <w:pPr>
        <w:pStyle w:val="18"/>
        <w:spacing w:line="288" w:lineRule="auto"/>
        <w:ind w:left="0" w:firstLine="0"/>
        <w:rPr>
          <w:rFonts w:hint="eastAsia" w:ascii="宋体" w:hAnsi="宋体" w:cs="宋体"/>
          <w:sz w:val="24"/>
          <w:szCs w:val="24"/>
        </w:rPr>
      </w:pPr>
      <w:r>
        <w:rPr>
          <w:rFonts w:hint="eastAsia" w:ascii="宋体" w:hAnsi="宋体" w:cs="宋体"/>
          <w:sz w:val="24"/>
          <w:szCs w:val="24"/>
        </w:rPr>
        <w:t xml:space="preserve">1.1 </w:t>
      </w:r>
      <w:bookmarkStart w:id="85" w:name="auto_fouce_12"/>
      <w:r>
        <w:rPr>
          <w:rFonts w:hint="eastAsia" w:ascii="宋体" w:hAnsi="宋体" w:cs="宋体"/>
          <w:sz w:val="24"/>
          <w:szCs w:val="24"/>
        </w:rPr>
        <w:t>付款币种：本合同项下所有款项均以人民币支付，乙方不得要求其他币种，否则甲方有权拒付且不承担违约责任。</w:t>
      </w:r>
    </w:p>
    <w:p w14:paraId="739878FC">
      <w:pPr>
        <w:pStyle w:val="18"/>
        <w:spacing w:line="288" w:lineRule="auto"/>
        <w:ind w:left="0" w:firstLine="0"/>
        <w:rPr>
          <w:rFonts w:hint="eastAsia" w:ascii="宋体" w:hAnsi="宋体" w:cs="宋体"/>
          <w:sz w:val="24"/>
          <w:szCs w:val="24"/>
        </w:rPr>
      </w:pPr>
      <w:r>
        <w:rPr>
          <w:rFonts w:hint="eastAsia" w:ascii="宋体" w:hAnsi="宋体" w:cs="宋体"/>
          <w:sz w:val="24"/>
          <w:szCs w:val="24"/>
        </w:rPr>
        <w:t>1.2 付款进度及金额：</w:t>
      </w:r>
    </w:p>
    <w:p w14:paraId="3B6659BA">
      <w:pPr>
        <w:pStyle w:val="18"/>
        <w:spacing w:line="288" w:lineRule="auto"/>
        <w:ind w:left="0" w:firstLine="0"/>
        <w:rPr>
          <w:rFonts w:hint="eastAsia" w:ascii="宋体" w:hAnsi="宋体" w:cs="宋体"/>
          <w:sz w:val="24"/>
          <w:szCs w:val="24"/>
        </w:rPr>
      </w:pPr>
      <w:r>
        <w:rPr>
          <w:rFonts w:hint="eastAsia" w:ascii="宋体" w:hAnsi="宋体" w:cs="宋体"/>
          <w:sz w:val="24"/>
          <w:szCs w:val="24"/>
        </w:rPr>
        <w:t>（一）第一笔：合同签订后支付30%预付款，具体金额：大写：  元整（人民币），小写：￥   元。</w:t>
      </w:r>
    </w:p>
    <w:p w14:paraId="608D09E9">
      <w:pPr>
        <w:pStyle w:val="18"/>
        <w:spacing w:line="288" w:lineRule="auto"/>
        <w:ind w:left="0" w:firstLine="0"/>
        <w:rPr>
          <w:rFonts w:hint="eastAsia" w:ascii="宋体" w:hAnsi="宋体" w:cs="宋体"/>
          <w:sz w:val="24"/>
          <w:szCs w:val="24"/>
        </w:rPr>
      </w:pPr>
      <w:r>
        <w:rPr>
          <w:rFonts w:hint="eastAsia" w:ascii="宋体" w:hAnsi="宋体" w:cs="宋体"/>
          <w:sz w:val="24"/>
          <w:szCs w:val="24"/>
        </w:rPr>
        <w:t>（二）第二笔：合同生效后，设备到货、安装、调试经甲方书面验收合格后，甲方向乙方支付合同总金额的60％，具体金额：大写：  元整（人民币），小写：￥  元。验收不合格，甲方可暂缓付款、责令乙方整改，整改仍不合格的，甲方有权解除合同并追责。</w:t>
      </w:r>
    </w:p>
    <w:p w14:paraId="1DC22B94">
      <w:pPr>
        <w:pStyle w:val="18"/>
        <w:spacing w:line="288" w:lineRule="auto"/>
        <w:ind w:left="0" w:firstLine="0"/>
        <w:rPr>
          <w:rFonts w:hint="eastAsia" w:ascii="宋体" w:hAnsi="宋体" w:cs="宋体"/>
          <w:sz w:val="24"/>
          <w:szCs w:val="24"/>
        </w:rPr>
      </w:pPr>
      <w:r>
        <w:rPr>
          <w:rFonts w:hint="eastAsia" w:ascii="宋体" w:hAnsi="宋体" w:cs="宋体"/>
          <w:sz w:val="24"/>
          <w:szCs w:val="24"/>
        </w:rPr>
        <w:t>（三）第三笔：设备临床性能验收合格后，甲方向乙方支付合同总金额的10％，具体金额：大写：  元整（人民币），小写：￥   元。</w:t>
      </w:r>
    </w:p>
    <w:p w14:paraId="3D0E90E0">
      <w:pPr>
        <w:pStyle w:val="18"/>
        <w:spacing w:line="288" w:lineRule="auto"/>
        <w:ind w:left="0" w:firstLine="0"/>
        <w:rPr>
          <w:rFonts w:hint="eastAsia" w:ascii="宋体" w:hAnsi="宋体" w:cs="宋体"/>
          <w:sz w:val="24"/>
          <w:szCs w:val="24"/>
        </w:rPr>
      </w:pPr>
      <w:bookmarkStart w:id="86" w:name="auto_fouce_13"/>
      <w:r>
        <w:rPr>
          <w:rFonts w:hint="eastAsia" w:ascii="宋体" w:hAnsi="宋体" w:cs="宋体"/>
          <w:sz w:val="24"/>
          <w:szCs w:val="24"/>
        </w:rPr>
        <w:t>乙方申请支付第三笔货款前，须向甲方提供合同总金额10％的银行保函（无条件、不可撤销见索即付），保函有效期至少覆盖本合同约定的全部保修期届满后6个月，且至乙方无违约、无未结清纠纷时止，效力独立于本合同；乙方违约时，甲方可凭保函直接向银行索赔，不足部分可向乙方追偿。</w:t>
      </w:r>
      <w:bookmarkEnd w:id="85"/>
      <w:bookmarkEnd w:id="86"/>
    </w:p>
    <w:p w14:paraId="72D8BF7B">
      <w:pPr>
        <w:pStyle w:val="18"/>
        <w:spacing w:line="288" w:lineRule="auto"/>
        <w:ind w:left="0" w:firstLine="0"/>
        <w:rPr>
          <w:rFonts w:hint="eastAsia" w:ascii="宋体" w:hAnsi="宋体" w:cs="宋体"/>
          <w:sz w:val="24"/>
          <w:szCs w:val="24"/>
        </w:rPr>
      </w:pPr>
      <w:r>
        <w:rPr>
          <w:rFonts w:hint="eastAsia" w:ascii="宋体" w:hAnsi="宋体" w:cs="宋体"/>
          <w:sz w:val="24"/>
          <w:szCs w:val="24"/>
        </w:rPr>
        <w:t>其他</w:t>
      </w:r>
    </w:p>
    <w:p w14:paraId="0036D749">
      <w:pPr>
        <w:pStyle w:val="18"/>
        <w:spacing w:line="288" w:lineRule="auto"/>
        <w:ind w:left="0" w:firstLine="0"/>
        <w:rPr>
          <w:rFonts w:hint="eastAsia" w:ascii="宋体" w:hAnsi="宋体" w:cs="宋体"/>
          <w:color w:val="FF0000"/>
          <w:sz w:val="24"/>
          <w:szCs w:val="24"/>
        </w:rPr>
      </w:pPr>
      <w:r>
        <w:rPr>
          <w:rFonts w:hint="eastAsia" w:ascii="宋体" w:hAnsi="宋体" w:cs="宋体"/>
          <w:sz w:val="24"/>
          <w:szCs w:val="24"/>
        </w:rPr>
        <w:t>3.甲方支付上述任何一笔款项前，乙方应提供符合甲方财务做账要求的正规全额增值税发票，否则，甲方有权拒付款项且不承担违约责任。甲方办理完成款项支付的申请手续即视为完成付款义务（不含财政支付部门审核的时间）。如因财政资金的下达、拨付问题导致付款延迟的，不视为甲方违约，乙方不能据此追究甲方的违约责任。</w:t>
      </w:r>
      <w:bookmarkStart w:id="87" w:name="auto_fouce_14"/>
    </w:p>
    <w:bookmarkEnd w:id="87"/>
    <w:p w14:paraId="52EDB9E6">
      <w:pPr>
        <w:pStyle w:val="18"/>
        <w:spacing w:line="288" w:lineRule="auto"/>
        <w:ind w:left="0" w:firstLine="0"/>
        <w:rPr>
          <w:rFonts w:hint="eastAsia" w:ascii="宋体" w:hAnsi="宋体" w:cs="宋体"/>
          <w:sz w:val="24"/>
          <w:szCs w:val="24"/>
        </w:rPr>
      </w:pPr>
      <w:r>
        <w:rPr>
          <w:rFonts w:hint="eastAsia" w:ascii="宋体" w:hAnsi="宋体" w:cs="宋体"/>
          <w:sz w:val="24"/>
          <w:szCs w:val="24"/>
        </w:rPr>
        <w:t>4.甲方将上述款项支付至乙方指定的如下银行账户：</w:t>
      </w:r>
    </w:p>
    <w:p w14:paraId="0501971C">
      <w:pPr>
        <w:pStyle w:val="18"/>
        <w:spacing w:line="288" w:lineRule="auto"/>
        <w:ind w:left="0" w:firstLine="0"/>
        <w:rPr>
          <w:rFonts w:hint="eastAsia" w:ascii="宋体" w:hAnsi="宋体" w:cs="宋体"/>
          <w:sz w:val="24"/>
          <w:szCs w:val="24"/>
        </w:rPr>
      </w:pPr>
      <w:bookmarkStart w:id="88" w:name="tip_risk_bookmark_15"/>
      <w:r>
        <w:rPr>
          <w:rFonts w:hint="eastAsia" w:ascii="宋体" w:hAnsi="宋体" w:cs="宋体"/>
          <w:sz w:val="24"/>
          <w:szCs w:val="24"/>
        </w:rPr>
        <w:t>开户行：</w:t>
      </w:r>
    </w:p>
    <w:p w14:paraId="290EB3E9">
      <w:pPr>
        <w:pStyle w:val="18"/>
        <w:spacing w:line="288" w:lineRule="auto"/>
        <w:ind w:left="0" w:firstLine="0"/>
        <w:rPr>
          <w:rFonts w:hint="eastAsia" w:ascii="宋体" w:hAnsi="宋体" w:cs="宋体"/>
          <w:sz w:val="24"/>
          <w:szCs w:val="24"/>
        </w:rPr>
      </w:pPr>
      <w:r>
        <w:rPr>
          <w:rFonts w:hint="eastAsia" w:ascii="宋体" w:hAnsi="宋体" w:cs="宋体"/>
          <w:sz w:val="24"/>
          <w:szCs w:val="24"/>
        </w:rPr>
        <w:t>账户名称：</w:t>
      </w:r>
    </w:p>
    <w:p w14:paraId="3418C7F7">
      <w:pPr>
        <w:pStyle w:val="18"/>
        <w:spacing w:line="288" w:lineRule="auto"/>
        <w:ind w:left="0" w:firstLine="0"/>
        <w:rPr>
          <w:rFonts w:hint="eastAsia" w:ascii="宋体" w:hAnsi="宋体" w:cs="宋体"/>
          <w:sz w:val="24"/>
          <w:szCs w:val="24"/>
        </w:rPr>
      </w:pPr>
      <w:r>
        <w:rPr>
          <w:rFonts w:hint="eastAsia" w:ascii="宋体" w:hAnsi="宋体" w:cs="宋体"/>
          <w:sz w:val="24"/>
          <w:szCs w:val="24"/>
        </w:rPr>
        <w:t>银行账号：</w:t>
      </w:r>
      <w:bookmarkEnd w:id="88"/>
    </w:p>
    <w:p w14:paraId="35BC0BCC">
      <w:pPr>
        <w:pStyle w:val="18"/>
        <w:spacing w:line="288" w:lineRule="auto"/>
        <w:ind w:left="0" w:firstLine="0"/>
        <w:rPr>
          <w:rFonts w:hint="eastAsia" w:ascii="宋体" w:hAnsi="宋体" w:cs="宋体"/>
          <w:sz w:val="24"/>
          <w:szCs w:val="24"/>
        </w:rPr>
      </w:pPr>
      <w:r>
        <w:rPr>
          <w:rFonts w:hint="eastAsia" w:ascii="宋体" w:hAnsi="宋体" w:cs="宋体"/>
          <w:sz w:val="24"/>
          <w:szCs w:val="24"/>
        </w:rPr>
        <w:t>乙方对上述账户信息的准确性和可用性承担全部责任。</w:t>
      </w:r>
    </w:p>
    <w:p w14:paraId="0A1D6C60">
      <w:pPr>
        <w:pStyle w:val="18"/>
        <w:spacing w:line="288" w:lineRule="auto"/>
        <w:ind w:left="0" w:firstLine="0"/>
        <w:rPr>
          <w:rFonts w:hint="eastAsia" w:ascii="宋体" w:hAnsi="宋体" w:cs="宋体"/>
          <w:sz w:val="24"/>
          <w:szCs w:val="24"/>
        </w:rPr>
      </w:pPr>
      <w:r>
        <w:rPr>
          <w:rFonts w:hint="eastAsia" w:ascii="宋体" w:hAnsi="宋体" w:cs="宋体"/>
          <w:sz w:val="24"/>
          <w:szCs w:val="24"/>
        </w:rPr>
        <w:t>第二条 保函要求</w:t>
      </w:r>
    </w:p>
    <w:p w14:paraId="25D35B7E">
      <w:pPr>
        <w:pStyle w:val="18"/>
        <w:spacing w:line="288" w:lineRule="auto"/>
        <w:ind w:left="0" w:firstLine="0"/>
        <w:rPr>
          <w:rFonts w:hint="eastAsia" w:ascii="宋体" w:hAnsi="宋体" w:cs="宋体"/>
          <w:sz w:val="24"/>
          <w:szCs w:val="24"/>
        </w:rPr>
      </w:pPr>
      <w:r>
        <w:rPr>
          <w:rFonts w:hint="eastAsia" w:ascii="宋体" w:hAnsi="宋体" w:cs="宋体"/>
          <w:sz w:val="24"/>
          <w:szCs w:val="24"/>
        </w:rPr>
        <w:t>（一）</w:t>
      </w:r>
      <w:bookmarkStart w:id="89" w:name="auto_fouce_16"/>
      <w:r>
        <w:rPr>
          <w:rFonts w:hint="eastAsia" w:ascii="宋体" w:hAnsi="宋体" w:cs="宋体"/>
          <w:sz w:val="24"/>
          <w:szCs w:val="24"/>
        </w:rPr>
        <w:t>保函性质：乙方提供的银行保函须为无条件、不可撤销见索即付保函，独立于本合同，条款及格式须经甲方律师审核通过，符合相关法律规定。</w:t>
      </w:r>
    </w:p>
    <w:p w14:paraId="3869C897">
      <w:pPr>
        <w:pStyle w:val="18"/>
        <w:spacing w:line="288" w:lineRule="auto"/>
        <w:ind w:left="0" w:firstLine="0"/>
        <w:rPr>
          <w:rFonts w:hint="eastAsia" w:ascii="宋体" w:hAnsi="宋体" w:cs="宋体"/>
          <w:sz w:val="24"/>
          <w:szCs w:val="24"/>
        </w:rPr>
      </w:pPr>
      <w:r>
        <w:rPr>
          <w:rFonts w:hint="eastAsia" w:ascii="宋体" w:hAnsi="宋体" w:cs="宋体"/>
          <w:sz w:val="24"/>
          <w:szCs w:val="24"/>
        </w:rPr>
        <w:t>（二）核心条款：保函须包含以下条款，缺失则甲方有权拒收并暂缓付款：</w:t>
      </w:r>
    </w:p>
    <w:p w14:paraId="4D411E33">
      <w:pPr>
        <w:pStyle w:val="18"/>
        <w:spacing w:line="288" w:lineRule="auto"/>
        <w:ind w:left="0" w:firstLine="0"/>
        <w:rPr>
          <w:rFonts w:hint="eastAsia" w:ascii="宋体" w:hAnsi="宋体" w:cs="宋体"/>
          <w:sz w:val="24"/>
          <w:szCs w:val="24"/>
        </w:rPr>
      </w:pPr>
      <w:r>
        <w:rPr>
          <w:rFonts w:hint="eastAsia" w:ascii="宋体" w:hAnsi="宋体" w:cs="宋体"/>
          <w:sz w:val="24"/>
          <w:szCs w:val="24"/>
        </w:rPr>
        <w:t>（1）赔付触发：乙方违约时，甲方提交书面申请及简单单据即可索赔，银行须在5个工作日内无条件足额赔付，不得拒付或拖延。</w:t>
      </w:r>
    </w:p>
    <w:p w14:paraId="56306018">
      <w:pPr>
        <w:pStyle w:val="18"/>
        <w:spacing w:line="288" w:lineRule="auto"/>
        <w:ind w:left="0" w:firstLine="0"/>
        <w:rPr>
          <w:rFonts w:hint="eastAsia" w:ascii="宋体" w:hAnsi="宋体" w:cs="宋体"/>
          <w:sz w:val="24"/>
          <w:szCs w:val="24"/>
        </w:rPr>
      </w:pPr>
      <w:r>
        <w:rPr>
          <w:rFonts w:hint="eastAsia" w:ascii="宋体" w:hAnsi="宋体" w:cs="宋体"/>
          <w:sz w:val="24"/>
          <w:szCs w:val="24"/>
        </w:rPr>
        <w:t>（2）赔付金额：以合同约定违约金或甲方实际损失较高者为准，不超过保函最高金额。</w:t>
      </w:r>
    </w:p>
    <w:p w14:paraId="18E36332">
      <w:pPr>
        <w:pStyle w:val="18"/>
        <w:spacing w:line="288" w:lineRule="auto"/>
        <w:ind w:left="0" w:firstLine="0"/>
        <w:rPr>
          <w:rFonts w:hint="eastAsia" w:ascii="宋体" w:hAnsi="宋体" w:cs="宋体"/>
          <w:sz w:val="24"/>
          <w:szCs w:val="24"/>
        </w:rPr>
      </w:pPr>
      <w:r>
        <w:rPr>
          <w:rFonts w:hint="eastAsia" w:ascii="宋体" w:hAnsi="宋体" w:cs="宋体"/>
          <w:sz w:val="24"/>
          <w:szCs w:val="24"/>
        </w:rPr>
        <w:t>（3）银行资质：开具银行须资质良好、无不良赔付记录，银行拒付或无履约能力的，由乙方承担全部责任，甲方有权追责。</w:t>
      </w:r>
    </w:p>
    <w:p w14:paraId="66612CE9">
      <w:pPr>
        <w:rPr>
          <w:rFonts w:hint="eastAsia" w:ascii="宋体" w:hAnsi="宋体" w:cs="宋体"/>
          <w:sz w:val="24"/>
          <w:szCs w:val="24"/>
        </w:rPr>
      </w:pPr>
      <w:r>
        <w:rPr>
          <w:rFonts w:hint="eastAsia" w:ascii="宋体" w:hAnsi="宋体" w:cs="宋体"/>
          <w:sz w:val="24"/>
          <w:szCs w:val="24"/>
        </w:rPr>
        <w:t>（三）保函交付：乙方须在保函出具后3个工作日内提交原件存档，保函不符合约定的，甲方可暂缓付款，乙方须限期重开，否则视为根本违约。</w:t>
      </w:r>
      <w:bookmarkEnd w:id="89"/>
    </w:p>
    <w:p w14:paraId="3904C5E1">
      <w:pPr>
        <w:rPr>
          <w:rFonts w:hint="eastAsia" w:ascii="宋体" w:hAnsi="宋体" w:cs="宋体"/>
          <w:bCs/>
          <w:sz w:val="24"/>
          <w:szCs w:val="24"/>
        </w:rPr>
      </w:pPr>
      <w:r>
        <w:rPr>
          <w:rFonts w:hint="eastAsia" w:ascii="宋体" w:hAnsi="宋体" w:cs="宋体"/>
          <w:bCs/>
          <w:sz w:val="24"/>
          <w:szCs w:val="24"/>
          <w:lang w:bidi="ar"/>
        </w:rPr>
        <w:t>七、包装标准：</w:t>
      </w:r>
    </w:p>
    <w:p w14:paraId="07281D69">
      <w:pPr>
        <w:rPr>
          <w:rFonts w:hint="eastAsia" w:ascii="宋体" w:hAnsi="宋体" w:cs="宋体"/>
          <w:bCs/>
          <w:sz w:val="24"/>
          <w:szCs w:val="24"/>
        </w:rPr>
      </w:pPr>
      <w:r>
        <w:rPr>
          <w:rFonts w:hint="eastAsia" w:ascii="宋体" w:hAnsi="宋体" w:cs="宋体"/>
          <w:bCs/>
          <w:sz w:val="24"/>
          <w:szCs w:val="24"/>
          <w:lang w:bidi="ar"/>
        </w:rPr>
        <w:t>1、乙方提供的全部标的物须采用相应标准的保护措施进行包装。这种包装应适于航空、海运和内陆运输，并有良好的防潮、防震、防锈和防野蛮装卸的保护措施，以确保标的物安全运抵交货地点。</w:t>
      </w:r>
    </w:p>
    <w:p w14:paraId="28FD025D">
      <w:pPr>
        <w:rPr>
          <w:rFonts w:hint="eastAsia" w:ascii="宋体" w:hAnsi="宋体" w:cs="宋体"/>
          <w:bCs/>
          <w:sz w:val="24"/>
          <w:szCs w:val="24"/>
        </w:rPr>
      </w:pPr>
      <w:r>
        <w:rPr>
          <w:rFonts w:hint="eastAsia" w:ascii="宋体" w:hAnsi="宋体" w:cs="宋体"/>
          <w:bCs/>
          <w:sz w:val="24"/>
          <w:szCs w:val="24"/>
          <w:lang w:bidi="ar"/>
        </w:rPr>
        <w:t>2、由于乙方包装或其防护措施不妥而引起标的物锈蚀、损坏和丢失的任何损失的责任或费用由乙方承担。</w:t>
      </w:r>
    </w:p>
    <w:p w14:paraId="0D506CA0">
      <w:pPr>
        <w:rPr>
          <w:rFonts w:hint="eastAsia" w:ascii="宋体" w:hAnsi="宋体" w:cs="宋体"/>
          <w:bCs/>
          <w:sz w:val="24"/>
          <w:szCs w:val="24"/>
        </w:rPr>
      </w:pPr>
      <w:r>
        <w:rPr>
          <w:rFonts w:hint="eastAsia" w:ascii="宋体" w:hAnsi="宋体" w:cs="宋体"/>
          <w:bCs/>
          <w:sz w:val="24"/>
          <w:szCs w:val="24"/>
          <w:lang w:bidi="ar"/>
        </w:rPr>
        <w:t>3、除双方特殊约定以外，乙方提供的包装物费用包括在本合同总价中。</w:t>
      </w:r>
    </w:p>
    <w:p w14:paraId="6163EA80">
      <w:pPr>
        <w:rPr>
          <w:rFonts w:hint="eastAsia" w:ascii="宋体" w:hAnsi="宋体" w:cs="宋体"/>
          <w:bCs/>
          <w:sz w:val="24"/>
          <w:szCs w:val="24"/>
        </w:rPr>
      </w:pPr>
      <w:r>
        <w:rPr>
          <w:rFonts w:hint="eastAsia" w:ascii="宋体" w:hAnsi="宋体" w:cs="宋体"/>
          <w:bCs/>
          <w:sz w:val="24"/>
          <w:szCs w:val="24"/>
          <w:lang w:bidi="ar"/>
        </w:rPr>
        <w:t>4、</w:t>
      </w:r>
      <w:bookmarkStart w:id="90" w:name="auto_fouce_17"/>
      <w:r>
        <w:rPr>
          <w:rFonts w:hint="eastAsia" w:ascii="宋体" w:hAnsi="宋体" w:cs="宋体"/>
          <w:bCs/>
          <w:sz w:val="24"/>
          <w:szCs w:val="24"/>
          <w:lang w:bidi="ar"/>
        </w:rPr>
        <w:t>乙方负责将送至甲方指定地点的设备包装物从甲方工作场所中清除出去，不得给甲方工作人员或环境造成影响，否则甲方有权自行委托第三方清理，产生的全部费用由乙方承担，若造成甲方损失的，乙方还应全额赔偿。</w:t>
      </w:r>
      <w:bookmarkEnd w:id="90"/>
    </w:p>
    <w:p w14:paraId="51280911">
      <w:pPr>
        <w:rPr>
          <w:rFonts w:hint="eastAsia" w:ascii="宋体" w:hAnsi="宋体" w:cs="宋体"/>
          <w:bCs/>
          <w:sz w:val="24"/>
          <w:szCs w:val="24"/>
        </w:rPr>
      </w:pPr>
      <w:r>
        <w:rPr>
          <w:rFonts w:hint="eastAsia" w:ascii="宋体" w:hAnsi="宋体" w:cs="宋体"/>
          <w:bCs/>
          <w:sz w:val="24"/>
          <w:szCs w:val="24"/>
          <w:lang w:bidi="ar"/>
        </w:rPr>
        <w:t>5、标的物在运输途中的安全问题均由乙方负责，在交货过程中，发生意外事故和故障损失，如撞、刮、裂、损等均由乙方承担责任；</w:t>
      </w:r>
    </w:p>
    <w:p w14:paraId="07F09F7B">
      <w:pPr>
        <w:rPr>
          <w:rFonts w:hint="eastAsia" w:ascii="宋体" w:hAnsi="宋体" w:cs="宋体"/>
          <w:bCs/>
          <w:sz w:val="24"/>
          <w:szCs w:val="24"/>
          <w:lang w:bidi="ar"/>
        </w:rPr>
      </w:pPr>
      <w:r>
        <w:rPr>
          <w:rFonts w:hint="eastAsia" w:ascii="宋体" w:hAnsi="宋体" w:cs="宋体"/>
          <w:bCs/>
          <w:sz w:val="24"/>
          <w:szCs w:val="24"/>
          <w:lang w:bidi="ar"/>
        </w:rPr>
        <w:t>八、</w:t>
      </w:r>
      <w:bookmarkStart w:id="91" w:name="auto_fouce_18"/>
      <w:r>
        <w:rPr>
          <w:rFonts w:hint="eastAsia" w:ascii="宋体" w:hAnsi="宋体" w:cs="宋体"/>
          <w:bCs/>
          <w:sz w:val="24"/>
          <w:szCs w:val="24"/>
          <w:lang w:bidi="ar"/>
        </w:rPr>
        <w:t>技术资料：乙方负责提供标的物详细的中文版说明书、使用手册、维修手册及电路原理图等一切与该标的物的安装、维修、保养有关的技术图纸及文字资料。否则，甲方有权不予付款且不承担违约责任。乙方应同时提供该标的物彩页资料和公司、产品资质，并承担由此发生的全部费用。</w:t>
      </w:r>
    </w:p>
    <w:bookmarkEnd w:id="91"/>
    <w:p w14:paraId="3522DE0B">
      <w:pPr>
        <w:rPr>
          <w:rFonts w:hint="eastAsia" w:ascii="宋体" w:hAnsi="宋体" w:cs="宋体"/>
          <w:bCs/>
          <w:sz w:val="24"/>
          <w:szCs w:val="24"/>
        </w:rPr>
      </w:pPr>
      <w:r>
        <w:rPr>
          <w:rFonts w:hint="eastAsia" w:ascii="宋体" w:hAnsi="宋体" w:cs="宋体"/>
          <w:bCs/>
          <w:sz w:val="24"/>
          <w:szCs w:val="24"/>
          <w:lang w:bidi="ar"/>
        </w:rPr>
        <w:t>九、安装调试及试运行：</w:t>
      </w:r>
    </w:p>
    <w:p w14:paraId="15AD13DB">
      <w:pPr>
        <w:rPr>
          <w:rFonts w:hint="eastAsia" w:ascii="宋体" w:hAnsi="宋体" w:cs="宋体"/>
          <w:bCs/>
          <w:sz w:val="24"/>
          <w:szCs w:val="24"/>
        </w:rPr>
      </w:pPr>
      <w:r>
        <w:rPr>
          <w:rFonts w:hint="eastAsia" w:ascii="宋体" w:hAnsi="宋体" w:cs="宋体"/>
          <w:bCs/>
          <w:sz w:val="24"/>
          <w:szCs w:val="24"/>
          <w:lang w:bidi="ar"/>
        </w:rPr>
        <w:t>1、乙方必须在合同签订后1周内将所有的安装调试条件、需甲方配合的事项以书面方式通知甲方；</w:t>
      </w:r>
    </w:p>
    <w:p w14:paraId="2BDF7374">
      <w:pPr>
        <w:rPr>
          <w:rFonts w:hint="eastAsia" w:ascii="宋体" w:hAnsi="宋体" w:cs="宋体"/>
          <w:bCs/>
          <w:sz w:val="24"/>
          <w:szCs w:val="24"/>
        </w:rPr>
      </w:pPr>
      <w:r>
        <w:rPr>
          <w:rFonts w:hint="eastAsia" w:ascii="宋体" w:hAnsi="宋体" w:cs="宋体"/>
          <w:bCs/>
          <w:sz w:val="24"/>
          <w:szCs w:val="24"/>
          <w:lang w:bidi="ar"/>
        </w:rPr>
        <w:t xml:space="preserve">2、乙方负责标的物的包装、运送、安装、调试、技术协助、校准、培训以及其他类似等工作，直至该标的物可以正常试运行。 </w:t>
      </w:r>
    </w:p>
    <w:p w14:paraId="365CFA24">
      <w:pPr>
        <w:rPr>
          <w:rFonts w:hint="eastAsia" w:ascii="宋体" w:hAnsi="宋体" w:cs="宋体"/>
          <w:bCs/>
          <w:sz w:val="24"/>
          <w:szCs w:val="24"/>
        </w:rPr>
      </w:pPr>
      <w:r>
        <w:rPr>
          <w:rFonts w:hint="eastAsia" w:ascii="宋体" w:hAnsi="宋体" w:cs="宋体"/>
          <w:bCs/>
          <w:sz w:val="24"/>
          <w:szCs w:val="24"/>
          <w:lang w:bidi="ar"/>
        </w:rPr>
        <w:t>3、乙方应指派专业的技术人员对甲方的设备维修人员及使用人员进行免费培训，确保维修人员能对设备进行日常维护和一般性故障的查找及故障的排除，确保使用人员能够熟练掌握设备的各项功能和操作，且上述费用已包含在合同总价中，甲方不再另行支付。</w:t>
      </w:r>
    </w:p>
    <w:p w14:paraId="27F4F81E">
      <w:pPr>
        <w:rPr>
          <w:rFonts w:hint="eastAsia" w:ascii="宋体" w:hAnsi="宋体" w:cs="宋体"/>
          <w:bCs/>
          <w:sz w:val="24"/>
          <w:szCs w:val="24"/>
          <w:lang w:bidi="ar"/>
        </w:rPr>
      </w:pPr>
      <w:r>
        <w:rPr>
          <w:rFonts w:hint="eastAsia" w:ascii="宋体" w:hAnsi="宋体" w:cs="宋体"/>
          <w:bCs/>
          <w:sz w:val="24"/>
          <w:szCs w:val="24"/>
          <w:lang w:bidi="ar"/>
        </w:rPr>
        <w:t>4、</w:t>
      </w:r>
      <w:bookmarkStart w:id="92" w:name="auto_fouce_19"/>
      <w:r>
        <w:rPr>
          <w:rFonts w:hint="eastAsia" w:ascii="宋体" w:hAnsi="宋体" w:cs="宋体"/>
          <w:bCs/>
          <w:sz w:val="24"/>
          <w:szCs w:val="24"/>
          <w:lang w:bidi="ar"/>
        </w:rPr>
        <w:t>在安装调试期间，因物件发生的事故及造成任何人身伤亡，由乙方承担全部责任。</w:t>
      </w:r>
      <w:bookmarkEnd w:id="92"/>
      <w:r>
        <w:rPr>
          <w:rFonts w:hint="eastAsia" w:ascii="宋体" w:hAnsi="宋体" w:cs="宋体"/>
          <w:bCs/>
          <w:sz w:val="24"/>
          <w:szCs w:val="24"/>
          <w:lang w:bidi="ar"/>
        </w:rPr>
        <w:br w:type="textWrapping"/>
      </w:r>
      <w:r>
        <w:rPr>
          <w:rFonts w:hint="eastAsia" w:ascii="宋体" w:hAnsi="宋体" w:cs="宋体"/>
          <w:bCs/>
          <w:sz w:val="24"/>
          <w:szCs w:val="24"/>
          <w:lang w:bidi="ar"/>
        </w:rPr>
        <w:t>5、对于合同单价金额不超过50万元的设备，其试运行期限原则上不超过30个日历日；对于单价金额超过50万元的设备，试运行期限原则上不超过60个日历日。</w:t>
      </w:r>
    </w:p>
    <w:p w14:paraId="7BDF63D9">
      <w:pPr>
        <w:rPr>
          <w:rFonts w:hint="eastAsia" w:ascii="宋体" w:hAnsi="宋体" w:cs="宋体"/>
          <w:bCs/>
          <w:sz w:val="24"/>
          <w:szCs w:val="24"/>
          <w:lang w:bidi="ar"/>
        </w:rPr>
      </w:pPr>
      <w:r>
        <w:rPr>
          <w:rFonts w:hint="eastAsia" w:ascii="宋体" w:hAnsi="宋体" w:cs="宋体"/>
          <w:bCs/>
          <w:sz w:val="24"/>
          <w:szCs w:val="24"/>
          <w:lang w:bidi="ar"/>
        </w:rPr>
        <w:t>6、在试运行期间，若货物性能未能满足招标文件及合同中所规定的标准，则应视为验收未通过。乙方须退还90%的货款，并对甲方因此遭受的损失承担赔偿责任。</w:t>
      </w:r>
    </w:p>
    <w:p w14:paraId="44066A93">
      <w:pPr>
        <w:rPr>
          <w:rFonts w:hint="eastAsia" w:ascii="宋体" w:hAnsi="宋体" w:cs="宋体"/>
          <w:bCs/>
          <w:sz w:val="24"/>
          <w:szCs w:val="24"/>
          <w:lang w:bidi="ar"/>
        </w:rPr>
      </w:pPr>
      <w:r>
        <w:rPr>
          <w:rFonts w:hint="eastAsia" w:ascii="宋体" w:hAnsi="宋体" w:cs="宋体"/>
          <w:bCs/>
          <w:sz w:val="24"/>
          <w:szCs w:val="24"/>
          <w:lang w:bidi="ar"/>
        </w:rPr>
        <w:t>7、</w:t>
      </w:r>
      <w:bookmarkStart w:id="93" w:name="auto_fouce_20"/>
      <w:r>
        <w:rPr>
          <w:rFonts w:hint="eastAsia" w:ascii="宋体" w:hAnsi="宋体" w:cs="宋体"/>
          <w:bCs/>
          <w:sz w:val="24"/>
          <w:szCs w:val="24"/>
          <w:lang w:bidi="ar"/>
        </w:rPr>
        <w:t>若在试运行期间设备出现故障，需更换为同型号的新设备，则试运行时间应重新计算。若设备更换次数达到两次或以上（含两次），甲方有权要求乙方退还甲方已支付的对应设备的货款，并按设备金额的20%向甲方支付违约金。甲方有权直接扣收质量保函项下款项，不足部分可向乙方追偿。</w:t>
      </w:r>
      <w:bookmarkEnd w:id="93"/>
    </w:p>
    <w:p w14:paraId="45337539">
      <w:pPr>
        <w:rPr>
          <w:rFonts w:hint="eastAsia" w:ascii="宋体" w:hAnsi="宋体" w:cs="宋体"/>
          <w:bCs/>
          <w:sz w:val="24"/>
          <w:szCs w:val="24"/>
        </w:rPr>
      </w:pPr>
      <w:r>
        <w:rPr>
          <w:rFonts w:hint="eastAsia" w:ascii="宋体" w:hAnsi="宋体" w:cs="宋体"/>
          <w:bCs/>
          <w:sz w:val="24"/>
          <w:szCs w:val="24"/>
          <w:lang w:bidi="ar"/>
        </w:rPr>
        <w:t>8、</w:t>
      </w:r>
      <w:bookmarkStart w:id="94" w:name="auto_fouce_21"/>
      <w:r>
        <w:rPr>
          <w:rFonts w:hint="eastAsia" w:ascii="宋体" w:hAnsi="宋体" w:cs="宋体"/>
          <w:bCs/>
          <w:sz w:val="24"/>
          <w:szCs w:val="24"/>
          <w:lang w:bidi="ar"/>
        </w:rPr>
        <w:t>在标的物到达之前，乙方必须提供与生产厂家签订的、针对合同内标的物的</w:t>
      </w:r>
      <w:r>
        <w:rPr>
          <w:rFonts w:hint="eastAsia" w:ascii="宋体" w:hAnsi="宋体" w:cs="宋体"/>
          <w:bCs/>
          <w:sz w:val="24"/>
          <w:szCs w:val="24"/>
          <w:u w:val="single"/>
          <w:lang w:bidi="ar"/>
        </w:rPr>
        <w:t xml:space="preserve">     </w:t>
      </w:r>
      <w:r>
        <w:rPr>
          <w:rFonts w:hint="eastAsia" w:ascii="宋体" w:hAnsi="宋体" w:cs="宋体"/>
          <w:bCs/>
          <w:sz w:val="24"/>
          <w:szCs w:val="24"/>
          <w:lang w:bidi="ar"/>
        </w:rPr>
        <w:t>年免费保修协议或合同。若未能提供此文件，则视为乙方未履行合同要求，甲方有权拒绝接收货物。</w:t>
      </w:r>
      <w:bookmarkEnd w:id="94"/>
    </w:p>
    <w:p w14:paraId="6224F428">
      <w:pPr>
        <w:rPr>
          <w:rFonts w:hint="eastAsia" w:ascii="宋体" w:hAnsi="宋体" w:cs="宋体"/>
          <w:bCs/>
          <w:sz w:val="24"/>
          <w:szCs w:val="24"/>
        </w:rPr>
      </w:pPr>
      <w:r>
        <w:rPr>
          <w:rFonts w:hint="eastAsia" w:ascii="宋体" w:hAnsi="宋体" w:cs="宋体"/>
          <w:bCs/>
          <w:sz w:val="24"/>
          <w:szCs w:val="24"/>
          <w:lang w:bidi="ar"/>
        </w:rPr>
        <w:t>十、验收标准：</w:t>
      </w:r>
    </w:p>
    <w:p w14:paraId="3EB78450">
      <w:pPr>
        <w:rPr>
          <w:rFonts w:hint="eastAsia" w:ascii="宋体" w:hAnsi="宋体" w:cs="宋体"/>
          <w:bCs/>
          <w:sz w:val="24"/>
          <w:szCs w:val="24"/>
        </w:rPr>
      </w:pPr>
      <w:r>
        <w:rPr>
          <w:rFonts w:hint="eastAsia" w:ascii="宋体" w:hAnsi="宋体" w:cs="宋体"/>
          <w:bCs/>
          <w:sz w:val="24"/>
          <w:szCs w:val="24"/>
          <w:lang w:bidi="ar"/>
        </w:rPr>
        <w:t>1、单证齐全：应有产品合格证（或质量证明）、使用说明、保修证明、发票和其他应具有的单证。同时由乙方提供该套标的物的商检证，需计量鉴定的，还需提供初次计量鉴定证书。</w:t>
      </w:r>
    </w:p>
    <w:p w14:paraId="215BCC7A">
      <w:pPr>
        <w:rPr>
          <w:rFonts w:hint="eastAsia" w:ascii="宋体" w:hAnsi="宋体" w:cs="宋体"/>
          <w:bCs/>
          <w:sz w:val="24"/>
          <w:szCs w:val="24"/>
        </w:rPr>
      </w:pPr>
      <w:r>
        <w:rPr>
          <w:rFonts w:hint="eastAsia" w:ascii="宋体" w:hAnsi="宋体" w:cs="宋体"/>
          <w:bCs/>
          <w:sz w:val="24"/>
          <w:szCs w:val="24"/>
          <w:lang w:bidi="ar"/>
        </w:rPr>
        <w:t>2、质量符合现行国家法律法规规定的标准、招标文件和投标文件的要求。其中有关标的物名称、制造商、数量等信息须符合投标文件和配置清单。</w:t>
      </w:r>
    </w:p>
    <w:p w14:paraId="59C02EDF">
      <w:pPr>
        <w:rPr>
          <w:rFonts w:hint="eastAsia" w:ascii="宋体" w:hAnsi="宋体" w:cs="宋体"/>
          <w:bCs/>
          <w:sz w:val="24"/>
          <w:szCs w:val="24"/>
        </w:rPr>
      </w:pPr>
      <w:r>
        <w:rPr>
          <w:rFonts w:hint="eastAsia" w:ascii="宋体" w:hAnsi="宋体" w:cs="宋体"/>
          <w:bCs/>
          <w:sz w:val="24"/>
          <w:szCs w:val="24"/>
          <w:lang w:bidi="ar"/>
        </w:rPr>
        <w:t>3、</w:t>
      </w:r>
      <w:bookmarkStart w:id="95" w:name="auto_fouce_22"/>
      <w:r>
        <w:rPr>
          <w:rFonts w:hint="eastAsia" w:ascii="宋体" w:hAnsi="宋体" w:cs="宋体"/>
          <w:bCs/>
          <w:sz w:val="24"/>
          <w:szCs w:val="24"/>
          <w:lang w:bidi="ar"/>
        </w:rPr>
        <w:t>试运行期结束后，甲方标的物使用科室最终签发相关的安装验收合格报告，如有需要甲方有权委托中国有资质的单位对仪器进行精度校核，所发生的费用由乙方承担且乙方同意授权甲方从应付货款中直接扣除。如应付货款已支付完毕，乙方须在收到甲方费用通知后3个工作日内将相应费用支付至甲方指定账户。</w:t>
      </w:r>
      <w:bookmarkEnd w:id="95"/>
    </w:p>
    <w:p w14:paraId="3CD316F3">
      <w:pPr>
        <w:rPr>
          <w:rFonts w:hint="eastAsia" w:ascii="宋体" w:hAnsi="宋体" w:cs="宋体"/>
          <w:bCs/>
          <w:sz w:val="24"/>
          <w:szCs w:val="24"/>
        </w:rPr>
      </w:pPr>
      <w:r>
        <w:rPr>
          <w:rFonts w:hint="eastAsia" w:ascii="宋体" w:hAnsi="宋体" w:cs="宋体"/>
          <w:bCs/>
          <w:sz w:val="24"/>
          <w:szCs w:val="24"/>
          <w:lang w:bidi="ar"/>
        </w:rPr>
        <w:t>4、</w:t>
      </w:r>
      <w:bookmarkStart w:id="96" w:name="auto_fouce_23"/>
      <w:r>
        <w:rPr>
          <w:rFonts w:hint="eastAsia" w:ascii="宋体" w:hAnsi="宋体" w:cs="宋体"/>
          <w:bCs/>
          <w:sz w:val="24"/>
          <w:szCs w:val="24"/>
          <w:lang w:bidi="ar"/>
        </w:rPr>
        <w:t>甲方最终验收合格后进入保修期。若验收不合格的，应及时向乙方提出书面异议，乙方应在接到异议及检测报告后10个工作日内完成更换或重新安装调试，直至验收合格，如果因乙方供货质量原因造成的甲方受到的损失，乙方还应承担相应违约责任并承担相应赔偿。</w:t>
      </w:r>
      <w:bookmarkEnd w:id="96"/>
    </w:p>
    <w:p w14:paraId="09243E60">
      <w:pPr>
        <w:rPr>
          <w:rFonts w:hint="eastAsia" w:ascii="宋体" w:hAnsi="宋体" w:cs="宋体"/>
          <w:bCs/>
          <w:sz w:val="24"/>
          <w:szCs w:val="24"/>
        </w:rPr>
      </w:pPr>
      <w:r>
        <w:rPr>
          <w:rFonts w:hint="eastAsia" w:ascii="宋体" w:hAnsi="宋体" w:cs="宋体"/>
          <w:bCs/>
          <w:sz w:val="24"/>
          <w:szCs w:val="24"/>
          <w:lang w:bidi="ar"/>
        </w:rPr>
        <w:t>5、根据《中华人民共和国强制检定的工作计量器具目录》及招标文件要求，属于计量器具需要进行计量检定、校准的设备，由乙方承担首次技术监督局的检定、校准费用，并提供承诺函。</w:t>
      </w:r>
    </w:p>
    <w:p w14:paraId="4E799109">
      <w:pPr>
        <w:rPr>
          <w:rFonts w:hint="eastAsia" w:ascii="宋体" w:hAnsi="宋体" w:cs="宋体"/>
          <w:bCs/>
          <w:sz w:val="24"/>
          <w:szCs w:val="24"/>
        </w:rPr>
      </w:pPr>
      <w:r>
        <w:rPr>
          <w:rFonts w:hint="eastAsia" w:ascii="宋体" w:hAnsi="宋体" w:cs="宋体"/>
          <w:bCs/>
          <w:sz w:val="24"/>
          <w:szCs w:val="24"/>
          <w:lang w:bidi="ar"/>
        </w:rPr>
        <w:t>十一、质量技术标准及损害赔偿：</w:t>
      </w:r>
    </w:p>
    <w:p w14:paraId="28BDEDE6">
      <w:pPr>
        <w:rPr>
          <w:rFonts w:hint="eastAsia" w:ascii="宋体" w:hAnsi="宋体" w:cs="宋体"/>
          <w:bCs/>
          <w:sz w:val="24"/>
          <w:szCs w:val="24"/>
        </w:rPr>
      </w:pPr>
      <w:r>
        <w:rPr>
          <w:rFonts w:hint="eastAsia" w:ascii="宋体" w:hAnsi="宋体" w:cs="宋体"/>
          <w:bCs/>
          <w:sz w:val="24"/>
          <w:szCs w:val="24"/>
          <w:lang w:bidi="ar"/>
        </w:rPr>
        <w:t>1、产品质量标准：标的物的质量技术标准按国家法律法规规定的标准、招标文件和乙方投标文件所要求的技术标准执行。同时应符合中华人民共和国国家质量及国家安全环保标准，上述标准不一致的，按照高标准执行。</w:t>
      </w:r>
    </w:p>
    <w:p w14:paraId="195C4C0D">
      <w:pPr>
        <w:rPr>
          <w:rFonts w:hint="eastAsia" w:ascii="宋体" w:hAnsi="宋体" w:cs="宋体"/>
          <w:bCs/>
          <w:sz w:val="24"/>
          <w:szCs w:val="24"/>
        </w:rPr>
      </w:pPr>
      <w:r>
        <w:rPr>
          <w:rFonts w:hint="eastAsia" w:ascii="宋体" w:hAnsi="宋体" w:cs="宋体"/>
          <w:bCs/>
          <w:sz w:val="24"/>
          <w:szCs w:val="24"/>
          <w:lang w:bidi="ar"/>
        </w:rPr>
        <w:t>2、乙方应保证其提供的标的物是原产地的原装产品，是全新的、未使用过的，采用的是最佳材料和第一流的工艺，并在各个方面符合合同规定的质量、规格和性能要求。否则按退货处理。</w:t>
      </w:r>
    </w:p>
    <w:p w14:paraId="04DE4ABF">
      <w:pPr>
        <w:rPr>
          <w:rFonts w:hint="eastAsia" w:ascii="宋体" w:hAnsi="宋体" w:cs="宋体"/>
          <w:bCs/>
          <w:sz w:val="24"/>
          <w:szCs w:val="24"/>
        </w:rPr>
      </w:pPr>
      <w:r>
        <w:rPr>
          <w:rFonts w:hint="eastAsia" w:ascii="宋体" w:hAnsi="宋体" w:cs="宋体"/>
          <w:bCs/>
          <w:sz w:val="24"/>
          <w:szCs w:val="24"/>
          <w:lang w:bidi="ar"/>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5EE62174">
      <w:pPr>
        <w:rPr>
          <w:rFonts w:hint="eastAsia" w:ascii="宋体" w:hAnsi="宋体" w:cs="宋体"/>
          <w:bCs/>
          <w:sz w:val="24"/>
          <w:szCs w:val="24"/>
        </w:rPr>
      </w:pPr>
      <w:r>
        <w:rPr>
          <w:rFonts w:hint="eastAsia" w:ascii="宋体" w:hAnsi="宋体" w:cs="宋体"/>
          <w:bCs/>
          <w:sz w:val="24"/>
          <w:szCs w:val="24"/>
          <w:lang w:bidi="ar"/>
        </w:rPr>
        <w:t>4、</w:t>
      </w:r>
      <w:bookmarkStart w:id="97" w:name="auto_fouce_24"/>
      <w:r>
        <w:rPr>
          <w:rFonts w:hint="eastAsia" w:ascii="宋体" w:hAnsi="宋体" w:cs="宋体"/>
          <w:bCs/>
          <w:sz w:val="24"/>
          <w:szCs w:val="24"/>
          <w:lang w:bidi="ar"/>
        </w:rPr>
        <w:t>标的物在售后服务期内，如出现三次以上（含三次）因质量问题引起的故障，乙方负责更换同类新的标的物，以达到合同规定的规格、质量和性能，并从更换之日起重新计算被更换标的物的售后服务期，由此产生的一切费用由乙方承担。</w:t>
      </w:r>
      <w:bookmarkEnd w:id="97"/>
    </w:p>
    <w:p w14:paraId="3D9E5574">
      <w:pPr>
        <w:rPr>
          <w:rFonts w:hint="eastAsia" w:ascii="宋体" w:hAnsi="宋体" w:cs="宋体"/>
          <w:bCs/>
          <w:sz w:val="24"/>
          <w:szCs w:val="24"/>
        </w:rPr>
      </w:pPr>
      <w:r>
        <w:rPr>
          <w:rFonts w:hint="eastAsia" w:ascii="宋体" w:hAnsi="宋体" w:cs="宋体"/>
          <w:bCs/>
          <w:sz w:val="24"/>
          <w:szCs w:val="24"/>
          <w:lang w:bidi="ar"/>
        </w:rPr>
        <w:t>5、如因为乙方标的物质量原因，导致甲方损失，由乙方承担全部责任并赔偿甲方所有损失。如因乙方提供的设备发生医疗器械不良事件，乙方应承担全部责任和所有费用。</w:t>
      </w:r>
    </w:p>
    <w:p w14:paraId="7E4115B5">
      <w:pPr>
        <w:rPr>
          <w:rFonts w:hint="eastAsia" w:ascii="宋体" w:hAnsi="宋体" w:cs="宋体"/>
          <w:bCs/>
          <w:sz w:val="24"/>
          <w:szCs w:val="24"/>
        </w:rPr>
      </w:pPr>
      <w:r>
        <w:rPr>
          <w:rFonts w:hint="eastAsia" w:ascii="宋体" w:hAnsi="宋体" w:cs="宋体"/>
          <w:bCs/>
          <w:sz w:val="24"/>
          <w:szCs w:val="24"/>
          <w:lang w:bidi="ar"/>
        </w:rPr>
        <w:t>十二、合同修改、变更、转让及专利权：</w:t>
      </w:r>
    </w:p>
    <w:p w14:paraId="21EAC767">
      <w:pPr>
        <w:rPr>
          <w:rFonts w:hint="eastAsia" w:ascii="宋体" w:hAnsi="宋体" w:cs="宋体"/>
          <w:bCs/>
          <w:sz w:val="24"/>
          <w:szCs w:val="24"/>
          <w:lang w:bidi="ar"/>
        </w:rPr>
      </w:pPr>
      <w:r>
        <w:rPr>
          <w:rFonts w:hint="eastAsia" w:ascii="宋体" w:hAnsi="宋体" w:cs="宋体"/>
          <w:bCs/>
          <w:sz w:val="24"/>
          <w:szCs w:val="24"/>
          <w:lang w:bidi="ar"/>
        </w:rPr>
        <w:t>1、</w:t>
      </w:r>
      <w:bookmarkStart w:id="98" w:name="auto_fouce_25"/>
      <w:r>
        <w:rPr>
          <w:rFonts w:hint="eastAsia" w:ascii="宋体" w:hAnsi="宋体" w:cs="宋体"/>
          <w:bCs/>
          <w:sz w:val="24"/>
          <w:szCs w:val="24"/>
          <w:lang w:bidi="ar"/>
        </w:rPr>
        <w:t>未经甲方书面同意，乙方不得对合同条款及服务内容进行任何修改、变更，不得转让、转包、分包本合同项下任何义务，也不得将本合同项下的任何权利部分或全部转让给第三方。否则，甲方有权解除合同，并要求乙方承担合同总金额20%的违约金</w:t>
      </w:r>
    </w:p>
    <w:bookmarkEnd w:id="98"/>
    <w:p w14:paraId="46F07DA1">
      <w:pPr>
        <w:rPr>
          <w:rFonts w:hint="eastAsia" w:ascii="宋体" w:hAnsi="宋体" w:cs="宋体"/>
          <w:bCs/>
          <w:sz w:val="24"/>
          <w:szCs w:val="24"/>
        </w:rPr>
      </w:pPr>
      <w:r>
        <w:rPr>
          <w:rFonts w:hint="eastAsia" w:ascii="宋体" w:hAnsi="宋体" w:cs="宋体"/>
          <w:bCs/>
          <w:sz w:val="24"/>
          <w:szCs w:val="24"/>
          <w:lang w:bidi="ar"/>
        </w:rPr>
        <w:t>2、乙方须保障甲方在使用其标的物、服务及其任何部分不受到第三方关于侵犯专利权、商标权或工业设计权的指控。任何第三方提出侵权指控，乙方须全权与第三方交涉、应诉抗辩，并承担由此引发的一切法律责任、诉讼费用、律师费用及全部经济损失；若因此给甲方造成经济损失、名誉损失，或甲方先行垫付赔偿金、诉讼费、律师费、维权费用等全部支出的，甲方因此产生或先行垫付的所有费用及损失均由乙方全额赔偿承担。。</w:t>
      </w:r>
    </w:p>
    <w:p w14:paraId="131060B5">
      <w:pPr>
        <w:rPr>
          <w:rFonts w:hint="eastAsia" w:ascii="宋体" w:hAnsi="宋体" w:cs="宋体"/>
          <w:bCs/>
          <w:sz w:val="24"/>
          <w:szCs w:val="24"/>
        </w:rPr>
      </w:pPr>
      <w:r>
        <w:rPr>
          <w:rFonts w:hint="eastAsia" w:ascii="宋体" w:hAnsi="宋体" w:cs="宋体"/>
          <w:bCs/>
          <w:sz w:val="24"/>
          <w:szCs w:val="24"/>
          <w:lang w:bidi="ar"/>
        </w:rPr>
        <w:t>十三、</w:t>
      </w:r>
      <w:bookmarkStart w:id="99" w:name="auto_fouce_26"/>
      <w:r>
        <w:rPr>
          <w:rFonts w:hint="eastAsia" w:ascii="宋体" w:hAnsi="宋体" w:cs="宋体"/>
          <w:bCs/>
          <w:sz w:val="24"/>
          <w:szCs w:val="24"/>
          <w:lang w:bidi="ar"/>
        </w:rPr>
        <w:t>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乙方主张不可抗力免责的，应当在不可抗力发生后10个日历日内向甲方提供有效证明文件，逾期未提供的，不免除乙方的违约责任。</w:t>
      </w:r>
      <w:bookmarkEnd w:id="99"/>
    </w:p>
    <w:p w14:paraId="765AC3B6">
      <w:pPr>
        <w:rPr>
          <w:rFonts w:hint="eastAsia" w:ascii="宋体" w:hAnsi="宋体" w:cs="宋体"/>
          <w:bCs/>
          <w:sz w:val="24"/>
          <w:szCs w:val="24"/>
        </w:rPr>
      </w:pPr>
      <w:r>
        <w:rPr>
          <w:rFonts w:hint="eastAsia" w:ascii="宋体" w:hAnsi="宋体" w:cs="宋体"/>
          <w:bCs/>
          <w:sz w:val="24"/>
          <w:szCs w:val="24"/>
          <w:lang w:bidi="ar"/>
        </w:rPr>
        <w:t>十四、违约责任：</w:t>
      </w:r>
    </w:p>
    <w:p w14:paraId="131313A8">
      <w:pPr>
        <w:rPr>
          <w:rFonts w:hint="eastAsia" w:ascii="宋体" w:hAnsi="宋体" w:cs="宋体"/>
          <w:bCs/>
          <w:sz w:val="24"/>
          <w:szCs w:val="24"/>
        </w:rPr>
      </w:pPr>
      <w:r>
        <w:rPr>
          <w:rFonts w:hint="eastAsia" w:ascii="宋体" w:hAnsi="宋体" w:cs="宋体"/>
          <w:bCs/>
          <w:sz w:val="24"/>
          <w:szCs w:val="24"/>
          <w:lang w:bidi="ar"/>
        </w:rPr>
        <w:t>1、</w:t>
      </w:r>
      <w:bookmarkStart w:id="100" w:name="auto_fouce_27"/>
      <w:r>
        <w:rPr>
          <w:rFonts w:hint="eastAsia" w:ascii="宋体" w:hAnsi="宋体" w:cs="宋体"/>
          <w:bCs/>
          <w:sz w:val="24"/>
          <w:szCs w:val="24"/>
          <w:lang w:bidi="ar"/>
        </w:rPr>
        <w:t>乙方交付标的物的品种、规格、质量不符合国家标准或合同规定的，由乙方全权负责换货。换货必须全新并符合本合同约定的质量标准和验收标准，因此而产生的一切费用和甲方遭受的一切损失由乙方无条件承担。乙方逾期完成换货或整改的，每逾期一日按合同总金额的千分之五向甲方支付违约金，逾期超过10日的，甲方有权直接解除合同。乙方不能修理或者不能调换、安装的，或甲方选择退货的，乙方均应按照本合同总金额的20%向甲方支付违约金，并承担因退货而发生的一切损失和费用。</w:t>
      </w:r>
      <w:bookmarkEnd w:id="100"/>
    </w:p>
    <w:p w14:paraId="5DE5D54B">
      <w:pPr>
        <w:rPr>
          <w:rFonts w:hint="eastAsia" w:ascii="宋体" w:hAnsi="宋体" w:cs="宋体"/>
          <w:bCs/>
          <w:sz w:val="24"/>
          <w:szCs w:val="24"/>
        </w:rPr>
      </w:pPr>
      <w:r>
        <w:rPr>
          <w:rFonts w:hint="eastAsia" w:ascii="宋体" w:hAnsi="宋体" w:cs="宋体"/>
          <w:bCs/>
          <w:sz w:val="24"/>
          <w:szCs w:val="24"/>
          <w:lang w:bidi="ar"/>
        </w:rPr>
        <w:t>2、</w:t>
      </w:r>
      <w:bookmarkStart w:id="101" w:name="auto_fouce_28"/>
      <w:r>
        <w:rPr>
          <w:rFonts w:hint="eastAsia" w:ascii="宋体" w:hAnsi="宋体" w:cs="宋体"/>
          <w:bCs/>
          <w:sz w:val="24"/>
          <w:szCs w:val="24"/>
          <w:lang w:bidi="ar"/>
        </w:rPr>
        <w:t>乙方逾期交货的，按逾期交货部分货款计算，乙方向甲方偿付每日千分之五的违约金，逾期超过三十日的，甲方有权解除合同，并要求以承担合同总金额20%的违约金。。</w:t>
      </w:r>
      <w:bookmarkEnd w:id="101"/>
    </w:p>
    <w:p w14:paraId="5534801A">
      <w:pPr>
        <w:rPr>
          <w:rFonts w:hint="eastAsia" w:ascii="宋体" w:hAnsi="宋体" w:cs="宋体"/>
          <w:bCs/>
          <w:sz w:val="24"/>
          <w:szCs w:val="24"/>
        </w:rPr>
      </w:pPr>
      <w:r>
        <w:rPr>
          <w:rFonts w:hint="eastAsia" w:ascii="宋体" w:hAnsi="宋体" w:cs="宋体"/>
          <w:bCs/>
          <w:sz w:val="24"/>
          <w:szCs w:val="24"/>
          <w:lang w:bidi="ar"/>
        </w:rPr>
        <w:t>3、</w:t>
      </w:r>
      <w:bookmarkStart w:id="102" w:name="auto_fouce_29"/>
      <w:r>
        <w:rPr>
          <w:rFonts w:hint="eastAsia" w:ascii="宋体" w:hAnsi="宋体" w:cs="宋体"/>
          <w:bCs/>
          <w:sz w:val="24"/>
          <w:szCs w:val="24"/>
          <w:lang w:bidi="ar"/>
        </w:rPr>
        <w:t>如因乙方原因设备未按投标文件确定的日期进行维修或维修未达到甲方要求，违反有关质量保证及售后服务的，在甲方提供相关损失证明并提出书面索赔要求后十日内，乙方应当按照甲方的要求足额支付赔偿金。</w:t>
      </w:r>
      <w:bookmarkEnd w:id="102"/>
    </w:p>
    <w:p w14:paraId="5A2347D3">
      <w:pPr>
        <w:rPr>
          <w:rFonts w:hint="eastAsia" w:ascii="宋体" w:hAnsi="宋体" w:cs="宋体"/>
          <w:bCs/>
          <w:sz w:val="24"/>
          <w:szCs w:val="24"/>
        </w:rPr>
      </w:pPr>
      <w:r>
        <w:rPr>
          <w:rFonts w:hint="eastAsia" w:ascii="宋体" w:hAnsi="宋体" w:cs="宋体"/>
          <w:bCs/>
          <w:sz w:val="24"/>
          <w:szCs w:val="24"/>
          <w:lang w:bidi="ar"/>
        </w:rPr>
        <w:t>4、乙方不得以任何形式在任何情况下对甲方工作人员进行商业贿赂活动，否则甲方有权单方解除合同，同时乙方需按照本合同总金额20%向甲方支付违约金并承担相应的法律责任。</w:t>
      </w:r>
    </w:p>
    <w:p w14:paraId="16875673">
      <w:pPr>
        <w:rPr>
          <w:rFonts w:hint="eastAsia" w:ascii="宋体" w:hAnsi="宋体" w:cs="宋体"/>
          <w:bCs/>
          <w:sz w:val="24"/>
          <w:szCs w:val="24"/>
        </w:rPr>
      </w:pPr>
      <w:r>
        <w:rPr>
          <w:rFonts w:hint="eastAsia" w:ascii="宋体" w:hAnsi="宋体" w:cs="宋体"/>
          <w:bCs/>
          <w:sz w:val="24"/>
          <w:szCs w:val="24"/>
          <w:lang w:bidi="ar"/>
        </w:rPr>
        <w:t>5、</w:t>
      </w:r>
      <w:bookmarkStart w:id="103" w:name="tip_risk_bookmark_30"/>
      <w:r>
        <w:rPr>
          <w:rFonts w:hint="eastAsia" w:ascii="宋体" w:hAnsi="宋体" w:cs="宋体"/>
          <w:bCs/>
          <w:sz w:val="24"/>
          <w:szCs w:val="24"/>
          <w:lang w:bidi="ar"/>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bookmarkEnd w:id="103"/>
    </w:p>
    <w:p w14:paraId="610C49B9">
      <w:pPr>
        <w:rPr>
          <w:rFonts w:hint="eastAsia" w:ascii="宋体" w:hAnsi="宋体" w:cs="宋体"/>
          <w:bCs/>
          <w:sz w:val="24"/>
          <w:szCs w:val="24"/>
        </w:rPr>
      </w:pPr>
      <w:r>
        <w:rPr>
          <w:rFonts w:hint="eastAsia" w:ascii="宋体" w:hAnsi="宋体" w:cs="宋体"/>
          <w:bCs/>
          <w:sz w:val="24"/>
          <w:szCs w:val="24"/>
          <w:lang w:bidi="ar"/>
        </w:rPr>
        <w:t>6、</w:t>
      </w:r>
      <w:bookmarkStart w:id="104" w:name="tip_risk_bookmark_31"/>
      <w:r>
        <w:rPr>
          <w:rFonts w:hint="eastAsia" w:ascii="宋体" w:hAnsi="宋体" w:cs="宋体"/>
          <w:bCs/>
          <w:sz w:val="24"/>
          <w:szCs w:val="24"/>
          <w:lang w:bidi="ar"/>
        </w:rPr>
        <w:t>本合同签订后，乙方不得以标的物市场价格上涨等各种理由断货、中止供货或要求甲方调价，否则，甲方有权解除合同并拒绝支付任何合同款项，乙方向甲方支付合同总价20%的违约金。</w:t>
      </w:r>
      <w:bookmarkEnd w:id="104"/>
    </w:p>
    <w:p w14:paraId="2F753725">
      <w:pPr>
        <w:rPr>
          <w:rFonts w:hint="eastAsia" w:ascii="宋体" w:hAnsi="宋体" w:cs="宋体"/>
          <w:bCs/>
          <w:sz w:val="24"/>
          <w:szCs w:val="24"/>
        </w:rPr>
      </w:pPr>
      <w:r>
        <w:rPr>
          <w:rFonts w:hint="eastAsia" w:ascii="宋体" w:hAnsi="宋体" w:cs="宋体"/>
          <w:bCs/>
          <w:sz w:val="24"/>
          <w:szCs w:val="24"/>
          <w:lang w:bidi="ar"/>
        </w:rPr>
        <w:t>7.</w:t>
      </w:r>
      <w:bookmarkStart w:id="105" w:name="auto_fouce_32"/>
      <w:r>
        <w:rPr>
          <w:rFonts w:hint="eastAsia" w:ascii="宋体" w:hAnsi="宋体" w:cs="宋体"/>
          <w:bCs/>
          <w:sz w:val="24"/>
          <w:szCs w:val="24"/>
          <w:lang w:bidi="ar"/>
        </w:rPr>
        <w:t>乙方违约后除按照合同约定向甲方支付违约金外，甲方还有权另行向乙方索赔（包括但不限于第三方索赔、律师费、诉讼费、鉴定费、公证费、差旅费、保全费、保险费等甲方采取诉讼途径发生的一切费用，以及为减轻损失、进行调查、取证、协商所支出的合理费用）。</w:t>
      </w:r>
      <w:bookmarkEnd w:id="105"/>
    </w:p>
    <w:p w14:paraId="3ED1405D">
      <w:pPr>
        <w:rPr>
          <w:rFonts w:hint="eastAsia" w:ascii="宋体" w:hAnsi="宋体" w:cs="宋体"/>
          <w:bCs/>
          <w:sz w:val="24"/>
          <w:szCs w:val="24"/>
        </w:rPr>
      </w:pPr>
      <w:r>
        <w:rPr>
          <w:rFonts w:hint="eastAsia" w:ascii="宋体" w:hAnsi="宋体" w:cs="宋体"/>
          <w:bCs/>
          <w:sz w:val="24"/>
          <w:szCs w:val="24"/>
          <w:lang w:bidi="ar"/>
        </w:rPr>
        <w:t>十五、赔偿、追索权：</w:t>
      </w:r>
    </w:p>
    <w:p w14:paraId="7C9EF2EB">
      <w:pPr>
        <w:rPr>
          <w:rFonts w:hint="eastAsia" w:ascii="宋体" w:hAnsi="宋体" w:cs="宋体"/>
          <w:bCs/>
          <w:sz w:val="24"/>
          <w:szCs w:val="24"/>
        </w:rPr>
      </w:pPr>
      <w:r>
        <w:rPr>
          <w:rFonts w:hint="eastAsia" w:ascii="宋体" w:hAnsi="宋体" w:cs="宋体"/>
          <w:bCs/>
          <w:sz w:val="24"/>
          <w:szCs w:val="24"/>
          <w:lang w:bidi="ar"/>
        </w:rPr>
        <w:t>1、</w:t>
      </w:r>
      <w:bookmarkStart w:id="106" w:name="auto_fouce_33"/>
      <w:r>
        <w:rPr>
          <w:rFonts w:hint="eastAsia" w:ascii="宋体" w:hAnsi="宋体" w:cs="宋体"/>
          <w:bCs/>
          <w:sz w:val="24"/>
          <w:szCs w:val="24"/>
          <w:lang w:bidi="ar"/>
        </w:rPr>
        <w:t>本合同中所涉及到的乙方应支付甲方的损害赔偿、违约金等，甲方保留追索的权利，包括直接从甲方应付乙方的其他合同款项中抵扣相应的经济损失及违约金，不足部分甲方有权继续追偿。</w:t>
      </w:r>
      <w:bookmarkEnd w:id="106"/>
    </w:p>
    <w:p w14:paraId="78DA17FB">
      <w:pPr>
        <w:rPr>
          <w:rFonts w:hint="eastAsia" w:ascii="宋体" w:hAnsi="宋体" w:cs="宋体"/>
          <w:bCs/>
          <w:sz w:val="24"/>
          <w:szCs w:val="24"/>
        </w:rPr>
      </w:pPr>
      <w:r>
        <w:rPr>
          <w:rFonts w:hint="eastAsia" w:ascii="宋体" w:hAnsi="宋体" w:cs="宋体"/>
          <w:bCs/>
          <w:sz w:val="24"/>
          <w:szCs w:val="24"/>
          <w:lang w:bidi="ar"/>
        </w:rPr>
        <w:t>2、本合同所有条款约定的违约金、赔偿金等均应以人民币的方式支付。</w:t>
      </w:r>
    </w:p>
    <w:p w14:paraId="61D6E6B3">
      <w:pPr>
        <w:rPr>
          <w:rFonts w:hint="eastAsia" w:ascii="宋体" w:hAnsi="宋体" w:cs="宋体"/>
          <w:bCs/>
          <w:sz w:val="24"/>
          <w:szCs w:val="24"/>
        </w:rPr>
      </w:pPr>
      <w:r>
        <w:rPr>
          <w:rFonts w:hint="eastAsia" w:ascii="宋体" w:hAnsi="宋体" w:cs="宋体"/>
          <w:bCs/>
          <w:sz w:val="24"/>
          <w:szCs w:val="24"/>
          <w:lang w:bidi="ar"/>
        </w:rPr>
        <w:t>十六、解决合同纠纷的方式：</w:t>
      </w:r>
    </w:p>
    <w:p w14:paraId="0C5D5E3C">
      <w:pPr>
        <w:rPr>
          <w:rFonts w:hint="eastAsia" w:ascii="宋体" w:hAnsi="宋体" w:cs="宋体"/>
          <w:bCs/>
          <w:sz w:val="24"/>
          <w:szCs w:val="24"/>
        </w:rPr>
      </w:pPr>
      <w:r>
        <w:rPr>
          <w:rFonts w:hint="eastAsia" w:ascii="宋体" w:hAnsi="宋体" w:cs="宋体"/>
          <w:bCs/>
          <w:sz w:val="24"/>
          <w:szCs w:val="24"/>
          <w:lang w:bidi="ar"/>
        </w:rPr>
        <w:t>1、合同双方本着诚实、公平合理的原则协商解决，协商仍不能达成共识，可向甲方所在地人民法院提起诉讼。</w:t>
      </w:r>
    </w:p>
    <w:p w14:paraId="74F4EB47">
      <w:pPr>
        <w:rPr>
          <w:rFonts w:hint="eastAsia" w:ascii="宋体" w:hAnsi="宋体" w:cs="宋体"/>
          <w:bCs/>
          <w:sz w:val="24"/>
          <w:szCs w:val="24"/>
        </w:rPr>
      </w:pPr>
      <w:r>
        <w:rPr>
          <w:rFonts w:hint="eastAsia" w:ascii="宋体" w:hAnsi="宋体" w:cs="宋体"/>
          <w:bCs/>
          <w:sz w:val="24"/>
          <w:szCs w:val="24"/>
          <w:lang w:bidi="ar"/>
        </w:rPr>
        <w:t>2、在诉讼期间，合同未发生争议部分应当继续履行。</w:t>
      </w:r>
      <w:r>
        <w:rPr>
          <w:rFonts w:hint="eastAsia" w:ascii="宋体" w:hAnsi="宋体" w:cs="宋体"/>
          <w:bCs/>
          <w:sz w:val="24"/>
          <w:szCs w:val="24"/>
          <w:lang w:bidi="ar"/>
        </w:rPr>
        <w:br w:type="textWrapping"/>
      </w:r>
      <w:r>
        <w:rPr>
          <w:rFonts w:hint="eastAsia" w:ascii="宋体" w:hAnsi="宋体" w:cs="宋体"/>
          <w:bCs/>
          <w:sz w:val="24"/>
          <w:szCs w:val="24"/>
          <w:lang w:bidi="ar"/>
        </w:rPr>
        <w:t>十七、其它：</w:t>
      </w:r>
    </w:p>
    <w:p w14:paraId="72F2E792">
      <w:pPr>
        <w:rPr>
          <w:rFonts w:hint="eastAsia" w:ascii="宋体" w:hAnsi="宋体" w:cs="宋体"/>
          <w:bCs/>
          <w:sz w:val="24"/>
          <w:szCs w:val="24"/>
        </w:rPr>
      </w:pPr>
      <w:r>
        <w:rPr>
          <w:rFonts w:hint="eastAsia" w:ascii="宋体" w:hAnsi="宋体" w:cs="宋体"/>
          <w:bCs/>
          <w:sz w:val="24"/>
          <w:szCs w:val="24"/>
          <w:lang w:bidi="ar"/>
        </w:rPr>
        <w:t xml:space="preserve">1、 </w:t>
      </w:r>
      <w:bookmarkStart w:id="107" w:name="auto_fouce_34"/>
      <w:r>
        <w:rPr>
          <w:rFonts w:hint="eastAsia" w:ascii="宋体" w:hAnsi="宋体" w:cs="宋体"/>
          <w:bCs/>
          <w:sz w:val="24"/>
          <w:szCs w:val="24"/>
          <w:lang w:bidi="ar"/>
        </w:rPr>
        <w:t>合同所有附件，包括与合同相关的采购文件、招标文件、谈判文件、招投标备案材料、售后服务承诺书、成交通知书、成交方的投标文件、询标中的书面答疑、开标中的书面承诺及合同附件等均作为合同的有效组成部分，与合同具有同等的法律效力。</w:t>
      </w:r>
      <w:bookmarkEnd w:id="107"/>
    </w:p>
    <w:p w14:paraId="6BAAB1B7">
      <w:pPr>
        <w:rPr>
          <w:rFonts w:hint="eastAsia" w:ascii="宋体" w:hAnsi="宋体" w:cs="宋体"/>
          <w:bCs/>
          <w:sz w:val="24"/>
          <w:szCs w:val="24"/>
        </w:rPr>
      </w:pPr>
      <w:r>
        <w:rPr>
          <w:rFonts w:hint="eastAsia" w:ascii="宋体" w:hAnsi="宋体" w:cs="宋体"/>
          <w:bCs/>
          <w:sz w:val="24"/>
          <w:szCs w:val="24"/>
          <w:lang w:bidi="ar"/>
        </w:rPr>
        <w:t>2、乙方保证提供的资质是真实的，与原件相符。否则，产生的责任及给甲方造成的损失均由乙方承担并赔偿。</w:t>
      </w:r>
    </w:p>
    <w:p w14:paraId="0E70A60E">
      <w:pPr>
        <w:rPr>
          <w:rFonts w:hint="eastAsia" w:ascii="宋体" w:hAnsi="宋体" w:cs="宋体"/>
          <w:bCs/>
          <w:sz w:val="24"/>
          <w:szCs w:val="24"/>
        </w:rPr>
      </w:pPr>
      <w:r>
        <w:rPr>
          <w:rFonts w:hint="eastAsia" w:ascii="宋体" w:hAnsi="宋体" w:cs="宋体"/>
          <w:bCs/>
          <w:sz w:val="24"/>
          <w:szCs w:val="24"/>
          <w:lang w:bidi="ar"/>
        </w:rPr>
        <w:t>3、乙方保证合同中提供的电话、传真、开户银行、账号等信息准确无误。否则造成的责任及损失由乙方承担。</w:t>
      </w:r>
    </w:p>
    <w:p w14:paraId="129F2235">
      <w:pPr>
        <w:rPr>
          <w:rFonts w:hint="eastAsia" w:ascii="宋体" w:hAnsi="宋体" w:cs="宋体"/>
          <w:bCs/>
          <w:sz w:val="24"/>
          <w:szCs w:val="24"/>
        </w:rPr>
      </w:pPr>
      <w:r>
        <w:rPr>
          <w:rFonts w:hint="eastAsia" w:ascii="宋体" w:hAnsi="宋体" w:cs="宋体"/>
          <w:bCs/>
          <w:sz w:val="24"/>
          <w:szCs w:val="24"/>
          <w:lang w:bidi="ar"/>
        </w:rPr>
        <w:t>4、本合同应按中华人民共和国的相关法律解释，合同内容如遇国家法律、法规及政策另有规定的，从其规定。</w:t>
      </w:r>
    </w:p>
    <w:p w14:paraId="7DF00ACA">
      <w:pPr>
        <w:rPr>
          <w:rFonts w:hint="eastAsia" w:ascii="宋体" w:hAnsi="宋体" w:cs="宋体"/>
          <w:bCs/>
          <w:color w:val="FF0000"/>
          <w:sz w:val="24"/>
          <w:szCs w:val="24"/>
          <w:lang w:bidi="ar"/>
        </w:rPr>
      </w:pPr>
      <w:r>
        <w:rPr>
          <w:rFonts w:hint="eastAsia" w:ascii="宋体" w:hAnsi="宋体" w:cs="宋体"/>
          <w:bCs/>
          <w:sz w:val="24"/>
          <w:szCs w:val="24"/>
          <w:lang w:bidi="ar"/>
        </w:rPr>
        <w:t>5、本合同文本一式五份，甲方执四份、乙方执一份，均具有同等的法律效力。自甲、乙双方法定代表人或委托代理人签字且加盖单位公章或合同专用章之日起生效，双方如有未尽事宜，可另行友好协商解决。</w:t>
      </w:r>
      <w:bookmarkStart w:id="108" w:name="auto_fouce_35"/>
    </w:p>
    <w:p w14:paraId="7CDAE8C8">
      <w:pPr>
        <w:rPr>
          <w:rFonts w:hint="eastAsia" w:ascii="宋体" w:hAnsi="宋体" w:cs="宋体"/>
          <w:bCs/>
          <w:sz w:val="24"/>
          <w:szCs w:val="24"/>
          <w:lang w:bidi="ar"/>
        </w:rPr>
      </w:pPr>
      <w:r>
        <w:rPr>
          <w:rFonts w:hint="eastAsia" w:ascii="宋体" w:hAnsi="宋体" w:cs="宋体"/>
          <w:bCs/>
          <w:sz w:val="24"/>
          <w:szCs w:val="24"/>
          <w:lang w:bidi="ar"/>
        </w:rPr>
        <w:t>6.本合同履行过程中，所有书面通知、函件、法律文书等均应送至本合同载明的双方地址，任何一方变更通讯地址应当提前7日书面通知对方，未通知的，按原地址寄送即视为有效送达。</w:t>
      </w:r>
      <w:bookmarkEnd w:id="108"/>
    </w:p>
    <w:tbl>
      <w:tblPr>
        <w:tblStyle w:val="36"/>
        <w:tblpPr w:leftFromText="180" w:rightFromText="180" w:vertAnchor="text" w:horzAnchor="page" w:tblpX="835" w:tblpY="333"/>
        <w:tblOverlap w:val="never"/>
        <w:tblW w:w="0" w:type="auto"/>
        <w:tblInd w:w="0" w:type="dxa"/>
        <w:tblLayout w:type="fixed"/>
        <w:tblCellMar>
          <w:top w:w="0" w:type="dxa"/>
          <w:left w:w="108" w:type="dxa"/>
          <w:bottom w:w="0" w:type="dxa"/>
          <w:right w:w="108" w:type="dxa"/>
        </w:tblCellMar>
      </w:tblPr>
      <w:tblGrid>
        <w:gridCol w:w="5148"/>
        <w:gridCol w:w="4860"/>
      </w:tblGrid>
      <w:tr w14:paraId="57113E9C">
        <w:tblPrEx>
          <w:tblCellMar>
            <w:top w:w="0" w:type="dxa"/>
            <w:left w:w="108" w:type="dxa"/>
            <w:bottom w:w="0" w:type="dxa"/>
            <w:right w:w="108" w:type="dxa"/>
          </w:tblCellMar>
        </w:tblPrEx>
        <w:tc>
          <w:tcPr>
            <w:tcW w:w="5148" w:type="dxa"/>
          </w:tcPr>
          <w:p w14:paraId="7521352B">
            <w:pPr>
              <w:ind w:left="1770" w:leftChars="500" w:hanging="720" w:hangingChars="300"/>
              <w:rPr>
                <w:rFonts w:hint="eastAsia" w:ascii="宋体" w:hAnsi="宋体" w:cs="宋体"/>
                <w:bCs/>
                <w:sz w:val="24"/>
                <w:szCs w:val="24"/>
              </w:rPr>
            </w:pPr>
            <w:bookmarkStart w:id="109" w:name="tip_risk_bookmark_36"/>
            <w:r>
              <w:rPr>
                <w:rFonts w:hint="eastAsia" w:ascii="宋体" w:hAnsi="宋体" w:cs="宋体"/>
                <w:bCs/>
                <w:sz w:val="24"/>
                <w:szCs w:val="24"/>
                <w:lang w:bidi="ar"/>
              </w:rPr>
              <w:t>甲方：新疆国际医疗中心（新疆国际医院）</w:t>
            </w:r>
          </w:p>
        </w:tc>
        <w:tc>
          <w:tcPr>
            <w:tcW w:w="4860" w:type="dxa"/>
          </w:tcPr>
          <w:p w14:paraId="16019DD9">
            <w:pPr>
              <w:ind w:firstLine="480" w:firstLineChars="200"/>
              <w:rPr>
                <w:rFonts w:hint="eastAsia" w:ascii="宋体" w:hAnsi="宋体" w:cs="宋体"/>
                <w:bCs/>
                <w:sz w:val="24"/>
                <w:szCs w:val="24"/>
              </w:rPr>
            </w:pPr>
            <w:r>
              <w:rPr>
                <w:rFonts w:hint="eastAsia" w:ascii="宋体" w:hAnsi="宋体" w:cs="宋体"/>
                <w:bCs/>
                <w:sz w:val="24"/>
                <w:szCs w:val="24"/>
                <w:lang w:bidi="ar"/>
              </w:rPr>
              <w:t>乙方：</w:t>
            </w:r>
          </w:p>
        </w:tc>
      </w:tr>
      <w:tr w14:paraId="15EAF2D9">
        <w:tblPrEx>
          <w:tblCellMar>
            <w:top w:w="0" w:type="dxa"/>
            <w:left w:w="108" w:type="dxa"/>
            <w:bottom w:w="0" w:type="dxa"/>
            <w:right w:w="108" w:type="dxa"/>
          </w:tblCellMar>
        </w:tblPrEx>
        <w:trPr>
          <w:trHeight w:val="80" w:hRule="atLeast"/>
        </w:trPr>
        <w:tc>
          <w:tcPr>
            <w:tcW w:w="5148" w:type="dxa"/>
          </w:tcPr>
          <w:p w14:paraId="4B9BCA07">
            <w:pPr>
              <w:rPr>
                <w:rFonts w:hint="eastAsia" w:ascii="宋体" w:hAnsi="宋体" w:cs="宋体"/>
                <w:bCs/>
                <w:sz w:val="24"/>
                <w:szCs w:val="24"/>
              </w:rPr>
            </w:pPr>
          </w:p>
        </w:tc>
        <w:tc>
          <w:tcPr>
            <w:tcW w:w="4860" w:type="dxa"/>
          </w:tcPr>
          <w:p w14:paraId="32A242D7">
            <w:pPr>
              <w:rPr>
                <w:rFonts w:hint="eastAsia" w:ascii="宋体" w:hAnsi="宋体" w:cs="宋体"/>
                <w:bCs/>
                <w:sz w:val="24"/>
                <w:szCs w:val="24"/>
              </w:rPr>
            </w:pPr>
          </w:p>
        </w:tc>
      </w:tr>
      <w:tr w14:paraId="44B2938D">
        <w:tblPrEx>
          <w:tblCellMar>
            <w:top w:w="0" w:type="dxa"/>
            <w:left w:w="108" w:type="dxa"/>
            <w:bottom w:w="0" w:type="dxa"/>
            <w:right w:w="108" w:type="dxa"/>
          </w:tblCellMar>
        </w:tblPrEx>
        <w:tc>
          <w:tcPr>
            <w:tcW w:w="5148" w:type="dxa"/>
          </w:tcPr>
          <w:p w14:paraId="71731FE8">
            <w:pPr>
              <w:ind w:firstLine="1200" w:firstLineChars="500"/>
              <w:rPr>
                <w:rFonts w:hint="eastAsia" w:ascii="宋体" w:hAnsi="宋体" w:cs="宋体"/>
                <w:bCs/>
                <w:sz w:val="24"/>
                <w:szCs w:val="24"/>
              </w:rPr>
            </w:pPr>
            <w:r>
              <w:rPr>
                <w:rFonts w:hint="eastAsia" w:ascii="宋体" w:hAnsi="宋体" w:cs="宋体"/>
                <w:bCs/>
                <w:sz w:val="24"/>
                <w:szCs w:val="24"/>
                <w:lang w:bidi="ar"/>
              </w:rPr>
              <w:t>甲方法人：</w:t>
            </w:r>
          </w:p>
        </w:tc>
        <w:tc>
          <w:tcPr>
            <w:tcW w:w="4860" w:type="dxa"/>
          </w:tcPr>
          <w:p w14:paraId="689C0682">
            <w:pPr>
              <w:ind w:firstLine="480" w:firstLineChars="200"/>
              <w:rPr>
                <w:rFonts w:hint="eastAsia" w:ascii="宋体" w:hAnsi="宋体" w:cs="宋体"/>
                <w:bCs/>
                <w:sz w:val="24"/>
                <w:szCs w:val="24"/>
              </w:rPr>
            </w:pPr>
            <w:r>
              <w:rPr>
                <w:rFonts w:hint="eastAsia" w:ascii="宋体" w:hAnsi="宋体" w:cs="宋体"/>
                <w:bCs/>
                <w:sz w:val="24"/>
                <w:szCs w:val="24"/>
                <w:lang w:bidi="ar"/>
              </w:rPr>
              <w:t>乙方法人：</w:t>
            </w:r>
          </w:p>
        </w:tc>
      </w:tr>
      <w:tr w14:paraId="4CA6FF8A">
        <w:tblPrEx>
          <w:tblCellMar>
            <w:top w:w="0" w:type="dxa"/>
            <w:left w:w="108" w:type="dxa"/>
            <w:bottom w:w="0" w:type="dxa"/>
            <w:right w:w="108" w:type="dxa"/>
          </w:tblCellMar>
        </w:tblPrEx>
        <w:tc>
          <w:tcPr>
            <w:tcW w:w="5148" w:type="dxa"/>
          </w:tcPr>
          <w:p w14:paraId="11D35866">
            <w:pPr>
              <w:ind w:firstLine="1200" w:firstLineChars="500"/>
              <w:rPr>
                <w:rFonts w:hint="eastAsia" w:ascii="宋体" w:hAnsi="宋体" w:cs="宋体"/>
                <w:bCs/>
                <w:sz w:val="24"/>
                <w:szCs w:val="24"/>
              </w:rPr>
            </w:pPr>
            <w:r>
              <w:rPr>
                <w:rFonts w:hint="eastAsia" w:ascii="宋体" w:hAnsi="宋体" w:cs="宋体"/>
                <w:bCs/>
                <w:sz w:val="24"/>
                <w:szCs w:val="24"/>
                <w:lang w:bidi="ar"/>
              </w:rPr>
              <w:t>（签字）</w:t>
            </w:r>
          </w:p>
        </w:tc>
        <w:tc>
          <w:tcPr>
            <w:tcW w:w="4860" w:type="dxa"/>
          </w:tcPr>
          <w:p w14:paraId="73F3022A">
            <w:pPr>
              <w:ind w:firstLine="720" w:firstLineChars="300"/>
              <w:rPr>
                <w:rFonts w:hint="eastAsia" w:ascii="宋体" w:hAnsi="宋体" w:cs="宋体"/>
                <w:bCs/>
                <w:sz w:val="24"/>
                <w:szCs w:val="24"/>
              </w:rPr>
            </w:pPr>
            <w:r>
              <w:rPr>
                <w:rFonts w:hint="eastAsia" w:ascii="宋体" w:hAnsi="宋体" w:cs="宋体"/>
                <w:bCs/>
                <w:sz w:val="24"/>
                <w:szCs w:val="24"/>
                <w:lang w:bidi="ar"/>
              </w:rPr>
              <w:t>（签字）</w:t>
            </w:r>
          </w:p>
        </w:tc>
      </w:tr>
      <w:tr w14:paraId="5569C6E3">
        <w:tblPrEx>
          <w:tblCellMar>
            <w:top w:w="0" w:type="dxa"/>
            <w:left w:w="108" w:type="dxa"/>
            <w:bottom w:w="0" w:type="dxa"/>
            <w:right w:w="108" w:type="dxa"/>
          </w:tblCellMar>
        </w:tblPrEx>
        <w:tc>
          <w:tcPr>
            <w:tcW w:w="5148" w:type="dxa"/>
          </w:tcPr>
          <w:p w14:paraId="3DA63BC2">
            <w:pPr>
              <w:rPr>
                <w:rFonts w:hint="eastAsia" w:ascii="宋体" w:hAnsi="宋体" w:cs="宋体"/>
                <w:bCs/>
                <w:sz w:val="24"/>
                <w:szCs w:val="24"/>
              </w:rPr>
            </w:pPr>
          </w:p>
        </w:tc>
        <w:tc>
          <w:tcPr>
            <w:tcW w:w="4860" w:type="dxa"/>
          </w:tcPr>
          <w:p w14:paraId="2D4F4729">
            <w:pPr>
              <w:rPr>
                <w:rFonts w:hint="eastAsia" w:ascii="宋体" w:hAnsi="宋体" w:cs="宋体"/>
                <w:bCs/>
                <w:sz w:val="24"/>
                <w:szCs w:val="24"/>
              </w:rPr>
            </w:pPr>
          </w:p>
        </w:tc>
      </w:tr>
      <w:tr w14:paraId="3F792491">
        <w:tblPrEx>
          <w:tblCellMar>
            <w:top w:w="0" w:type="dxa"/>
            <w:left w:w="108" w:type="dxa"/>
            <w:bottom w:w="0" w:type="dxa"/>
            <w:right w:w="108" w:type="dxa"/>
          </w:tblCellMar>
        </w:tblPrEx>
        <w:trPr>
          <w:trHeight w:val="350" w:hRule="atLeast"/>
        </w:trPr>
        <w:tc>
          <w:tcPr>
            <w:tcW w:w="5148" w:type="dxa"/>
          </w:tcPr>
          <w:p w14:paraId="55FFC7E2">
            <w:pPr>
              <w:ind w:firstLine="1200" w:firstLineChars="500"/>
              <w:rPr>
                <w:rFonts w:hint="eastAsia" w:ascii="宋体" w:hAnsi="宋体" w:cs="宋体"/>
                <w:bCs/>
                <w:sz w:val="24"/>
                <w:szCs w:val="24"/>
              </w:rPr>
            </w:pPr>
            <w:r>
              <w:rPr>
                <w:rFonts w:hint="eastAsia" w:ascii="宋体" w:hAnsi="宋体" w:cs="宋体"/>
                <w:bCs/>
                <w:sz w:val="24"/>
                <w:szCs w:val="24"/>
                <w:lang w:bidi="ar"/>
              </w:rPr>
              <w:t>甲方代表：</w:t>
            </w:r>
          </w:p>
        </w:tc>
        <w:tc>
          <w:tcPr>
            <w:tcW w:w="4860" w:type="dxa"/>
          </w:tcPr>
          <w:p w14:paraId="50A405A3">
            <w:pPr>
              <w:ind w:firstLine="720" w:firstLineChars="300"/>
              <w:rPr>
                <w:rFonts w:hint="eastAsia" w:ascii="宋体" w:hAnsi="宋体" w:cs="宋体"/>
                <w:bCs/>
                <w:sz w:val="24"/>
                <w:szCs w:val="24"/>
              </w:rPr>
            </w:pPr>
            <w:r>
              <w:rPr>
                <w:rFonts w:hint="eastAsia" w:ascii="宋体" w:hAnsi="宋体" w:cs="宋体"/>
                <w:bCs/>
                <w:sz w:val="24"/>
                <w:szCs w:val="24"/>
                <w:lang w:bidi="ar"/>
              </w:rPr>
              <w:t>乙方代表：</w:t>
            </w:r>
          </w:p>
        </w:tc>
      </w:tr>
      <w:tr w14:paraId="50A7F5BC">
        <w:tblPrEx>
          <w:tblCellMar>
            <w:top w:w="0" w:type="dxa"/>
            <w:left w:w="108" w:type="dxa"/>
            <w:bottom w:w="0" w:type="dxa"/>
            <w:right w:w="108" w:type="dxa"/>
          </w:tblCellMar>
        </w:tblPrEx>
        <w:trPr>
          <w:trHeight w:val="350" w:hRule="atLeast"/>
        </w:trPr>
        <w:tc>
          <w:tcPr>
            <w:tcW w:w="5148" w:type="dxa"/>
          </w:tcPr>
          <w:p w14:paraId="257CAD2A">
            <w:pPr>
              <w:ind w:firstLine="1200" w:firstLineChars="500"/>
              <w:rPr>
                <w:rFonts w:hint="eastAsia" w:ascii="宋体" w:hAnsi="宋体" w:cs="宋体"/>
                <w:bCs/>
                <w:sz w:val="24"/>
                <w:szCs w:val="24"/>
              </w:rPr>
            </w:pPr>
            <w:r>
              <w:rPr>
                <w:rFonts w:hint="eastAsia" w:ascii="宋体" w:hAnsi="宋体" w:cs="宋体"/>
                <w:bCs/>
                <w:sz w:val="24"/>
                <w:szCs w:val="24"/>
                <w:lang w:bidi="ar"/>
              </w:rPr>
              <w:t>（签字）</w:t>
            </w:r>
          </w:p>
        </w:tc>
        <w:tc>
          <w:tcPr>
            <w:tcW w:w="4860" w:type="dxa"/>
          </w:tcPr>
          <w:p w14:paraId="3B0BD99B">
            <w:pPr>
              <w:ind w:firstLine="720" w:firstLineChars="300"/>
              <w:rPr>
                <w:rFonts w:hint="eastAsia" w:ascii="宋体" w:hAnsi="宋体" w:cs="宋体"/>
                <w:bCs/>
                <w:sz w:val="24"/>
                <w:szCs w:val="24"/>
              </w:rPr>
            </w:pPr>
            <w:r>
              <w:rPr>
                <w:rFonts w:hint="eastAsia" w:ascii="宋体" w:hAnsi="宋体" w:cs="宋体"/>
                <w:bCs/>
                <w:sz w:val="24"/>
                <w:szCs w:val="24"/>
                <w:lang w:bidi="ar"/>
              </w:rPr>
              <w:t>（签字）</w:t>
            </w:r>
          </w:p>
        </w:tc>
      </w:tr>
      <w:tr w14:paraId="34011B68">
        <w:tblPrEx>
          <w:tblCellMar>
            <w:top w:w="0" w:type="dxa"/>
            <w:left w:w="108" w:type="dxa"/>
            <w:bottom w:w="0" w:type="dxa"/>
            <w:right w:w="108" w:type="dxa"/>
          </w:tblCellMar>
        </w:tblPrEx>
        <w:tc>
          <w:tcPr>
            <w:tcW w:w="5148" w:type="dxa"/>
          </w:tcPr>
          <w:p w14:paraId="568B12C0">
            <w:pPr>
              <w:rPr>
                <w:rFonts w:hint="eastAsia" w:ascii="宋体" w:hAnsi="宋体" w:cs="宋体"/>
                <w:bCs/>
                <w:sz w:val="24"/>
                <w:szCs w:val="24"/>
              </w:rPr>
            </w:pPr>
          </w:p>
        </w:tc>
        <w:tc>
          <w:tcPr>
            <w:tcW w:w="4860" w:type="dxa"/>
          </w:tcPr>
          <w:p w14:paraId="305B2758">
            <w:pPr>
              <w:ind w:firstLine="720" w:firstLineChars="300"/>
              <w:rPr>
                <w:rFonts w:hint="eastAsia" w:ascii="宋体" w:hAnsi="宋体" w:cs="宋体"/>
                <w:bCs/>
                <w:sz w:val="24"/>
                <w:szCs w:val="24"/>
              </w:rPr>
            </w:pPr>
            <w:r>
              <w:rPr>
                <w:rFonts w:hint="eastAsia" w:ascii="宋体" w:hAnsi="宋体" w:cs="宋体"/>
                <w:bCs/>
                <w:sz w:val="24"/>
                <w:szCs w:val="24"/>
                <w:lang w:bidi="ar"/>
              </w:rPr>
              <w:t>合同专用章：</w:t>
            </w:r>
          </w:p>
        </w:tc>
      </w:tr>
      <w:tr w14:paraId="2803C6E8">
        <w:tblPrEx>
          <w:tblCellMar>
            <w:top w:w="0" w:type="dxa"/>
            <w:left w:w="108" w:type="dxa"/>
            <w:bottom w:w="0" w:type="dxa"/>
            <w:right w:w="108" w:type="dxa"/>
          </w:tblCellMar>
        </w:tblPrEx>
        <w:tc>
          <w:tcPr>
            <w:tcW w:w="5148" w:type="dxa"/>
          </w:tcPr>
          <w:p w14:paraId="298546B7">
            <w:pPr>
              <w:rPr>
                <w:rFonts w:hint="eastAsia" w:ascii="宋体" w:hAnsi="宋体" w:cs="宋体"/>
                <w:bCs/>
                <w:sz w:val="24"/>
                <w:szCs w:val="24"/>
              </w:rPr>
            </w:pPr>
          </w:p>
        </w:tc>
        <w:tc>
          <w:tcPr>
            <w:tcW w:w="4860" w:type="dxa"/>
          </w:tcPr>
          <w:p w14:paraId="78F69D77">
            <w:pPr>
              <w:rPr>
                <w:rFonts w:hint="eastAsia" w:ascii="宋体" w:hAnsi="宋体" w:cs="宋体"/>
                <w:bCs/>
                <w:sz w:val="24"/>
                <w:szCs w:val="24"/>
              </w:rPr>
            </w:pPr>
          </w:p>
        </w:tc>
      </w:tr>
      <w:tr w14:paraId="103055FE">
        <w:tblPrEx>
          <w:tblCellMar>
            <w:top w:w="0" w:type="dxa"/>
            <w:left w:w="108" w:type="dxa"/>
            <w:bottom w:w="0" w:type="dxa"/>
            <w:right w:w="108" w:type="dxa"/>
          </w:tblCellMar>
        </w:tblPrEx>
        <w:tc>
          <w:tcPr>
            <w:tcW w:w="5148" w:type="dxa"/>
          </w:tcPr>
          <w:p w14:paraId="33F282AE">
            <w:pPr>
              <w:rPr>
                <w:rFonts w:hint="eastAsia" w:ascii="宋体" w:hAnsi="宋体" w:cs="宋体"/>
                <w:bCs/>
                <w:sz w:val="24"/>
                <w:szCs w:val="24"/>
              </w:rPr>
            </w:pPr>
          </w:p>
        </w:tc>
        <w:tc>
          <w:tcPr>
            <w:tcW w:w="4860" w:type="dxa"/>
          </w:tcPr>
          <w:p w14:paraId="798C233A">
            <w:pPr>
              <w:ind w:firstLine="720" w:firstLineChars="300"/>
              <w:rPr>
                <w:rFonts w:hint="eastAsia" w:ascii="宋体" w:hAnsi="宋体" w:cs="宋体"/>
                <w:bCs/>
                <w:sz w:val="24"/>
                <w:szCs w:val="24"/>
              </w:rPr>
            </w:pPr>
            <w:r>
              <w:rPr>
                <w:rFonts w:hint="eastAsia" w:ascii="宋体" w:hAnsi="宋体" w:cs="宋体"/>
                <w:bCs/>
                <w:sz w:val="24"/>
                <w:szCs w:val="24"/>
                <w:lang w:bidi="ar"/>
              </w:rPr>
              <w:t>单位地址：</w:t>
            </w:r>
          </w:p>
        </w:tc>
      </w:tr>
      <w:tr w14:paraId="3F8CA404">
        <w:tblPrEx>
          <w:tblCellMar>
            <w:top w:w="0" w:type="dxa"/>
            <w:left w:w="108" w:type="dxa"/>
            <w:bottom w:w="0" w:type="dxa"/>
            <w:right w:w="108" w:type="dxa"/>
          </w:tblCellMar>
        </w:tblPrEx>
        <w:tc>
          <w:tcPr>
            <w:tcW w:w="5148" w:type="dxa"/>
          </w:tcPr>
          <w:p w14:paraId="295FB6BC">
            <w:pPr>
              <w:rPr>
                <w:rFonts w:hint="eastAsia" w:ascii="宋体" w:hAnsi="宋体" w:cs="宋体"/>
                <w:bCs/>
                <w:sz w:val="24"/>
                <w:szCs w:val="24"/>
              </w:rPr>
            </w:pPr>
          </w:p>
          <w:p w14:paraId="57F20C62">
            <w:pPr>
              <w:rPr>
                <w:rFonts w:hint="eastAsia" w:ascii="宋体" w:hAnsi="宋体" w:cs="宋体"/>
                <w:bCs/>
                <w:sz w:val="24"/>
                <w:szCs w:val="24"/>
              </w:rPr>
            </w:pPr>
          </w:p>
        </w:tc>
        <w:tc>
          <w:tcPr>
            <w:tcW w:w="4860" w:type="dxa"/>
          </w:tcPr>
          <w:p w14:paraId="7BD1ED61">
            <w:pPr>
              <w:rPr>
                <w:rFonts w:hint="eastAsia" w:ascii="宋体" w:hAnsi="宋体" w:cs="宋体"/>
                <w:bCs/>
                <w:sz w:val="24"/>
                <w:szCs w:val="24"/>
              </w:rPr>
            </w:pPr>
          </w:p>
        </w:tc>
      </w:tr>
      <w:tr w14:paraId="673A4410">
        <w:tblPrEx>
          <w:tblCellMar>
            <w:top w:w="0" w:type="dxa"/>
            <w:left w:w="108" w:type="dxa"/>
            <w:bottom w:w="0" w:type="dxa"/>
            <w:right w:w="108" w:type="dxa"/>
          </w:tblCellMar>
        </w:tblPrEx>
        <w:tc>
          <w:tcPr>
            <w:tcW w:w="5148" w:type="dxa"/>
          </w:tcPr>
          <w:p w14:paraId="117CF803">
            <w:pPr>
              <w:ind w:firstLine="1200" w:firstLineChars="500"/>
              <w:rPr>
                <w:rFonts w:hint="eastAsia" w:ascii="宋体" w:hAnsi="宋体" w:cs="宋体"/>
                <w:bCs/>
                <w:sz w:val="24"/>
                <w:szCs w:val="24"/>
              </w:rPr>
            </w:pPr>
            <w:r>
              <w:rPr>
                <w:rFonts w:hint="eastAsia" w:ascii="宋体" w:hAnsi="宋体" w:cs="宋体"/>
                <w:bCs/>
                <w:sz w:val="24"/>
                <w:szCs w:val="24"/>
                <w:lang w:bidi="ar"/>
              </w:rPr>
              <w:t>合同专用章：</w:t>
            </w:r>
          </w:p>
        </w:tc>
        <w:tc>
          <w:tcPr>
            <w:tcW w:w="4860" w:type="dxa"/>
          </w:tcPr>
          <w:p w14:paraId="0243344E">
            <w:pPr>
              <w:ind w:firstLine="720" w:firstLineChars="300"/>
              <w:rPr>
                <w:rFonts w:hint="eastAsia" w:ascii="宋体" w:hAnsi="宋体" w:cs="宋体"/>
                <w:bCs/>
                <w:sz w:val="24"/>
                <w:szCs w:val="24"/>
              </w:rPr>
            </w:pPr>
            <w:r>
              <w:rPr>
                <w:rFonts w:hint="eastAsia" w:ascii="宋体" w:hAnsi="宋体" w:cs="宋体"/>
                <w:bCs/>
                <w:sz w:val="24"/>
                <w:szCs w:val="24"/>
                <w:lang w:bidi="ar"/>
              </w:rPr>
              <w:t>单位电话：</w:t>
            </w:r>
          </w:p>
        </w:tc>
      </w:tr>
      <w:tr w14:paraId="2ED48B7F">
        <w:tblPrEx>
          <w:tblCellMar>
            <w:top w:w="0" w:type="dxa"/>
            <w:left w:w="108" w:type="dxa"/>
            <w:bottom w:w="0" w:type="dxa"/>
            <w:right w:w="108" w:type="dxa"/>
          </w:tblCellMar>
        </w:tblPrEx>
        <w:tc>
          <w:tcPr>
            <w:tcW w:w="5148" w:type="dxa"/>
          </w:tcPr>
          <w:p w14:paraId="41520EB4">
            <w:pPr>
              <w:rPr>
                <w:rFonts w:hint="eastAsia" w:ascii="宋体" w:hAnsi="宋体" w:cs="宋体"/>
                <w:bCs/>
                <w:sz w:val="24"/>
                <w:szCs w:val="24"/>
              </w:rPr>
            </w:pPr>
          </w:p>
          <w:p w14:paraId="040AE7A9">
            <w:pPr>
              <w:rPr>
                <w:rFonts w:hint="eastAsia" w:ascii="宋体" w:hAnsi="宋体" w:cs="宋体"/>
                <w:bCs/>
                <w:sz w:val="24"/>
                <w:szCs w:val="24"/>
              </w:rPr>
            </w:pPr>
          </w:p>
        </w:tc>
        <w:tc>
          <w:tcPr>
            <w:tcW w:w="4860" w:type="dxa"/>
          </w:tcPr>
          <w:p w14:paraId="3165F0D3">
            <w:pPr>
              <w:ind w:firstLine="720" w:firstLineChars="300"/>
              <w:rPr>
                <w:rFonts w:hint="eastAsia" w:ascii="宋体" w:hAnsi="宋体" w:cs="宋体"/>
                <w:bCs/>
                <w:sz w:val="24"/>
                <w:szCs w:val="24"/>
              </w:rPr>
            </w:pPr>
            <w:r>
              <w:rPr>
                <w:rFonts w:hint="eastAsia" w:ascii="宋体" w:hAnsi="宋体" w:cs="宋体"/>
                <w:bCs/>
                <w:sz w:val="24"/>
                <w:szCs w:val="24"/>
                <w:lang w:bidi="ar"/>
              </w:rPr>
              <w:t>维修工程师电话：</w:t>
            </w:r>
          </w:p>
        </w:tc>
      </w:tr>
      <w:tr w14:paraId="2F73B798">
        <w:tblPrEx>
          <w:tblCellMar>
            <w:top w:w="0" w:type="dxa"/>
            <w:left w:w="108" w:type="dxa"/>
            <w:bottom w:w="0" w:type="dxa"/>
            <w:right w:w="108" w:type="dxa"/>
          </w:tblCellMar>
        </w:tblPrEx>
        <w:tc>
          <w:tcPr>
            <w:tcW w:w="5148" w:type="dxa"/>
          </w:tcPr>
          <w:p w14:paraId="2AF84D7F">
            <w:pPr>
              <w:ind w:firstLine="1200" w:firstLineChars="500"/>
              <w:rPr>
                <w:rFonts w:hint="eastAsia" w:ascii="宋体" w:hAnsi="宋体" w:cs="宋体"/>
                <w:bCs/>
                <w:sz w:val="24"/>
                <w:szCs w:val="24"/>
              </w:rPr>
            </w:pPr>
            <w:r>
              <w:rPr>
                <w:rFonts w:hint="eastAsia" w:ascii="宋体" w:hAnsi="宋体" w:cs="宋体"/>
                <w:bCs/>
                <w:sz w:val="24"/>
                <w:szCs w:val="24"/>
                <w:lang w:bidi="ar"/>
              </w:rPr>
              <w:t>单位地址：</w:t>
            </w:r>
          </w:p>
        </w:tc>
        <w:tc>
          <w:tcPr>
            <w:tcW w:w="4860" w:type="dxa"/>
          </w:tcPr>
          <w:p w14:paraId="12C1CA1F">
            <w:pPr>
              <w:ind w:firstLine="960" w:firstLineChars="400"/>
              <w:rPr>
                <w:rFonts w:hint="eastAsia" w:ascii="宋体" w:hAnsi="宋体" w:cs="宋体"/>
                <w:bCs/>
                <w:sz w:val="24"/>
                <w:szCs w:val="24"/>
              </w:rPr>
            </w:pPr>
            <w:r>
              <w:rPr>
                <w:rFonts w:hint="eastAsia" w:ascii="宋体" w:hAnsi="宋体" w:cs="宋体"/>
                <w:bCs/>
                <w:sz w:val="24"/>
                <w:szCs w:val="24"/>
                <w:lang w:bidi="ar"/>
              </w:rPr>
              <w:t>开户行：</w:t>
            </w:r>
          </w:p>
        </w:tc>
      </w:tr>
      <w:tr w14:paraId="45AE78A7">
        <w:tblPrEx>
          <w:tblCellMar>
            <w:top w:w="0" w:type="dxa"/>
            <w:left w:w="108" w:type="dxa"/>
            <w:bottom w:w="0" w:type="dxa"/>
            <w:right w:w="108" w:type="dxa"/>
          </w:tblCellMar>
        </w:tblPrEx>
        <w:tc>
          <w:tcPr>
            <w:tcW w:w="5148" w:type="dxa"/>
          </w:tcPr>
          <w:p w14:paraId="0556FBC5">
            <w:pPr>
              <w:rPr>
                <w:rFonts w:hint="eastAsia" w:ascii="宋体" w:hAnsi="宋体" w:cs="宋体"/>
                <w:bCs/>
                <w:sz w:val="24"/>
                <w:szCs w:val="24"/>
              </w:rPr>
            </w:pPr>
          </w:p>
          <w:p w14:paraId="750554DC">
            <w:pPr>
              <w:ind w:firstLine="1200" w:firstLineChars="500"/>
              <w:rPr>
                <w:rFonts w:hint="eastAsia" w:ascii="宋体" w:hAnsi="宋体" w:cs="宋体"/>
                <w:bCs/>
                <w:sz w:val="24"/>
                <w:szCs w:val="24"/>
              </w:rPr>
            </w:pPr>
            <w:r>
              <w:rPr>
                <w:rFonts w:hint="eastAsia" w:ascii="宋体" w:hAnsi="宋体" w:cs="宋体"/>
                <w:bCs/>
                <w:sz w:val="24"/>
                <w:szCs w:val="24"/>
                <w:lang w:bidi="ar"/>
              </w:rPr>
              <w:t>单位电话：</w:t>
            </w:r>
          </w:p>
        </w:tc>
        <w:tc>
          <w:tcPr>
            <w:tcW w:w="4860" w:type="dxa"/>
          </w:tcPr>
          <w:p w14:paraId="689560C6">
            <w:pPr>
              <w:ind w:firstLine="960" w:firstLineChars="400"/>
              <w:rPr>
                <w:rFonts w:hint="eastAsia" w:ascii="宋体" w:hAnsi="宋体" w:cs="宋体"/>
                <w:bCs/>
                <w:sz w:val="24"/>
                <w:szCs w:val="24"/>
              </w:rPr>
            </w:pPr>
            <w:r>
              <w:rPr>
                <w:rFonts w:hint="eastAsia" w:ascii="宋体" w:hAnsi="宋体" w:cs="宋体"/>
                <w:bCs/>
                <w:sz w:val="24"/>
                <w:szCs w:val="24"/>
                <w:lang w:bidi="ar"/>
              </w:rPr>
              <w:t>帐号：</w:t>
            </w:r>
          </w:p>
        </w:tc>
      </w:tr>
      <w:tr w14:paraId="4E95138B">
        <w:tblPrEx>
          <w:tblCellMar>
            <w:top w:w="0" w:type="dxa"/>
            <w:left w:w="108" w:type="dxa"/>
            <w:bottom w:w="0" w:type="dxa"/>
            <w:right w:w="108" w:type="dxa"/>
          </w:tblCellMar>
        </w:tblPrEx>
        <w:tc>
          <w:tcPr>
            <w:tcW w:w="5148" w:type="dxa"/>
          </w:tcPr>
          <w:p w14:paraId="515767A6">
            <w:pPr>
              <w:ind w:firstLine="1200" w:firstLineChars="500"/>
              <w:rPr>
                <w:rFonts w:hint="eastAsia" w:ascii="宋体" w:hAnsi="宋体" w:cs="宋体"/>
                <w:bCs/>
                <w:sz w:val="24"/>
                <w:szCs w:val="24"/>
              </w:rPr>
            </w:pPr>
            <w:r>
              <w:rPr>
                <w:rFonts w:hint="eastAsia" w:ascii="宋体" w:hAnsi="宋体" w:cs="宋体"/>
                <w:bCs/>
                <w:sz w:val="24"/>
                <w:szCs w:val="24"/>
                <w:lang w:bidi="ar"/>
              </w:rPr>
              <w:t>合同签订时间：    年   月   日</w:t>
            </w:r>
          </w:p>
        </w:tc>
        <w:tc>
          <w:tcPr>
            <w:tcW w:w="4860" w:type="dxa"/>
          </w:tcPr>
          <w:p w14:paraId="21302200">
            <w:pPr>
              <w:ind w:firstLine="720" w:firstLineChars="300"/>
              <w:rPr>
                <w:rFonts w:hint="eastAsia" w:ascii="宋体" w:hAnsi="宋体" w:cs="宋体"/>
                <w:bCs/>
                <w:sz w:val="24"/>
                <w:szCs w:val="24"/>
              </w:rPr>
            </w:pPr>
            <w:r>
              <w:rPr>
                <w:rFonts w:hint="eastAsia" w:ascii="宋体" w:hAnsi="宋体" w:cs="宋体"/>
                <w:bCs/>
                <w:sz w:val="24"/>
                <w:szCs w:val="24"/>
                <w:lang w:bidi="ar"/>
              </w:rPr>
              <w:t>合同签订时间：    年   月   日</w:t>
            </w:r>
          </w:p>
        </w:tc>
      </w:tr>
      <w:bookmarkEnd w:id="109"/>
    </w:tbl>
    <w:p w14:paraId="481BA884">
      <w:pPr>
        <w:snapToGrid w:val="0"/>
        <w:ind w:firstLine="234" w:firstLineChars="97"/>
        <w:rPr>
          <w:rFonts w:hint="eastAsia" w:ascii="宋体" w:hAnsi="宋体" w:cs="宋体"/>
          <w:sz w:val="24"/>
          <w:szCs w:val="24"/>
        </w:rPr>
      </w:pPr>
      <w:r>
        <w:rPr>
          <w:rFonts w:hint="eastAsia" w:ascii="宋体" w:hAnsi="宋体" w:cs="宋体"/>
          <w:b/>
          <w:bCs/>
          <w:sz w:val="24"/>
          <w:szCs w:val="24"/>
          <w:lang w:bidi="ar"/>
        </w:rPr>
        <w:br w:type="page"/>
      </w:r>
      <w:r>
        <w:rPr>
          <w:rFonts w:hint="eastAsia" w:ascii="宋体" w:hAnsi="宋体" w:cs="宋体"/>
          <w:b/>
          <w:bCs/>
          <w:sz w:val="24"/>
          <w:szCs w:val="24"/>
          <w:lang w:bidi="ar"/>
        </w:rPr>
        <w:t>附件1：</w:t>
      </w:r>
    </w:p>
    <w:p w14:paraId="681CB4CE">
      <w:pPr>
        <w:snapToGrid w:val="0"/>
        <w:ind w:firstLine="480" w:firstLineChars="200"/>
        <w:jc w:val="center"/>
        <w:rPr>
          <w:rFonts w:hint="eastAsia" w:ascii="宋体" w:hAnsi="宋体" w:cs="宋体"/>
          <w:sz w:val="24"/>
          <w:szCs w:val="24"/>
        </w:rPr>
      </w:pPr>
    </w:p>
    <w:p w14:paraId="30512F69">
      <w:pPr>
        <w:snapToGrid w:val="0"/>
        <w:ind w:firstLine="480" w:firstLineChars="200"/>
        <w:jc w:val="center"/>
        <w:rPr>
          <w:rFonts w:hint="eastAsia" w:ascii="宋体" w:hAnsi="宋体" w:cs="宋体"/>
          <w:sz w:val="24"/>
          <w:szCs w:val="24"/>
        </w:rPr>
      </w:pPr>
      <w:r>
        <w:rPr>
          <w:rFonts w:hint="eastAsia" w:ascii="宋体" w:hAnsi="宋体" w:cs="宋体"/>
          <w:sz w:val="24"/>
          <w:szCs w:val="24"/>
          <w:lang w:bidi="ar"/>
        </w:rPr>
        <w:t>法人身份证明书或法人代表授权书（如果有授权代表）（加盖公章）</w:t>
      </w:r>
    </w:p>
    <w:p w14:paraId="35948A30">
      <w:pPr>
        <w:snapToGrid w:val="0"/>
        <w:ind w:firstLine="480" w:firstLineChars="200"/>
        <w:jc w:val="center"/>
        <w:rPr>
          <w:rFonts w:hint="eastAsia" w:ascii="宋体" w:hAnsi="宋体" w:cs="宋体"/>
          <w:sz w:val="24"/>
          <w:szCs w:val="24"/>
        </w:rPr>
      </w:pPr>
    </w:p>
    <w:p w14:paraId="1E863260">
      <w:pPr>
        <w:jc w:val="center"/>
        <w:rPr>
          <w:rFonts w:hint="eastAsia" w:ascii="宋体" w:hAnsi="宋体" w:cs="宋体"/>
          <w:b/>
          <w:bCs/>
          <w:spacing w:val="20"/>
          <w:sz w:val="24"/>
          <w:szCs w:val="24"/>
        </w:rPr>
      </w:pPr>
      <w:r>
        <w:rPr>
          <w:rFonts w:hint="eastAsia" w:ascii="宋体" w:hAnsi="宋体" w:cs="宋体"/>
          <w:b/>
          <w:bCs/>
          <w:spacing w:val="20"/>
          <w:sz w:val="24"/>
          <w:szCs w:val="24"/>
          <w:lang w:bidi="ar"/>
        </w:rPr>
        <w:t>样本：法人代表授权书</w:t>
      </w:r>
    </w:p>
    <w:p w14:paraId="1D4745AC">
      <w:pPr>
        <w:jc w:val="center"/>
        <w:rPr>
          <w:rFonts w:hint="eastAsia" w:ascii="宋体" w:hAnsi="宋体" w:cs="宋体"/>
          <w:sz w:val="24"/>
          <w:szCs w:val="24"/>
        </w:rPr>
      </w:pPr>
    </w:p>
    <w:p w14:paraId="5248A52F">
      <w:pPr>
        <w:jc w:val="center"/>
        <w:rPr>
          <w:rFonts w:hint="eastAsia" w:ascii="宋体" w:hAnsi="宋体" w:cs="宋体"/>
          <w:sz w:val="24"/>
          <w:szCs w:val="24"/>
        </w:rPr>
      </w:pPr>
    </w:p>
    <w:p w14:paraId="47F5E3C6">
      <w:pPr>
        <w:pStyle w:val="31"/>
        <w:widowControl w:val="0"/>
        <w:spacing w:before="0" w:beforeAutospacing="0" w:after="0" w:afterAutospacing="0"/>
        <w:ind w:firstLine="480" w:firstLineChars="200"/>
        <w:jc w:val="both"/>
        <w:rPr>
          <w:rFonts w:hint="eastAsia"/>
        </w:rPr>
      </w:pPr>
      <w:r>
        <w:rPr>
          <w:rFonts w:hint="eastAsia"/>
          <w:kern w:val="2"/>
          <w:lang w:bidi="ar"/>
        </w:rPr>
        <w:t>本授权书声明：注册于</w:t>
      </w:r>
      <w:r>
        <w:rPr>
          <w:rFonts w:hint="eastAsia"/>
          <w:b/>
          <w:kern w:val="2"/>
          <w:u w:val="single"/>
          <w:lang w:bidi="ar"/>
        </w:rPr>
        <w:t xml:space="preserve">  （地区名称） </w:t>
      </w:r>
      <w:r>
        <w:rPr>
          <w:rFonts w:hint="eastAsia"/>
          <w:b/>
          <w:kern w:val="2"/>
          <w:lang w:bidi="ar"/>
        </w:rPr>
        <w:t>的</w:t>
      </w:r>
      <w:r>
        <w:rPr>
          <w:rFonts w:hint="eastAsia"/>
          <w:b/>
          <w:kern w:val="2"/>
          <w:u w:val="single"/>
          <w:lang w:bidi="ar"/>
        </w:rPr>
        <w:t xml:space="preserve">   （公司名称）   </w:t>
      </w:r>
      <w:r>
        <w:rPr>
          <w:rFonts w:hint="eastAsia"/>
          <w:kern w:val="2"/>
          <w:lang w:bidi="ar"/>
        </w:rPr>
        <w:t>法人</w:t>
      </w:r>
      <w:r>
        <w:rPr>
          <w:rFonts w:hint="eastAsia"/>
          <w:b/>
          <w:kern w:val="2"/>
          <w:u w:val="single"/>
          <w:lang w:bidi="ar"/>
        </w:rPr>
        <w:t xml:space="preserve">   （姓名、职务） </w:t>
      </w:r>
      <w:r>
        <w:rPr>
          <w:rFonts w:hint="eastAsia"/>
          <w:kern w:val="2"/>
          <w:lang w:bidi="ar"/>
        </w:rPr>
        <w:t>代表本公司授权销售代表</w:t>
      </w:r>
      <w:r>
        <w:rPr>
          <w:rFonts w:hint="eastAsia"/>
          <w:kern w:val="2"/>
          <w:u w:val="single"/>
          <w:lang w:bidi="ar"/>
        </w:rPr>
        <w:t xml:space="preserve">  </w:t>
      </w:r>
      <w:r>
        <w:rPr>
          <w:rFonts w:hint="eastAsia"/>
          <w:b/>
          <w:kern w:val="2"/>
          <w:u w:val="single"/>
          <w:lang w:bidi="ar"/>
        </w:rPr>
        <w:t>（姓名、职务）</w:t>
      </w:r>
      <w:r>
        <w:rPr>
          <w:rFonts w:hint="eastAsia"/>
          <w:kern w:val="2"/>
          <w:u w:val="single"/>
          <w:lang w:bidi="ar"/>
        </w:rPr>
        <w:t xml:space="preserve"> </w:t>
      </w:r>
      <w:r>
        <w:rPr>
          <w:rFonts w:hint="eastAsia"/>
          <w:b/>
          <w:kern w:val="2"/>
          <w:u w:val="single"/>
          <w:lang w:bidi="ar"/>
        </w:rPr>
        <w:t xml:space="preserve">   </w:t>
      </w:r>
      <w:r>
        <w:rPr>
          <w:rFonts w:hint="eastAsia"/>
          <w:kern w:val="2"/>
          <w:lang w:bidi="ar"/>
        </w:rPr>
        <w:t>为本公司的合法代理人，就新疆国际医疗中心（新疆国际医院）医疗设备项目</w:t>
      </w:r>
      <w:r>
        <w:rPr>
          <w:rFonts w:hint="eastAsia"/>
          <w:b/>
          <w:kern w:val="2"/>
          <w:u w:val="single"/>
          <w:lang w:bidi="ar"/>
        </w:rPr>
        <w:t xml:space="preserve">     （合同编号+设备名称）    </w:t>
      </w:r>
      <w:r>
        <w:rPr>
          <w:rFonts w:hint="eastAsia"/>
          <w:kern w:val="2"/>
          <w:lang w:bidi="ar"/>
        </w:rPr>
        <w:t>包括但不限于以下方面：谈判响应、合同签订、履行，以本公司的名义处理一切与之有关的事务。</w:t>
      </w:r>
    </w:p>
    <w:p w14:paraId="3F300BC1">
      <w:pPr>
        <w:ind w:firstLine="482"/>
        <w:rPr>
          <w:rFonts w:hint="eastAsia" w:ascii="宋体" w:hAnsi="宋体" w:cs="宋体"/>
          <w:sz w:val="24"/>
          <w:szCs w:val="24"/>
        </w:rPr>
      </w:pPr>
    </w:p>
    <w:p w14:paraId="313FC960">
      <w:pPr>
        <w:ind w:firstLine="652" w:firstLineChars="272"/>
        <w:rPr>
          <w:rFonts w:hint="eastAsia" w:ascii="宋体" w:hAnsi="宋体" w:cs="宋体"/>
          <w:sz w:val="24"/>
          <w:szCs w:val="24"/>
          <w:u w:val="single"/>
        </w:rPr>
      </w:pPr>
      <w:r>
        <w:rPr>
          <w:rFonts w:hint="eastAsia" w:ascii="宋体" w:hAnsi="宋体" w:cs="宋体"/>
          <w:sz w:val="24"/>
          <w:szCs w:val="24"/>
          <w:lang w:bidi="ar"/>
        </w:rPr>
        <w:t>本授权书于</w:t>
      </w:r>
      <w:r>
        <w:rPr>
          <w:rFonts w:hint="eastAsia" w:ascii="宋体" w:hAnsi="宋体" w:cs="宋体"/>
          <w:sz w:val="24"/>
          <w:szCs w:val="24"/>
          <w:u w:val="single"/>
          <w:lang w:bidi="ar"/>
        </w:rPr>
        <w:t xml:space="preserve">　     </w:t>
      </w:r>
      <w:r>
        <w:rPr>
          <w:rFonts w:hint="eastAsia" w:ascii="宋体" w:hAnsi="宋体" w:cs="宋体"/>
          <w:b/>
          <w:sz w:val="24"/>
          <w:szCs w:val="24"/>
          <w:u w:val="single"/>
          <w:lang w:bidi="ar"/>
        </w:rPr>
        <w:t xml:space="preserve"> </w:t>
      </w:r>
      <w:r>
        <w:rPr>
          <w:rFonts w:hint="eastAsia" w:ascii="宋体" w:hAnsi="宋体" w:cs="宋体"/>
          <w:sz w:val="24"/>
          <w:szCs w:val="24"/>
          <w:lang w:bidi="ar"/>
        </w:rPr>
        <w:t>年</w:t>
      </w:r>
      <w:r>
        <w:rPr>
          <w:rFonts w:hint="eastAsia" w:ascii="宋体" w:hAnsi="宋体" w:cs="宋体"/>
          <w:b/>
          <w:bCs/>
          <w:sz w:val="24"/>
          <w:szCs w:val="24"/>
          <w:u w:val="single"/>
          <w:lang w:bidi="ar"/>
        </w:rPr>
        <w:t xml:space="preserve">     </w:t>
      </w:r>
      <w:r>
        <w:rPr>
          <w:rFonts w:hint="eastAsia" w:ascii="宋体" w:hAnsi="宋体" w:cs="宋体"/>
          <w:sz w:val="24"/>
          <w:szCs w:val="24"/>
          <w:lang w:bidi="ar"/>
        </w:rPr>
        <w:t>月</w:t>
      </w:r>
      <w:r>
        <w:rPr>
          <w:rFonts w:hint="eastAsia" w:ascii="宋体" w:hAnsi="宋体" w:cs="宋体"/>
          <w:b/>
          <w:sz w:val="24"/>
          <w:szCs w:val="24"/>
          <w:u w:val="single"/>
          <w:lang w:bidi="ar"/>
        </w:rPr>
        <w:t xml:space="preserve">     </w:t>
      </w:r>
      <w:r>
        <w:rPr>
          <w:rFonts w:hint="eastAsia" w:ascii="宋体" w:hAnsi="宋体" w:cs="宋体"/>
          <w:sz w:val="24"/>
          <w:szCs w:val="24"/>
          <w:lang w:bidi="ar"/>
        </w:rPr>
        <w:t>日签字生效，特此声明。</w:t>
      </w:r>
    </w:p>
    <w:p w14:paraId="771D2EAE">
      <w:pPr>
        <w:ind w:firstLine="482"/>
        <w:rPr>
          <w:rFonts w:hint="eastAsia" w:ascii="宋体" w:hAnsi="宋体" w:cs="宋体"/>
          <w:sz w:val="24"/>
          <w:szCs w:val="24"/>
        </w:rPr>
      </w:pPr>
    </w:p>
    <w:p w14:paraId="3594BC01">
      <w:pPr>
        <w:ind w:firstLine="651" w:firstLineChars="270"/>
        <w:rPr>
          <w:rFonts w:hint="eastAsia" w:ascii="宋体" w:hAnsi="宋体" w:cs="宋体"/>
          <w:b/>
          <w:sz w:val="24"/>
          <w:szCs w:val="24"/>
        </w:rPr>
      </w:pPr>
      <w:r>
        <w:rPr>
          <w:rFonts w:hint="eastAsia" w:ascii="宋体" w:hAnsi="宋体" w:cs="宋体"/>
          <w:b/>
          <w:sz w:val="24"/>
          <w:szCs w:val="24"/>
          <w:lang w:bidi="ar"/>
        </w:rPr>
        <w:t>法人代表签字：</w:t>
      </w:r>
      <w:r>
        <w:rPr>
          <w:rFonts w:hint="eastAsia" w:ascii="宋体" w:hAnsi="宋体" w:cs="宋体"/>
          <w:b/>
          <w:sz w:val="24"/>
          <w:szCs w:val="24"/>
          <w:u w:val="single"/>
          <w:lang w:bidi="ar"/>
        </w:rPr>
        <w:t>　　　　　　　　　　　　　　</w:t>
      </w:r>
    </w:p>
    <w:p w14:paraId="25FD3055">
      <w:pPr>
        <w:ind w:firstLine="651" w:firstLineChars="270"/>
        <w:rPr>
          <w:rFonts w:hint="eastAsia" w:ascii="宋体" w:hAnsi="宋体" w:cs="宋体"/>
          <w:b/>
          <w:sz w:val="24"/>
          <w:szCs w:val="24"/>
        </w:rPr>
      </w:pPr>
      <w:r>
        <w:rPr>
          <w:rFonts w:hint="eastAsia" w:ascii="宋体" w:hAnsi="宋体" w:cs="宋体"/>
          <w:b/>
          <w:sz w:val="24"/>
          <w:szCs w:val="24"/>
          <w:lang w:bidi="ar"/>
        </w:rPr>
        <w:t>被授权人签字：</w:t>
      </w:r>
      <w:r>
        <w:rPr>
          <w:rFonts w:hint="eastAsia" w:ascii="宋体" w:hAnsi="宋体" w:cs="宋体"/>
          <w:b/>
          <w:sz w:val="24"/>
          <w:szCs w:val="24"/>
          <w:u w:val="single"/>
          <w:lang w:bidi="ar"/>
        </w:rPr>
        <w:t>　　　　　　　　　　　　　　</w:t>
      </w:r>
    </w:p>
    <w:p w14:paraId="7D33E8AB">
      <w:pPr>
        <w:ind w:firstLine="651" w:firstLineChars="270"/>
        <w:rPr>
          <w:rFonts w:hint="eastAsia" w:ascii="宋体" w:hAnsi="宋体" w:cs="宋体"/>
          <w:b/>
          <w:sz w:val="24"/>
          <w:szCs w:val="24"/>
          <w:u w:val="single"/>
        </w:rPr>
      </w:pPr>
      <w:r>
        <w:rPr>
          <w:rFonts w:hint="eastAsia" w:ascii="宋体" w:hAnsi="宋体" w:cs="宋体"/>
          <w:b/>
          <w:sz w:val="24"/>
          <w:szCs w:val="24"/>
          <w:lang w:bidi="ar"/>
        </w:rPr>
        <w:t>公        章：</w:t>
      </w:r>
      <w:r>
        <w:rPr>
          <w:rFonts w:hint="eastAsia" w:ascii="宋体" w:hAnsi="宋体" w:cs="宋体"/>
          <w:sz w:val="24"/>
          <w:szCs w:val="24"/>
          <w:u w:val="single"/>
          <w:lang w:bidi="ar"/>
        </w:rPr>
        <w:t xml:space="preserve"> </w:t>
      </w:r>
      <w:r>
        <w:rPr>
          <w:rFonts w:hint="eastAsia" w:ascii="宋体" w:hAnsi="宋体" w:cs="宋体"/>
          <w:b/>
          <w:sz w:val="24"/>
          <w:szCs w:val="24"/>
          <w:u w:val="single"/>
          <w:lang w:bidi="ar"/>
        </w:rPr>
        <w:t xml:space="preserve">    （公司名称）           </w:t>
      </w:r>
    </w:p>
    <w:p w14:paraId="4B71E660">
      <w:pPr>
        <w:ind w:firstLine="651" w:firstLineChars="270"/>
        <w:rPr>
          <w:rFonts w:hint="eastAsia" w:ascii="宋体" w:hAnsi="宋体" w:cs="宋体"/>
          <w:b/>
          <w:sz w:val="24"/>
          <w:szCs w:val="24"/>
          <w:u w:val="single"/>
        </w:rPr>
      </w:pPr>
    </w:p>
    <w:p w14:paraId="6B9FCD42">
      <w:pPr>
        <w:ind w:firstLine="651" w:firstLineChars="270"/>
        <w:rPr>
          <w:rFonts w:hint="eastAsia" w:ascii="宋体" w:hAnsi="宋体" w:cs="宋体"/>
          <w:b/>
          <w:sz w:val="24"/>
          <w:szCs w:val="24"/>
          <w:u w:val="single"/>
        </w:rPr>
      </w:pPr>
      <w:r>
        <w:rPr>
          <w:rFonts w:hint="eastAsia" w:ascii="宋体" w:hAnsi="宋体" w:cs="宋体"/>
          <w:b/>
          <w:sz w:val="24"/>
          <w:szCs w:val="24"/>
          <w:u w:val="single"/>
          <w:lang w:bidi="ar"/>
        </w:rPr>
        <w:t>附法人及法人授权代表身份证复印件，加盖公章</w:t>
      </w:r>
    </w:p>
    <w:p w14:paraId="6C925BC1">
      <w:pPr>
        <w:snapToGrid w:val="0"/>
        <w:ind w:firstLine="480" w:firstLineChars="200"/>
        <w:jc w:val="center"/>
        <w:rPr>
          <w:rFonts w:hint="eastAsia" w:ascii="宋体" w:hAnsi="宋体" w:cs="宋体"/>
          <w:sz w:val="24"/>
          <w:szCs w:val="24"/>
        </w:rPr>
      </w:pPr>
    </w:p>
    <w:p w14:paraId="45D6E1D7">
      <w:pPr>
        <w:snapToGrid w:val="0"/>
        <w:ind w:firstLine="480" w:firstLineChars="200"/>
        <w:jc w:val="center"/>
        <w:rPr>
          <w:rFonts w:hint="eastAsia" w:ascii="宋体" w:hAnsi="宋体" w:cs="宋体"/>
          <w:sz w:val="24"/>
          <w:szCs w:val="24"/>
        </w:rPr>
      </w:pPr>
    </w:p>
    <w:p w14:paraId="5FA2D024">
      <w:pPr>
        <w:snapToGrid w:val="0"/>
        <w:ind w:firstLine="480" w:firstLineChars="200"/>
        <w:jc w:val="center"/>
        <w:rPr>
          <w:rFonts w:hint="eastAsia" w:ascii="宋体" w:hAnsi="宋体" w:cs="宋体"/>
          <w:sz w:val="24"/>
          <w:szCs w:val="24"/>
        </w:rPr>
      </w:pPr>
    </w:p>
    <w:p w14:paraId="0417E985">
      <w:pPr>
        <w:snapToGrid w:val="0"/>
        <w:ind w:firstLine="480" w:firstLineChars="200"/>
        <w:jc w:val="center"/>
        <w:rPr>
          <w:rFonts w:hint="eastAsia" w:ascii="宋体" w:hAnsi="宋体" w:cs="宋体"/>
          <w:sz w:val="24"/>
          <w:szCs w:val="24"/>
        </w:rPr>
      </w:pPr>
    </w:p>
    <w:p w14:paraId="24665122">
      <w:pPr>
        <w:snapToGrid w:val="0"/>
        <w:ind w:firstLine="480" w:firstLineChars="200"/>
        <w:jc w:val="center"/>
        <w:rPr>
          <w:rFonts w:hint="eastAsia" w:ascii="宋体" w:hAnsi="宋体" w:cs="宋体"/>
          <w:sz w:val="24"/>
          <w:szCs w:val="24"/>
        </w:rPr>
      </w:pPr>
    </w:p>
    <w:p w14:paraId="04435993">
      <w:pPr>
        <w:snapToGrid w:val="0"/>
        <w:ind w:firstLine="482" w:firstLineChars="200"/>
        <w:rPr>
          <w:rFonts w:hint="eastAsia" w:ascii="宋体" w:hAnsi="宋体" w:cs="宋体"/>
          <w:b/>
          <w:bCs/>
          <w:sz w:val="24"/>
          <w:szCs w:val="24"/>
          <w:lang w:bidi="ar"/>
        </w:rPr>
      </w:pPr>
    </w:p>
    <w:p w14:paraId="26D0162D">
      <w:pPr>
        <w:snapToGrid w:val="0"/>
        <w:ind w:firstLine="482" w:firstLineChars="200"/>
        <w:rPr>
          <w:rFonts w:hint="eastAsia" w:ascii="宋体" w:hAnsi="宋体" w:cs="宋体"/>
          <w:b/>
          <w:bCs/>
          <w:sz w:val="24"/>
          <w:szCs w:val="24"/>
          <w:lang w:bidi="ar"/>
        </w:rPr>
      </w:pPr>
    </w:p>
    <w:p w14:paraId="17EF718D">
      <w:pPr>
        <w:snapToGrid w:val="0"/>
        <w:ind w:firstLine="482" w:firstLineChars="200"/>
        <w:rPr>
          <w:rFonts w:hint="eastAsia" w:ascii="宋体" w:hAnsi="宋体" w:cs="宋体"/>
          <w:b/>
          <w:bCs/>
          <w:sz w:val="24"/>
          <w:szCs w:val="24"/>
          <w:lang w:bidi="ar"/>
        </w:rPr>
      </w:pPr>
    </w:p>
    <w:p w14:paraId="57E3E059">
      <w:pPr>
        <w:rPr>
          <w:rFonts w:hint="eastAsia" w:ascii="宋体" w:hAnsi="宋体" w:cs="宋体"/>
          <w:b/>
          <w:bCs/>
          <w:sz w:val="24"/>
          <w:szCs w:val="24"/>
          <w:lang w:bidi="ar"/>
        </w:rPr>
      </w:pPr>
      <w:r>
        <w:rPr>
          <w:rFonts w:hint="eastAsia" w:ascii="宋体" w:hAnsi="宋体" w:cs="宋体"/>
          <w:b/>
          <w:bCs/>
          <w:sz w:val="24"/>
          <w:szCs w:val="24"/>
          <w:lang w:bidi="ar"/>
        </w:rPr>
        <w:br w:type="page"/>
      </w:r>
    </w:p>
    <w:p w14:paraId="5C22A407">
      <w:pPr>
        <w:snapToGrid w:val="0"/>
        <w:ind w:firstLine="482" w:firstLineChars="200"/>
        <w:rPr>
          <w:rFonts w:hint="eastAsia" w:ascii="宋体" w:hAnsi="宋体" w:cs="宋体"/>
          <w:sz w:val="24"/>
          <w:szCs w:val="24"/>
        </w:rPr>
      </w:pPr>
      <w:r>
        <w:rPr>
          <w:rFonts w:hint="eastAsia" w:ascii="宋体" w:hAnsi="宋体" w:cs="宋体"/>
          <w:b/>
          <w:bCs/>
          <w:sz w:val="24"/>
          <w:szCs w:val="24"/>
          <w:lang w:bidi="ar"/>
        </w:rPr>
        <w:t>附件2：</w:t>
      </w:r>
    </w:p>
    <w:p w14:paraId="37FB7763">
      <w:pPr>
        <w:snapToGrid w:val="0"/>
        <w:ind w:firstLine="480" w:firstLineChars="200"/>
        <w:jc w:val="center"/>
        <w:rPr>
          <w:rFonts w:hint="eastAsia" w:ascii="宋体" w:hAnsi="宋体" w:cs="宋体"/>
          <w:sz w:val="24"/>
          <w:szCs w:val="24"/>
        </w:rPr>
      </w:pPr>
    </w:p>
    <w:p w14:paraId="451FD872">
      <w:pPr>
        <w:snapToGrid w:val="0"/>
        <w:ind w:firstLine="420" w:firstLineChars="200"/>
        <w:jc w:val="center"/>
        <w:rPr>
          <w:rFonts w:hint="eastAsia" w:ascii="宋体" w:hAnsi="宋体" w:cs="宋体"/>
          <w:b/>
          <w:bCs/>
          <w:sz w:val="24"/>
          <w:szCs w:val="24"/>
        </w:rPr>
      </w:pPr>
      <w:r>
        <w:fldChar w:fldCharType="begin"/>
      </w:r>
      <w: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"D:/下载各类驱动/微信存储/xwechat_files/baby_qiqi001_e385/msg/file/2026-04/_blank" </w:instrText>
      </w:r>
      <w:r>
        <w:fldChar w:fldCharType="separate"/>
      </w:r>
      <w:r>
        <w:rPr>
          <w:rStyle w:val="42"/>
          <w:rFonts w:hint="eastAsia" w:ascii="宋体" w:hAnsi="宋体" w:cs="宋体"/>
          <w:color w:val="auto"/>
          <w:sz w:val="24"/>
          <w:szCs w:val="24"/>
          <w:u w:val="none"/>
        </w:rPr>
        <w:t>医疗器械注册证</w:t>
      </w:r>
      <w:r>
        <w:rPr>
          <w:rStyle w:val="42"/>
          <w:rFonts w:hint="eastAsia" w:ascii="宋体" w:hAnsi="宋体" w:cs="宋体"/>
          <w:color w:val="auto"/>
          <w:sz w:val="24"/>
          <w:szCs w:val="24"/>
          <w:u w:val="none"/>
        </w:rPr>
        <w:fldChar w:fldCharType="end"/>
      </w:r>
      <w:r>
        <w:rPr>
          <w:rFonts w:hint="eastAsia" w:ascii="宋体" w:hAnsi="宋体" w:cs="宋体"/>
          <w:b/>
          <w:bCs/>
          <w:sz w:val="24"/>
          <w:szCs w:val="24"/>
          <w:lang w:bidi="ar"/>
        </w:rPr>
        <w:t>（加盖公章）</w:t>
      </w:r>
    </w:p>
    <w:p w14:paraId="71BF7231">
      <w:pPr>
        <w:snapToGrid w:val="0"/>
        <w:ind w:firstLine="482" w:firstLineChars="200"/>
        <w:rPr>
          <w:rFonts w:hint="eastAsia" w:ascii="宋体" w:hAnsi="宋体" w:cs="宋体"/>
          <w:b/>
          <w:bCs/>
          <w:sz w:val="24"/>
          <w:szCs w:val="24"/>
        </w:rPr>
      </w:pPr>
      <w:r>
        <w:rPr>
          <w:rFonts w:hint="eastAsia" w:ascii="宋体" w:hAnsi="宋体" w:cs="宋体"/>
          <w:b/>
          <w:bCs/>
          <w:sz w:val="24"/>
          <w:szCs w:val="24"/>
          <w:lang w:bidi="ar"/>
        </w:rPr>
        <w:br w:type="page"/>
      </w:r>
      <w:r>
        <w:rPr>
          <w:rFonts w:hint="eastAsia" w:ascii="宋体" w:hAnsi="宋体" w:cs="宋体"/>
          <w:b/>
          <w:bCs/>
          <w:sz w:val="24"/>
          <w:szCs w:val="24"/>
          <w:lang w:bidi="ar"/>
        </w:rPr>
        <w:t>附件3：</w:t>
      </w:r>
    </w:p>
    <w:p w14:paraId="588CA767">
      <w:pPr>
        <w:snapToGrid w:val="0"/>
        <w:ind w:firstLine="480" w:firstLineChars="200"/>
        <w:rPr>
          <w:rFonts w:hint="eastAsia" w:ascii="宋体" w:hAnsi="宋体" w:cs="宋体"/>
          <w:sz w:val="24"/>
          <w:szCs w:val="24"/>
        </w:rPr>
      </w:pPr>
    </w:p>
    <w:p w14:paraId="26FEFFF3">
      <w:pPr>
        <w:snapToGrid w:val="0"/>
        <w:ind w:firstLine="482" w:firstLineChars="200"/>
        <w:jc w:val="center"/>
        <w:rPr>
          <w:rFonts w:hint="eastAsia" w:ascii="宋体" w:hAnsi="宋体" w:cs="宋体"/>
          <w:b/>
          <w:bCs/>
          <w:sz w:val="24"/>
          <w:szCs w:val="24"/>
        </w:rPr>
      </w:pPr>
      <w:bookmarkStart w:id="110" w:name="tip_risk_bookmark_37"/>
      <w:r>
        <w:rPr>
          <w:rFonts w:hint="eastAsia" w:ascii="宋体" w:hAnsi="宋体" w:cs="宋体"/>
          <w:b/>
          <w:bCs/>
          <w:sz w:val="24"/>
          <w:szCs w:val="24"/>
          <w:lang w:bidi="ar"/>
        </w:rPr>
        <w:t>配 置 清 单（加盖合同专用章）</w:t>
      </w:r>
    </w:p>
    <w:p w14:paraId="1FADC57A">
      <w:pPr>
        <w:snapToGrid w:val="0"/>
        <w:ind w:firstLine="482" w:firstLineChars="200"/>
        <w:jc w:val="center"/>
        <w:rPr>
          <w:rFonts w:hint="eastAsia" w:ascii="宋体" w:hAnsi="宋体" w:cs="宋体"/>
          <w:b/>
          <w:bCs/>
          <w:sz w:val="24"/>
          <w:szCs w:val="24"/>
        </w:rPr>
      </w:pPr>
      <w:r>
        <w:rPr>
          <w:rFonts w:hint="eastAsia" w:ascii="宋体" w:hAnsi="宋体" w:cs="宋体"/>
          <w:b/>
          <w:bCs/>
          <w:sz w:val="24"/>
          <w:szCs w:val="24"/>
          <w:u w:val="single"/>
          <w:lang w:bidi="ar"/>
        </w:rPr>
        <w:t xml:space="preserve">        （</w:t>
      </w:r>
      <w:r>
        <w:rPr>
          <w:rFonts w:hint="eastAsia" w:ascii="宋体" w:hAnsi="宋体" w:cs="宋体"/>
          <w:b/>
          <w:bCs/>
          <w:sz w:val="24"/>
          <w:szCs w:val="24"/>
          <w:lang w:bidi="ar"/>
        </w:rPr>
        <w:t>型号）</w:t>
      </w:r>
      <w:r>
        <w:rPr>
          <w:rFonts w:hint="eastAsia" w:ascii="宋体" w:hAnsi="宋体" w:cs="宋体"/>
          <w:b/>
          <w:bCs/>
          <w:sz w:val="24"/>
          <w:szCs w:val="24"/>
          <w:u w:val="single"/>
          <w:lang w:bidi="ar"/>
        </w:rPr>
        <w:t xml:space="preserve">        （</w:t>
      </w:r>
      <w:r>
        <w:rPr>
          <w:rFonts w:hint="eastAsia" w:ascii="宋体" w:hAnsi="宋体" w:cs="宋体"/>
          <w:b/>
          <w:bCs/>
          <w:sz w:val="24"/>
          <w:szCs w:val="24"/>
          <w:lang w:bidi="ar"/>
        </w:rPr>
        <w:t>设备名称）</w:t>
      </w:r>
    </w:p>
    <w:p w14:paraId="687D95A3">
      <w:pPr>
        <w:snapToGrid w:val="0"/>
        <w:ind w:firstLine="482" w:firstLineChars="200"/>
        <w:rPr>
          <w:rFonts w:hint="eastAsia" w:ascii="宋体" w:hAnsi="宋体" w:cs="宋体"/>
          <w:b/>
          <w:bCs/>
          <w:sz w:val="24"/>
          <w:szCs w:val="24"/>
        </w:rPr>
      </w:pPr>
    </w:p>
    <w:p w14:paraId="34E27086">
      <w:pPr>
        <w:snapToGrid w:val="0"/>
        <w:ind w:firstLine="482" w:firstLineChars="200"/>
        <w:rPr>
          <w:rFonts w:hint="eastAsia" w:ascii="宋体" w:hAnsi="宋体" w:cs="宋体"/>
          <w:b/>
          <w:bCs/>
          <w:sz w:val="24"/>
          <w:szCs w:val="24"/>
        </w:rPr>
      </w:pPr>
      <w:r>
        <w:rPr>
          <w:rFonts w:hint="eastAsia" w:ascii="宋体" w:hAnsi="宋体" w:cs="宋体"/>
          <w:b/>
          <w:bCs/>
          <w:sz w:val="24"/>
          <w:szCs w:val="24"/>
          <w:lang w:bidi="ar"/>
        </w:rPr>
        <w:t>设备台数：</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033"/>
        <w:gridCol w:w="1453"/>
        <w:gridCol w:w="1453"/>
        <w:gridCol w:w="1453"/>
        <w:gridCol w:w="1456"/>
      </w:tblGrid>
      <w:tr w14:paraId="17F1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0" w:type="dxa"/>
            <w:gridSpan w:val="6"/>
            <w:tcBorders>
              <w:top w:val="single" w:color="auto" w:sz="4" w:space="0"/>
              <w:left w:val="single" w:color="auto" w:sz="4" w:space="0"/>
              <w:bottom w:val="single" w:color="auto" w:sz="4" w:space="0"/>
              <w:right w:val="single" w:color="auto" w:sz="4" w:space="0"/>
            </w:tcBorders>
          </w:tcPr>
          <w:p w14:paraId="6E038424">
            <w:pPr>
              <w:snapToGrid w:val="0"/>
              <w:jc w:val="center"/>
              <w:rPr>
                <w:rFonts w:hint="eastAsia" w:ascii="宋体" w:hAnsi="宋体" w:cs="宋体"/>
                <w:b/>
                <w:bCs/>
                <w:sz w:val="24"/>
                <w:szCs w:val="24"/>
              </w:rPr>
            </w:pPr>
            <w:r>
              <w:rPr>
                <w:rFonts w:hint="eastAsia" w:ascii="宋体" w:hAnsi="宋体" w:cs="宋体"/>
                <w:b/>
                <w:bCs/>
                <w:sz w:val="24"/>
                <w:szCs w:val="24"/>
                <w:lang w:bidi="ar"/>
              </w:rPr>
              <w:t>标准配置</w:t>
            </w:r>
          </w:p>
        </w:tc>
      </w:tr>
      <w:tr w14:paraId="59BC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tcPr>
          <w:p w14:paraId="201D9AF0">
            <w:pPr>
              <w:snapToGrid w:val="0"/>
              <w:jc w:val="center"/>
              <w:rPr>
                <w:rFonts w:hint="eastAsia" w:ascii="宋体" w:hAnsi="宋体" w:cs="宋体"/>
                <w:b/>
                <w:bCs/>
                <w:sz w:val="24"/>
                <w:szCs w:val="24"/>
              </w:rPr>
            </w:pPr>
            <w:r>
              <w:rPr>
                <w:rFonts w:hint="eastAsia" w:ascii="宋体" w:hAnsi="宋体" w:cs="宋体"/>
                <w:b/>
                <w:bCs/>
                <w:sz w:val="24"/>
                <w:szCs w:val="24"/>
                <w:lang w:bidi="ar"/>
              </w:rPr>
              <w:t>序号</w:t>
            </w:r>
          </w:p>
        </w:tc>
        <w:tc>
          <w:tcPr>
            <w:tcW w:w="2033" w:type="dxa"/>
            <w:tcBorders>
              <w:top w:val="single" w:color="auto" w:sz="4" w:space="0"/>
              <w:left w:val="single" w:color="auto" w:sz="4" w:space="0"/>
              <w:bottom w:val="single" w:color="auto" w:sz="4" w:space="0"/>
              <w:right w:val="single" w:color="auto" w:sz="4" w:space="0"/>
            </w:tcBorders>
          </w:tcPr>
          <w:p w14:paraId="2ACDB491">
            <w:pPr>
              <w:snapToGrid w:val="0"/>
              <w:jc w:val="center"/>
              <w:rPr>
                <w:rFonts w:hint="eastAsia" w:ascii="宋体" w:hAnsi="宋体" w:cs="宋体"/>
                <w:b/>
                <w:bCs/>
                <w:sz w:val="24"/>
                <w:szCs w:val="24"/>
              </w:rPr>
            </w:pPr>
            <w:r>
              <w:rPr>
                <w:rFonts w:hint="eastAsia" w:ascii="宋体" w:hAnsi="宋体" w:cs="宋体"/>
                <w:b/>
                <w:bCs/>
                <w:sz w:val="24"/>
                <w:szCs w:val="24"/>
                <w:lang w:bidi="ar"/>
              </w:rPr>
              <w:t>名称</w:t>
            </w:r>
          </w:p>
        </w:tc>
        <w:tc>
          <w:tcPr>
            <w:tcW w:w="1453" w:type="dxa"/>
            <w:tcBorders>
              <w:top w:val="single" w:color="auto" w:sz="4" w:space="0"/>
              <w:left w:val="single" w:color="auto" w:sz="4" w:space="0"/>
              <w:bottom w:val="single" w:color="auto" w:sz="4" w:space="0"/>
              <w:right w:val="single" w:color="auto" w:sz="4" w:space="0"/>
            </w:tcBorders>
          </w:tcPr>
          <w:p w14:paraId="3094EE2D">
            <w:pPr>
              <w:snapToGrid w:val="0"/>
              <w:jc w:val="center"/>
              <w:rPr>
                <w:rFonts w:hint="eastAsia" w:ascii="宋体" w:hAnsi="宋体" w:cs="宋体"/>
                <w:b/>
                <w:bCs/>
                <w:sz w:val="24"/>
                <w:szCs w:val="24"/>
              </w:rPr>
            </w:pPr>
            <w:r>
              <w:rPr>
                <w:rFonts w:hint="eastAsia" w:ascii="宋体" w:hAnsi="宋体" w:cs="宋体"/>
                <w:b/>
                <w:bCs/>
                <w:sz w:val="24"/>
                <w:szCs w:val="24"/>
                <w:lang w:bidi="ar"/>
              </w:rPr>
              <w:t>型号</w:t>
            </w:r>
          </w:p>
        </w:tc>
        <w:tc>
          <w:tcPr>
            <w:tcW w:w="1453" w:type="dxa"/>
            <w:tcBorders>
              <w:top w:val="single" w:color="auto" w:sz="4" w:space="0"/>
              <w:left w:val="single" w:color="auto" w:sz="4" w:space="0"/>
              <w:bottom w:val="single" w:color="auto" w:sz="4" w:space="0"/>
              <w:right w:val="single" w:color="auto" w:sz="4" w:space="0"/>
            </w:tcBorders>
          </w:tcPr>
          <w:p w14:paraId="5C820378">
            <w:pPr>
              <w:snapToGrid w:val="0"/>
              <w:jc w:val="center"/>
              <w:rPr>
                <w:rFonts w:hint="eastAsia" w:ascii="宋体" w:hAnsi="宋体" w:cs="宋体"/>
                <w:b/>
                <w:bCs/>
                <w:sz w:val="24"/>
                <w:szCs w:val="24"/>
              </w:rPr>
            </w:pPr>
            <w:r>
              <w:rPr>
                <w:rFonts w:hint="eastAsia" w:ascii="宋体" w:hAnsi="宋体" w:cs="宋体"/>
                <w:b/>
                <w:bCs/>
                <w:sz w:val="24"/>
                <w:szCs w:val="24"/>
                <w:lang w:bidi="ar"/>
              </w:rPr>
              <w:t>数量</w:t>
            </w:r>
          </w:p>
        </w:tc>
        <w:tc>
          <w:tcPr>
            <w:tcW w:w="1453" w:type="dxa"/>
            <w:tcBorders>
              <w:top w:val="single" w:color="auto" w:sz="4" w:space="0"/>
              <w:left w:val="single" w:color="auto" w:sz="4" w:space="0"/>
              <w:bottom w:val="single" w:color="auto" w:sz="4" w:space="0"/>
              <w:right w:val="single" w:color="auto" w:sz="4" w:space="0"/>
            </w:tcBorders>
          </w:tcPr>
          <w:p w14:paraId="02CC0B9B">
            <w:pPr>
              <w:snapToGrid w:val="0"/>
              <w:jc w:val="center"/>
              <w:rPr>
                <w:rFonts w:hint="eastAsia" w:ascii="宋体" w:hAnsi="宋体" w:cs="宋体"/>
                <w:b/>
                <w:bCs/>
                <w:sz w:val="24"/>
                <w:szCs w:val="24"/>
              </w:rPr>
            </w:pPr>
            <w:r>
              <w:rPr>
                <w:rFonts w:hint="eastAsia" w:ascii="宋体" w:hAnsi="宋体" w:cs="宋体"/>
                <w:b/>
                <w:bCs/>
                <w:sz w:val="24"/>
                <w:szCs w:val="24"/>
                <w:lang w:bidi="ar"/>
              </w:rPr>
              <w:t>单位</w:t>
            </w:r>
          </w:p>
        </w:tc>
        <w:tc>
          <w:tcPr>
            <w:tcW w:w="1456" w:type="dxa"/>
            <w:tcBorders>
              <w:top w:val="single" w:color="auto" w:sz="4" w:space="0"/>
              <w:left w:val="single" w:color="auto" w:sz="4" w:space="0"/>
              <w:bottom w:val="single" w:color="auto" w:sz="4" w:space="0"/>
              <w:right w:val="single" w:color="auto" w:sz="4" w:space="0"/>
            </w:tcBorders>
          </w:tcPr>
          <w:p w14:paraId="68E5FA32">
            <w:pPr>
              <w:snapToGrid w:val="0"/>
              <w:jc w:val="center"/>
              <w:rPr>
                <w:rFonts w:hint="eastAsia" w:ascii="宋体" w:hAnsi="宋体" w:cs="宋体"/>
                <w:b/>
                <w:bCs/>
                <w:sz w:val="24"/>
                <w:szCs w:val="24"/>
              </w:rPr>
            </w:pPr>
            <w:r>
              <w:rPr>
                <w:rFonts w:hint="eastAsia" w:ascii="宋体" w:hAnsi="宋体" w:cs="宋体"/>
                <w:b/>
                <w:bCs/>
                <w:sz w:val="24"/>
                <w:szCs w:val="24"/>
                <w:lang w:bidi="ar"/>
              </w:rPr>
              <w:t>备注</w:t>
            </w:r>
          </w:p>
        </w:tc>
      </w:tr>
      <w:tr w14:paraId="23B9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tcPr>
          <w:p w14:paraId="245EFD20">
            <w:pPr>
              <w:snapToGrid w:val="0"/>
              <w:jc w:val="center"/>
              <w:rPr>
                <w:rFonts w:hint="eastAsia" w:ascii="宋体" w:hAnsi="宋体" w:cs="宋体"/>
                <w:sz w:val="24"/>
                <w:szCs w:val="24"/>
              </w:rPr>
            </w:pPr>
            <w:r>
              <w:rPr>
                <w:rFonts w:hint="eastAsia" w:ascii="宋体" w:hAnsi="宋体" w:cs="宋体"/>
                <w:sz w:val="24"/>
                <w:szCs w:val="24"/>
                <w:lang w:bidi="ar"/>
              </w:rPr>
              <w:t>1</w:t>
            </w:r>
          </w:p>
        </w:tc>
        <w:tc>
          <w:tcPr>
            <w:tcW w:w="2033" w:type="dxa"/>
            <w:tcBorders>
              <w:top w:val="single" w:color="auto" w:sz="4" w:space="0"/>
              <w:left w:val="single" w:color="auto" w:sz="4" w:space="0"/>
              <w:bottom w:val="single" w:color="auto" w:sz="4" w:space="0"/>
              <w:right w:val="single" w:color="auto" w:sz="4" w:space="0"/>
            </w:tcBorders>
          </w:tcPr>
          <w:p w14:paraId="6B21701E">
            <w:pPr>
              <w:snapToGrid w:val="0"/>
              <w:jc w:val="center"/>
              <w:rPr>
                <w:rFonts w:hint="eastAsia" w:ascii="宋体" w:hAnsi="宋体" w:cs="宋体"/>
                <w:sz w:val="24"/>
                <w:szCs w:val="24"/>
              </w:rPr>
            </w:pPr>
          </w:p>
        </w:tc>
        <w:tc>
          <w:tcPr>
            <w:tcW w:w="1453" w:type="dxa"/>
            <w:tcBorders>
              <w:top w:val="single" w:color="auto" w:sz="4" w:space="0"/>
              <w:left w:val="single" w:color="auto" w:sz="4" w:space="0"/>
              <w:bottom w:val="single" w:color="auto" w:sz="4" w:space="0"/>
              <w:right w:val="single" w:color="auto" w:sz="4" w:space="0"/>
            </w:tcBorders>
          </w:tcPr>
          <w:p w14:paraId="7CD71147">
            <w:pPr>
              <w:snapToGrid w:val="0"/>
              <w:jc w:val="center"/>
              <w:rPr>
                <w:rFonts w:hint="eastAsia" w:ascii="宋体" w:hAnsi="宋体" w:cs="宋体"/>
                <w:sz w:val="24"/>
                <w:szCs w:val="24"/>
              </w:rPr>
            </w:pPr>
          </w:p>
        </w:tc>
        <w:tc>
          <w:tcPr>
            <w:tcW w:w="1453" w:type="dxa"/>
            <w:tcBorders>
              <w:top w:val="single" w:color="auto" w:sz="4" w:space="0"/>
              <w:left w:val="single" w:color="auto" w:sz="4" w:space="0"/>
              <w:bottom w:val="single" w:color="auto" w:sz="4" w:space="0"/>
              <w:right w:val="single" w:color="auto" w:sz="4" w:space="0"/>
            </w:tcBorders>
          </w:tcPr>
          <w:p w14:paraId="61BEBDA9">
            <w:pPr>
              <w:snapToGrid w:val="0"/>
              <w:jc w:val="center"/>
              <w:rPr>
                <w:rFonts w:hint="eastAsia" w:ascii="宋体" w:hAnsi="宋体" w:cs="宋体"/>
                <w:sz w:val="24"/>
                <w:szCs w:val="24"/>
              </w:rPr>
            </w:pPr>
          </w:p>
        </w:tc>
        <w:tc>
          <w:tcPr>
            <w:tcW w:w="1453" w:type="dxa"/>
            <w:tcBorders>
              <w:top w:val="single" w:color="auto" w:sz="4" w:space="0"/>
              <w:left w:val="single" w:color="auto" w:sz="4" w:space="0"/>
              <w:bottom w:val="single" w:color="auto" w:sz="4" w:space="0"/>
              <w:right w:val="single" w:color="auto" w:sz="4" w:space="0"/>
            </w:tcBorders>
          </w:tcPr>
          <w:p w14:paraId="6D7EF9BF">
            <w:pPr>
              <w:snapToGrid w:val="0"/>
              <w:jc w:val="center"/>
              <w:rPr>
                <w:rFonts w:hint="eastAsia" w:ascii="宋体" w:hAnsi="宋体" w:cs="宋体"/>
                <w:sz w:val="24"/>
                <w:szCs w:val="24"/>
              </w:rPr>
            </w:pPr>
          </w:p>
        </w:tc>
        <w:tc>
          <w:tcPr>
            <w:tcW w:w="1456" w:type="dxa"/>
            <w:tcBorders>
              <w:top w:val="single" w:color="auto" w:sz="4" w:space="0"/>
              <w:left w:val="single" w:color="auto" w:sz="4" w:space="0"/>
              <w:bottom w:val="single" w:color="auto" w:sz="4" w:space="0"/>
              <w:right w:val="single" w:color="auto" w:sz="4" w:space="0"/>
            </w:tcBorders>
          </w:tcPr>
          <w:p w14:paraId="3B40102B">
            <w:pPr>
              <w:snapToGrid w:val="0"/>
              <w:jc w:val="center"/>
              <w:rPr>
                <w:rFonts w:hint="eastAsia" w:ascii="宋体" w:hAnsi="宋体" w:cs="宋体"/>
                <w:sz w:val="24"/>
                <w:szCs w:val="24"/>
              </w:rPr>
            </w:pPr>
          </w:p>
        </w:tc>
      </w:tr>
      <w:tr w14:paraId="16D2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tcPr>
          <w:p w14:paraId="0FC6CAE3">
            <w:pPr>
              <w:snapToGrid w:val="0"/>
              <w:jc w:val="center"/>
              <w:rPr>
                <w:rFonts w:hint="eastAsia" w:ascii="宋体" w:hAnsi="宋体" w:cs="宋体"/>
                <w:sz w:val="24"/>
                <w:szCs w:val="24"/>
              </w:rPr>
            </w:pPr>
            <w:r>
              <w:rPr>
                <w:rFonts w:hint="eastAsia" w:ascii="宋体" w:hAnsi="宋体" w:cs="宋体"/>
                <w:sz w:val="24"/>
                <w:szCs w:val="24"/>
                <w:lang w:bidi="ar"/>
              </w:rPr>
              <w:t>2</w:t>
            </w:r>
          </w:p>
        </w:tc>
        <w:tc>
          <w:tcPr>
            <w:tcW w:w="2033" w:type="dxa"/>
            <w:tcBorders>
              <w:top w:val="single" w:color="auto" w:sz="4" w:space="0"/>
              <w:left w:val="single" w:color="auto" w:sz="4" w:space="0"/>
              <w:bottom w:val="single" w:color="auto" w:sz="4" w:space="0"/>
              <w:right w:val="single" w:color="auto" w:sz="4" w:space="0"/>
            </w:tcBorders>
          </w:tcPr>
          <w:p w14:paraId="58621E96">
            <w:pPr>
              <w:snapToGrid w:val="0"/>
              <w:jc w:val="center"/>
              <w:rPr>
                <w:rFonts w:hint="eastAsia" w:ascii="宋体" w:hAnsi="宋体" w:cs="宋体"/>
                <w:sz w:val="24"/>
                <w:szCs w:val="24"/>
              </w:rPr>
            </w:pPr>
          </w:p>
        </w:tc>
        <w:tc>
          <w:tcPr>
            <w:tcW w:w="1453" w:type="dxa"/>
            <w:tcBorders>
              <w:top w:val="single" w:color="auto" w:sz="4" w:space="0"/>
              <w:left w:val="single" w:color="auto" w:sz="4" w:space="0"/>
              <w:bottom w:val="single" w:color="auto" w:sz="4" w:space="0"/>
              <w:right w:val="single" w:color="auto" w:sz="4" w:space="0"/>
            </w:tcBorders>
          </w:tcPr>
          <w:p w14:paraId="473C3C34">
            <w:pPr>
              <w:snapToGrid w:val="0"/>
              <w:jc w:val="center"/>
              <w:rPr>
                <w:rFonts w:hint="eastAsia" w:ascii="宋体" w:hAnsi="宋体" w:cs="宋体"/>
                <w:sz w:val="24"/>
                <w:szCs w:val="24"/>
              </w:rPr>
            </w:pPr>
          </w:p>
        </w:tc>
        <w:tc>
          <w:tcPr>
            <w:tcW w:w="1453" w:type="dxa"/>
            <w:tcBorders>
              <w:top w:val="single" w:color="auto" w:sz="4" w:space="0"/>
              <w:left w:val="single" w:color="auto" w:sz="4" w:space="0"/>
              <w:bottom w:val="single" w:color="auto" w:sz="4" w:space="0"/>
              <w:right w:val="single" w:color="auto" w:sz="4" w:space="0"/>
            </w:tcBorders>
          </w:tcPr>
          <w:p w14:paraId="6CDE7D51">
            <w:pPr>
              <w:snapToGrid w:val="0"/>
              <w:jc w:val="center"/>
              <w:rPr>
                <w:rFonts w:hint="eastAsia" w:ascii="宋体" w:hAnsi="宋体" w:cs="宋体"/>
                <w:sz w:val="24"/>
                <w:szCs w:val="24"/>
              </w:rPr>
            </w:pPr>
          </w:p>
        </w:tc>
        <w:tc>
          <w:tcPr>
            <w:tcW w:w="1453" w:type="dxa"/>
            <w:tcBorders>
              <w:top w:val="single" w:color="auto" w:sz="4" w:space="0"/>
              <w:left w:val="single" w:color="auto" w:sz="4" w:space="0"/>
              <w:bottom w:val="single" w:color="auto" w:sz="4" w:space="0"/>
              <w:right w:val="single" w:color="auto" w:sz="4" w:space="0"/>
            </w:tcBorders>
          </w:tcPr>
          <w:p w14:paraId="2E7A71E1">
            <w:pPr>
              <w:snapToGrid w:val="0"/>
              <w:jc w:val="center"/>
              <w:rPr>
                <w:rFonts w:hint="eastAsia" w:ascii="宋体" w:hAnsi="宋体" w:cs="宋体"/>
                <w:sz w:val="24"/>
                <w:szCs w:val="24"/>
              </w:rPr>
            </w:pPr>
          </w:p>
        </w:tc>
        <w:tc>
          <w:tcPr>
            <w:tcW w:w="1456" w:type="dxa"/>
            <w:tcBorders>
              <w:top w:val="single" w:color="auto" w:sz="4" w:space="0"/>
              <w:left w:val="single" w:color="auto" w:sz="4" w:space="0"/>
              <w:bottom w:val="single" w:color="auto" w:sz="4" w:space="0"/>
              <w:right w:val="single" w:color="auto" w:sz="4" w:space="0"/>
            </w:tcBorders>
          </w:tcPr>
          <w:p w14:paraId="2A6F9C7B">
            <w:pPr>
              <w:snapToGrid w:val="0"/>
              <w:jc w:val="center"/>
              <w:rPr>
                <w:rFonts w:hint="eastAsia" w:ascii="宋体" w:hAnsi="宋体" w:cs="宋体"/>
                <w:sz w:val="24"/>
                <w:szCs w:val="24"/>
              </w:rPr>
            </w:pPr>
          </w:p>
        </w:tc>
      </w:tr>
      <w:tr w14:paraId="0BE2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tcPr>
          <w:p w14:paraId="3443BE24">
            <w:pPr>
              <w:snapToGrid w:val="0"/>
              <w:jc w:val="center"/>
              <w:rPr>
                <w:rFonts w:hint="eastAsia" w:ascii="宋体" w:hAnsi="宋体" w:cs="宋体"/>
                <w:sz w:val="24"/>
                <w:szCs w:val="24"/>
              </w:rPr>
            </w:pPr>
            <w:r>
              <w:rPr>
                <w:rFonts w:hint="eastAsia" w:ascii="宋体" w:hAnsi="宋体" w:cs="宋体"/>
                <w:sz w:val="24"/>
                <w:szCs w:val="24"/>
                <w:lang w:bidi="ar"/>
              </w:rPr>
              <w:t>3</w:t>
            </w:r>
          </w:p>
        </w:tc>
        <w:tc>
          <w:tcPr>
            <w:tcW w:w="2033" w:type="dxa"/>
            <w:tcBorders>
              <w:top w:val="single" w:color="auto" w:sz="4" w:space="0"/>
              <w:left w:val="single" w:color="auto" w:sz="4" w:space="0"/>
              <w:bottom w:val="single" w:color="auto" w:sz="4" w:space="0"/>
              <w:right w:val="single" w:color="auto" w:sz="4" w:space="0"/>
            </w:tcBorders>
          </w:tcPr>
          <w:p w14:paraId="25E22ED1">
            <w:pPr>
              <w:snapToGrid w:val="0"/>
              <w:jc w:val="center"/>
              <w:rPr>
                <w:rFonts w:hint="eastAsia" w:ascii="宋体" w:hAnsi="宋体" w:cs="宋体"/>
                <w:sz w:val="24"/>
                <w:szCs w:val="24"/>
              </w:rPr>
            </w:pPr>
          </w:p>
        </w:tc>
        <w:tc>
          <w:tcPr>
            <w:tcW w:w="1453" w:type="dxa"/>
            <w:tcBorders>
              <w:top w:val="single" w:color="auto" w:sz="4" w:space="0"/>
              <w:left w:val="single" w:color="auto" w:sz="4" w:space="0"/>
              <w:bottom w:val="single" w:color="auto" w:sz="4" w:space="0"/>
              <w:right w:val="single" w:color="auto" w:sz="4" w:space="0"/>
            </w:tcBorders>
          </w:tcPr>
          <w:p w14:paraId="712AC331">
            <w:pPr>
              <w:snapToGrid w:val="0"/>
              <w:jc w:val="center"/>
              <w:rPr>
                <w:rFonts w:hint="eastAsia" w:ascii="宋体" w:hAnsi="宋体" w:cs="宋体"/>
                <w:sz w:val="24"/>
                <w:szCs w:val="24"/>
              </w:rPr>
            </w:pPr>
          </w:p>
        </w:tc>
        <w:tc>
          <w:tcPr>
            <w:tcW w:w="1453" w:type="dxa"/>
            <w:tcBorders>
              <w:top w:val="single" w:color="auto" w:sz="4" w:space="0"/>
              <w:left w:val="single" w:color="auto" w:sz="4" w:space="0"/>
              <w:bottom w:val="single" w:color="auto" w:sz="4" w:space="0"/>
              <w:right w:val="single" w:color="auto" w:sz="4" w:space="0"/>
            </w:tcBorders>
          </w:tcPr>
          <w:p w14:paraId="108F22A5">
            <w:pPr>
              <w:snapToGrid w:val="0"/>
              <w:jc w:val="center"/>
              <w:rPr>
                <w:rFonts w:hint="eastAsia" w:ascii="宋体" w:hAnsi="宋体" w:cs="宋体"/>
                <w:sz w:val="24"/>
                <w:szCs w:val="24"/>
              </w:rPr>
            </w:pPr>
          </w:p>
        </w:tc>
        <w:tc>
          <w:tcPr>
            <w:tcW w:w="1453" w:type="dxa"/>
            <w:tcBorders>
              <w:top w:val="single" w:color="auto" w:sz="4" w:space="0"/>
              <w:left w:val="single" w:color="auto" w:sz="4" w:space="0"/>
              <w:bottom w:val="single" w:color="auto" w:sz="4" w:space="0"/>
              <w:right w:val="single" w:color="auto" w:sz="4" w:space="0"/>
            </w:tcBorders>
          </w:tcPr>
          <w:p w14:paraId="5E30C086">
            <w:pPr>
              <w:snapToGrid w:val="0"/>
              <w:jc w:val="center"/>
              <w:rPr>
                <w:rFonts w:hint="eastAsia" w:ascii="宋体" w:hAnsi="宋体" w:cs="宋体"/>
                <w:sz w:val="24"/>
                <w:szCs w:val="24"/>
              </w:rPr>
            </w:pPr>
          </w:p>
        </w:tc>
        <w:tc>
          <w:tcPr>
            <w:tcW w:w="1456" w:type="dxa"/>
            <w:tcBorders>
              <w:top w:val="single" w:color="auto" w:sz="4" w:space="0"/>
              <w:left w:val="single" w:color="auto" w:sz="4" w:space="0"/>
              <w:bottom w:val="single" w:color="auto" w:sz="4" w:space="0"/>
              <w:right w:val="single" w:color="auto" w:sz="4" w:space="0"/>
            </w:tcBorders>
          </w:tcPr>
          <w:p w14:paraId="0F56B172">
            <w:pPr>
              <w:snapToGrid w:val="0"/>
              <w:jc w:val="center"/>
              <w:rPr>
                <w:rFonts w:hint="eastAsia" w:ascii="宋体" w:hAnsi="宋体" w:cs="宋体"/>
                <w:sz w:val="24"/>
                <w:szCs w:val="24"/>
              </w:rPr>
            </w:pPr>
          </w:p>
        </w:tc>
      </w:tr>
      <w:tr w14:paraId="3E1F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tcPr>
          <w:p w14:paraId="7AB0E608">
            <w:pPr>
              <w:snapToGrid w:val="0"/>
              <w:jc w:val="center"/>
              <w:rPr>
                <w:rFonts w:hint="eastAsia" w:ascii="宋体" w:hAnsi="宋体" w:cs="宋体"/>
                <w:sz w:val="24"/>
                <w:szCs w:val="24"/>
              </w:rPr>
            </w:pPr>
            <w:r>
              <w:rPr>
                <w:rFonts w:hint="eastAsia" w:ascii="宋体" w:hAnsi="宋体" w:cs="宋体"/>
                <w:sz w:val="24"/>
                <w:szCs w:val="24"/>
                <w:lang w:bidi="ar"/>
              </w:rPr>
              <w:t>4</w:t>
            </w:r>
          </w:p>
        </w:tc>
        <w:tc>
          <w:tcPr>
            <w:tcW w:w="2033" w:type="dxa"/>
            <w:tcBorders>
              <w:top w:val="single" w:color="auto" w:sz="4" w:space="0"/>
              <w:left w:val="single" w:color="auto" w:sz="4" w:space="0"/>
              <w:bottom w:val="single" w:color="auto" w:sz="4" w:space="0"/>
              <w:right w:val="single" w:color="auto" w:sz="4" w:space="0"/>
            </w:tcBorders>
          </w:tcPr>
          <w:p w14:paraId="6F75C41A">
            <w:pPr>
              <w:snapToGrid w:val="0"/>
              <w:jc w:val="center"/>
              <w:rPr>
                <w:rFonts w:hint="eastAsia" w:ascii="宋体" w:hAnsi="宋体" w:cs="宋体"/>
                <w:sz w:val="24"/>
                <w:szCs w:val="24"/>
              </w:rPr>
            </w:pPr>
          </w:p>
        </w:tc>
        <w:tc>
          <w:tcPr>
            <w:tcW w:w="1453" w:type="dxa"/>
            <w:tcBorders>
              <w:top w:val="single" w:color="auto" w:sz="4" w:space="0"/>
              <w:left w:val="single" w:color="auto" w:sz="4" w:space="0"/>
              <w:bottom w:val="single" w:color="auto" w:sz="4" w:space="0"/>
              <w:right w:val="single" w:color="auto" w:sz="4" w:space="0"/>
            </w:tcBorders>
          </w:tcPr>
          <w:p w14:paraId="13F11BC0">
            <w:pPr>
              <w:snapToGrid w:val="0"/>
              <w:jc w:val="center"/>
              <w:rPr>
                <w:rFonts w:hint="eastAsia" w:ascii="宋体" w:hAnsi="宋体" w:cs="宋体"/>
                <w:sz w:val="24"/>
                <w:szCs w:val="24"/>
              </w:rPr>
            </w:pPr>
          </w:p>
        </w:tc>
        <w:tc>
          <w:tcPr>
            <w:tcW w:w="1453" w:type="dxa"/>
            <w:tcBorders>
              <w:top w:val="single" w:color="auto" w:sz="4" w:space="0"/>
              <w:left w:val="single" w:color="auto" w:sz="4" w:space="0"/>
              <w:bottom w:val="single" w:color="auto" w:sz="4" w:space="0"/>
              <w:right w:val="single" w:color="auto" w:sz="4" w:space="0"/>
            </w:tcBorders>
          </w:tcPr>
          <w:p w14:paraId="23C2436F">
            <w:pPr>
              <w:snapToGrid w:val="0"/>
              <w:jc w:val="center"/>
              <w:rPr>
                <w:rFonts w:hint="eastAsia" w:ascii="宋体" w:hAnsi="宋体" w:cs="宋体"/>
                <w:sz w:val="24"/>
                <w:szCs w:val="24"/>
              </w:rPr>
            </w:pPr>
          </w:p>
        </w:tc>
        <w:tc>
          <w:tcPr>
            <w:tcW w:w="1453" w:type="dxa"/>
            <w:tcBorders>
              <w:top w:val="single" w:color="auto" w:sz="4" w:space="0"/>
              <w:left w:val="single" w:color="auto" w:sz="4" w:space="0"/>
              <w:bottom w:val="single" w:color="auto" w:sz="4" w:space="0"/>
              <w:right w:val="single" w:color="auto" w:sz="4" w:space="0"/>
            </w:tcBorders>
          </w:tcPr>
          <w:p w14:paraId="6EA1B304">
            <w:pPr>
              <w:snapToGrid w:val="0"/>
              <w:jc w:val="center"/>
              <w:rPr>
                <w:rFonts w:hint="eastAsia" w:ascii="宋体" w:hAnsi="宋体" w:cs="宋体"/>
                <w:sz w:val="24"/>
                <w:szCs w:val="24"/>
              </w:rPr>
            </w:pPr>
          </w:p>
        </w:tc>
        <w:tc>
          <w:tcPr>
            <w:tcW w:w="1456" w:type="dxa"/>
            <w:tcBorders>
              <w:top w:val="single" w:color="auto" w:sz="4" w:space="0"/>
              <w:left w:val="single" w:color="auto" w:sz="4" w:space="0"/>
              <w:bottom w:val="single" w:color="auto" w:sz="4" w:space="0"/>
              <w:right w:val="single" w:color="auto" w:sz="4" w:space="0"/>
            </w:tcBorders>
          </w:tcPr>
          <w:p w14:paraId="4C5D9B69">
            <w:pPr>
              <w:snapToGrid w:val="0"/>
              <w:jc w:val="center"/>
              <w:rPr>
                <w:rFonts w:hint="eastAsia" w:ascii="宋体" w:hAnsi="宋体" w:cs="宋体"/>
                <w:sz w:val="24"/>
                <w:szCs w:val="24"/>
              </w:rPr>
            </w:pPr>
          </w:p>
        </w:tc>
      </w:tr>
      <w:tr w14:paraId="4A43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tcPr>
          <w:p w14:paraId="690DA44D">
            <w:pPr>
              <w:snapToGrid w:val="0"/>
              <w:jc w:val="center"/>
              <w:rPr>
                <w:rFonts w:hint="eastAsia" w:ascii="宋体" w:hAnsi="宋体" w:cs="宋体"/>
                <w:sz w:val="24"/>
                <w:szCs w:val="24"/>
              </w:rPr>
            </w:pPr>
            <w:r>
              <w:rPr>
                <w:rFonts w:hint="eastAsia" w:ascii="宋体" w:hAnsi="宋体" w:cs="宋体"/>
                <w:sz w:val="24"/>
                <w:szCs w:val="24"/>
                <w:lang w:bidi="ar"/>
              </w:rPr>
              <w:t>5</w:t>
            </w:r>
          </w:p>
        </w:tc>
        <w:tc>
          <w:tcPr>
            <w:tcW w:w="2033" w:type="dxa"/>
            <w:tcBorders>
              <w:top w:val="single" w:color="auto" w:sz="4" w:space="0"/>
              <w:left w:val="single" w:color="auto" w:sz="4" w:space="0"/>
              <w:bottom w:val="single" w:color="auto" w:sz="4" w:space="0"/>
              <w:right w:val="single" w:color="auto" w:sz="4" w:space="0"/>
            </w:tcBorders>
          </w:tcPr>
          <w:p w14:paraId="4B651A94">
            <w:pPr>
              <w:snapToGrid w:val="0"/>
              <w:jc w:val="center"/>
              <w:rPr>
                <w:rFonts w:hint="eastAsia" w:ascii="宋体" w:hAnsi="宋体" w:cs="宋体"/>
                <w:sz w:val="24"/>
                <w:szCs w:val="24"/>
              </w:rPr>
            </w:pPr>
          </w:p>
        </w:tc>
        <w:tc>
          <w:tcPr>
            <w:tcW w:w="1453" w:type="dxa"/>
            <w:tcBorders>
              <w:top w:val="single" w:color="auto" w:sz="4" w:space="0"/>
              <w:left w:val="single" w:color="auto" w:sz="4" w:space="0"/>
              <w:bottom w:val="single" w:color="auto" w:sz="4" w:space="0"/>
              <w:right w:val="single" w:color="auto" w:sz="4" w:space="0"/>
            </w:tcBorders>
          </w:tcPr>
          <w:p w14:paraId="00B97C3B">
            <w:pPr>
              <w:snapToGrid w:val="0"/>
              <w:jc w:val="center"/>
              <w:rPr>
                <w:rFonts w:hint="eastAsia" w:ascii="宋体" w:hAnsi="宋体" w:cs="宋体"/>
                <w:sz w:val="24"/>
                <w:szCs w:val="24"/>
              </w:rPr>
            </w:pPr>
          </w:p>
        </w:tc>
        <w:tc>
          <w:tcPr>
            <w:tcW w:w="1453" w:type="dxa"/>
            <w:tcBorders>
              <w:top w:val="single" w:color="auto" w:sz="4" w:space="0"/>
              <w:left w:val="single" w:color="auto" w:sz="4" w:space="0"/>
              <w:bottom w:val="single" w:color="auto" w:sz="4" w:space="0"/>
              <w:right w:val="single" w:color="auto" w:sz="4" w:space="0"/>
            </w:tcBorders>
          </w:tcPr>
          <w:p w14:paraId="66DF9C74">
            <w:pPr>
              <w:snapToGrid w:val="0"/>
              <w:jc w:val="center"/>
              <w:rPr>
                <w:rFonts w:hint="eastAsia" w:ascii="宋体" w:hAnsi="宋体" w:cs="宋体"/>
                <w:sz w:val="24"/>
                <w:szCs w:val="24"/>
              </w:rPr>
            </w:pPr>
          </w:p>
        </w:tc>
        <w:tc>
          <w:tcPr>
            <w:tcW w:w="1453" w:type="dxa"/>
            <w:tcBorders>
              <w:top w:val="single" w:color="auto" w:sz="4" w:space="0"/>
              <w:left w:val="single" w:color="auto" w:sz="4" w:space="0"/>
              <w:bottom w:val="single" w:color="auto" w:sz="4" w:space="0"/>
              <w:right w:val="single" w:color="auto" w:sz="4" w:space="0"/>
            </w:tcBorders>
          </w:tcPr>
          <w:p w14:paraId="2B81F0C0">
            <w:pPr>
              <w:snapToGrid w:val="0"/>
              <w:jc w:val="center"/>
              <w:rPr>
                <w:rFonts w:hint="eastAsia" w:ascii="宋体" w:hAnsi="宋体" w:cs="宋体"/>
                <w:sz w:val="24"/>
                <w:szCs w:val="24"/>
              </w:rPr>
            </w:pPr>
          </w:p>
        </w:tc>
        <w:tc>
          <w:tcPr>
            <w:tcW w:w="1456" w:type="dxa"/>
            <w:tcBorders>
              <w:top w:val="single" w:color="auto" w:sz="4" w:space="0"/>
              <w:left w:val="single" w:color="auto" w:sz="4" w:space="0"/>
              <w:bottom w:val="single" w:color="auto" w:sz="4" w:space="0"/>
              <w:right w:val="single" w:color="auto" w:sz="4" w:space="0"/>
            </w:tcBorders>
          </w:tcPr>
          <w:p w14:paraId="32FDB631">
            <w:pPr>
              <w:snapToGrid w:val="0"/>
              <w:jc w:val="center"/>
              <w:rPr>
                <w:rFonts w:hint="eastAsia" w:ascii="宋体" w:hAnsi="宋体" w:cs="宋体"/>
                <w:sz w:val="24"/>
                <w:szCs w:val="24"/>
              </w:rPr>
            </w:pPr>
          </w:p>
        </w:tc>
      </w:tr>
      <w:tr w14:paraId="6EB7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0" w:type="dxa"/>
            <w:gridSpan w:val="6"/>
            <w:tcBorders>
              <w:top w:val="single" w:color="auto" w:sz="4" w:space="0"/>
              <w:left w:val="single" w:color="auto" w:sz="4" w:space="0"/>
              <w:bottom w:val="single" w:color="auto" w:sz="4" w:space="0"/>
              <w:right w:val="single" w:color="auto" w:sz="4" w:space="0"/>
            </w:tcBorders>
          </w:tcPr>
          <w:p w14:paraId="0EC9CC80">
            <w:pPr>
              <w:snapToGrid w:val="0"/>
              <w:jc w:val="center"/>
              <w:rPr>
                <w:rFonts w:hint="eastAsia" w:ascii="宋体" w:hAnsi="宋体" w:cs="宋体"/>
                <w:b/>
                <w:bCs/>
                <w:sz w:val="24"/>
                <w:szCs w:val="24"/>
              </w:rPr>
            </w:pPr>
            <w:r>
              <w:rPr>
                <w:rFonts w:hint="eastAsia" w:ascii="宋体" w:hAnsi="宋体" w:cs="宋体"/>
                <w:b/>
                <w:bCs/>
                <w:sz w:val="24"/>
                <w:szCs w:val="24"/>
                <w:lang w:bidi="ar"/>
              </w:rPr>
              <w:t>增配</w:t>
            </w:r>
          </w:p>
        </w:tc>
      </w:tr>
      <w:tr w14:paraId="0316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tcPr>
          <w:p w14:paraId="7F7357E2">
            <w:pPr>
              <w:snapToGrid w:val="0"/>
              <w:jc w:val="center"/>
              <w:rPr>
                <w:rFonts w:hint="eastAsia" w:ascii="宋体" w:hAnsi="宋体" w:cs="宋体"/>
                <w:b/>
                <w:bCs/>
                <w:sz w:val="24"/>
                <w:szCs w:val="24"/>
              </w:rPr>
            </w:pPr>
            <w:r>
              <w:rPr>
                <w:rFonts w:hint="eastAsia" w:ascii="宋体" w:hAnsi="宋体" w:cs="宋体"/>
                <w:b/>
                <w:bCs/>
                <w:sz w:val="24"/>
                <w:szCs w:val="24"/>
                <w:lang w:bidi="ar"/>
              </w:rPr>
              <w:t>序号</w:t>
            </w:r>
          </w:p>
        </w:tc>
        <w:tc>
          <w:tcPr>
            <w:tcW w:w="2033" w:type="dxa"/>
            <w:tcBorders>
              <w:top w:val="single" w:color="auto" w:sz="4" w:space="0"/>
              <w:left w:val="single" w:color="auto" w:sz="4" w:space="0"/>
              <w:bottom w:val="single" w:color="auto" w:sz="4" w:space="0"/>
              <w:right w:val="single" w:color="auto" w:sz="4" w:space="0"/>
            </w:tcBorders>
          </w:tcPr>
          <w:p w14:paraId="06FF6E85">
            <w:pPr>
              <w:snapToGrid w:val="0"/>
              <w:jc w:val="center"/>
              <w:rPr>
                <w:rFonts w:hint="eastAsia" w:ascii="宋体" w:hAnsi="宋体" w:cs="宋体"/>
                <w:b/>
                <w:bCs/>
                <w:sz w:val="24"/>
                <w:szCs w:val="24"/>
              </w:rPr>
            </w:pPr>
            <w:r>
              <w:rPr>
                <w:rFonts w:hint="eastAsia" w:ascii="宋体" w:hAnsi="宋体" w:cs="宋体"/>
                <w:b/>
                <w:bCs/>
                <w:sz w:val="24"/>
                <w:szCs w:val="24"/>
                <w:lang w:bidi="ar"/>
              </w:rPr>
              <w:t>名称</w:t>
            </w:r>
          </w:p>
        </w:tc>
        <w:tc>
          <w:tcPr>
            <w:tcW w:w="1453" w:type="dxa"/>
            <w:tcBorders>
              <w:top w:val="single" w:color="auto" w:sz="4" w:space="0"/>
              <w:left w:val="single" w:color="auto" w:sz="4" w:space="0"/>
              <w:bottom w:val="single" w:color="auto" w:sz="4" w:space="0"/>
              <w:right w:val="single" w:color="auto" w:sz="4" w:space="0"/>
            </w:tcBorders>
          </w:tcPr>
          <w:p w14:paraId="103F89B5">
            <w:pPr>
              <w:snapToGrid w:val="0"/>
              <w:jc w:val="center"/>
              <w:rPr>
                <w:rFonts w:hint="eastAsia" w:ascii="宋体" w:hAnsi="宋体" w:cs="宋体"/>
                <w:b/>
                <w:bCs/>
                <w:sz w:val="24"/>
                <w:szCs w:val="24"/>
              </w:rPr>
            </w:pPr>
            <w:r>
              <w:rPr>
                <w:rFonts w:hint="eastAsia" w:ascii="宋体" w:hAnsi="宋体" w:cs="宋体"/>
                <w:b/>
                <w:bCs/>
                <w:sz w:val="24"/>
                <w:szCs w:val="24"/>
                <w:lang w:bidi="ar"/>
              </w:rPr>
              <w:t>型号</w:t>
            </w:r>
          </w:p>
        </w:tc>
        <w:tc>
          <w:tcPr>
            <w:tcW w:w="1453" w:type="dxa"/>
            <w:tcBorders>
              <w:top w:val="single" w:color="auto" w:sz="4" w:space="0"/>
              <w:left w:val="single" w:color="auto" w:sz="4" w:space="0"/>
              <w:bottom w:val="single" w:color="auto" w:sz="4" w:space="0"/>
              <w:right w:val="single" w:color="auto" w:sz="4" w:space="0"/>
            </w:tcBorders>
          </w:tcPr>
          <w:p w14:paraId="7092B0BB">
            <w:pPr>
              <w:snapToGrid w:val="0"/>
              <w:jc w:val="center"/>
              <w:rPr>
                <w:rFonts w:hint="eastAsia" w:ascii="宋体" w:hAnsi="宋体" w:cs="宋体"/>
                <w:b/>
                <w:bCs/>
                <w:sz w:val="24"/>
                <w:szCs w:val="24"/>
              </w:rPr>
            </w:pPr>
            <w:r>
              <w:rPr>
                <w:rFonts w:hint="eastAsia" w:ascii="宋体" w:hAnsi="宋体" w:cs="宋体"/>
                <w:b/>
                <w:bCs/>
                <w:sz w:val="24"/>
                <w:szCs w:val="24"/>
                <w:lang w:bidi="ar"/>
              </w:rPr>
              <w:t>数量</w:t>
            </w:r>
          </w:p>
        </w:tc>
        <w:tc>
          <w:tcPr>
            <w:tcW w:w="1453" w:type="dxa"/>
            <w:tcBorders>
              <w:top w:val="single" w:color="auto" w:sz="4" w:space="0"/>
              <w:left w:val="single" w:color="auto" w:sz="4" w:space="0"/>
              <w:bottom w:val="single" w:color="auto" w:sz="4" w:space="0"/>
              <w:right w:val="single" w:color="auto" w:sz="4" w:space="0"/>
            </w:tcBorders>
          </w:tcPr>
          <w:p w14:paraId="4692D6D1">
            <w:pPr>
              <w:snapToGrid w:val="0"/>
              <w:jc w:val="center"/>
              <w:rPr>
                <w:rFonts w:hint="eastAsia" w:ascii="宋体" w:hAnsi="宋体" w:cs="宋体"/>
                <w:b/>
                <w:bCs/>
                <w:sz w:val="24"/>
                <w:szCs w:val="24"/>
              </w:rPr>
            </w:pPr>
            <w:r>
              <w:rPr>
                <w:rFonts w:hint="eastAsia" w:ascii="宋体" w:hAnsi="宋体" w:cs="宋体"/>
                <w:b/>
                <w:bCs/>
                <w:sz w:val="24"/>
                <w:szCs w:val="24"/>
                <w:lang w:bidi="ar"/>
              </w:rPr>
              <w:t>单位</w:t>
            </w:r>
          </w:p>
        </w:tc>
        <w:tc>
          <w:tcPr>
            <w:tcW w:w="1456" w:type="dxa"/>
            <w:tcBorders>
              <w:top w:val="single" w:color="auto" w:sz="4" w:space="0"/>
              <w:left w:val="single" w:color="auto" w:sz="4" w:space="0"/>
              <w:bottom w:val="single" w:color="auto" w:sz="4" w:space="0"/>
              <w:right w:val="single" w:color="auto" w:sz="4" w:space="0"/>
            </w:tcBorders>
          </w:tcPr>
          <w:p w14:paraId="0A47E486">
            <w:pPr>
              <w:snapToGrid w:val="0"/>
              <w:jc w:val="center"/>
              <w:rPr>
                <w:rFonts w:hint="eastAsia" w:ascii="宋体" w:hAnsi="宋体" w:cs="宋体"/>
                <w:b/>
                <w:bCs/>
                <w:sz w:val="24"/>
                <w:szCs w:val="24"/>
              </w:rPr>
            </w:pPr>
            <w:r>
              <w:rPr>
                <w:rFonts w:hint="eastAsia" w:ascii="宋体" w:hAnsi="宋体" w:cs="宋体"/>
                <w:b/>
                <w:bCs/>
                <w:sz w:val="24"/>
                <w:szCs w:val="24"/>
                <w:lang w:bidi="ar"/>
              </w:rPr>
              <w:t>备注</w:t>
            </w:r>
          </w:p>
        </w:tc>
      </w:tr>
      <w:tr w14:paraId="5D21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tcPr>
          <w:p w14:paraId="15DBD76C">
            <w:pPr>
              <w:snapToGrid w:val="0"/>
              <w:jc w:val="center"/>
              <w:rPr>
                <w:rFonts w:hint="eastAsia" w:ascii="宋体" w:hAnsi="宋体" w:cs="宋体"/>
                <w:sz w:val="24"/>
                <w:szCs w:val="24"/>
              </w:rPr>
            </w:pPr>
            <w:r>
              <w:rPr>
                <w:rFonts w:hint="eastAsia" w:ascii="宋体" w:hAnsi="宋体" w:cs="宋体"/>
                <w:sz w:val="24"/>
                <w:szCs w:val="24"/>
                <w:lang w:bidi="ar"/>
              </w:rPr>
              <w:t>1</w:t>
            </w:r>
          </w:p>
        </w:tc>
        <w:tc>
          <w:tcPr>
            <w:tcW w:w="2033" w:type="dxa"/>
            <w:tcBorders>
              <w:top w:val="single" w:color="auto" w:sz="4" w:space="0"/>
              <w:left w:val="single" w:color="auto" w:sz="4" w:space="0"/>
              <w:bottom w:val="single" w:color="auto" w:sz="4" w:space="0"/>
              <w:right w:val="single" w:color="auto" w:sz="4" w:space="0"/>
            </w:tcBorders>
          </w:tcPr>
          <w:p w14:paraId="2DE3FE3D">
            <w:pPr>
              <w:snapToGrid w:val="0"/>
              <w:jc w:val="center"/>
              <w:rPr>
                <w:rFonts w:hint="eastAsia" w:ascii="宋体" w:hAnsi="宋体" w:cs="宋体"/>
                <w:sz w:val="24"/>
                <w:szCs w:val="24"/>
              </w:rPr>
            </w:pPr>
          </w:p>
        </w:tc>
        <w:tc>
          <w:tcPr>
            <w:tcW w:w="1453" w:type="dxa"/>
            <w:tcBorders>
              <w:top w:val="single" w:color="auto" w:sz="4" w:space="0"/>
              <w:left w:val="single" w:color="auto" w:sz="4" w:space="0"/>
              <w:bottom w:val="single" w:color="auto" w:sz="4" w:space="0"/>
              <w:right w:val="single" w:color="auto" w:sz="4" w:space="0"/>
            </w:tcBorders>
          </w:tcPr>
          <w:p w14:paraId="1E9D36E4">
            <w:pPr>
              <w:snapToGrid w:val="0"/>
              <w:jc w:val="center"/>
              <w:rPr>
                <w:rFonts w:hint="eastAsia" w:ascii="宋体" w:hAnsi="宋体" w:cs="宋体"/>
                <w:sz w:val="24"/>
                <w:szCs w:val="24"/>
              </w:rPr>
            </w:pPr>
          </w:p>
        </w:tc>
        <w:tc>
          <w:tcPr>
            <w:tcW w:w="1453" w:type="dxa"/>
            <w:tcBorders>
              <w:top w:val="single" w:color="auto" w:sz="4" w:space="0"/>
              <w:left w:val="single" w:color="auto" w:sz="4" w:space="0"/>
              <w:bottom w:val="single" w:color="auto" w:sz="4" w:space="0"/>
              <w:right w:val="single" w:color="auto" w:sz="4" w:space="0"/>
            </w:tcBorders>
          </w:tcPr>
          <w:p w14:paraId="104F7C4F">
            <w:pPr>
              <w:snapToGrid w:val="0"/>
              <w:jc w:val="center"/>
              <w:rPr>
                <w:rFonts w:hint="eastAsia" w:ascii="宋体" w:hAnsi="宋体" w:cs="宋体"/>
                <w:sz w:val="24"/>
                <w:szCs w:val="24"/>
              </w:rPr>
            </w:pPr>
          </w:p>
        </w:tc>
        <w:tc>
          <w:tcPr>
            <w:tcW w:w="1453" w:type="dxa"/>
            <w:tcBorders>
              <w:top w:val="single" w:color="auto" w:sz="4" w:space="0"/>
              <w:left w:val="single" w:color="auto" w:sz="4" w:space="0"/>
              <w:bottom w:val="single" w:color="auto" w:sz="4" w:space="0"/>
              <w:right w:val="single" w:color="auto" w:sz="4" w:space="0"/>
            </w:tcBorders>
          </w:tcPr>
          <w:p w14:paraId="54608E02">
            <w:pPr>
              <w:snapToGrid w:val="0"/>
              <w:jc w:val="center"/>
              <w:rPr>
                <w:rFonts w:hint="eastAsia" w:ascii="宋体" w:hAnsi="宋体" w:cs="宋体"/>
                <w:sz w:val="24"/>
                <w:szCs w:val="24"/>
              </w:rPr>
            </w:pPr>
          </w:p>
        </w:tc>
        <w:tc>
          <w:tcPr>
            <w:tcW w:w="1456" w:type="dxa"/>
            <w:tcBorders>
              <w:top w:val="single" w:color="auto" w:sz="4" w:space="0"/>
              <w:left w:val="single" w:color="auto" w:sz="4" w:space="0"/>
              <w:bottom w:val="single" w:color="auto" w:sz="4" w:space="0"/>
              <w:right w:val="single" w:color="auto" w:sz="4" w:space="0"/>
            </w:tcBorders>
          </w:tcPr>
          <w:p w14:paraId="1734BC1E">
            <w:pPr>
              <w:snapToGrid w:val="0"/>
              <w:jc w:val="center"/>
              <w:rPr>
                <w:rFonts w:hint="eastAsia" w:ascii="宋体" w:hAnsi="宋体" w:cs="宋体"/>
                <w:sz w:val="24"/>
                <w:szCs w:val="24"/>
              </w:rPr>
            </w:pPr>
          </w:p>
        </w:tc>
      </w:tr>
      <w:tr w14:paraId="1DCC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tcPr>
          <w:p w14:paraId="6CFC2C60">
            <w:pPr>
              <w:snapToGrid w:val="0"/>
              <w:jc w:val="center"/>
              <w:rPr>
                <w:rFonts w:hint="eastAsia" w:ascii="宋体" w:hAnsi="宋体" w:cs="宋体"/>
                <w:sz w:val="24"/>
                <w:szCs w:val="24"/>
              </w:rPr>
            </w:pPr>
            <w:r>
              <w:rPr>
                <w:rFonts w:hint="eastAsia" w:ascii="宋体" w:hAnsi="宋体" w:cs="宋体"/>
                <w:sz w:val="24"/>
                <w:szCs w:val="24"/>
                <w:lang w:bidi="ar"/>
              </w:rPr>
              <w:t>2</w:t>
            </w:r>
          </w:p>
        </w:tc>
        <w:tc>
          <w:tcPr>
            <w:tcW w:w="2033" w:type="dxa"/>
            <w:tcBorders>
              <w:top w:val="single" w:color="auto" w:sz="4" w:space="0"/>
              <w:left w:val="single" w:color="auto" w:sz="4" w:space="0"/>
              <w:bottom w:val="single" w:color="auto" w:sz="4" w:space="0"/>
              <w:right w:val="single" w:color="auto" w:sz="4" w:space="0"/>
            </w:tcBorders>
          </w:tcPr>
          <w:p w14:paraId="213F5138">
            <w:pPr>
              <w:snapToGrid w:val="0"/>
              <w:jc w:val="center"/>
              <w:rPr>
                <w:rFonts w:hint="eastAsia" w:ascii="宋体" w:hAnsi="宋体" w:cs="宋体"/>
                <w:sz w:val="24"/>
                <w:szCs w:val="24"/>
              </w:rPr>
            </w:pPr>
          </w:p>
        </w:tc>
        <w:tc>
          <w:tcPr>
            <w:tcW w:w="1453" w:type="dxa"/>
            <w:tcBorders>
              <w:top w:val="single" w:color="auto" w:sz="4" w:space="0"/>
              <w:left w:val="single" w:color="auto" w:sz="4" w:space="0"/>
              <w:bottom w:val="single" w:color="auto" w:sz="4" w:space="0"/>
              <w:right w:val="single" w:color="auto" w:sz="4" w:space="0"/>
            </w:tcBorders>
          </w:tcPr>
          <w:p w14:paraId="151B8C04">
            <w:pPr>
              <w:snapToGrid w:val="0"/>
              <w:jc w:val="center"/>
              <w:rPr>
                <w:rFonts w:hint="eastAsia" w:ascii="宋体" w:hAnsi="宋体" w:cs="宋体"/>
                <w:sz w:val="24"/>
                <w:szCs w:val="24"/>
              </w:rPr>
            </w:pPr>
          </w:p>
        </w:tc>
        <w:tc>
          <w:tcPr>
            <w:tcW w:w="1453" w:type="dxa"/>
            <w:tcBorders>
              <w:top w:val="single" w:color="auto" w:sz="4" w:space="0"/>
              <w:left w:val="single" w:color="auto" w:sz="4" w:space="0"/>
              <w:bottom w:val="single" w:color="auto" w:sz="4" w:space="0"/>
              <w:right w:val="single" w:color="auto" w:sz="4" w:space="0"/>
            </w:tcBorders>
          </w:tcPr>
          <w:p w14:paraId="5CD7318B">
            <w:pPr>
              <w:snapToGrid w:val="0"/>
              <w:jc w:val="center"/>
              <w:rPr>
                <w:rFonts w:hint="eastAsia" w:ascii="宋体" w:hAnsi="宋体" w:cs="宋体"/>
                <w:sz w:val="24"/>
                <w:szCs w:val="24"/>
              </w:rPr>
            </w:pPr>
          </w:p>
        </w:tc>
        <w:tc>
          <w:tcPr>
            <w:tcW w:w="1453" w:type="dxa"/>
            <w:tcBorders>
              <w:top w:val="single" w:color="auto" w:sz="4" w:space="0"/>
              <w:left w:val="single" w:color="auto" w:sz="4" w:space="0"/>
              <w:bottom w:val="single" w:color="auto" w:sz="4" w:space="0"/>
              <w:right w:val="single" w:color="auto" w:sz="4" w:space="0"/>
            </w:tcBorders>
          </w:tcPr>
          <w:p w14:paraId="46949543">
            <w:pPr>
              <w:snapToGrid w:val="0"/>
              <w:jc w:val="center"/>
              <w:rPr>
                <w:rFonts w:hint="eastAsia" w:ascii="宋体" w:hAnsi="宋体" w:cs="宋体"/>
                <w:sz w:val="24"/>
                <w:szCs w:val="24"/>
              </w:rPr>
            </w:pPr>
          </w:p>
        </w:tc>
        <w:tc>
          <w:tcPr>
            <w:tcW w:w="1456" w:type="dxa"/>
            <w:tcBorders>
              <w:top w:val="single" w:color="auto" w:sz="4" w:space="0"/>
              <w:left w:val="single" w:color="auto" w:sz="4" w:space="0"/>
              <w:bottom w:val="single" w:color="auto" w:sz="4" w:space="0"/>
              <w:right w:val="single" w:color="auto" w:sz="4" w:space="0"/>
            </w:tcBorders>
          </w:tcPr>
          <w:p w14:paraId="4D2EF72B">
            <w:pPr>
              <w:snapToGrid w:val="0"/>
              <w:jc w:val="center"/>
              <w:rPr>
                <w:rFonts w:hint="eastAsia" w:ascii="宋体" w:hAnsi="宋体" w:cs="宋体"/>
                <w:sz w:val="24"/>
                <w:szCs w:val="24"/>
              </w:rPr>
            </w:pPr>
          </w:p>
        </w:tc>
      </w:tr>
      <w:tr w14:paraId="381D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72" w:type="dxa"/>
            <w:tcBorders>
              <w:top w:val="single" w:color="auto" w:sz="4" w:space="0"/>
              <w:left w:val="single" w:color="auto" w:sz="4" w:space="0"/>
              <w:bottom w:val="single" w:color="auto" w:sz="4" w:space="0"/>
              <w:right w:val="single" w:color="auto" w:sz="4" w:space="0"/>
            </w:tcBorders>
          </w:tcPr>
          <w:p w14:paraId="5C753A70">
            <w:pPr>
              <w:snapToGrid w:val="0"/>
              <w:jc w:val="center"/>
              <w:rPr>
                <w:rFonts w:hint="eastAsia" w:ascii="宋体" w:hAnsi="宋体" w:cs="宋体"/>
                <w:sz w:val="24"/>
                <w:szCs w:val="24"/>
              </w:rPr>
            </w:pPr>
            <w:r>
              <w:rPr>
                <w:rFonts w:hint="eastAsia" w:ascii="宋体" w:hAnsi="宋体" w:cs="宋体"/>
                <w:sz w:val="24"/>
                <w:szCs w:val="24"/>
                <w:lang w:bidi="ar"/>
              </w:rPr>
              <w:t>3</w:t>
            </w:r>
          </w:p>
        </w:tc>
        <w:tc>
          <w:tcPr>
            <w:tcW w:w="2033" w:type="dxa"/>
            <w:tcBorders>
              <w:top w:val="single" w:color="auto" w:sz="4" w:space="0"/>
              <w:left w:val="single" w:color="auto" w:sz="4" w:space="0"/>
              <w:bottom w:val="single" w:color="auto" w:sz="4" w:space="0"/>
              <w:right w:val="single" w:color="auto" w:sz="4" w:space="0"/>
            </w:tcBorders>
          </w:tcPr>
          <w:p w14:paraId="184FAF96">
            <w:pPr>
              <w:snapToGrid w:val="0"/>
              <w:jc w:val="center"/>
              <w:rPr>
                <w:rFonts w:hint="eastAsia" w:ascii="宋体" w:hAnsi="宋体" w:cs="宋体"/>
                <w:sz w:val="24"/>
                <w:szCs w:val="24"/>
              </w:rPr>
            </w:pPr>
          </w:p>
        </w:tc>
        <w:tc>
          <w:tcPr>
            <w:tcW w:w="1453" w:type="dxa"/>
            <w:tcBorders>
              <w:top w:val="single" w:color="auto" w:sz="4" w:space="0"/>
              <w:left w:val="single" w:color="auto" w:sz="4" w:space="0"/>
              <w:bottom w:val="single" w:color="auto" w:sz="4" w:space="0"/>
              <w:right w:val="single" w:color="auto" w:sz="4" w:space="0"/>
            </w:tcBorders>
          </w:tcPr>
          <w:p w14:paraId="440FB940">
            <w:pPr>
              <w:snapToGrid w:val="0"/>
              <w:jc w:val="center"/>
              <w:rPr>
                <w:rFonts w:hint="eastAsia" w:ascii="宋体" w:hAnsi="宋体" w:cs="宋体"/>
                <w:sz w:val="24"/>
                <w:szCs w:val="24"/>
              </w:rPr>
            </w:pPr>
          </w:p>
        </w:tc>
        <w:tc>
          <w:tcPr>
            <w:tcW w:w="1453" w:type="dxa"/>
            <w:tcBorders>
              <w:top w:val="single" w:color="auto" w:sz="4" w:space="0"/>
              <w:left w:val="single" w:color="auto" w:sz="4" w:space="0"/>
              <w:bottom w:val="single" w:color="auto" w:sz="4" w:space="0"/>
              <w:right w:val="single" w:color="auto" w:sz="4" w:space="0"/>
            </w:tcBorders>
          </w:tcPr>
          <w:p w14:paraId="2A42A916">
            <w:pPr>
              <w:snapToGrid w:val="0"/>
              <w:jc w:val="center"/>
              <w:rPr>
                <w:rFonts w:hint="eastAsia" w:ascii="宋体" w:hAnsi="宋体" w:cs="宋体"/>
                <w:sz w:val="24"/>
                <w:szCs w:val="24"/>
              </w:rPr>
            </w:pPr>
          </w:p>
        </w:tc>
        <w:tc>
          <w:tcPr>
            <w:tcW w:w="1453" w:type="dxa"/>
            <w:tcBorders>
              <w:top w:val="single" w:color="auto" w:sz="4" w:space="0"/>
              <w:left w:val="single" w:color="auto" w:sz="4" w:space="0"/>
              <w:bottom w:val="single" w:color="auto" w:sz="4" w:space="0"/>
              <w:right w:val="single" w:color="auto" w:sz="4" w:space="0"/>
            </w:tcBorders>
          </w:tcPr>
          <w:p w14:paraId="5A5D8CDA">
            <w:pPr>
              <w:snapToGrid w:val="0"/>
              <w:jc w:val="center"/>
              <w:rPr>
                <w:rFonts w:hint="eastAsia" w:ascii="宋体" w:hAnsi="宋体" w:cs="宋体"/>
                <w:sz w:val="24"/>
                <w:szCs w:val="24"/>
              </w:rPr>
            </w:pPr>
          </w:p>
        </w:tc>
        <w:tc>
          <w:tcPr>
            <w:tcW w:w="1456" w:type="dxa"/>
            <w:tcBorders>
              <w:top w:val="single" w:color="auto" w:sz="4" w:space="0"/>
              <w:left w:val="single" w:color="auto" w:sz="4" w:space="0"/>
              <w:bottom w:val="single" w:color="auto" w:sz="4" w:space="0"/>
              <w:right w:val="single" w:color="auto" w:sz="4" w:space="0"/>
            </w:tcBorders>
          </w:tcPr>
          <w:p w14:paraId="51F17B8F">
            <w:pPr>
              <w:snapToGrid w:val="0"/>
              <w:jc w:val="center"/>
              <w:rPr>
                <w:rFonts w:hint="eastAsia" w:ascii="宋体" w:hAnsi="宋体" w:cs="宋体"/>
                <w:sz w:val="24"/>
                <w:szCs w:val="24"/>
              </w:rPr>
            </w:pPr>
          </w:p>
        </w:tc>
      </w:tr>
    </w:tbl>
    <w:p w14:paraId="7112CF3B">
      <w:pPr>
        <w:snapToGrid w:val="0"/>
        <w:ind w:firstLine="480" w:firstLineChars="200"/>
        <w:rPr>
          <w:rFonts w:hint="eastAsia" w:ascii="宋体" w:hAnsi="宋体" w:cs="宋体"/>
          <w:sz w:val="24"/>
          <w:szCs w:val="24"/>
        </w:rPr>
      </w:pPr>
    </w:p>
    <w:p w14:paraId="79A5108D">
      <w:pPr>
        <w:snapToGrid w:val="0"/>
        <w:ind w:firstLine="480" w:firstLineChars="200"/>
        <w:rPr>
          <w:rFonts w:hint="eastAsia" w:ascii="宋体" w:hAnsi="宋体" w:cs="宋体"/>
          <w:sz w:val="24"/>
          <w:szCs w:val="24"/>
        </w:rPr>
      </w:pPr>
    </w:p>
    <w:p w14:paraId="4C78F6D2">
      <w:pPr>
        <w:snapToGrid w:val="0"/>
        <w:ind w:firstLine="480" w:firstLineChars="200"/>
        <w:rPr>
          <w:rFonts w:hint="eastAsia" w:ascii="宋体" w:hAnsi="宋体" w:cs="宋体"/>
          <w:sz w:val="24"/>
          <w:szCs w:val="24"/>
        </w:rPr>
      </w:pPr>
    </w:p>
    <w:p w14:paraId="57A1AB08">
      <w:pPr>
        <w:snapToGrid w:val="0"/>
        <w:rPr>
          <w:rFonts w:hint="eastAsia" w:ascii="宋体" w:hAnsi="宋体" w:cs="宋体"/>
          <w:sz w:val="24"/>
          <w:szCs w:val="24"/>
        </w:rPr>
      </w:pPr>
    </w:p>
    <w:p w14:paraId="702B3C74">
      <w:pPr>
        <w:snapToGrid w:val="0"/>
        <w:ind w:firstLine="480" w:firstLineChars="200"/>
        <w:rPr>
          <w:rFonts w:hint="eastAsia" w:ascii="宋体" w:hAnsi="宋体" w:cs="宋体"/>
          <w:sz w:val="24"/>
          <w:szCs w:val="24"/>
        </w:rPr>
      </w:pPr>
    </w:p>
    <w:p w14:paraId="45BB1338">
      <w:pPr>
        <w:snapToGrid w:val="0"/>
        <w:ind w:firstLine="480" w:firstLineChars="200"/>
        <w:rPr>
          <w:rFonts w:hint="eastAsia" w:ascii="宋体" w:hAnsi="宋体" w:cs="宋体"/>
          <w:sz w:val="24"/>
          <w:szCs w:val="24"/>
        </w:rPr>
      </w:pPr>
    </w:p>
    <w:p w14:paraId="34DD2688">
      <w:pPr>
        <w:snapToGrid w:val="0"/>
        <w:ind w:firstLine="480" w:firstLineChars="200"/>
        <w:rPr>
          <w:rFonts w:hint="eastAsia" w:ascii="宋体" w:hAnsi="宋体" w:cs="宋体"/>
          <w:sz w:val="24"/>
          <w:szCs w:val="24"/>
        </w:rPr>
      </w:pPr>
      <w:r>
        <w:rPr>
          <w:rFonts w:hint="eastAsia" w:ascii="宋体" w:hAnsi="宋体" w:cs="宋体"/>
          <w:sz w:val="24"/>
          <w:szCs w:val="24"/>
          <w:lang w:bidi="ar"/>
        </w:rPr>
        <w:t>使用科室：</w:t>
      </w:r>
    </w:p>
    <w:p w14:paraId="231C0B6C">
      <w:pPr>
        <w:snapToGrid w:val="0"/>
        <w:ind w:firstLine="480" w:firstLineChars="200"/>
        <w:rPr>
          <w:rFonts w:hint="eastAsia" w:ascii="宋体" w:hAnsi="宋体" w:cs="宋体"/>
          <w:sz w:val="24"/>
          <w:szCs w:val="24"/>
        </w:rPr>
      </w:pPr>
    </w:p>
    <w:p w14:paraId="05EEE3D0">
      <w:pPr>
        <w:snapToGrid w:val="0"/>
        <w:ind w:firstLine="480" w:firstLineChars="200"/>
        <w:rPr>
          <w:rFonts w:hint="eastAsia" w:ascii="宋体" w:hAnsi="宋体" w:cs="宋体"/>
          <w:sz w:val="24"/>
          <w:szCs w:val="24"/>
        </w:rPr>
      </w:pPr>
      <w:r>
        <w:rPr>
          <w:rFonts w:hint="eastAsia" w:ascii="宋体" w:hAnsi="宋体" w:cs="宋体"/>
          <w:sz w:val="24"/>
          <w:szCs w:val="24"/>
          <w:lang w:bidi="ar"/>
        </w:rPr>
        <w:t>科室负责人（签字）：</w:t>
      </w:r>
    </w:p>
    <w:p w14:paraId="38A6512B">
      <w:pPr>
        <w:snapToGrid w:val="0"/>
        <w:ind w:firstLine="480" w:firstLineChars="200"/>
        <w:rPr>
          <w:rFonts w:hint="eastAsia" w:ascii="宋体" w:hAnsi="宋体" w:cs="宋体"/>
          <w:sz w:val="24"/>
          <w:szCs w:val="24"/>
        </w:rPr>
      </w:pPr>
    </w:p>
    <w:p w14:paraId="5F84B7B6">
      <w:pPr>
        <w:rPr>
          <w:rFonts w:hint="eastAsia" w:ascii="宋体" w:hAnsi="宋体" w:cs="宋体"/>
          <w:b/>
          <w:bCs/>
          <w:sz w:val="24"/>
          <w:szCs w:val="24"/>
          <w:lang w:bidi="ar"/>
        </w:rPr>
      </w:pPr>
      <w:r>
        <w:rPr>
          <w:rFonts w:hint="eastAsia" w:ascii="宋体" w:hAnsi="宋体" w:cs="宋体"/>
          <w:b/>
          <w:bCs/>
          <w:sz w:val="24"/>
          <w:szCs w:val="24"/>
          <w:lang w:bidi="ar"/>
        </w:rPr>
        <w:br w:type="page"/>
      </w:r>
    </w:p>
    <w:p w14:paraId="018899D6">
      <w:pPr>
        <w:snapToGrid w:val="0"/>
        <w:ind w:firstLine="482" w:firstLineChars="200"/>
        <w:rPr>
          <w:rFonts w:hint="eastAsia" w:ascii="宋体" w:hAnsi="宋体" w:cs="宋体"/>
          <w:b/>
          <w:bCs/>
          <w:sz w:val="24"/>
          <w:szCs w:val="24"/>
        </w:rPr>
      </w:pPr>
      <w:r>
        <w:rPr>
          <w:rFonts w:hint="eastAsia" w:ascii="宋体" w:hAnsi="宋体" w:cs="宋体"/>
          <w:b/>
          <w:bCs/>
          <w:sz w:val="24"/>
          <w:szCs w:val="24"/>
          <w:lang w:bidi="ar"/>
        </w:rPr>
        <w:t>附件4：</w:t>
      </w:r>
    </w:p>
    <w:p w14:paraId="70825C9D">
      <w:pPr>
        <w:snapToGrid w:val="0"/>
        <w:jc w:val="center"/>
        <w:rPr>
          <w:rFonts w:hint="eastAsia" w:ascii="宋体" w:hAnsi="宋体" w:cs="宋体"/>
          <w:b/>
          <w:bCs/>
          <w:sz w:val="24"/>
          <w:szCs w:val="24"/>
        </w:rPr>
      </w:pPr>
      <w:r>
        <w:rPr>
          <w:rFonts w:hint="eastAsia" w:ascii="宋体" w:hAnsi="宋体" w:cs="宋体"/>
          <w:b/>
          <w:bCs/>
          <w:sz w:val="24"/>
          <w:szCs w:val="24"/>
          <w:lang w:bidi="ar"/>
        </w:rPr>
        <w:t>备品备件清单（加盖合同专用章）</w:t>
      </w:r>
    </w:p>
    <w:p w14:paraId="5427E3E1">
      <w:pPr>
        <w:snapToGrid w:val="0"/>
        <w:rPr>
          <w:rFonts w:hint="eastAsia" w:ascii="宋体" w:hAnsi="宋体" w:cs="宋体"/>
          <w:b/>
          <w:bCs/>
          <w:sz w:val="24"/>
          <w:szCs w:val="24"/>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704C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tcBorders>
              <w:top w:val="single" w:color="auto" w:sz="4" w:space="0"/>
              <w:left w:val="single" w:color="auto" w:sz="4" w:space="0"/>
              <w:bottom w:val="single" w:color="auto" w:sz="4" w:space="0"/>
              <w:right w:val="single" w:color="auto" w:sz="4" w:space="0"/>
            </w:tcBorders>
          </w:tcPr>
          <w:p w14:paraId="195E02E3">
            <w:pPr>
              <w:snapToGrid w:val="0"/>
              <w:jc w:val="center"/>
              <w:rPr>
                <w:rFonts w:hint="eastAsia" w:ascii="宋体" w:hAnsi="宋体" w:cs="宋体"/>
                <w:b/>
                <w:bCs/>
                <w:sz w:val="24"/>
                <w:szCs w:val="24"/>
              </w:rPr>
            </w:pPr>
            <w:r>
              <w:rPr>
                <w:rFonts w:hint="eastAsia" w:ascii="宋体" w:hAnsi="宋体" w:cs="宋体"/>
                <w:b/>
                <w:bCs/>
                <w:sz w:val="24"/>
                <w:szCs w:val="24"/>
                <w:lang w:bidi="ar"/>
              </w:rPr>
              <w:t>序号</w:t>
            </w:r>
          </w:p>
        </w:tc>
        <w:tc>
          <w:tcPr>
            <w:tcW w:w="3379" w:type="dxa"/>
            <w:tcBorders>
              <w:top w:val="single" w:color="auto" w:sz="4" w:space="0"/>
              <w:left w:val="single" w:color="auto" w:sz="4" w:space="0"/>
              <w:bottom w:val="single" w:color="auto" w:sz="4" w:space="0"/>
              <w:right w:val="single" w:color="auto" w:sz="4" w:space="0"/>
            </w:tcBorders>
          </w:tcPr>
          <w:p w14:paraId="46A17144">
            <w:pPr>
              <w:snapToGrid w:val="0"/>
              <w:jc w:val="center"/>
              <w:rPr>
                <w:rFonts w:hint="eastAsia" w:ascii="宋体" w:hAnsi="宋体" w:cs="宋体"/>
                <w:b/>
                <w:bCs/>
                <w:sz w:val="24"/>
                <w:szCs w:val="24"/>
              </w:rPr>
            </w:pPr>
            <w:r>
              <w:rPr>
                <w:rFonts w:hint="eastAsia" w:ascii="宋体" w:hAnsi="宋体" w:cs="宋体"/>
                <w:b/>
                <w:bCs/>
                <w:sz w:val="24"/>
                <w:szCs w:val="24"/>
                <w:lang w:bidi="ar"/>
              </w:rPr>
              <w:t>备品备件名称</w:t>
            </w:r>
          </w:p>
        </w:tc>
        <w:tc>
          <w:tcPr>
            <w:tcW w:w="2414" w:type="dxa"/>
            <w:tcBorders>
              <w:top w:val="single" w:color="auto" w:sz="4" w:space="0"/>
              <w:left w:val="single" w:color="auto" w:sz="4" w:space="0"/>
              <w:bottom w:val="single" w:color="auto" w:sz="4" w:space="0"/>
              <w:right w:val="single" w:color="auto" w:sz="4" w:space="0"/>
            </w:tcBorders>
          </w:tcPr>
          <w:p w14:paraId="3A831D63">
            <w:pPr>
              <w:snapToGrid w:val="0"/>
              <w:jc w:val="center"/>
              <w:rPr>
                <w:rFonts w:hint="eastAsia" w:ascii="宋体" w:hAnsi="宋体" w:cs="宋体"/>
                <w:b/>
                <w:bCs/>
                <w:sz w:val="24"/>
                <w:szCs w:val="24"/>
              </w:rPr>
            </w:pPr>
            <w:r>
              <w:rPr>
                <w:rFonts w:hint="eastAsia" w:ascii="宋体" w:hAnsi="宋体" w:cs="宋体"/>
                <w:b/>
                <w:bCs/>
                <w:sz w:val="24"/>
                <w:szCs w:val="24"/>
                <w:lang w:bidi="ar"/>
              </w:rPr>
              <w:t>型号</w:t>
            </w:r>
          </w:p>
        </w:tc>
        <w:tc>
          <w:tcPr>
            <w:tcW w:w="2416" w:type="dxa"/>
            <w:tcBorders>
              <w:top w:val="single" w:color="auto" w:sz="4" w:space="0"/>
              <w:left w:val="single" w:color="auto" w:sz="4" w:space="0"/>
              <w:bottom w:val="single" w:color="auto" w:sz="4" w:space="0"/>
              <w:right w:val="single" w:color="auto" w:sz="4" w:space="0"/>
            </w:tcBorders>
          </w:tcPr>
          <w:p w14:paraId="530B3714">
            <w:pPr>
              <w:snapToGrid w:val="0"/>
              <w:jc w:val="center"/>
              <w:rPr>
                <w:rFonts w:hint="eastAsia" w:ascii="宋体" w:hAnsi="宋体" w:cs="宋体"/>
                <w:b/>
                <w:bCs/>
                <w:sz w:val="24"/>
                <w:szCs w:val="24"/>
              </w:rPr>
            </w:pPr>
            <w:r>
              <w:rPr>
                <w:rFonts w:hint="eastAsia" w:ascii="宋体" w:hAnsi="宋体" w:cs="宋体"/>
                <w:b/>
                <w:bCs/>
                <w:sz w:val="24"/>
                <w:szCs w:val="24"/>
                <w:lang w:bidi="ar"/>
              </w:rPr>
              <w:t>备注</w:t>
            </w:r>
          </w:p>
        </w:tc>
      </w:tr>
      <w:tr w14:paraId="08D4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tcPr>
          <w:p w14:paraId="51F2B921">
            <w:pPr>
              <w:snapToGrid w:val="0"/>
              <w:jc w:val="center"/>
              <w:rPr>
                <w:rFonts w:hint="eastAsia" w:ascii="宋体" w:hAnsi="宋体" w:cs="宋体"/>
                <w:sz w:val="24"/>
                <w:szCs w:val="24"/>
              </w:rPr>
            </w:pPr>
            <w:r>
              <w:rPr>
                <w:rFonts w:hint="eastAsia" w:ascii="宋体" w:hAnsi="宋体" w:cs="宋体"/>
                <w:sz w:val="24"/>
                <w:szCs w:val="24"/>
                <w:lang w:bidi="ar"/>
              </w:rPr>
              <w:t>1</w:t>
            </w:r>
          </w:p>
        </w:tc>
        <w:tc>
          <w:tcPr>
            <w:tcW w:w="3379" w:type="dxa"/>
            <w:tcBorders>
              <w:top w:val="single" w:color="auto" w:sz="4" w:space="0"/>
              <w:left w:val="single" w:color="auto" w:sz="4" w:space="0"/>
              <w:bottom w:val="single" w:color="auto" w:sz="4" w:space="0"/>
              <w:right w:val="single" w:color="auto" w:sz="4" w:space="0"/>
            </w:tcBorders>
          </w:tcPr>
          <w:p w14:paraId="67B5131C">
            <w:pPr>
              <w:snapToGrid w:val="0"/>
              <w:jc w:val="center"/>
              <w:rPr>
                <w:rFonts w:hint="eastAsia" w:ascii="宋体" w:hAnsi="宋体" w:cs="宋体"/>
                <w:sz w:val="24"/>
                <w:szCs w:val="24"/>
              </w:rPr>
            </w:pPr>
          </w:p>
        </w:tc>
        <w:tc>
          <w:tcPr>
            <w:tcW w:w="2414" w:type="dxa"/>
            <w:tcBorders>
              <w:top w:val="single" w:color="auto" w:sz="4" w:space="0"/>
              <w:left w:val="single" w:color="auto" w:sz="4" w:space="0"/>
              <w:bottom w:val="single" w:color="auto" w:sz="4" w:space="0"/>
              <w:right w:val="single" w:color="auto" w:sz="4" w:space="0"/>
            </w:tcBorders>
          </w:tcPr>
          <w:p w14:paraId="28AAF722">
            <w:pPr>
              <w:snapToGrid w:val="0"/>
              <w:jc w:val="center"/>
              <w:rPr>
                <w:rFonts w:hint="eastAsia" w:ascii="宋体" w:hAnsi="宋体" w:cs="宋体"/>
                <w:sz w:val="24"/>
                <w:szCs w:val="24"/>
              </w:rPr>
            </w:pPr>
          </w:p>
        </w:tc>
        <w:tc>
          <w:tcPr>
            <w:tcW w:w="2416" w:type="dxa"/>
            <w:tcBorders>
              <w:top w:val="single" w:color="auto" w:sz="4" w:space="0"/>
              <w:left w:val="single" w:color="auto" w:sz="4" w:space="0"/>
              <w:bottom w:val="single" w:color="auto" w:sz="4" w:space="0"/>
              <w:right w:val="single" w:color="auto" w:sz="4" w:space="0"/>
            </w:tcBorders>
          </w:tcPr>
          <w:p w14:paraId="41D7A4A6">
            <w:pPr>
              <w:snapToGrid w:val="0"/>
              <w:jc w:val="center"/>
              <w:rPr>
                <w:rFonts w:hint="eastAsia" w:ascii="宋体" w:hAnsi="宋体" w:cs="宋体"/>
                <w:sz w:val="24"/>
                <w:szCs w:val="24"/>
              </w:rPr>
            </w:pPr>
          </w:p>
        </w:tc>
      </w:tr>
      <w:tr w14:paraId="0DD2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tcPr>
          <w:p w14:paraId="543C8DCF">
            <w:pPr>
              <w:snapToGrid w:val="0"/>
              <w:jc w:val="center"/>
              <w:rPr>
                <w:rFonts w:hint="eastAsia" w:ascii="宋体" w:hAnsi="宋体" w:cs="宋体"/>
                <w:sz w:val="24"/>
                <w:szCs w:val="24"/>
              </w:rPr>
            </w:pPr>
            <w:r>
              <w:rPr>
                <w:rFonts w:hint="eastAsia" w:ascii="宋体" w:hAnsi="宋体" w:cs="宋体"/>
                <w:sz w:val="24"/>
                <w:szCs w:val="24"/>
                <w:lang w:bidi="ar"/>
              </w:rPr>
              <w:t>2</w:t>
            </w:r>
          </w:p>
        </w:tc>
        <w:tc>
          <w:tcPr>
            <w:tcW w:w="3379" w:type="dxa"/>
            <w:tcBorders>
              <w:top w:val="single" w:color="auto" w:sz="4" w:space="0"/>
              <w:left w:val="single" w:color="auto" w:sz="4" w:space="0"/>
              <w:bottom w:val="single" w:color="auto" w:sz="4" w:space="0"/>
              <w:right w:val="single" w:color="auto" w:sz="4" w:space="0"/>
            </w:tcBorders>
          </w:tcPr>
          <w:p w14:paraId="32192E71">
            <w:pPr>
              <w:snapToGrid w:val="0"/>
              <w:jc w:val="center"/>
              <w:rPr>
                <w:rFonts w:hint="eastAsia" w:ascii="宋体" w:hAnsi="宋体" w:cs="宋体"/>
                <w:sz w:val="24"/>
                <w:szCs w:val="24"/>
              </w:rPr>
            </w:pPr>
          </w:p>
        </w:tc>
        <w:tc>
          <w:tcPr>
            <w:tcW w:w="2414" w:type="dxa"/>
            <w:tcBorders>
              <w:top w:val="single" w:color="auto" w:sz="4" w:space="0"/>
              <w:left w:val="single" w:color="auto" w:sz="4" w:space="0"/>
              <w:bottom w:val="single" w:color="auto" w:sz="4" w:space="0"/>
              <w:right w:val="single" w:color="auto" w:sz="4" w:space="0"/>
            </w:tcBorders>
          </w:tcPr>
          <w:p w14:paraId="0B1782A4">
            <w:pPr>
              <w:snapToGrid w:val="0"/>
              <w:jc w:val="center"/>
              <w:rPr>
                <w:rFonts w:hint="eastAsia" w:ascii="宋体" w:hAnsi="宋体" w:cs="宋体"/>
                <w:sz w:val="24"/>
                <w:szCs w:val="24"/>
              </w:rPr>
            </w:pPr>
          </w:p>
        </w:tc>
        <w:tc>
          <w:tcPr>
            <w:tcW w:w="2416" w:type="dxa"/>
            <w:tcBorders>
              <w:top w:val="single" w:color="auto" w:sz="4" w:space="0"/>
              <w:left w:val="single" w:color="auto" w:sz="4" w:space="0"/>
              <w:bottom w:val="single" w:color="auto" w:sz="4" w:space="0"/>
              <w:right w:val="single" w:color="auto" w:sz="4" w:space="0"/>
            </w:tcBorders>
          </w:tcPr>
          <w:p w14:paraId="1FFB7C09">
            <w:pPr>
              <w:snapToGrid w:val="0"/>
              <w:jc w:val="center"/>
              <w:rPr>
                <w:rFonts w:hint="eastAsia" w:ascii="宋体" w:hAnsi="宋体" w:cs="宋体"/>
                <w:sz w:val="24"/>
                <w:szCs w:val="24"/>
              </w:rPr>
            </w:pPr>
          </w:p>
        </w:tc>
      </w:tr>
      <w:tr w14:paraId="2215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tcPr>
          <w:p w14:paraId="53988031">
            <w:pPr>
              <w:snapToGrid w:val="0"/>
              <w:jc w:val="center"/>
              <w:rPr>
                <w:rFonts w:hint="eastAsia" w:ascii="宋体" w:hAnsi="宋体" w:cs="宋体"/>
                <w:sz w:val="24"/>
                <w:szCs w:val="24"/>
              </w:rPr>
            </w:pPr>
            <w:r>
              <w:rPr>
                <w:rFonts w:hint="eastAsia" w:ascii="宋体" w:hAnsi="宋体" w:cs="宋体"/>
                <w:sz w:val="24"/>
                <w:szCs w:val="24"/>
                <w:lang w:bidi="ar"/>
              </w:rPr>
              <w:t>3</w:t>
            </w:r>
          </w:p>
        </w:tc>
        <w:tc>
          <w:tcPr>
            <w:tcW w:w="3379" w:type="dxa"/>
            <w:tcBorders>
              <w:top w:val="single" w:color="auto" w:sz="4" w:space="0"/>
              <w:left w:val="single" w:color="auto" w:sz="4" w:space="0"/>
              <w:bottom w:val="single" w:color="auto" w:sz="4" w:space="0"/>
              <w:right w:val="single" w:color="auto" w:sz="4" w:space="0"/>
            </w:tcBorders>
          </w:tcPr>
          <w:p w14:paraId="1C7AB34A">
            <w:pPr>
              <w:snapToGrid w:val="0"/>
              <w:jc w:val="center"/>
              <w:rPr>
                <w:rFonts w:hint="eastAsia" w:ascii="宋体" w:hAnsi="宋体" w:cs="宋体"/>
                <w:sz w:val="24"/>
                <w:szCs w:val="24"/>
              </w:rPr>
            </w:pPr>
          </w:p>
        </w:tc>
        <w:tc>
          <w:tcPr>
            <w:tcW w:w="2414" w:type="dxa"/>
            <w:tcBorders>
              <w:top w:val="single" w:color="auto" w:sz="4" w:space="0"/>
              <w:left w:val="single" w:color="auto" w:sz="4" w:space="0"/>
              <w:bottom w:val="single" w:color="auto" w:sz="4" w:space="0"/>
              <w:right w:val="single" w:color="auto" w:sz="4" w:space="0"/>
            </w:tcBorders>
          </w:tcPr>
          <w:p w14:paraId="2A3CEF68">
            <w:pPr>
              <w:snapToGrid w:val="0"/>
              <w:jc w:val="center"/>
              <w:rPr>
                <w:rFonts w:hint="eastAsia" w:ascii="宋体" w:hAnsi="宋体" w:cs="宋体"/>
                <w:sz w:val="24"/>
                <w:szCs w:val="24"/>
              </w:rPr>
            </w:pPr>
          </w:p>
        </w:tc>
        <w:tc>
          <w:tcPr>
            <w:tcW w:w="2416" w:type="dxa"/>
            <w:tcBorders>
              <w:top w:val="single" w:color="auto" w:sz="4" w:space="0"/>
              <w:left w:val="single" w:color="auto" w:sz="4" w:space="0"/>
              <w:bottom w:val="single" w:color="auto" w:sz="4" w:space="0"/>
              <w:right w:val="single" w:color="auto" w:sz="4" w:space="0"/>
            </w:tcBorders>
          </w:tcPr>
          <w:p w14:paraId="7EB9343B">
            <w:pPr>
              <w:snapToGrid w:val="0"/>
              <w:jc w:val="center"/>
              <w:rPr>
                <w:rFonts w:hint="eastAsia" w:ascii="宋体" w:hAnsi="宋体" w:cs="宋体"/>
                <w:sz w:val="24"/>
                <w:szCs w:val="24"/>
              </w:rPr>
            </w:pPr>
          </w:p>
        </w:tc>
      </w:tr>
      <w:tr w14:paraId="205B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tcPr>
          <w:p w14:paraId="364AD3DB">
            <w:pPr>
              <w:snapToGrid w:val="0"/>
              <w:jc w:val="center"/>
              <w:rPr>
                <w:rFonts w:hint="eastAsia" w:ascii="宋体" w:hAnsi="宋体" w:cs="宋体"/>
                <w:sz w:val="24"/>
                <w:szCs w:val="24"/>
              </w:rPr>
            </w:pPr>
            <w:r>
              <w:rPr>
                <w:rFonts w:hint="eastAsia" w:ascii="宋体" w:hAnsi="宋体" w:cs="宋体"/>
                <w:sz w:val="24"/>
                <w:szCs w:val="24"/>
                <w:lang w:bidi="ar"/>
              </w:rPr>
              <w:t>4</w:t>
            </w:r>
          </w:p>
        </w:tc>
        <w:tc>
          <w:tcPr>
            <w:tcW w:w="3379" w:type="dxa"/>
            <w:tcBorders>
              <w:top w:val="single" w:color="auto" w:sz="4" w:space="0"/>
              <w:left w:val="single" w:color="auto" w:sz="4" w:space="0"/>
              <w:bottom w:val="single" w:color="auto" w:sz="4" w:space="0"/>
              <w:right w:val="single" w:color="auto" w:sz="4" w:space="0"/>
            </w:tcBorders>
          </w:tcPr>
          <w:p w14:paraId="6FAE5983">
            <w:pPr>
              <w:snapToGrid w:val="0"/>
              <w:jc w:val="center"/>
              <w:rPr>
                <w:rFonts w:hint="eastAsia" w:ascii="宋体" w:hAnsi="宋体" w:cs="宋体"/>
                <w:sz w:val="24"/>
                <w:szCs w:val="24"/>
              </w:rPr>
            </w:pPr>
          </w:p>
        </w:tc>
        <w:tc>
          <w:tcPr>
            <w:tcW w:w="2414" w:type="dxa"/>
            <w:tcBorders>
              <w:top w:val="single" w:color="auto" w:sz="4" w:space="0"/>
              <w:left w:val="single" w:color="auto" w:sz="4" w:space="0"/>
              <w:bottom w:val="single" w:color="auto" w:sz="4" w:space="0"/>
              <w:right w:val="single" w:color="auto" w:sz="4" w:space="0"/>
            </w:tcBorders>
          </w:tcPr>
          <w:p w14:paraId="0EACF872">
            <w:pPr>
              <w:snapToGrid w:val="0"/>
              <w:jc w:val="center"/>
              <w:rPr>
                <w:rFonts w:hint="eastAsia" w:ascii="宋体" w:hAnsi="宋体" w:cs="宋体"/>
                <w:sz w:val="24"/>
                <w:szCs w:val="24"/>
              </w:rPr>
            </w:pPr>
          </w:p>
        </w:tc>
        <w:tc>
          <w:tcPr>
            <w:tcW w:w="2416" w:type="dxa"/>
            <w:tcBorders>
              <w:top w:val="single" w:color="auto" w:sz="4" w:space="0"/>
              <w:left w:val="single" w:color="auto" w:sz="4" w:space="0"/>
              <w:bottom w:val="single" w:color="auto" w:sz="4" w:space="0"/>
              <w:right w:val="single" w:color="auto" w:sz="4" w:space="0"/>
            </w:tcBorders>
          </w:tcPr>
          <w:p w14:paraId="1CC3D8A6">
            <w:pPr>
              <w:snapToGrid w:val="0"/>
              <w:jc w:val="center"/>
              <w:rPr>
                <w:rFonts w:hint="eastAsia" w:ascii="宋体" w:hAnsi="宋体" w:cs="宋体"/>
                <w:sz w:val="24"/>
                <w:szCs w:val="24"/>
              </w:rPr>
            </w:pPr>
          </w:p>
        </w:tc>
      </w:tr>
      <w:tr w14:paraId="4536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tcPr>
          <w:p w14:paraId="6482F3EA">
            <w:pPr>
              <w:snapToGrid w:val="0"/>
              <w:jc w:val="center"/>
              <w:rPr>
                <w:rFonts w:hint="eastAsia" w:ascii="宋体" w:hAnsi="宋体" w:cs="宋体"/>
                <w:sz w:val="24"/>
                <w:szCs w:val="24"/>
              </w:rPr>
            </w:pPr>
            <w:r>
              <w:rPr>
                <w:rFonts w:hint="eastAsia" w:ascii="宋体" w:hAnsi="宋体" w:cs="宋体"/>
                <w:sz w:val="24"/>
                <w:szCs w:val="24"/>
                <w:lang w:bidi="ar"/>
              </w:rPr>
              <w:t>5</w:t>
            </w:r>
          </w:p>
        </w:tc>
        <w:tc>
          <w:tcPr>
            <w:tcW w:w="3379" w:type="dxa"/>
            <w:tcBorders>
              <w:top w:val="single" w:color="auto" w:sz="4" w:space="0"/>
              <w:left w:val="single" w:color="auto" w:sz="4" w:space="0"/>
              <w:bottom w:val="single" w:color="auto" w:sz="4" w:space="0"/>
              <w:right w:val="single" w:color="auto" w:sz="4" w:space="0"/>
            </w:tcBorders>
          </w:tcPr>
          <w:p w14:paraId="0ED449C1">
            <w:pPr>
              <w:snapToGrid w:val="0"/>
              <w:jc w:val="center"/>
              <w:rPr>
                <w:rFonts w:hint="eastAsia" w:ascii="宋体" w:hAnsi="宋体" w:cs="宋体"/>
                <w:sz w:val="24"/>
                <w:szCs w:val="24"/>
              </w:rPr>
            </w:pPr>
          </w:p>
        </w:tc>
        <w:tc>
          <w:tcPr>
            <w:tcW w:w="2414" w:type="dxa"/>
            <w:tcBorders>
              <w:top w:val="single" w:color="auto" w:sz="4" w:space="0"/>
              <w:left w:val="single" w:color="auto" w:sz="4" w:space="0"/>
              <w:bottom w:val="single" w:color="auto" w:sz="4" w:space="0"/>
              <w:right w:val="single" w:color="auto" w:sz="4" w:space="0"/>
            </w:tcBorders>
          </w:tcPr>
          <w:p w14:paraId="011E1A41">
            <w:pPr>
              <w:snapToGrid w:val="0"/>
              <w:jc w:val="center"/>
              <w:rPr>
                <w:rFonts w:hint="eastAsia" w:ascii="宋体" w:hAnsi="宋体" w:cs="宋体"/>
                <w:sz w:val="24"/>
                <w:szCs w:val="24"/>
              </w:rPr>
            </w:pPr>
          </w:p>
        </w:tc>
        <w:tc>
          <w:tcPr>
            <w:tcW w:w="2416" w:type="dxa"/>
            <w:tcBorders>
              <w:top w:val="single" w:color="auto" w:sz="4" w:space="0"/>
              <w:left w:val="single" w:color="auto" w:sz="4" w:space="0"/>
              <w:bottom w:val="single" w:color="auto" w:sz="4" w:space="0"/>
              <w:right w:val="single" w:color="auto" w:sz="4" w:space="0"/>
            </w:tcBorders>
          </w:tcPr>
          <w:p w14:paraId="7AE1D85F">
            <w:pPr>
              <w:snapToGrid w:val="0"/>
              <w:jc w:val="center"/>
              <w:rPr>
                <w:rFonts w:hint="eastAsia" w:ascii="宋体" w:hAnsi="宋体" w:cs="宋体"/>
                <w:sz w:val="24"/>
                <w:szCs w:val="24"/>
              </w:rPr>
            </w:pPr>
          </w:p>
        </w:tc>
      </w:tr>
      <w:tr w14:paraId="4622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tcPr>
          <w:p w14:paraId="5DABBA2E">
            <w:pPr>
              <w:snapToGrid w:val="0"/>
              <w:jc w:val="center"/>
              <w:rPr>
                <w:rFonts w:hint="eastAsia" w:ascii="宋体" w:hAnsi="宋体" w:cs="宋体"/>
                <w:sz w:val="24"/>
                <w:szCs w:val="24"/>
              </w:rPr>
            </w:pPr>
          </w:p>
        </w:tc>
        <w:tc>
          <w:tcPr>
            <w:tcW w:w="3379" w:type="dxa"/>
            <w:tcBorders>
              <w:top w:val="single" w:color="auto" w:sz="4" w:space="0"/>
              <w:left w:val="single" w:color="auto" w:sz="4" w:space="0"/>
              <w:bottom w:val="single" w:color="auto" w:sz="4" w:space="0"/>
              <w:right w:val="single" w:color="auto" w:sz="4" w:space="0"/>
            </w:tcBorders>
          </w:tcPr>
          <w:p w14:paraId="20126203">
            <w:pPr>
              <w:snapToGrid w:val="0"/>
              <w:jc w:val="center"/>
              <w:rPr>
                <w:rFonts w:hint="eastAsia" w:ascii="宋体" w:hAnsi="宋体" w:cs="宋体"/>
                <w:sz w:val="24"/>
                <w:szCs w:val="24"/>
              </w:rPr>
            </w:pPr>
          </w:p>
        </w:tc>
        <w:tc>
          <w:tcPr>
            <w:tcW w:w="2414" w:type="dxa"/>
            <w:tcBorders>
              <w:top w:val="single" w:color="auto" w:sz="4" w:space="0"/>
              <w:left w:val="single" w:color="auto" w:sz="4" w:space="0"/>
              <w:bottom w:val="single" w:color="auto" w:sz="4" w:space="0"/>
              <w:right w:val="single" w:color="auto" w:sz="4" w:space="0"/>
            </w:tcBorders>
          </w:tcPr>
          <w:p w14:paraId="7C46C4C2">
            <w:pPr>
              <w:snapToGrid w:val="0"/>
              <w:jc w:val="center"/>
              <w:rPr>
                <w:rFonts w:hint="eastAsia" w:ascii="宋体" w:hAnsi="宋体" w:cs="宋体"/>
                <w:sz w:val="24"/>
                <w:szCs w:val="24"/>
              </w:rPr>
            </w:pPr>
          </w:p>
        </w:tc>
        <w:tc>
          <w:tcPr>
            <w:tcW w:w="2416" w:type="dxa"/>
            <w:tcBorders>
              <w:top w:val="single" w:color="auto" w:sz="4" w:space="0"/>
              <w:left w:val="single" w:color="auto" w:sz="4" w:space="0"/>
              <w:bottom w:val="single" w:color="auto" w:sz="4" w:space="0"/>
              <w:right w:val="single" w:color="auto" w:sz="4" w:space="0"/>
            </w:tcBorders>
          </w:tcPr>
          <w:p w14:paraId="41F7451B">
            <w:pPr>
              <w:snapToGrid w:val="0"/>
              <w:jc w:val="center"/>
              <w:rPr>
                <w:rFonts w:hint="eastAsia" w:ascii="宋体" w:hAnsi="宋体" w:cs="宋体"/>
                <w:sz w:val="24"/>
                <w:szCs w:val="24"/>
              </w:rPr>
            </w:pPr>
          </w:p>
        </w:tc>
      </w:tr>
      <w:tr w14:paraId="5EE5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tcPr>
          <w:p w14:paraId="463A9187">
            <w:pPr>
              <w:snapToGrid w:val="0"/>
              <w:jc w:val="center"/>
              <w:rPr>
                <w:rFonts w:hint="eastAsia" w:ascii="宋体" w:hAnsi="宋体" w:cs="宋体"/>
                <w:sz w:val="24"/>
                <w:szCs w:val="24"/>
              </w:rPr>
            </w:pPr>
          </w:p>
        </w:tc>
        <w:tc>
          <w:tcPr>
            <w:tcW w:w="3379" w:type="dxa"/>
            <w:tcBorders>
              <w:top w:val="single" w:color="auto" w:sz="4" w:space="0"/>
              <w:left w:val="single" w:color="auto" w:sz="4" w:space="0"/>
              <w:bottom w:val="single" w:color="auto" w:sz="4" w:space="0"/>
              <w:right w:val="single" w:color="auto" w:sz="4" w:space="0"/>
            </w:tcBorders>
          </w:tcPr>
          <w:p w14:paraId="4FEDCC85">
            <w:pPr>
              <w:snapToGrid w:val="0"/>
              <w:jc w:val="center"/>
              <w:rPr>
                <w:rFonts w:hint="eastAsia" w:ascii="宋体" w:hAnsi="宋体" w:cs="宋体"/>
                <w:sz w:val="24"/>
                <w:szCs w:val="24"/>
              </w:rPr>
            </w:pPr>
          </w:p>
        </w:tc>
        <w:tc>
          <w:tcPr>
            <w:tcW w:w="2414" w:type="dxa"/>
            <w:tcBorders>
              <w:top w:val="single" w:color="auto" w:sz="4" w:space="0"/>
              <w:left w:val="single" w:color="auto" w:sz="4" w:space="0"/>
              <w:bottom w:val="single" w:color="auto" w:sz="4" w:space="0"/>
              <w:right w:val="single" w:color="auto" w:sz="4" w:space="0"/>
            </w:tcBorders>
          </w:tcPr>
          <w:p w14:paraId="70CBFA68">
            <w:pPr>
              <w:snapToGrid w:val="0"/>
              <w:jc w:val="center"/>
              <w:rPr>
                <w:rFonts w:hint="eastAsia" w:ascii="宋体" w:hAnsi="宋体" w:cs="宋体"/>
                <w:sz w:val="24"/>
                <w:szCs w:val="24"/>
              </w:rPr>
            </w:pPr>
          </w:p>
        </w:tc>
        <w:tc>
          <w:tcPr>
            <w:tcW w:w="2416" w:type="dxa"/>
            <w:tcBorders>
              <w:top w:val="single" w:color="auto" w:sz="4" w:space="0"/>
              <w:left w:val="single" w:color="auto" w:sz="4" w:space="0"/>
              <w:bottom w:val="single" w:color="auto" w:sz="4" w:space="0"/>
              <w:right w:val="single" w:color="auto" w:sz="4" w:space="0"/>
            </w:tcBorders>
          </w:tcPr>
          <w:p w14:paraId="5C525DCB">
            <w:pPr>
              <w:snapToGrid w:val="0"/>
              <w:jc w:val="center"/>
              <w:rPr>
                <w:rFonts w:hint="eastAsia" w:ascii="宋体" w:hAnsi="宋体" w:cs="宋体"/>
                <w:sz w:val="24"/>
                <w:szCs w:val="24"/>
              </w:rPr>
            </w:pPr>
          </w:p>
        </w:tc>
      </w:tr>
      <w:tr w14:paraId="5FA8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tcPr>
          <w:p w14:paraId="14EBDC7A">
            <w:pPr>
              <w:snapToGrid w:val="0"/>
              <w:jc w:val="center"/>
              <w:rPr>
                <w:rFonts w:hint="eastAsia" w:ascii="宋体" w:hAnsi="宋体" w:cs="宋体"/>
                <w:sz w:val="24"/>
                <w:szCs w:val="24"/>
              </w:rPr>
            </w:pPr>
          </w:p>
        </w:tc>
        <w:tc>
          <w:tcPr>
            <w:tcW w:w="3379" w:type="dxa"/>
            <w:tcBorders>
              <w:top w:val="single" w:color="auto" w:sz="4" w:space="0"/>
              <w:left w:val="single" w:color="auto" w:sz="4" w:space="0"/>
              <w:bottom w:val="single" w:color="auto" w:sz="4" w:space="0"/>
              <w:right w:val="single" w:color="auto" w:sz="4" w:space="0"/>
            </w:tcBorders>
          </w:tcPr>
          <w:p w14:paraId="3775F1D6">
            <w:pPr>
              <w:snapToGrid w:val="0"/>
              <w:jc w:val="center"/>
              <w:rPr>
                <w:rFonts w:hint="eastAsia" w:ascii="宋体" w:hAnsi="宋体" w:cs="宋体"/>
                <w:sz w:val="24"/>
                <w:szCs w:val="24"/>
              </w:rPr>
            </w:pPr>
          </w:p>
        </w:tc>
        <w:tc>
          <w:tcPr>
            <w:tcW w:w="2414" w:type="dxa"/>
            <w:tcBorders>
              <w:top w:val="single" w:color="auto" w:sz="4" w:space="0"/>
              <w:left w:val="single" w:color="auto" w:sz="4" w:space="0"/>
              <w:bottom w:val="single" w:color="auto" w:sz="4" w:space="0"/>
              <w:right w:val="single" w:color="auto" w:sz="4" w:space="0"/>
            </w:tcBorders>
          </w:tcPr>
          <w:p w14:paraId="42CB7D74">
            <w:pPr>
              <w:snapToGrid w:val="0"/>
              <w:jc w:val="center"/>
              <w:rPr>
                <w:rFonts w:hint="eastAsia" w:ascii="宋体" w:hAnsi="宋体" w:cs="宋体"/>
                <w:sz w:val="24"/>
                <w:szCs w:val="24"/>
              </w:rPr>
            </w:pPr>
          </w:p>
        </w:tc>
        <w:tc>
          <w:tcPr>
            <w:tcW w:w="2416" w:type="dxa"/>
            <w:tcBorders>
              <w:top w:val="single" w:color="auto" w:sz="4" w:space="0"/>
              <w:left w:val="single" w:color="auto" w:sz="4" w:space="0"/>
              <w:bottom w:val="single" w:color="auto" w:sz="4" w:space="0"/>
              <w:right w:val="single" w:color="auto" w:sz="4" w:space="0"/>
            </w:tcBorders>
          </w:tcPr>
          <w:p w14:paraId="13989566">
            <w:pPr>
              <w:snapToGrid w:val="0"/>
              <w:jc w:val="center"/>
              <w:rPr>
                <w:rFonts w:hint="eastAsia" w:ascii="宋体" w:hAnsi="宋体" w:cs="宋体"/>
                <w:sz w:val="24"/>
                <w:szCs w:val="24"/>
              </w:rPr>
            </w:pPr>
          </w:p>
        </w:tc>
      </w:tr>
      <w:tr w14:paraId="09EC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tcBorders>
              <w:top w:val="single" w:color="auto" w:sz="4" w:space="0"/>
              <w:left w:val="single" w:color="auto" w:sz="4" w:space="0"/>
              <w:bottom w:val="single" w:color="auto" w:sz="4" w:space="0"/>
              <w:right w:val="single" w:color="auto" w:sz="4" w:space="0"/>
            </w:tcBorders>
          </w:tcPr>
          <w:p w14:paraId="4F8A5BB1">
            <w:pPr>
              <w:snapToGrid w:val="0"/>
              <w:rPr>
                <w:rFonts w:hint="eastAsia" w:ascii="宋体" w:hAnsi="宋体" w:cs="宋体"/>
                <w:b/>
                <w:bCs/>
                <w:sz w:val="24"/>
                <w:szCs w:val="24"/>
              </w:rPr>
            </w:pPr>
            <w:r>
              <w:rPr>
                <w:rFonts w:hint="eastAsia" w:ascii="宋体" w:hAnsi="宋体" w:cs="宋体"/>
                <w:b/>
                <w:bCs/>
                <w:sz w:val="24"/>
                <w:szCs w:val="24"/>
                <w:lang w:bidi="ar"/>
              </w:rPr>
              <w:t>说明：质保期内免费提供以上备品备件</w:t>
            </w:r>
          </w:p>
        </w:tc>
      </w:tr>
    </w:tbl>
    <w:p w14:paraId="4C84FFDD">
      <w:pPr>
        <w:snapToGrid w:val="0"/>
        <w:ind w:firstLine="482" w:firstLineChars="200"/>
        <w:rPr>
          <w:rFonts w:hint="eastAsia" w:ascii="宋体" w:hAnsi="宋体" w:cs="宋体"/>
          <w:b/>
          <w:bCs/>
          <w:sz w:val="24"/>
          <w:szCs w:val="24"/>
        </w:rPr>
      </w:pPr>
    </w:p>
    <w:p w14:paraId="2558A8D7">
      <w:pPr>
        <w:snapToGrid w:val="0"/>
        <w:ind w:firstLine="482" w:firstLineChars="200"/>
        <w:rPr>
          <w:rFonts w:hint="eastAsia" w:ascii="宋体" w:hAnsi="宋体" w:cs="宋体"/>
          <w:b/>
          <w:bCs/>
          <w:sz w:val="24"/>
          <w:szCs w:val="24"/>
        </w:rPr>
      </w:pPr>
    </w:p>
    <w:p w14:paraId="5551F4A1">
      <w:pPr>
        <w:snapToGrid w:val="0"/>
        <w:ind w:firstLine="482" w:firstLineChars="200"/>
        <w:rPr>
          <w:rFonts w:hint="eastAsia" w:ascii="宋体" w:hAnsi="宋体" w:cs="宋体"/>
          <w:b/>
          <w:bCs/>
          <w:sz w:val="24"/>
          <w:szCs w:val="24"/>
        </w:rPr>
      </w:pPr>
    </w:p>
    <w:p w14:paraId="4422AAFE">
      <w:pPr>
        <w:snapToGrid w:val="0"/>
        <w:ind w:firstLine="482" w:firstLineChars="200"/>
        <w:rPr>
          <w:rFonts w:hint="eastAsia" w:ascii="宋体" w:hAnsi="宋体" w:cs="宋体"/>
          <w:b/>
          <w:bCs/>
          <w:sz w:val="24"/>
          <w:szCs w:val="24"/>
        </w:rPr>
      </w:pPr>
    </w:p>
    <w:p w14:paraId="01069856">
      <w:pPr>
        <w:snapToGrid w:val="0"/>
        <w:ind w:firstLine="482" w:firstLineChars="200"/>
        <w:rPr>
          <w:rFonts w:hint="eastAsia" w:ascii="宋体" w:hAnsi="宋体" w:cs="宋体"/>
          <w:b/>
          <w:bCs/>
          <w:sz w:val="24"/>
          <w:szCs w:val="24"/>
        </w:rPr>
      </w:pPr>
    </w:p>
    <w:p w14:paraId="750EC859">
      <w:pPr>
        <w:snapToGrid w:val="0"/>
        <w:ind w:firstLine="482" w:firstLineChars="200"/>
        <w:rPr>
          <w:rFonts w:hint="eastAsia" w:ascii="宋体" w:hAnsi="宋体" w:cs="宋体"/>
          <w:b/>
          <w:bCs/>
          <w:sz w:val="24"/>
          <w:szCs w:val="24"/>
        </w:rPr>
      </w:pPr>
    </w:p>
    <w:p w14:paraId="5328E582">
      <w:pPr>
        <w:snapToGrid w:val="0"/>
        <w:ind w:firstLine="482" w:firstLineChars="200"/>
        <w:rPr>
          <w:rFonts w:hint="eastAsia" w:ascii="宋体" w:hAnsi="宋体" w:cs="宋体"/>
          <w:b/>
          <w:bCs/>
          <w:sz w:val="24"/>
          <w:szCs w:val="24"/>
        </w:rPr>
      </w:pPr>
    </w:p>
    <w:p w14:paraId="62F99640">
      <w:pPr>
        <w:snapToGrid w:val="0"/>
        <w:ind w:firstLine="482" w:firstLineChars="200"/>
        <w:rPr>
          <w:rFonts w:hint="eastAsia" w:ascii="宋体" w:hAnsi="宋体" w:cs="宋体"/>
          <w:b/>
          <w:bCs/>
          <w:sz w:val="24"/>
          <w:szCs w:val="24"/>
        </w:rPr>
      </w:pPr>
    </w:p>
    <w:p w14:paraId="1C05EFEA">
      <w:pPr>
        <w:snapToGrid w:val="0"/>
        <w:ind w:firstLine="482" w:firstLineChars="200"/>
        <w:rPr>
          <w:rFonts w:hint="eastAsia" w:ascii="宋体" w:hAnsi="宋体" w:cs="宋体"/>
          <w:b/>
          <w:bCs/>
          <w:sz w:val="24"/>
          <w:szCs w:val="24"/>
        </w:rPr>
      </w:pPr>
    </w:p>
    <w:p w14:paraId="2AD1B59B">
      <w:pPr>
        <w:snapToGrid w:val="0"/>
        <w:ind w:firstLine="482" w:firstLineChars="200"/>
        <w:rPr>
          <w:rFonts w:hint="eastAsia" w:ascii="宋体" w:hAnsi="宋体" w:cs="宋体"/>
          <w:b/>
          <w:bCs/>
          <w:sz w:val="24"/>
          <w:szCs w:val="24"/>
        </w:rPr>
      </w:pPr>
    </w:p>
    <w:p w14:paraId="4A30CDBB">
      <w:pPr>
        <w:snapToGrid w:val="0"/>
        <w:ind w:firstLine="482" w:firstLineChars="200"/>
        <w:rPr>
          <w:rFonts w:hint="eastAsia" w:ascii="宋体" w:hAnsi="宋体" w:cs="宋体"/>
          <w:b/>
          <w:bCs/>
          <w:sz w:val="24"/>
          <w:szCs w:val="24"/>
        </w:rPr>
      </w:pPr>
    </w:p>
    <w:p w14:paraId="4D515148">
      <w:pPr>
        <w:snapToGrid w:val="0"/>
        <w:ind w:firstLine="482" w:firstLineChars="200"/>
        <w:rPr>
          <w:rFonts w:hint="eastAsia" w:ascii="宋体" w:hAnsi="宋体" w:cs="宋体"/>
          <w:b/>
          <w:bCs/>
          <w:sz w:val="24"/>
          <w:szCs w:val="24"/>
        </w:rPr>
      </w:pPr>
    </w:p>
    <w:p w14:paraId="43A80289">
      <w:pPr>
        <w:snapToGrid w:val="0"/>
        <w:ind w:firstLine="482" w:firstLineChars="200"/>
        <w:rPr>
          <w:rFonts w:hint="eastAsia" w:ascii="宋体" w:hAnsi="宋体" w:cs="宋体"/>
          <w:b/>
          <w:bCs/>
          <w:sz w:val="24"/>
          <w:szCs w:val="24"/>
        </w:rPr>
      </w:pPr>
    </w:p>
    <w:p w14:paraId="1F761145">
      <w:pPr>
        <w:snapToGrid w:val="0"/>
        <w:ind w:firstLine="482" w:firstLineChars="200"/>
        <w:rPr>
          <w:rFonts w:hint="eastAsia" w:ascii="宋体" w:hAnsi="宋体" w:cs="宋体"/>
          <w:b/>
          <w:bCs/>
          <w:sz w:val="24"/>
          <w:szCs w:val="24"/>
        </w:rPr>
      </w:pPr>
    </w:p>
    <w:p w14:paraId="0F815332">
      <w:pPr>
        <w:snapToGrid w:val="0"/>
        <w:ind w:firstLine="482" w:firstLineChars="200"/>
        <w:rPr>
          <w:rFonts w:hint="eastAsia" w:ascii="宋体" w:hAnsi="宋体" w:cs="宋体"/>
          <w:b/>
          <w:bCs/>
          <w:sz w:val="24"/>
          <w:szCs w:val="24"/>
        </w:rPr>
      </w:pPr>
    </w:p>
    <w:p w14:paraId="6F615172">
      <w:pPr>
        <w:rPr>
          <w:rFonts w:hint="eastAsia" w:ascii="宋体" w:hAnsi="宋体" w:cs="宋体"/>
          <w:b/>
          <w:bCs/>
          <w:sz w:val="24"/>
          <w:szCs w:val="24"/>
          <w:lang w:bidi="ar"/>
        </w:rPr>
      </w:pPr>
      <w:r>
        <w:rPr>
          <w:rFonts w:hint="eastAsia" w:ascii="宋体" w:hAnsi="宋体" w:cs="宋体"/>
          <w:b/>
          <w:bCs/>
          <w:sz w:val="24"/>
          <w:szCs w:val="24"/>
          <w:lang w:bidi="ar"/>
        </w:rPr>
        <w:br w:type="page"/>
      </w:r>
    </w:p>
    <w:p w14:paraId="037E69AB">
      <w:pPr>
        <w:snapToGrid w:val="0"/>
        <w:ind w:firstLine="482" w:firstLineChars="200"/>
        <w:rPr>
          <w:rFonts w:hint="eastAsia" w:ascii="宋体" w:hAnsi="宋体" w:cs="宋体"/>
          <w:b/>
          <w:bCs/>
          <w:sz w:val="24"/>
          <w:szCs w:val="24"/>
        </w:rPr>
      </w:pPr>
      <w:r>
        <w:rPr>
          <w:rFonts w:hint="eastAsia" w:ascii="宋体" w:hAnsi="宋体" w:cs="宋体"/>
          <w:b/>
          <w:bCs/>
          <w:sz w:val="24"/>
          <w:szCs w:val="24"/>
          <w:lang w:bidi="ar"/>
        </w:rPr>
        <w:t>附件5：</w:t>
      </w:r>
    </w:p>
    <w:p w14:paraId="23A8844A">
      <w:pPr>
        <w:snapToGrid w:val="0"/>
        <w:jc w:val="center"/>
        <w:rPr>
          <w:rFonts w:hint="eastAsia" w:ascii="宋体" w:hAnsi="宋体" w:cs="宋体"/>
          <w:b/>
          <w:bCs/>
          <w:sz w:val="24"/>
          <w:szCs w:val="24"/>
        </w:rPr>
      </w:pPr>
      <w:r>
        <w:rPr>
          <w:rFonts w:hint="eastAsia" w:ascii="宋体" w:hAnsi="宋体" w:cs="宋体"/>
          <w:b/>
          <w:bCs/>
          <w:sz w:val="24"/>
          <w:szCs w:val="24"/>
          <w:lang w:bidi="ar"/>
        </w:rPr>
        <w:t>基本服务要求承诺函（加盖合同专用章）</w:t>
      </w:r>
    </w:p>
    <w:p w14:paraId="12E7C315">
      <w:pPr>
        <w:snapToGrid w:val="0"/>
        <w:jc w:val="center"/>
        <w:rPr>
          <w:rFonts w:hint="eastAsia" w:ascii="宋体" w:hAnsi="宋体" w:cs="宋体"/>
          <w:b/>
          <w:bCs/>
          <w:sz w:val="24"/>
          <w:szCs w:val="24"/>
        </w:rPr>
      </w:pPr>
    </w:p>
    <w:p w14:paraId="6033B8F2">
      <w:pPr>
        <w:numPr>
          <w:ilvl w:val="0"/>
          <w:numId w:val="23"/>
        </w:numPr>
        <w:spacing w:line="360" w:lineRule="auto"/>
        <w:ind w:left="0" w:firstLine="480" w:firstLineChars="200"/>
        <w:rPr>
          <w:rFonts w:hint="eastAsia" w:ascii="宋体" w:hAnsi="宋体" w:cs="宋体"/>
          <w:sz w:val="24"/>
          <w:szCs w:val="24"/>
        </w:rPr>
      </w:pPr>
      <w:r>
        <w:rPr>
          <w:rFonts w:hint="eastAsia" w:ascii="宋体" w:hAnsi="宋体" w:cs="宋体"/>
          <w:sz w:val="24"/>
          <w:szCs w:val="24"/>
          <w:lang w:bidi="ar"/>
        </w:rPr>
        <w:t>负责设备的安装、调试、培训等工作。</w:t>
      </w:r>
    </w:p>
    <w:p w14:paraId="3B4AFE38">
      <w:pPr>
        <w:numPr>
          <w:ilvl w:val="0"/>
          <w:numId w:val="23"/>
        </w:numPr>
        <w:spacing w:line="360" w:lineRule="auto"/>
        <w:ind w:left="0" w:firstLine="480" w:firstLineChars="200"/>
        <w:rPr>
          <w:rFonts w:hint="eastAsia" w:ascii="宋体" w:hAnsi="宋体" w:cs="宋体"/>
          <w:sz w:val="24"/>
          <w:szCs w:val="24"/>
        </w:rPr>
      </w:pPr>
      <w:r>
        <w:rPr>
          <w:rFonts w:hint="eastAsia" w:ascii="宋体" w:hAnsi="宋体" w:cs="宋体"/>
          <w:sz w:val="24"/>
          <w:szCs w:val="24"/>
          <w:lang w:bidi="ar"/>
        </w:rPr>
        <w:t>如标配中含有打印机的，要求配置医院现有品牌（所用耗材需与医院现有耗材一致）。</w:t>
      </w:r>
    </w:p>
    <w:p w14:paraId="4707902C">
      <w:pPr>
        <w:numPr>
          <w:ilvl w:val="0"/>
          <w:numId w:val="23"/>
        </w:numPr>
        <w:spacing w:line="360" w:lineRule="auto"/>
        <w:ind w:left="0" w:firstLine="480" w:firstLineChars="200"/>
        <w:rPr>
          <w:rFonts w:hint="eastAsia" w:ascii="宋体" w:hAnsi="宋体" w:cs="宋体"/>
          <w:sz w:val="24"/>
          <w:szCs w:val="24"/>
        </w:rPr>
      </w:pPr>
      <w:bookmarkStart w:id="111" w:name="auto_fouce_38"/>
      <w:r>
        <w:rPr>
          <w:rFonts w:hint="eastAsia" w:ascii="宋体" w:hAnsi="宋体" w:cs="宋体"/>
          <w:sz w:val="24"/>
          <w:szCs w:val="24"/>
          <w:lang w:bidi="ar"/>
        </w:rPr>
        <w:t>如具有数据存储功能，产生信息数据的设备必须终生免费开放各类数据接口，包含但不限于DICOM、WEBservice等数据接口格式，以保证与我院现有信息系统的数据对接。乙方不得因软件升级、系统迭代、功能更新等任何理由就数据接口的开放、对接、维护向甲方收取任何费用。</w:t>
      </w:r>
      <w:bookmarkEnd w:id="111"/>
    </w:p>
    <w:p w14:paraId="0832BC0F">
      <w:pPr>
        <w:numPr>
          <w:ilvl w:val="0"/>
          <w:numId w:val="23"/>
        </w:numPr>
        <w:spacing w:line="360" w:lineRule="auto"/>
        <w:ind w:left="0" w:firstLine="480" w:firstLineChars="200"/>
        <w:rPr>
          <w:rFonts w:hint="eastAsia" w:ascii="宋体" w:hAnsi="宋体" w:cs="宋体"/>
          <w:sz w:val="24"/>
          <w:szCs w:val="24"/>
        </w:rPr>
      </w:pPr>
      <w:r>
        <w:rPr>
          <w:rFonts w:hint="eastAsia" w:ascii="宋体" w:hAnsi="宋体" w:cs="宋体"/>
          <w:sz w:val="24"/>
          <w:szCs w:val="24"/>
          <w:lang w:bidi="ar"/>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1D653749">
      <w:pPr>
        <w:numPr>
          <w:ilvl w:val="0"/>
          <w:numId w:val="23"/>
        </w:numPr>
        <w:spacing w:line="360" w:lineRule="auto"/>
        <w:ind w:left="0" w:firstLine="480" w:firstLineChars="200"/>
        <w:rPr>
          <w:rFonts w:hint="eastAsia" w:ascii="宋体" w:hAnsi="宋体" w:cs="宋体"/>
          <w:sz w:val="24"/>
          <w:szCs w:val="24"/>
        </w:rPr>
      </w:pPr>
      <w:r>
        <w:rPr>
          <w:rFonts w:hint="eastAsia" w:ascii="宋体" w:hAnsi="宋体" w:cs="宋体"/>
          <w:sz w:val="24"/>
          <w:szCs w:val="24"/>
          <w:lang w:bidi="ar"/>
        </w:rPr>
        <w:t xml:space="preserve">如具有工作站或相关操作系统，其中包含的所有软件，无年度维护费用；软件中涉及到存储病人就诊信息的，无单独就诊卡或芯片类存储介质。 </w:t>
      </w:r>
    </w:p>
    <w:p w14:paraId="4F06A8F6">
      <w:pPr>
        <w:snapToGrid w:val="0"/>
        <w:ind w:firstLine="482" w:firstLineChars="200"/>
        <w:rPr>
          <w:rFonts w:hint="eastAsia" w:ascii="宋体" w:hAnsi="宋体" w:cs="宋体"/>
          <w:b/>
          <w:bCs/>
          <w:sz w:val="24"/>
          <w:szCs w:val="24"/>
        </w:rPr>
      </w:pPr>
    </w:p>
    <w:p w14:paraId="4D8CBD1C">
      <w:pPr>
        <w:snapToGrid w:val="0"/>
        <w:ind w:firstLine="482" w:firstLineChars="200"/>
        <w:rPr>
          <w:rFonts w:hint="eastAsia" w:ascii="宋体" w:hAnsi="宋体" w:cs="宋体"/>
          <w:b/>
          <w:bCs/>
          <w:sz w:val="24"/>
          <w:szCs w:val="24"/>
        </w:rPr>
      </w:pPr>
    </w:p>
    <w:p w14:paraId="2B3FA98C">
      <w:pPr>
        <w:snapToGrid w:val="0"/>
        <w:ind w:firstLine="482" w:firstLineChars="200"/>
        <w:rPr>
          <w:rFonts w:hint="eastAsia" w:ascii="宋体" w:hAnsi="宋体" w:cs="宋体"/>
          <w:b/>
          <w:bCs/>
          <w:sz w:val="24"/>
          <w:szCs w:val="24"/>
        </w:rPr>
      </w:pPr>
    </w:p>
    <w:p w14:paraId="4458398C">
      <w:pPr>
        <w:snapToGrid w:val="0"/>
        <w:ind w:firstLine="482" w:firstLineChars="200"/>
        <w:rPr>
          <w:rFonts w:hint="eastAsia" w:ascii="宋体" w:hAnsi="宋体" w:cs="宋体"/>
          <w:b/>
          <w:bCs/>
          <w:sz w:val="24"/>
          <w:szCs w:val="24"/>
        </w:rPr>
      </w:pPr>
    </w:p>
    <w:p w14:paraId="07A499F6">
      <w:pPr>
        <w:snapToGrid w:val="0"/>
        <w:ind w:firstLine="480" w:firstLineChars="200"/>
        <w:jc w:val="center"/>
        <w:rPr>
          <w:rFonts w:hint="eastAsia" w:ascii="宋体" w:hAnsi="宋体" w:cs="宋体"/>
          <w:b/>
          <w:bCs/>
          <w:sz w:val="24"/>
          <w:szCs w:val="24"/>
        </w:rPr>
      </w:pPr>
      <w:r>
        <w:rPr>
          <w:rFonts w:hint="eastAsia" w:ascii="宋体" w:hAnsi="宋体" w:cs="宋体"/>
          <w:sz w:val="24"/>
          <w:szCs w:val="24"/>
          <w:lang w:bidi="ar"/>
        </w:rPr>
        <w:t xml:space="preserve">                  （公司名称）</w:t>
      </w:r>
    </w:p>
    <w:p w14:paraId="50B32DA3">
      <w:pPr>
        <w:snapToGrid w:val="0"/>
        <w:ind w:firstLine="482" w:firstLineChars="200"/>
        <w:rPr>
          <w:rFonts w:hint="eastAsia" w:ascii="宋体" w:hAnsi="宋体" w:cs="宋体"/>
          <w:b/>
          <w:bCs/>
          <w:sz w:val="24"/>
          <w:szCs w:val="24"/>
        </w:rPr>
      </w:pPr>
    </w:p>
    <w:p w14:paraId="04EA93B2">
      <w:pPr>
        <w:snapToGrid w:val="0"/>
        <w:ind w:firstLine="482" w:firstLineChars="200"/>
        <w:rPr>
          <w:rFonts w:hint="eastAsia" w:ascii="宋体" w:hAnsi="宋体" w:cs="宋体"/>
          <w:b/>
          <w:bCs/>
          <w:sz w:val="24"/>
          <w:szCs w:val="24"/>
        </w:rPr>
      </w:pPr>
    </w:p>
    <w:p w14:paraId="3630C019">
      <w:pPr>
        <w:snapToGrid w:val="0"/>
        <w:ind w:firstLine="482" w:firstLineChars="200"/>
        <w:rPr>
          <w:rFonts w:hint="eastAsia" w:ascii="宋体" w:hAnsi="宋体" w:cs="宋体"/>
          <w:b/>
          <w:bCs/>
          <w:sz w:val="24"/>
          <w:szCs w:val="24"/>
        </w:rPr>
      </w:pPr>
    </w:p>
    <w:p w14:paraId="07464DE9">
      <w:pPr>
        <w:snapToGrid w:val="0"/>
        <w:ind w:firstLine="482" w:firstLineChars="200"/>
        <w:rPr>
          <w:rFonts w:hint="eastAsia" w:ascii="宋体" w:hAnsi="宋体" w:cs="宋体"/>
          <w:b/>
          <w:bCs/>
          <w:sz w:val="24"/>
          <w:szCs w:val="24"/>
        </w:rPr>
      </w:pPr>
    </w:p>
    <w:p w14:paraId="2F279A6B">
      <w:pPr>
        <w:snapToGrid w:val="0"/>
        <w:ind w:firstLine="482" w:firstLineChars="200"/>
        <w:rPr>
          <w:rFonts w:hint="eastAsia" w:ascii="宋体" w:hAnsi="宋体" w:cs="宋体"/>
          <w:b/>
          <w:bCs/>
          <w:sz w:val="24"/>
          <w:szCs w:val="24"/>
        </w:rPr>
      </w:pPr>
    </w:p>
    <w:p w14:paraId="1D5BCC3F">
      <w:pPr>
        <w:snapToGrid w:val="0"/>
        <w:ind w:firstLine="482" w:firstLineChars="200"/>
        <w:rPr>
          <w:rFonts w:hint="eastAsia" w:ascii="宋体" w:hAnsi="宋体" w:cs="宋体"/>
          <w:b/>
          <w:bCs/>
          <w:sz w:val="24"/>
          <w:szCs w:val="24"/>
        </w:rPr>
      </w:pPr>
    </w:p>
    <w:p w14:paraId="65B74A67">
      <w:pPr>
        <w:snapToGrid w:val="0"/>
        <w:ind w:firstLine="482" w:firstLineChars="200"/>
        <w:rPr>
          <w:rFonts w:hint="eastAsia" w:ascii="宋体" w:hAnsi="宋体" w:cs="宋体"/>
          <w:b/>
          <w:bCs/>
          <w:sz w:val="24"/>
          <w:szCs w:val="24"/>
        </w:rPr>
      </w:pPr>
    </w:p>
    <w:p w14:paraId="43AE3021">
      <w:pPr>
        <w:snapToGrid w:val="0"/>
        <w:ind w:firstLine="482" w:firstLineChars="200"/>
        <w:rPr>
          <w:rFonts w:hint="eastAsia" w:ascii="宋体" w:hAnsi="宋体" w:cs="宋体"/>
          <w:b/>
          <w:bCs/>
          <w:sz w:val="24"/>
          <w:szCs w:val="24"/>
        </w:rPr>
      </w:pPr>
    </w:p>
    <w:p w14:paraId="0C792C3F">
      <w:pPr>
        <w:rPr>
          <w:rFonts w:hint="eastAsia" w:ascii="宋体" w:hAnsi="宋体" w:cs="宋体"/>
          <w:b/>
          <w:bCs/>
          <w:sz w:val="24"/>
          <w:szCs w:val="24"/>
          <w:lang w:bidi="ar"/>
        </w:rPr>
      </w:pPr>
      <w:r>
        <w:rPr>
          <w:rFonts w:hint="eastAsia" w:ascii="宋体" w:hAnsi="宋体" w:cs="宋体"/>
          <w:b/>
          <w:bCs/>
          <w:sz w:val="24"/>
          <w:szCs w:val="24"/>
          <w:lang w:bidi="ar"/>
        </w:rPr>
        <w:br w:type="page"/>
      </w:r>
    </w:p>
    <w:p w14:paraId="1FA32097">
      <w:pPr>
        <w:snapToGrid w:val="0"/>
        <w:ind w:firstLine="482" w:firstLineChars="200"/>
        <w:rPr>
          <w:rFonts w:hint="eastAsia" w:ascii="宋体" w:hAnsi="宋体" w:cs="宋体"/>
          <w:b/>
          <w:bCs/>
          <w:sz w:val="24"/>
          <w:szCs w:val="24"/>
        </w:rPr>
      </w:pPr>
      <w:r>
        <w:rPr>
          <w:rFonts w:hint="eastAsia" w:ascii="宋体" w:hAnsi="宋体" w:cs="宋体"/>
          <w:b/>
          <w:bCs/>
          <w:sz w:val="24"/>
          <w:szCs w:val="24"/>
          <w:lang w:bidi="ar"/>
        </w:rPr>
        <w:t>附件6：</w:t>
      </w:r>
    </w:p>
    <w:p w14:paraId="50260111">
      <w:pPr>
        <w:snapToGrid w:val="0"/>
        <w:ind w:firstLine="480" w:firstLineChars="200"/>
        <w:rPr>
          <w:rFonts w:hint="eastAsia" w:ascii="宋体" w:hAnsi="宋体" w:cs="宋体"/>
          <w:sz w:val="24"/>
          <w:szCs w:val="24"/>
        </w:rPr>
      </w:pPr>
    </w:p>
    <w:p w14:paraId="5D03DC90">
      <w:pPr>
        <w:snapToGrid w:val="0"/>
        <w:ind w:firstLine="480" w:firstLineChars="200"/>
        <w:jc w:val="center"/>
        <w:rPr>
          <w:rFonts w:hint="eastAsia" w:ascii="宋体" w:hAnsi="宋体" w:cs="宋体"/>
          <w:b/>
          <w:bCs/>
          <w:sz w:val="24"/>
          <w:szCs w:val="24"/>
        </w:rPr>
      </w:pPr>
      <w:r>
        <w:rPr>
          <w:rFonts w:hint="eastAsia" w:ascii="宋体" w:hAnsi="宋体" w:cs="宋体"/>
          <w:sz w:val="24"/>
          <w:szCs w:val="24"/>
          <w:lang w:bidi="ar"/>
        </w:rPr>
        <w:t>代理商售后服务承诺书</w:t>
      </w:r>
      <w:r>
        <w:rPr>
          <w:rFonts w:hint="eastAsia" w:ascii="宋体" w:hAnsi="宋体" w:cs="宋体"/>
          <w:b/>
          <w:bCs/>
          <w:sz w:val="24"/>
          <w:szCs w:val="24"/>
          <w:lang w:bidi="ar"/>
        </w:rPr>
        <w:t>（加盖合同专用章）</w:t>
      </w:r>
    </w:p>
    <w:p w14:paraId="78317606">
      <w:pPr>
        <w:snapToGrid w:val="0"/>
        <w:ind w:firstLine="482" w:firstLineChars="200"/>
        <w:rPr>
          <w:rFonts w:hint="eastAsia" w:ascii="宋体" w:hAnsi="宋体" w:cs="宋体"/>
          <w:b/>
          <w:bCs/>
          <w:sz w:val="24"/>
          <w:szCs w:val="24"/>
        </w:rPr>
      </w:pPr>
    </w:p>
    <w:p w14:paraId="1C89ABBC">
      <w:pPr>
        <w:snapToGrid w:val="0"/>
        <w:ind w:firstLine="482" w:firstLineChars="200"/>
        <w:rPr>
          <w:rFonts w:hint="eastAsia" w:ascii="宋体" w:hAnsi="宋体" w:cs="宋体"/>
          <w:b/>
          <w:bCs/>
          <w:sz w:val="24"/>
          <w:szCs w:val="24"/>
        </w:rPr>
      </w:pPr>
      <w:r>
        <w:rPr>
          <w:rFonts w:hint="eastAsia" w:ascii="宋体" w:hAnsi="宋体" w:cs="宋体"/>
          <w:b/>
          <w:bCs/>
          <w:sz w:val="24"/>
          <w:szCs w:val="24"/>
          <w:lang w:bidi="ar"/>
        </w:rPr>
        <w:t>必须包含以下内容：</w:t>
      </w:r>
    </w:p>
    <w:p w14:paraId="688DFFF8">
      <w:pPr>
        <w:pStyle w:val="31"/>
        <w:widowControl w:val="0"/>
        <w:numPr>
          <w:ilvl w:val="0"/>
          <w:numId w:val="24"/>
        </w:numPr>
        <w:spacing w:before="0" w:beforeAutospacing="0" w:after="0" w:afterAutospacing="0" w:line="360" w:lineRule="auto"/>
        <w:ind w:firstLine="480" w:firstLineChars="200"/>
        <w:jc w:val="both"/>
        <w:rPr>
          <w:rFonts w:hint="eastAsia"/>
        </w:rPr>
      </w:pPr>
      <w:bookmarkStart w:id="112" w:name="tip_risk_bookmark_39"/>
      <w:r>
        <w:rPr>
          <w:rFonts w:hint="eastAsia"/>
          <w:kern w:val="2"/>
          <w:lang w:bidi="ar"/>
        </w:rPr>
        <w:t>自验收合格之日起计售后服务期，提供整机及增配设备原厂保修服务_____年，承担售后服务期内设备任何故障产生的费用。（需提供原厂保修证明）。</w:t>
      </w:r>
      <w:bookmarkEnd w:id="112"/>
    </w:p>
    <w:p w14:paraId="2AA1C189">
      <w:pPr>
        <w:pStyle w:val="31"/>
        <w:widowControl w:val="0"/>
        <w:numPr>
          <w:ilvl w:val="0"/>
          <w:numId w:val="24"/>
        </w:numPr>
        <w:spacing w:before="0" w:beforeAutospacing="0" w:after="0" w:afterAutospacing="0" w:line="360" w:lineRule="auto"/>
        <w:ind w:firstLine="480" w:firstLineChars="200"/>
        <w:jc w:val="both"/>
        <w:rPr>
          <w:rFonts w:hint="eastAsia"/>
        </w:rPr>
      </w:pPr>
      <w:r>
        <w:rPr>
          <w:rFonts w:hint="eastAsia"/>
          <w:kern w:val="2"/>
          <w:lang w:bidi="ar"/>
        </w:rPr>
        <w:t>售后服务期内每季度定期由专业工程师对设备进行巡检，并出具相应工单交使用科室及设备管理办公室备案。</w:t>
      </w:r>
      <w:r>
        <w:rPr>
          <w:rFonts w:hint="eastAsia"/>
          <w:kern w:val="2"/>
          <w:u w:val="single"/>
          <w:lang w:bidi="ar"/>
        </w:rPr>
        <w:t>（注：以上记录将作为支付设备尾款的依据。）</w:t>
      </w:r>
      <w:bookmarkEnd w:id="110"/>
    </w:p>
    <w:p w14:paraId="1A8A6297">
      <w:pPr>
        <w:snapToGrid w:val="0"/>
        <w:rPr>
          <w:rFonts w:hint="eastAsia" w:ascii="宋体" w:hAnsi="宋体" w:cs="宋体"/>
          <w:sz w:val="24"/>
          <w:szCs w:val="24"/>
        </w:rPr>
      </w:pPr>
    </w:p>
    <w:p w14:paraId="49F4E8B6">
      <w:pPr>
        <w:snapToGrid w:val="0"/>
        <w:rPr>
          <w:rFonts w:hint="eastAsia" w:ascii="宋体" w:hAnsi="宋体" w:cs="宋体"/>
          <w:sz w:val="24"/>
          <w:szCs w:val="24"/>
        </w:rPr>
      </w:pPr>
    </w:p>
    <w:p w14:paraId="53906E40">
      <w:pPr>
        <w:snapToGrid w:val="0"/>
        <w:rPr>
          <w:rFonts w:hint="eastAsia" w:ascii="宋体" w:hAnsi="宋体" w:cs="宋体"/>
          <w:sz w:val="24"/>
          <w:szCs w:val="24"/>
        </w:rPr>
      </w:pPr>
    </w:p>
    <w:p w14:paraId="66E268CF">
      <w:pPr>
        <w:snapToGrid w:val="0"/>
        <w:rPr>
          <w:rFonts w:hint="eastAsia" w:ascii="宋体" w:hAnsi="宋体" w:cs="宋体"/>
          <w:sz w:val="24"/>
          <w:szCs w:val="24"/>
        </w:rPr>
      </w:pPr>
    </w:p>
    <w:p w14:paraId="16DBCC0E">
      <w:pPr>
        <w:snapToGrid w:val="0"/>
        <w:rPr>
          <w:rFonts w:hint="eastAsia" w:ascii="宋体" w:hAnsi="宋体" w:cs="宋体"/>
          <w:sz w:val="24"/>
          <w:szCs w:val="24"/>
        </w:rPr>
      </w:pPr>
    </w:p>
    <w:p w14:paraId="092FFC6C">
      <w:pPr>
        <w:snapToGrid w:val="0"/>
        <w:rPr>
          <w:rFonts w:hint="eastAsia" w:ascii="宋体" w:hAnsi="宋体" w:cs="宋体"/>
          <w:sz w:val="24"/>
          <w:szCs w:val="24"/>
        </w:rPr>
      </w:pPr>
    </w:p>
    <w:p w14:paraId="10F36BB7">
      <w:pPr>
        <w:snapToGrid w:val="0"/>
        <w:rPr>
          <w:rFonts w:hint="eastAsia" w:ascii="宋体" w:hAnsi="宋体" w:cs="宋体"/>
          <w:sz w:val="24"/>
          <w:szCs w:val="24"/>
        </w:rPr>
      </w:pPr>
    </w:p>
    <w:p w14:paraId="657812F6">
      <w:pPr>
        <w:snapToGrid w:val="0"/>
        <w:rPr>
          <w:rFonts w:hint="eastAsia" w:ascii="宋体" w:hAnsi="宋体" w:cs="宋体"/>
          <w:sz w:val="24"/>
          <w:szCs w:val="24"/>
        </w:rPr>
      </w:pPr>
    </w:p>
    <w:p w14:paraId="4A7C4C25">
      <w:pPr>
        <w:snapToGrid w:val="0"/>
        <w:rPr>
          <w:rFonts w:hint="eastAsia" w:ascii="宋体" w:hAnsi="宋体" w:cs="宋体"/>
          <w:sz w:val="24"/>
          <w:szCs w:val="24"/>
        </w:rPr>
      </w:pPr>
    </w:p>
    <w:p w14:paraId="1D820D0C">
      <w:pPr>
        <w:snapToGrid w:val="0"/>
        <w:rPr>
          <w:rFonts w:hint="eastAsia" w:ascii="宋体" w:hAnsi="宋体" w:cs="宋体"/>
          <w:sz w:val="24"/>
          <w:szCs w:val="24"/>
        </w:rPr>
      </w:pPr>
    </w:p>
    <w:p w14:paraId="213B4487">
      <w:pPr>
        <w:snapToGrid w:val="0"/>
        <w:rPr>
          <w:rFonts w:hint="eastAsia" w:ascii="宋体" w:hAnsi="宋体" w:cs="宋体"/>
          <w:sz w:val="24"/>
          <w:szCs w:val="24"/>
        </w:rPr>
      </w:pPr>
    </w:p>
    <w:p w14:paraId="79C0A73C">
      <w:pPr>
        <w:snapToGrid w:val="0"/>
        <w:rPr>
          <w:rFonts w:hint="eastAsia" w:ascii="宋体" w:hAnsi="宋体" w:cs="宋体"/>
          <w:sz w:val="24"/>
          <w:szCs w:val="24"/>
        </w:rPr>
      </w:pPr>
    </w:p>
    <w:p w14:paraId="6EDCB1D7">
      <w:pPr>
        <w:snapToGrid w:val="0"/>
        <w:rPr>
          <w:rFonts w:hint="eastAsia" w:ascii="宋体" w:hAnsi="宋体" w:cs="宋体"/>
          <w:sz w:val="24"/>
          <w:szCs w:val="24"/>
        </w:rPr>
      </w:pPr>
    </w:p>
    <w:p w14:paraId="239F677D">
      <w:pPr>
        <w:snapToGrid w:val="0"/>
        <w:rPr>
          <w:rFonts w:hint="eastAsia" w:ascii="宋体" w:hAnsi="宋体" w:cs="宋体"/>
          <w:sz w:val="24"/>
          <w:szCs w:val="24"/>
        </w:rPr>
      </w:pPr>
    </w:p>
    <w:p w14:paraId="3551ECEB">
      <w:pPr>
        <w:snapToGrid w:val="0"/>
        <w:rPr>
          <w:rFonts w:hint="eastAsia" w:ascii="宋体" w:hAnsi="宋体" w:cs="宋体"/>
          <w:sz w:val="24"/>
          <w:szCs w:val="24"/>
        </w:rPr>
      </w:pPr>
    </w:p>
    <w:p w14:paraId="22FACA4A">
      <w:pPr>
        <w:snapToGrid w:val="0"/>
        <w:rPr>
          <w:rFonts w:hint="eastAsia" w:ascii="宋体" w:hAnsi="宋体" w:cs="宋体"/>
          <w:sz w:val="24"/>
          <w:szCs w:val="24"/>
        </w:rPr>
      </w:pPr>
    </w:p>
    <w:p w14:paraId="0A2F4756">
      <w:pPr>
        <w:snapToGrid w:val="0"/>
        <w:rPr>
          <w:rFonts w:hint="eastAsia" w:ascii="宋体" w:hAnsi="宋体" w:cs="宋体"/>
          <w:sz w:val="24"/>
          <w:szCs w:val="24"/>
        </w:rPr>
      </w:pPr>
    </w:p>
    <w:p w14:paraId="52D06889">
      <w:pPr>
        <w:snapToGrid w:val="0"/>
        <w:rPr>
          <w:rFonts w:hint="eastAsia" w:ascii="宋体" w:hAnsi="宋体" w:cs="宋体"/>
          <w:sz w:val="24"/>
          <w:szCs w:val="24"/>
        </w:rPr>
      </w:pPr>
    </w:p>
    <w:p w14:paraId="204735C0">
      <w:pPr>
        <w:snapToGrid w:val="0"/>
        <w:rPr>
          <w:rFonts w:hint="eastAsia" w:ascii="宋体" w:hAnsi="宋体" w:cs="宋体"/>
          <w:sz w:val="24"/>
          <w:szCs w:val="24"/>
        </w:rPr>
      </w:pPr>
    </w:p>
    <w:p w14:paraId="66E5C264">
      <w:pPr>
        <w:rPr>
          <w:rFonts w:hint="eastAsia" w:ascii="宋体" w:hAnsi="宋体" w:cs="宋体"/>
          <w:b/>
          <w:bCs/>
          <w:sz w:val="24"/>
          <w:szCs w:val="24"/>
          <w:lang w:bidi="ar"/>
        </w:rPr>
      </w:pPr>
      <w:r>
        <w:rPr>
          <w:rFonts w:hint="eastAsia" w:ascii="宋体" w:hAnsi="宋体" w:cs="宋体"/>
          <w:b/>
          <w:bCs/>
          <w:sz w:val="24"/>
          <w:szCs w:val="24"/>
          <w:lang w:bidi="ar"/>
        </w:rPr>
        <w:br w:type="page"/>
      </w:r>
    </w:p>
    <w:p w14:paraId="175F66A6">
      <w:pPr>
        <w:snapToGrid w:val="0"/>
        <w:ind w:firstLine="482" w:firstLineChars="200"/>
        <w:rPr>
          <w:rFonts w:hint="eastAsia" w:ascii="宋体" w:hAnsi="宋体" w:cs="宋体"/>
          <w:b/>
          <w:bCs/>
          <w:sz w:val="24"/>
          <w:szCs w:val="24"/>
        </w:rPr>
      </w:pPr>
      <w:r>
        <w:rPr>
          <w:rFonts w:hint="eastAsia" w:ascii="宋体" w:hAnsi="宋体" w:cs="宋体"/>
          <w:b/>
          <w:bCs/>
          <w:sz w:val="24"/>
          <w:szCs w:val="24"/>
          <w:lang w:bidi="ar"/>
        </w:rPr>
        <w:t>附件7：</w:t>
      </w:r>
    </w:p>
    <w:p w14:paraId="41F1AC7F">
      <w:pPr>
        <w:snapToGrid w:val="0"/>
        <w:ind w:firstLine="480" w:firstLineChars="200"/>
        <w:rPr>
          <w:rFonts w:hint="eastAsia" w:ascii="宋体" w:hAnsi="宋体" w:cs="宋体"/>
          <w:sz w:val="24"/>
          <w:szCs w:val="24"/>
        </w:rPr>
      </w:pPr>
    </w:p>
    <w:p w14:paraId="6F7354D5">
      <w:pPr>
        <w:snapToGrid w:val="0"/>
        <w:ind w:firstLine="480" w:firstLineChars="200"/>
        <w:jc w:val="center"/>
        <w:rPr>
          <w:rFonts w:hint="eastAsia" w:ascii="宋体" w:hAnsi="宋体" w:cs="宋体"/>
          <w:b/>
          <w:bCs/>
          <w:sz w:val="24"/>
          <w:szCs w:val="24"/>
        </w:rPr>
      </w:pPr>
      <w:r>
        <w:rPr>
          <w:rFonts w:hint="eastAsia" w:ascii="宋体" w:hAnsi="宋体" w:cs="宋体"/>
          <w:sz w:val="24"/>
          <w:szCs w:val="24"/>
          <w:lang w:bidi="ar"/>
        </w:rPr>
        <w:t>厂家售后服务承诺书</w:t>
      </w:r>
      <w:r>
        <w:rPr>
          <w:rFonts w:hint="eastAsia" w:ascii="宋体" w:hAnsi="宋体" w:cs="宋体"/>
          <w:b/>
          <w:bCs/>
          <w:sz w:val="24"/>
          <w:szCs w:val="24"/>
          <w:lang w:bidi="ar"/>
        </w:rPr>
        <w:t>（加盖合同专用章）</w:t>
      </w:r>
    </w:p>
    <w:p w14:paraId="368A6145">
      <w:pPr>
        <w:snapToGrid w:val="0"/>
        <w:ind w:firstLine="480" w:firstLineChars="200"/>
        <w:rPr>
          <w:rFonts w:hint="eastAsia" w:ascii="宋体" w:hAnsi="宋体" w:cs="宋体"/>
          <w:b/>
          <w:bCs/>
          <w:sz w:val="24"/>
          <w:szCs w:val="24"/>
        </w:rPr>
      </w:pPr>
      <w:r>
        <w:rPr>
          <w:rFonts w:hint="eastAsia" w:ascii="宋体" w:hAnsi="宋体" w:cs="宋体"/>
          <w:sz w:val="24"/>
          <w:szCs w:val="24"/>
          <w:lang w:bidi="ar"/>
        </w:rPr>
        <w:br w:type="page"/>
      </w:r>
      <w:r>
        <w:rPr>
          <w:rFonts w:hint="eastAsia" w:ascii="宋体" w:hAnsi="宋体" w:cs="宋体"/>
          <w:b/>
          <w:bCs/>
          <w:sz w:val="24"/>
          <w:szCs w:val="24"/>
          <w:lang w:bidi="ar"/>
        </w:rPr>
        <w:t>附件8：</w:t>
      </w:r>
    </w:p>
    <w:p w14:paraId="75C27180">
      <w:pPr>
        <w:snapToGrid w:val="0"/>
        <w:ind w:firstLine="480" w:firstLineChars="200"/>
        <w:jc w:val="center"/>
        <w:rPr>
          <w:rFonts w:hint="eastAsia" w:ascii="宋体" w:hAnsi="宋体" w:cs="宋体"/>
          <w:b/>
          <w:bCs/>
          <w:sz w:val="24"/>
          <w:szCs w:val="24"/>
        </w:rPr>
      </w:pPr>
      <w:r>
        <w:rPr>
          <w:rFonts w:hint="eastAsia" w:ascii="宋体" w:hAnsi="宋体" w:cs="宋体"/>
          <w:sz w:val="24"/>
          <w:szCs w:val="24"/>
          <w:lang w:bidi="ar"/>
        </w:rPr>
        <w:t>培训计划</w:t>
      </w:r>
      <w:r>
        <w:rPr>
          <w:rFonts w:hint="eastAsia" w:ascii="宋体" w:hAnsi="宋体" w:cs="宋体"/>
          <w:b/>
          <w:bCs/>
          <w:sz w:val="24"/>
          <w:szCs w:val="24"/>
          <w:lang w:bidi="ar"/>
        </w:rPr>
        <w:t>（加盖合同专用章）</w:t>
      </w:r>
    </w:p>
    <w:p w14:paraId="3F8928BF">
      <w:pPr>
        <w:snapToGrid w:val="0"/>
        <w:ind w:firstLine="480" w:firstLineChars="200"/>
        <w:jc w:val="center"/>
        <w:rPr>
          <w:rFonts w:hint="eastAsia" w:ascii="宋体" w:hAnsi="宋体" w:cs="宋体"/>
          <w:sz w:val="24"/>
          <w:szCs w:val="24"/>
        </w:rPr>
      </w:pPr>
    </w:p>
    <w:p w14:paraId="0BECFAEF">
      <w:pPr>
        <w:snapToGrid w:val="0"/>
        <w:ind w:firstLine="480" w:firstLineChars="200"/>
        <w:rPr>
          <w:rFonts w:hint="eastAsia" w:ascii="宋体" w:hAnsi="宋体" w:cs="宋体"/>
          <w:sz w:val="24"/>
          <w:szCs w:val="24"/>
        </w:rPr>
      </w:pPr>
    </w:p>
    <w:p w14:paraId="1D636A9C">
      <w:pPr>
        <w:snapToGrid w:val="0"/>
        <w:ind w:firstLine="480" w:firstLineChars="200"/>
        <w:rPr>
          <w:rFonts w:hint="eastAsia" w:ascii="宋体" w:hAnsi="宋体" w:cs="宋体"/>
          <w:sz w:val="24"/>
          <w:szCs w:val="24"/>
        </w:rPr>
      </w:pPr>
    </w:p>
    <w:p w14:paraId="09FD969A">
      <w:pPr>
        <w:snapToGrid w:val="0"/>
        <w:ind w:firstLine="480" w:firstLineChars="200"/>
        <w:rPr>
          <w:rFonts w:hint="eastAsia" w:ascii="宋体" w:hAnsi="宋体" w:cs="宋体"/>
          <w:sz w:val="24"/>
          <w:szCs w:val="24"/>
        </w:rPr>
      </w:pPr>
    </w:p>
    <w:p w14:paraId="608740B3">
      <w:pPr>
        <w:snapToGrid w:val="0"/>
        <w:ind w:firstLine="480" w:firstLineChars="200"/>
        <w:rPr>
          <w:rFonts w:hint="eastAsia" w:ascii="宋体" w:hAnsi="宋体" w:cs="宋体"/>
          <w:sz w:val="24"/>
          <w:szCs w:val="24"/>
        </w:rPr>
      </w:pPr>
    </w:p>
    <w:p w14:paraId="3FC9FA0E">
      <w:pPr>
        <w:snapToGrid w:val="0"/>
        <w:ind w:firstLine="480" w:firstLineChars="200"/>
        <w:rPr>
          <w:rFonts w:hint="eastAsia" w:ascii="宋体" w:hAnsi="宋体" w:cs="宋体"/>
          <w:sz w:val="24"/>
          <w:szCs w:val="24"/>
        </w:rPr>
      </w:pPr>
    </w:p>
    <w:p w14:paraId="428ABB8F">
      <w:pPr>
        <w:snapToGrid w:val="0"/>
        <w:ind w:firstLine="480" w:firstLineChars="200"/>
        <w:rPr>
          <w:rFonts w:hint="eastAsia" w:ascii="宋体" w:hAnsi="宋体" w:cs="宋体"/>
          <w:sz w:val="24"/>
          <w:szCs w:val="24"/>
        </w:rPr>
      </w:pPr>
    </w:p>
    <w:p w14:paraId="5F4A39EF">
      <w:pPr>
        <w:snapToGrid w:val="0"/>
        <w:ind w:firstLine="480" w:firstLineChars="200"/>
        <w:rPr>
          <w:rFonts w:hint="eastAsia" w:ascii="宋体" w:hAnsi="宋体" w:cs="宋体"/>
          <w:sz w:val="24"/>
          <w:szCs w:val="24"/>
        </w:rPr>
      </w:pPr>
    </w:p>
    <w:p w14:paraId="3D9D6FA0">
      <w:pPr>
        <w:snapToGrid w:val="0"/>
        <w:ind w:firstLine="480" w:firstLineChars="200"/>
        <w:rPr>
          <w:rFonts w:hint="eastAsia" w:ascii="宋体" w:hAnsi="宋体" w:cs="宋体"/>
          <w:sz w:val="24"/>
          <w:szCs w:val="24"/>
        </w:rPr>
      </w:pPr>
    </w:p>
    <w:p w14:paraId="5BD012E2">
      <w:pPr>
        <w:snapToGrid w:val="0"/>
        <w:ind w:firstLine="480" w:firstLineChars="200"/>
        <w:rPr>
          <w:rFonts w:hint="eastAsia" w:ascii="宋体" w:hAnsi="宋体" w:cs="宋体"/>
          <w:sz w:val="24"/>
          <w:szCs w:val="24"/>
        </w:rPr>
      </w:pPr>
    </w:p>
    <w:p w14:paraId="5871460F">
      <w:pPr>
        <w:snapToGrid w:val="0"/>
        <w:ind w:firstLine="480" w:firstLineChars="200"/>
        <w:rPr>
          <w:rFonts w:hint="eastAsia" w:ascii="宋体" w:hAnsi="宋体" w:cs="宋体"/>
          <w:sz w:val="24"/>
          <w:szCs w:val="24"/>
        </w:rPr>
      </w:pPr>
    </w:p>
    <w:p w14:paraId="0C99A51D">
      <w:pPr>
        <w:snapToGrid w:val="0"/>
        <w:ind w:firstLine="480" w:firstLineChars="200"/>
        <w:rPr>
          <w:rFonts w:hint="eastAsia" w:ascii="宋体" w:hAnsi="宋体" w:cs="宋体"/>
          <w:sz w:val="24"/>
          <w:szCs w:val="24"/>
        </w:rPr>
      </w:pPr>
    </w:p>
    <w:p w14:paraId="7D600014">
      <w:pPr>
        <w:snapToGrid w:val="0"/>
        <w:ind w:firstLine="480" w:firstLineChars="200"/>
        <w:rPr>
          <w:rFonts w:hint="eastAsia" w:ascii="宋体" w:hAnsi="宋体" w:cs="宋体"/>
          <w:sz w:val="24"/>
          <w:szCs w:val="24"/>
        </w:rPr>
      </w:pPr>
    </w:p>
    <w:p w14:paraId="66F00875">
      <w:pPr>
        <w:snapToGrid w:val="0"/>
        <w:ind w:firstLine="480" w:firstLineChars="200"/>
        <w:rPr>
          <w:rFonts w:hint="eastAsia" w:ascii="宋体" w:hAnsi="宋体" w:cs="宋体"/>
          <w:sz w:val="24"/>
          <w:szCs w:val="24"/>
        </w:rPr>
      </w:pPr>
    </w:p>
    <w:p w14:paraId="218160D3">
      <w:pPr>
        <w:snapToGrid w:val="0"/>
        <w:ind w:firstLine="480" w:firstLineChars="200"/>
        <w:rPr>
          <w:rFonts w:hint="eastAsia" w:ascii="宋体" w:hAnsi="宋体" w:cs="宋体"/>
          <w:sz w:val="24"/>
          <w:szCs w:val="24"/>
        </w:rPr>
      </w:pPr>
    </w:p>
    <w:p w14:paraId="7B6C3CD7">
      <w:pPr>
        <w:snapToGrid w:val="0"/>
        <w:ind w:firstLine="480" w:firstLineChars="200"/>
        <w:rPr>
          <w:rFonts w:hint="eastAsia" w:ascii="宋体" w:hAnsi="宋体" w:cs="宋体"/>
          <w:sz w:val="24"/>
          <w:szCs w:val="24"/>
        </w:rPr>
      </w:pPr>
    </w:p>
    <w:p w14:paraId="0266FB2C">
      <w:pPr>
        <w:snapToGrid w:val="0"/>
        <w:ind w:firstLine="480" w:firstLineChars="200"/>
        <w:rPr>
          <w:rFonts w:hint="eastAsia" w:ascii="宋体" w:hAnsi="宋体" w:cs="宋体"/>
          <w:sz w:val="24"/>
          <w:szCs w:val="24"/>
        </w:rPr>
      </w:pPr>
    </w:p>
    <w:p w14:paraId="43BE6C39">
      <w:pPr>
        <w:snapToGrid w:val="0"/>
        <w:ind w:firstLine="480" w:firstLineChars="200"/>
        <w:rPr>
          <w:rFonts w:hint="eastAsia" w:ascii="宋体" w:hAnsi="宋体" w:cs="宋体"/>
          <w:sz w:val="24"/>
          <w:szCs w:val="24"/>
        </w:rPr>
      </w:pPr>
    </w:p>
    <w:p w14:paraId="7B4AAB1C">
      <w:pPr>
        <w:snapToGrid w:val="0"/>
        <w:ind w:firstLine="480" w:firstLineChars="200"/>
        <w:rPr>
          <w:rFonts w:hint="eastAsia" w:ascii="宋体" w:hAnsi="宋体" w:cs="宋体"/>
          <w:sz w:val="24"/>
          <w:szCs w:val="24"/>
        </w:rPr>
      </w:pPr>
    </w:p>
    <w:p w14:paraId="7A93514C">
      <w:pPr>
        <w:snapToGrid w:val="0"/>
        <w:ind w:firstLine="480" w:firstLineChars="200"/>
        <w:rPr>
          <w:rFonts w:hint="eastAsia" w:ascii="宋体" w:hAnsi="宋体" w:cs="宋体"/>
          <w:sz w:val="24"/>
          <w:szCs w:val="24"/>
        </w:rPr>
      </w:pPr>
    </w:p>
    <w:p w14:paraId="00A2C1D5">
      <w:pPr>
        <w:snapToGrid w:val="0"/>
        <w:ind w:firstLine="480" w:firstLineChars="200"/>
        <w:rPr>
          <w:rFonts w:hint="eastAsia" w:ascii="宋体" w:hAnsi="宋体" w:cs="宋体"/>
          <w:sz w:val="24"/>
          <w:szCs w:val="24"/>
        </w:rPr>
      </w:pPr>
    </w:p>
    <w:p w14:paraId="7EF2A72C">
      <w:pPr>
        <w:snapToGrid w:val="0"/>
        <w:ind w:firstLine="480" w:firstLineChars="200"/>
        <w:rPr>
          <w:rFonts w:hint="eastAsia" w:ascii="宋体" w:hAnsi="宋体" w:cs="宋体"/>
          <w:sz w:val="24"/>
          <w:szCs w:val="24"/>
        </w:rPr>
      </w:pPr>
    </w:p>
    <w:p w14:paraId="3E0435ED">
      <w:pPr>
        <w:snapToGrid w:val="0"/>
        <w:ind w:firstLine="480" w:firstLineChars="200"/>
        <w:rPr>
          <w:rFonts w:hint="eastAsia" w:ascii="宋体" w:hAnsi="宋体" w:cs="宋体"/>
          <w:sz w:val="24"/>
          <w:szCs w:val="24"/>
        </w:rPr>
      </w:pPr>
    </w:p>
    <w:p w14:paraId="42959C8A">
      <w:pPr>
        <w:snapToGrid w:val="0"/>
        <w:ind w:firstLine="480" w:firstLineChars="200"/>
        <w:rPr>
          <w:rFonts w:hint="eastAsia" w:ascii="宋体" w:hAnsi="宋体" w:cs="宋体"/>
          <w:sz w:val="24"/>
          <w:szCs w:val="24"/>
        </w:rPr>
      </w:pPr>
    </w:p>
    <w:p w14:paraId="00A33301">
      <w:pPr>
        <w:snapToGrid w:val="0"/>
        <w:ind w:firstLine="480" w:firstLineChars="200"/>
        <w:rPr>
          <w:rFonts w:hint="eastAsia" w:ascii="宋体" w:hAnsi="宋体" w:cs="宋体"/>
          <w:sz w:val="24"/>
          <w:szCs w:val="24"/>
        </w:rPr>
      </w:pPr>
    </w:p>
    <w:p w14:paraId="0FE84AD0">
      <w:pPr>
        <w:snapToGrid w:val="0"/>
        <w:ind w:firstLine="480" w:firstLineChars="200"/>
        <w:rPr>
          <w:rFonts w:hint="eastAsia" w:ascii="宋体" w:hAnsi="宋体" w:cs="宋体"/>
          <w:sz w:val="24"/>
          <w:szCs w:val="24"/>
        </w:rPr>
      </w:pPr>
    </w:p>
    <w:p w14:paraId="5D8ACFCC">
      <w:pPr>
        <w:rPr>
          <w:rFonts w:hint="eastAsia" w:ascii="宋体" w:hAnsi="宋体" w:cs="宋体"/>
          <w:b/>
          <w:bCs/>
          <w:sz w:val="24"/>
          <w:szCs w:val="24"/>
          <w:lang w:bidi="ar"/>
        </w:rPr>
      </w:pPr>
      <w:r>
        <w:rPr>
          <w:rFonts w:hint="eastAsia" w:ascii="宋体" w:hAnsi="宋体" w:cs="宋体"/>
          <w:b/>
          <w:bCs/>
          <w:sz w:val="24"/>
          <w:szCs w:val="24"/>
          <w:lang w:bidi="ar"/>
        </w:rPr>
        <w:br w:type="page"/>
      </w:r>
    </w:p>
    <w:p w14:paraId="3152C055">
      <w:pPr>
        <w:snapToGrid w:val="0"/>
        <w:ind w:firstLine="482" w:firstLineChars="200"/>
        <w:rPr>
          <w:rFonts w:hint="eastAsia" w:ascii="宋体" w:hAnsi="宋体" w:cs="宋体"/>
          <w:b/>
          <w:bCs/>
          <w:sz w:val="24"/>
          <w:szCs w:val="24"/>
        </w:rPr>
      </w:pPr>
      <w:r>
        <w:rPr>
          <w:rFonts w:hint="eastAsia" w:ascii="宋体" w:hAnsi="宋体" w:cs="宋体"/>
          <w:b/>
          <w:bCs/>
          <w:sz w:val="24"/>
          <w:szCs w:val="24"/>
          <w:lang w:bidi="ar"/>
        </w:rPr>
        <w:t>附件9：</w:t>
      </w:r>
    </w:p>
    <w:p w14:paraId="4EA9385F">
      <w:pPr>
        <w:snapToGrid w:val="0"/>
        <w:ind w:firstLine="480" w:firstLineChars="200"/>
        <w:rPr>
          <w:rFonts w:hint="eastAsia" w:ascii="宋体" w:hAnsi="宋体" w:cs="宋体"/>
          <w:sz w:val="24"/>
          <w:szCs w:val="24"/>
        </w:rPr>
      </w:pPr>
    </w:p>
    <w:p w14:paraId="4CE476E4">
      <w:pPr>
        <w:jc w:val="center"/>
        <w:rPr>
          <w:rFonts w:hint="eastAsia" w:ascii="宋体" w:hAnsi="宋体" w:cs="宋体"/>
          <w:sz w:val="24"/>
          <w:szCs w:val="24"/>
        </w:rPr>
      </w:pPr>
      <w:r>
        <w:rPr>
          <w:rFonts w:hint="eastAsia" w:ascii="宋体" w:hAnsi="宋体" w:cs="宋体"/>
          <w:sz w:val="24"/>
          <w:szCs w:val="24"/>
          <w:lang w:bidi="ar"/>
        </w:rPr>
        <w:t>中标（成交）通知书</w:t>
      </w:r>
      <w:r>
        <w:rPr>
          <w:rFonts w:hint="eastAsia" w:ascii="宋体" w:hAnsi="宋体" w:cs="宋体"/>
          <w:b/>
          <w:bCs/>
          <w:sz w:val="24"/>
          <w:szCs w:val="24"/>
          <w:lang w:bidi="ar"/>
        </w:rPr>
        <w:t>（加盖合同专用章）</w:t>
      </w:r>
    </w:p>
    <w:p w14:paraId="73B1F59F">
      <w:pPr>
        <w:rPr>
          <w:rFonts w:hint="eastAsia" w:ascii="宋体" w:hAnsi="宋体"/>
          <w:sz w:val="24"/>
          <w:szCs w:val="24"/>
        </w:rPr>
      </w:pPr>
    </w:p>
    <w:p w14:paraId="0534F760">
      <w:pPr>
        <w:widowControl/>
        <w:jc w:val="left"/>
        <w:rPr>
          <w:b/>
          <w:bCs/>
          <w:color w:val="FF0000"/>
          <w:sz w:val="32"/>
          <w:szCs w:val="32"/>
        </w:rPr>
      </w:pPr>
      <w:r>
        <w:rPr>
          <w:b/>
          <w:bCs/>
          <w:color w:val="FF0000"/>
          <w:sz w:val="32"/>
          <w:szCs w:val="32"/>
        </w:rPr>
        <w:br w:type="page"/>
      </w:r>
    </w:p>
    <w:p w14:paraId="3A09F01E">
      <w:pPr>
        <w:snapToGrid w:val="0"/>
        <w:spacing w:line="264" w:lineRule="auto"/>
        <w:ind w:firstLine="643" w:firstLineChars="200"/>
        <w:jc w:val="center"/>
        <w:rPr>
          <w:b/>
          <w:bCs/>
          <w:color w:val="FF0000"/>
          <w:sz w:val="32"/>
          <w:szCs w:val="32"/>
        </w:rPr>
      </w:pPr>
    </w:p>
    <w:p w14:paraId="5C02C656">
      <w:pPr>
        <w:snapToGrid w:val="0"/>
        <w:spacing w:line="264" w:lineRule="auto"/>
        <w:ind w:firstLine="643" w:firstLineChars="200"/>
        <w:rPr>
          <w:b/>
          <w:bCs/>
          <w:color w:val="FF0000"/>
          <w:sz w:val="32"/>
          <w:szCs w:val="32"/>
        </w:rPr>
      </w:pPr>
    </w:p>
    <w:p w14:paraId="717FAE60">
      <w:pPr>
        <w:snapToGrid w:val="0"/>
        <w:spacing w:line="264" w:lineRule="auto"/>
        <w:ind w:firstLine="643" w:firstLineChars="200"/>
        <w:jc w:val="center"/>
        <w:rPr>
          <w:b/>
          <w:bCs/>
          <w:color w:val="FF0000"/>
          <w:sz w:val="32"/>
          <w:szCs w:val="32"/>
        </w:rPr>
      </w:pPr>
    </w:p>
    <w:p w14:paraId="4A51909C">
      <w:pPr>
        <w:snapToGrid w:val="0"/>
        <w:spacing w:line="264" w:lineRule="auto"/>
        <w:ind w:firstLine="643" w:firstLineChars="200"/>
        <w:jc w:val="center"/>
        <w:rPr>
          <w:b/>
          <w:bCs/>
          <w:color w:val="FF0000"/>
          <w:sz w:val="32"/>
          <w:szCs w:val="32"/>
        </w:rPr>
      </w:pPr>
    </w:p>
    <w:bookmarkEnd w:id="67"/>
    <w:p w14:paraId="362594B4">
      <w:pPr>
        <w:spacing w:line="360" w:lineRule="auto"/>
        <w:jc w:val="center"/>
        <w:rPr>
          <w:rFonts w:hint="eastAsia" w:ascii="宋体" w:hAnsi="宋体"/>
        </w:rPr>
      </w:pPr>
    </w:p>
    <w:p w14:paraId="5AC683AC">
      <w:pPr>
        <w:spacing w:line="360" w:lineRule="auto"/>
        <w:jc w:val="center"/>
        <w:rPr>
          <w:rFonts w:hint="eastAsia" w:ascii="宋体" w:hAnsi="宋体"/>
        </w:rPr>
      </w:pPr>
    </w:p>
    <w:p w14:paraId="0CB645DD">
      <w:pPr>
        <w:spacing w:line="360" w:lineRule="auto"/>
        <w:jc w:val="center"/>
        <w:rPr>
          <w:rFonts w:hint="eastAsia" w:ascii="宋体" w:hAnsi="宋体"/>
        </w:rPr>
      </w:pPr>
    </w:p>
    <w:p w14:paraId="47A2E3BC">
      <w:pPr>
        <w:spacing w:line="360" w:lineRule="auto"/>
        <w:jc w:val="center"/>
        <w:rPr>
          <w:rFonts w:hint="eastAsia" w:ascii="宋体" w:hAnsi="宋体"/>
        </w:rPr>
      </w:pPr>
    </w:p>
    <w:p w14:paraId="4F0782D4">
      <w:pPr>
        <w:spacing w:line="360" w:lineRule="auto"/>
        <w:jc w:val="center"/>
        <w:rPr>
          <w:rFonts w:hint="eastAsia" w:ascii="宋体" w:hAnsi="宋体"/>
        </w:rPr>
      </w:pPr>
    </w:p>
    <w:p w14:paraId="6E32EF8E">
      <w:pPr>
        <w:spacing w:line="360" w:lineRule="auto"/>
        <w:jc w:val="center"/>
        <w:rPr>
          <w:rFonts w:hint="eastAsia" w:ascii="宋体" w:hAnsi="宋体"/>
        </w:rPr>
      </w:pPr>
    </w:p>
    <w:p w14:paraId="331D140C">
      <w:pPr>
        <w:spacing w:line="360" w:lineRule="auto"/>
        <w:jc w:val="center"/>
        <w:rPr>
          <w:rFonts w:hint="eastAsia" w:ascii="宋体" w:hAnsi="宋体"/>
        </w:rPr>
      </w:pPr>
    </w:p>
    <w:p w14:paraId="7D96D4C4">
      <w:pPr>
        <w:pStyle w:val="3"/>
        <w:rPr>
          <w:rFonts w:hint="eastAsia" w:ascii="宋体" w:hAnsi="宋体"/>
          <w:b/>
          <w:spacing w:val="100"/>
          <w:sz w:val="40"/>
          <w:szCs w:val="40"/>
        </w:rPr>
      </w:pPr>
      <w:bookmarkStart w:id="113" w:name="_Toc176023825"/>
      <w:r>
        <w:rPr>
          <w:rFonts w:ascii="宋体" w:hAnsi="宋体"/>
          <w:b/>
          <w:spacing w:val="100"/>
          <w:sz w:val="40"/>
          <w:szCs w:val="40"/>
        </w:rPr>
        <w:t>第</w:t>
      </w:r>
      <w:r>
        <w:rPr>
          <w:rFonts w:hint="eastAsia" w:ascii="宋体" w:hAnsi="宋体"/>
          <w:b/>
          <w:spacing w:val="100"/>
          <w:sz w:val="40"/>
          <w:szCs w:val="40"/>
          <w:lang w:val="en-US"/>
        </w:rPr>
        <w:t>五</w:t>
      </w:r>
      <w:r>
        <w:rPr>
          <w:rFonts w:ascii="宋体" w:hAnsi="宋体"/>
          <w:b/>
          <w:spacing w:val="100"/>
          <w:sz w:val="40"/>
          <w:szCs w:val="40"/>
        </w:rPr>
        <w:t>章 附件</w:t>
      </w:r>
      <w:bookmarkEnd w:id="113"/>
    </w:p>
    <w:p w14:paraId="1E6D5D30">
      <w:pPr>
        <w:rPr>
          <w:rFonts w:hint="eastAsia" w:ascii="宋体" w:hAnsi="宋体"/>
        </w:rPr>
      </w:pPr>
    </w:p>
    <w:p w14:paraId="649CC92F">
      <w:pPr>
        <w:rPr>
          <w:rFonts w:hint="eastAsia" w:ascii="宋体" w:hAnsi="宋体"/>
          <w:bCs/>
          <w:sz w:val="50"/>
          <w:szCs w:val="50"/>
        </w:rPr>
      </w:pPr>
    </w:p>
    <w:p w14:paraId="6DDF0C9A">
      <w:pPr>
        <w:rPr>
          <w:rFonts w:hint="eastAsia" w:ascii="宋体" w:hAnsi="宋体"/>
          <w:sz w:val="23"/>
          <w:szCs w:val="23"/>
        </w:rPr>
      </w:pPr>
    </w:p>
    <w:p w14:paraId="20F36BCE">
      <w:pPr>
        <w:rPr>
          <w:rFonts w:hint="eastAsia" w:ascii="宋体" w:hAnsi="宋体"/>
          <w:sz w:val="23"/>
          <w:szCs w:val="23"/>
        </w:rPr>
      </w:pPr>
    </w:p>
    <w:p w14:paraId="357B7B0E">
      <w:pPr>
        <w:rPr>
          <w:rFonts w:hint="eastAsia" w:ascii="宋体" w:hAnsi="宋体"/>
          <w:sz w:val="23"/>
          <w:szCs w:val="23"/>
        </w:rPr>
      </w:pPr>
    </w:p>
    <w:p w14:paraId="5D2C8AEC">
      <w:pPr>
        <w:rPr>
          <w:rFonts w:hint="eastAsia" w:ascii="宋体" w:hAnsi="宋体"/>
          <w:sz w:val="23"/>
          <w:szCs w:val="23"/>
        </w:rPr>
      </w:pPr>
    </w:p>
    <w:p w14:paraId="10DA5A7A">
      <w:pPr>
        <w:rPr>
          <w:rFonts w:hint="eastAsia" w:ascii="宋体" w:hAnsi="宋体"/>
          <w:sz w:val="23"/>
          <w:szCs w:val="23"/>
        </w:rPr>
      </w:pPr>
    </w:p>
    <w:p w14:paraId="23CDAC86">
      <w:pPr>
        <w:spacing w:line="360" w:lineRule="auto"/>
        <w:rPr>
          <w:rFonts w:hint="eastAsia" w:ascii="宋体" w:hAnsi="宋体"/>
          <w:sz w:val="23"/>
          <w:szCs w:val="23"/>
        </w:rPr>
      </w:pPr>
    </w:p>
    <w:p w14:paraId="24605EFB">
      <w:pPr>
        <w:spacing w:line="360" w:lineRule="auto"/>
        <w:rPr>
          <w:rFonts w:hint="eastAsia" w:ascii="宋体" w:hAnsi="宋体"/>
          <w:sz w:val="23"/>
          <w:szCs w:val="23"/>
        </w:rPr>
      </w:pPr>
    </w:p>
    <w:p w14:paraId="202895E8">
      <w:pPr>
        <w:spacing w:line="360" w:lineRule="auto"/>
        <w:rPr>
          <w:rFonts w:hint="eastAsia" w:ascii="宋体" w:hAnsi="宋体"/>
          <w:sz w:val="23"/>
          <w:szCs w:val="23"/>
        </w:rPr>
      </w:pPr>
    </w:p>
    <w:p w14:paraId="500BAD23">
      <w:pPr>
        <w:spacing w:line="360" w:lineRule="auto"/>
        <w:rPr>
          <w:rFonts w:hint="eastAsia" w:ascii="宋体" w:hAnsi="宋体"/>
          <w:sz w:val="23"/>
          <w:szCs w:val="23"/>
        </w:rPr>
      </w:pPr>
    </w:p>
    <w:p w14:paraId="6AFDF8F8">
      <w:pPr>
        <w:spacing w:line="360" w:lineRule="auto"/>
        <w:rPr>
          <w:rFonts w:hint="eastAsia" w:ascii="宋体" w:hAnsi="宋体"/>
          <w:sz w:val="23"/>
          <w:szCs w:val="23"/>
        </w:rPr>
      </w:pPr>
    </w:p>
    <w:p w14:paraId="2C453975">
      <w:pPr>
        <w:spacing w:line="360" w:lineRule="auto"/>
        <w:rPr>
          <w:rFonts w:hint="eastAsia" w:ascii="宋体" w:hAnsi="宋体"/>
          <w:sz w:val="23"/>
          <w:szCs w:val="23"/>
        </w:rPr>
      </w:pPr>
    </w:p>
    <w:p w14:paraId="76B9FE9D">
      <w:pPr>
        <w:spacing w:line="360" w:lineRule="auto"/>
        <w:jc w:val="center"/>
        <w:outlineLvl w:val="1"/>
        <w:rPr>
          <w:rFonts w:hint="eastAsia" w:ascii="宋体" w:hAnsi="宋体"/>
          <w:b/>
          <w:sz w:val="32"/>
          <w:szCs w:val="32"/>
        </w:rPr>
      </w:pPr>
      <w:bookmarkStart w:id="114" w:name="_Toc161643984"/>
      <w:r>
        <w:rPr>
          <w:rFonts w:ascii="宋体" w:hAnsi="宋体"/>
          <w:b/>
          <w:sz w:val="32"/>
          <w:szCs w:val="32"/>
        </w:rPr>
        <w:br w:type="page"/>
      </w:r>
      <w:bookmarkStart w:id="115" w:name="_Toc115623236"/>
      <w:bookmarkStart w:id="116" w:name="_Toc115623237"/>
    </w:p>
    <w:p w14:paraId="5869C751">
      <w:pPr>
        <w:spacing w:line="360" w:lineRule="auto"/>
        <w:jc w:val="center"/>
        <w:outlineLvl w:val="1"/>
        <w:rPr>
          <w:rFonts w:hint="eastAsia" w:ascii="宋体" w:hAnsi="宋体"/>
          <w:b/>
          <w:spacing w:val="100"/>
          <w:kern w:val="0"/>
          <w:sz w:val="40"/>
          <w:szCs w:val="40"/>
          <w:lang w:val="zh-CN"/>
        </w:rPr>
      </w:pPr>
      <w:bookmarkStart w:id="117" w:name="_Toc176023826"/>
      <w:r>
        <w:rPr>
          <w:rFonts w:hint="eastAsia" w:ascii="宋体" w:hAnsi="宋体"/>
          <w:b/>
          <w:spacing w:val="100"/>
          <w:kern w:val="0"/>
          <w:sz w:val="40"/>
          <w:szCs w:val="40"/>
          <w:lang w:val="zh-CN"/>
        </w:rPr>
        <w:t>资格证明文件</w:t>
      </w:r>
      <w:bookmarkEnd w:id="117"/>
    </w:p>
    <w:p w14:paraId="6D10590C">
      <w:pPr>
        <w:widowControl/>
        <w:jc w:val="left"/>
        <w:rPr>
          <w:rFonts w:hint="eastAsia" w:ascii="宋体" w:hAnsi="宋体"/>
          <w:b/>
          <w:sz w:val="32"/>
          <w:szCs w:val="32"/>
        </w:rPr>
      </w:pPr>
      <w:r>
        <w:rPr>
          <w:rFonts w:hint="eastAsia" w:ascii="宋体" w:hAnsi="宋体"/>
          <w:b/>
          <w:sz w:val="32"/>
          <w:szCs w:val="32"/>
        </w:rPr>
        <w:br w:type="page"/>
      </w:r>
    </w:p>
    <w:p w14:paraId="27350D68">
      <w:pPr>
        <w:pStyle w:val="4"/>
        <w:jc w:val="center"/>
        <w:rPr>
          <w:rFonts w:hint="eastAsia" w:ascii="宋体" w:hAnsi="宋体"/>
        </w:rPr>
      </w:pPr>
      <w:bookmarkStart w:id="118" w:name="_Toc115623242"/>
      <w:bookmarkStart w:id="119" w:name="_Toc176023827"/>
      <w:r>
        <w:rPr>
          <w:rFonts w:ascii="宋体" w:hAnsi="宋体"/>
        </w:rPr>
        <w:t>附件</w:t>
      </w:r>
      <w:bookmarkEnd w:id="118"/>
      <w:r>
        <w:rPr>
          <w:rFonts w:hint="eastAsia" w:ascii="宋体" w:hAnsi="宋体"/>
        </w:rPr>
        <w:t>1 营业执照或事业单位法人证书等</w:t>
      </w:r>
      <w:bookmarkEnd w:id="119"/>
    </w:p>
    <w:p w14:paraId="395025EC">
      <w:pPr>
        <w:spacing w:line="360" w:lineRule="auto"/>
        <w:rPr>
          <w:rFonts w:hint="eastAsia" w:ascii="宋体" w:hAnsi="宋体"/>
          <w:bCs/>
          <w:sz w:val="24"/>
          <w:szCs w:val="24"/>
        </w:rPr>
      </w:pPr>
      <w:r>
        <w:rPr>
          <w:rFonts w:hint="eastAsia" w:ascii="宋体" w:hAnsi="宋体"/>
          <w:bCs/>
          <w:sz w:val="24"/>
          <w:szCs w:val="24"/>
        </w:rPr>
        <w:t>投标人应在中华人民共和国境内注册，向采购人提供货物和服务的法人、其他组织或者自然人</w:t>
      </w:r>
    </w:p>
    <w:p w14:paraId="52CBB217">
      <w:pPr>
        <w:spacing w:line="360" w:lineRule="auto"/>
        <w:ind w:left="480" w:hanging="480" w:hangingChars="200"/>
        <w:rPr>
          <w:rFonts w:hint="eastAsia" w:ascii="宋体" w:hAnsi="宋体"/>
          <w:bCs/>
          <w:sz w:val="24"/>
          <w:szCs w:val="24"/>
        </w:rPr>
      </w:pPr>
      <w:r>
        <w:rPr>
          <w:rFonts w:hint="eastAsia" w:ascii="宋体" w:hAnsi="宋体"/>
          <w:bCs/>
          <w:sz w:val="24"/>
          <w:szCs w:val="24"/>
        </w:rPr>
        <w:t xml:space="preserve">  注：a）若投标人为企业（包含合伙企业），应提供有效的营业执照（副本复印件加盖公章）</w:t>
      </w:r>
    </w:p>
    <w:p w14:paraId="6B7BF0A6">
      <w:pPr>
        <w:spacing w:line="360" w:lineRule="auto"/>
        <w:ind w:left="480" w:hanging="480" w:hangingChars="200"/>
        <w:rPr>
          <w:rFonts w:hint="eastAsia" w:ascii="宋体" w:hAnsi="宋体"/>
          <w:bCs/>
          <w:sz w:val="24"/>
          <w:szCs w:val="24"/>
        </w:rPr>
      </w:pPr>
      <w:r>
        <w:rPr>
          <w:rFonts w:hint="eastAsia" w:ascii="宋体" w:hAnsi="宋体"/>
          <w:bCs/>
          <w:sz w:val="24"/>
          <w:szCs w:val="24"/>
        </w:rPr>
        <w:t xml:space="preserve">      b）若投标人为事业单位，应提供有效的</w:t>
      </w:r>
      <w:bookmarkStart w:id="120" w:name="_Hlk155145575"/>
      <w:r>
        <w:rPr>
          <w:rFonts w:hint="eastAsia" w:ascii="宋体" w:hAnsi="宋体"/>
          <w:bCs/>
          <w:sz w:val="24"/>
          <w:szCs w:val="24"/>
        </w:rPr>
        <w:t>事业单位法人证书</w:t>
      </w:r>
      <w:bookmarkEnd w:id="120"/>
      <w:r>
        <w:rPr>
          <w:rFonts w:hint="eastAsia" w:ascii="宋体" w:hAnsi="宋体"/>
          <w:bCs/>
          <w:sz w:val="24"/>
          <w:szCs w:val="24"/>
        </w:rPr>
        <w:t>（副本复印件加盖公章）</w:t>
      </w:r>
    </w:p>
    <w:p w14:paraId="0CCBF769">
      <w:pPr>
        <w:spacing w:line="360" w:lineRule="auto"/>
        <w:ind w:left="480" w:hanging="480" w:hangingChars="200"/>
        <w:rPr>
          <w:rFonts w:hint="eastAsia" w:ascii="宋体" w:hAnsi="宋体"/>
          <w:bCs/>
          <w:sz w:val="24"/>
          <w:szCs w:val="24"/>
        </w:rPr>
      </w:pPr>
      <w:r>
        <w:rPr>
          <w:rFonts w:hint="eastAsia" w:ascii="宋体" w:hAnsi="宋体"/>
          <w:bCs/>
          <w:sz w:val="24"/>
          <w:szCs w:val="24"/>
        </w:rPr>
        <w:t xml:space="preserve">      c）若投标人为非企业专业服务机构，应提供有效的执业许可证（复印件加盖公章）</w:t>
      </w:r>
    </w:p>
    <w:p w14:paraId="07DF283A">
      <w:pPr>
        <w:spacing w:line="360" w:lineRule="auto"/>
        <w:ind w:left="480" w:hanging="480" w:hangingChars="200"/>
        <w:rPr>
          <w:rFonts w:hint="eastAsia" w:ascii="宋体" w:hAnsi="宋体"/>
          <w:bCs/>
          <w:sz w:val="24"/>
          <w:szCs w:val="24"/>
        </w:rPr>
      </w:pPr>
      <w:r>
        <w:rPr>
          <w:rFonts w:hint="eastAsia" w:ascii="宋体" w:hAnsi="宋体"/>
          <w:bCs/>
          <w:sz w:val="24"/>
          <w:szCs w:val="24"/>
        </w:rPr>
        <w:t xml:space="preserve">      d）若投标人是自然人的，应提供其有效的自然人身份证明（复印件）</w:t>
      </w:r>
    </w:p>
    <w:p w14:paraId="1716EB93">
      <w:pPr>
        <w:pStyle w:val="20"/>
        <w:tabs>
          <w:tab w:val="left" w:pos="5580"/>
        </w:tabs>
        <w:spacing w:line="360" w:lineRule="auto"/>
        <w:contextualSpacing/>
        <w:rPr>
          <w:rFonts w:hint="eastAsia" w:hAnsi="宋体" w:eastAsia="宋体"/>
          <w:b/>
          <w:sz w:val="32"/>
          <w:szCs w:val="32"/>
        </w:rPr>
      </w:pPr>
    </w:p>
    <w:p w14:paraId="65582A36">
      <w:pPr>
        <w:pStyle w:val="4"/>
        <w:spacing w:line="276" w:lineRule="auto"/>
        <w:jc w:val="center"/>
        <w:rPr>
          <w:rFonts w:hint="eastAsia" w:ascii="宋体" w:hAnsi="宋体"/>
        </w:rPr>
      </w:pPr>
      <w:r>
        <w:rPr>
          <w:rFonts w:hAnsi="宋体"/>
          <w:sz w:val="24"/>
          <w:szCs w:val="24"/>
        </w:rPr>
        <w:br w:type="page"/>
      </w:r>
      <w:bookmarkStart w:id="121" w:name="_Toc115623243"/>
      <w:bookmarkStart w:id="122" w:name="_Toc50715069"/>
      <w:bookmarkStart w:id="123" w:name="_Toc20303143"/>
      <w:bookmarkStart w:id="124" w:name="_Toc536797821"/>
      <w:bookmarkStart w:id="125" w:name="_Toc105685201"/>
      <w:bookmarkStart w:id="126" w:name="_Toc50714880"/>
      <w:bookmarkStart w:id="127" w:name="_Toc176023828"/>
      <w:r>
        <w:rPr>
          <w:rFonts w:ascii="宋体" w:hAnsi="宋体"/>
        </w:rPr>
        <w:t>附件</w:t>
      </w:r>
      <w:r>
        <w:rPr>
          <w:rFonts w:hint="eastAsia" w:ascii="宋体" w:hAnsi="宋体"/>
        </w:rPr>
        <w:t>2</w:t>
      </w:r>
      <w:r>
        <w:rPr>
          <w:rFonts w:ascii="宋体" w:hAnsi="宋体"/>
        </w:rPr>
        <w:t xml:space="preserve"> 投标人</w:t>
      </w:r>
      <w:bookmarkEnd w:id="121"/>
      <w:bookmarkEnd w:id="122"/>
      <w:bookmarkEnd w:id="123"/>
      <w:bookmarkEnd w:id="124"/>
      <w:bookmarkEnd w:id="125"/>
      <w:bookmarkEnd w:id="126"/>
      <w:r>
        <w:rPr>
          <w:rFonts w:hint="eastAsia" w:ascii="宋体" w:hAnsi="宋体"/>
        </w:rPr>
        <w:t>资格声明书（实质性格式）</w:t>
      </w:r>
      <w:bookmarkEnd w:id="127"/>
      <w:bookmarkStart w:id="128" w:name="_Toc487536238"/>
    </w:p>
    <w:bookmarkEnd w:id="128"/>
    <w:p w14:paraId="02584239">
      <w:pPr>
        <w:spacing w:line="276" w:lineRule="auto"/>
        <w:jc w:val="left"/>
        <w:rPr>
          <w:rFonts w:hint="eastAsia" w:ascii="宋体" w:hAnsi="宋体"/>
          <w:bCs/>
          <w:sz w:val="24"/>
          <w:szCs w:val="24"/>
        </w:rPr>
      </w:pPr>
      <w:r>
        <w:rPr>
          <w:rFonts w:ascii="宋体" w:hAnsi="宋体"/>
          <w:bCs/>
          <w:sz w:val="24"/>
          <w:szCs w:val="24"/>
        </w:rPr>
        <w:t>致：中信国际招标有限公司</w:t>
      </w:r>
    </w:p>
    <w:p w14:paraId="0EF127B4">
      <w:pPr>
        <w:pStyle w:val="110"/>
        <w:spacing w:line="360" w:lineRule="auto"/>
        <w:ind w:firstLine="235" w:firstLineChars="0"/>
        <w:contextualSpacing/>
        <w:rPr>
          <w:rFonts w:hint="eastAsia" w:ascii="宋体" w:hAnsi="宋体" w:eastAsia="宋体"/>
          <w:sz w:val="24"/>
          <w:szCs w:val="24"/>
        </w:rPr>
      </w:pPr>
      <w:r>
        <w:rPr>
          <w:rFonts w:ascii="宋体" w:hAnsi="宋体" w:eastAsia="宋体"/>
          <w:sz w:val="24"/>
          <w:szCs w:val="24"/>
        </w:rPr>
        <w:t>本单位作为本次采购项目的投标人，郑重承诺具备以下条件：</w:t>
      </w:r>
    </w:p>
    <w:p w14:paraId="548CD133">
      <w:pPr>
        <w:spacing w:line="360" w:lineRule="auto"/>
        <w:ind w:firstLine="235" w:firstLineChars="98"/>
        <w:contextualSpacing/>
        <w:rPr>
          <w:rFonts w:hint="eastAsia" w:ascii="宋体" w:hAnsi="宋体"/>
          <w:sz w:val="24"/>
        </w:rPr>
      </w:pPr>
      <w:bookmarkStart w:id="129" w:name="_Hlk114660323"/>
      <w:r>
        <w:rPr>
          <w:rFonts w:hint="eastAsia" w:ascii="宋体" w:hAnsi="宋体"/>
          <w:sz w:val="24"/>
        </w:rPr>
        <w:t>（1）具有独立承担民事责任的能力；</w:t>
      </w:r>
    </w:p>
    <w:p w14:paraId="394273D6">
      <w:pPr>
        <w:spacing w:line="360" w:lineRule="auto"/>
        <w:ind w:firstLine="235" w:firstLineChars="98"/>
        <w:contextualSpacing/>
        <w:rPr>
          <w:rFonts w:hint="eastAsia" w:ascii="宋体" w:hAnsi="宋体"/>
          <w:sz w:val="24"/>
        </w:rPr>
      </w:pPr>
      <w:r>
        <w:rPr>
          <w:rFonts w:hint="eastAsia" w:ascii="宋体" w:hAnsi="宋体"/>
          <w:sz w:val="24"/>
        </w:rPr>
        <w:t>（2）具有履行合同所必须的设备和专业技术能力；</w:t>
      </w:r>
    </w:p>
    <w:p w14:paraId="45629835">
      <w:pPr>
        <w:spacing w:line="360" w:lineRule="auto"/>
        <w:ind w:firstLine="235" w:firstLineChars="98"/>
        <w:contextualSpacing/>
        <w:rPr>
          <w:rFonts w:hint="eastAsia" w:ascii="宋体" w:hAnsi="宋体"/>
          <w:sz w:val="24"/>
        </w:rPr>
      </w:pPr>
      <w:r>
        <w:rPr>
          <w:rFonts w:hint="eastAsia" w:ascii="宋体" w:hAnsi="宋体"/>
          <w:sz w:val="24"/>
        </w:rPr>
        <w:t>（3）参加此采购活动前三年内，在经营活动中没有重大违法记录；</w:t>
      </w:r>
    </w:p>
    <w:p w14:paraId="7275FD52">
      <w:pPr>
        <w:spacing w:line="360" w:lineRule="auto"/>
        <w:ind w:firstLine="235" w:firstLineChars="98"/>
        <w:contextualSpacing/>
        <w:rPr>
          <w:rFonts w:hint="eastAsia" w:ascii="宋体" w:hAnsi="宋体"/>
          <w:sz w:val="24"/>
        </w:rPr>
      </w:pPr>
      <w:r>
        <w:rPr>
          <w:rFonts w:hint="eastAsia" w:ascii="宋体" w:hAnsi="宋体"/>
          <w:sz w:val="24"/>
        </w:rPr>
        <w:t>（4）我单位不属于为本次采购项目提供整体设计、规范编制或者项目管理、监理、检测等服务的供应商。</w:t>
      </w:r>
    </w:p>
    <w:p w14:paraId="33842B5A">
      <w:pPr>
        <w:spacing w:line="360" w:lineRule="auto"/>
        <w:ind w:firstLine="235" w:firstLineChars="98"/>
        <w:contextualSpacing/>
        <w:rPr>
          <w:rFonts w:hint="eastAsia" w:ascii="宋体" w:hAnsi="宋体"/>
          <w:sz w:val="24"/>
        </w:rPr>
      </w:pPr>
      <w:r>
        <w:rPr>
          <w:rFonts w:hint="eastAsia" w:cs="SSJ-PK74820000023-Identity-H"/>
          <w:kern w:val="0"/>
          <w:sz w:val="24"/>
          <w:szCs w:val="24"/>
        </w:rPr>
        <w:t>（5）与采购人和采购代理机构无任何的隶属关系或者其他利害关系。</w:t>
      </w:r>
    </w:p>
    <w:p w14:paraId="707FD935">
      <w:pPr>
        <w:spacing w:line="360" w:lineRule="auto"/>
        <w:ind w:firstLine="240" w:firstLineChars="100"/>
        <w:rPr>
          <w:rFonts w:hint="eastAsia" w:ascii="宋体" w:hAnsi="宋体"/>
          <w:sz w:val="24"/>
        </w:rPr>
      </w:pPr>
      <w:r>
        <w:rPr>
          <w:rFonts w:hint="eastAsia" w:ascii="宋体" w:hAnsi="宋体"/>
          <w:sz w:val="24"/>
        </w:rPr>
        <w:t>（6）</w:t>
      </w:r>
      <w:r>
        <w:rPr>
          <w:rFonts w:ascii="宋体" w:hAnsi="宋体"/>
          <w:sz w:val="24"/>
        </w:rPr>
        <w:t>与我单位存在“单位负责人为同一人或者存在直接控股、管理关系”的其他法人单位信息如下（如有，不论其是否参加同一合同项下的政府采购活动均须填写）：</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8BAC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3BCCB53">
            <w:pPr>
              <w:jc w:val="center"/>
              <w:rPr>
                <w:rFonts w:hint="eastAsia" w:ascii="宋体" w:hAnsi="宋体"/>
                <w:sz w:val="24"/>
              </w:rPr>
            </w:pPr>
            <w:r>
              <w:rPr>
                <w:rFonts w:ascii="宋体" w:hAnsi="宋体"/>
                <w:sz w:val="24"/>
              </w:rPr>
              <w:t>序号</w:t>
            </w:r>
          </w:p>
        </w:tc>
        <w:tc>
          <w:tcPr>
            <w:tcW w:w="4574" w:type="dxa"/>
            <w:vAlign w:val="center"/>
          </w:tcPr>
          <w:p w14:paraId="2CD11FC5">
            <w:pPr>
              <w:jc w:val="center"/>
              <w:rPr>
                <w:rFonts w:hint="eastAsia" w:ascii="宋体" w:hAnsi="宋体"/>
                <w:sz w:val="24"/>
              </w:rPr>
            </w:pPr>
            <w:r>
              <w:rPr>
                <w:rFonts w:ascii="宋体" w:hAnsi="宋体"/>
                <w:sz w:val="24"/>
              </w:rPr>
              <w:t>单位名称</w:t>
            </w:r>
          </w:p>
        </w:tc>
        <w:tc>
          <w:tcPr>
            <w:tcW w:w="2976" w:type="dxa"/>
            <w:vAlign w:val="center"/>
          </w:tcPr>
          <w:p w14:paraId="6DBCA2B4">
            <w:pPr>
              <w:jc w:val="center"/>
              <w:rPr>
                <w:rFonts w:hint="eastAsia" w:ascii="宋体" w:hAnsi="宋体"/>
                <w:sz w:val="24"/>
              </w:rPr>
            </w:pPr>
            <w:r>
              <w:rPr>
                <w:rFonts w:ascii="宋体" w:hAnsi="宋体"/>
                <w:sz w:val="24"/>
              </w:rPr>
              <w:t>相互关系</w:t>
            </w:r>
          </w:p>
        </w:tc>
      </w:tr>
      <w:tr w14:paraId="5D6AC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F88803E">
            <w:pPr>
              <w:jc w:val="center"/>
              <w:rPr>
                <w:rFonts w:hint="eastAsia" w:ascii="宋体" w:hAnsi="宋体"/>
                <w:sz w:val="24"/>
              </w:rPr>
            </w:pPr>
            <w:r>
              <w:rPr>
                <w:rFonts w:ascii="宋体" w:hAnsi="宋体"/>
                <w:sz w:val="24"/>
              </w:rPr>
              <w:t>1</w:t>
            </w:r>
          </w:p>
        </w:tc>
        <w:tc>
          <w:tcPr>
            <w:tcW w:w="4574" w:type="dxa"/>
            <w:vAlign w:val="center"/>
          </w:tcPr>
          <w:p w14:paraId="22ACA843">
            <w:pPr>
              <w:jc w:val="center"/>
              <w:rPr>
                <w:rFonts w:hint="eastAsia" w:ascii="宋体" w:hAnsi="宋体"/>
                <w:sz w:val="24"/>
              </w:rPr>
            </w:pPr>
          </w:p>
        </w:tc>
        <w:tc>
          <w:tcPr>
            <w:tcW w:w="2976" w:type="dxa"/>
            <w:vAlign w:val="center"/>
          </w:tcPr>
          <w:p w14:paraId="54BFCEBB">
            <w:pPr>
              <w:jc w:val="center"/>
              <w:rPr>
                <w:rFonts w:hint="eastAsia" w:ascii="宋体" w:hAnsi="宋体"/>
                <w:sz w:val="24"/>
              </w:rPr>
            </w:pPr>
          </w:p>
        </w:tc>
      </w:tr>
      <w:tr w14:paraId="54C2A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41C63F5">
            <w:pPr>
              <w:jc w:val="center"/>
              <w:rPr>
                <w:rFonts w:hint="eastAsia" w:ascii="宋体" w:hAnsi="宋体"/>
                <w:sz w:val="24"/>
              </w:rPr>
            </w:pPr>
            <w:r>
              <w:rPr>
                <w:rFonts w:ascii="宋体" w:hAnsi="宋体"/>
                <w:sz w:val="24"/>
              </w:rPr>
              <w:t>2</w:t>
            </w:r>
          </w:p>
        </w:tc>
        <w:tc>
          <w:tcPr>
            <w:tcW w:w="4574" w:type="dxa"/>
            <w:vAlign w:val="center"/>
          </w:tcPr>
          <w:p w14:paraId="3033A8D0">
            <w:pPr>
              <w:jc w:val="center"/>
              <w:rPr>
                <w:rFonts w:hint="eastAsia" w:ascii="宋体" w:hAnsi="宋体"/>
                <w:sz w:val="24"/>
              </w:rPr>
            </w:pPr>
          </w:p>
        </w:tc>
        <w:tc>
          <w:tcPr>
            <w:tcW w:w="2976" w:type="dxa"/>
            <w:vAlign w:val="center"/>
          </w:tcPr>
          <w:p w14:paraId="48E0023D">
            <w:pPr>
              <w:jc w:val="center"/>
              <w:rPr>
                <w:rFonts w:hint="eastAsia" w:ascii="宋体" w:hAnsi="宋体"/>
                <w:sz w:val="24"/>
              </w:rPr>
            </w:pPr>
          </w:p>
        </w:tc>
      </w:tr>
      <w:tr w14:paraId="7E1D1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B817C09">
            <w:pPr>
              <w:jc w:val="center"/>
              <w:rPr>
                <w:rFonts w:hint="eastAsia" w:ascii="宋体" w:hAnsi="宋体"/>
                <w:sz w:val="24"/>
              </w:rPr>
            </w:pPr>
            <w:r>
              <w:rPr>
                <w:rFonts w:ascii="宋体" w:hAnsi="宋体"/>
                <w:sz w:val="24"/>
              </w:rPr>
              <w:t>…</w:t>
            </w:r>
          </w:p>
        </w:tc>
        <w:tc>
          <w:tcPr>
            <w:tcW w:w="4574" w:type="dxa"/>
            <w:vAlign w:val="center"/>
          </w:tcPr>
          <w:p w14:paraId="41804866">
            <w:pPr>
              <w:jc w:val="center"/>
              <w:rPr>
                <w:rFonts w:hint="eastAsia" w:ascii="宋体" w:hAnsi="宋体"/>
                <w:sz w:val="24"/>
              </w:rPr>
            </w:pPr>
          </w:p>
        </w:tc>
        <w:tc>
          <w:tcPr>
            <w:tcW w:w="2976" w:type="dxa"/>
            <w:vAlign w:val="center"/>
          </w:tcPr>
          <w:p w14:paraId="716656CE">
            <w:pPr>
              <w:jc w:val="center"/>
              <w:rPr>
                <w:rFonts w:hint="eastAsia" w:ascii="宋体" w:hAnsi="宋体"/>
                <w:sz w:val="24"/>
              </w:rPr>
            </w:pPr>
          </w:p>
        </w:tc>
      </w:tr>
      <w:bookmarkEnd w:id="129"/>
    </w:tbl>
    <w:p w14:paraId="3C07305E">
      <w:pPr>
        <w:spacing w:line="360" w:lineRule="auto"/>
        <w:ind w:firstLine="240" w:firstLineChars="100"/>
        <w:contextualSpacing/>
        <w:rPr>
          <w:rFonts w:hint="eastAsia" w:ascii="宋体" w:hAnsi="宋体"/>
          <w:sz w:val="24"/>
          <w:szCs w:val="24"/>
        </w:rPr>
      </w:pPr>
      <w:r>
        <w:rPr>
          <w:rFonts w:ascii="宋体" w:hAnsi="宋体"/>
          <w:sz w:val="24"/>
          <w:szCs w:val="24"/>
        </w:rPr>
        <w:t>本单位对上述承诺的真实性负责，如有虚假，将依法承担法律责任。</w:t>
      </w:r>
    </w:p>
    <w:p w14:paraId="7AD74A41">
      <w:pPr>
        <w:spacing w:line="360" w:lineRule="auto"/>
        <w:ind w:firstLine="235"/>
        <w:contextualSpacing/>
        <w:rPr>
          <w:rFonts w:hint="eastAsia" w:ascii="宋体" w:hAnsi="宋体"/>
          <w:sz w:val="24"/>
          <w:szCs w:val="24"/>
        </w:rPr>
      </w:pPr>
      <w:r>
        <w:rPr>
          <w:rFonts w:ascii="宋体" w:hAnsi="宋体"/>
          <w:sz w:val="24"/>
          <w:szCs w:val="24"/>
        </w:rPr>
        <w:t>特此承诺。</w:t>
      </w:r>
    </w:p>
    <w:p w14:paraId="3048A416">
      <w:pPr>
        <w:spacing w:line="360" w:lineRule="auto"/>
        <w:ind w:firstLine="235"/>
        <w:contextualSpacing/>
        <w:rPr>
          <w:rFonts w:hint="eastAsia" w:ascii="宋体" w:hAnsi="宋体"/>
          <w:sz w:val="24"/>
          <w:szCs w:val="24"/>
        </w:rPr>
      </w:pPr>
    </w:p>
    <w:p w14:paraId="6DCBBF39">
      <w:pPr>
        <w:pStyle w:val="20"/>
        <w:tabs>
          <w:tab w:val="left" w:pos="5580"/>
        </w:tabs>
        <w:spacing w:line="360" w:lineRule="auto"/>
        <w:jc w:val="left"/>
        <w:rPr>
          <w:rFonts w:hint="eastAsia" w:hAnsi="宋体" w:eastAsia="宋体"/>
          <w:sz w:val="24"/>
          <w:szCs w:val="24"/>
          <w:u w:val="single"/>
        </w:rPr>
      </w:pPr>
      <w:r>
        <w:rPr>
          <w:rFonts w:hAnsi="宋体" w:eastAsia="宋体"/>
          <w:sz w:val="24"/>
          <w:szCs w:val="24"/>
        </w:rPr>
        <w:t>投标人名称（</w:t>
      </w:r>
      <w:r>
        <w:rPr>
          <w:rFonts w:hAnsi="宋体" w:eastAsia="宋体"/>
          <w:b/>
          <w:sz w:val="24"/>
          <w:szCs w:val="24"/>
        </w:rPr>
        <w:t>加盖公章</w:t>
      </w:r>
      <w:r>
        <w:rPr>
          <w:rFonts w:hAnsi="宋体" w:eastAsia="宋体"/>
          <w:sz w:val="24"/>
          <w:szCs w:val="24"/>
        </w:rPr>
        <w:t>）：</w:t>
      </w:r>
      <w:r>
        <w:rPr>
          <w:rFonts w:hAnsi="宋体" w:eastAsia="宋体"/>
          <w:sz w:val="24"/>
          <w:szCs w:val="24"/>
          <w:u w:val="single"/>
        </w:rPr>
        <w:t xml:space="preserve">               </w:t>
      </w:r>
    </w:p>
    <w:p w14:paraId="3C73E8BD">
      <w:pPr>
        <w:pStyle w:val="20"/>
        <w:tabs>
          <w:tab w:val="left" w:pos="5580"/>
        </w:tabs>
        <w:spacing w:line="360" w:lineRule="auto"/>
        <w:ind w:right="480"/>
        <w:jc w:val="left"/>
        <w:rPr>
          <w:rFonts w:hint="eastAsia" w:hAnsi="宋体" w:eastAsia="宋体"/>
          <w:bCs/>
          <w:sz w:val="24"/>
          <w:szCs w:val="24"/>
        </w:rPr>
      </w:pPr>
      <w:r>
        <w:rPr>
          <w:rFonts w:hint="eastAsia" w:hAnsi="宋体" w:eastAsia="宋体"/>
          <w:bCs/>
          <w:sz w:val="24"/>
          <w:szCs w:val="24"/>
        </w:rPr>
        <w:t>注：</w:t>
      </w:r>
    </w:p>
    <w:p w14:paraId="45B47E64">
      <w:pPr>
        <w:widowControl/>
        <w:jc w:val="left"/>
        <w:rPr>
          <w:rFonts w:hint="eastAsia" w:ascii="宋体" w:hAnsi="宋体"/>
          <w:b/>
          <w:bCs/>
          <w:sz w:val="32"/>
          <w:szCs w:val="32"/>
        </w:rPr>
      </w:pPr>
      <w:bookmarkStart w:id="130" w:name="_Toc176023829"/>
      <w:r>
        <w:rPr>
          <w:rFonts w:hint="eastAsia" w:ascii="宋体" w:hAnsi="宋体"/>
        </w:rPr>
        <w:br w:type="page"/>
      </w:r>
    </w:p>
    <w:p w14:paraId="3861931A">
      <w:pPr>
        <w:pStyle w:val="4"/>
        <w:jc w:val="center"/>
        <w:rPr>
          <w:rFonts w:hint="eastAsia" w:ascii="宋体" w:hAnsi="宋体"/>
        </w:rPr>
      </w:pPr>
      <w:r>
        <w:rPr>
          <w:rFonts w:hint="eastAsia" w:ascii="宋体" w:hAnsi="宋体"/>
        </w:rPr>
        <w:t>附件3 其他资格要求</w:t>
      </w:r>
      <w:bookmarkEnd w:id="130"/>
    </w:p>
    <w:p w14:paraId="12551EF2">
      <w:pPr>
        <w:widowControl/>
        <w:jc w:val="left"/>
        <w:rPr>
          <w:rFonts w:hint="eastAsia" w:ascii="宋体" w:hAnsi="宋体"/>
          <w:b/>
          <w:bCs/>
          <w:sz w:val="32"/>
          <w:szCs w:val="32"/>
        </w:rPr>
      </w:pPr>
      <w:r>
        <w:rPr>
          <w:rFonts w:hint="eastAsia" w:ascii="宋体" w:hAnsi="宋体"/>
        </w:rPr>
        <w:br w:type="page"/>
      </w:r>
    </w:p>
    <w:p w14:paraId="6690DCDD">
      <w:pPr>
        <w:pStyle w:val="4"/>
        <w:jc w:val="center"/>
        <w:rPr>
          <w:rFonts w:hint="eastAsia" w:ascii="宋体" w:hAnsi="宋体"/>
        </w:rPr>
      </w:pPr>
      <w:bookmarkStart w:id="131" w:name="_Toc176023830"/>
      <w:r>
        <w:rPr>
          <w:rFonts w:hint="eastAsia" w:ascii="宋体" w:hAnsi="宋体"/>
        </w:rPr>
        <w:t>附件4 投标保证金信息（非实质性格式）</w:t>
      </w:r>
      <w:bookmarkEnd w:id="131"/>
    </w:p>
    <w:p w14:paraId="5E75F7E7">
      <w:pPr>
        <w:widowControl/>
        <w:jc w:val="left"/>
        <w:rPr>
          <w:rFonts w:hint="eastAsia" w:ascii="宋体" w:hAnsi="宋体"/>
          <w:sz w:val="24"/>
          <w:szCs w:val="24"/>
        </w:rPr>
      </w:pPr>
      <w:bookmarkStart w:id="132" w:name="_Hlk138023407"/>
    </w:p>
    <w:p w14:paraId="6EB44F27">
      <w:pPr>
        <w:widowControl/>
        <w:jc w:val="left"/>
        <w:rPr>
          <w:rFonts w:hint="eastAsia" w:ascii="宋体" w:hAnsi="宋体"/>
          <w:bCs/>
          <w:sz w:val="24"/>
          <w:szCs w:val="24"/>
          <w:u w:val="single"/>
        </w:rPr>
      </w:pPr>
      <w:r>
        <w:rPr>
          <w:rFonts w:hint="eastAsia" w:ascii="宋体" w:hAnsi="宋体"/>
          <w:sz w:val="24"/>
          <w:szCs w:val="24"/>
        </w:rPr>
        <w:t>（投标保证金应当从投标人的银行账户缴纳，以采购机构查询到账时间为准，本项可不提供证明材料。）</w:t>
      </w:r>
    </w:p>
    <w:bookmarkEnd w:id="132"/>
    <w:p w14:paraId="164D7D23">
      <w:pPr>
        <w:widowControl/>
        <w:jc w:val="left"/>
        <w:rPr>
          <w:rFonts w:hint="eastAsia" w:ascii="宋体" w:hAnsi="宋体"/>
          <w:bCs/>
          <w:sz w:val="24"/>
          <w:szCs w:val="24"/>
        </w:rPr>
      </w:pPr>
      <w:bookmarkStart w:id="133" w:name="_Hlk140443200"/>
      <w:r>
        <w:rPr>
          <w:rFonts w:hint="eastAsia" w:ascii="宋体" w:hAnsi="宋体"/>
          <w:bCs/>
          <w:sz w:val="24"/>
          <w:szCs w:val="24"/>
        </w:rPr>
        <w:t>保证金缴纳信息</w:t>
      </w:r>
    </w:p>
    <w:tbl>
      <w:tblPr>
        <w:tblStyle w:val="36"/>
        <w:tblW w:w="10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2126"/>
        <w:gridCol w:w="2547"/>
        <w:gridCol w:w="1660"/>
        <w:gridCol w:w="1340"/>
      </w:tblGrid>
      <w:tr w14:paraId="19CC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547" w:type="dxa"/>
            <w:vMerge w:val="restart"/>
            <w:tcBorders>
              <w:top w:val="single" w:color="auto" w:sz="4" w:space="0"/>
              <w:left w:val="single" w:color="auto" w:sz="4" w:space="0"/>
              <w:bottom w:val="single" w:color="auto" w:sz="4" w:space="0"/>
              <w:right w:val="single" w:color="auto" w:sz="4" w:space="0"/>
            </w:tcBorders>
            <w:vAlign w:val="center"/>
          </w:tcPr>
          <w:p w14:paraId="35C665D5">
            <w:pPr>
              <w:widowControl/>
              <w:jc w:val="left"/>
              <w:rPr>
                <w:rFonts w:hint="eastAsia" w:ascii="宋体" w:hAnsi="宋体"/>
                <w:b/>
                <w:bCs/>
                <w:sz w:val="24"/>
                <w:szCs w:val="24"/>
              </w:rPr>
            </w:pPr>
            <w:r>
              <w:rPr>
                <w:rFonts w:hint="eastAsia" w:ascii="宋体" w:hAnsi="宋体"/>
                <w:b/>
                <w:bCs/>
                <w:sz w:val="24"/>
                <w:szCs w:val="24"/>
              </w:rPr>
              <w:t>单位名称</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14:paraId="173D661C">
            <w:pPr>
              <w:widowControl/>
              <w:jc w:val="left"/>
              <w:rPr>
                <w:rFonts w:hint="eastAsia" w:ascii="宋体" w:hAnsi="宋体"/>
                <w:b/>
                <w:bCs/>
                <w:sz w:val="24"/>
                <w:szCs w:val="24"/>
              </w:rPr>
            </w:pPr>
            <w:r>
              <w:rPr>
                <w:rFonts w:hint="eastAsia" w:ascii="宋体" w:hAnsi="宋体"/>
                <w:b/>
                <w:bCs/>
                <w:sz w:val="24"/>
                <w:szCs w:val="24"/>
              </w:rPr>
              <w:t>开户银行（具体到支行）</w:t>
            </w:r>
          </w:p>
        </w:tc>
        <w:tc>
          <w:tcPr>
            <w:tcW w:w="2547" w:type="dxa"/>
            <w:vMerge w:val="restart"/>
            <w:tcBorders>
              <w:top w:val="single" w:color="auto" w:sz="4" w:space="0"/>
              <w:left w:val="single" w:color="auto" w:sz="4" w:space="0"/>
              <w:bottom w:val="single" w:color="auto" w:sz="4" w:space="0"/>
              <w:right w:val="single" w:color="auto" w:sz="4" w:space="0"/>
            </w:tcBorders>
            <w:vAlign w:val="center"/>
          </w:tcPr>
          <w:p w14:paraId="29830FD3">
            <w:pPr>
              <w:widowControl/>
              <w:jc w:val="left"/>
              <w:rPr>
                <w:rFonts w:hint="eastAsia" w:ascii="宋体" w:hAnsi="宋体"/>
                <w:b/>
                <w:bCs/>
                <w:sz w:val="24"/>
                <w:szCs w:val="24"/>
              </w:rPr>
            </w:pPr>
            <w:r>
              <w:rPr>
                <w:rFonts w:hint="eastAsia" w:ascii="宋体" w:hAnsi="宋体"/>
                <w:b/>
                <w:bCs/>
                <w:sz w:val="24"/>
                <w:szCs w:val="24"/>
              </w:rPr>
              <w:t>银行帐号</w:t>
            </w:r>
          </w:p>
        </w:tc>
        <w:tc>
          <w:tcPr>
            <w:tcW w:w="3000" w:type="dxa"/>
            <w:gridSpan w:val="2"/>
            <w:tcBorders>
              <w:top w:val="single" w:color="auto" w:sz="4" w:space="0"/>
              <w:left w:val="single" w:color="auto" w:sz="4" w:space="0"/>
              <w:bottom w:val="single" w:color="auto" w:sz="4" w:space="0"/>
              <w:right w:val="single" w:color="auto" w:sz="4" w:space="0"/>
            </w:tcBorders>
            <w:vAlign w:val="center"/>
          </w:tcPr>
          <w:p w14:paraId="2402C85A">
            <w:pPr>
              <w:widowControl/>
              <w:jc w:val="left"/>
              <w:rPr>
                <w:rFonts w:hint="eastAsia" w:ascii="宋体" w:hAnsi="宋体"/>
                <w:b/>
                <w:bCs/>
                <w:sz w:val="24"/>
                <w:szCs w:val="24"/>
              </w:rPr>
            </w:pPr>
            <w:r>
              <w:rPr>
                <w:rFonts w:hint="eastAsia" w:ascii="宋体" w:hAnsi="宋体"/>
                <w:b/>
                <w:bCs/>
                <w:sz w:val="24"/>
                <w:szCs w:val="24"/>
              </w:rPr>
              <w:t>金额</w:t>
            </w:r>
          </w:p>
        </w:tc>
      </w:tr>
      <w:tr w14:paraId="1E21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5FD7A15">
            <w:pPr>
              <w:widowControl/>
              <w:jc w:val="left"/>
              <w:rPr>
                <w:rFonts w:hint="eastAsia" w:ascii="宋体" w:hAnsi="宋体"/>
                <w:b/>
                <w:bCs/>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84155F7">
            <w:pPr>
              <w:widowControl/>
              <w:jc w:val="left"/>
              <w:rPr>
                <w:rFonts w:hint="eastAsia" w:ascii="宋体" w:hAnsi="宋体"/>
                <w:b/>
                <w:bCs/>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D8BB282">
            <w:pPr>
              <w:widowControl/>
              <w:jc w:val="left"/>
              <w:rPr>
                <w:rFonts w:hint="eastAsia" w:ascii="宋体" w:hAnsi="宋体"/>
                <w:b/>
                <w:bCs/>
                <w:sz w:val="24"/>
                <w:szCs w:val="24"/>
              </w:rPr>
            </w:pPr>
          </w:p>
        </w:tc>
        <w:tc>
          <w:tcPr>
            <w:tcW w:w="1660" w:type="dxa"/>
            <w:tcBorders>
              <w:top w:val="single" w:color="auto" w:sz="4" w:space="0"/>
              <w:left w:val="single" w:color="auto" w:sz="4" w:space="0"/>
              <w:bottom w:val="single" w:color="auto" w:sz="4" w:space="0"/>
              <w:right w:val="single" w:color="auto" w:sz="4" w:space="0"/>
            </w:tcBorders>
            <w:vAlign w:val="center"/>
          </w:tcPr>
          <w:p w14:paraId="434BED88">
            <w:pPr>
              <w:widowControl/>
              <w:jc w:val="left"/>
              <w:rPr>
                <w:rFonts w:hint="eastAsia" w:ascii="宋体" w:hAnsi="宋体"/>
                <w:b/>
                <w:bCs/>
                <w:sz w:val="24"/>
                <w:szCs w:val="24"/>
              </w:rPr>
            </w:pPr>
            <w:r>
              <w:rPr>
                <w:rFonts w:hint="eastAsia" w:ascii="宋体" w:hAnsi="宋体"/>
                <w:b/>
                <w:bCs/>
                <w:sz w:val="24"/>
                <w:szCs w:val="24"/>
              </w:rPr>
              <w:t>小写</w:t>
            </w:r>
          </w:p>
        </w:tc>
        <w:tc>
          <w:tcPr>
            <w:tcW w:w="1340" w:type="dxa"/>
            <w:tcBorders>
              <w:top w:val="single" w:color="auto" w:sz="4" w:space="0"/>
              <w:left w:val="single" w:color="auto" w:sz="4" w:space="0"/>
              <w:bottom w:val="single" w:color="auto" w:sz="4" w:space="0"/>
              <w:right w:val="single" w:color="auto" w:sz="4" w:space="0"/>
            </w:tcBorders>
            <w:vAlign w:val="center"/>
          </w:tcPr>
          <w:p w14:paraId="52E45F1C">
            <w:pPr>
              <w:widowControl/>
              <w:jc w:val="left"/>
              <w:rPr>
                <w:rFonts w:hint="eastAsia" w:ascii="宋体" w:hAnsi="宋体"/>
                <w:b/>
                <w:bCs/>
                <w:sz w:val="24"/>
                <w:szCs w:val="24"/>
              </w:rPr>
            </w:pPr>
            <w:r>
              <w:rPr>
                <w:rFonts w:hint="eastAsia" w:ascii="宋体" w:hAnsi="宋体"/>
                <w:b/>
                <w:bCs/>
                <w:sz w:val="24"/>
                <w:szCs w:val="24"/>
              </w:rPr>
              <w:t>大写</w:t>
            </w:r>
          </w:p>
        </w:tc>
      </w:tr>
      <w:tr w14:paraId="570E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9302F7D">
            <w:pPr>
              <w:widowControl/>
              <w:jc w:val="left"/>
              <w:rPr>
                <w:rFonts w:hint="eastAsia" w:ascii="宋体" w:hAnsi="宋体"/>
                <w:b/>
                <w:bCs/>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189A863C">
            <w:pPr>
              <w:widowControl/>
              <w:jc w:val="left"/>
              <w:rPr>
                <w:rFonts w:hint="eastAsia" w:ascii="宋体" w:hAnsi="宋体"/>
                <w:b/>
                <w:bCs/>
                <w:sz w:val="24"/>
                <w:szCs w:val="24"/>
              </w:rPr>
            </w:pPr>
          </w:p>
        </w:tc>
        <w:tc>
          <w:tcPr>
            <w:tcW w:w="2547" w:type="dxa"/>
            <w:tcBorders>
              <w:top w:val="single" w:color="auto" w:sz="4" w:space="0"/>
              <w:left w:val="single" w:color="auto" w:sz="4" w:space="0"/>
              <w:bottom w:val="single" w:color="auto" w:sz="4" w:space="0"/>
              <w:right w:val="single" w:color="auto" w:sz="4" w:space="0"/>
            </w:tcBorders>
            <w:noWrap/>
            <w:vAlign w:val="center"/>
          </w:tcPr>
          <w:p w14:paraId="7B1C6BA2">
            <w:pPr>
              <w:widowControl/>
              <w:jc w:val="left"/>
              <w:rPr>
                <w:rFonts w:hint="eastAsia" w:ascii="宋体" w:hAnsi="宋体"/>
                <w:b/>
                <w:bCs/>
                <w:sz w:val="24"/>
                <w:szCs w:val="24"/>
              </w:rPr>
            </w:pPr>
          </w:p>
        </w:tc>
        <w:tc>
          <w:tcPr>
            <w:tcW w:w="1660" w:type="dxa"/>
            <w:tcBorders>
              <w:top w:val="single" w:color="auto" w:sz="4" w:space="0"/>
              <w:left w:val="single" w:color="auto" w:sz="4" w:space="0"/>
              <w:bottom w:val="single" w:color="auto" w:sz="4" w:space="0"/>
              <w:right w:val="single" w:color="auto" w:sz="4" w:space="0"/>
            </w:tcBorders>
            <w:vAlign w:val="center"/>
          </w:tcPr>
          <w:p w14:paraId="0C5A1CC4">
            <w:pPr>
              <w:widowControl/>
              <w:jc w:val="left"/>
              <w:rPr>
                <w:rFonts w:hint="eastAsia" w:ascii="宋体" w:hAnsi="宋体"/>
                <w:b/>
                <w:bCs/>
                <w:sz w:val="24"/>
                <w:szCs w:val="24"/>
              </w:rPr>
            </w:pPr>
          </w:p>
        </w:tc>
        <w:tc>
          <w:tcPr>
            <w:tcW w:w="1340" w:type="dxa"/>
            <w:tcBorders>
              <w:top w:val="single" w:color="auto" w:sz="4" w:space="0"/>
              <w:left w:val="single" w:color="auto" w:sz="4" w:space="0"/>
              <w:bottom w:val="single" w:color="auto" w:sz="4" w:space="0"/>
              <w:right w:val="single" w:color="auto" w:sz="4" w:space="0"/>
            </w:tcBorders>
            <w:vAlign w:val="center"/>
          </w:tcPr>
          <w:p w14:paraId="780E48DE">
            <w:pPr>
              <w:widowControl/>
              <w:jc w:val="left"/>
              <w:rPr>
                <w:rFonts w:hint="eastAsia" w:ascii="宋体" w:hAnsi="宋体"/>
                <w:b/>
                <w:bCs/>
                <w:sz w:val="24"/>
                <w:szCs w:val="24"/>
              </w:rPr>
            </w:pPr>
          </w:p>
        </w:tc>
      </w:tr>
      <w:bookmarkEnd w:id="133"/>
    </w:tbl>
    <w:p w14:paraId="5C847AC5">
      <w:pPr>
        <w:widowControl/>
        <w:jc w:val="left"/>
        <w:rPr>
          <w:rFonts w:hint="eastAsia" w:ascii="宋体" w:hAnsi="宋体"/>
          <w:sz w:val="24"/>
          <w:szCs w:val="24"/>
        </w:rPr>
      </w:pPr>
      <w:r>
        <w:rPr>
          <w:rFonts w:hint="eastAsia" w:ascii="宋体" w:hAnsi="宋体"/>
          <w:sz w:val="24"/>
          <w:szCs w:val="24"/>
        </w:rPr>
        <w:t>注：已交纳投标保证金的投标人无需在提供投标担保函</w:t>
      </w:r>
    </w:p>
    <w:p w14:paraId="6166C050">
      <w:pPr>
        <w:widowControl/>
        <w:jc w:val="left"/>
        <w:rPr>
          <w:rFonts w:hint="eastAsia" w:ascii="宋体" w:hAnsi="宋体"/>
          <w:b/>
          <w:bCs/>
          <w:sz w:val="32"/>
          <w:szCs w:val="32"/>
          <w:lang w:val="zh-CN"/>
        </w:rPr>
      </w:pPr>
    </w:p>
    <w:p w14:paraId="3DECBAB8">
      <w:pPr>
        <w:widowControl/>
        <w:jc w:val="left"/>
        <w:rPr>
          <w:rFonts w:hint="eastAsia" w:ascii="宋体" w:hAnsi="宋体"/>
          <w:b/>
          <w:sz w:val="32"/>
          <w:szCs w:val="32"/>
          <w:lang w:val="zh-CN"/>
        </w:rPr>
      </w:pPr>
      <w:r>
        <w:rPr>
          <w:rFonts w:hint="eastAsia" w:ascii="宋体" w:hAnsi="宋体"/>
          <w:sz w:val="32"/>
          <w:szCs w:val="32"/>
        </w:rPr>
        <w:br w:type="page"/>
      </w:r>
    </w:p>
    <w:p w14:paraId="3DC3EFC6">
      <w:pPr>
        <w:pStyle w:val="4"/>
        <w:jc w:val="center"/>
        <w:rPr>
          <w:rFonts w:hint="eastAsia" w:ascii="宋体" w:hAnsi="宋体"/>
        </w:rPr>
      </w:pPr>
      <w:bookmarkStart w:id="134" w:name="_Toc497205685"/>
      <w:bookmarkStart w:id="135" w:name="_Toc115623254"/>
      <w:bookmarkStart w:id="136" w:name="_Toc176023831"/>
      <w:r>
        <w:rPr>
          <w:rFonts w:ascii="宋体" w:hAnsi="宋体"/>
        </w:rPr>
        <w:t>附件</w:t>
      </w:r>
      <w:r>
        <w:rPr>
          <w:rFonts w:hint="eastAsia" w:ascii="宋体" w:hAnsi="宋体"/>
        </w:rPr>
        <w:t>5</w:t>
      </w:r>
      <w:r>
        <w:rPr>
          <w:rFonts w:ascii="宋体" w:hAnsi="宋体"/>
        </w:rPr>
        <w:t xml:space="preserve"> 政府采购投标担保函</w:t>
      </w:r>
      <w:bookmarkEnd w:id="134"/>
      <w:r>
        <w:rPr>
          <w:rFonts w:hint="eastAsia" w:ascii="宋体" w:hAnsi="宋体"/>
        </w:rPr>
        <w:t>（如需，供参考）</w:t>
      </w:r>
      <w:bookmarkEnd w:id="135"/>
      <w:bookmarkEnd w:id="136"/>
    </w:p>
    <w:p w14:paraId="20D24AFC">
      <w:pPr>
        <w:pStyle w:val="31"/>
        <w:spacing w:line="360" w:lineRule="auto"/>
        <w:contextualSpacing/>
        <w:rPr>
          <w:rFonts w:hint="eastAsia" w:cs="Times New Roman"/>
          <w:kern w:val="2"/>
        </w:rPr>
      </w:pPr>
      <w:r>
        <w:rPr>
          <w:rFonts w:cs="Times New Roman"/>
          <w:kern w:val="2"/>
        </w:rPr>
        <w:t>编号：</w:t>
      </w:r>
    </w:p>
    <w:p w14:paraId="3E936709">
      <w:pPr>
        <w:pStyle w:val="31"/>
        <w:spacing w:line="360" w:lineRule="auto"/>
        <w:contextualSpacing/>
        <w:rPr>
          <w:rFonts w:hint="eastAsia" w:cs="Times New Roman"/>
          <w:kern w:val="2"/>
        </w:rPr>
      </w:pPr>
      <w:r>
        <w:rPr>
          <w:rFonts w:cs="Times New Roman"/>
          <w:kern w:val="2"/>
        </w:rPr>
        <w:t>（采购人或采购代理机构）：</w:t>
      </w:r>
    </w:p>
    <w:p w14:paraId="37E494AB">
      <w:pPr>
        <w:pStyle w:val="31"/>
        <w:spacing w:line="360" w:lineRule="auto"/>
        <w:contextualSpacing/>
        <w:rPr>
          <w:rFonts w:hint="eastAsia" w:cs="Times New Roman"/>
          <w:kern w:val="2"/>
        </w:rPr>
      </w:pPr>
      <w:r>
        <w:rPr>
          <w:rFonts w:cs="Times New Roman"/>
          <w:kern w:val="2"/>
        </w:rPr>
        <w:t>　　鉴于</w:t>
      </w:r>
      <w:r>
        <w:rPr>
          <w:rFonts w:cs="Times New Roman"/>
          <w:kern w:val="2"/>
          <w:u w:val="single"/>
        </w:rPr>
        <w:t xml:space="preserve">           </w:t>
      </w:r>
      <w:r>
        <w:rPr>
          <w:rFonts w:cs="Times New Roman"/>
          <w:kern w:val="2"/>
        </w:rPr>
        <w:t>（以下简称“投标人”）拟参加编号为</w:t>
      </w:r>
      <w:r>
        <w:rPr>
          <w:rFonts w:cs="Times New Roman"/>
          <w:kern w:val="2"/>
          <w:u w:val="single"/>
        </w:rPr>
        <w:t xml:space="preserve">            </w:t>
      </w:r>
      <w:r>
        <w:rPr>
          <w:rFonts w:cs="Times New Roman"/>
          <w:kern w:val="2"/>
        </w:rPr>
        <w:t>的</w:t>
      </w:r>
      <w:r>
        <w:rPr>
          <w:rFonts w:cs="Times New Roman"/>
          <w:kern w:val="2"/>
          <w:u w:val="single"/>
        </w:rPr>
        <w:t xml:space="preserve">           </w:t>
      </w:r>
      <w:r>
        <w:rPr>
          <w:rFonts w:cs="Times New Roman"/>
          <w:kern w:val="2"/>
        </w:rPr>
        <w:t>项目（以下简称“本项目”）投标，根据本项目招标文件，投标人参加投标时应向你方交纳投标保证金，且可以投标担保函的形式交纳投标保证金。应投标人的申请，我方以保证的方式向你方提供如下投标保证金担保：</w:t>
      </w:r>
    </w:p>
    <w:p w14:paraId="57283A23">
      <w:pPr>
        <w:pStyle w:val="31"/>
        <w:spacing w:line="360" w:lineRule="auto"/>
        <w:contextualSpacing/>
        <w:rPr>
          <w:rFonts w:hint="eastAsia" w:cs="Times New Roman"/>
          <w:kern w:val="2"/>
        </w:rPr>
      </w:pPr>
      <w:r>
        <w:rPr>
          <w:rFonts w:cs="Times New Roman"/>
          <w:kern w:val="2"/>
        </w:rPr>
        <w:t>　　一、保证责任的情形及保证金额</w:t>
      </w:r>
    </w:p>
    <w:p w14:paraId="3D4B3EA3">
      <w:pPr>
        <w:pStyle w:val="31"/>
        <w:spacing w:line="360" w:lineRule="auto"/>
        <w:contextualSpacing/>
        <w:rPr>
          <w:rFonts w:hint="eastAsia" w:cs="Times New Roman"/>
          <w:kern w:val="2"/>
        </w:rPr>
      </w:pPr>
      <w:r>
        <w:rPr>
          <w:rFonts w:cs="Times New Roman"/>
          <w:kern w:val="2"/>
        </w:rPr>
        <w:t>　　（一）在投标人出现下列情形之一时，我方承担保证责任：</w:t>
      </w:r>
    </w:p>
    <w:p w14:paraId="0AAEB89A">
      <w:pPr>
        <w:pStyle w:val="31"/>
        <w:spacing w:line="360" w:lineRule="auto"/>
        <w:contextualSpacing/>
        <w:rPr>
          <w:rFonts w:hint="eastAsia" w:cs="Times New Roman"/>
          <w:kern w:val="2"/>
        </w:rPr>
      </w:pPr>
      <w:r>
        <w:rPr>
          <w:rFonts w:cs="Times New Roman"/>
          <w:kern w:val="2"/>
        </w:rPr>
        <w:t>　　1．中标后投标人无正当理由不与采购人或者采购代理机构签订《政府采购合同》；</w:t>
      </w:r>
    </w:p>
    <w:p w14:paraId="6BECA710">
      <w:pPr>
        <w:pStyle w:val="31"/>
        <w:spacing w:line="360" w:lineRule="auto"/>
        <w:contextualSpacing/>
        <w:rPr>
          <w:rFonts w:hint="eastAsia" w:cs="Times New Roman"/>
          <w:kern w:val="2"/>
        </w:rPr>
      </w:pPr>
      <w:r>
        <w:rPr>
          <w:rFonts w:cs="Times New Roman"/>
          <w:kern w:val="2"/>
        </w:rPr>
        <w:t>　　2．招标文件规定的投标人应当缴纳保证金的其他情形。</w:t>
      </w:r>
    </w:p>
    <w:p w14:paraId="70D1F6B6">
      <w:pPr>
        <w:pStyle w:val="31"/>
        <w:spacing w:line="360" w:lineRule="auto"/>
        <w:contextualSpacing/>
        <w:rPr>
          <w:rFonts w:hint="eastAsia" w:cs="Times New Roman"/>
          <w:kern w:val="2"/>
        </w:rPr>
      </w:pPr>
      <w:r>
        <w:rPr>
          <w:rFonts w:cs="Times New Roman"/>
          <w:kern w:val="2"/>
        </w:rPr>
        <w:t>　　（二）我方承担保证责任的最高金额为人民币</w:t>
      </w:r>
      <w:r>
        <w:rPr>
          <w:rFonts w:cs="Times New Roman"/>
          <w:kern w:val="2"/>
          <w:u w:val="single"/>
        </w:rPr>
        <w:t xml:space="preserve">   </w:t>
      </w:r>
      <w:r>
        <w:rPr>
          <w:rFonts w:cs="Times New Roman"/>
          <w:kern w:val="2"/>
        </w:rPr>
        <w:t>元（大写</w:t>
      </w:r>
      <w:r>
        <w:rPr>
          <w:rFonts w:cs="Times New Roman"/>
          <w:kern w:val="2"/>
          <w:u w:val="single"/>
        </w:rPr>
        <w:t xml:space="preserve">     </w:t>
      </w:r>
      <w:r>
        <w:rPr>
          <w:rFonts w:cs="Times New Roman"/>
          <w:kern w:val="2"/>
        </w:rPr>
        <w:t>），即本项目的投标保证金金额。</w:t>
      </w:r>
    </w:p>
    <w:p w14:paraId="41F2A585">
      <w:pPr>
        <w:pStyle w:val="31"/>
        <w:spacing w:line="360" w:lineRule="auto"/>
        <w:contextualSpacing/>
        <w:rPr>
          <w:rFonts w:hint="eastAsia" w:cs="Times New Roman"/>
          <w:kern w:val="2"/>
        </w:rPr>
      </w:pPr>
      <w:r>
        <w:rPr>
          <w:rFonts w:cs="Times New Roman"/>
          <w:kern w:val="2"/>
        </w:rPr>
        <w:t>　　二、保证的方式及保证期间</w:t>
      </w:r>
    </w:p>
    <w:p w14:paraId="14C4AD78">
      <w:pPr>
        <w:pStyle w:val="31"/>
        <w:spacing w:line="360" w:lineRule="auto"/>
        <w:contextualSpacing/>
        <w:rPr>
          <w:rFonts w:hint="eastAsia" w:cs="Times New Roman"/>
          <w:kern w:val="2"/>
        </w:rPr>
      </w:pPr>
      <w:r>
        <w:rPr>
          <w:rFonts w:cs="Times New Roman"/>
          <w:kern w:val="2"/>
        </w:rPr>
        <w:t>　　我方保证的方式为：连带责任保证。</w:t>
      </w:r>
    </w:p>
    <w:p w14:paraId="583F9960">
      <w:pPr>
        <w:pStyle w:val="31"/>
        <w:spacing w:line="360" w:lineRule="auto"/>
        <w:contextualSpacing/>
        <w:rPr>
          <w:rFonts w:hint="eastAsia" w:cs="Times New Roman"/>
          <w:kern w:val="2"/>
        </w:rPr>
      </w:pPr>
      <w:r>
        <w:rPr>
          <w:rFonts w:cs="Times New Roman"/>
          <w:kern w:val="2"/>
        </w:rPr>
        <w:t>　　我方的保证期间为：自本保函生效之日起</w:t>
      </w:r>
      <w:r>
        <w:rPr>
          <w:rFonts w:cs="Times New Roman"/>
          <w:kern w:val="2"/>
          <w:u w:val="single"/>
        </w:rPr>
        <w:t xml:space="preserve">    </w:t>
      </w:r>
      <w:r>
        <w:rPr>
          <w:rFonts w:cs="Times New Roman"/>
          <w:kern w:val="2"/>
        </w:rPr>
        <w:t>个月止。</w:t>
      </w:r>
    </w:p>
    <w:p w14:paraId="1AEBEE57">
      <w:pPr>
        <w:pStyle w:val="31"/>
        <w:spacing w:line="360" w:lineRule="auto"/>
        <w:contextualSpacing/>
        <w:rPr>
          <w:rFonts w:hint="eastAsia" w:cs="Times New Roman"/>
          <w:kern w:val="2"/>
        </w:rPr>
      </w:pPr>
      <w:r>
        <w:rPr>
          <w:rFonts w:cs="Times New Roman"/>
          <w:kern w:val="2"/>
        </w:rPr>
        <w:t>　　三、承担保证责任的程序</w:t>
      </w:r>
    </w:p>
    <w:p w14:paraId="682339BF">
      <w:pPr>
        <w:pStyle w:val="31"/>
        <w:spacing w:line="360" w:lineRule="auto"/>
        <w:contextualSpacing/>
        <w:rPr>
          <w:rFonts w:hint="eastAsia" w:cs="Times New Roman"/>
          <w:kern w:val="2"/>
        </w:rPr>
      </w:pPr>
      <w:r>
        <w:rPr>
          <w:rFonts w:cs="Times New Roman"/>
          <w:kern w:val="2"/>
        </w:rPr>
        <w:t>　　1．你方要求我方承担保证责任的，应在本保函保证期间内向我方发出书面索赔通知。索赔通知应写明要求索赔的金额，支付款项应到达的账号，并附有证明投标人发生我方应承担保证责任情形的事实材料。</w:t>
      </w:r>
    </w:p>
    <w:p w14:paraId="2A6B52CB">
      <w:pPr>
        <w:pStyle w:val="31"/>
        <w:spacing w:line="360" w:lineRule="auto"/>
        <w:contextualSpacing/>
        <w:rPr>
          <w:rFonts w:hint="eastAsia" w:cs="Times New Roman"/>
          <w:kern w:val="2"/>
        </w:rPr>
      </w:pPr>
      <w:r>
        <w:rPr>
          <w:rFonts w:cs="Times New Roman"/>
          <w:kern w:val="2"/>
        </w:rPr>
        <w:t>　　2．我方在收到索赔通知及相关证明材料后，在</w:t>
      </w:r>
      <w:r>
        <w:rPr>
          <w:rFonts w:cs="Times New Roman"/>
          <w:kern w:val="2"/>
          <w:u w:val="single"/>
        </w:rPr>
        <w:t>　　</w:t>
      </w:r>
      <w:r>
        <w:rPr>
          <w:rFonts w:cs="Times New Roman"/>
          <w:kern w:val="2"/>
        </w:rPr>
        <w:t>个工作日内进行审查，符合应承担保证责任情形的，我方应按照你方的要求代投标人向你方支付投标保证金。</w:t>
      </w:r>
    </w:p>
    <w:p w14:paraId="7253F9A1">
      <w:pPr>
        <w:pStyle w:val="31"/>
        <w:spacing w:line="360" w:lineRule="auto"/>
        <w:contextualSpacing/>
        <w:rPr>
          <w:rFonts w:hint="eastAsia" w:cs="Times New Roman"/>
          <w:kern w:val="2"/>
        </w:rPr>
      </w:pPr>
      <w:r>
        <w:rPr>
          <w:rFonts w:cs="Times New Roman"/>
          <w:kern w:val="2"/>
        </w:rPr>
        <w:t>　　四、保证责任的终止</w:t>
      </w:r>
    </w:p>
    <w:p w14:paraId="1A9C850F">
      <w:pPr>
        <w:pStyle w:val="31"/>
        <w:spacing w:line="360" w:lineRule="auto"/>
        <w:contextualSpacing/>
        <w:rPr>
          <w:rFonts w:hint="eastAsia" w:cs="Times New Roman"/>
          <w:kern w:val="2"/>
        </w:rPr>
      </w:pPr>
      <w:r>
        <w:rPr>
          <w:rFonts w:cs="Times New Roman"/>
          <w:kern w:val="2"/>
        </w:rPr>
        <w:t>　　1．保证期间届满你方未向我方书面主张保证责任的，自保证期间届满次日起，我方保证责任自动终止。</w:t>
      </w:r>
    </w:p>
    <w:p w14:paraId="01A955C3">
      <w:pPr>
        <w:pStyle w:val="31"/>
        <w:spacing w:line="360" w:lineRule="auto"/>
        <w:contextualSpacing/>
        <w:rPr>
          <w:rFonts w:hint="eastAsia" w:cs="Times New Roman"/>
          <w:kern w:val="2"/>
        </w:rPr>
      </w:pPr>
      <w:r>
        <w:rPr>
          <w:rFonts w:cs="Times New Roman"/>
          <w:kern w:val="2"/>
        </w:rPr>
        <w:t>　　2．我方按照本保函向你方履行了保证责任后，自我方向你方支付款项（支付款项从我方账户划出）之日起，保证责任终止。</w:t>
      </w:r>
    </w:p>
    <w:p w14:paraId="584BCDFD">
      <w:pPr>
        <w:pStyle w:val="31"/>
        <w:spacing w:line="360" w:lineRule="auto"/>
        <w:contextualSpacing/>
        <w:rPr>
          <w:rFonts w:hint="eastAsia" w:cs="Times New Roman"/>
          <w:kern w:val="2"/>
        </w:rPr>
      </w:pPr>
      <w:r>
        <w:rPr>
          <w:rFonts w:cs="Times New Roman"/>
          <w:kern w:val="2"/>
        </w:rPr>
        <w:t>　　3．按照法律法规的规定或出现我方保证责任终止的其它情形的，我方在本保函项下的保证责任亦终止。</w:t>
      </w:r>
    </w:p>
    <w:p w14:paraId="6F2A4CEF">
      <w:pPr>
        <w:pStyle w:val="31"/>
        <w:spacing w:line="360" w:lineRule="auto"/>
        <w:contextualSpacing/>
        <w:rPr>
          <w:rFonts w:hint="eastAsia" w:cs="Times New Roman"/>
          <w:kern w:val="2"/>
        </w:rPr>
      </w:pPr>
      <w:r>
        <w:rPr>
          <w:rFonts w:cs="Times New Roman"/>
          <w:kern w:val="2"/>
        </w:rPr>
        <w:t>　　五、免责条款</w:t>
      </w:r>
    </w:p>
    <w:p w14:paraId="44D652F4">
      <w:pPr>
        <w:pStyle w:val="31"/>
        <w:spacing w:line="360" w:lineRule="auto"/>
        <w:contextualSpacing/>
        <w:rPr>
          <w:rFonts w:hint="eastAsia" w:cs="Times New Roman"/>
          <w:kern w:val="2"/>
        </w:rPr>
      </w:pPr>
      <w:r>
        <w:rPr>
          <w:rFonts w:cs="Times New Roman"/>
          <w:kern w:val="2"/>
        </w:rPr>
        <w:t>　　1．依照法律规定或你方与投标人的另行约定，全部或者部分免除投标人投标保证金义务时，我方亦免除相应的保证责任。</w:t>
      </w:r>
    </w:p>
    <w:p w14:paraId="6D39244B">
      <w:pPr>
        <w:pStyle w:val="31"/>
        <w:spacing w:line="360" w:lineRule="auto"/>
        <w:contextualSpacing/>
        <w:rPr>
          <w:rFonts w:hint="eastAsia" w:cs="Times New Roman"/>
          <w:kern w:val="2"/>
        </w:rPr>
      </w:pPr>
      <w:r>
        <w:rPr>
          <w:rFonts w:cs="Times New Roman"/>
          <w:kern w:val="2"/>
        </w:rPr>
        <w:t>　　2．因你方原因致使投标人发生本保函第一条第（一）款约定情形的，我方不承担保证责任。</w:t>
      </w:r>
    </w:p>
    <w:p w14:paraId="4432404A">
      <w:pPr>
        <w:pStyle w:val="31"/>
        <w:spacing w:line="360" w:lineRule="auto"/>
        <w:contextualSpacing/>
        <w:rPr>
          <w:rFonts w:hint="eastAsia" w:cs="Times New Roman"/>
          <w:kern w:val="2"/>
        </w:rPr>
      </w:pPr>
      <w:r>
        <w:rPr>
          <w:rFonts w:cs="Times New Roman"/>
          <w:kern w:val="2"/>
        </w:rPr>
        <w:t>　　3．因不可抗力造成投标人发生本保函第一条约定情形的，我方不承担保证责任。</w:t>
      </w:r>
    </w:p>
    <w:p w14:paraId="56D93837">
      <w:pPr>
        <w:pStyle w:val="31"/>
        <w:spacing w:line="360" w:lineRule="auto"/>
        <w:contextualSpacing/>
        <w:rPr>
          <w:rFonts w:hint="eastAsia" w:cs="Times New Roman"/>
          <w:kern w:val="2"/>
        </w:rPr>
      </w:pPr>
      <w:r>
        <w:rPr>
          <w:rFonts w:cs="Times New Roman"/>
          <w:kern w:val="2"/>
        </w:rPr>
        <w:t>　　4．你方或其他有权机关对招标文件进行任何澄清或修改，加重我方保证责任的，我方对加重部分不承担保证责任，但该澄清或修改经我方事先书面同意的除外。</w:t>
      </w:r>
    </w:p>
    <w:p w14:paraId="664E6DF2">
      <w:pPr>
        <w:pStyle w:val="31"/>
        <w:spacing w:line="360" w:lineRule="auto"/>
        <w:contextualSpacing/>
        <w:rPr>
          <w:rFonts w:hint="eastAsia" w:cs="Times New Roman"/>
          <w:kern w:val="2"/>
        </w:rPr>
      </w:pPr>
      <w:r>
        <w:rPr>
          <w:rFonts w:cs="Times New Roman"/>
          <w:kern w:val="2"/>
        </w:rPr>
        <w:t>　　六、争议的解决</w:t>
      </w:r>
    </w:p>
    <w:p w14:paraId="69DCC031">
      <w:pPr>
        <w:pStyle w:val="31"/>
        <w:spacing w:line="360" w:lineRule="auto"/>
        <w:contextualSpacing/>
        <w:rPr>
          <w:rFonts w:hint="eastAsia" w:cs="Times New Roman"/>
          <w:kern w:val="2"/>
        </w:rPr>
      </w:pPr>
      <w:r>
        <w:rPr>
          <w:rFonts w:cs="Times New Roman"/>
          <w:kern w:val="2"/>
        </w:rPr>
        <w:t>　　因本保函发生的纠纷，由你我双方协商解决，协商不成的，通过诉讼程序解决，诉讼管辖地法院为 法院。</w:t>
      </w:r>
    </w:p>
    <w:p w14:paraId="54C60B7D">
      <w:pPr>
        <w:pStyle w:val="31"/>
        <w:spacing w:line="360" w:lineRule="auto"/>
        <w:contextualSpacing/>
        <w:rPr>
          <w:rFonts w:hint="eastAsia" w:cs="Times New Roman"/>
          <w:kern w:val="2"/>
        </w:rPr>
      </w:pPr>
      <w:r>
        <w:rPr>
          <w:rFonts w:cs="Times New Roman"/>
          <w:kern w:val="2"/>
        </w:rPr>
        <w:t>　　七、保函的生效</w:t>
      </w:r>
    </w:p>
    <w:p w14:paraId="4CB3A5A2">
      <w:pPr>
        <w:pStyle w:val="31"/>
        <w:spacing w:line="360" w:lineRule="auto"/>
        <w:contextualSpacing/>
        <w:rPr>
          <w:rFonts w:hint="eastAsia" w:cs="Times New Roman"/>
          <w:kern w:val="2"/>
        </w:rPr>
      </w:pPr>
      <w:r>
        <w:rPr>
          <w:rFonts w:cs="Times New Roman"/>
          <w:kern w:val="2"/>
        </w:rPr>
        <w:t>　　本保函自我方加盖公章之日起生效。</w:t>
      </w:r>
    </w:p>
    <w:p w14:paraId="22E60EEC">
      <w:pPr>
        <w:pStyle w:val="31"/>
        <w:spacing w:line="360" w:lineRule="auto"/>
        <w:contextualSpacing/>
        <w:rPr>
          <w:rFonts w:hint="eastAsia" w:cs="Times New Roman"/>
          <w:kern w:val="2"/>
        </w:rPr>
      </w:pPr>
      <w:r>
        <w:rPr>
          <w:rFonts w:cs="Times New Roman"/>
          <w:kern w:val="2"/>
        </w:rPr>
        <w:t>　　保证人：（公章）</w:t>
      </w:r>
    </w:p>
    <w:p w14:paraId="6ED729C1">
      <w:pPr>
        <w:pStyle w:val="20"/>
        <w:spacing w:line="360" w:lineRule="auto"/>
        <w:ind w:firstLine="480" w:firstLineChars="200"/>
        <w:contextualSpacing/>
        <w:rPr>
          <w:rFonts w:hint="eastAsia" w:hAnsi="宋体" w:eastAsia="宋体"/>
          <w:sz w:val="24"/>
          <w:szCs w:val="24"/>
        </w:rPr>
      </w:pPr>
      <w:bookmarkStart w:id="137" w:name="_Toc336332428"/>
      <w:r>
        <w:rPr>
          <w:rFonts w:hAnsi="宋体" w:eastAsia="宋体"/>
          <w:sz w:val="24"/>
          <w:szCs w:val="24"/>
        </w:rPr>
        <w:t>年   月   日</w:t>
      </w:r>
      <w:bookmarkEnd w:id="137"/>
    </w:p>
    <w:p w14:paraId="4F69CFE4">
      <w:pPr>
        <w:spacing w:line="360" w:lineRule="auto"/>
        <w:jc w:val="center"/>
        <w:outlineLvl w:val="1"/>
        <w:rPr>
          <w:rFonts w:hint="eastAsia" w:ascii="宋体" w:hAnsi="宋体"/>
          <w:b/>
          <w:spacing w:val="100"/>
          <w:kern w:val="0"/>
          <w:sz w:val="40"/>
          <w:szCs w:val="40"/>
          <w:lang w:val="zh-CN"/>
        </w:rPr>
      </w:pPr>
      <w:r>
        <w:rPr>
          <w:rFonts w:ascii="宋体" w:hAnsi="宋体"/>
          <w:b/>
          <w:sz w:val="32"/>
          <w:szCs w:val="32"/>
        </w:rPr>
        <w:br w:type="page"/>
      </w:r>
      <w:bookmarkStart w:id="138" w:name="_Toc176023832"/>
      <w:r>
        <w:rPr>
          <w:rFonts w:hint="eastAsia" w:ascii="宋体" w:hAnsi="宋体"/>
          <w:b/>
          <w:spacing w:val="100"/>
          <w:kern w:val="0"/>
          <w:sz w:val="40"/>
          <w:szCs w:val="40"/>
          <w:lang w:val="zh-CN"/>
        </w:rPr>
        <w:t>符合性证明文件</w:t>
      </w:r>
      <w:bookmarkEnd w:id="138"/>
    </w:p>
    <w:p w14:paraId="2959448E">
      <w:pPr>
        <w:widowControl/>
        <w:jc w:val="left"/>
        <w:rPr>
          <w:rFonts w:hint="eastAsia" w:ascii="宋体" w:hAnsi="宋体"/>
          <w:b/>
          <w:sz w:val="32"/>
          <w:szCs w:val="32"/>
        </w:rPr>
      </w:pPr>
      <w:r>
        <w:rPr>
          <w:rFonts w:hint="eastAsia" w:ascii="宋体" w:hAnsi="宋体"/>
          <w:b/>
          <w:sz w:val="32"/>
          <w:szCs w:val="32"/>
        </w:rPr>
        <w:br w:type="page"/>
      </w:r>
    </w:p>
    <w:p w14:paraId="60A7D68C">
      <w:pPr>
        <w:pStyle w:val="2"/>
        <w:spacing w:line="360" w:lineRule="auto"/>
        <w:contextualSpacing/>
        <w:jc w:val="center"/>
        <w:rPr>
          <w:rFonts w:hint="eastAsia" w:ascii="宋体" w:hAnsi="宋体"/>
          <w:bCs/>
          <w:sz w:val="32"/>
          <w:szCs w:val="32"/>
        </w:rPr>
      </w:pPr>
      <w:bookmarkStart w:id="139" w:name="_Toc176023833"/>
      <w:r>
        <w:rPr>
          <w:rFonts w:ascii="宋体" w:hAnsi="宋体"/>
          <w:bCs/>
          <w:sz w:val="32"/>
          <w:szCs w:val="32"/>
        </w:rPr>
        <w:t>附件1 法定代表人授权委托书</w:t>
      </w:r>
      <w:bookmarkEnd w:id="115"/>
      <w:r>
        <w:rPr>
          <w:rFonts w:hint="eastAsia" w:ascii="宋体" w:hAnsi="宋体"/>
          <w:bCs/>
          <w:sz w:val="32"/>
          <w:szCs w:val="32"/>
        </w:rPr>
        <w:t>（实质性格式）</w:t>
      </w:r>
      <w:bookmarkEnd w:id="139"/>
    </w:p>
    <w:p w14:paraId="21DEA655">
      <w:pPr>
        <w:rPr>
          <w:rFonts w:hint="eastAsia" w:ascii="宋体" w:hAnsi="宋体"/>
        </w:rPr>
      </w:pPr>
    </w:p>
    <w:p w14:paraId="759FCCD0">
      <w:pPr>
        <w:spacing w:line="360" w:lineRule="auto"/>
        <w:ind w:firstLine="420"/>
        <w:rPr>
          <w:rFonts w:hint="eastAsia" w:ascii="宋体" w:hAnsi="宋体"/>
          <w:sz w:val="24"/>
          <w:u w:val="single"/>
        </w:rPr>
      </w:pPr>
      <w:r>
        <w:rPr>
          <w:rFonts w:ascii="宋体" w:hAnsi="宋体"/>
          <w:sz w:val="24"/>
        </w:rPr>
        <w:t>本授权书声明：注册于</w:t>
      </w:r>
      <w:r>
        <w:rPr>
          <w:rFonts w:ascii="宋体" w:hAnsi="宋体"/>
          <w:sz w:val="24"/>
          <w:u w:val="single"/>
        </w:rPr>
        <w:t xml:space="preserve">         </w:t>
      </w:r>
      <w:r>
        <w:rPr>
          <w:rFonts w:hint="eastAsia" w:ascii="宋体" w:hAnsi="宋体"/>
          <w:sz w:val="24"/>
        </w:rPr>
        <w:t>（地址）</w:t>
      </w:r>
      <w:r>
        <w:rPr>
          <w:rFonts w:ascii="宋体" w:hAnsi="宋体"/>
          <w:sz w:val="24"/>
        </w:rPr>
        <w:t>的</w:t>
      </w:r>
      <w:r>
        <w:rPr>
          <w:rFonts w:ascii="宋体" w:hAnsi="宋体"/>
          <w:sz w:val="24"/>
          <w:u w:val="single"/>
        </w:rPr>
        <w:t xml:space="preserve">         </w:t>
      </w:r>
      <w:r>
        <w:rPr>
          <w:rFonts w:ascii="宋体" w:hAnsi="宋体"/>
          <w:sz w:val="24"/>
        </w:rPr>
        <w:t>（投标人名称）的</w:t>
      </w:r>
      <w:r>
        <w:rPr>
          <w:rFonts w:ascii="宋体" w:hAnsi="宋体"/>
          <w:sz w:val="24"/>
          <w:u w:val="single"/>
        </w:rPr>
        <w:t xml:space="preserve">     </w:t>
      </w:r>
      <w:r>
        <w:rPr>
          <w:rFonts w:ascii="宋体" w:hAnsi="宋体"/>
          <w:sz w:val="24"/>
        </w:rPr>
        <w:t>（法定代表人姓名、职务）</w:t>
      </w:r>
      <w:r>
        <w:rPr>
          <w:rFonts w:hint="eastAsia" w:ascii="宋体" w:hAnsi="宋体"/>
          <w:sz w:val="24"/>
        </w:rPr>
        <w:t>，</w:t>
      </w:r>
      <w:r>
        <w:rPr>
          <w:rFonts w:ascii="宋体" w:hAnsi="宋体"/>
          <w:sz w:val="24"/>
        </w:rPr>
        <w:t>代表本公司授权</w:t>
      </w:r>
      <w:r>
        <w:rPr>
          <w:rFonts w:ascii="宋体" w:hAnsi="宋体"/>
          <w:sz w:val="24"/>
          <w:u w:val="single"/>
        </w:rPr>
        <w:t xml:space="preserve">       </w:t>
      </w:r>
      <w:r>
        <w:rPr>
          <w:rFonts w:ascii="宋体" w:hAnsi="宋体"/>
          <w:sz w:val="24"/>
        </w:rPr>
        <w:t>（被授权人的姓名、职务）为本公司的合法代理人，就</w:t>
      </w:r>
      <w:r>
        <w:rPr>
          <w:rFonts w:ascii="宋体" w:hAnsi="宋体"/>
          <w:sz w:val="24"/>
          <w:u w:val="single"/>
        </w:rPr>
        <w:t xml:space="preserve">         </w:t>
      </w:r>
      <w:bookmarkStart w:id="140" w:name="_Hlk176023684"/>
      <w:r>
        <w:rPr>
          <w:rFonts w:hint="eastAsia" w:ascii="宋体" w:hAnsi="宋体"/>
          <w:sz w:val="24"/>
        </w:rPr>
        <w:t>（项目名称、项目编号）</w:t>
      </w:r>
      <w:bookmarkEnd w:id="140"/>
      <w:r>
        <w:rPr>
          <w:rFonts w:ascii="宋体" w:hAnsi="宋体"/>
          <w:sz w:val="24"/>
        </w:rPr>
        <w:t>的投标及合同的执行、完成和保修，以本公司名义处理一切与之有关的事务。</w:t>
      </w:r>
    </w:p>
    <w:p w14:paraId="0E8141C6">
      <w:pPr>
        <w:spacing w:line="360" w:lineRule="auto"/>
        <w:ind w:firstLine="435"/>
        <w:rPr>
          <w:rFonts w:hint="eastAsia" w:ascii="宋体" w:hAnsi="宋体"/>
          <w:sz w:val="24"/>
        </w:rPr>
      </w:pPr>
      <w:r>
        <w:rPr>
          <w:rFonts w:ascii="宋体" w:hAnsi="宋体"/>
          <w:sz w:val="24"/>
        </w:rPr>
        <w:t>本授权书于</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日签字生效，特此声明。</w:t>
      </w:r>
    </w:p>
    <w:p w14:paraId="0FC5064D">
      <w:pPr>
        <w:spacing w:line="360" w:lineRule="auto"/>
        <w:ind w:firstLine="435"/>
        <w:rPr>
          <w:rFonts w:hint="eastAsia" w:ascii="宋体" w:hAnsi="宋体"/>
          <w:sz w:val="24"/>
        </w:rPr>
      </w:pPr>
    </w:p>
    <w:p w14:paraId="148F6263">
      <w:pPr>
        <w:spacing w:line="360" w:lineRule="auto"/>
        <w:ind w:firstLine="435"/>
        <w:rPr>
          <w:rFonts w:hint="eastAsia" w:ascii="宋体" w:hAnsi="宋体"/>
          <w:b/>
          <w:sz w:val="24"/>
        </w:rPr>
      </w:pPr>
    </w:p>
    <w:p w14:paraId="5BBE1C19">
      <w:pPr>
        <w:spacing w:line="360" w:lineRule="auto"/>
        <w:ind w:firstLine="1632" w:firstLineChars="680"/>
        <w:rPr>
          <w:rFonts w:hint="eastAsia" w:ascii="宋体" w:hAnsi="宋体"/>
          <w:sz w:val="24"/>
        </w:rPr>
      </w:pPr>
    </w:p>
    <w:p w14:paraId="2748C466">
      <w:pPr>
        <w:spacing w:line="360" w:lineRule="auto"/>
        <w:ind w:firstLine="1632" w:firstLineChars="680"/>
        <w:rPr>
          <w:rFonts w:hint="eastAsia" w:ascii="宋体" w:hAnsi="宋体"/>
          <w:sz w:val="24"/>
        </w:rPr>
      </w:pPr>
    </w:p>
    <w:p w14:paraId="2DA34450">
      <w:pPr>
        <w:spacing w:line="360" w:lineRule="auto"/>
        <w:rPr>
          <w:rFonts w:hint="eastAsia" w:ascii="宋体" w:hAnsi="宋体"/>
          <w:sz w:val="24"/>
          <w:u w:val="single"/>
        </w:rPr>
      </w:pPr>
      <w:r>
        <w:rPr>
          <w:rFonts w:ascii="宋体" w:hAnsi="宋体"/>
          <w:sz w:val="24"/>
        </w:rPr>
        <w:t>法定代表人</w:t>
      </w:r>
      <w:r>
        <w:rPr>
          <w:rFonts w:hint="eastAsia" w:ascii="宋体" w:hAnsi="宋体"/>
          <w:b/>
          <w:sz w:val="24"/>
        </w:rPr>
        <w:t>签字</w:t>
      </w:r>
      <w:bookmarkStart w:id="141" w:name="OLE_LINK64"/>
      <w:r>
        <w:rPr>
          <w:rFonts w:hint="eastAsia" w:ascii="宋体" w:hAnsi="宋体"/>
          <w:b/>
          <w:sz w:val="24"/>
        </w:rPr>
        <w:t>或签章</w:t>
      </w:r>
      <w:bookmarkEnd w:id="141"/>
      <w:r>
        <w:rPr>
          <w:rFonts w:hint="eastAsia" w:ascii="宋体" w:hAnsi="宋体"/>
          <w:b/>
          <w:sz w:val="24"/>
        </w:rPr>
        <w:t>或印鉴</w:t>
      </w:r>
      <w:r>
        <w:rPr>
          <w:rFonts w:ascii="宋体" w:hAnsi="宋体"/>
          <w:sz w:val="24"/>
        </w:rPr>
        <w:t>：</w:t>
      </w:r>
      <w:r>
        <w:rPr>
          <w:rFonts w:ascii="宋体" w:hAnsi="宋体"/>
          <w:sz w:val="24"/>
          <w:u w:val="single"/>
        </w:rPr>
        <w:t xml:space="preserve">                      </w:t>
      </w:r>
    </w:p>
    <w:p w14:paraId="6B8080EF">
      <w:pPr>
        <w:spacing w:line="360" w:lineRule="auto"/>
        <w:rPr>
          <w:rFonts w:hint="eastAsia" w:ascii="宋体" w:hAnsi="宋体"/>
          <w:sz w:val="24"/>
          <w:u w:val="single"/>
        </w:rPr>
      </w:pPr>
      <w:r>
        <w:rPr>
          <w:rFonts w:ascii="宋体" w:hAnsi="宋体"/>
          <w:sz w:val="24"/>
        </w:rPr>
        <w:t>被授权人</w:t>
      </w:r>
      <w:r>
        <w:rPr>
          <w:rFonts w:ascii="宋体" w:hAnsi="宋体"/>
          <w:b/>
          <w:sz w:val="24"/>
        </w:rPr>
        <w:t>签字</w:t>
      </w:r>
      <w:r>
        <w:rPr>
          <w:rFonts w:hint="eastAsia" w:ascii="宋体" w:hAnsi="宋体"/>
          <w:b/>
          <w:sz w:val="24"/>
        </w:rPr>
        <w:t>或签章</w:t>
      </w:r>
      <w:r>
        <w:rPr>
          <w:rFonts w:ascii="宋体" w:hAnsi="宋体"/>
          <w:sz w:val="24"/>
        </w:rPr>
        <w:t>：</w:t>
      </w:r>
      <w:r>
        <w:rPr>
          <w:rFonts w:ascii="宋体" w:hAnsi="宋体"/>
          <w:sz w:val="24"/>
          <w:u w:val="single"/>
        </w:rPr>
        <w:t xml:space="preserve">                              </w:t>
      </w:r>
    </w:p>
    <w:p w14:paraId="3BDF42CA">
      <w:pPr>
        <w:spacing w:line="360" w:lineRule="auto"/>
        <w:rPr>
          <w:rFonts w:hint="eastAsia" w:ascii="宋体" w:hAnsi="宋体"/>
          <w:sz w:val="24"/>
          <w:u w:val="single"/>
        </w:rPr>
      </w:pPr>
      <w:r>
        <w:rPr>
          <w:rFonts w:ascii="宋体" w:hAnsi="宋体"/>
          <w:sz w:val="24"/>
        </w:rPr>
        <w:t>投标人名称（</w:t>
      </w:r>
      <w:r>
        <w:rPr>
          <w:rFonts w:ascii="宋体" w:hAnsi="宋体"/>
          <w:b/>
          <w:sz w:val="24"/>
        </w:rPr>
        <w:t>加盖公章</w:t>
      </w:r>
      <w:r>
        <w:rPr>
          <w:rFonts w:ascii="宋体" w:hAnsi="宋体"/>
          <w:sz w:val="24"/>
        </w:rPr>
        <w:t>）：</w:t>
      </w:r>
      <w:r>
        <w:rPr>
          <w:rFonts w:ascii="宋体" w:hAnsi="宋体"/>
          <w:sz w:val="24"/>
          <w:u w:val="single"/>
        </w:rPr>
        <w:t xml:space="preserve">                      </w:t>
      </w:r>
    </w:p>
    <w:p w14:paraId="7F1223DC">
      <w:pPr>
        <w:rPr>
          <w:rFonts w:hint="eastAsia" w:ascii="宋体" w:hAnsi="宋体"/>
          <w:sz w:val="24"/>
        </w:rPr>
      </w:pPr>
    </w:p>
    <w:p w14:paraId="75F69F03">
      <w:pPr>
        <w:rPr>
          <w:rFonts w:hint="eastAsia" w:ascii="宋体" w:hAnsi="宋体"/>
          <w:b/>
          <w:sz w:val="24"/>
        </w:rPr>
      </w:pPr>
    </w:p>
    <w:p w14:paraId="113F2C1B">
      <w:pPr>
        <w:rPr>
          <w:rFonts w:hint="eastAsia" w:ascii="宋体" w:hAnsi="宋体"/>
          <w:b/>
          <w:sz w:val="24"/>
        </w:rPr>
      </w:pPr>
    </w:p>
    <w:p w14:paraId="3F8BBE95">
      <w:pPr>
        <w:rPr>
          <w:rFonts w:hint="eastAsia" w:ascii="宋体" w:hAnsi="宋体"/>
          <w:b/>
          <w:sz w:val="24"/>
        </w:rPr>
      </w:pPr>
    </w:p>
    <w:p w14:paraId="6F1B2B80">
      <w:pPr>
        <w:rPr>
          <w:rFonts w:hint="eastAsia" w:ascii="宋体" w:hAnsi="宋体"/>
          <w:b/>
          <w:sz w:val="32"/>
          <w:szCs w:val="32"/>
        </w:rPr>
      </w:pPr>
      <w:r>
        <w:rPr>
          <w:rFonts w:ascii="宋体" w:hAnsi="宋体"/>
          <w:b/>
          <w:sz w:val="24"/>
        </w:rPr>
        <w:t>（须附法定代表人和授权代表的身份证复印件）</w:t>
      </w:r>
    </w:p>
    <w:p w14:paraId="0060B162">
      <w:pPr>
        <w:tabs>
          <w:tab w:val="left" w:pos="5580"/>
        </w:tabs>
        <w:spacing w:line="360" w:lineRule="auto"/>
        <w:jc w:val="left"/>
        <w:rPr>
          <w:rFonts w:hint="eastAsia" w:ascii="宋体" w:hAnsi="宋体"/>
          <w:sz w:val="24"/>
          <w:szCs w:val="24"/>
        </w:rPr>
      </w:pPr>
    </w:p>
    <w:p w14:paraId="1881B506">
      <w:pPr>
        <w:tabs>
          <w:tab w:val="left" w:pos="5580"/>
        </w:tabs>
        <w:spacing w:line="360" w:lineRule="auto"/>
        <w:jc w:val="left"/>
        <w:rPr>
          <w:rFonts w:hint="eastAsia" w:ascii="宋体" w:hAnsi="宋体"/>
          <w:sz w:val="24"/>
          <w:szCs w:val="24"/>
        </w:rPr>
      </w:pPr>
      <w:r>
        <w:rPr>
          <w:rFonts w:hint="eastAsia" w:ascii="宋体" w:hAnsi="宋体"/>
          <w:sz w:val="24"/>
          <w:szCs w:val="24"/>
        </w:rPr>
        <w:t>说明：</w:t>
      </w:r>
      <w:r>
        <w:rPr>
          <w:rFonts w:ascii="宋体" w:hAnsi="宋体"/>
          <w:sz w:val="24"/>
          <w:szCs w:val="24"/>
        </w:rPr>
        <w:t xml:space="preserve"> </w:t>
      </w:r>
    </w:p>
    <w:p w14:paraId="430A7867">
      <w:pPr>
        <w:tabs>
          <w:tab w:val="left" w:pos="5580"/>
        </w:tabs>
        <w:spacing w:line="360" w:lineRule="auto"/>
        <w:jc w:val="left"/>
        <w:rPr>
          <w:rFonts w:hint="eastAsia" w:ascii="宋体" w:hAnsi="宋体"/>
          <w:sz w:val="24"/>
          <w:szCs w:val="24"/>
        </w:rPr>
      </w:pPr>
      <w:r>
        <w:rPr>
          <w:rFonts w:ascii="宋体" w:hAnsi="宋体"/>
          <w:sz w:val="24"/>
          <w:szCs w:val="24"/>
        </w:rPr>
        <w:t>1.若</w:t>
      </w:r>
      <w:r>
        <w:rPr>
          <w:rFonts w:hint="eastAsia" w:ascii="宋体" w:hAnsi="宋体"/>
          <w:sz w:val="24"/>
          <w:szCs w:val="24"/>
        </w:rPr>
        <w:t>投标人</w:t>
      </w:r>
      <w:r>
        <w:rPr>
          <w:rFonts w:ascii="宋体" w:hAnsi="宋体"/>
          <w:sz w:val="24"/>
          <w:szCs w:val="24"/>
        </w:rPr>
        <w:t>为事业单位或其他组织或分支机构（仅当</w:t>
      </w:r>
      <w:r>
        <w:rPr>
          <w:rFonts w:hint="eastAsia" w:ascii="宋体" w:hAnsi="宋体"/>
          <w:sz w:val="24"/>
          <w:szCs w:val="24"/>
        </w:rPr>
        <w:t>招标</w:t>
      </w:r>
      <w:r>
        <w:rPr>
          <w:rFonts w:ascii="宋体" w:hAnsi="宋体"/>
          <w:sz w:val="24"/>
          <w:szCs w:val="24"/>
        </w:rPr>
        <w:t>文件注明允许分支机构</w:t>
      </w:r>
      <w:r>
        <w:rPr>
          <w:rFonts w:hint="eastAsia" w:ascii="宋体" w:hAnsi="宋体"/>
          <w:sz w:val="24"/>
          <w:szCs w:val="24"/>
        </w:rPr>
        <w:t>投标</w:t>
      </w:r>
      <w:r>
        <w:rPr>
          <w:rFonts w:ascii="宋体" w:hAnsi="宋体"/>
          <w:sz w:val="24"/>
          <w:szCs w:val="24"/>
        </w:rPr>
        <w:t>的），则法定代表人（单位负责人）</w:t>
      </w:r>
      <w:r>
        <w:rPr>
          <w:rFonts w:hint="eastAsia" w:ascii="宋体" w:hAnsi="宋体"/>
          <w:sz w:val="24"/>
          <w:szCs w:val="24"/>
        </w:rPr>
        <w:t>处</w:t>
      </w:r>
      <w:r>
        <w:rPr>
          <w:rFonts w:ascii="宋体" w:hAnsi="宋体"/>
          <w:sz w:val="24"/>
          <w:szCs w:val="24"/>
        </w:rPr>
        <w:t>的签署人可为单位负责人</w:t>
      </w:r>
      <w:r>
        <w:rPr>
          <w:rFonts w:hint="eastAsia" w:ascii="宋体" w:hAnsi="宋体"/>
          <w:sz w:val="24"/>
          <w:szCs w:val="24"/>
        </w:rPr>
        <w:t>。</w:t>
      </w:r>
    </w:p>
    <w:p w14:paraId="03B9EBBB">
      <w:pPr>
        <w:tabs>
          <w:tab w:val="left" w:pos="5580"/>
        </w:tabs>
        <w:spacing w:line="360" w:lineRule="auto"/>
        <w:jc w:val="left"/>
        <w:rPr>
          <w:rFonts w:hint="eastAsia" w:ascii="宋体" w:hAnsi="宋体"/>
          <w:sz w:val="24"/>
          <w:szCs w:val="24"/>
        </w:rPr>
      </w:pPr>
      <w:r>
        <w:rPr>
          <w:rFonts w:hint="eastAsia" w:ascii="宋体" w:hAnsi="宋体"/>
          <w:sz w:val="24"/>
          <w:szCs w:val="24"/>
        </w:rPr>
        <w:t>2.</w:t>
      </w:r>
      <w:r>
        <w:rPr>
          <w:rFonts w:ascii="宋体" w:hAnsi="宋体"/>
          <w:sz w:val="24"/>
          <w:szCs w:val="24"/>
        </w:rPr>
        <w:t>若</w:t>
      </w:r>
      <w:r>
        <w:rPr>
          <w:rFonts w:hint="eastAsia" w:ascii="宋体" w:hAnsi="宋体"/>
          <w:sz w:val="24"/>
          <w:szCs w:val="24"/>
        </w:rPr>
        <w:t>投标</w:t>
      </w:r>
      <w:r>
        <w:rPr>
          <w:rFonts w:ascii="宋体" w:hAnsi="宋体"/>
          <w:sz w:val="24"/>
          <w:szCs w:val="24"/>
        </w:rPr>
        <w:t>文件中签字之处均为法定代表人（单位负责人）本人签署，则可不提供本《</w:t>
      </w:r>
      <w:r>
        <w:rPr>
          <w:rFonts w:hint="eastAsia" w:ascii="宋体" w:hAnsi="宋体"/>
          <w:sz w:val="24"/>
          <w:szCs w:val="24"/>
        </w:rPr>
        <w:t>法定代表人授权书</w:t>
      </w:r>
      <w:r>
        <w:rPr>
          <w:rFonts w:ascii="宋体" w:hAnsi="宋体"/>
          <w:sz w:val="24"/>
          <w:szCs w:val="24"/>
        </w:rPr>
        <w:t>》，但须提供</w:t>
      </w:r>
      <w:r>
        <w:rPr>
          <w:rFonts w:hint="eastAsia" w:ascii="宋体" w:hAnsi="宋体"/>
          <w:sz w:val="24"/>
          <w:szCs w:val="24"/>
        </w:rPr>
        <w:t>《</w:t>
      </w:r>
      <w:r>
        <w:rPr>
          <w:rFonts w:ascii="宋体" w:hAnsi="宋体"/>
          <w:sz w:val="24"/>
          <w:szCs w:val="24"/>
        </w:rPr>
        <w:t>法定代表人（单位负责人）身份证</w:t>
      </w:r>
      <w:r>
        <w:rPr>
          <w:rFonts w:hint="eastAsia" w:ascii="宋体" w:hAnsi="宋体"/>
          <w:sz w:val="24"/>
          <w:szCs w:val="24"/>
        </w:rPr>
        <w:t>明》</w:t>
      </w:r>
      <w:r>
        <w:rPr>
          <w:rFonts w:ascii="宋体" w:hAnsi="宋体"/>
          <w:sz w:val="24"/>
          <w:szCs w:val="24"/>
        </w:rPr>
        <w:t>（实质性格式）。</w:t>
      </w:r>
    </w:p>
    <w:p w14:paraId="0E952899">
      <w:pPr>
        <w:tabs>
          <w:tab w:val="left" w:pos="5580"/>
        </w:tabs>
        <w:spacing w:line="360" w:lineRule="auto"/>
        <w:jc w:val="left"/>
        <w:rPr>
          <w:rFonts w:hint="eastAsia" w:ascii="宋体" w:hAnsi="宋体"/>
          <w:sz w:val="30"/>
          <w:szCs w:val="30"/>
        </w:rPr>
      </w:pPr>
      <w:r>
        <w:rPr>
          <w:rFonts w:ascii="宋体" w:hAnsi="宋体"/>
          <w:b/>
          <w:bCs/>
          <w:sz w:val="32"/>
          <w:szCs w:val="32"/>
        </w:rPr>
        <w:br w:type="page"/>
      </w:r>
    </w:p>
    <w:p w14:paraId="0B4329E3">
      <w:pPr>
        <w:pStyle w:val="2"/>
        <w:spacing w:line="360" w:lineRule="auto"/>
        <w:contextualSpacing/>
        <w:rPr>
          <w:rFonts w:hint="eastAsia" w:ascii="宋体" w:hAnsi="宋体"/>
          <w:bCs/>
          <w:sz w:val="32"/>
          <w:szCs w:val="32"/>
        </w:rPr>
      </w:pPr>
      <w:r>
        <w:rPr>
          <w:rFonts w:hint="eastAsia" w:ascii="宋体" w:hAnsi="宋体"/>
          <w:sz w:val="32"/>
          <w:szCs w:val="32"/>
        </w:rPr>
        <w:t>附：</w:t>
      </w:r>
      <w:r>
        <w:rPr>
          <w:rFonts w:ascii="宋体" w:hAnsi="宋体"/>
          <w:sz w:val="32"/>
          <w:szCs w:val="32"/>
        </w:rPr>
        <w:t>法定代表人（单位负责人）身份证明</w:t>
      </w:r>
      <w:r>
        <w:rPr>
          <w:rFonts w:hint="eastAsia" w:ascii="宋体" w:hAnsi="宋体"/>
          <w:bCs/>
          <w:sz w:val="32"/>
          <w:szCs w:val="32"/>
        </w:rPr>
        <w:t>（实质性格式）</w:t>
      </w:r>
    </w:p>
    <w:p w14:paraId="2AAA94B3">
      <w:pPr>
        <w:kinsoku w:val="0"/>
        <w:overflowPunct w:val="0"/>
        <w:spacing w:line="200" w:lineRule="exact"/>
        <w:rPr>
          <w:rFonts w:hint="eastAsia" w:ascii="宋体" w:hAnsi="宋体"/>
          <w:sz w:val="32"/>
          <w:szCs w:val="32"/>
        </w:rPr>
      </w:pPr>
    </w:p>
    <w:p w14:paraId="6D176972">
      <w:pPr>
        <w:tabs>
          <w:tab w:val="left" w:pos="5580"/>
        </w:tabs>
        <w:spacing w:line="360" w:lineRule="auto"/>
        <w:rPr>
          <w:rFonts w:hint="eastAsia" w:ascii="宋体" w:hAnsi="宋体"/>
          <w:sz w:val="24"/>
        </w:rPr>
      </w:pPr>
    </w:p>
    <w:p w14:paraId="36353320">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w:t>
      </w:r>
      <w:r>
        <w:rPr>
          <w:rFonts w:hint="eastAsia" w:ascii="宋体" w:hAnsi="宋体"/>
          <w:sz w:val="24"/>
          <w:u w:val="single"/>
        </w:rPr>
        <w:t>中信国际招标有限公司</w:t>
      </w:r>
      <w:r>
        <w:rPr>
          <w:rFonts w:ascii="宋体" w:hAnsi="宋体"/>
          <w:sz w:val="24"/>
          <w:u w:val="single"/>
        </w:rPr>
        <w:t>）</w:t>
      </w:r>
    </w:p>
    <w:p w14:paraId="31F71E14">
      <w:pPr>
        <w:pStyle w:val="16"/>
        <w:tabs>
          <w:tab w:val="left" w:pos="567"/>
          <w:tab w:val="left" w:pos="2412"/>
          <w:tab w:val="left" w:pos="3883"/>
          <w:tab w:val="left" w:pos="5352"/>
          <w:tab w:val="left" w:pos="6821"/>
        </w:tabs>
        <w:kinsoku w:val="0"/>
        <w:overflowPunct w:val="0"/>
        <w:spacing w:line="335" w:lineRule="exact"/>
        <w:ind w:firstLine="480" w:firstLineChars="200"/>
        <w:rPr>
          <w:rFonts w:hint="eastAsia" w:ascii="宋体" w:hAnsi="宋体"/>
        </w:rPr>
      </w:pPr>
      <w:r>
        <w:rPr>
          <w:rFonts w:hint="eastAsia" w:ascii="宋体" w:hAnsi="宋体"/>
        </w:rPr>
        <w:t>兹证明，</w:t>
      </w:r>
    </w:p>
    <w:p w14:paraId="7049BBBB">
      <w:pPr>
        <w:pStyle w:val="16"/>
        <w:tabs>
          <w:tab w:val="left" w:pos="567"/>
          <w:tab w:val="left" w:pos="1690"/>
          <w:tab w:val="left" w:pos="3400"/>
          <w:tab w:val="left" w:pos="5110"/>
          <w:tab w:val="left" w:pos="6821"/>
        </w:tabs>
        <w:kinsoku w:val="0"/>
        <w:overflowPunct w:val="0"/>
        <w:spacing w:line="335" w:lineRule="exact"/>
        <w:rPr>
          <w:rFonts w:hint="eastAsia" w:ascii="宋体" w:hAnsi="宋体"/>
        </w:rPr>
      </w:pPr>
      <w:r>
        <w:rPr>
          <w:rFonts w:ascii="宋体" w:hAnsi="宋体"/>
        </w:rPr>
        <w:t>姓名</w:t>
      </w:r>
      <w:r>
        <w:rPr>
          <w:rFonts w:hint="eastAsia" w:ascii="宋体" w:hAnsi="宋体"/>
        </w:rPr>
        <w:t>：</w:t>
      </w:r>
      <w:r>
        <w:rPr>
          <w:rFonts w:ascii="宋体" w:hAnsi="宋体"/>
        </w:rPr>
        <w:t>____性别：____年龄：____职务：____</w:t>
      </w:r>
    </w:p>
    <w:p w14:paraId="57B3E64D">
      <w:pPr>
        <w:pStyle w:val="16"/>
        <w:tabs>
          <w:tab w:val="left" w:pos="567"/>
          <w:tab w:val="left" w:pos="2412"/>
          <w:tab w:val="left" w:pos="3883"/>
          <w:tab w:val="left" w:pos="5352"/>
          <w:tab w:val="left" w:pos="6821"/>
        </w:tabs>
        <w:kinsoku w:val="0"/>
        <w:overflowPunct w:val="0"/>
        <w:spacing w:line="335" w:lineRule="exact"/>
        <w:rPr>
          <w:rFonts w:hint="eastAsia" w:ascii="宋体" w:hAnsi="宋体"/>
        </w:rPr>
      </w:pPr>
    </w:p>
    <w:p w14:paraId="2B96EB12">
      <w:pPr>
        <w:pStyle w:val="16"/>
        <w:tabs>
          <w:tab w:val="left" w:pos="2250"/>
          <w:tab w:val="left" w:pos="2412"/>
          <w:tab w:val="left" w:pos="3883"/>
          <w:tab w:val="left" w:pos="5352"/>
          <w:tab w:val="left" w:pos="6821"/>
        </w:tabs>
        <w:kinsoku w:val="0"/>
        <w:overflowPunct w:val="0"/>
        <w:spacing w:line="335" w:lineRule="exact"/>
        <w:rPr>
          <w:rFonts w:hint="eastAsia" w:ascii="宋体" w:hAnsi="宋体"/>
        </w:rPr>
      </w:pPr>
      <w:r>
        <w:rPr>
          <w:rFonts w:ascii="宋体" w:hAnsi="宋体"/>
        </w:rPr>
        <w:t>系</w:t>
      </w:r>
      <w:r>
        <w:rPr>
          <w:rFonts w:ascii="宋体" w:hAnsi="宋体"/>
          <w:u w:val="single"/>
        </w:rPr>
        <w:tab/>
      </w:r>
      <w:r>
        <w:rPr>
          <w:rFonts w:ascii="宋体" w:hAnsi="宋体"/>
        </w:rPr>
        <w:t>（</w:t>
      </w:r>
      <w:r>
        <w:rPr>
          <w:rFonts w:hint="eastAsia" w:ascii="宋体" w:hAnsi="宋体"/>
        </w:rPr>
        <w:t>投标人</w:t>
      </w:r>
      <w:r>
        <w:rPr>
          <w:rFonts w:ascii="宋体" w:hAnsi="宋体"/>
        </w:rPr>
        <w:t>名称）的法定代表人（单位负责人）。</w:t>
      </w:r>
    </w:p>
    <w:p w14:paraId="57C4D5DF">
      <w:pPr>
        <w:pStyle w:val="16"/>
        <w:tabs>
          <w:tab w:val="left" w:pos="567"/>
          <w:tab w:val="left" w:pos="2412"/>
          <w:tab w:val="left" w:pos="3883"/>
          <w:tab w:val="left" w:pos="5352"/>
          <w:tab w:val="left" w:pos="6821"/>
        </w:tabs>
        <w:kinsoku w:val="0"/>
        <w:overflowPunct w:val="0"/>
        <w:spacing w:line="335" w:lineRule="exact"/>
        <w:rPr>
          <w:rFonts w:hint="eastAsia" w:ascii="宋体" w:hAnsi="宋体"/>
        </w:rPr>
      </w:pPr>
    </w:p>
    <w:p w14:paraId="354DBF07">
      <w:pPr>
        <w:pStyle w:val="16"/>
        <w:tabs>
          <w:tab w:val="left" w:pos="567"/>
          <w:tab w:val="left" w:pos="2412"/>
          <w:tab w:val="left" w:pos="3883"/>
          <w:tab w:val="left" w:pos="5352"/>
          <w:tab w:val="left" w:pos="6821"/>
        </w:tabs>
        <w:kinsoku w:val="0"/>
        <w:overflowPunct w:val="0"/>
        <w:spacing w:line="335" w:lineRule="exact"/>
        <w:rPr>
          <w:rFonts w:hint="eastAsia" w:ascii="宋体" w:hAnsi="宋体"/>
        </w:rPr>
      </w:pPr>
    </w:p>
    <w:p w14:paraId="02A6426B">
      <w:pPr>
        <w:pStyle w:val="16"/>
        <w:tabs>
          <w:tab w:val="left" w:pos="567"/>
          <w:tab w:val="left" w:pos="2412"/>
          <w:tab w:val="left" w:pos="3883"/>
          <w:tab w:val="left" w:pos="5352"/>
          <w:tab w:val="left" w:pos="6821"/>
        </w:tabs>
        <w:kinsoku w:val="0"/>
        <w:overflowPunct w:val="0"/>
        <w:spacing w:line="335" w:lineRule="exact"/>
        <w:rPr>
          <w:rFonts w:hint="eastAsia" w:ascii="宋体" w:hAnsi="宋体"/>
        </w:rPr>
      </w:pPr>
    </w:p>
    <w:p w14:paraId="3F4EB24D">
      <w:pPr>
        <w:pStyle w:val="16"/>
        <w:tabs>
          <w:tab w:val="left" w:pos="567"/>
        </w:tabs>
        <w:kinsoku w:val="0"/>
        <w:overflowPunct w:val="0"/>
        <w:spacing w:line="583" w:lineRule="auto"/>
        <w:ind w:right="-46"/>
        <w:rPr>
          <w:rFonts w:hint="eastAsia" w:ascii="宋体" w:hAnsi="宋体"/>
          <w:spacing w:val="-3"/>
        </w:rPr>
      </w:pPr>
      <w:r>
        <w:rPr>
          <w:rFonts w:ascii="宋体" w:hAnsi="宋体"/>
        </w:rPr>
        <w:t>附：</w:t>
      </w:r>
      <w:r>
        <w:rPr>
          <w:rFonts w:ascii="宋体" w:hAnsi="宋体"/>
          <w:spacing w:val="-3"/>
        </w:rPr>
        <w:t>法</w:t>
      </w:r>
      <w:r>
        <w:rPr>
          <w:rFonts w:ascii="宋体" w:hAnsi="宋体"/>
        </w:rPr>
        <w:t>定</w:t>
      </w:r>
      <w:r>
        <w:rPr>
          <w:rFonts w:ascii="宋体" w:hAnsi="宋体"/>
          <w:spacing w:val="-3"/>
        </w:rPr>
        <w:t>代</w:t>
      </w:r>
      <w:r>
        <w:rPr>
          <w:rFonts w:ascii="宋体" w:hAnsi="宋体"/>
        </w:rPr>
        <w:t>表</w:t>
      </w:r>
      <w:r>
        <w:rPr>
          <w:rFonts w:ascii="宋体" w:hAnsi="宋体"/>
          <w:spacing w:val="-3"/>
        </w:rPr>
        <w:t>人</w:t>
      </w:r>
      <w:r>
        <w:rPr>
          <w:rFonts w:ascii="宋体" w:hAnsi="宋体"/>
        </w:rPr>
        <w:t>（</w:t>
      </w:r>
      <w:r>
        <w:rPr>
          <w:rFonts w:ascii="宋体" w:hAnsi="宋体"/>
          <w:spacing w:val="-3"/>
        </w:rPr>
        <w:t>单</w:t>
      </w:r>
      <w:r>
        <w:rPr>
          <w:rFonts w:ascii="宋体" w:hAnsi="宋体"/>
        </w:rPr>
        <w:t>位</w:t>
      </w:r>
      <w:r>
        <w:rPr>
          <w:rFonts w:ascii="宋体" w:hAnsi="宋体"/>
          <w:spacing w:val="-3"/>
        </w:rPr>
        <w:t>负</w:t>
      </w:r>
      <w:r>
        <w:rPr>
          <w:rFonts w:ascii="宋体" w:hAnsi="宋体"/>
        </w:rPr>
        <w:t>责人</w:t>
      </w:r>
      <w:r>
        <w:rPr>
          <w:rFonts w:ascii="宋体" w:hAnsi="宋体"/>
          <w:spacing w:val="-3"/>
        </w:rPr>
        <w:t>）有效期内的身</w:t>
      </w:r>
      <w:r>
        <w:rPr>
          <w:rFonts w:hint="eastAsia" w:ascii="宋体" w:hAnsi="宋体"/>
          <w:spacing w:val="-3"/>
        </w:rPr>
        <w:t>份</w:t>
      </w:r>
      <w:r>
        <w:rPr>
          <w:rFonts w:ascii="宋体" w:hAnsi="宋体"/>
          <w:spacing w:val="-3"/>
        </w:rPr>
        <w:t>证正反面</w:t>
      </w:r>
      <w:r>
        <w:rPr>
          <w:rFonts w:hint="eastAsia" w:ascii="宋体" w:hAnsi="宋体"/>
          <w:spacing w:val="-3"/>
        </w:rPr>
        <w:t>电子</w:t>
      </w:r>
      <w:r>
        <w:rPr>
          <w:rFonts w:ascii="宋体" w:hAnsi="宋体"/>
          <w:spacing w:val="-3"/>
        </w:rPr>
        <w:t>件</w:t>
      </w:r>
      <w:r>
        <w:rPr>
          <w:rFonts w:hint="eastAsia" w:ascii="宋体" w:hAnsi="宋体"/>
          <w:spacing w:val="-3"/>
        </w:rPr>
        <w:t>。</w:t>
      </w:r>
    </w:p>
    <w:tbl>
      <w:tblPr>
        <w:tblStyle w:val="3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407E5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491B0CFD">
            <w:pPr>
              <w:tabs>
                <w:tab w:val="left" w:pos="5580"/>
              </w:tabs>
              <w:spacing w:line="360" w:lineRule="auto"/>
              <w:jc w:val="left"/>
              <w:rPr>
                <w:rFonts w:hint="eastAsia" w:ascii="宋体" w:hAnsi="宋体"/>
                <w:sz w:val="24"/>
              </w:rPr>
            </w:pPr>
          </w:p>
          <w:p w14:paraId="2DCE2EA9">
            <w:pPr>
              <w:tabs>
                <w:tab w:val="left" w:pos="5580"/>
              </w:tabs>
              <w:spacing w:line="360" w:lineRule="auto"/>
              <w:jc w:val="left"/>
              <w:rPr>
                <w:rFonts w:hint="eastAsia" w:ascii="宋体" w:hAnsi="宋体"/>
                <w:sz w:val="24"/>
              </w:rPr>
            </w:pPr>
          </w:p>
          <w:p w14:paraId="59E0E0AF">
            <w:pPr>
              <w:tabs>
                <w:tab w:val="left" w:pos="5580"/>
              </w:tabs>
              <w:spacing w:line="360" w:lineRule="auto"/>
              <w:jc w:val="left"/>
              <w:rPr>
                <w:rFonts w:hint="eastAsia" w:ascii="宋体" w:hAnsi="宋体"/>
                <w:sz w:val="24"/>
              </w:rPr>
            </w:pPr>
          </w:p>
        </w:tc>
        <w:tc>
          <w:tcPr>
            <w:tcW w:w="4536" w:type="dxa"/>
          </w:tcPr>
          <w:p w14:paraId="23188ADE">
            <w:pPr>
              <w:tabs>
                <w:tab w:val="left" w:pos="5580"/>
              </w:tabs>
              <w:spacing w:line="360" w:lineRule="auto"/>
              <w:jc w:val="left"/>
              <w:rPr>
                <w:rFonts w:hint="eastAsia" w:ascii="宋体" w:hAnsi="宋体"/>
                <w:sz w:val="24"/>
              </w:rPr>
            </w:pPr>
          </w:p>
          <w:p w14:paraId="7F9432B2">
            <w:pPr>
              <w:tabs>
                <w:tab w:val="left" w:pos="5580"/>
              </w:tabs>
              <w:spacing w:line="360" w:lineRule="auto"/>
              <w:jc w:val="left"/>
              <w:rPr>
                <w:rFonts w:hint="eastAsia" w:ascii="宋体" w:hAnsi="宋体"/>
                <w:sz w:val="24"/>
              </w:rPr>
            </w:pPr>
          </w:p>
          <w:p w14:paraId="7369E4E0">
            <w:pPr>
              <w:tabs>
                <w:tab w:val="left" w:pos="5580"/>
              </w:tabs>
              <w:spacing w:line="360" w:lineRule="auto"/>
              <w:jc w:val="left"/>
              <w:rPr>
                <w:rFonts w:hint="eastAsia" w:ascii="宋体" w:hAnsi="宋体"/>
                <w:sz w:val="24"/>
              </w:rPr>
            </w:pPr>
          </w:p>
        </w:tc>
      </w:tr>
    </w:tbl>
    <w:p w14:paraId="4AA7408C">
      <w:pPr>
        <w:pStyle w:val="16"/>
        <w:tabs>
          <w:tab w:val="left" w:pos="567"/>
        </w:tabs>
        <w:kinsoku w:val="0"/>
        <w:overflowPunct w:val="0"/>
        <w:spacing w:line="583" w:lineRule="auto"/>
        <w:ind w:right="4305"/>
        <w:rPr>
          <w:rFonts w:hint="eastAsia" w:ascii="宋体" w:hAnsi="宋体"/>
          <w:spacing w:val="-3"/>
        </w:rPr>
      </w:pPr>
    </w:p>
    <w:p w14:paraId="0D642782">
      <w:pPr>
        <w:pStyle w:val="16"/>
        <w:tabs>
          <w:tab w:val="left" w:pos="567"/>
        </w:tabs>
        <w:kinsoku w:val="0"/>
        <w:overflowPunct w:val="0"/>
        <w:spacing w:line="583" w:lineRule="auto"/>
        <w:ind w:right="4305"/>
        <w:rPr>
          <w:rFonts w:hint="eastAsia" w:ascii="宋体" w:hAnsi="宋体"/>
          <w:spacing w:val="-3"/>
        </w:rPr>
      </w:pPr>
    </w:p>
    <w:p w14:paraId="564C683D">
      <w:pPr>
        <w:autoSpaceDE w:val="0"/>
        <w:autoSpaceDN w:val="0"/>
        <w:adjustRightInd w:val="0"/>
        <w:snapToGrid w:val="0"/>
        <w:spacing w:line="360" w:lineRule="auto"/>
        <w:rPr>
          <w:rFonts w:hint="eastAsia"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4C47C6F9">
      <w:pPr>
        <w:pStyle w:val="16"/>
        <w:tabs>
          <w:tab w:val="left" w:pos="567"/>
        </w:tabs>
        <w:kinsoku w:val="0"/>
        <w:overflowPunct w:val="0"/>
        <w:spacing w:line="583" w:lineRule="auto"/>
        <w:ind w:right="95"/>
        <w:rPr>
          <w:rFonts w:hint="eastAsia" w:ascii="宋体" w:hAnsi="宋体"/>
          <w:spacing w:val="-3"/>
        </w:rPr>
      </w:pPr>
      <w:r>
        <w:rPr>
          <w:rFonts w:hint="eastAsia" w:ascii="宋体" w:hAnsi="宋体"/>
          <w:spacing w:val="-3"/>
        </w:rPr>
        <w:t>法定代表人（</w:t>
      </w:r>
      <w:r>
        <w:rPr>
          <w:rFonts w:ascii="宋体" w:hAnsi="宋体"/>
        </w:rPr>
        <w:t>单位负责人</w:t>
      </w:r>
      <w:r>
        <w:rPr>
          <w:rFonts w:hint="eastAsia" w:ascii="宋体" w:hAnsi="宋体"/>
          <w:spacing w:val="-3"/>
        </w:rPr>
        <w:t>）（签字或签章或印鉴）：_</w:t>
      </w:r>
      <w:r>
        <w:rPr>
          <w:rFonts w:ascii="宋体" w:hAnsi="宋体"/>
          <w:spacing w:val="-3"/>
        </w:rPr>
        <w:t>______</w:t>
      </w:r>
    </w:p>
    <w:p w14:paraId="78A91DFD">
      <w:pPr>
        <w:autoSpaceDE w:val="0"/>
        <w:autoSpaceDN w:val="0"/>
        <w:adjustRightInd w:val="0"/>
        <w:snapToGrid w:val="0"/>
        <w:spacing w:line="360" w:lineRule="auto"/>
        <w:rPr>
          <w:rFonts w:hint="eastAsia" w:ascii="宋体" w:hAnsi="宋体"/>
          <w:sz w:val="24"/>
        </w:rPr>
      </w:pPr>
    </w:p>
    <w:p w14:paraId="0AF06375">
      <w:pPr>
        <w:autoSpaceDE w:val="0"/>
        <w:autoSpaceDN w:val="0"/>
        <w:adjustRightInd w:val="0"/>
        <w:snapToGrid w:val="0"/>
        <w:spacing w:line="360" w:lineRule="auto"/>
        <w:rPr>
          <w:rFonts w:hint="eastAsia" w:ascii="宋体" w:hAnsi="宋体"/>
          <w:sz w:val="24"/>
          <w:lang w:val="zh-CN"/>
        </w:rPr>
      </w:pPr>
      <w:r>
        <w:rPr>
          <w:rFonts w:ascii="宋体" w:hAnsi="宋体"/>
          <w:sz w:val="24"/>
        </w:rPr>
        <w:t>日期：_____年______月______日</w:t>
      </w:r>
    </w:p>
    <w:p w14:paraId="43242C63">
      <w:pPr>
        <w:rPr>
          <w:rFonts w:hint="eastAsia" w:ascii="宋体" w:hAnsi="宋体"/>
          <w:b/>
          <w:sz w:val="32"/>
          <w:szCs w:val="32"/>
        </w:rPr>
      </w:pPr>
    </w:p>
    <w:p w14:paraId="5DC7A43C">
      <w:pPr>
        <w:spacing w:line="360" w:lineRule="auto"/>
        <w:jc w:val="center"/>
        <w:outlineLvl w:val="1"/>
        <w:rPr>
          <w:rFonts w:hint="eastAsia" w:ascii="宋体" w:hAnsi="宋体"/>
          <w:bCs/>
          <w:sz w:val="32"/>
          <w:szCs w:val="32"/>
        </w:rPr>
      </w:pPr>
      <w:r>
        <w:rPr>
          <w:rFonts w:ascii="宋体" w:hAnsi="宋体"/>
          <w:b/>
          <w:bCs/>
          <w:sz w:val="32"/>
          <w:szCs w:val="32"/>
        </w:rPr>
        <w:br w:type="page"/>
      </w:r>
    </w:p>
    <w:p w14:paraId="4EF47C92">
      <w:pPr>
        <w:pStyle w:val="2"/>
        <w:spacing w:line="360" w:lineRule="auto"/>
        <w:contextualSpacing/>
        <w:jc w:val="center"/>
        <w:rPr>
          <w:rFonts w:hint="eastAsia" w:ascii="宋体" w:hAnsi="宋体"/>
          <w:bCs/>
          <w:sz w:val="32"/>
          <w:szCs w:val="32"/>
        </w:rPr>
      </w:pPr>
      <w:bookmarkStart w:id="142" w:name="_Toc176023834"/>
      <w:r>
        <w:rPr>
          <w:rFonts w:ascii="宋体" w:hAnsi="宋体"/>
          <w:bCs/>
          <w:sz w:val="32"/>
          <w:szCs w:val="32"/>
        </w:rPr>
        <w:t>附件2 投标函</w:t>
      </w:r>
      <w:bookmarkEnd w:id="114"/>
      <w:bookmarkEnd w:id="116"/>
      <w:r>
        <w:rPr>
          <w:rFonts w:hint="eastAsia" w:ascii="宋体" w:hAnsi="宋体"/>
          <w:bCs/>
          <w:sz w:val="32"/>
          <w:szCs w:val="32"/>
        </w:rPr>
        <w:t>（实质性格式）</w:t>
      </w:r>
      <w:bookmarkEnd w:id="142"/>
    </w:p>
    <w:p w14:paraId="145BC0A9">
      <w:pPr>
        <w:autoSpaceDE w:val="0"/>
        <w:autoSpaceDN w:val="0"/>
        <w:adjustRightInd w:val="0"/>
        <w:spacing w:line="420" w:lineRule="exact"/>
        <w:jc w:val="left"/>
        <w:rPr>
          <w:rFonts w:cs="SSJ-PK74820000023-Identity-H"/>
          <w:kern w:val="0"/>
          <w:sz w:val="24"/>
          <w:szCs w:val="24"/>
        </w:rPr>
      </w:pPr>
      <w:r>
        <w:rPr>
          <w:rFonts w:hint="eastAsia" w:cs="SSJ-PK74820000023-Identity-H"/>
          <w:kern w:val="0"/>
          <w:sz w:val="24"/>
          <w:szCs w:val="24"/>
        </w:rPr>
        <w:t>致_________________（采购人或采购代理机构）：</w:t>
      </w:r>
    </w:p>
    <w:p w14:paraId="1EFAE226">
      <w:pPr>
        <w:autoSpaceDE w:val="0"/>
        <w:autoSpaceDN w:val="0"/>
        <w:adjustRightInd w:val="0"/>
        <w:spacing w:line="420" w:lineRule="exact"/>
        <w:ind w:firstLine="480" w:firstLineChars="200"/>
        <w:rPr>
          <w:rFonts w:cs="SSJ-PK74820000023-Identity-H"/>
          <w:kern w:val="0"/>
          <w:sz w:val="24"/>
          <w:szCs w:val="24"/>
        </w:rPr>
      </w:pPr>
      <w:r>
        <w:rPr>
          <w:rFonts w:hint="eastAsia" w:cs="SSJ-PK74820000023-Identity-H"/>
          <w:kern w:val="0"/>
          <w:sz w:val="24"/>
          <w:szCs w:val="24"/>
        </w:rPr>
        <w:t>根据_______________（项目名称、项目编号：___________）的投标邀请，_____________（姓名、职务）代表投标人</w:t>
      </w:r>
      <w:r>
        <w:rPr>
          <w:rFonts w:hint="eastAsia" w:cs="SSJ-PK74820000023-Identity-H"/>
          <w:kern w:val="0"/>
          <w:sz w:val="24"/>
          <w:szCs w:val="24"/>
          <w:u w:val="single"/>
        </w:rPr>
        <w:t xml:space="preserve">      、     （</w:t>
      </w:r>
      <w:r>
        <w:rPr>
          <w:rFonts w:hint="eastAsia" w:cs="SSJ-PK74820000023-Identity-H"/>
          <w:kern w:val="0"/>
          <w:sz w:val="24"/>
          <w:szCs w:val="24"/>
        </w:rPr>
        <w:t>投标人名称、地址）参加本项目招标的有关活动。据此函，作如下承诺：</w:t>
      </w:r>
    </w:p>
    <w:p w14:paraId="19C27B9D">
      <w:pPr>
        <w:autoSpaceDE w:val="0"/>
        <w:autoSpaceDN w:val="0"/>
        <w:adjustRightInd w:val="0"/>
        <w:spacing w:line="360" w:lineRule="auto"/>
        <w:ind w:firstLine="420"/>
        <w:rPr>
          <w:rFonts w:cs="SSJ-PK74820000023-Identity-H"/>
          <w:kern w:val="0"/>
          <w:sz w:val="24"/>
          <w:szCs w:val="24"/>
        </w:rPr>
      </w:pPr>
      <w:r>
        <w:rPr>
          <w:rFonts w:hint="eastAsia" w:cs="E-BZ-PK7487b-Identity-H"/>
          <w:kern w:val="0"/>
          <w:sz w:val="24"/>
          <w:szCs w:val="24"/>
        </w:rPr>
        <w:t xml:space="preserve">1. </w:t>
      </w:r>
      <w:r>
        <w:rPr>
          <w:rFonts w:hint="eastAsia" w:cs="SSJ-PK74820000023-Identity-H"/>
          <w:kern w:val="0"/>
          <w:sz w:val="24"/>
          <w:szCs w:val="24"/>
        </w:rPr>
        <w:t xml:space="preserve">同意在本项目招标文件中规定的投标文件递交截止时间起 </w:t>
      </w:r>
      <w:r>
        <w:rPr>
          <w:rFonts w:cs="SSJ-PK74820000023-Identity-H"/>
          <w:kern w:val="0"/>
          <w:sz w:val="24"/>
          <w:szCs w:val="24"/>
          <w:u w:val="single"/>
        </w:rPr>
        <w:t xml:space="preserve">90 </w:t>
      </w:r>
      <w:r>
        <w:rPr>
          <w:rFonts w:hint="eastAsia" w:cs="SSJ-PK74820000023-Identity-H"/>
          <w:kern w:val="0"/>
          <w:sz w:val="24"/>
          <w:szCs w:val="24"/>
        </w:rPr>
        <w:t>日遵守本投标文件中的承诺，且在期满之前均具有约束力。</w:t>
      </w:r>
    </w:p>
    <w:p w14:paraId="550CE52A">
      <w:pPr>
        <w:autoSpaceDE w:val="0"/>
        <w:autoSpaceDN w:val="0"/>
        <w:adjustRightInd w:val="0"/>
        <w:spacing w:line="360" w:lineRule="auto"/>
        <w:ind w:firstLine="420"/>
        <w:rPr>
          <w:rFonts w:cs="SSJ-PK74820000023-Identity-H"/>
          <w:kern w:val="0"/>
          <w:sz w:val="24"/>
          <w:szCs w:val="24"/>
        </w:rPr>
      </w:pPr>
      <w:r>
        <w:rPr>
          <w:rFonts w:hint="eastAsia" w:cs="E-BZ-PK7487b-Identity-H"/>
          <w:kern w:val="0"/>
          <w:sz w:val="24"/>
          <w:szCs w:val="24"/>
        </w:rPr>
        <w:t xml:space="preserve">2. </w:t>
      </w:r>
      <w:r>
        <w:rPr>
          <w:rFonts w:hint="eastAsia" w:cs="SSJ-PK74820000023-Identity-H"/>
          <w:kern w:val="0"/>
          <w:sz w:val="24"/>
          <w:szCs w:val="24"/>
        </w:rPr>
        <w:t>已详细审阅全部招标文件（包括招标文件澄清函），理解投标人须知的所有条款。</w:t>
      </w:r>
    </w:p>
    <w:p w14:paraId="6AC05FC3">
      <w:pPr>
        <w:autoSpaceDE w:val="0"/>
        <w:autoSpaceDN w:val="0"/>
        <w:adjustRightInd w:val="0"/>
        <w:spacing w:line="360" w:lineRule="auto"/>
        <w:ind w:firstLine="420"/>
        <w:rPr>
          <w:rFonts w:cs="SSJ-PK74820000023-Identity-H"/>
          <w:kern w:val="0"/>
          <w:sz w:val="24"/>
          <w:szCs w:val="24"/>
        </w:rPr>
      </w:pPr>
      <w:r>
        <w:rPr>
          <w:rFonts w:hint="eastAsia" w:cs="SSJ-PK74820000023-Identity-H"/>
          <w:kern w:val="0"/>
          <w:sz w:val="24"/>
          <w:szCs w:val="24"/>
        </w:rPr>
        <w:t>3. 完全理解贵方“最低报价不能作为中标的保证”的规定。</w:t>
      </w:r>
    </w:p>
    <w:p w14:paraId="71269E11">
      <w:pPr>
        <w:autoSpaceDE w:val="0"/>
        <w:autoSpaceDN w:val="0"/>
        <w:adjustRightInd w:val="0"/>
        <w:spacing w:line="360" w:lineRule="auto"/>
        <w:ind w:firstLine="420"/>
        <w:rPr>
          <w:rFonts w:cs="SSJ-PK74820000023-Identity-H"/>
          <w:kern w:val="0"/>
          <w:sz w:val="24"/>
          <w:szCs w:val="24"/>
        </w:rPr>
      </w:pPr>
      <w:r>
        <w:rPr>
          <w:rFonts w:hint="eastAsia" w:cs="SSJ-PK74820000023-Identity-H"/>
          <w:kern w:val="0"/>
          <w:sz w:val="24"/>
          <w:szCs w:val="24"/>
        </w:rPr>
        <w:t>4. 接受招标文件中全部合同条款，且无任何异议；保证忠实地执行双方所签订的合同，并承担合同规定的责任和义务。</w:t>
      </w:r>
    </w:p>
    <w:p w14:paraId="718AF765">
      <w:pPr>
        <w:autoSpaceDE w:val="0"/>
        <w:autoSpaceDN w:val="0"/>
        <w:adjustRightInd w:val="0"/>
        <w:spacing w:line="360" w:lineRule="auto"/>
        <w:ind w:firstLine="420"/>
        <w:rPr>
          <w:rFonts w:cs="SSJ-PK74820000023-Identity-H"/>
          <w:kern w:val="0"/>
          <w:sz w:val="24"/>
          <w:szCs w:val="24"/>
        </w:rPr>
      </w:pPr>
      <w:r>
        <w:rPr>
          <w:rFonts w:hint="eastAsia" w:cs="SSJ-PK74820000023-Identity-H"/>
          <w:kern w:val="0"/>
          <w:sz w:val="24"/>
          <w:szCs w:val="24"/>
        </w:rPr>
        <w:t>5. 满足和响应招标文件中的各项商务和技术要求，若有偏差，已在投标文件中明确说明。</w:t>
      </w:r>
    </w:p>
    <w:p w14:paraId="7B41DC64">
      <w:pPr>
        <w:autoSpaceDE w:val="0"/>
        <w:autoSpaceDN w:val="0"/>
        <w:adjustRightInd w:val="0"/>
        <w:spacing w:line="360" w:lineRule="auto"/>
        <w:ind w:firstLine="420"/>
        <w:rPr>
          <w:rFonts w:cs="SSJ-PK74820000023-Identity-H"/>
          <w:kern w:val="0"/>
          <w:sz w:val="24"/>
          <w:szCs w:val="24"/>
        </w:rPr>
      </w:pPr>
      <w:r>
        <w:rPr>
          <w:rFonts w:hint="eastAsia" w:cs="E-BZ-PK7487b-Identity-H"/>
          <w:kern w:val="0"/>
          <w:sz w:val="24"/>
          <w:szCs w:val="24"/>
        </w:rPr>
        <w:t xml:space="preserve">6. </w:t>
      </w:r>
      <w:r>
        <w:rPr>
          <w:rFonts w:hint="eastAsia" w:cs="SSJ-PK74820000023-Identity-H"/>
          <w:kern w:val="0"/>
          <w:sz w:val="24"/>
          <w:szCs w:val="24"/>
        </w:rPr>
        <w:t>同意提供任何与投标有关的数据、情况和技术资料等。</w:t>
      </w:r>
    </w:p>
    <w:p w14:paraId="28B0EE87">
      <w:pPr>
        <w:autoSpaceDE w:val="0"/>
        <w:autoSpaceDN w:val="0"/>
        <w:adjustRightInd w:val="0"/>
        <w:spacing w:line="360" w:lineRule="auto"/>
        <w:ind w:firstLine="420"/>
        <w:rPr>
          <w:rFonts w:cs="SSJ-PK74820000023-Identity-H"/>
          <w:kern w:val="0"/>
          <w:sz w:val="24"/>
          <w:szCs w:val="24"/>
        </w:rPr>
      </w:pPr>
      <w:r>
        <w:rPr>
          <w:rFonts w:hint="eastAsia" w:cs="SSJ-PK74820000023-Identity-H"/>
          <w:kern w:val="0"/>
          <w:sz w:val="24"/>
          <w:szCs w:val="24"/>
        </w:rPr>
        <w:t>7. 对本次招标内容及与本项目有关的知识产权、技术资料、商业秘密及相关信息保密。</w:t>
      </w:r>
    </w:p>
    <w:p w14:paraId="26BB70CF">
      <w:pPr>
        <w:pStyle w:val="20"/>
        <w:tabs>
          <w:tab w:val="left" w:pos="5580"/>
        </w:tabs>
        <w:spacing w:line="360" w:lineRule="auto"/>
        <w:ind w:left="420"/>
        <w:rPr>
          <w:rFonts w:hint="eastAsia" w:hAnsi="宋体" w:eastAsia="宋体"/>
          <w:sz w:val="24"/>
        </w:rPr>
      </w:pPr>
    </w:p>
    <w:p w14:paraId="7FE37EC6">
      <w:pPr>
        <w:pStyle w:val="20"/>
        <w:tabs>
          <w:tab w:val="left" w:pos="5580"/>
        </w:tabs>
        <w:spacing w:line="360" w:lineRule="auto"/>
        <w:ind w:left="420"/>
        <w:rPr>
          <w:rFonts w:hint="eastAsia" w:hAnsi="宋体" w:eastAsia="宋体"/>
          <w:sz w:val="24"/>
        </w:rPr>
      </w:pPr>
      <w:r>
        <w:rPr>
          <w:rFonts w:hAnsi="宋体" w:eastAsia="宋体"/>
          <w:sz w:val="24"/>
        </w:rPr>
        <w:t>投标人名称（</w:t>
      </w:r>
      <w:r>
        <w:rPr>
          <w:rFonts w:hAnsi="宋体" w:eastAsia="宋体"/>
          <w:b/>
          <w:sz w:val="24"/>
        </w:rPr>
        <w:t>加盖公章</w:t>
      </w:r>
      <w:r>
        <w:rPr>
          <w:rFonts w:hAnsi="宋体" w:eastAsia="宋体"/>
          <w:sz w:val="24"/>
        </w:rPr>
        <w:t>）：</w:t>
      </w:r>
      <w:r>
        <w:rPr>
          <w:rFonts w:hAnsi="宋体" w:eastAsia="宋体"/>
          <w:sz w:val="24"/>
          <w:u w:val="single"/>
        </w:rPr>
        <w:t xml:space="preserve">                 </w:t>
      </w:r>
    </w:p>
    <w:p w14:paraId="5583805E">
      <w:pPr>
        <w:widowControl/>
        <w:jc w:val="left"/>
        <w:rPr>
          <w:rFonts w:hint="eastAsia" w:ascii="宋体" w:hAnsi="宋体"/>
          <w:b/>
          <w:sz w:val="32"/>
          <w:szCs w:val="32"/>
        </w:rPr>
      </w:pPr>
      <w:bookmarkStart w:id="143" w:name="_Toc161643985"/>
      <w:bookmarkStart w:id="144" w:name="_Toc115623238"/>
      <w:bookmarkStart w:id="145" w:name="_Toc176023835"/>
      <w:r>
        <w:rPr>
          <w:rFonts w:hint="eastAsia" w:ascii="宋体" w:hAnsi="宋体"/>
          <w:b/>
          <w:sz w:val="32"/>
          <w:szCs w:val="32"/>
        </w:rPr>
        <w:br w:type="page"/>
      </w:r>
    </w:p>
    <w:p w14:paraId="30E07B87">
      <w:pPr>
        <w:spacing w:line="360" w:lineRule="auto"/>
        <w:jc w:val="center"/>
        <w:outlineLvl w:val="1"/>
        <w:rPr>
          <w:rFonts w:hint="eastAsia" w:ascii="宋体" w:hAnsi="宋体"/>
          <w:b/>
          <w:sz w:val="32"/>
          <w:szCs w:val="32"/>
        </w:rPr>
      </w:pPr>
      <w:r>
        <w:rPr>
          <w:rFonts w:ascii="宋体" w:hAnsi="宋体"/>
          <w:b/>
          <w:sz w:val="32"/>
          <w:szCs w:val="32"/>
        </w:rPr>
        <w:t>附件</w:t>
      </w:r>
      <w:bookmarkEnd w:id="143"/>
      <w:r>
        <w:rPr>
          <w:rFonts w:ascii="宋体" w:hAnsi="宋体"/>
          <w:b/>
          <w:sz w:val="32"/>
          <w:szCs w:val="32"/>
        </w:rPr>
        <w:t>3 开标一览表</w:t>
      </w:r>
      <w:bookmarkEnd w:id="144"/>
      <w:r>
        <w:rPr>
          <w:rFonts w:hint="eastAsia" w:ascii="宋体" w:hAnsi="宋体"/>
          <w:b/>
          <w:sz w:val="32"/>
          <w:szCs w:val="32"/>
        </w:rPr>
        <w:t>（实质性格式）</w:t>
      </w:r>
      <w:bookmarkEnd w:id="145"/>
    </w:p>
    <w:p w14:paraId="2EEFBAAB">
      <w:pPr>
        <w:tabs>
          <w:tab w:val="left" w:pos="1800"/>
          <w:tab w:val="left" w:pos="5580"/>
        </w:tabs>
        <w:jc w:val="left"/>
        <w:rPr>
          <w:rFonts w:hint="eastAsia" w:ascii="宋体" w:hAnsi="宋体"/>
          <w:sz w:val="24"/>
        </w:rPr>
      </w:pPr>
      <w:r>
        <w:rPr>
          <w:rFonts w:ascii="宋体" w:hAnsi="宋体"/>
          <w:sz w:val="24"/>
        </w:rPr>
        <w:t xml:space="preserve">项目名称：　                                 项目编号：       </w:t>
      </w:r>
      <w:r>
        <w:rPr>
          <w:rFonts w:hint="eastAsia" w:ascii="宋体" w:hAnsi="宋体"/>
          <w:sz w:val="24"/>
        </w:rPr>
        <w:t xml:space="preserve"> </w:t>
      </w:r>
    </w:p>
    <w:tbl>
      <w:tblPr>
        <w:tblStyle w:val="36"/>
        <w:tblW w:w="8723"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834"/>
        <w:gridCol w:w="2437"/>
        <w:gridCol w:w="2233"/>
        <w:gridCol w:w="1219"/>
      </w:tblGrid>
      <w:tr w14:paraId="49D676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2834" w:type="dxa"/>
            <w:vAlign w:val="center"/>
          </w:tcPr>
          <w:p w14:paraId="3DD8F6AE">
            <w:pPr>
              <w:tabs>
                <w:tab w:val="left" w:pos="5580"/>
              </w:tabs>
              <w:jc w:val="center"/>
              <w:rPr>
                <w:rFonts w:hint="eastAsia" w:ascii="宋体" w:hAnsi="宋体"/>
                <w:b/>
                <w:bCs/>
                <w:sz w:val="24"/>
              </w:rPr>
            </w:pPr>
            <w:r>
              <w:rPr>
                <w:rFonts w:ascii="宋体" w:hAnsi="宋体"/>
                <w:b/>
                <w:bCs/>
                <w:sz w:val="24"/>
              </w:rPr>
              <w:t>投标总价</w:t>
            </w:r>
          </w:p>
          <w:p w14:paraId="477C52C4">
            <w:pPr>
              <w:tabs>
                <w:tab w:val="left" w:pos="5580"/>
              </w:tabs>
              <w:jc w:val="center"/>
              <w:rPr>
                <w:rFonts w:hint="eastAsia" w:ascii="宋体" w:hAnsi="宋体"/>
                <w:sz w:val="24"/>
              </w:rPr>
            </w:pPr>
            <w:r>
              <w:rPr>
                <w:rFonts w:ascii="宋体" w:hAnsi="宋体"/>
                <w:sz w:val="24"/>
              </w:rPr>
              <w:t>（单位：人民币元）</w:t>
            </w:r>
          </w:p>
        </w:tc>
        <w:tc>
          <w:tcPr>
            <w:tcW w:w="2437" w:type="dxa"/>
            <w:vAlign w:val="center"/>
          </w:tcPr>
          <w:p w14:paraId="07801614">
            <w:pPr>
              <w:tabs>
                <w:tab w:val="left" w:pos="5580"/>
              </w:tabs>
              <w:jc w:val="center"/>
              <w:rPr>
                <w:rFonts w:hint="eastAsia" w:ascii="宋体" w:hAnsi="宋体"/>
                <w:sz w:val="24"/>
              </w:rPr>
            </w:pPr>
            <w:r>
              <w:rPr>
                <w:rFonts w:ascii="宋体" w:hAnsi="宋体"/>
                <w:sz w:val="24"/>
              </w:rPr>
              <w:t>交货期</w:t>
            </w:r>
          </w:p>
        </w:tc>
        <w:tc>
          <w:tcPr>
            <w:tcW w:w="2233" w:type="dxa"/>
            <w:vAlign w:val="center"/>
          </w:tcPr>
          <w:p w14:paraId="57DBADD1">
            <w:pPr>
              <w:tabs>
                <w:tab w:val="left" w:pos="5580"/>
              </w:tabs>
              <w:jc w:val="center"/>
              <w:rPr>
                <w:rFonts w:hint="eastAsia" w:ascii="宋体" w:hAnsi="宋体"/>
                <w:sz w:val="24"/>
              </w:rPr>
            </w:pPr>
            <w:r>
              <w:rPr>
                <w:rFonts w:ascii="宋体" w:hAnsi="宋体"/>
                <w:sz w:val="24"/>
              </w:rPr>
              <w:t>交货地点</w:t>
            </w:r>
          </w:p>
        </w:tc>
        <w:tc>
          <w:tcPr>
            <w:tcW w:w="1219" w:type="dxa"/>
            <w:vAlign w:val="center"/>
          </w:tcPr>
          <w:p w14:paraId="21A81FBE">
            <w:pPr>
              <w:tabs>
                <w:tab w:val="left" w:pos="5580"/>
              </w:tabs>
              <w:jc w:val="center"/>
              <w:rPr>
                <w:rFonts w:hint="eastAsia" w:ascii="宋体" w:hAnsi="宋体"/>
                <w:sz w:val="24"/>
              </w:rPr>
            </w:pPr>
            <w:r>
              <w:rPr>
                <w:rFonts w:ascii="宋体" w:hAnsi="宋体"/>
                <w:sz w:val="24"/>
              </w:rPr>
              <w:t>备注</w:t>
            </w:r>
          </w:p>
        </w:tc>
      </w:tr>
      <w:tr w14:paraId="4DAEB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2834" w:type="dxa"/>
            <w:vAlign w:val="center"/>
          </w:tcPr>
          <w:p w14:paraId="4385E767">
            <w:pPr>
              <w:tabs>
                <w:tab w:val="left" w:pos="5580"/>
              </w:tabs>
              <w:jc w:val="left"/>
              <w:rPr>
                <w:rFonts w:hint="eastAsia" w:ascii="宋体" w:hAnsi="宋体"/>
                <w:sz w:val="24"/>
              </w:rPr>
            </w:pPr>
            <w:r>
              <w:rPr>
                <w:rFonts w:ascii="宋体" w:hAnsi="宋体"/>
                <w:sz w:val="24"/>
              </w:rPr>
              <w:t>大写：</w:t>
            </w:r>
          </w:p>
          <w:p w14:paraId="030B3C6E">
            <w:pPr>
              <w:tabs>
                <w:tab w:val="left" w:pos="5580"/>
              </w:tabs>
              <w:rPr>
                <w:rFonts w:hint="eastAsia" w:ascii="宋体" w:hAnsi="宋体"/>
                <w:sz w:val="24"/>
              </w:rPr>
            </w:pPr>
            <w:r>
              <w:rPr>
                <w:rFonts w:ascii="宋体" w:hAnsi="宋体"/>
                <w:sz w:val="24"/>
              </w:rPr>
              <w:t>小写：</w:t>
            </w:r>
          </w:p>
        </w:tc>
        <w:tc>
          <w:tcPr>
            <w:tcW w:w="2437" w:type="dxa"/>
            <w:vAlign w:val="center"/>
          </w:tcPr>
          <w:p w14:paraId="6119EB8D">
            <w:pPr>
              <w:tabs>
                <w:tab w:val="left" w:pos="5580"/>
              </w:tabs>
              <w:jc w:val="left"/>
              <w:rPr>
                <w:rFonts w:hint="eastAsia" w:ascii="宋体" w:hAnsi="宋体"/>
                <w:sz w:val="24"/>
              </w:rPr>
            </w:pPr>
          </w:p>
        </w:tc>
        <w:tc>
          <w:tcPr>
            <w:tcW w:w="2233" w:type="dxa"/>
            <w:vAlign w:val="center"/>
          </w:tcPr>
          <w:p w14:paraId="3A6E64C8">
            <w:pPr>
              <w:tabs>
                <w:tab w:val="left" w:pos="5580"/>
              </w:tabs>
              <w:jc w:val="left"/>
              <w:rPr>
                <w:rFonts w:hint="eastAsia" w:ascii="宋体" w:hAnsi="宋体"/>
                <w:sz w:val="24"/>
              </w:rPr>
            </w:pPr>
          </w:p>
        </w:tc>
        <w:tc>
          <w:tcPr>
            <w:tcW w:w="1219" w:type="dxa"/>
            <w:vAlign w:val="center"/>
          </w:tcPr>
          <w:p w14:paraId="381D0DFF">
            <w:pPr>
              <w:tabs>
                <w:tab w:val="left" w:pos="5580"/>
              </w:tabs>
              <w:jc w:val="left"/>
              <w:rPr>
                <w:rFonts w:hint="eastAsia" w:ascii="宋体" w:hAnsi="宋体"/>
                <w:sz w:val="24"/>
              </w:rPr>
            </w:pPr>
          </w:p>
        </w:tc>
      </w:tr>
    </w:tbl>
    <w:p w14:paraId="41F34758">
      <w:pPr>
        <w:pStyle w:val="20"/>
        <w:tabs>
          <w:tab w:val="left" w:pos="5580"/>
        </w:tabs>
        <w:spacing w:before="120"/>
        <w:rPr>
          <w:rFonts w:hint="eastAsia" w:hAnsi="宋体" w:eastAsia="宋体"/>
          <w:sz w:val="24"/>
        </w:rPr>
      </w:pPr>
    </w:p>
    <w:p w14:paraId="2D04C1C7">
      <w:pPr>
        <w:pStyle w:val="20"/>
        <w:tabs>
          <w:tab w:val="left" w:pos="5580"/>
        </w:tabs>
        <w:spacing w:before="120"/>
        <w:rPr>
          <w:rFonts w:hint="eastAsia" w:hAnsi="宋体" w:eastAsia="宋体"/>
          <w:sz w:val="24"/>
          <w:u w:val="single"/>
        </w:rPr>
      </w:pPr>
      <w:r>
        <w:rPr>
          <w:rFonts w:hAnsi="宋体" w:eastAsia="宋体"/>
          <w:sz w:val="24"/>
        </w:rPr>
        <w:t>投标人名称（</w:t>
      </w:r>
      <w:r>
        <w:rPr>
          <w:rFonts w:hAnsi="宋体" w:eastAsia="宋体"/>
          <w:b/>
          <w:sz w:val="24"/>
        </w:rPr>
        <w:t>加盖公章</w:t>
      </w:r>
      <w:r>
        <w:rPr>
          <w:rFonts w:hAnsi="宋体" w:eastAsia="宋体"/>
          <w:sz w:val="24"/>
        </w:rPr>
        <w:t>）：</w:t>
      </w:r>
      <w:r>
        <w:rPr>
          <w:rFonts w:hAnsi="宋体" w:eastAsia="宋体"/>
          <w:sz w:val="24"/>
          <w:u w:val="single"/>
        </w:rPr>
        <w:t xml:space="preserve">                    </w:t>
      </w:r>
    </w:p>
    <w:p w14:paraId="2A8ABBB9">
      <w:pPr>
        <w:pStyle w:val="20"/>
        <w:tabs>
          <w:tab w:val="left" w:pos="5580"/>
        </w:tabs>
        <w:spacing w:line="360" w:lineRule="auto"/>
        <w:contextualSpacing/>
        <w:rPr>
          <w:rFonts w:hint="eastAsia" w:hAnsi="宋体" w:eastAsia="宋体"/>
          <w:sz w:val="24"/>
        </w:rPr>
      </w:pPr>
    </w:p>
    <w:p w14:paraId="2750662D">
      <w:pPr>
        <w:pStyle w:val="20"/>
        <w:tabs>
          <w:tab w:val="left" w:pos="5580"/>
        </w:tabs>
        <w:spacing w:line="360" w:lineRule="auto"/>
        <w:contextualSpacing/>
        <w:rPr>
          <w:rFonts w:hint="eastAsia" w:hAnsi="宋体" w:eastAsia="宋体"/>
          <w:sz w:val="24"/>
        </w:rPr>
      </w:pPr>
      <w:r>
        <w:rPr>
          <w:rFonts w:hAnsi="宋体" w:eastAsia="宋体"/>
          <w:sz w:val="24"/>
        </w:rPr>
        <w:t xml:space="preserve">注：  </w:t>
      </w:r>
    </w:p>
    <w:p w14:paraId="526C8824">
      <w:pPr>
        <w:widowControl/>
        <w:spacing w:line="360" w:lineRule="auto"/>
        <w:contextualSpacing/>
        <w:jc w:val="left"/>
        <w:rPr>
          <w:rFonts w:hint="eastAsia" w:ascii="宋体" w:hAnsi="宋体"/>
          <w:sz w:val="24"/>
        </w:rPr>
      </w:pPr>
      <w:r>
        <w:rPr>
          <w:rFonts w:hint="eastAsia" w:ascii="宋体" w:hAnsi="宋体"/>
          <w:sz w:val="24"/>
        </w:rPr>
        <w:t>1</w:t>
      </w:r>
      <w:r>
        <w:rPr>
          <w:rFonts w:ascii="宋体" w:hAnsi="宋体"/>
          <w:sz w:val="24"/>
        </w:rPr>
        <w:t>.投标人必须按照招标文件中提供的格式完整、正确填写开标一览表。并按照格式要求在指定位置盖章。</w:t>
      </w:r>
    </w:p>
    <w:p w14:paraId="28AFA4F9">
      <w:pPr>
        <w:pStyle w:val="20"/>
        <w:tabs>
          <w:tab w:val="left" w:pos="5580"/>
        </w:tabs>
        <w:spacing w:line="360" w:lineRule="auto"/>
        <w:contextualSpacing/>
        <w:rPr>
          <w:rFonts w:hint="eastAsia" w:hAnsi="宋体" w:eastAsia="宋体"/>
          <w:sz w:val="24"/>
        </w:rPr>
      </w:pPr>
      <w:r>
        <w:rPr>
          <w:rFonts w:hint="eastAsia" w:hAnsi="宋体" w:eastAsia="宋体"/>
          <w:sz w:val="24"/>
          <w:szCs w:val="24"/>
        </w:rPr>
        <w:t>2</w:t>
      </w:r>
      <w:r>
        <w:rPr>
          <w:rFonts w:hAnsi="宋体" w:eastAsia="宋体"/>
          <w:sz w:val="24"/>
          <w:szCs w:val="24"/>
        </w:rPr>
        <w:t>.</w:t>
      </w:r>
      <w:r>
        <w:rPr>
          <w:rFonts w:hAnsi="宋体" w:eastAsia="宋体"/>
          <w:sz w:val="24"/>
        </w:rPr>
        <w:t>此表中，投标总价应和附件4中的总价相一致。</w:t>
      </w:r>
    </w:p>
    <w:p w14:paraId="75589A67">
      <w:pPr>
        <w:pStyle w:val="20"/>
        <w:tabs>
          <w:tab w:val="left" w:pos="5580"/>
        </w:tabs>
        <w:spacing w:before="120"/>
        <w:rPr>
          <w:rFonts w:hint="eastAsia" w:hAnsi="宋体" w:eastAsia="宋体"/>
          <w:sz w:val="24"/>
        </w:rPr>
      </w:pPr>
    </w:p>
    <w:p w14:paraId="6328593A">
      <w:pPr>
        <w:rPr>
          <w:rFonts w:hint="eastAsia" w:ascii="宋体" w:hAnsi="宋体"/>
        </w:rPr>
        <w:sectPr>
          <w:headerReference r:id="rId17" w:type="first"/>
          <w:footerReference r:id="rId18" w:type="first"/>
          <w:headerReference r:id="rId16" w:type="default"/>
          <w:pgSz w:w="12240" w:h="15840"/>
          <w:pgMar w:top="1276" w:right="1797" w:bottom="1276" w:left="1797" w:header="720" w:footer="720" w:gutter="0"/>
          <w:cols w:space="720" w:num="1"/>
          <w:docGrid w:linePitch="285" w:charSpace="0"/>
        </w:sectPr>
      </w:pPr>
      <w:r>
        <w:rPr>
          <w:rFonts w:ascii="宋体" w:hAnsi="宋体"/>
        </w:rPr>
        <w:t xml:space="preserve"> </w:t>
      </w:r>
    </w:p>
    <w:p w14:paraId="1DF3F0FF">
      <w:pPr>
        <w:spacing w:line="360" w:lineRule="auto"/>
        <w:jc w:val="center"/>
        <w:outlineLvl w:val="1"/>
        <w:rPr>
          <w:rFonts w:hint="eastAsia" w:ascii="宋体" w:hAnsi="宋体"/>
          <w:b/>
          <w:sz w:val="32"/>
          <w:szCs w:val="32"/>
        </w:rPr>
      </w:pPr>
      <w:bookmarkStart w:id="146" w:name="_Toc115623239"/>
      <w:bookmarkStart w:id="147" w:name="_Toc176023836"/>
      <w:r>
        <w:rPr>
          <w:rFonts w:ascii="宋体" w:hAnsi="宋体"/>
          <w:b/>
          <w:sz w:val="32"/>
          <w:szCs w:val="32"/>
        </w:rPr>
        <w:t>附件4 投标分项报价表</w:t>
      </w:r>
      <w:bookmarkEnd w:id="146"/>
      <w:r>
        <w:rPr>
          <w:rFonts w:hint="eastAsia" w:ascii="宋体" w:hAnsi="宋体"/>
          <w:b/>
          <w:sz w:val="32"/>
          <w:szCs w:val="32"/>
        </w:rPr>
        <w:t>（实质性格式）</w:t>
      </w:r>
      <w:bookmarkEnd w:id="147"/>
    </w:p>
    <w:p w14:paraId="327121D5">
      <w:pPr>
        <w:tabs>
          <w:tab w:val="left" w:pos="1800"/>
          <w:tab w:val="left" w:pos="5580"/>
        </w:tabs>
        <w:jc w:val="left"/>
        <w:rPr>
          <w:rFonts w:hint="eastAsia" w:ascii="宋体" w:hAnsi="宋体"/>
          <w:sz w:val="24"/>
          <w:szCs w:val="24"/>
        </w:rPr>
      </w:pPr>
      <w:r>
        <w:rPr>
          <w:rFonts w:ascii="宋体" w:hAnsi="宋体"/>
          <w:sz w:val="24"/>
          <w:szCs w:val="24"/>
        </w:rPr>
        <w:t xml:space="preserve">项目名称：　                             项目编号：       </w:t>
      </w:r>
      <w:r>
        <w:rPr>
          <w:rFonts w:hint="eastAsia" w:ascii="宋体" w:hAnsi="宋体"/>
          <w:sz w:val="24"/>
        </w:rPr>
        <w:t xml:space="preserve">  </w:t>
      </w:r>
      <w:r>
        <w:rPr>
          <w:rFonts w:ascii="宋体" w:hAnsi="宋体"/>
          <w:sz w:val="24"/>
          <w:szCs w:val="24"/>
        </w:rPr>
        <w:t xml:space="preserve"> </w:t>
      </w:r>
    </w:p>
    <w:tbl>
      <w:tblPr>
        <w:tblStyle w:val="119"/>
        <w:tblW w:w="105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1403"/>
        <w:gridCol w:w="1025"/>
        <w:gridCol w:w="1130"/>
        <w:gridCol w:w="1299"/>
        <w:gridCol w:w="1299"/>
        <w:gridCol w:w="1299"/>
        <w:gridCol w:w="883"/>
        <w:gridCol w:w="892"/>
        <w:gridCol w:w="787"/>
      </w:tblGrid>
      <w:tr w14:paraId="30744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567" w:type="dxa"/>
            <w:vAlign w:val="center"/>
          </w:tcPr>
          <w:p w14:paraId="392BAEE3">
            <w:pPr>
              <w:jc w:val="center"/>
              <w:rPr>
                <w:rFonts w:hint="eastAsia" w:ascii="宋体" w:hAnsi="宋体"/>
                <w:bCs/>
                <w:sz w:val="24"/>
                <w:szCs w:val="24"/>
              </w:rPr>
            </w:pPr>
            <w:r>
              <w:rPr>
                <w:rFonts w:ascii="宋体" w:hAnsi="宋体"/>
                <w:bCs/>
                <w:sz w:val="24"/>
                <w:szCs w:val="24"/>
              </w:rPr>
              <w:t>序号</w:t>
            </w:r>
          </w:p>
        </w:tc>
        <w:tc>
          <w:tcPr>
            <w:tcW w:w="1403" w:type="dxa"/>
            <w:vAlign w:val="center"/>
          </w:tcPr>
          <w:p w14:paraId="5BE11161">
            <w:pPr>
              <w:jc w:val="center"/>
              <w:rPr>
                <w:rFonts w:hint="eastAsia" w:ascii="宋体" w:hAnsi="宋体"/>
                <w:bCs/>
                <w:sz w:val="24"/>
                <w:szCs w:val="24"/>
              </w:rPr>
            </w:pPr>
            <w:r>
              <w:rPr>
                <w:rFonts w:hint="eastAsia" w:ascii="宋体" w:hAnsi="宋体"/>
                <w:bCs/>
                <w:sz w:val="24"/>
                <w:szCs w:val="24"/>
              </w:rPr>
              <w:t>产品</w:t>
            </w:r>
            <w:r>
              <w:rPr>
                <w:rFonts w:ascii="宋体" w:hAnsi="宋体"/>
                <w:bCs/>
                <w:sz w:val="24"/>
                <w:szCs w:val="24"/>
              </w:rPr>
              <w:t>名称</w:t>
            </w:r>
          </w:p>
        </w:tc>
        <w:tc>
          <w:tcPr>
            <w:tcW w:w="1025" w:type="dxa"/>
            <w:vAlign w:val="center"/>
          </w:tcPr>
          <w:p w14:paraId="6464AB0D">
            <w:pPr>
              <w:jc w:val="center"/>
              <w:rPr>
                <w:rFonts w:hint="eastAsia" w:ascii="宋体" w:hAnsi="宋体"/>
                <w:bCs/>
                <w:sz w:val="24"/>
                <w:szCs w:val="24"/>
              </w:rPr>
            </w:pPr>
            <w:r>
              <w:rPr>
                <w:rFonts w:ascii="宋体" w:hAnsi="宋体"/>
                <w:bCs/>
                <w:sz w:val="24"/>
                <w:szCs w:val="24"/>
              </w:rPr>
              <w:t>制造商</w:t>
            </w:r>
          </w:p>
        </w:tc>
        <w:tc>
          <w:tcPr>
            <w:tcW w:w="1130" w:type="dxa"/>
            <w:vAlign w:val="center"/>
          </w:tcPr>
          <w:p w14:paraId="0502F262">
            <w:pPr>
              <w:jc w:val="center"/>
              <w:rPr>
                <w:rFonts w:hint="eastAsia" w:ascii="宋体" w:hAnsi="宋体"/>
                <w:bCs/>
                <w:sz w:val="24"/>
                <w:szCs w:val="24"/>
              </w:rPr>
            </w:pPr>
            <w:r>
              <w:rPr>
                <w:rFonts w:ascii="宋体" w:hAnsi="宋体"/>
                <w:bCs/>
                <w:sz w:val="24"/>
                <w:szCs w:val="24"/>
              </w:rPr>
              <w:t>产地/国别</w:t>
            </w:r>
          </w:p>
        </w:tc>
        <w:tc>
          <w:tcPr>
            <w:tcW w:w="1299" w:type="dxa"/>
            <w:vAlign w:val="center"/>
          </w:tcPr>
          <w:p w14:paraId="5D195937">
            <w:pPr>
              <w:jc w:val="center"/>
              <w:rPr>
                <w:rFonts w:hint="eastAsia" w:ascii="宋体" w:hAnsi="宋体"/>
                <w:bCs/>
                <w:sz w:val="24"/>
                <w:szCs w:val="24"/>
              </w:rPr>
            </w:pPr>
            <w:r>
              <w:rPr>
                <w:rFonts w:ascii="宋体" w:hAnsi="宋体"/>
                <w:bCs/>
                <w:sz w:val="24"/>
                <w:szCs w:val="24"/>
              </w:rPr>
              <w:t>制造商规模</w:t>
            </w:r>
          </w:p>
        </w:tc>
        <w:tc>
          <w:tcPr>
            <w:tcW w:w="1299" w:type="dxa"/>
            <w:vAlign w:val="center"/>
          </w:tcPr>
          <w:p w14:paraId="308074FD">
            <w:pPr>
              <w:jc w:val="center"/>
              <w:rPr>
                <w:rFonts w:hint="eastAsia" w:ascii="宋体" w:hAnsi="宋体"/>
                <w:bCs/>
                <w:sz w:val="24"/>
                <w:szCs w:val="24"/>
              </w:rPr>
            </w:pPr>
            <w:r>
              <w:rPr>
                <w:rFonts w:ascii="宋体" w:hAnsi="宋体"/>
                <w:bCs/>
                <w:sz w:val="24"/>
                <w:szCs w:val="24"/>
              </w:rPr>
              <w:t>品牌</w:t>
            </w:r>
          </w:p>
        </w:tc>
        <w:tc>
          <w:tcPr>
            <w:tcW w:w="1299" w:type="dxa"/>
            <w:vAlign w:val="center"/>
          </w:tcPr>
          <w:p w14:paraId="4B14D7DD">
            <w:pPr>
              <w:jc w:val="center"/>
              <w:rPr>
                <w:rFonts w:hint="eastAsia" w:ascii="宋体" w:hAnsi="宋体"/>
                <w:bCs/>
                <w:sz w:val="24"/>
                <w:szCs w:val="24"/>
              </w:rPr>
            </w:pPr>
            <w:r>
              <w:rPr>
                <w:rFonts w:ascii="宋体" w:hAnsi="宋体"/>
                <w:bCs/>
                <w:sz w:val="24"/>
                <w:szCs w:val="24"/>
              </w:rPr>
              <w:t>规格、型号</w:t>
            </w:r>
          </w:p>
        </w:tc>
        <w:tc>
          <w:tcPr>
            <w:tcW w:w="883" w:type="dxa"/>
            <w:vAlign w:val="center"/>
          </w:tcPr>
          <w:p w14:paraId="79AA1DD6">
            <w:pPr>
              <w:jc w:val="center"/>
              <w:rPr>
                <w:rFonts w:hint="eastAsia" w:ascii="宋体" w:hAnsi="宋体"/>
                <w:bCs/>
                <w:sz w:val="24"/>
                <w:szCs w:val="24"/>
              </w:rPr>
            </w:pPr>
            <w:r>
              <w:rPr>
                <w:rFonts w:ascii="宋体" w:hAnsi="宋体"/>
                <w:bCs/>
                <w:sz w:val="24"/>
                <w:szCs w:val="24"/>
              </w:rPr>
              <w:t>单价（元）</w:t>
            </w:r>
          </w:p>
        </w:tc>
        <w:tc>
          <w:tcPr>
            <w:tcW w:w="892" w:type="dxa"/>
            <w:vAlign w:val="center"/>
          </w:tcPr>
          <w:p w14:paraId="0E4791CE">
            <w:pPr>
              <w:jc w:val="center"/>
              <w:rPr>
                <w:rFonts w:hint="eastAsia" w:ascii="宋体" w:hAnsi="宋体"/>
                <w:bCs/>
                <w:sz w:val="24"/>
                <w:szCs w:val="24"/>
              </w:rPr>
            </w:pPr>
            <w:r>
              <w:rPr>
                <w:rFonts w:ascii="宋体" w:hAnsi="宋体"/>
                <w:bCs/>
                <w:sz w:val="24"/>
                <w:szCs w:val="24"/>
              </w:rPr>
              <w:t>数量</w:t>
            </w:r>
          </w:p>
        </w:tc>
        <w:tc>
          <w:tcPr>
            <w:tcW w:w="787" w:type="dxa"/>
            <w:vAlign w:val="center"/>
          </w:tcPr>
          <w:p w14:paraId="6AB15770">
            <w:pPr>
              <w:jc w:val="center"/>
              <w:rPr>
                <w:rFonts w:hint="eastAsia" w:ascii="宋体" w:hAnsi="宋体"/>
                <w:bCs/>
                <w:sz w:val="24"/>
                <w:szCs w:val="24"/>
              </w:rPr>
            </w:pPr>
            <w:r>
              <w:rPr>
                <w:rFonts w:hint="eastAsia" w:ascii="宋体" w:hAnsi="宋体"/>
                <w:bCs/>
                <w:sz w:val="24"/>
                <w:szCs w:val="24"/>
              </w:rPr>
              <w:t>合计</w:t>
            </w:r>
            <w:r>
              <w:rPr>
                <w:rFonts w:ascii="宋体" w:hAnsi="宋体"/>
                <w:bCs/>
                <w:sz w:val="24"/>
                <w:szCs w:val="24"/>
              </w:rPr>
              <w:t>（元）</w:t>
            </w:r>
          </w:p>
        </w:tc>
      </w:tr>
      <w:tr w14:paraId="75941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67" w:type="dxa"/>
            <w:vAlign w:val="center"/>
          </w:tcPr>
          <w:p w14:paraId="77FE837A">
            <w:pPr>
              <w:widowControl/>
              <w:jc w:val="center"/>
              <w:rPr>
                <w:rFonts w:hint="eastAsia" w:ascii="宋体" w:hAnsi="宋体"/>
                <w:bCs/>
                <w:sz w:val="24"/>
                <w:szCs w:val="24"/>
              </w:rPr>
            </w:pPr>
            <w:r>
              <w:rPr>
                <w:rFonts w:hint="eastAsia" w:ascii="宋体" w:hAnsi="宋体"/>
                <w:sz w:val="24"/>
                <w:szCs w:val="24"/>
              </w:rPr>
              <w:t>1</w:t>
            </w:r>
          </w:p>
        </w:tc>
        <w:tc>
          <w:tcPr>
            <w:tcW w:w="1403" w:type="dxa"/>
            <w:vAlign w:val="center"/>
          </w:tcPr>
          <w:p w14:paraId="7A06D973">
            <w:pPr>
              <w:widowControl/>
              <w:jc w:val="center"/>
              <w:rPr>
                <w:rFonts w:hint="eastAsia" w:ascii="宋体" w:hAnsi="宋体" w:cs="宋体"/>
                <w:kern w:val="0"/>
                <w:sz w:val="24"/>
                <w:szCs w:val="24"/>
              </w:rPr>
            </w:pPr>
            <w:r>
              <w:rPr>
                <w:rFonts w:ascii="宋体" w:hAnsi="宋体" w:cs="宋体"/>
                <w:kern w:val="0"/>
                <w:sz w:val="24"/>
                <w:szCs w:val="24"/>
              </w:rPr>
              <w:t>纯水处理系统</w:t>
            </w:r>
          </w:p>
        </w:tc>
        <w:tc>
          <w:tcPr>
            <w:tcW w:w="1025" w:type="dxa"/>
            <w:vAlign w:val="center"/>
          </w:tcPr>
          <w:p w14:paraId="73D113F9">
            <w:pPr>
              <w:widowControl/>
              <w:jc w:val="center"/>
              <w:rPr>
                <w:rFonts w:hint="eastAsia" w:ascii="宋体" w:hAnsi="宋体" w:cs="宋体"/>
                <w:kern w:val="0"/>
                <w:sz w:val="24"/>
                <w:szCs w:val="24"/>
              </w:rPr>
            </w:pPr>
          </w:p>
        </w:tc>
        <w:tc>
          <w:tcPr>
            <w:tcW w:w="1130" w:type="dxa"/>
            <w:vAlign w:val="center"/>
          </w:tcPr>
          <w:p w14:paraId="36F839C2">
            <w:pPr>
              <w:jc w:val="center"/>
              <w:rPr>
                <w:rFonts w:hint="eastAsia" w:ascii="宋体" w:hAnsi="宋体"/>
                <w:bCs/>
                <w:sz w:val="24"/>
                <w:szCs w:val="24"/>
              </w:rPr>
            </w:pPr>
          </w:p>
        </w:tc>
        <w:tc>
          <w:tcPr>
            <w:tcW w:w="1299" w:type="dxa"/>
            <w:vAlign w:val="center"/>
          </w:tcPr>
          <w:p w14:paraId="6BCC9C85">
            <w:pPr>
              <w:jc w:val="center"/>
              <w:rPr>
                <w:rFonts w:hint="eastAsia" w:ascii="宋体" w:hAnsi="宋体"/>
                <w:bCs/>
                <w:sz w:val="24"/>
                <w:szCs w:val="24"/>
              </w:rPr>
            </w:pPr>
          </w:p>
        </w:tc>
        <w:tc>
          <w:tcPr>
            <w:tcW w:w="1299" w:type="dxa"/>
            <w:vAlign w:val="center"/>
          </w:tcPr>
          <w:p w14:paraId="239D7A60">
            <w:pPr>
              <w:jc w:val="center"/>
              <w:rPr>
                <w:rFonts w:hint="eastAsia" w:ascii="宋体" w:hAnsi="宋体"/>
                <w:bCs/>
                <w:sz w:val="24"/>
                <w:szCs w:val="24"/>
              </w:rPr>
            </w:pPr>
          </w:p>
        </w:tc>
        <w:tc>
          <w:tcPr>
            <w:tcW w:w="1299" w:type="dxa"/>
            <w:vAlign w:val="center"/>
          </w:tcPr>
          <w:p w14:paraId="6B6C899E">
            <w:pPr>
              <w:jc w:val="center"/>
              <w:rPr>
                <w:rFonts w:hint="eastAsia" w:ascii="宋体" w:hAnsi="宋体"/>
                <w:bCs/>
                <w:sz w:val="24"/>
                <w:szCs w:val="24"/>
              </w:rPr>
            </w:pPr>
          </w:p>
        </w:tc>
        <w:tc>
          <w:tcPr>
            <w:tcW w:w="883" w:type="dxa"/>
            <w:vAlign w:val="center"/>
          </w:tcPr>
          <w:p w14:paraId="3DE85CF2">
            <w:pPr>
              <w:jc w:val="center"/>
              <w:rPr>
                <w:rFonts w:hint="eastAsia" w:ascii="宋体" w:hAnsi="宋体"/>
                <w:bCs/>
                <w:sz w:val="24"/>
                <w:szCs w:val="24"/>
              </w:rPr>
            </w:pPr>
          </w:p>
        </w:tc>
        <w:tc>
          <w:tcPr>
            <w:tcW w:w="892" w:type="dxa"/>
            <w:vAlign w:val="center"/>
          </w:tcPr>
          <w:p w14:paraId="16429525">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87" w:type="dxa"/>
            <w:vAlign w:val="center"/>
          </w:tcPr>
          <w:p w14:paraId="13606F21">
            <w:pPr>
              <w:jc w:val="center"/>
              <w:rPr>
                <w:rFonts w:hint="eastAsia" w:ascii="宋体" w:hAnsi="宋体"/>
                <w:bCs/>
                <w:sz w:val="24"/>
                <w:szCs w:val="24"/>
              </w:rPr>
            </w:pPr>
          </w:p>
        </w:tc>
      </w:tr>
      <w:tr w14:paraId="5AB09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67" w:type="dxa"/>
            <w:vAlign w:val="center"/>
          </w:tcPr>
          <w:p w14:paraId="4C7B5331">
            <w:pPr>
              <w:widowControl/>
              <w:jc w:val="center"/>
              <w:rPr>
                <w:rFonts w:hint="eastAsia" w:ascii="宋体" w:hAnsi="宋体"/>
                <w:bCs/>
                <w:sz w:val="24"/>
                <w:szCs w:val="24"/>
              </w:rPr>
            </w:pPr>
            <w:r>
              <w:rPr>
                <w:rFonts w:hint="eastAsia" w:ascii="宋体" w:hAnsi="宋体"/>
                <w:sz w:val="24"/>
                <w:szCs w:val="24"/>
              </w:rPr>
              <w:t>2</w:t>
            </w:r>
          </w:p>
        </w:tc>
        <w:tc>
          <w:tcPr>
            <w:tcW w:w="1403" w:type="dxa"/>
            <w:vAlign w:val="center"/>
          </w:tcPr>
          <w:p w14:paraId="32334C5A">
            <w:pPr>
              <w:widowControl/>
              <w:jc w:val="center"/>
              <w:rPr>
                <w:rFonts w:hint="eastAsia" w:ascii="宋体" w:hAnsi="宋体" w:cs="宋体"/>
                <w:kern w:val="0"/>
                <w:sz w:val="24"/>
                <w:szCs w:val="24"/>
              </w:rPr>
            </w:pPr>
            <w:r>
              <w:rPr>
                <w:rFonts w:hint="eastAsia" w:ascii="宋体" w:hAnsi="宋体" w:cs="宋体"/>
                <w:kern w:val="0"/>
                <w:sz w:val="24"/>
                <w:szCs w:val="24"/>
              </w:rPr>
              <w:t>全自动流式细</w:t>
            </w:r>
            <w:r>
              <w:rPr>
                <w:rFonts w:ascii="宋体" w:hAnsi="宋体" w:cs="宋体"/>
                <w:kern w:val="0"/>
                <w:sz w:val="24"/>
                <w:szCs w:val="24"/>
              </w:rPr>
              <w:t>胞仪</w:t>
            </w:r>
          </w:p>
        </w:tc>
        <w:tc>
          <w:tcPr>
            <w:tcW w:w="1025" w:type="dxa"/>
            <w:vAlign w:val="center"/>
          </w:tcPr>
          <w:p w14:paraId="7504F275">
            <w:pPr>
              <w:widowControl/>
              <w:jc w:val="center"/>
              <w:rPr>
                <w:rFonts w:hint="eastAsia" w:ascii="宋体" w:hAnsi="宋体" w:cs="宋体"/>
                <w:kern w:val="0"/>
                <w:sz w:val="24"/>
                <w:szCs w:val="24"/>
              </w:rPr>
            </w:pPr>
          </w:p>
        </w:tc>
        <w:tc>
          <w:tcPr>
            <w:tcW w:w="1130" w:type="dxa"/>
            <w:vAlign w:val="center"/>
          </w:tcPr>
          <w:p w14:paraId="59D66392">
            <w:pPr>
              <w:jc w:val="center"/>
              <w:rPr>
                <w:rFonts w:hint="eastAsia" w:ascii="宋体" w:hAnsi="宋体"/>
                <w:bCs/>
                <w:sz w:val="24"/>
                <w:szCs w:val="24"/>
              </w:rPr>
            </w:pPr>
          </w:p>
        </w:tc>
        <w:tc>
          <w:tcPr>
            <w:tcW w:w="1299" w:type="dxa"/>
            <w:vAlign w:val="center"/>
          </w:tcPr>
          <w:p w14:paraId="10B6B5A1">
            <w:pPr>
              <w:jc w:val="center"/>
              <w:rPr>
                <w:rFonts w:hint="eastAsia" w:ascii="宋体" w:hAnsi="宋体"/>
                <w:bCs/>
                <w:sz w:val="24"/>
                <w:szCs w:val="24"/>
              </w:rPr>
            </w:pPr>
          </w:p>
        </w:tc>
        <w:tc>
          <w:tcPr>
            <w:tcW w:w="1299" w:type="dxa"/>
            <w:vAlign w:val="center"/>
          </w:tcPr>
          <w:p w14:paraId="4C628FF2">
            <w:pPr>
              <w:jc w:val="center"/>
              <w:rPr>
                <w:rFonts w:hint="eastAsia" w:ascii="宋体" w:hAnsi="宋体"/>
                <w:bCs/>
                <w:sz w:val="24"/>
                <w:szCs w:val="24"/>
              </w:rPr>
            </w:pPr>
          </w:p>
        </w:tc>
        <w:tc>
          <w:tcPr>
            <w:tcW w:w="1299" w:type="dxa"/>
            <w:vAlign w:val="center"/>
          </w:tcPr>
          <w:p w14:paraId="7C390210">
            <w:pPr>
              <w:jc w:val="center"/>
              <w:rPr>
                <w:rFonts w:hint="eastAsia" w:ascii="宋体" w:hAnsi="宋体"/>
                <w:bCs/>
                <w:sz w:val="24"/>
                <w:szCs w:val="24"/>
              </w:rPr>
            </w:pPr>
          </w:p>
        </w:tc>
        <w:tc>
          <w:tcPr>
            <w:tcW w:w="883" w:type="dxa"/>
            <w:vAlign w:val="center"/>
          </w:tcPr>
          <w:p w14:paraId="32112722">
            <w:pPr>
              <w:jc w:val="center"/>
              <w:rPr>
                <w:rFonts w:hint="eastAsia" w:ascii="宋体" w:hAnsi="宋体"/>
                <w:bCs/>
                <w:sz w:val="24"/>
                <w:szCs w:val="24"/>
              </w:rPr>
            </w:pPr>
          </w:p>
        </w:tc>
        <w:tc>
          <w:tcPr>
            <w:tcW w:w="892" w:type="dxa"/>
            <w:vAlign w:val="center"/>
          </w:tcPr>
          <w:p w14:paraId="57171EFD">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87" w:type="dxa"/>
            <w:vAlign w:val="center"/>
          </w:tcPr>
          <w:p w14:paraId="2D0CAF5F">
            <w:pPr>
              <w:jc w:val="center"/>
              <w:rPr>
                <w:rFonts w:hint="eastAsia" w:ascii="宋体" w:hAnsi="宋体"/>
                <w:bCs/>
                <w:sz w:val="24"/>
                <w:szCs w:val="24"/>
              </w:rPr>
            </w:pPr>
          </w:p>
        </w:tc>
      </w:tr>
      <w:tr w14:paraId="52514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67" w:type="dxa"/>
            <w:vAlign w:val="center"/>
          </w:tcPr>
          <w:p w14:paraId="42F99A6C">
            <w:pPr>
              <w:widowControl/>
              <w:jc w:val="center"/>
              <w:rPr>
                <w:rFonts w:hint="eastAsia" w:ascii="宋体" w:hAnsi="宋体"/>
                <w:bCs/>
                <w:sz w:val="24"/>
                <w:szCs w:val="24"/>
              </w:rPr>
            </w:pPr>
            <w:r>
              <w:rPr>
                <w:rFonts w:hint="eastAsia" w:ascii="宋体" w:hAnsi="宋体"/>
                <w:sz w:val="24"/>
                <w:szCs w:val="24"/>
              </w:rPr>
              <w:t>3</w:t>
            </w:r>
          </w:p>
        </w:tc>
        <w:tc>
          <w:tcPr>
            <w:tcW w:w="1403" w:type="dxa"/>
            <w:vAlign w:val="center"/>
          </w:tcPr>
          <w:p w14:paraId="7CA60B8E">
            <w:pPr>
              <w:widowControl/>
              <w:jc w:val="center"/>
              <w:rPr>
                <w:rFonts w:hint="eastAsia" w:ascii="宋体" w:hAnsi="宋体" w:cs="宋体"/>
                <w:kern w:val="0"/>
                <w:sz w:val="24"/>
                <w:szCs w:val="24"/>
              </w:rPr>
            </w:pPr>
            <w:r>
              <w:rPr>
                <w:rFonts w:ascii="宋体" w:hAnsi="宋体" w:cs="宋体"/>
                <w:kern w:val="0"/>
                <w:sz w:val="24"/>
                <w:szCs w:val="24"/>
              </w:rPr>
              <w:t>酶标仪</w:t>
            </w:r>
          </w:p>
        </w:tc>
        <w:tc>
          <w:tcPr>
            <w:tcW w:w="1025" w:type="dxa"/>
            <w:vAlign w:val="center"/>
          </w:tcPr>
          <w:p w14:paraId="09163D20">
            <w:pPr>
              <w:widowControl/>
              <w:jc w:val="center"/>
              <w:rPr>
                <w:rFonts w:hint="eastAsia" w:ascii="宋体" w:hAnsi="宋体" w:cs="宋体"/>
                <w:kern w:val="0"/>
                <w:sz w:val="24"/>
                <w:szCs w:val="24"/>
              </w:rPr>
            </w:pPr>
          </w:p>
        </w:tc>
        <w:tc>
          <w:tcPr>
            <w:tcW w:w="1130" w:type="dxa"/>
            <w:vAlign w:val="center"/>
          </w:tcPr>
          <w:p w14:paraId="3533B5E3">
            <w:pPr>
              <w:jc w:val="center"/>
              <w:rPr>
                <w:rFonts w:hint="eastAsia" w:ascii="宋体" w:hAnsi="宋体"/>
                <w:bCs/>
                <w:sz w:val="24"/>
                <w:szCs w:val="24"/>
              </w:rPr>
            </w:pPr>
          </w:p>
        </w:tc>
        <w:tc>
          <w:tcPr>
            <w:tcW w:w="1299" w:type="dxa"/>
            <w:vAlign w:val="center"/>
          </w:tcPr>
          <w:p w14:paraId="1BD5A753">
            <w:pPr>
              <w:jc w:val="center"/>
              <w:rPr>
                <w:rFonts w:hint="eastAsia" w:ascii="宋体" w:hAnsi="宋体"/>
                <w:bCs/>
                <w:sz w:val="24"/>
                <w:szCs w:val="24"/>
              </w:rPr>
            </w:pPr>
          </w:p>
        </w:tc>
        <w:tc>
          <w:tcPr>
            <w:tcW w:w="1299" w:type="dxa"/>
            <w:vAlign w:val="center"/>
          </w:tcPr>
          <w:p w14:paraId="6E80D72B">
            <w:pPr>
              <w:jc w:val="center"/>
              <w:rPr>
                <w:rFonts w:hint="eastAsia" w:ascii="宋体" w:hAnsi="宋体"/>
                <w:bCs/>
                <w:sz w:val="24"/>
                <w:szCs w:val="24"/>
              </w:rPr>
            </w:pPr>
          </w:p>
        </w:tc>
        <w:tc>
          <w:tcPr>
            <w:tcW w:w="1299" w:type="dxa"/>
            <w:vAlign w:val="center"/>
          </w:tcPr>
          <w:p w14:paraId="5FCB796A">
            <w:pPr>
              <w:jc w:val="center"/>
              <w:rPr>
                <w:rFonts w:hint="eastAsia" w:ascii="宋体" w:hAnsi="宋体"/>
                <w:bCs/>
                <w:sz w:val="24"/>
                <w:szCs w:val="24"/>
              </w:rPr>
            </w:pPr>
          </w:p>
        </w:tc>
        <w:tc>
          <w:tcPr>
            <w:tcW w:w="883" w:type="dxa"/>
            <w:vAlign w:val="center"/>
          </w:tcPr>
          <w:p w14:paraId="1BFDCDD2">
            <w:pPr>
              <w:jc w:val="center"/>
              <w:rPr>
                <w:rFonts w:hint="eastAsia" w:ascii="宋体" w:hAnsi="宋体"/>
                <w:bCs/>
                <w:sz w:val="24"/>
                <w:szCs w:val="24"/>
              </w:rPr>
            </w:pPr>
          </w:p>
        </w:tc>
        <w:tc>
          <w:tcPr>
            <w:tcW w:w="892" w:type="dxa"/>
            <w:vAlign w:val="center"/>
          </w:tcPr>
          <w:p w14:paraId="72CDC3DB">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87" w:type="dxa"/>
            <w:vAlign w:val="center"/>
          </w:tcPr>
          <w:p w14:paraId="5ADFAF34">
            <w:pPr>
              <w:jc w:val="center"/>
              <w:rPr>
                <w:rFonts w:hint="eastAsia" w:ascii="宋体" w:hAnsi="宋体"/>
                <w:bCs/>
                <w:sz w:val="24"/>
                <w:szCs w:val="24"/>
              </w:rPr>
            </w:pPr>
          </w:p>
        </w:tc>
      </w:tr>
      <w:tr w14:paraId="4F471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jc w:val="center"/>
        </w:trPr>
        <w:tc>
          <w:tcPr>
            <w:tcW w:w="567" w:type="dxa"/>
            <w:vAlign w:val="center"/>
          </w:tcPr>
          <w:p w14:paraId="132F7773">
            <w:pPr>
              <w:widowControl/>
              <w:jc w:val="center"/>
              <w:rPr>
                <w:rFonts w:hint="eastAsia" w:ascii="宋体" w:hAnsi="宋体"/>
                <w:bCs/>
                <w:sz w:val="24"/>
                <w:szCs w:val="24"/>
              </w:rPr>
            </w:pPr>
            <w:r>
              <w:rPr>
                <w:rFonts w:hint="eastAsia" w:ascii="宋体" w:hAnsi="宋体"/>
                <w:sz w:val="24"/>
                <w:szCs w:val="24"/>
              </w:rPr>
              <w:t>4</w:t>
            </w:r>
          </w:p>
        </w:tc>
        <w:tc>
          <w:tcPr>
            <w:tcW w:w="1403" w:type="dxa"/>
            <w:vAlign w:val="center"/>
          </w:tcPr>
          <w:p w14:paraId="1F063ABD">
            <w:pPr>
              <w:widowControl/>
              <w:jc w:val="center"/>
              <w:rPr>
                <w:rFonts w:hint="eastAsia" w:ascii="宋体" w:hAnsi="宋体" w:cs="宋体"/>
                <w:kern w:val="0"/>
                <w:sz w:val="24"/>
                <w:szCs w:val="24"/>
              </w:rPr>
            </w:pPr>
            <w:r>
              <w:rPr>
                <w:rFonts w:ascii="宋体" w:hAnsi="宋体" w:cs="宋体"/>
                <w:kern w:val="0"/>
                <w:sz w:val="24"/>
                <w:szCs w:val="24"/>
              </w:rPr>
              <w:t>全自动粪便分析仪</w:t>
            </w:r>
          </w:p>
        </w:tc>
        <w:tc>
          <w:tcPr>
            <w:tcW w:w="1025" w:type="dxa"/>
            <w:vAlign w:val="center"/>
          </w:tcPr>
          <w:p w14:paraId="4D0834D5">
            <w:pPr>
              <w:widowControl/>
              <w:jc w:val="center"/>
              <w:rPr>
                <w:rFonts w:hint="eastAsia" w:ascii="宋体" w:hAnsi="宋体" w:cs="宋体"/>
                <w:kern w:val="0"/>
                <w:sz w:val="24"/>
                <w:szCs w:val="24"/>
              </w:rPr>
            </w:pPr>
          </w:p>
        </w:tc>
        <w:tc>
          <w:tcPr>
            <w:tcW w:w="1130" w:type="dxa"/>
            <w:vAlign w:val="center"/>
          </w:tcPr>
          <w:p w14:paraId="4EDFB6DB">
            <w:pPr>
              <w:jc w:val="center"/>
              <w:rPr>
                <w:rFonts w:hint="eastAsia" w:ascii="宋体" w:hAnsi="宋体"/>
                <w:bCs/>
                <w:sz w:val="24"/>
                <w:szCs w:val="24"/>
              </w:rPr>
            </w:pPr>
          </w:p>
        </w:tc>
        <w:tc>
          <w:tcPr>
            <w:tcW w:w="1299" w:type="dxa"/>
            <w:vAlign w:val="center"/>
          </w:tcPr>
          <w:p w14:paraId="7776C37A">
            <w:pPr>
              <w:jc w:val="center"/>
              <w:rPr>
                <w:rFonts w:hint="eastAsia" w:ascii="宋体" w:hAnsi="宋体"/>
                <w:bCs/>
                <w:sz w:val="24"/>
                <w:szCs w:val="24"/>
              </w:rPr>
            </w:pPr>
          </w:p>
        </w:tc>
        <w:tc>
          <w:tcPr>
            <w:tcW w:w="1299" w:type="dxa"/>
            <w:vAlign w:val="center"/>
          </w:tcPr>
          <w:p w14:paraId="223609F2">
            <w:pPr>
              <w:jc w:val="center"/>
              <w:rPr>
                <w:rFonts w:hint="eastAsia" w:ascii="宋体" w:hAnsi="宋体"/>
                <w:bCs/>
                <w:sz w:val="24"/>
                <w:szCs w:val="24"/>
              </w:rPr>
            </w:pPr>
          </w:p>
        </w:tc>
        <w:tc>
          <w:tcPr>
            <w:tcW w:w="1299" w:type="dxa"/>
            <w:vAlign w:val="center"/>
          </w:tcPr>
          <w:p w14:paraId="0E284EAD">
            <w:pPr>
              <w:jc w:val="center"/>
              <w:rPr>
                <w:rFonts w:hint="eastAsia" w:ascii="宋体" w:hAnsi="宋体"/>
                <w:bCs/>
                <w:sz w:val="24"/>
                <w:szCs w:val="24"/>
              </w:rPr>
            </w:pPr>
          </w:p>
        </w:tc>
        <w:tc>
          <w:tcPr>
            <w:tcW w:w="883" w:type="dxa"/>
            <w:vAlign w:val="center"/>
          </w:tcPr>
          <w:p w14:paraId="3B5EFA72">
            <w:pPr>
              <w:jc w:val="center"/>
              <w:rPr>
                <w:rFonts w:hint="eastAsia" w:ascii="宋体" w:hAnsi="宋体"/>
                <w:bCs/>
                <w:sz w:val="24"/>
                <w:szCs w:val="24"/>
              </w:rPr>
            </w:pPr>
          </w:p>
        </w:tc>
        <w:tc>
          <w:tcPr>
            <w:tcW w:w="892" w:type="dxa"/>
            <w:vAlign w:val="center"/>
          </w:tcPr>
          <w:p w14:paraId="45BAB8B6">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787" w:type="dxa"/>
            <w:vAlign w:val="center"/>
          </w:tcPr>
          <w:p w14:paraId="274CFB08">
            <w:pPr>
              <w:jc w:val="center"/>
              <w:rPr>
                <w:rFonts w:hint="eastAsia" w:ascii="宋体" w:hAnsi="宋体"/>
                <w:bCs/>
                <w:sz w:val="24"/>
                <w:szCs w:val="24"/>
              </w:rPr>
            </w:pPr>
          </w:p>
        </w:tc>
      </w:tr>
      <w:tr w14:paraId="545E1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67" w:type="dxa"/>
            <w:vAlign w:val="center"/>
          </w:tcPr>
          <w:p w14:paraId="766512C0">
            <w:pPr>
              <w:widowControl/>
              <w:jc w:val="center"/>
              <w:rPr>
                <w:rFonts w:hint="eastAsia" w:ascii="宋体" w:hAnsi="宋体"/>
                <w:bCs/>
                <w:sz w:val="24"/>
                <w:szCs w:val="24"/>
              </w:rPr>
            </w:pPr>
            <w:r>
              <w:rPr>
                <w:rFonts w:hint="eastAsia" w:ascii="宋体" w:hAnsi="宋体"/>
                <w:sz w:val="24"/>
                <w:szCs w:val="24"/>
              </w:rPr>
              <w:t>5</w:t>
            </w:r>
          </w:p>
        </w:tc>
        <w:tc>
          <w:tcPr>
            <w:tcW w:w="1403" w:type="dxa"/>
            <w:vAlign w:val="center"/>
          </w:tcPr>
          <w:p w14:paraId="1E8D53B3">
            <w:pPr>
              <w:widowControl/>
              <w:jc w:val="center"/>
              <w:rPr>
                <w:rFonts w:hint="eastAsia" w:ascii="宋体" w:hAnsi="宋体" w:cs="宋体"/>
                <w:kern w:val="0"/>
                <w:sz w:val="24"/>
                <w:szCs w:val="24"/>
              </w:rPr>
            </w:pPr>
            <w:r>
              <w:rPr>
                <w:rFonts w:ascii="宋体" w:hAnsi="宋体" w:cs="宋体"/>
                <w:kern w:val="0"/>
                <w:sz w:val="24"/>
                <w:szCs w:val="24"/>
              </w:rPr>
              <w:t>全自动化学发光免疫分析仪</w:t>
            </w:r>
          </w:p>
        </w:tc>
        <w:tc>
          <w:tcPr>
            <w:tcW w:w="1025" w:type="dxa"/>
            <w:vAlign w:val="center"/>
          </w:tcPr>
          <w:p w14:paraId="2ED0CEEC">
            <w:pPr>
              <w:widowControl/>
              <w:jc w:val="center"/>
              <w:rPr>
                <w:rFonts w:hint="eastAsia" w:ascii="宋体" w:hAnsi="宋体" w:cs="宋体"/>
                <w:kern w:val="0"/>
                <w:sz w:val="24"/>
                <w:szCs w:val="24"/>
              </w:rPr>
            </w:pPr>
          </w:p>
        </w:tc>
        <w:tc>
          <w:tcPr>
            <w:tcW w:w="1130" w:type="dxa"/>
            <w:vAlign w:val="center"/>
          </w:tcPr>
          <w:p w14:paraId="1B9F05DC">
            <w:pPr>
              <w:jc w:val="center"/>
              <w:rPr>
                <w:rFonts w:hint="eastAsia" w:ascii="宋体" w:hAnsi="宋体"/>
                <w:bCs/>
                <w:sz w:val="24"/>
                <w:szCs w:val="24"/>
              </w:rPr>
            </w:pPr>
          </w:p>
        </w:tc>
        <w:tc>
          <w:tcPr>
            <w:tcW w:w="1299" w:type="dxa"/>
            <w:vAlign w:val="center"/>
          </w:tcPr>
          <w:p w14:paraId="3EB07F65">
            <w:pPr>
              <w:jc w:val="center"/>
              <w:rPr>
                <w:rFonts w:hint="eastAsia" w:ascii="宋体" w:hAnsi="宋体"/>
                <w:bCs/>
                <w:sz w:val="24"/>
                <w:szCs w:val="24"/>
              </w:rPr>
            </w:pPr>
          </w:p>
        </w:tc>
        <w:tc>
          <w:tcPr>
            <w:tcW w:w="1299" w:type="dxa"/>
            <w:vAlign w:val="center"/>
          </w:tcPr>
          <w:p w14:paraId="1414218E">
            <w:pPr>
              <w:jc w:val="center"/>
              <w:rPr>
                <w:rFonts w:hint="eastAsia" w:ascii="宋体" w:hAnsi="宋体"/>
                <w:bCs/>
                <w:sz w:val="24"/>
                <w:szCs w:val="24"/>
              </w:rPr>
            </w:pPr>
          </w:p>
        </w:tc>
        <w:tc>
          <w:tcPr>
            <w:tcW w:w="1299" w:type="dxa"/>
            <w:vAlign w:val="center"/>
          </w:tcPr>
          <w:p w14:paraId="63581296">
            <w:pPr>
              <w:jc w:val="center"/>
              <w:rPr>
                <w:rFonts w:hint="eastAsia" w:ascii="宋体" w:hAnsi="宋体"/>
                <w:bCs/>
                <w:sz w:val="24"/>
                <w:szCs w:val="24"/>
              </w:rPr>
            </w:pPr>
          </w:p>
        </w:tc>
        <w:tc>
          <w:tcPr>
            <w:tcW w:w="883" w:type="dxa"/>
            <w:vAlign w:val="center"/>
          </w:tcPr>
          <w:p w14:paraId="44CDE1B4">
            <w:pPr>
              <w:jc w:val="center"/>
              <w:rPr>
                <w:rFonts w:hint="eastAsia" w:ascii="宋体" w:hAnsi="宋体"/>
                <w:bCs/>
                <w:sz w:val="24"/>
                <w:szCs w:val="24"/>
              </w:rPr>
            </w:pPr>
          </w:p>
        </w:tc>
        <w:tc>
          <w:tcPr>
            <w:tcW w:w="892" w:type="dxa"/>
            <w:vAlign w:val="center"/>
          </w:tcPr>
          <w:p w14:paraId="29588EBC">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87" w:type="dxa"/>
            <w:vAlign w:val="center"/>
          </w:tcPr>
          <w:p w14:paraId="45687BB1">
            <w:pPr>
              <w:jc w:val="center"/>
              <w:rPr>
                <w:rFonts w:hint="eastAsia" w:ascii="宋体" w:hAnsi="宋体"/>
                <w:bCs/>
                <w:sz w:val="24"/>
                <w:szCs w:val="24"/>
              </w:rPr>
            </w:pPr>
          </w:p>
        </w:tc>
      </w:tr>
      <w:tr w14:paraId="0EDE2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67" w:type="dxa"/>
            <w:vAlign w:val="center"/>
          </w:tcPr>
          <w:p w14:paraId="3840E0B3">
            <w:pPr>
              <w:widowControl/>
              <w:jc w:val="center"/>
              <w:rPr>
                <w:rFonts w:hint="eastAsia" w:ascii="宋体" w:hAnsi="宋体"/>
                <w:bCs/>
                <w:sz w:val="24"/>
                <w:szCs w:val="24"/>
              </w:rPr>
            </w:pPr>
            <w:r>
              <w:rPr>
                <w:rFonts w:hint="eastAsia" w:ascii="宋体" w:hAnsi="宋体"/>
                <w:sz w:val="24"/>
                <w:szCs w:val="24"/>
              </w:rPr>
              <w:t>6</w:t>
            </w:r>
          </w:p>
        </w:tc>
        <w:tc>
          <w:tcPr>
            <w:tcW w:w="1403" w:type="dxa"/>
            <w:vAlign w:val="center"/>
          </w:tcPr>
          <w:p w14:paraId="2BF8F87D">
            <w:pPr>
              <w:widowControl/>
              <w:jc w:val="center"/>
              <w:rPr>
                <w:rFonts w:hint="eastAsia" w:ascii="宋体" w:hAnsi="宋体" w:cs="宋体"/>
                <w:kern w:val="0"/>
                <w:sz w:val="24"/>
                <w:szCs w:val="24"/>
              </w:rPr>
            </w:pPr>
            <w:r>
              <w:rPr>
                <w:rFonts w:ascii="宋体" w:hAnsi="宋体" w:cs="宋体"/>
                <w:kern w:val="0"/>
                <w:sz w:val="24"/>
                <w:szCs w:val="24"/>
              </w:rPr>
              <w:t>全自动尿液分析流水线</w:t>
            </w:r>
          </w:p>
        </w:tc>
        <w:tc>
          <w:tcPr>
            <w:tcW w:w="1025" w:type="dxa"/>
            <w:vAlign w:val="center"/>
          </w:tcPr>
          <w:p w14:paraId="09619580">
            <w:pPr>
              <w:widowControl/>
              <w:jc w:val="center"/>
              <w:rPr>
                <w:rFonts w:hint="eastAsia" w:ascii="宋体" w:hAnsi="宋体" w:cs="宋体"/>
                <w:kern w:val="0"/>
                <w:sz w:val="24"/>
                <w:szCs w:val="24"/>
              </w:rPr>
            </w:pPr>
          </w:p>
        </w:tc>
        <w:tc>
          <w:tcPr>
            <w:tcW w:w="1130" w:type="dxa"/>
            <w:vAlign w:val="center"/>
          </w:tcPr>
          <w:p w14:paraId="7FB10AEA">
            <w:pPr>
              <w:jc w:val="center"/>
              <w:rPr>
                <w:rFonts w:hint="eastAsia" w:ascii="宋体" w:hAnsi="宋体"/>
                <w:bCs/>
                <w:sz w:val="24"/>
                <w:szCs w:val="24"/>
              </w:rPr>
            </w:pPr>
          </w:p>
        </w:tc>
        <w:tc>
          <w:tcPr>
            <w:tcW w:w="1299" w:type="dxa"/>
            <w:vAlign w:val="center"/>
          </w:tcPr>
          <w:p w14:paraId="45FCB4C9">
            <w:pPr>
              <w:jc w:val="center"/>
              <w:rPr>
                <w:rFonts w:hint="eastAsia" w:ascii="宋体" w:hAnsi="宋体"/>
                <w:bCs/>
                <w:sz w:val="24"/>
                <w:szCs w:val="24"/>
              </w:rPr>
            </w:pPr>
          </w:p>
        </w:tc>
        <w:tc>
          <w:tcPr>
            <w:tcW w:w="1299" w:type="dxa"/>
            <w:vAlign w:val="center"/>
          </w:tcPr>
          <w:p w14:paraId="0AB04D94">
            <w:pPr>
              <w:jc w:val="center"/>
              <w:rPr>
                <w:rFonts w:hint="eastAsia" w:ascii="宋体" w:hAnsi="宋体"/>
                <w:bCs/>
                <w:sz w:val="24"/>
                <w:szCs w:val="24"/>
              </w:rPr>
            </w:pPr>
          </w:p>
        </w:tc>
        <w:tc>
          <w:tcPr>
            <w:tcW w:w="1299" w:type="dxa"/>
            <w:vAlign w:val="center"/>
          </w:tcPr>
          <w:p w14:paraId="289CCFFA">
            <w:pPr>
              <w:jc w:val="center"/>
              <w:rPr>
                <w:rFonts w:hint="eastAsia" w:ascii="宋体" w:hAnsi="宋体"/>
                <w:bCs/>
                <w:sz w:val="24"/>
                <w:szCs w:val="24"/>
              </w:rPr>
            </w:pPr>
          </w:p>
        </w:tc>
        <w:tc>
          <w:tcPr>
            <w:tcW w:w="883" w:type="dxa"/>
            <w:vAlign w:val="center"/>
          </w:tcPr>
          <w:p w14:paraId="22E37FEA">
            <w:pPr>
              <w:jc w:val="center"/>
              <w:rPr>
                <w:rFonts w:hint="eastAsia" w:ascii="宋体" w:hAnsi="宋体"/>
                <w:bCs/>
                <w:sz w:val="24"/>
                <w:szCs w:val="24"/>
              </w:rPr>
            </w:pPr>
          </w:p>
        </w:tc>
        <w:tc>
          <w:tcPr>
            <w:tcW w:w="892" w:type="dxa"/>
            <w:vAlign w:val="center"/>
          </w:tcPr>
          <w:p w14:paraId="0CAF0289">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87" w:type="dxa"/>
            <w:vAlign w:val="center"/>
          </w:tcPr>
          <w:p w14:paraId="31010309">
            <w:pPr>
              <w:jc w:val="center"/>
              <w:rPr>
                <w:rFonts w:hint="eastAsia" w:ascii="宋体" w:hAnsi="宋体"/>
                <w:bCs/>
                <w:sz w:val="24"/>
                <w:szCs w:val="24"/>
              </w:rPr>
            </w:pPr>
          </w:p>
        </w:tc>
      </w:tr>
      <w:tr w14:paraId="0FE96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67" w:type="dxa"/>
            <w:vAlign w:val="center"/>
          </w:tcPr>
          <w:p w14:paraId="7C41BA38">
            <w:pPr>
              <w:widowControl/>
              <w:jc w:val="center"/>
              <w:rPr>
                <w:rFonts w:hint="eastAsia" w:ascii="宋体" w:hAnsi="宋体"/>
                <w:bCs/>
                <w:sz w:val="24"/>
                <w:szCs w:val="24"/>
              </w:rPr>
            </w:pPr>
            <w:r>
              <w:rPr>
                <w:rFonts w:hint="eastAsia" w:ascii="宋体" w:hAnsi="宋体"/>
                <w:sz w:val="24"/>
                <w:szCs w:val="24"/>
              </w:rPr>
              <w:t>7</w:t>
            </w:r>
          </w:p>
        </w:tc>
        <w:tc>
          <w:tcPr>
            <w:tcW w:w="1403" w:type="dxa"/>
            <w:vAlign w:val="center"/>
          </w:tcPr>
          <w:p w14:paraId="0091E325">
            <w:pPr>
              <w:widowControl/>
              <w:jc w:val="center"/>
              <w:rPr>
                <w:rFonts w:hint="eastAsia" w:ascii="宋体" w:hAnsi="宋体" w:cs="宋体"/>
                <w:kern w:val="0"/>
                <w:sz w:val="24"/>
                <w:szCs w:val="24"/>
              </w:rPr>
            </w:pPr>
            <w:r>
              <w:rPr>
                <w:rFonts w:ascii="宋体" w:hAnsi="宋体" w:cs="宋体"/>
                <w:kern w:val="0"/>
                <w:sz w:val="24"/>
                <w:szCs w:val="24"/>
              </w:rPr>
              <w:t>全自动凝血分析流水线</w:t>
            </w:r>
          </w:p>
        </w:tc>
        <w:tc>
          <w:tcPr>
            <w:tcW w:w="1025" w:type="dxa"/>
            <w:vAlign w:val="center"/>
          </w:tcPr>
          <w:p w14:paraId="77C3AC06">
            <w:pPr>
              <w:widowControl/>
              <w:jc w:val="center"/>
              <w:rPr>
                <w:rFonts w:hint="eastAsia" w:ascii="宋体" w:hAnsi="宋体" w:cs="宋体"/>
                <w:kern w:val="0"/>
                <w:sz w:val="24"/>
                <w:szCs w:val="24"/>
              </w:rPr>
            </w:pPr>
          </w:p>
        </w:tc>
        <w:tc>
          <w:tcPr>
            <w:tcW w:w="1130" w:type="dxa"/>
            <w:vAlign w:val="center"/>
          </w:tcPr>
          <w:p w14:paraId="28AB5B1E">
            <w:pPr>
              <w:jc w:val="center"/>
              <w:rPr>
                <w:rFonts w:hint="eastAsia" w:ascii="宋体" w:hAnsi="宋体"/>
                <w:bCs/>
                <w:sz w:val="24"/>
                <w:szCs w:val="24"/>
              </w:rPr>
            </w:pPr>
          </w:p>
        </w:tc>
        <w:tc>
          <w:tcPr>
            <w:tcW w:w="1299" w:type="dxa"/>
            <w:vAlign w:val="center"/>
          </w:tcPr>
          <w:p w14:paraId="50D3535B">
            <w:pPr>
              <w:jc w:val="center"/>
              <w:rPr>
                <w:rFonts w:hint="eastAsia" w:ascii="宋体" w:hAnsi="宋体"/>
                <w:bCs/>
                <w:sz w:val="24"/>
                <w:szCs w:val="24"/>
              </w:rPr>
            </w:pPr>
          </w:p>
        </w:tc>
        <w:tc>
          <w:tcPr>
            <w:tcW w:w="1299" w:type="dxa"/>
            <w:vAlign w:val="center"/>
          </w:tcPr>
          <w:p w14:paraId="5631B282">
            <w:pPr>
              <w:jc w:val="center"/>
              <w:rPr>
                <w:rFonts w:hint="eastAsia" w:ascii="宋体" w:hAnsi="宋体"/>
                <w:bCs/>
                <w:sz w:val="24"/>
                <w:szCs w:val="24"/>
              </w:rPr>
            </w:pPr>
          </w:p>
        </w:tc>
        <w:tc>
          <w:tcPr>
            <w:tcW w:w="1299" w:type="dxa"/>
            <w:vAlign w:val="center"/>
          </w:tcPr>
          <w:p w14:paraId="4B9A0702">
            <w:pPr>
              <w:jc w:val="center"/>
              <w:rPr>
                <w:rFonts w:hint="eastAsia" w:ascii="宋体" w:hAnsi="宋体"/>
                <w:bCs/>
                <w:sz w:val="24"/>
                <w:szCs w:val="24"/>
              </w:rPr>
            </w:pPr>
          </w:p>
        </w:tc>
        <w:tc>
          <w:tcPr>
            <w:tcW w:w="883" w:type="dxa"/>
            <w:vAlign w:val="center"/>
          </w:tcPr>
          <w:p w14:paraId="6F0BB323">
            <w:pPr>
              <w:jc w:val="center"/>
              <w:rPr>
                <w:rFonts w:hint="eastAsia" w:ascii="宋体" w:hAnsi="宋体"/>
                <w:bCs/>
                <w:sz w:val="24"/>
                <w:szCs w:val="24"/>
              </w:rPr>
            </w:pPr>
          </w:p>
        </w:tc>
        <w:tc>
          <w:tcPr>
            <w:tcW w:w="892" w:type="dxa"/>
            <w:vAlign w:val="center"/>
          </w:tcPr>
          <w:p w14:paraId="2EE436A2">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87" w:type="dxa"/>
            <w:vAlign w:val="center"/>
          </w:tcPr>
          <w:p w14:paraId="0410B481">
            <w:pPr>
              <w:jc w:val="center"/>
              <w:rPr>
                <w:rFonts w:hint="eastAsia" w:ascii="宋体" w:hAnsi="宋体"/>
                <w:bCs/>
                <w:sz w:val="24"/>
                <w:szCs w:val="24"/>
              </w:rPr>
            </w:pPr>
          </w:p>
        </w:tc>
      </w:tr>
      <w:tr w14:paraId="165B6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67" w:type="dxa"/>
            <w:vAlign w:val="center"/>
          </w:tcPr>
          <w:p w14:paraId="0969B1B8">
            <w:pPr>
              <w:widowControl/>
              <w:jc w:val="center"/>
              <w:rPr>
                <w:rFonts w:hint="eastAsia" w:ascii="宋体" w:hAnsi="宋体"/>
                <w:bCs/>
                <w:sz w:val="24"/>
                <w:szCs w:val="24"/>
              </w:rPr>
            </w:pPr>
            <w:r>
              <w:rPr>
                <w:rFonts w:hint="eastAsia" w:ascii="宋体" w:hAnsi="宋体"/>
                <w:sz w:val="24"/>
                <w:szCs w:val="24"/>
              </w:rPr>
              <w:t>8</w:t>
            </w:r>
          </w:p>
        </w:tc>
        <w:tc>
          <w:tcPr>
            <w:tcW w:w="1403" w:type="dxa"/>
            <w:vAlign w:val="center"/>
          </w:tcPr>
          <w:p w14:paraId="36D3A17B">
            <w:pPr>
              <w:widowControl/>
              <w:jc w:val="center"/>
              <w:rPr>
                <w:rFonts w:hint="eastAsia" w:ascii="宋体" w:hAnsi="宋体" w:cs="宋体"/>
                <w:kern w:val="0"/>
                <w:sz w:val="24"/>
                <w:szCs w:val="24"/>
              </w:rPr>
            </w:pPr>
            <w:r>
              <w:rPr>
                <w:rFonts w:ascii="宋体" w:hAnsi="宋体" w:cs="宋体"/>
                <w:kern w:val="0"/>
                <w:sz w:val="24"/>
                <w:szCs w:val="24"/>
              </w:rPr>
              <w:t>全自动生化分析仪</w:t>
            </w:r>
          </w:p>
        </w:tc>
        <w:tc>
          <w:tcPr>
            <w:tcW w:w="1025" w:type="dxa"/>
            <w:vAlign w:val="center"/>
          </w:tcPr>
          <w:p w14:paraId="6FE6CA04">
            <w:pPr>
              <w:widowControl/>
              <w:jc w:val="center"/>
              <w:rPr>
                <w:rFonts w:hint="eastAsia" w:ascii="宋体" w:hAnsi="宋体" w:cs="宋体"/>
                <w:kern w:val="0"/>
                <w:sz w:val="24"/>
                <w:szCs w:val="24"/>
              </w:rPr>
            </w:pPr>
          </w:p>
        </w:tc>
        <w:tc>
          <w:tcPr>
            <w:tcW w:w="1130" w:type="dxa"/>
            <w:vAlign w:val="center"/>
          </w:tcPr>
          <w:p w14:paraId="03E0EF99">
            <w:pPr>
              <w:jc w:val="center"/>
              <w:rPr>
                <w:rFonts w:hint="eastAsia" w:ascii="宋体" w:hAnsi="宋体"/>
                <w:bCs/>
                <w:sz w:val="24"/>
                <w:szCs w:val="24"/>
              </w:rPr>
            </w:pPr>
          </w:p>
        </w:tc>
        <w:tc>
          <w:tcPr>
            <w:tcW w:w="1299" w:type="dxa"/>
            <w:vAlign w:val="center"/>
          </w:tcPr>
          <w:p w14:paraId="675462AC">
            <w:pPr>
              <w:jc w:val="center"/>
              <w:rPr>
                <w:rFonts w:hint="eastAsia" w:ascii="宋体" w:hAnsi="宋体"/>
                <w:bCs/>
                <w:sz w:val="24"/>
                <w:szCs w:val="24"/>
              </w:rPr>
            </w:pPr>
          </w:p>
        </w:tc>
        <w:tc>
          <w:tcPr>
            <w:tcW w:w="1299" w:type="dxa"/>
            <w:vAlign w:val="center"/>
          </w:tcPr>
          <w:p w14:paraId="2B5A5320">
            <w:pPr>
              <w:jc w:val="center"/>
              <w:rPr>
                <w:rFonts w:hint="eastAsia" w:ascii="宋体" w:hAnsi="宋体"/>
                <w:bCs/>
                <w:sz w:val="24"/>
                <w:szCs w:val="24"/>
              </w:rPr>
            </w:pPr>
          </w:p>
        </w:tc>
        <w:tc>
          <w:tcPr>
            <w:tcW w:w="1299" w:type="dxa"/>
            <w:vAlign w:val="center"/>
          </w:tcPr>
          <w:p w14:paraId="4333C904">
            <w:pPr>
              <w:jc w:val="center"/>
              <w:rPr>
                <w:rFonts w:hint="eastAsia" w:ascii="宋体" w:hAnsi="宋体"/>
                <w:bCs/>
                <w:sz w:val="24"/>
                <w:szCs w:val="24"/>
              </w:rPr>
            </w:pPr>
          </w:p>
        </w:tc>
        <w:tc>
          <w:tcPr>
            <w:tcW w:w="883" w:type="dxa"/>
            <w:vAlign w:val="center"/>
          </w:tcPr>
          <w:p w14:paraId="34B388DA">
            <w:pPr>
              <w:jc w:val="center"/>
              <w:rPr>
                <w:rFonts w:hint="eastAsia" w:ascii="宋体" w:hAnsi="宋体"/>
                <w:bCs/>
                <w:sz w:val="24"/>
                <w:szCs w:val="24"/>
              </w:rPr>
            </w:pPr>
          </w:p>
        </w:tc>
        <w:tc>
          <w:tcPr>
            <w:tcW w:w="892" w:type="dxa"/>
            <w:vAlign w:val="center"/>
          </w:tcPr>
          <w:p w14:paraId="6695EA56">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87" w:type="dxa"/>
            <w:vAlign w:val="center"/>
          </w:tcPr>
          <w:p w14:paraId="204BC899">
            <w:pPr>
              <w:jc w:val="center"/>
              <w:rPr>
                <w:rFonts w:hint="eastAsia" w:ascii="宋体" w:hAnsi="宋体"/>
                <w:bCs/>
                <w:sz w:val="24"/>
                <w:szCs w:val="24"/>
              </w:rPr>
            </w:pPr>
          </w:p>
        </w:tc>
      </w:tr>
      <w:tr w14:paraId="7CAD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4BF99D7A">
            <w:pPr>
              <w:widowControl/>
              <w:jc w:val="center"/>
              <w:rPr>
                <w:rFonts w:hint="eastAsia" w:ascii="宋体" w:hAnsi="宋体"/>
                <w:bCs/>
                <w:sz w:val="24"/>
                <w:szCs w:val="24"/>
              </w:rPr>
            </w:pPr>
            <w:r>
              <w:rPr>
                <w:rFonts w:hint="eastAsia" w:ascii="宋体" w:hAnsi="宋体"/>
                <w:sz w:val="24"/>
                <w:szCs w:val="24"/>
              </w:rPr>
              <w:t>9</w:t>
            </w:r>
          </w:p>
        </w:tc>
        <w:tc>
          <w:tcPr>
            <w:tcW w:w="1403" w:type="dxa"/>
            <w:vAlign w:val="center"/>
          </w:tcPr>
          <w:p w14:paraId="421B28C3">
            <w:pPr>
              <w:widowControl/>
              <w:jc w:val="center"/>
              <w:rPr>
                <w:rFonts w:hint="eastAsia" w:ascii="宋体" w:hAnsi="宋体" w:cs="宋体"/>
                <w:kern w:val="0"/>
                <w:sz w:val="24"/>
                <w:szCs w:val="24"/>
              </w:rPr>
            </w:pPr>
            <w:r>
              <w:rPr>
                <w:rFonts w:ascii="宋体" w:hAnsi="宋体" w:cs="宋体"/>
                <w:kern w:val="0"/>
                <w:sz w:val="24"/>
                <w:szCs w:val="24"/>
              </w:rPr>
              <w:t>全自动生化免疫流水线</w:t>
            </w:r>
          </w:p>
        </w:tc>
        <w:tc>
          <w:tcPr>
            <w:tcW w:w="1025" w:type="dxa"/>
            <w:vAlign w:val="center"/>
          </w:tcPr>
          <w:p w14:paraId="26F799B5">
            <w:pPr>
              <w:widowControl/>
              <w:jc w:val="center"/>
              <w:rPr>
                <w:rFonts w:hint="eastAsia" w:ascii="宋体" w:hAnsi="宋体" w:cs="宋体"/>
                <w:kern w:val="0"/>
                <w:sz w:val="24"/>
                <w:szCs w:val="24"/>
              </w:rPr>
            </w:pPr>
          </w:p>
        </w:tc>
        <w:tc>
          <w:tcPr>
            <w:tcW w:w="1130" w:type="dxa"/>
            <w:vAlign w:val="center"/>
          </w:tcPr>
          <w:p w14:paraId="03D07891">
            <w:pPr>
              <w:jc w:val="center"/>
              <w:rPr>
                <w:rFonts w:hint="eastAsia" w:ascii="宋体" w:hAnsi="宋体"/>
                <w:bCs/>
                <w:sz w:val="24"/>
                <w:szCs w:val="24"/>
              </w:rPr>
            </w:pPr>
          </w:p>
        </w:tc>
        <w:tc>
          <w:tcPr>
            <w:tcW w:w="1299" w:type="dxa"/>
            <w:vAlign w:val="center"/>
          </w:tcPr>
          <w:p w14:paraId="6FAE14E9">
            <w:pPr>
              <w:jc w:val="center"/>
              <w:rPr>
                <w:rFonts w:hint="eastAsia" w:ascii="宋体" w:hAnsi="宋体"/>
                <w:bCs/>
                <w:sz w:val="24"/>
                <w:szCs w:val="24"/>
              </w:rPr>
            </w:pPr>
          </w:p>
        </w:tc>
        <w:tc>
          <w:tcPr>
            <w:tcW w:w="1299" w:type="dxa"/>
            <w:vAlign w:val="center"/>
          </w:tcPr>
          <w:p w14:paraId="04651E5E">
            <w:pPr>
              <w:jc w:val="center"/>
              <w:rPr>
                <w:rFonts w:hint="eastAsia" w:ascii="宋体" w:hAnsi="宋体"/>
                <w:bCs/>
                <w:sz w:val="24"/>
                <w:szCs w:val="24"/>
              </w:rPr>
            </w:pPr>
          </w:p>
        </w:tc>
        <w:tc>
          <w:tcPr>
            <w:tcW w:w="1299" w:type="dxa"/>
            <w:vAlign w:val="center"/>
          </w:tcPr>
          <w:p w14:paraId="364AA908">
            <w:pPr>
              <w:jc w:val="center"/>
              <w:rPr>
                <w:rFonts w:hint="eastAsia" w:ascii="宋体" w:hAnsi="宋体"/>
                <w:bCs/>
                <w:sz w:val="24"/>
                <w:szCs w:val="24"/>
              </w:rPr>
            </w:pPr>
          </w:p>
        </w:tc>
        <w:tc>
          <w:tcPr>
            <w:tcW w:w="883" w:type="dxa"/>
            <w:vAlign w:val="center"/>
          </w:tcPr>
          <w:p w14:paraId="69436A2D">
            <w:pPr>
              <w:jc w:val="center"/>
              <w:rPr>
                <w:rFonts w:hint="eastAsia" w:ascii="宋体" w:hAnsi="宋体"/>
                <w:bCs/>
                <w:sz w:val="24"/>
                <w:szCs w:val="24"/>
              </w:rPr>
            </w:pPr>
          </w:p>
        </w:tc>
        <w:tc>
          <w:tcPr>
            <w:tcW w:w="892" w:type="dxa"/>
            <w:vAlign w:val="center"/>
          </w:tcPr>
          <w:p w14:paraId="5A4D2B1F">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87" w:type="dxa"/>
            <w:vAlign w:val="center"/>
          </w:tcPr>
          <w:p w14:paraId="5D7C17E1">
            <w:pPr>
              <w:jc w:val="center"/>
              <w:rPr>
                <w:rFonts w:hint="eastAsia" w:ascii="宋体" w:hAnsi="宋体"/>
                <w:bCs/>
                <w:sz w:val="24"/>
                <w:szCs w:val="24"/>
              </w:rPr>
            </w:pPr>
          </w:p>
        </w:tc>
      </w:tr>
      <w:tr w14:paraId="42DFF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15130C5E">
            <w:pPr>
              <w:widowControl/>
              <w:jc w:val="center"/>
              <w:rPr>
                <w:rFonts w:hint="eastAsia" w:ascii="宋体" w:hAnsi="宋体"/>
                <w:bCs/>
                <w:sz w:val="24"/>
                <w:szCs w:val="24"/>
              </w:rPr>
            </w:pPr>
            <w:r>
              <w:rPr>
                <w:rFonts w:hint="eastAsia" w:ascii="宋体" w:hAnsi="宋体"/>
                <w:sz w:val="24"/>
                <w:szCs w:val="24"/>
              </w:rPr>
              <w:t>10</w:t>
            </w:r>
          </w:p>
        </w:tc>
        <w:tc>
          <w:tcPr>
            <w:tcW w:w="1403" w:type="dxa"/>
            <w:vAlign w:val="center"/>
          </w:tcPr>
          <w:p w14:paraId="16CE216E">
            <w:pPr>
              <w:widowControl/>
              <w:jc w:val="center"/>
              <w:rPr>
                <w:rFonts w:hint="eastAsia" w:ascii="宋体" w:hAnsi="宋体" w:cs="宋体"/>
                <w:kern w:val="0"/>
                <w:sz w:val="24"/>
                <w:szCs w:val="24"/>
              </w:rPr>
            </w:pPr>
            <w:r>
              <w:rPr>
                <w:rFonts w:ascii="宋体" w:hAnsi="宋体" w:cs="宋体"/>
                <w:kern w:val="0"/>
                <w:sz w:val="24"/>
                <w:szCs w:val="24"/>
              </w:rPr>
              <w:t>全自动血沉仪</w:t>
            </w:r>
          </w:p>
        </w:tc>
        <w:tc>
          <w:tcPr>
            <w:tcW w:w="1025" w:type="dxa"/>
            <w:vAlign w:val="center"/>
          </w:tcPr>
          <w:p w14:paraId="7CE54409">
            <w:pPr>
              <w:widowControl/>
              <w:jc w:val="center"/>
              <w:rPr>
                <w:rFonts w:hint="eastAsia" w:ascii="宋体" w:hAnsi="宋体" w:cs="宋体"/>
                <w:kern w:val="0"/>
                <w:sz w:val="24"/>
                <w:szCs w:val="24"/>
              </w:rPr>
            </w:pPr>
          </w:p>
        </w:tc>
        <w:tc>
          <w:tcPr>
            <w:tcW w:w="1130" w:type="dxa"/>
            <w:vAlign w:val="center"/>
          </w:tcPr>
          <w:p w14:paraId="02700DA0">
            <w:pPr>
              <w:jc w:val="center"/>
              <w:rPr>
                <w:rFonts w:hint="eastAsia" w:ascii="宋体" w:hAnsi="宋体"/>
                <w:bCs/>
                <w:sz w:val="24"/>
                <w:szCs w:val="24"/>
              </w:rPr>
            </w:pPr>
          </w:p>
        </w:tc>
        <w:tc>
          <w:tcPr>
            <w:tcW w:w="1299" w:type="dxa"/>
            <w:vAlign w:val="center"/>
          </w:tcPr>
          <w:p w14:paraId="1FC76C73">
            <w:pPr>
              <w:jc w:val="center"/>
              <w:rPr>
                <w:rFonts w:hint="eastAsia" w:ascii="宋体" w:hAnsi="宋体"/>
                <w:bCs/>
                <w:sz w:val="24"/>
                <w:szCs w:val="24"/>
              </w:rPr>
            </w:pPr>
          </w:p>
        </w:tc>
        <w:tc>
          <w:tcPr>
            <w:tcW w:w="1299" w:type="dxa"/>
            <w:vAlign w:val="center"/>
          </w:tcPr>
          <w:p w14:paraId="40982988">
            <w:pPr>
              <w:jc w:val="center"/>
              <w:rPr>
                <w:rFonts w:hint="eastAsia" w:ascii="宋体" w:hAnsi="宋体"/>
                <w:bCs/>
                <w:sz w:val="24"/>
                <w:szCs w:val="24"/>
              </w:rPr>
            </w:pPr>
          </w:p>
        </w:tc>
        <w:tc>
          <w:tcPr>
            <w:tcW w:w="1299" w:type="dxa"/>
            <w:vAlign w:val="center"/>
          </w:tcPr>
          <w:p w14:paraId="287E2844">
            <w:pPr>
              <w:jc w:val="center"/>
              <w:rPr>
                <w:rFonts w:hint="eastAsia" w:ascii="宋体" w:hAnsi="宋体"/>
                <w:bCs/>
                <w:sz w:val="24"/>
                <w:szCs w:val="24"/>
              </w:rPr>
            </w:pPr>
          </w:p>
        </w:tc>
        <w:tc>
          <w:tcPr>
            <w:tcW w:w="883" w:type="dxa"/>
            <w:vAlign w:val="center"/>
          </w:tcPr>
          <w:p w14:paraId="0ADB74B9">
            <w:pPr>
              <w:jc w:val="center"/>
              <w:rPr>
                <w:rFonts w:hint="eastAsia" w:ascii="宋体" w:hAnsi="宋体"/>
                <w:bCs/>
                <w:sz w:val="24"/>
                <w:szCs w:val="24"/>
              </w:rPr>
            </w:pPr>
          </w:p>
        </w:tc>
        <w:tc>
          <w:tcPr>
            <w:tcW w:w="892" w:type="dxa"/>
            <w:vAlign w:val="center"/>
          </w:tcPr>
          <w:p w14:paraId="2019A3A4">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87" w:type="dxa"/>
            <w:vAlign w:val="center"/>
          </w:tcPr>
          <w:p w14:paraId="12A79A88">
            <w:pPr>
              <w:jc w:val="center"/>
              <w:rPr>
                <w:rFonts w:hint="eastAsia" w:ascii="宋体" w:hAnsi="宋体"/>
                <w:bCs/>
                <w:sz w:val="24"/>
                <w:szCs w:val="24"/>
              </w:rPr>
            </w:pPr>
          </w:p>
        </w:tc>
      </w:tr>
      <w:tr w14:paraId="6047A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265E0A52">
            <w:pPr>
              <w:widowControl/>
              <w:jc w:val="center"/>
              <w:rPr>
                <w:rFonts w:hint="eastAsia" w:ascii="宋体" w:hAnsi="宋体"/>
                <w:bCs/>
                <w:sz w:val="24"/>
                <w:szCs w:val="24"/>
              </w:rPr>
            </w:pPr>
            <w:r>
              <w:rPr>
                <w:rFonts w:hint="eastAsia" w:ascii="宋体" w:hAnsi="宋体"/>
                <w:sz w:val="24"/>
                <w:szCs w:val="24"/>
              </w:rPr>
              <w:t>11</w:t>
            </w:r>
          </w:p>
        </w:tc>
        <w:tc>
          <w:tcPr>
            <w:tcW w:w="1403" w:type="dxa"/>
            <w:vAlign w:val="center"/>
          </w:tcPr>
          <w:p w14:paraId="00BEAEEE">
            <w:pPr>
              <w:widowControl/>
              <w:jc w:val="center"/>
              <w:rPr>
                <w:rFonts w:hint="eastAsia" w:ascii="宋体" w:hAnsi="宋体" w:cs="宋体"/>
                <w:kern w:val="0"/>
                <w:sz w:val="24"/>
                <w:szCs w:val="24"/>
              </w:rPr>
            </w:pPr>
            <w:r>
              <w:rPr>
                <w:rFonts w:hint="eastAsia" w:ascii="宋体" w:hAnsi="宋体" w:cs="宋体"/>
                <w:kern w:val="0"/>
                <w:sz w:val="24"/>
                <w:szCs w:val="24"/>
              </w:rPr>
              <w:t>全自动血液细胞分析流水线（配C反应蛋白模块）</w:t>
            </w:r>
          </w:p>
        </w:tc>
        <w:tc>
          <w:tcPr>
            <w:tcW w:w="1025" w:type="dxa"/>
            <w:vAlign w:val="center"/>
          </w:tcPr>
          <w:p w14:paraId="2E498A59">
            <w:pPr>
              <w:widowControl/>
              <w:jc w:val="center"/>
              <w:rPr>
                <w:rFonts w:hint="eastAsia" w:ascii="宋体" w:hAnsi="宋体" w:cs="宋体"/>
                <w:kern w:val="0"/>
                <w:sz w:val="24"/>
                <w:szCs w:val="24"/>
              </w:rPr>
            </w:pPr>
          </w:p>
        </w:tc>
        <w:tc>
          <w:tcPr>
            <w:tcW w:w="1130" w:type="dxa"/>
            <w:vAlign w:val="center"/>
          </w:tcPr>
          <w:p w14:paraId="564D406A">
            <w:pPr>
              <w:jc w:val="center"/>
              <w:rPr>
                <w:rFonts w:hint="eastAsia" w:ascii="宋体" w:hAnsi="宋体"/>
                <w:bCs/>
                <w:sz w:val="24"/>
                <w:szCs w:val="24"/>
              </w:rPr>
            </w:pPr>
          </w:p>
        </w:tc>
        <w:tc>
          <w:tcPr>
            <w:tcW w:w="1299" w:type="dxa"/>
            <w:vAlign w:val="center"/>
          </w:tcPr>
          <w:p w14:paraId="6CACFDCE">
            <w:pPr>
              <w:jc w:val="center"/>
              <w:rPr>
                <w:rFonts w:hint="eastAsia" w:ascii="宋体" w:hAnsi="宋体"/>
                <w:bCs/>
                <w:sz w:val="24"/>
                <w:szCs w:val="24"/>
              </w:rPr>
            </w:pPr>
          </w:p>
        </w:tc>
        <w:tc>
          <w:tcPr>
            <w:tcW w:w="1299" w:type="dxa"/>
            <w:vAlign w:val="center"/>
          </w:tcPr>
          <w:p w14:paraId="4391C185">
            <w:pPr>
              <w:jc w:val="center"/>
              <w:rPr>
                <w:rFonts w:hint="eastAsia" w:ascii="宋体" w:hAnsi="宋体"/>
                <w:bCs/>
                <w:sz w:val="24"/>
                <w:szCs w:val="24"/>
              </w:rPr>
            </w:pPr>
          </w:p>
        </w:tc>
        <w:tc>
          <w:tcPr>
            <w:tcW w:w="1299" w:type="dxa"/>
            <w:vAlign w:val="center"/>
          </w:tcPr>
          <w:p w14:paraId="49B9E48E">
            <w:pPr>
              <w:jc w:val="center"/>
              <w:rPr>
                <w:rFonts w:hint="eastAsia" w:ascii="宋体" w:hAnsi="宋体"/>
                <w:bCs/>
                <w:sz w:val="24"/>
                <w:szCs w:val="24"/>
              </w:rPr>
            </w:pPr>
          </w:p>
        </w:tc>
        <w:tc>
          <w:tcPr>
            <w:tcW w:w="883" w:type="dxa"/>
            <w:vAlign w:val="center"/>
          </w:tcPr>
          <w:p w14:paraId="7B82023C">
            <w:pPr>
              <w:jc w:val="center"/>
              <w:rPr>
                <w:rFonts w:hint="eastAsia" w:ascii="宋体" w:hAnsi="宋体"/>
                <w:bCs/>
                <w:sz w:val="24"/>
                <w:szCs w:val="24"/>
              </w:rPr>
            </w:pPr>
          </w:p>
        </w:tc>
        <w:tc>
          <w:tcPr>
            <w:tcW w:w="892" w:type="dxa"/>
            <w:vAlign w:val="center"/>
          </w:tcPr>
          <w:p w14:paraId="459CB228">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87" w:type="dxa"/>
            <w:vAlign w:val="center"/>
          </w:tcPr>
          <w:p w14:paraId="276B73D6">
            <w:pPr>
              <w:jc w:val="center"/>
              <w:rPr>
                <w:rFonts w:hint="eastAsia" w:ascii="宋体" w:hAnsi="宋体"/>
                <w:bCs/>
                <w:sz w:val="24"/>
                <w:szCs w:val="24"/>
              </w:rPr>
            </w:pPr>
          </w:p>
        </w:tc>
      </w:tr>
      <w:tr w14:paraId="0916D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3702CDAD">
            <w:pPr>
              <w:widowControl/>
              <w:jc w:val="center"/>
              <w:rPr>
                <w:rFonts w:hint="eastAsia" w:ascii="宋体" w:hAnsi="宋体"/>
                <w:bCs/>
                <w:sz w:val="24"/>
                <w:szCs w:val="24"/>
              </w:rPr>
            </w:pPr>
            <w:r>
              <w:rPr>
                <w:rFonts w:hint="eastAsia" w:ascii="宋体" w:hAnsi="宋体"/>
                <w:sz w:val="24"/>
                <w:szCs w:val="24"/>
              </w:rPr>
              <w:t>12</w:t>
            </w:r>
          </w:p>
        </w:tc>
        <w:tc>
          <w:tcPr>
            <w:tcW w:w="1403" w:type="dxa"/>
            <w:vAlign w:val="center"/>
          </w:tcPr>
          <w:p w14:paraId="01993820">
            <w:pPr>
              <w:widowControl/>
              <w:jc w:val="center"/>
              <w:rPr>
                <w:rFonts w:hint="eastAsia" w:ascii="宋体" w:hAnsi="宋体" w:cs="宋体"/>
                <w:kern w:val="0"/>
                <w:sz w:val="24"/>
                <w:szCs w:val="24"/>
              </w:rPr>
            </w:pPr>
            <w:r>
              <w:rPr>
                <w:rFonts w:hint="eastAsia" w:ascii="宋体" w:hAnsi="宋体" w:cs="宋体"/>
                <w:kern w:val="0"/>
                <w:sz w:val="24"/>
                <w:szCs w:val="24"/>
              </w:rPr>
              <w:t>全自动血液细胞分析仪+CRP一体机</w:t>
            </w:r>
          </w:p>
        </w:tc>
        <w:tc>
          <w:tcPr>
            <w:tcW w:w="1025" w:type="dxa"/>
            <w:vAlign w:val="center"/>
          </w:tcPr>
          <w:p w14:paraId="6E0AC1AB">
            <w:pPr>
              <w:widowControl/>
              <w:jc w:val="center"/>
              <w:rPr>
                <w:rFonts w:hint="eastAsia" w:ascii="宋体" w:hAnsi="宋体" w:cs="宋体"/>
                <w:kern w:val="0"/>
                <w:sz w:val="24"/>
                <w:szCs w:val="24"/>
              </w:rPr>
            </w:pPr>
          </w:p>
        </w:tc>
        <w:tc>
          <w:tcPr>
            <w:tcW w:w="1130" w:type="dxa"/>
            <w:vAlign w:val="center"/>
          </w:tcPr>
          <w:p w14:paraId="2DB4B71B">
            <w:pPr>
              <w:jc w:val="center"/>
              <w:rPr>
                <w:rFonts w:hint="eastAsia" w:ascii="宋体" w:hAnsi="宋体"/>
                <w:bCs/>
                <w:sz w:val="24"/>
                <w:szCs w:val="24"/>
              </w:rPr>
            </w:pPr>
          </w:p>
        </w:tc>
        <w:tc>
          <w:tcPr>
            <w:tcW w:w="1299" w:type="dxa"/>
            <w:vAlign w:val="center"/>
          </w:tcPr>
          <w:p w14:paraId="08E1611A">
            <w:pPr>
              <w:jc w:val="center"/>
              <w:rPr>
                <w:rFonts w:hint="eastAsia" w:ascii="宋体" w:hAnsi="宋体"/>
                <w:bCs/>
                <w:sz w:val="24"/>
                <w:szCs w:val="24"/>
              </w:rPr>
            </w:pPr>
          </w:p>
        </w:tc>
        <w:tc>
          <w:tcPr>
            <w:tcW w:w="1299" w:type="dxa"/>
            <w:vAlign w:val="center"/>
          </w:tcPr>
          <w:p w14:paraId="4956D133">
            <w:pPr>
              <w:jc w:val="center"/>
              <w:rPr>
                <w:rFonts w:hint="eastAsia" w:ascii="宋体" w:hAnsi="宋体"/>
                <w:bCs/>
                <w:sz w:val="24"/>
                <w:szCs w:val="24"/>
              </w:rPr>
            </w:pPr>
          </w:p>
        </w:tc>
        <w:tc>
          <w:tcPr>
            <w:tcW w:w="1299" w:type="dxa"/>
            <w:vAlign w:val="center"/>
          </w:tcPr>
          <w:p w14:paraId="22A4788E">
            <w:pPr>
              <w:jc w:val="center"/>
              <w:rPr>
                <w:rFonts w:hint="eastAsia" w:ascii="宋体" w:hAnsi="宋体"/>
                <w:bCs/>
                <w:sz w:val="24"/>
                <w:szCs w:val="24"/>
              </w:rPr>
            </w:pPr>
          </w:p>
        </w:tc>
        <w:tc>
          <w:tcPr>
            <w:tcW w:w="883" w:type="dxa"/>
            <w:vAlign w:val="center"/>
          </w:tcPr>
          <w:p w14:paraId="1AB1B010">
            <w:pPr>
              <w:jc w:val="center"/>
              <w:rPr>
                <w:rFonts w:hint="eastAsia" w:ascii="宋体" w:hAnsi="宋体"/>
                <w:bCs/>
                <w:sz w:val="24"/>
                <w:szCs w:val="24"/>
              </w:rPr>
            </w:pPr>
          </w:p>
        </w:tc>
        <w:tc>
          <w:tcPr>
            <w:tcW w:w="892" w:type="dxa"/>
            <w:vAlign w:val="center"/>
          </w:tcPr>
          <w:p w14:paraId="2DBC0C70">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87" w:type="dxa"/>
            <w:vAlign w:val="center"/>
          </w:tcPr>
          <w:p w14:paraId="2235E820">
            <w:pPr>
              <w:jc w:val="center"/>
              <w:rPr>
                <w:rFonts w:hint="eastAsia" w:ascii="宋体" w:hAnsi="宋体"/>
                <w:bCs/>
                <w:sz w:val="24"/>
                <w:szCs w:val="24"/>
              </w:rPr>
            </w:pPr>
          </w:p>
        </w:tc>
      </w:tr>
      <w:tr w14:paraId="6A012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4C9E6290">
            <w:pPr>
              <w:widowControl/>
              <w:jc w:val="center"/>
              <w:rPr>
                <w:rFonts w:hint="eastAsia" w:ascii="宋体" w:hAnsi="宋体"/>
                <w:bCs/>
                <w:sz w:val="24"/>
                <w:szCs w:val="24"/>
              </w:rPr>
            </w:pPr>
            <w:r>
              <w:rPr>
                <w:rFonts w:hint="eastAsia" w:ascii="宋体" w:hAnsi="宋体"/>
                <w:sz w:val="24"/>
                <w:szCs w:val="24"/>
              </w:rPr>
              <w:t>13</w:t>
            </w:r>
          </w:p>
        </w:tc>
        <w:tc>
          <w:tcPr>
            <w:tcW w:w="1403" w:type="dxa"/>
            <w:vAlign w:val="center"/>
          </w:tcPr>
          <w:p w14:paraId="7337FF9B">
            <w:pPr>
              <w:widowControl/>
              <w:jc w:val="center"/>
              <w:rPr>
                <w:rFonts w:hint="eastAsia" w:ascii="宋体" w:hAnsi="宋体" w:cs="宋体"/>
                <w:kern w:val="0"/>
                <w:sz w:val="24"/>
                <w:szCs w:val="24"/>
              </w:rPr>
            </w:pPr>
            <w:r>
              <w:rPr>
                <w:rFonts w:ascii="宋体" w:hAnsi="宋体" w:cs="宋体"/>
                <w:kern w:val="0"/>
                <w:sz w:val="24"/>
                <w:szCs w:val="24"/>
              </w:rPr>
              <w:t>洗板机</w:t>
            </w:r>
          </w:p>
        </w:tc>
        <w:tc>
          <w:tcPr>
            <w:tcW w:w="1025" w:type="dxa"/>
            <w:vAlign w:val="center"/>
          </w:tcPr>
          <w:p w14:paraId="4655E095">
            <w:pPr>
              <w:widowControl/>
              <w:jc w:val="center"/>
              <w:rPr>
                <w:rFonts w:hint="eastAsia" w:ascii="宋体" w:hAnsi="宋体" w:cs="宋体"/>
                <w:kern w:val="0"/>
                <w:sz w:val="24"/>
                <w:szCs w:val="24"/>
              </w:rPr>
            </w:pPr>
          </w:p>
        </w:tc>
        <w:tc>
          <w:tcPr>
            <w:tcW w:w="1130" w:type="dxa"/>
            <w:vAlign w:val="center"/>
          </w:tcPr>
          <w:p w14:paraId="679596F5">
            <w:pPr>
              <w:jc w:val="center"/>
              <w:rPr>
                <w:rFonts w:hint="eastAsia" w:ascii="宋体" w:hAnsi="宋体"/>
                <w:bCs/>
                <w:sz w:val="24"/>
                <w:szCs w:val="24"/>
              </w:rPr>
            </w:pPr>
          </w:p>
        </w:tc>
        <w:tc>
          <w:tcPr>
            <w:tcW w:w="1299" w:type="dxa"/>
            <w:vAlign w:val="center"/>
          </w:tcPr>
          <w:p w14:paraId="70CD253E">
            <w:pPr>
              <w:jc w:val="center"/>
              <w:rPr>
                <w:rFonts w:hint="eastAsia" w:ascii="宋体" w:hAnsi="宋体"/>
                <w:bCs/>
                <w:sz w:val="24"/>
                <w:szCs w:val="24"/>
              </w:rPr>
            </w:pPr>
          </w:p>
        </w:tc>
        <w:tc>
          <w:tcPr>
            <w:tcW w:w="1299" w:type="dxa"/>
            <w:vAlign w:val="center"/>
          </w:tcPr>
          <w:p w14:paraId="091ABF7A">
            <w:pPr>
              <w:jc w:val="center"/>
              <w:rPr>
                <w:rFonts w:hint="eastAsia" w:ascii="宋体" w:hAnsi="宋体"/>
                <w:bCs/>
                <w:sz w:val="24"/>
                <w:szCs w:val="24"/>
              </w:rPr>
            </w:pPr>
          </w:p>
        </w:tc>
        <w:tc>
          <w:tcPr>
            <w:tcW w:w="1299" w:type="dxa"/>
            <w:vAlign w:val="center"/>
          </w:tcPr>
          <w:p w14:paraId="623059D9">
            <w:pPr>
              <w:jc w:val="center"/>
              <w:rPr>
                <w:rFonts w:hint="eastAsia" w:ascii="宋体" w:hAnsi="宋体"/>
                <w:bCs/>
                <w:sz w:val="24"/>
                <w:szCs w:val="24"/>
              </w:rPr>
            </w:pPr>
          </w:p>
        </w:tc>
        <w:tc>
          <w:tcPr>
            <w:tcW w:w="883" w:type="dxa"/>
            <w:vAlign w:val="center"/>
          </w:tcPr>
          <w:p w14:paraId="73F3D250">
            <w:pPr>
              <w:jc w:val="center"/>
              <w:rPr>
                <w:rFonts w:hint="eastAsia" w:ascii="宋体" w:hAnsi="宋体"/>
                <w:bCs/>
                <w:sz w:val="24"/>
                <w:szCs w:val="24"/>
              </w:rPr>
            </w:pPr>
          </w:p>
        </w:tc>
        <w:tc>
          <w:tcPr>
            <w:tcW w:w="892" w:type="dxa"/>
            <w:vAlign w:val="center"/>
          </w:tcPr>
          <w:p w14:paraId="6BD84A42">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787" w:type="dxa"/>
            <w:vAlign w:val="center"/>
          </w:tcPr>
          <w:p w14:paraId="63A5C846">
            <w:pPr>
              <w:jc w:val="center"/>
              <w:rPr>
                <w:rFonts w:hint="eastAsia" w:ascii="宋体" w:hAnsi="宋体"/>
                <w:bCs/>
                <w:sz w:val="24"/>
                <w:szCs w:val="24"/>
              </w:rPr>
            </w:pPr>
          </w:p>
        </w:tc>
      </w:tr>
      <w:tr w14:paraId="5AF6A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485591CD">
            <w:pPr>
              <w:widowControl/>
              <w:jc w:val="center"/>
              <w:rPr>
                <w:rFonts w:hint="eastAsia" w:ascii="宋体" w:hAnsi="宋体"/>
                <w:bCs/>
                <w:sz w:val="24"/>
                <w:szCs w:val="24"/>
              </w:rPr>
            </w:pPr>
            <w:r>
              <w:rPr>
                <w:rFonts w:hint="eastAsia" w:ascii="宋体" w:hAnsi="宋体"/>
                <w:sz w:val="24"/>
                <w:szCs w:val="24"/>
              </w:rPr>
              <w:t>14</w:t>
            </w:r>
          </w:p>
        </w:tc>
        <w:tc>
          <w:tcPr>
            <w:tcW w:w="1403" w:type="dxa"/>
            <w:vAlign w:val="center"/>
          </w:tcPr>
          <w:p w14:paraId="15C73A12">
            <w:pPr>
              <w:widowControl/>
              <w:jc w:val="center"/>
              <w:rPr>
                <w:rFonts w:hint="eastAsia" w:ascii="宋体" w:hAnsi="宋体" w:cs="宋体"/>
                <w:kern w:val="0"/>
                <w:sz w:val="24"/>
                <w:szCs w:val="24"/>
              </w:rPr>
            </w:pPr>
            <w:r>
              <w:rPr>
                <w:rFonts w:hint="eastAsia" w:ascii="宋体" w:hAnsi="宋体" w:cs="宋体"/>
                <w:kern w:val="0"/>
                <w:sz w:val="24"/>
                <w:szCs w:val="24"/>
              </w:rPr>
              <w:t>血流变分析仪</w:t>
            </w:r>
          </w:p>
        </w:tc>
        <w:tc>
          <w:tcPr>
            <w:tcW w:w="1025" w:type="dxa"/>
            <w:vAlign w:val="center"/>
          </w:tcPr>
          <w:p w14:paraId="170B7ACA">
            <w:pPr>
              <w:widowControl/>
              <w:jc w:val="center"/>
              <w:rPr>
                <w:rFonts w:hint="eastAsia" w:ascii="宋体" w:hAnsi="宋体" w:cs="宋体"/>
                <w:kern w:val="0"/>
                <w:sz w:val="24"/>
                <w:szCs w:val="24"/>
              </w:rPr>
            </w:pPr>
          </w:p>
        </w:tc>
        <w:tc>
          <w:tcPr>
            <w:tcW w:w="1130" w:type="dxa"/>
            <w:vAlign w:val="center"/>
          </w:tcPr>
          <w:p w14:paraId="2E725E57">
            <w:pPr>
              <w:jc w:val="center"/>
              <w:rPr>
                <w:rFonts w:hint="eastAsia" w:ascii="宋体" w:hAnsi="宋体"/>
                <w:bCs/>
                <w:sz w:val="24"/>
                <w:szCs w:val="24"/>
              </w:rPr>
            </w:pPr>
          </w:p>
        </w:tc>
        <w:tc>
          <w:tcPr>
            <w:tcW w:w="1299" w:type="dxa"/>
            <w:vAlign w:val="center"/>
          </w:tcPr>
          <w:p w14:paraId="749A09F7">
            <w:pPr>
              <w:jc w:val="center"/>
              <w:rPr>
                <w:rFonts w:hint="eastAsia" w:ascii="宋体" w:hAnsi="宋体"/>
                <w:bCs/>
                <w:sz w:val="24"/>
                <w:szCs w:val="24"/>
              </w:rPr>
            </w:pPr>
          </w:p>
        </w:tc>
        <w:tc>
          <w:tcPr>
            <w:tcW w:w="1299" w:type="dxa"/>
            <w:vAlign w:val="center"/>
          </w:tcPr>
          <w:p w14:paraId="547D4B2E">
            <w:pPr>
              <w:jc w:val="center"/>
              <w:rPr>
                <w:rFonts w:hint="eastAsia" w:ascii="宋体" w:hAnsi="宋体"/>
                <w:bCs/>
                <w:sz w:val="24"/>
                <w:szCs w:val="24"/>
              </w:rPr>
            </w:pPr>
          </w:p>
        </w:tc>
        <w:tc>
          <w:tcPr>
            <w:tcW w:w="1299" w:type="dxa"/>
            <w:vAlign w:val="center"/>
          </w:tcPr>
          <w:p w14:paraId="65BA06B0">
            <w:pPr>
              <w:jc w:val="center"/>
              <w:rPr>
                <w:rFonts w:hint="eastAsia" w:ascii="宋体" w:hAnsi="宋体"/>
                <w:bCs/>
                <w:sz w:val="24"/>
                <w:szCs w:val="24"/>
              </w:rPr>
            </w:pPr>
          </w:p>
        </w:tc>
        <w:tc>
          <w:tcPr>
            <w:tcW w:w="883" w:type="dxa"/>
            <w:vAlign w:val="center"/>
          </w:tcPr>
          <w:p w14:paraId="2C9F8C1E">
            <w:pPr>
              <w:jc w:val="center"/>
              <w:rPr>
                <w:rFonts w:hint="eastAsia" w:ascii="宋体" w:hAnsi="宋体"/>
                <w:bCs/>
                <w:sz w:val="24"/>
                <w:szCs w:val="24"/>
              </w:rPr>
            </w:pPr>
          </w:p>
        </w:tc>
        <w:tc>
          <w:tcPr>
            <w:tcW w:w="892" w:type="dxa"/>
            <w:vAlign w:val="center"/>
          </w:tcPr>
          <w:p w14:paraId="7FCF303D">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87" w:type="dxa"/>
            <w:vAlign w:val="center"/>
          </w:tcPr>
          <w:p w14:paraId="4A7A9017">
            <w:pPr>
              <w:jc w:val="center"/>
              <w:rPr>
                <w:rFonts w:hint="eastAsia" w:ascii="宋体" w:hAnsi="宋体"/>
                <w:bCs/>
                <w:sz w:val="24"/>
                <w:szCs w:val="24"/>
              </w:rPr>
            </w:pPr>
          </w:p>
        </w:tc>
      </w:tr>
      <w:tr w14:paraId="51972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4456DEDE">
            <w:pPr>
              <w:jc w:val="center"/>
              <w:rPr>
                <w:rFonts w:hint="eastAsia" w:ascii="宋体" w:hAnsi="宋体"/>
                <w:bCs/>
                <w:sz w:val="24"/>
                <w:szCs w:val="24"/>
              </w:rPr>
            </w:pPr>
          </w:p>
        </w:tc>
        <w:tc>
          <w:tcPr>
            <w:tcW w:w="1403" w:type="dxa"/>
            <w:vAlign w:val="center"/>
          </w:tcPr>
          <w:p w14:paraId="53B0C1A4">
            <w:pPr>
              <w:jc w:val="center"/>
              <w:rPr>
                <w:rFonts w:hint="eastAsia" w:ascii="宋体" w:hAnsi="宋体"/>
                <w:bCs/>
                <w:sz w:val="24"/>
                <w:szCs w:val="24"/>
              </w:rPr>
            </w:pPr>
          </w:p>
        </w:tc>
        <w:tc>
          <w:tcPr>
            <w:tcW w:w="1025" w:type="dxa"/>
            <w:vAlign w:val="center"/>
          </w:tcPr>
          <w:p w14:paraId="3F0185FF">
            <w:pPr>
              <w:jc w:val="center"/>
              <w:rPr>
                <w:rFonts w:hint="eastAsia" w:ascii="宋体" w:hAnsi="宋体"/>
                <w:bCs/>
                <w:sz w:val="24"/>
                <w:szCs w:val="24"/>
              </w:rPr>
            </w:pPr>
          </w:p>
        </w:tc>
        <w:tc>
          <w:tcPr>
            <w:tcW w:w="1130" w:type="dxa"/>
            <w:vAlign w:val="center"/>
          </w:tcPr>
          <w:p w14:paraId="387E642D">
            <w:pPr>
              <w:jc w:val="center"/>
              <w:rPr>
                <w:rFonts w:hint="eastAsia" w:ascii="宋体" w:hAnsi="宋体"/>
                <w:bCs/>
                <w:sz w:val="24"/>
                <w:szCs w:val="24"/>
              </w:rPr>
            </w:pPr>
          </w:p>
        </w:tc>
        <w:tc>
          <w:tcPr>
            <w:tcW w:w="1299" w:type="dxa"/>
            <w:vAlign w:val="center"/>
          </w:tcPr>
          <w:p w14:paraId="63D5D256">
            <w:pPr>
              <w:jc w:val="center"/>
              <w:rPr>
                <w:rFonts w:hint="eastAsia" w:ascii="宋体" w:hAnsi="宋体"/>
                <w:bCs/>
                <w:sz w:val="24"/>
                <w:szCs w:val="24"/>
              </w:rPr>
            </w:pPr>
          </w:p>
        </w:tc>
        <w:tc>
          <w:tcPr>
            <w:tcW w:w="1299" w:type="dxa"/>
            <w:vAlign w:val="center"/>
          </w:tcPr>
          <w:p w14:paraId="1CF30BBB">
            <w:pPr>
              <w:jc w:val="center"/>
              <w:rPr>
                <w:rFonts w:hint="eastAsia" w:ascii="宋体" w:hAnsi="宋体"/>
                <w:bCs/>
                <w:sz w:val="24"/>
                <w:szCs w:val="24"/>
              </w:rPr>
            </w:pPr>
          </w:p>
        </w:tc>
        <w:tc>
          <w:tcPr>
            <w:tcW w:w="1299" w:type="dxa"/>
            <w:vAlign w:val="center"/>
          </w:tcPr>
          <w:p w14:paraId="3315BA49">
            <w:pPr>
              <w:jc w:val="center"/>
              <w:rPr>
                <w:rFonts w:hint="eastAsia" w:ascii="宋体" w:hAnsi="宋体"/>
                <w:bCs/>
                <w:sz w:val="24"/>
                <w:szCs w:val="24"/>
              </w:rPr>
            </w:pPr>
          </w:p>
        </w:tc>
        <w:tc>
          <w:tcPr>
            <w:tcW w:w="883" w:type="dxa"/>
            <w:vAlign w:val="center"/>
          </w:tcPr>
          <w:p w14:paraId="63984295">
            <w:pPr>
              <w:jc w:val="center"/>
              <w:rPr>
                <w:rFonts w:hint="eastAsia" w:ascii="宋体" w:hAnsi="宋体"/>
                <w:bCs/>
                <w:sz w:val="24"/>
                <w:szCs w:val="24"/>
              </w:rPr>
            </w:pPr>
          </w:p>
        </w:tc>
        <w:tc>
          <w:tcPr>
            <w:tcW w:w="892" w:type="dxa"/>
            <w:vAlign w:val="center"/>
          </w:tcPr>
          <w:p w14:paraId="633F3394">
            <w:pPr>
              <w:jc w:val="center"/>
              <w:rPr>
                <w:rFonts w:hint="eastAsia" w:ascii="宋体" w:hAnsi="宋体"/>
                <w:bCs/>
                <w:sz w:val="24"/>
                <w:szCs w:val="24"/>
              </w:rPr>
            </w:pPr>
          </w:p>
        </w:tc>
        <w:tc>
          <w:tcPr>
            <w:tcW w:w="787" w:type="dxa"/>
            <w:vAlign w:val="center"/>
          </w:tcPr>
          <w:p w14:paraId="0AAAB2B9">
            <w:pPr>
              <w:jc w:val="center"/>
              <w:rPr>
                <w:rFonts w:hint="eastAsia" w:ascii="宋体" w:hAnsi="宋体"/>
                <w:bCs/>
                <w:sz w:val="24"/>
                <w:szCs w:val="24"/>
              </w:rPr>
            </w:pPr>
          </w:p>
        </w:tc>
      </w:tr>
      <w:tr w14:paraId="50FE5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2E3F52E0">
            <w:pPr>
              <w:jc w:val="center"/>
              <w:rPr>
                <w:rFonts w:hint="eastAsia" w:ascii="宋体" w:hAnsi="宋体"/>
                <w:bCs/>
                <w:sz w:val="24"/>
                <w:szCs w:val="24"/>
              </w:rPr>
            </w:pPr>
          </w:p>
        </w:tc>
        <w:tc>
          <w:tcPr>
            <w:tcW w:w="1403" w:type="dxa"/>
            <w:vAlign w:val="center"/>
          </w:tcPr>
          <w:p w14:paraId="4E5B1E5C">
            <w:pPr>
              <w:jc w:val="center"/>
              <w:rPr>
                <w:rFonts w:hint="eastAsia" w:ascii="宋体" w:hAnsi="宋体"/>
                <w:bCs/>
                <w:sz w:val="24"/>
                <w:szCs w:val="24"/>
              </w:rPr>
            </w:pPr>
            <w:r>
              <w:rPr>
                <w:rFonts w:hint="eastAsia" w:ascii="宋体" w:hAnsi="宋体"/>
                <w:bCs/>
                <w:sz w:val="24"/>
                <w:szCs w:val="24"/>
              </w:rPr>
              <w:t>(可自行添加内容，但不可删减上述内容）</w:t>
            </w:r>
          </w:p>
        </w:tc>
        <w:tc>
          <w:tcPr>
            <w:tcW w:w="1025" w:type="dxa"/>
            <w:vAlign w:val="center"/>
          </w:tcPr>
          <w:p w14:paraId="18A89819">
            <w:pPr>
              <w:jc w:val="center"/>
              <w:rPr>
                <w:rFonts w:hint="eastAsia" w:ascii="宋体" w:hAnsi="宋体"/>
                <w:bCs/>
                <w:sz w:val="24"/>
                <w:szCs w:val="24"/>
              </w:rPr>
            </w:pPr>
          </w:p>
        </w:tc>
        <w:tc>
          <w:tcPr>
            <w:tcW w:w="1130" w:type="dxa"/>
            <w:vAlign w:val="center"/>
          </w:tcPr>
          <w:p w14:paraId="16DFC768">
            <w:pPr>
              <w:jc w:val="center"/>
              <w:rPr>
                <w:rFonts w:hint="eastAsia" w:ascii="宋体" w:hAnsi="宋体"/>
                <w:bCs/>
                <w:sz w:val="24"/>
                <w:szCs w:val="24"/>
              </w:rPr>
            </w:pPr>
          </w:p>
        </w:tc>
        <w:tc>
          <w:tcPr>
            <w:tcW w:w="1299" w:type="dxa"/>
            <w:vAlign w:val="center"/>
          </w:tcPr>
          <w:p w14:paraId="21F1AFD5">
            <w:pPr>
              <w:jc w:val="center"/>
              <w:rPr>
                <w:rFonts w:hint="eastAsia" w:ascii="宋体" w:hAnsi="宋体"/>
                <w:bCs/>
                <w:sz w:val="24"/>
                <w:szCs w:val="24"/>
              </w:rPr>
            </w:pPr>
          </w:p>
        </w:tc>
        <w:tc>
          <w:tcPr>
            <w:tcW w:w="1299" w:type="dxa"/>
            <w:vAlign w:val="center"/>
          </w:tcPr>
          <w:p w14:paraId="4FF34A0E">
            <w:pPr>
              <w:jc w:val="center"/>
              <w:rPr>
                <w:rFonts w:hint="eastAsia" w:ascii="宋体" w:hAnsi="宋体"/>
                <w:bCs/>
                <w:sz w:val="24"/>
                <w:szCs w:val="24"/>
              </w:rPr>
            </w:pPr>
          </w:p>
        </w:tc>
        <w:tc>
          <w:tcPr>
            <w:tcW w:w="1299" w:type="dxa"/>
            <w:vAlign w:val="center"/>
          </w:tcPr>
          <w:p w14:paraId="436CE675">
            <w:pPr>
              <w:jc w:val="center"/>
              <w:rPr>
                <w:rFonts w:hint="eastAsia" w:ascii="宋体" w:hAnsi="宋体"/>
                <w:bCs/>
                <w:sz w:val="24"/>
                <w:szCs w:val="24"/>
              </w:rPr>
            </w:pPr>
          </w:p>
        </w:tc>
        <w:tc>
          <w:tcPr>
            <w:tcW w:w="883" w:type="dxa"/>
            <w:vAlign w:val="center"/>
          </w:tcPr>
          <w:p w14:paraId="43D1FB82">
            <w:pPr>
              <w:jc w:val="center"/>
              <w:rPr>
                <w:rFonts w:hint="eastAsia" w:ascii="宋体" w:hAnsi="宋体"/>
                <w:bCs/>
                <w:sz w:val="24"/>
                <w:szCs w:val="24"/>
              </w:rPr>
            </w:pPr>
          </w:p>
        </w:tc>
        <w:tc>
          <w:tcPr>
            <w:tcW w:w="892" w:type="dxa"/>
            <w:vAlign w:val="center"/>
          </w:tcPr>
          <w:p w14:paraId="69AA7E5E">
            <w:pPr>
              <w:jc w:val="center"/>
              <w:rPr>
                <w:rFonts w:hint="eastAsia" w:ascii="宋体" w:hAnsi="宋体"/>
                <w:bCs/>
                <w:sz w:val="24"/>
                <w:szCs w:val="24"/>
              </w:rPr>
            </w:pPr>
          </w:p>
        </w:tc>
        <w:tc>
          <w:tcPr>
            <w:tcW w:w="787" w:type="dxa"/>
            <w:vAlign w:val="center"/>
          </w:tcPr>
          <w:p w14:paraId="4CBEDBAD">
            <w:pPr>
              <w:jc w:val="center"/>
              <w:rPr>
                <w:rFonts w:hint="eastAsia" w:ascii="宋体" w:hAnsi="宋体"/>
                <w:bCs/>
                <w:sz w:val="24"/>
                <w:szCs w:val="24"/>
              </w:rPr>
            </w:pPr>
          </w:p>
        </w:tc>
      </w:tr>
      <w:tr w14:paraId="7F66D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9797" w:type="dxa"/>
            <w:gridSpan w:val="9"/>
            <w:vAlign w:val="center"/>
          </w:tcPr>
          <w:p w14:paraId="490A4886">
            <w:pPr>
              <w:jc w:val="center"/>
              <w:rPr>
                <w:rFonts w:hint="eastAsia" w:ascii="宋体" w:hAnsi="宋体"/>
                <w:bCs/>
                <w:sz w:val="24"/>
                <w:szCs w:val="24"/>
              </w:rPr>
            </w:pPr>
            <w:r>
              <w:rPr>
                <w:rFonts w:hint="eastAsia" w:ascii="宋体" w:hAnsi="宋体"/>
                <w:bCs/>
                <w:sz w:val="24"/>
                <w:szCs w:val="24"/>
              </w:rPr>
              <w:t>合计总价</w:t>
            </w:r>
          </w:p>
        </w:tc>
        <w:tc>
          <w:tcPr>
            <w:tcW w:w="787" w:type="dxa"/>
            <w:vAlign w:val="center"/>
          </w:tcPr>
          <w:p w14:paraId="2A8D0789">
            <w:pPr>
              <w:jc w:val="center"/>
              <w:rPr>
                <w:rFonts w:hint="eastAsia" w:ascii="宋体" w:hAnsi="宋体"/>
                <w:bCs/>
                <w:sz w:val="24"/>
                <w:szCs w:val="24"/>
              </w:rPr>
            </w:pPr>
          </w:p>
        </w:tc>
      </w:tr>
    </w:tbl>
    <w:p w14:paraId="2773B22B">
      <w:pPr>
        <w:pStyle w:val="16"/>
        <w:rPr>
          <w:rFonts w:hint="eastAsia" w:ascii="宋体" w:hAnsi="宋体"/>
          <w:szCs w:val="24"/>
        </w:rPr>
      </w:pPr>
      <w:r>
        <w:rPr>
          <w:rFonts w:ascii="宋体" w:hAnsi="宋体"/>
          <w:szCs w:val="24"/>
        </w:rPr>
        <w:t>注：1.投标人须</w:t>
      </w:r>
      <w:r>
        <w:rPr>
          <w:rFonts w:hint="eastAsia" w:ascii="宋体" w:hAnsi="宋体"/>
          <w:szCs w:val="24"/>
        </w:rPr>
        <w:t>根据货物需求一览表的所有产品</w:t>
      </w:r>
      <w:r>
        <w:rPr>
          <w:rFonts w:ascii="宋体" w:hAnsi="宋体"/>
          <w:szCs w:val="24"/>
        </w:rPr>
        <w:t>提供分项报价</w:t>
      </w:r>
      <w:r>
        <w:rPr>
          <w:rFonts w:hint="eastAsia" w:ascii="宋体" w:hAnsi="宋体"/>
          <w:szCs w:val="24"/>
        </w:rPr>
        <w:t>表</w:t>
      </w:r>
      <w:r>
        <w:rPr>
          <w:rFonts w:ascii="宋体" w:hAnsi="宋体"/>
          <w:szCs w:val="24"/>
        </w:rPr>
        <w:t>，</w:t>
      </w:r>
      <w:r>
        <w:rPr>
          <w:rFonts w:hint="eastAsia" w:ascii="宋体" w:hAnsi="宋体"/>
          <w:szCs w:val="24"/>
        </w:rPr>
        <w:t>可自行增加内容，但不可删减上述报价项，表格不够可以扩展，否则</w:t>
      </w:r>
      <w:r>
        <w:rPr>
          <w:rFonts w:ascii="宋体" w:hAnsi="宋体"/>
          <w:szCs w:val="24"/>
        </w:rPr>
        <w:t>视为没有</w:t>
      </w:r>
      <w:r>
        <w:rPr>
          <w:rFonts w:hint="eastAsia" w:ascii="宋体" w:hAnsi="宋体"/>
          <w:szCs w:val="24"/>
        </w:rPr>
        <w:t>实质</w:t>
      </w:r>
      <w:r>
        <w:rPr>
          <w:rFonts w:ascii="宋体" w:hAnsi="宋体"/>
          <w:szCs w:val="24"/>
        </w:rPr>
        <w:t>响应招标文件</w:t>
      </w:r>
      <w:r>
        <w:rPr>
          <w:rFonts w:hint="eastAsia" w:ascii="宋体" w:hAnsi="宋体"/>
          <w:szCs w:val="24"/>
        </w:rPr>
        <w:t>的采购标的</w:t>
      </w:r>
      <w:r>
        <w:rPr>
          <w:rFonts w:ascii="宋体" w:hAnsi="宋体"/>
          <w:szCs w:val="24"/>
        </w:rPr>
        <w:t>，作无效投标处理。</w:t>
      </w:r>
    </w:p>
    <w:p w14:paraId="1C86EBB9">
      <w:pPr>
        <w:pStyle w:val="16"/>
        <w:ind w:firstLine="480" w:firstLineChars="200"/>
        <w:rPr>
          <w:rFonts w:hint="eastAsia" w:ascii="宋体" w:hAnsi="宋体"/>
          <w:szCs w:val="24"/>
        </w:rPr>
      </w:pPr>
      <w:bookmarkStart w:id="148" w:name="_Hlk171697583"/>
      <w:r>
        <w:rPr>
          <w:rFonts w:hint="eastAsia" w:ascii="宋体" w:hAnsi="宋体"/>
          <w:szCs w:val="24"/>
        </w:rPr>
        <w:t>2</w:t>
      </w:r>
      <w:r>
        <w:rPr>
          <w:rFonts w:ascii="宋体" w:hAnsi="宋体"/>
          <w:szCs w:val="24"/>
        </w:rPr>
        <w:t>.</w:t>
      </w:r>
      <w:r>
        <w:rPr>
          <w:rFonts w:hint="eastAsia" w:ascii="宋体" w:hAnsi="宋体"/>
          <w:szCs w:val="24"/>
        </w:rPr>
        <w:t>国内制造商规模请填写“大型”/“中型”/“小型”/“微型”，国外制造商或其他情形可填写“其他”。</w:t>
      </w:r>
    </w:p>
    <w:bookmarkEnd w:id="148"/>
    <w:p w14:paraId="7F0DD259">
      <w:pPr>
        <w:pStyle w:val="16"/>
        <w:ind w:firstLine="480" w:firstLineChars="200"/>
        <w:rPr>
          <w:rFonts w:hint="eastAsia" w:ascii="宋体" w:hAnsi="宋体"/>
          <w:szCs w:val="24"/>
        </w:rPr>
      </w:pPr>
      <w:r>
        <w:rPr>
          <w:rFonts w:ascii="宋体" w:hAnsi="宋体"/>
          <w:szCs w:val="24"/>
        </w:rPr>
        <w:t>3.上述各项的详细分项报价（如有），可另页描述。</w:t>
      </w:r>
    </w:p>
    <w:p w14:paraId="504B9EBC">
      <w:pPr>
        <w:pStyle w:val="16"/>
        <w:ind w:firstLine="480" w:firstLineChars="200"/>
        <w:rPr>
          <w:rFonts w:hint="eastAsia" w:ascii="宋体" w:hAnsi="宋体"/>
          <w:szCs w:val="24"/>
        </w:rPr>
      </w:pPr>
      <w:r>
        <w:rPr>
          <w:rFonts w:hint="eastAsia" w:ascii="宋体" w:hAnsi="宋体"/>
          <w:szCs w:val="24"/>
        </w:rPr>
        <w:t>4.公式：单价乘以数量等于</w:t>
      </w:r>
      <w:r>
        <w:rPr>
          <w:rFonts w:hint="eastAsia" w:ascii="宋体" w:hAnsi="宋体"/>
          <w:bCs/>
          <w:kern w:val="2"/>
          <w:szCs w:val="24"/>
        </w:rPr>
        <w:t>合计</w:t>
      </w:r>
      <w:r>
        <w:rPr>
          <w:rFonts w:hint="eastAsia" w:ascii="宋体" w:hAnsi="宋体"/>
          <w:szCs w:val="24"/>
        </w:rPr>
        <w:t>。每项</w:t>
      </w:r>
      <w:r>
        <w:rPr>
          <w:rFonts w:hint="eastAsia" w:ascii="宋体" w:hAnsi="宋体"/>
          <w:bCs/>
          <w:kern w:val="2"/>
          <w:szCs w:val="24"/>
        </w:rPr>
        <w:t>合计</w:t>
      </w:r>
      <w:r>
        <w:rPr>
          <w:rFonts w:hint="eastAsia" w:ascii="宋体" w:hAnsi="宋体"/>
          <w:szCs w:val="24"/>
        </w:rPr>
        <w:t>相加等于</w:t>
      </w:r>
      <w:r>
        <w:rPr>
          <w:rFonts w:hint="eastAsia" w:ascii="宋体" w:hAnsi="宋体"/>
          <w:bCs/>
          <w:kern w:val="2"/>
          <w:szCs w:val="24"/>
        </w:rPr>
        <w:t>合计总价</w:t>
      </w:r>
      <w:r>
        <w:rPr>
          <w:rFonts w:hint="eastAsia" w:ascii="宋体" w:hAnsi="宋体"/>
          <w:szCs w:val="24"/>
        </w:rPr>
        <w:t>。</w:t>
      </w:r>
      <w:r>
        <w:rPr>
          <w:rFonts w:hint="eastAsia" w:ascii="宋体" w:hAnsi="宋体"/>
          <w:bCs/>
          <w:kern w:val="2"/>
          <w:szCs w:val="24"/>
        </w:rPr>
        <w:t>合计总价</w:t>
      </w:r>
      <w:r>
        <w:rPr>
          <w:rFonts w:hint="eastAsia" w:ascii="宋体" w:hAnsi="宋体"/>
          <w:szCs w:val="24"/>
        </w:rPr>
        <w:t>应与开标一览表的投标总价一致。</w:t>
      </w:r>
    </w:p>
    <w:p w14:paraId="00157CA0">
      <w:pPr>
        <w:pStyle w:val="16"/>
        <w:rPr>
          <w:rFonts w:hint="eastAsia" w:ascii="宋体" w:hAnsi="宋体"/>
          <w:szCs w:val="24"/>
        </w:rPr>
      </w:pPr>
    </w:p>
    <w:p w14:paraId="535AAFEF">
      <w:pPr>
        <w:pStyle w:val="20"/>
        <w:rPr>
          <w:rFonts w:hint="eastAsia" w:hAnsi="宋体" w:eastAsia="宋体"/>
          <w:color w:val="000000"/>
          <w:sz w:val="24"/>
          <w:szCs w:val="24"/>
        </w:rPr>
      </w:pPr>
    </w:p>
    <w:p w14:paraId="591C4B4D">
      <w:pPr>
        <w:pStyle w:val="20"/>
        <w:rPr>
          <w:rFonts w:hint="eastAsia" w:hAnsi="宋体" w:eastAsia="宋体"/>
          <w:sz w:val="24"/>
          <w:szCs w:val="24"/>
        </w:rPr>
      </w:pPr>
    </w:p>
    <w:p w14:paraId="2D81AA88">
      <w:pPr>
        <w:pStyle w:val="20"/>
        <w:spacing w:line="360" w:lineRule="auto"/>
        <w:contextualSpacing/>
        <w:rPr>
          <w:rFonts w:hint="eastAsia" w:hAnsi="宋体" w:eastAsia="宋体"/>
          <w:sz w:val="24"/>
        </w:rPr>
      </w:pPr>
      <w:r>
        <w:rPr>
          <w:rFonts w:hAnsi="宋体" w:eastAsia="宋体"/>
          <w:sz w:val="24"/>
        </w:rPr>
        <w:t>投标人法定代表人或被授权人</w:t>
      </w:r>
      <w:r>
        <w:rPr>
          <w:rFonts w:hAnsi="宋体" w:eastAsia="宋体"/>
          <w:b/>
          <w:sz w:val="24"/>
        </w:rPr>
        <w:t>签字</w:t>
      </w:r>
      <w:r>
        <w:rPr>
          <w:rFonts w:hAnsi="宋体" w:eastAsia="宋体"/>
          <w:sz w:val="24"/>
        </w:rPr>
        <w:t>：___________________</w:t>
      </w:r>
    </w:p>
    <w:p w14:paraId="6277E9E9">
      <w:pPr>
        <w:pStyle w:val="20"/>
        <w:spacing w:line="360" w:lineRule="auto"/>
        <w:contextualSpacing/>
        <w:rPr>
          <w:rFonts w:hint="eastAsia" w:hAnsi="宋体" w:eastAsia="宋体"/>
          <w:sz w:val="24"/>
        </w:rPr>
      </w:pPr>
      <w:r>
        <w:rPr>
          <w:rFonts w:hAnsi="宋体" w:eastAsia="宋体"/>
          <w:sz w:val="24"/>
        </w:rPr>
        <w:t>投标人名称（</w:t>
      </w:r>
      <w:r>
        <w:rPr>
          <w:rFonts w:hAnsi="宋体" w:eastAsia="宋体"/>
          <w:b/>
          <w:sz w:val="24"/>
        </w:rPr>
        <w:t>加盖公章</w:t>
      </w:r>
      <w:r>
        <w:rPr>
          <w:rFonts w:hAnsi="宋体" w:eastAsia="宋体"/>
          <w:sz w:val="24"/>
        </w:rPr>
        <w:t>）：</w:t>
      </w:r>
      <w:r>
        <w:rPr>
          <w:rFonts w:hAnsi="宋体" w:eastAsia="宋体"/>
          <w:sz w:val="24"/>
          <w:u w:val="single"/>
        </w:rPr>
        <w:t xml:space="preserve">                  </w:t>
      </w:r>
    </w:p>
    <w:p w14:paraId="2D558CED">
      <w:pPr>
        <w:pStyle w:val="20"/>
        <w:spacing w:line="360" w:lineRule="auto"/>
        <w:contextualSpacing/>
        <w:rPr>
          <w:rFonts w:hint="eastAsia" w:hAnsi="宋体" w:eastAsia="宋体"/>
          <w:sz w:val="24"/>
        </w:rPr>
      </w:pPr>
    </w:p>
    <w:p w14:paraId="460C2E8C">
      <w:pPr>
        <w:pStyle w:val="20"/>
        <w:spacing w:line="360" w:lineRule="auto"/>
        <w:contextualSpacing/>
        <w:rPr>
          <w:rFonts w:hint="eastAsia" w:hAnsi="宋体" w:eastAsia="宋体"/>
          <w:sz w:val="24"/>
        </w:rPr>
      </w:pPr>
    </w:p>
    <w:p w14:paraId="5C629184">
      <w:pPr>
        <w:pStyle w:val="20"/>
        <w:spacing w:line="360" w:lineRule="auto"/>
        <w:contextualSpacing/>
        <w:rPr>
          <w:rFonts w:hint="eastAsia" w:hAnsi="宋体" w:eastAsia="宋体"/>
          <w:sz w:val="24"/>
        </w:rPr>
        <w:sectPr>
          <w:headerReference r:id="rId20" w:type="first"/>
          <w:footerReference r:id="rId21" w:type="first"/>
          <w:headerReference r:id="rId19" w:type="default"/>
          <w:pgSz w:w="12240" w:h="15840"/>
          <w:pgMar w:top="1276" w:right="1797" w:bottom="1276" w:left="1797" w:header="720" w:footer="720" w:gutter="0"/>
          <w:cols w:space="720" w:num="1"/>
          <w:docGrid w:linePitch="285" w:charSpace="0"/>
        </w:sectPr>
      </w:pPr>
    </w:p>
    <w:p w14:paraId="4C755AEE">
      <w:pPr>
        <w:spacing w:line="360" w:lineRule="auto"/>
        <w:jc w:val="center"/>
        <w:outlineLvl w:val="1"/>
        <w:rPr>
          <w:rFonts w:hint="eastAsia" w:ascii="宋体" w:hAnsi="宋体"/>
          <w:b/>
          <w:sz w:val="32"/>
          <w:szCs w:val="32"/>
        </w:rPr>
      </w:pPr>
      <w:bookmarkStart w:id="149" w:name="_Toc115623240"/>
      <w:bookmarkStart w:id="150" w:name="_Toc176023837"/>
      <w:bookmarkStart w:id="151" w:name="_Toc161643987"/>
      <w:r>
        <w:rPr>
          <w:rFonts w:ascii="宋体" w:hAnsi="宋体"/>
          <w:b/>
          <w:sz w:val="32"/>
          <w:szCs w:val="32"/>
        </w:rPr>
        <w:t xml:space="preserve">附件5 </w:t>
      </w:r>
      <w:r>
        <w:rPr>
          <w:rFonts w:ascii="宋体" w:hAnsi="宋体"/>
          <w:b/>
          <w:bCs/>
          <w:sz w:val="32"/>
          <w:szCs w:val="32"/>
        </w:rPr>
        <w:t>采购代理服务费承诺书</w:t>
      </w:r>
      <w:bookmarkEnd w:id="149"/>
      <w:r>
        <w:rPr>
          <w:rFonts w:hint="eastAsia" w:ascii="宋体" w:hAnsi="宋体"/>
          <w:b/>
          <w:sz w:val="32"/>
          <w:szCs w:val="32"/>
        </w:rPr>
        <w:t>（实质性格式）</w:t>
      </w:r>
      <w:bookmarkEnd w:id="150"/>
    </w:p>
    <w:p w14:paraId="4D2E3E77">
      <w:pPr>
        <w:spacing w:line="360" w:lineRule="auto"/>
        <w:ind w:left="1" w:hanging="1"/>
        <w:jc w:val="center"/>
        <w:rPr>
          <w:rFonts w:hint="eastAsia" w:ascii="宋体" w:hAnsi="宋体"/>
          <w:sz w:val="23"/>
          <w:szCs w:val="23"/>
        </w:rPr>
      </w:pPr>
    </w:p>
    <w:p w14:paraId="021F4B8D">
      <w:pPr>
        <w:spacing w:line="360" w:lineRule="auto"/>
        <w:ind w:left="1" w:hanging="1"/>
        <w:rPr>
          <w:rFonts w:hint="eastAsia" w:ascii="宋体" w:hAnsi="宋体"/>
          <w:sz w:val="24"/>
          <w:u w:val="single"/>
        </w:rPr>
      </w:pPr>
      <w:r>
        <w:rPr>
          <w:rFonts w:ascii="宋体" w:hAnsi="宋体"/>
          <w:sz w:val="24"/>
        </w:rPr>
        <w:t>致：</w:t>
      </w:r>
      <w:r>
        <w:rPr>
          <w:rFonts w:ascii="宋体" w:hAnsi="宋体"/>
          <w:sz w:val="24"/>
          <w:u w:val="single"/>
        </w:rPr>
        <w:t xml:space="preserve">中信国际招标有限公司 </w:t>
      </w:r>
    </w:p>
    <w:p w14:paraId="05A21E6B">
      <w:pPr>
        <w:spacing w:line="360" w:lineRule="auto"/>
        <w:rPr>
          <w:rFonts w:hint="eastAsia" w:ascii="宋体" w:hAnsi="宋体"/>
          <w:sz w:val="24"/>
          <w:u w:val="single"/>
        </w:rPr>
      </w:pPr>
    </w:p>
    <w:p w14:paraId="37759935">
      <w:pPr>
        <w:spacing w:line="360" w:lineRule="auto"/>
        <w:ind w:firstLine="480"/>
        <w:rPr>
          <w:rFonts w:hint="eastAsia" w:ascii="宋体" w:hAnsi="宋体"/>
          <w:sz w:val="24"/>
        </w:rPr>
      </w:pPr>
      <w:r>
        <w:rPr>
          <w:rFonts w:ascii="宋体" w:hAnsi="宋体"/>
          <w:sz w:val="24"/>
        </w:rPr>
        <w:t>我</w:t>
      </w:r>
      <w:r>
        <w:rPr>
          <w:rFonts w:hint="eastAsia" w:ascii="宋体" w:hAnsi="宋体"/>
          <w:sz w:val="24"/>
        </w:rPr>
        <w:t>方</w:t>
      </w:r>
      <w:r>
        <w:rPr>
          <w:rFonts w:ascii="宋体" w:hAnsi="宋体"/>
          <w:sz w:val="24"/>
        </w:rPr>
        <w:t>在贵公司组织的</w:t>
      </w:r>
      <w:r>
        <w:rPr>
          <w:rFonts w:ascii="宋体" w:hAnsi="宋体"/>
          <w:sz w:val="24"/>
          <w:u w:val="single"/>
        </w:rPr>
        <w:t xml:space="preserve">                </w:t>
      </w:r>
      <w:r>
        <w:rPr>
          <w:rFonts w:ascii="宋体" w:hAnsi="宋体"/>
          <w:sz w:val="24"/>
        </w:rPr>
        <w:t>（</w:t>
      </w:r>
      <w:r>
        <w:rPr>
          <w:rFonts w:hint="eastAsia" w:ascii="宋体" w:hAnsi="宋体"/>
          <w:sz w:val="24"/>
        </w:rPr>
        <w:t>项目名称、</w:t>
      </w:r>
      <w:r>
        <w:rPr>
          <w:rFonts w:ascii="宋体" w:hAnsi="宋体"/>
          <w:sz w:val="24"/>
        </w:rPr>
        <w:t>项目编号）招标采购</w:t>
      </w:r>
      <w:r>
        <w:rPr>
          <w:rFonts w:hint="eastAsia" w:ascii="宋体" w:hAnsi="宋体"/>
          <w:sz w:val="24"/>
        </w:rPr>
        <w:t>项目</w:t>
      </w:r>
      <w:r>
        <w:rPr>
          <w:rFonts w:ascii="宋体" w:hAnsi="宋体"/>
          <w:sz w:val="24"/>
        </w:rPr>
        <w:t>中若中标，我</w:t>
      </w:r>
      <w:r>
        <w:rPr>
          <w:rFonts w:hint="eastAsia" w:ascii="宋体" w:hAnsi="宋体"/>
          <w:sz w:val="24"/>
        </w:rPr>
        <w:t>方</w:t>
      </w:r>
      <w:r>
        <w:rPr>
          <w:rFonts w:ascii="宋体" w:hAnsi="宋体"/>
          <w:sz w:val="24"/>
        </w:rPr>
        <w:t>保证在收到中标通知书5</w:t>
      </w:r>
      <w:r>
        <w:rPr>
          <w:rFonts w:hint="eastAsia" w:ascii="宋体" w:hAnsi="宋体"/>
          <w:sz w:val="24"/>
        </w:rPr>
        <w:t>日历日</w:t>
      </w:r>
      <w:r>
        <w:rPr>
          <w:rFonts w:ascii="宋体" w:hAnsi="宋体"/>
          <w:sz w:val="24"/>
        </w:rPr>
        <w:t>内按招标文件有关规定，以支票</w:t>
      </w:r>
      <w:r>
        <w:rPr>
          <w:rFonts w:hint="eastAsia" w:ascii="宋体" w:hAnsi="宋体"/>
          <w:sz w:val="24"/>
        </w:rPr>
        <w:t>/</w:t>
      </w:r>
      <w:r>
        <w:rPr>
          <w:rFonts w:ascii="宋体" w:hAnsi="宋体"/>
          <w:sz w:val="24"/>
        </w:rPr>
        <w:t>汇票</w:t>
      </w:r>
      <w:r>
        <w:rPr>
          <w:rFonts w:hint="eastAsia" w:ascii="宋体" w:hAnsi="宋体"/>
          <w:sz w:val="24"/>
        </w:rPr>
        <w:t>/</w:t>
      </w:r>
      <w:r>
        <w:rPr>
          <w:rFonts w:ascii="宋体" w:hAnsi="宋体"/>
          <w:sz w:val="24"/>
        </w:rPr>
        <w:t>电汇</w:t>
      </w:r>
      <w:r>
        <w:rPr>
          <w:rFonts w:hint="eastAsia" w:ascii="宋体" w:hAnsi="宋体"/>
          <w:sz w:val="24"/>
        </w:rPr>
        <w:t>/</w:t>
      </w:r>
      <w:r>
        <w:rPr>
          <w:rFonts w:ascii="宋体" w:hAnsi="宋体"/>
          <w:sz w:val="24"/>
        </w:rPr>
        <w:t>现金</w:t>
      </w:r>
      <w:r>
        <w:rPr>
          <w:rFonts w:hint="eastAsia" w:ascii="宋体" w:hAnsi="宋体"/>
          <w:sz w:val="24"/>
        </w:rPr>
        <w:t>/形式，</w:t>
      </w:r>
      <w:r>
        <w:rPr>
          <w:rFonts w:ascii="宋体" w:hAnsi="宋体"/>
          <w:sz w:val="24"/>
        </w:rPr>
        <w:t>或贵公司认可的其他方式一次性向贵公司支付采购代理机构服务费。</w:t>
      </w:r>
    </w:p>
    <w:p w14:paraId="358368C7">
      <w:pPr>
        <w:spacing w:line="360" w:lineRule="auto"/>
        <w:ind w:firstLine="480"/>
        <w:rPr>
          <w:rFonts w:hint="eastAsia" w:ascii="宋体" w:hAnsi="宋体"/>
          <w:sz w:val="24"/>
        </w:rPr>
      </w:pPr>
    </w:p>
    <w:p w14:paraId="0D575F61">
      <w:pPr>
        <w:spacing w:line="360" w:lineRule="auto"/>
        <w:ind w:firstLine="480"/>
        <w:rPr>
          <w:rFonts w:hint="eastAsia" w:ascii="宋体" w:hAnsi="宋体"/>
          <w:sz w:val="24"/>
        </w:rPr>
      </w:pPr>
      <w:r>
        <w:rPr>
          <w:rFonts w:ascii="宋体" w:hAnsi="宋体"/>
          <w:sz w:val="24"/>
        </w:rPr>
        <w:t>特此承诺</w:t>
      </w:r>
    </w:p>
    <w:p w14:paraId="6BF2D1D8">
      <w:pPr>
        <w:spacing w:line="360" w:lineRule="auto"/>
        <w:ind w:firstLine="480"/>
        <w:rPr>
          <w:rFonts w:hint="eastAsia" w:ascii="宋体" w:hAnsi="宋体"/>
          <w:sz w:val="24"/>
        </w:rPr>
      </w:pPr>
    </w:p>
    <w:p w14:paraId="5D6941DB">
      <w:pPr>
        <w:spacing w:line="360" w:lineRule="auto"/>
        <w:ind w:firstLine="480"/>
        <w:rPr>
          <w:rFonts w:hint="eastAsia" w:ascii="宋体" w:hAnsi="宋体"/>
          <w:sz w:val="24"/>
        </w:rPr>
      </w:pPr>
    </w:p>
    <w:p w14:paraId="2A104819">
      <w:pPr>
        <w:spacing w:line="360" w:lineRule="auto"/>
        <w:rPr>
          <w:rFonts w:hint="eastAsia" w:ascii="宋体" w:hAnsi="宋体"/>
          <w:sz w:val="24"/>
          <w:u w:val="single"/>
        </w:rPr>
      </w:pPr>
      <w:r>
        <w:rPr>
          <w:rFonts w:hint="eastAsia" w:ascii="宋体" w:hAnsi="宋体"/>
          <w:sz w:val="24"/>
        </w:rPr>
        <w:t xml:space="preserve"> </w:t>
      </w:r>
    </w:p>
    <w:p w14:paraId="4DAAC33E">
      <w:pPr>
        <w:spacing w:line="360" w:lineRule="auto"/>
        <w:rPr>
          <w:rFonts w:hint="eastAsia" w:ascii="宋体" w:hAnsi="宋体"/>
          <w:sz w:val="24"/>
          <w:u w:val="single"/>
        </w:rPr>
      </w:pPr>
      <w:r>
        <w:rPr>
          <w:rFonts w:ascii="宋体" w:hAnsi="宋体"/>
          <w:sz w:val="24"/>
        </w:rPr>
        <w:t>投标人名称（</w:t>
      </w:r>
      <w:r>
        <w:rPr>
          <w:rFonts w:ascii="宋体" w:hAnsi="宋体"/>
          <w:b/>
          <w:sz w:val="24"/>
        </w:rPr>
        <w:t>加盖公章</w:t>
      </w:r>
      <w:r>
        <w:rPr>
          <w:rFonts w:ascii="宋体" w:hAnsi="宋体"/>
          <w:sz w:val="24"/>
        </w:rPr>
        <w:t>）：</w:t>
      </w:r>
      <w:r>
        <w:rPr>
          <w:rFonts w:ascii="宋体" w:hAnsi="宋体"/>
          <w:sz w:val="24"/>
          <w:u w:val="single"/>
        </w:rPr>
        <w:t xml:space="preserve">                         </w:t>
      </w:r>
    </w:p>
    <w:p w14:paraId="2B110B66">
      <w:pPr>
        <w:rPr>
          <w:rFonts w:hint="eastAsia" w:ascii="宋体" w:hAnsi="宋体"/>
        </w:rPr>
      </w:pPr>
    </w:p>
    <w:p w14:paraId="47EF14C8">
      <w:pPr>
        <w:rPr>
          <w:rFonts w:hint="eastAsia" w:ascii="宋体" w:hAnsi="宋体"/>
        </w:rPr>
      </w:pPr>
    </w:p>
    <w:p w14:paraId="39FD167F">
      <w:pPr>
        <w:spacing w:line="360" w:lineRule="auto"/>
        <w:ind w:firstLine="420"/>
        <w:contextualSpacing/>
        <w:jc w:val="center"/>
        <w:rPr>
          <w:rFonts w:hint="eastAsia" w:ascii="宋体" w:hAnsi="宋体"/>
          <w:b/>
          <w:sz w:val="32"/>
          <w:szCs w:val="32"/>
        </w:rPr>
      </w:pPr>
      <w:bookmarkStart w:id="152" w:name="_Toc497489632"/>
      <w:r>
        <w:rPr>
          <w:rFonts w:ascii="宋体" w:hAnsi="宋体"/>
          <w:b/>
          <w:sz w:val="32"/>
          <w:szCs w:val="32"/>
        </w:rPr>
        <w:br w:type="page"/>
      </w:r>
      <w:r>
        <w:rPr>
          <w:rFonts w:ascii="宋体" w:hAnsi="宋体"/>
          <w:b/>
          <w:sz w:val="32"/>
          <w:szCs w:val="32"/>
        </w:rPr>
        <w:t>附件5-1增值税发票开票信息</w:t>
      </w:r>
      <w:bookmarkEnd w:id="152"/>
      <w:r>
        <w:rPr>
          <w:rFonts w:hint="eastAsia" w:ascii="宋体" w:hAnsi="宋体"/>
          <w:b/>
          <w:sz w:val="32"/>
          <w:szCs w:val="32"/>
        </w:rPr>
        <w:t>（非实质性格式）</w:t>
      </w:r>
    </w:p>
    <w:p w14:paraId="3D54D7CF">
      <w:pPr>
        <w:spacing w:line="360" w:lineRule="auto"/>
        <w:ind w:firstLine="420"/>
        <w:contextualSpacing/>
        <w:rPr>
          <w:rFonts w:hint="eastAsia" w:ascii="宋体" w:hAnsi="宋体"/>
          <w:sz w:val="24"/>
          <w:szCs w:val="21"/>
          <w:lang w:val="zh-CN"/>
        </w:rPr>
      </w:pPr>
      <w:r>
        <w:rPr>
          <w:rFonts w:ascii="宋体" w:hAnsi="宋体"/>
          <w:sz w:val="24"/>
          <w:szCs w:val="21"/>
          <w:lang w:val="zh-CN"/>
        </w:rPr>
        <w:t>投标人如中标，采购代理服务费需</w:t>
      </w:r>
      <w:r>
        <w:rPr>
          <w:rFonts w:hint="eastAsia" w:ascii="宋体" w:hAnsi="宋体"/>
          <w:sz w:val="24"/>
          <w:szCs w:val="21"/>
          <w:lang w:val="zh-CN"/>
        </w:rPr>
        <w:t>由</w:t>
      </w:r>
      <w:r>
        <w:rPr>
          <w:rFonts w:ascii="宋体" w:hAnsi="宋体"/>
          <w:sz w:val="24"/>
          <w:szCs w:val="21"/>
          <w:lang w:val="zh-CN"/>
        </w:rPr>
        <w:t>采购代理机构开具增值税专用发票</w:t>
      </w:r>
      <w:r>
        <w:rPr>
          <w:rFonts w:hint="eastAsia" w:ascii="宋体" w:hAnsi="宋体"/>
          <w:sz w:val="24"/>
          <w:szCs w:val="21"/>
          <w:lang w:val="zh-CN"/>
        </w:rPr>
        <w:t>或普通发票</w:t>
      </w:r>
      <w:r>
        <w:rPr>
          <w:rFonts w:ascii="宋体" w:hAnsi="宋体"/>
          <w:sz w:val="24"/>
          <w:szCs w:val="21"/>
          <w:lang w:val="zh-CN"/>
        </w:rPr>
        <w:t>的，请</w:t>
      </w:r>
      <w:r>
        <w:rPr>
          <w:rFonts w:hint="eastAsia" w:ascii="宋体" w:hAnsi="宋体"/>
          <w:sz w:val="24"/>
          <w:szCs w:val="21"/>
          <w:lang w:val="zh-CN"/>
        </w:rPr>
        <w:t>认真核实后填写下表</w:t>
      </w:r>
      <w:r>
        <w:rPr>
          <w:rFonts w:ascii="宋体" w:hAnsi="宋体"/>
          <w:sz w:val="24"/>
          <w:szCs w:val="21"/>
          <w:lang w:val="zh-CN"/>
        </w:rPr>
        <w:t>。</w:t>
      </w:r>
    </w:p>
    <w:p w14:paraId="7AE7F996">
      <w:pPr>
        <w:rPr>
          <w:rFonts w:hint="eastAsia" w:ascii="宋体" w:hAnsi="宋体"/>
          <w:lang w:val="zh-CN"/>
        </w:rPr>
      </w:pPr>
    </w:p>
    <w:tbl>
      <w:tblPr>
        <w:tblStyle w:val="36"/>
        <w:tblW w:w="8354" w:type="dxa"/>
        <w:jc w:val="center"/>
        <w:tblLayout w:type="autofit"/>
        <w:tblCellMar>
          <w:top w:w="0" w:type="dxa"/>
          <w:left w:w="108" w:type="dxa"/>
          <w:bottom w:w="0" w:type="dxa"/>
          <w:right w:w="108" w:type="dxa"/>
        </w:tblCellMar>
      </w:tblPr>
      <w:tblGrid>
        <w:gridCol w:w="2258"/>
        <w:gridCol w:w="6096"/>
      </w:tblGrid>
      <w:tr w14:paraId="72810C93">
        <w:tblPrEx>
          <w:tblCellMar>
            <w:top w:w="0" w:type="dxa"/>
            <w:left w:w="108" w:type="dxa"/>
            <w:bottom w:w="0" w:type="dxa"/>
            <w:right w:w="108" w:type="dxa"/>
          </w:tblCellMar>
        </w:tblPrEx>
        <w:trPr>
          <w:trHeight w:val="720" w:hRule="atLeast"/>
          <w:jc w:val="center"/>
        </w:trPr>
        <w:tc>
          <w:tcPr>
            <w:tcW w:w="2258" w:type="dxa"/>
            <w:tcBorders>
              <w:top w:val="single" w:color="auto" w:sz="4" w:space="0"/>
              <w:left w:val="single" w:color="auto" w:sz="8" w:space="0"/>
              <w:bottom w:val="single" w:color="auto" w:sz="4" w:space="0"/>
              <w:right w:val="single" w:color="auto" w:sz="4" w:space="0"/>
            </w:tcBorders>
            <w:noWrap/>
            <w:vAlign w:val="center"/>
          </w:tcPr>
          <w:p w14:paraId="305EE415">
            <w:pPr>
              <w:widowControl/>
              <w:jc w:val="center"/>
              <w:rPr>
                <w:rFonts w:hint="eastAsia" w:ascii="宋体" w:hAnsi="宋体" w:cs="宋体"/>
                <w:b/>
                <w:bCs/>
                <w:kern w:val="0"/>
                <w:sz w:val="24"/>
                <w:szCs w:val="24"/>
              </w:rPr>
            </w:pPr>
            <w:r>
              <w:rPr>
                <w:rFonts w:hint="eastAsia" w:ascii="宋体" w:hAnsi="宋体" w:cs="宋体"/>
                <w:b/>
                <w:bCs/>
                <w:kern w:val="0"/>
                <w:sz w:val="24"/>
                <w:szCs w:val="24"/>
              </w:rPr>
              <w:t>开具发票类型</w:t>
            </w:r>
          </w:p>
        </w:tc>
        <w:tc>
          <w:tcPr>
            <w:tcW w:w="6096" w:type="dxa"/>
            <w:tcBorders>
              <w:top w:val="single" w:color="auto" w:sz="4" w:space="0"/>
              <w:left w:val="nil"/>
              <w:bottom w:val="single" w:color="auto" w:sz="4" w:space="0"/>
              <w:right w:val="single" w:color="000000" w:sz="8" w:space="0"/>
            </w:tcBorders>
            <w:vAlign w:val="center"/>
          </w:tcPr>
          <w:p w14:paraId="4360C562">
            <w:pPr>
              <w:widowControl/>
              <w:jc w:val="left"/>
              <w:rPr>
                <w:rFonts w:hint="eastAsia" w:ascii="宋体" w:hAnsi="宋体" w:cs="宋体"/>
                <w:kern w:val="0"/>
                <w:sz w:val="24"/>
                <w:szCs w:val="24"/>
              </w:rPr>
            </w:pPr>
            <w:r>
              <w:rPr>
                <w:rFonts w:hint="eastAsia" w:ascii="宋体" w:hAnsi="宋体" w:cs="宋体"/>
                <w:kern w:val="0"/>
                <w:sz w:val="24"/>
                <w:szCs w:val="24"/>
              </w:rPr>
              <w:t>数电</w:t>
            </w:r>
            <w:r>
              <w:rPr>
                <w:rFonts w:hint="eastAsia" w:ascii="宋体" w:hAnsi="宋体" w:cs="宋体"/>
                <w:b/>
                <w:bCs/>
                <w:kern w:val="0"/>
                <w:sz w:val="24"/>
                <w:szCs w:val="24"/>
              </w:rPr>
              <w:t>专用</w:t>
            </w:r>
            <w:r>
              <w:rPr>
                <w:rFonts w:hint="eastAsia" w:ascii="宋体" w:hAnsi="宋体" w:cs="宋体"/>
                <w:kern w:val="0"/>
                <w:sz w:val="24"/>
                <w:szCs w:val="24"/>
              </w:rPr>
              <w:t>发票（   ）       数电</w:t>
            </w:r>
            <w:r>
              <w:rPr>
                <w:rFonts w:hint="eastAsia" w:ascii="宋体" w:hAnsi="宋体" w:cs="宋体"/>
                <w:b/>
                <w:bCs/>
                <w:kern w:val="0"/>
                <w:sz w:val="24"/>
                <w:szCs w:val="24"/>
              </w:rPr>
              <w:t>普通</w:t>
            </w:r>
            <w:r>
              <w:rPr>
                <w:rFonts w:hint="eastAsia" w:ascii="宋体" w:hAnsi="宋体" w:cs="宋体"/>
                <w:kern w:val="0"/>
                <w:sz w:val="24"/>
                <w:szCs w:val="24"/>
              </w:rPr>
              <w:t xml:space="preserve">发票（   ）  </w:t>
            </w:r>
          </w:p>
        </w:tc>
      </w:tr>
      <w:tr w14:paraId="4C2436E6">
        <w:tblPrEx>
          <w:tblCellMar>
            <w:top w:w="0" w:type="dxa"/>
            <w:left w:w="108" w:type="dxa"/>
            <w:bottom w:w="0" w:type="dxa"/>
            <w:right w:w="108" w:type="dxa"/>
          </w:tblCellMar>
        </w:tblPrEx>
        <w:trPr>
          <w:trHeight w:val="720" w:hRule="atLeast"/>
          <w:jc w:val="center"/>
        </w:trPr>
        <w:tc>
          <w:tcPr>
            <w:tcW w:w="8354" w:type="dxa"/>
            <w:gridSpan w:val="2"/>
            <w:tcBorders>
              <w:top w:val="single" w:color="auto" w:sz="4" w:space="0"/>
              <w:left w:val="single" w:color="auto" w:sz="8" w:space="0"/>
              <w:bottom w:val="single" w:color="auto" w:sz="4" w:space="0"/>
              <w:right w:val="single" w:color="000000" w:sz="8" w:space="0"/>
            </w:tcBorders>
            <w:noWrap/>
            <w:vAlign w:val="center"/>
          </w:tcPr>
          <w:p w14:paraId="5BCC6AA6">
            <w:pPr>
              <w:widowControl/>
              <w:jc w:val="center"/>
              <w:rPr>
                <w:rFonts w:hint="eastAsia" w:ascii="宋体" w:hAnsi="宋体" w:cs="宋体"/>
                <w:b/>
                <w:bCs/>
                <w:kern w:val="0"/>
                <w:sz w:val="24"/>
                <w:szCs w:val="24"/>
              </w:rPr>
            </w:pPr>
            <w:r>
              <w:rPr>
                <w:rFonts w:hint="eastAsia" w:ascii="宋体" w:hAnsi="宋体" w:cs="宋体"/>
                <w:b/>
                <w:bCs/>
                <w:kern w:val="0"/>
                <w:sz w:val="24"/>
                <w:szCs w:val="24"/>
              </w:rPr>
              <w:t>开票信息</w:t>
            </w:r>
          </w:p>
        </w:tc>
      </w:tr>
      <w:tr w14:paraId="09806222">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noWrap/>
            <w:vAlign w:val="center"/>
          </w:tcPr>
          <w:p w14:paraId="245AF22B">
            <w:pPr>
              <w:widowControl/>
              <w:jc w:val="center"/>
              <w:rPr>
                <w:rFonts w:hint="eastAsia" w:ascii="宋体" w:hAnsi="宋体" w:cs="Courier New"/>
                <w:b/>
                <w:bCs/>
                <w:kern w:val="0"/>
                <w:sz w:val="24"/>
                <w:szCs w:val="24"/>
              </w:rPr>
            </w:pPr>
            <w:r>
              <w:rPr>
                <w:rFonts w:ascii="宋体" w:hAnsi="宋体" w:cs="Courier New"/>
                <w:b/>
                <w:bCs/>
                <w:kern w:val="0"/>
                <w:sz w:val="24"/>
                <w:szCs w:val="24"/>
              </w:rPr>
              <w:t>开票单位全称</w:t>
            </w:r>
          </w:p>
        </w:tc>
        <w:tc>
          <w:tcPr>
            <w:tcW w:w="6096" w:type="dxa"/>
            <w:tcBorders>
              <w:top w:val="single" w:color="auto" w:sz="4" w:space="0"/>
              <w:left w:val="nil"/>
              <w:bottom w:val="single" w:color="auto" w:sz="4" w:space="0"/>
              <w:right w:val="single" w:color="000000" w:sz="8" w:space="0"/>
            </w:tcBorders>
            <w:noWrap/>
            <w:vAlign w:val="center"/>
          </w:tcPr>
          <w:p w14:paraId="50092294">
            <w:pPr>
              <w:widowControl/>
              <w:jc w:val="center"/>
              <w:rPr>
                <w:rFonts w:hint="eastAsia" w:ascii="宋体" w:hAnsi="宋体" w:cs="Courier New"/>
                <w:kern w:val="0"/>
                <w:sz w:val="24"/>
                <w:szCs w:val="24"/>
              </w:rPr>
            </w:pPr>
            <w:r>
              <w:rPr>
                <w:rFonts w:ascii="宋体" w:hAnsi="宋体" w:cs="Courier New"/>
                <w:kern w:val="0"/>
                <w:sz w:val="24"/>
                <w:szCs w:val="24"/>
              </w:rPr>
              <w:t>　</w:t>
            </w:r>
          </w:p>
        </w:tc>
      </w:tr>
      <w:tr w14:paraId="1FC76D0D">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noWrap/>
            <w:vAlign w:val="center"/>
          </w:tcPr>
          <w:p w14:paraId="1D416814">
            <w:pPr>
              <w:widowControl/>
              <w:jc w:val="center"/>
              <w:rPr>
                <w:rFonts w:hint="eastAsia" w:ascii="宋体" w:hAnsi="宋体" w:cs="Courier New"/>
                <w:b/>
                <w:bCs/>
                <w:kern w:val="0"/>
                <w:sz w:val="24"/>
                <w:szCs w:val="24"/>
              </w:rPr>
            </w:pPr>
            <w:r>
              <w:rPr>
                <w:rFonts w:ascii="宋体" w:hAnsi="宋体" w:cs="Courier New"/>
                <w:b/>
                <w:bCs/>
                <w:kern w:val="0"/>
                <w:sz w:val="24"/>
                <w:szCs w:val="24"/>
              </w:rPr>
              <w:t>统一社会信用代码</w:t>
            </w:r>
          </w:p>
        </w:tc>
        <w:tc>
          <w:tcPr>
            <w:tcW w:w="6096" w:type="dxa"/>
            <w:tcBorders>
              <w:top w:val="single" w:color="auto" w:sz="4" w:space="0"/>
              <w:left w:val="nil"/>
              <w:bottom w:val="single" w:color="auto" w:sz="4" w:space="0"/>
              <w:right w:val="single" w:color="000000" w:sz="8" w:space="0"/>
            </w:tcBorders>
            <w:noWrap/>
            <w:vAlign w:val="center"/>
          </w:tcPr>
          <w:p w14:paraId="714283CE">
            <w:pPr>
              <w:widowControl/>
              <w:jc w:val="center"/>
              <w:rPr>
                <w:rFonts w:hint="eastAsia" w:ascii="宋体" w:hAnsi="宋体" w:cs="宋体"/>
                <w:kern w:val="0"/>
                <w:sz w:val="24"/>
                <w:szCs w:val="24"/>
              </w:rPr>
            </w:pPr>
            <w:r>
              <w:rPr>
                <w:rFonts w:hint="eastAsia" w:ascii="宋体" w:hAnsi="宋体" w:cs="宋体"/>
                <w:kern w:val="0"/>
                <w:sz w:val="24"/>
                <w:szCs w:val="24"/>
              </w:rPr>
              <w:t>　</w:t>
            </w:r>
          </w:p>
        </w:tc>
      </w:tr>
      <w:tr w14:paraId="6E092B5A">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noWrap/>
            <w:vAlign w:val="center"/>
          </w:tcPr>
          <w:p w14:paraId="40AF3EE6">
            <w:pPr>
              <w:widowControl/>
              <w:jc w:val="center"/>
              <w:rPr>
                <w:rFonts w:hint="eastAsia" w:ascii="宋体" w:hAnsi="宋体" w:cs="Courier New"/>
                <w:b/>
                <w:bCs/>
                <w:kern w:val="0"/>
                <w:sz w:val="24"/>
                <w:szCs w:val="24"/>
              </w:rPr>
            </w:pPr>
            <w:r>
              <w:rPr>
                <w:rFonts w:hint="eastAsia" w:ascii="宋体" w:hAnsi="宋体" w:cs="Courier New"/>
                <w:b/>
                <w:bCs/>
                <w:kern w:val="0"/>
                <w:sz w:val="24"/>
                <w:szCs w:val="24"/>
              </w:rPr>
              <w:t>地址及电话</w:t>
            </w:r>
          </w:p>
        </w:tc>
        <w:tc>
          <w:tcPr>
            <w:tcW w:w="6096" w:type="dxa"/>
            <w:tcBorders>
              <w:top w:val="single" w:color="auto" w:sz="4" w:space="0"/>
              <w:left w:val="nil"/>
              <w:bottom w:val="single" w:color="auto" w:sz="4" w:space="0"/>
              <w:right w:val="single" w:color="000000" w:sz="8" w:space="0"/>
            </w:tcBorders>
            <w:noWrap/>
            <w:vAlign w:val="center"/>
          </w:tcPr>
          <w:p w14:paraId="1E0CD9B8">
            <w:pPr>
              <w:widowControl/>
              <w:jc w:val="center"/>
              <w:rPr>
                <w:rFonts w:hint="eastAsia" w:ascii="宋体" w:hAnsi="宋体" w:cs="宋体"/>
                <w:kern w:val="0"/>
                <w:sz w:val="24"/>
                <w:szCs w:val="24"/>
              </w:rPr>
            </w:pPr>
          </w:p>
        </w:tc>
      </w:tr>
      <w:tr w14:paraId="3813DFAB">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noWrap/>
            <w:vAlign w:val="center"/>
          </w:tcPr>
          <w:p w14:paraId="70D10EC8">
            <w:pPr>
              <w:widowControl/>
              <w:jc w:val="center"/>
              <w:rPr>
                <w:rFonts w:hint="eastAsia" w:ascii="宋体" w:hAnsi="宋体" w:cs="Courier New"/>
                <w:b/>
                <w:bCs/>
                <w:kern w:val="0"/>
                <w:sz w:val="24"/>
                <w:szCs w:val="24"/>
              </w:rPr>
            </w:pPr>
            <w:r>
              <w:rPr>
                <w:rFonts w:hint="eastAsia" w:ascii="宋体" w:hAnsi="宋体" w:cs="Courier New"/>
                <w:b/>
                <w:bCs/>
                <w:kern w:val="0"/>
                <w:sz w:val="24"/>
                <w:szCs w:val="24"/>
              </w:rPr>
              <w:t>开户行及银行账号</w:t>
            </w:r>
          </w:p>
        </w:tc>
        <w:tc>
          <w:tcPr>
            <w:tcW w:w="6096" w:type="dxa"/>
            <w:tcBorders>
              <w:top w:val="single" w:color="auto" w:sz="4" w:space="0"/>
              <w:left w:val="nil"/>
              <w:bottom w:val="single" w:color="auto" w:sz="4" w:space="0"/>
              <w:right w:val="single" w:color="000000" w:sz="8" w:space="0"/>
            </w:tcBorders>
            <w:noWrap/>
            <w:vAlign w:val="center"/>
          </w:tcPr>
          <w:p w14:paraId="1F310EDC">
            <w:pPr>
              <w:widowControl/>
              <w:jc w:val="center"/>
              <w:rPr>
                <w:rFonts w:hint="eastAsia" w:ascii="宋体" w:hAnsi="宋体" w:cs="宋体"/>
                <w:kern w:val="0"/>
                <w:sz w:val="24"/>
                <w:szCs w:val="24"/>
              </w:rPr>
            </w:pPr>
          </w:p>
        </w:tc>
      </w:tr>
      <w:tr w14:paraId="41284496">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noWrap/>
            <w:vAlign w:val="center"/>
          </w:tcPr>
          <w:p w14:paraId="6D78837A">
            <w:pPr>
              <w:widowControl/>
              <w:jc w:val="center"/>
              <w:rPr>
                <w:rFonts w:hint="eastAsia" w:ascii="宋体" w:hAnsi="宋体" w:cs="Courier New"/>
                <w:b/>
                <w:bCs/>
                <w:kern w:val="0"/>
                <w:sz w:val="24"/>
                <w:szCs w:val="24"/>
              </w:rPr>
            </w:pPr>
            <w:r>
              <w:rPr>
                <w:rFonts w:ascii="宋体" w:hAnsi="宋体" w:cs="Courier New"/>
                <w:b/>
                <w:bCs/>
                <w:kern w:val="0"/>
                <w:sz w:val="24"/>
                <w:szCs w:val="24"/>
              </w:rPr>
              <w:t>电话</w:t>
            </w:r>
            <w:r>
              <w:rPr>
                <w:rFonts w:hint="eastAsia" w:ascii="宋体" w:hAnsi="宋体" w:cs="Courier New"/>
                <w:b/>
                <w:bCs/>
                <w:kern w:val="0"/>
                <w:sz w:val="24"/>
                <w:szCs w:val="24"/>
              </w:rPr>
              <w:t>（手机）</w:t>
            </w:r>
          </w:p>
        </w:tc>
        <w:tc>
          <w:tcPr>
            <w:tcW w:w="6096" w:type="dxa"/>
            <w:tcBorders>
              <w:top w:val="single" w:color="auto" w:sz="4" w:space="0"/>
              <w:left w:val="nil"/>
              <w:bottom w:val="single" w:color="auto" w:sz="4" w:space="0"/>
              <w:right w:val="single" w:color="000000" w:sz="8" w:space="0"/>
            </w:tcBorders>
            <w:noWrap/>
            <w:vAlign w:val="center"/>
          </w:tcPr>
          <w:p w14:paraId="4358CFCA">
            <w:pPr>
              <w:widowControl/>
              <w:jc w:val="center"/>
              <w:rPr>
                <w:rFonts w:hint="eastAsia" w:ascii="宋体" w:hAnsi="宋体" w:cs="Courier New"/>
                <w:kern w:val="0"/>
                <w:sz w:val="24"/>
                <w:szCs w:val="24"/>
              </w:rPr>
            </w:pPr>
            <w:r>
              <w:rPr>
                <w:rFonts w:ascii="宋体" w:hAnsi="宋体" w:cs="Courier New"/>
                <w:kern w:val="0"/>
                <w:sz w:val="24"/>
                <w:szCs w:val="24"/>
              </w:rPr>
              <w:t>　</w:t>
            </w:r>
          </w:p>
        </w:tc>
      </w:tr>
      <w:tr w14:paraId="34ED59D0">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noWrap/>
            <w:vAlign w:val="center"/>
          </w:tcPr>
          <w:p w14:paraId="40DBFDEB">
            <w:pPr>
              <w:widowControl/>
              <w:jc w:val="center"/>
              <w:rPr>
                <w:rFonts w:hint="eastAsia" w:ascii="宋体" w:hAnsi="宋体" w:cs="Courier New"/>
                <w:b/>
                <w:bCs/>
                <w:kern w:val="0"/>
                <w:sz w:val="24"/>
                <w:szCs w:val="24"/>
              </w:rPr>
            </w:pPr>
            <w:r>
              <w:rPr>
                <w:rFonts w:hint="eastAsia" w:ascii="宋体" w:hAnsi="宋体" w:cs="Courier New"/>
                <w:b/>
                <w:bCs/>
                <w:kern w:val="0"/>
                <w:sz w:val="24"/>
                <w:szCs w:val="24"/>
              </w:rPr>
              <w:t>邮箱</w:t>
            </w:r>
          </w:p>
        </w:tc>
        <w:tc>
          <w:tcPr>
            <w:tcW w:w="6096" w:type="dxa"/>
            <w:tcBorders>
              <w:top w:val="single" w:color="auto" w:sz="4" w:space="0"/>
              <w:left w:val="nil"/>
              <w:bottom w:val="single" w:color="auto" w:sz="4" w:space="0"/>
              <w:right w:val="single" w:color="000000" w:sz="8" w:space="0"/>
            </w:tcBorders>
            <w:noWrap/>
            <w:vAlign w:val="center"/>
          </w:tcPr>
          <w:p w14:paraId="52A8E887">
            <w:pPr>
              <w:widowControl/>
              <w:jc w:val="center"/>
              <w:rPr>
                <w:rFonts w:hint="eastAsia" w:ascii="宋体" w:hAnsi="宋体" w:cs="Courier New"/>
                <w:kern w:val="0"/>
                <w:sz w:val="24"/>
                <w:szCs w:val="24"/>
              </w:rPr>
            </w:pPr>
            <w:r>
              <w:rPr>
                <w:rFonts w:ascii="宋体" w:hAnsi="宋体" w:cs="Courier New"/>
                <w:kern w:val="0"/>
                <w:sz w:val="24"/>
                <w:szCs w:val="24"/>
              </w:rPr>
              <w:t>　</w:t>
            </w:r>
          </w:p>
        </w:tc>
      </w:tr>
    </w:tbl>
    <w:p w14:paraId="109B4114">
      <w:pPr>
        <w:pStyle w:val="20"/>
        <w:tabs>
          <w:tab w:val="left" w:pos="5580"/>
        </w:tabs>
        <w:spacing w:line="360" w:lineRule="auto"/>
        <w:contextualSpacing/>
        <w:rPr>
          <w:rFonts w:hint="eastAsia" w:hAnsi="宋体" w:eastAsia="宋体"/>
          <w:sz w:val="24"/>
        </w:rPr>
      </w:pPr>
      <w:r>
        <w:rPr>
          <w:rFonts w:hint="eastAsia" w:hAnsi="宋体" w:eastAsia="宋体"/>
          <w:sz w:val="24"/>
        </w:rPr>
        <w:t>注：仅用于采购代理机构后续代理费开票事宜。</w:t>
      </w:r>
    </w:p>
    <w:p w14:paraId="2F1C5ECE">
      <w:pPr>
        <w:pStyle w:val="20"/>
        <w:tabs>
          <w:tab w:val="left" w:pos="5580"/>
        </w:tabs>
        <w:spacing w:before="120"/>
        <w:rPr>
          <w:rFonts w:hint="eastAsia" w:hAnsi="宋体" w:eastAsia="宋体"/>
          <w:sz w:val="24"/>
          <w:szCs w:val="24"/>
        </w:rPr>
      </w:pPr>
    </w:p>
    <w:p w14:paraId="6E6DC3B3">
      <w:pPr>
        <w:spacing w:line="360" w:lineRule="auto"/>
        <w:contextualSpacing/>
        <w:rPr>
          <w:rFonts w:hint="eastAsia" w:ascii="宋体" w:hAnsi="宋体"/>
          <w:sz w:val="24"/>
          <w:szCs w:val="24"/>
          <w:u w:val="single"/>
        </w:rPr>
      </w:pPr>
      <w:r>
        <w:rPr>
          <w:rFonts w:hint="eastAsia" w:ascii="宋体" w:hAnsi="宋体"/>
          <w:sz w:val="24"/>
          <w:szCs w:val="24"/>
        </w:rPr>
        <w:t xml:space="preserve"> </w:t>
      </w:r>
    </w:p>
    <w:p w14:paraId="03F99315">
      <w:pPr>
        <w:spacing w:line="360" w:lineRule="auto"/>
        <w:jc w:val="center"/>
        <w:outlineLvl w:val="1"/>
        <w:rPr>
          <w:rFonts w:hint="eastAsia" w:ascii="宋体" w:hAnsi="宋体"/>
          <w:b/>
          <w:sz w:val="32"/>
          <w:szCs w:val="32"/>
        </w:rPr>
      </w:pPr>
      <w:r>
        <w:rPr>
          <w:rFonts w:ascii="宋体" w:hAnsi="宋体"/>
          <w:sz w:val="24"/>
          <w:szCs w:val="24"/>
          <w:u w:val="single"/>
        </w:rPr>
        <w:br w:type="page"/>
      </w:r>
      <w:bookmarkStart w:id="153" w:name="_Toc115623241"/>
      <w:bookmarkStart w:id="154" w:name="_Toc176023838"/>
      <w:r>
        <w:rPr>
          <w:rFonts w:ascii="宋体" w:hAnsi="宋体"/>
          <w:b/>
          <w:sz w:val="32"/>
          <w:szCs w:val="32"/>
        </w:rPr>
        <w:t>附件6 商务条款偏离表</w:t>
      </w:r>
      <w:bookmarkEnd w:id="151"/>
      <w:bookmarkEnd w:id="153"/>
      <w:r>
        <w:rPr>
          <w:rFonts w:hint="eastAsia" w:ascii="宋体" w:hAnsi="宋体"/>
          <w:b/>
          <w:sz w:val="32"/>
          <w:szCs w:val="32"/>
        </w:rPr>
        <w:t>（实质性格式）</w:t>
      </w:r>
      <w:bookmarkEnd w:id="154"/>
    </w:p>
    <w:p w14:paraId="188C3338">
      <w:pPr>
        <w:spacing w:line="360" w:lineRule="auto"/>
        <w:rPr>
          <w:rFonts w:hint="eastAsia" w:ascii="宋体" w:hAnsi="宋体"/>
          <w:sz w:val="24"/>
          <w:szCs w:val="24"/>
          <w:u w:val="single"/>
        </w:rPr>
      </w:pPr>
      <w:r>
        <w:rPr>
          <w:rFonts w:ascii="宋体" w:hAnsi="宋体"/>
          <w:sz w:val="24"/>
          <w:szCs w:val="24"/>
        </w:rPr>
        <w:t xml:space="preserve">项目名称：                                        项目编号：            </w:t>
      </w:r>
      <w:r>
        <w:rPr>
          <w:rFonts w:hint="eastAsia" w:ascii="宋体" w:hAnsi="宋体"/>
          <w:sz w:val="24"/>
        </w:rPr>
        <w:t xml:space="preserve"> </w:t>
      </w:r>
      <w:r>
        <w:rPr>
          <w:rFonts w:ascii="宋体" w:hAnsi="宋体"/>
          <w:sz w:val="24"/>
          <w:szCs w:val="24"/>
        </w:rPr>
        <w:t xml:space="preserve"> </w:t>
      </w:r>
    </w:p>
    <w:tbl>
      <w:tblPr>
        <w:tblStyle w:val="36"/>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11"/>
        <w:gridCol w:w="3032"/>
        <w:gridCol w:w="1430"/>
        <w:gridCol w:w="1251"/>
      </w:tblGrid>
      <w:tr w14:paraId="25B1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5595B3B9">
            <w:pPr>
              <w:spacing w:line="360" w:lineRule="auto"/>
              <w:jc w:val="center"/>
              <w:rPr>
                <w:rFonts w:hint="eastAsia" w:ascii="宋体" w:hAnsi="宋体"/>
                <w:sz w:val="24"/>
                <w:szCs w:val="24"/>
              </w:rPr>
            </w:pPr>
            <w:r>
              <w:rPr>
                <w:rFonts w:ascii="宋体" w:hAnsi="宋体"/>
                <w:sz w:val="24"/>
                <w:szCs w:val="24"/>
              </w:rPr>
              <w:t>序号</w:t>
            </w:r>
          </w:p>
        </w:tc>
        <w:tc>
          <w:tcPr>
            <w:tcW w:w="3211" w:type="dxa"/>
            <w:vAlign w:val="center"/>
          </w:tcPr>
          <w:p w14:paraId="6B1CABE0">
            <w:pPr>
              <w:spacing w:line="360" w:lineRule="auto"/>
              <w:jc w:val="center"/>
              <w:rPr>
                <w:rFonts w:hint="eastAsia" w:ascii="宋体" w:hAnsi="宋体"/>
                <w:sz w:val="24"/>
                <w:szCs w:val="24"/>
              </w:rPr>
            </w:pPr>
            <w:r>
              <w:rPr>
                <w:rFonts w:ascii="宋体" w:hAnsi="宋体"/>
                <w:sz w:val="24"/>
                <w:szCs w:val="24"/>
              </w:rPr>
              <w:t>招标文件商务条款</w:t>
            </w:r>
          </w:p>
        </w:tc>
        <w:tc>
          <w:tcPr>
            <w:tcW w:w="3032" w:type="dxa"/>
            <w:vAlign w:val="center"/>
          </w:tcPr>
          <w:p w14:paraId="45FAB140">
            <w:pPr>
              <w:spacing w:line="360" w:lineRule="auto"/>
              <w:jc w:val="center"/>
              <w:rPr>
                <w:rFonts w:hint="eastAsia" w:ascii="宋体" w:hAnsi="宋体"/>
                <w:sz w:val="24"/>
                <w:szCs w:val="24"/>
              </w:rPr>
            </w:pPr>
            <w:r>
              <w:rPr>
                <w:rFonts w:ascii="宋体" w:hAnsi="宋体"/>
                <w:sz w:val="24"/>
                <w:szCs w:val="24"/>
              </w:rPr>
              <w:t>投标文件商务条款</w:t>
            </w:r>
          </w:p>
        </w:tc>
        <w:tc>
          <w:tcPr>
            <w:tcW w:w="1430" w:type="dxa"/>
            <w:vAlign w:val="center"/>
          </w:tcPr>
          <w:p w14:paraId="3D6ECE46">
            <w:pPr>
              <w:spacing w:line="360" w:lineRule="auto"/>
              <w:jc w:val="center"/>
              <w:rPr>
                <w:rFonts w:hint="eastAsia" w:ascii="宋体" w:hAnsi="宋体"/>
                <w:sz w:val="24"/>
                <w:szCs w:val="24"/>
              </w:rPr>
            </w:pPr>
            <w:r>
              <w:rPr>
                <w:rFonts w:ascii="宋体" w:hAnsi="宋体"/>
                <w:sz w:val="24"/>
                <w:szCs w:val="24"/>
              </w:rPr>
              <w:t>响应/偏离</w:t>
            </w:r>
          </w:p>
        </w:tc>
        <w:tc>
          <w:tcPr>
            <w:tcW w:w="1251" w:type="dxa"/>
            <w:vAlign w:val="center"/>
          </w:tcPr>
          <w:p w14:paraId="5EEC2E17">
            <w:pPr>
              <w:spacing w:line="360" w:lineRule="auto"/>
              <w:jc w:val="center"/>
              <w:rPr>
                <w:rFonts w:hint="eastAsia" w:ascii="宋体" w:hAnsi="宋体"/>
                <w:sz w:val="24"/>
                <w:szCs w:val="24"/>
              </w:rPr>
            </w:pPr>
            <w:r>
              <w:rPr>
                <w:rFonts w:ascii="宋体" w:hAnsi="宋体"/>
                <w:sz w:val="24"/>
                <w:szCs w:val="24"/>
              </w:rPr>
              <w:t>说明</w:t>
            </w:r>
          </w:p>
        </w:tc>
      </w:tr>
      <w:tr w14:paraId="6E74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173195DA">
            <w:pPr>
              <w:spacing w:line="360" w:lineRule="auto"/>
              <w:jc w:val="center"/>
              <w:rPr>
                <w:rFonts w:hint="eastAsia" w:ascii="宋体" w:hAnsi="宋体"/>
                <w:sz w:val="24"/>
                <w:szCs w:val="24"/>
              </w:rPr>
            </w:pPr>
            <w:r>
              <w:rPr>
                <w:rFonts w:ascii="宋体" w:hAnsi="宋体"/>
                <w:sz w:val="24"/>
                <w:szCs w:val="24"/>
              </w:rPr>
              <w:t>1</w:t>
            </w:r>
          </w:p>
        </w:tc>
        <w:tc>
          <w:tcPr>
            <w:tcW w:w="3211" w:type="dxa"/>
            <w:vAlign w:val="center"/>
          </w:tcPr>
          <w:p w14:paraId="644E782D">
            <w:pPr>
              <w:adjustRightInd w:val="0"/>
              <w:snapToGrid w:val="0"/>
              <w:rPr>
                <w:rFonts w:hint="eastAsia" w:ascii="宋体" w:hAnsi="宋体"/>
                <w:sz w:val="24"/>
                <w:szCs w:val="24"/>
              </w:rPr>
            </w:pPr>
          </w:p>
        </w:tc>
        <w:tc>
          <w:tcPr>
            <w:tcW w:w="3032" w:type="dxa"/>
            <w:vAlign w:val="center"/>
          </w:tcPr>
          <w:p w14:paraId="31654817">
            <w:pPr>
              <w:spacing w:line="360" w:lineRule="auto"/>
              <w:jc w:val="center"/>
              <w:rPr>
                <w:rFonts w:hint="eastAsia" w:ascii="宋体" w:hAnsi="宋体"/>
                <w:sz w:val="24"/>
                <w:szCs w:val="24"/>
              </w:rPr>
            </w:pPr>
          </w:p>
        </w:tc>
        <w:tc>
          <w:tcPr>
            <w:tcW w:w="1430" w:type="dxa"/>
            <w:vAlign w:val="center"/>
          </w:tcPr>
          <w:p w14:paraId="158B69DB">
            <w:pPr>
              <w:spacing w:line="360" w:lineRule="auto"/>
              <w:jc w:val="center"/>
              <w:rPr>
                <w:rFonts w:hint="eastAsia" w:ascii="宋体" w:hAnsi="宋体"/>
                <w:sz w:val="24"/>
                <w:szCs w:val="24"/>
              </w:rPr>
            </w:pPr>
          </w:p>
        </w:tc>
        <w:tc>
          <w:tcPr>
            <w:tcW w:w="1251" w:type="dxa"/>
            <w:vAlign w:val="center"/>
          </w:tcPr>
          <w:p w14:paraId="2068C5AF">
            <w:pPr>
              <w:spacing w:line="360" w:lineRule="auto"/>
              <w:jc w:val="center"/>
              <w:rPr>
                <w:rFonts w:hint="eastAsia" w:ascii="宋体" w:hAnsi="宋体"/>
                <w:sz w:val="24"/>
                <w:szCs w:val="24"/>
              </w:rPr>
            </w:pPr>
          </w:p>
        </w:tc>
      </w:tr>
      <w:tr w14:paraId="0358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46" w:type="dxa"/>
            <w:vAlign w:val="center"/>
          </w:tcPr>
          <w:p w14:paraId="0AC05499">
            <w:pPr>
              <w:spacing w:line="360" w:lineRule="auto"/>
              <w:jc w:val="center"/>
              <w:rPr>
                <w:rFonts w:hint="eastAsia" w:ascii="宋体" w:hAnsi="宋体"/>
                <w:sz w:val="24"/>
                <w:szCs w:val="24"/>
              </w:rPr>
            </w:pPr>
            <w:r>
              <w:rPr>
                <w:rFonts w:ascii="宋体" w:hAnsi="宋体"/>
                <w:sz w:val="24"/>
                <w:szCs w:val="24"/>
              </w:rPr>
              <w:t>2</w:t>
            </w:r>
          </w:p>
        </w:tc>
        <w:tc>
          <w:tcPr>
            <w:tcW w:w="3211" w:type="dxa"/>
            <w:vAlign w:val="center"/>
          </w:tcPr>
          <w:p w14:paraId="0F7A30C0">
            <w:pPr>
              <w:rPr>
                <w:rFonts w:hint="eastAsia" w:ascii="宋体" w:hAnsi="宋体"/>
                <w:sz w:val="24"/>
                <w:szCs w:val="24"/>
              </w:rPr>
            </w:pPr>
          </w:p>
        </w:tc>
        <w:tc>
          <w:tcPr>
            <w:tcW w:w="3032" w:type="dxa"/>
            <w:vAlign w:val="center"/>
          </w:tcPr>
          <w:p w14:paraId="5DACEDF2">
            <w:pPr>
              <w:spacing w:line="360" w:lineRule="auto"/>
              <w:jc w:val="center"/>
              <w:rPr>
                <w:rFonts w:hint="eastAsia" w:ascii="宋体" w:hAnsi="宋体"/>
                <w:sz w:val="24"/>
                <w:szCs w:val="24"/>
              </w:rPr>
            </w:pPr>
          </w:p>
        </w:tc>
        <w:tc>
          <w:tcPr>
            <w:tcW w:w="1430" w:type="dxa"/>
            <w:vAlign w:val="center"/>
          </w:tcPr>
          <w:p w14:paraId="4E313F98">
            <w:pPr>
              <w:spacing w:line="360" w:lineRule="auto"/>
              <w:jc w:val="center"/>
              <w:rPr>
                <w:rFonts w:hint="eastAsia" w:ascii="宋体" w:hAnsi="宋体"/>
                <w:sz w:val="24"/>
                <w:szCs w:val="24"/>
              </w:rPr>
            </w:pPr>
          </w:p>
        </w:tc>
        <w:tc>
          <w:tcPr>
            <w:tcW w:w="1251" w:type="dxa"/>
            <w:vAlign w:val="center"/>
          </w:tcPr>
          <w:p w14:paraId="52618C86">
            <w:pPr>
              <w:spacing w:line="360" w:lineRule="auto"/>
              <w:jc w:val="center"/>
              <w:rPr>
                <w:rFonts w:hint="eastAsia" w:ascii="宋体" w:hAnsi="宋体"/>
                <w:sz w:val="24"/>
                <w:szCs w:val="24"/>
              </w:rPr>
            </w:pPr>
          </w:p>
        </w:tc>
      </w:tr>
      <w:tr w14:paraId="0292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46" w:type="dxa"/>
            <w:vAlign w:val="center"/>
          </w:tcPr>
          <w:p w14:paraId="022A0D4D">
            <w:pPr>
              <w:spacing w:line="360" w:lineRule="auto"/>
              <w:jc w:val="center"/>
              <w:rPr>
                <w:rFonts w:hint="eastAsia" w:ascii="宋体" w:hAnsi="宋体"/>
                <w:sz w:val="24"/>
                <w:szCs w:val="24"/>
              </w:rPr>
            </w:pPr>
            <w:r>
              <w:rPr>
                <w:rFonts w:ascii="宋体" w:hAnsi="宋体"/>
                <w:sz w:val="24"/>
                <w:szCs w:val="24"/>
              </w:rPr>
              <w:t>3</w:t>
            </w:r>
          </w:p>
        </w:tc>
        <w:tc>
          <w:tcPr>
            <w:tcW w:w="3211" w:type="dxa"/>
            <w:vAlign w:val="center"/>
          </w:tcPr>
          <w:p w14:paraId="224CEECF">
            <w:pPr>
              <w:spacing w:line="360" w:lineRule="auto"/>
              <w:rPr>
                <w:rFonts w:hint="eastAsia" w:ascii="宋体" w:hAnsi="宋体"/>
                <w:sz w:val="24"/>
                <w:szCs w:val="24"/>
              </w:rPr>
            </w:pPr>
          </w:p>
        </w:tc>
        <w:tc>
          <w:tcPr>
            <w:tcW w:w="3032" w:type="dxa"/>
            <w:vAlign w:val="center"/>
          </w:tcPr>
          <w:p w14:paraId="7C7238A4">
            <w:pPr>
              <w:spacing w:line="360" w:lineRule="auto"/>
              <w:jc w:val="center"/>
              <w:rPr>
                <w:rFonts w:hint="eastAsia" w:ascii="宋体" w:hAnsi="宋体"/>
                <w:sz w:val="24"/>
                <w:szCs w:val="24"/>
              </w:rPr>
            </w:pPr>
          </w:p>
        </w:tc>
        <w:tc>
          <w:tcPr>
            <w:tcW w:w="1430" w:type="dxa"/>
            <w:vAlign w:val="center"/>
          </w:tcPr>
          <w:p w14:paraId="44F3DA52">
            <w:pPr>
              <w:spacing w:line="360" w:lineRule="auto"/>
              <w:jc w:val="center"/>
              <w:rPr>
                <w:rFonts w:hint="eastAsia" w:ascii="宋体" w:hAnsi="宋体"/>
                <w:sz w:val="24"/>
                <w:szCs w:val="24"/>
              </w:rPr>
            </w:pPr>
          </w:p>
        </w:tc>
        <w:tc>
          <w:tcPr>
            <w:tcW w:w="1251" w:type="dxa"/>
            <w:vAlign w:val="center"/>
          </w:tcPr>
          <w:p w14:paraId="5A0B679C">
            <w:pPr>
              <w:spacing w:line="360" w:lineRule="auto"/>
              <w:jc w:val="center"/>
              <w:rPr>
                <w:rFonts w:hint="eastAsia" w:ascii="宋体" w:hAnsi="宋体"/>
                <w:sz w:val="24"/>
                <w:szCs w:val="24"/>
              </w:rPr>
            </w:pPr>
          </w:p>
        </w:tc>
      </w:tr>
      <w:tr w14:paraId="2901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6" w:type="dxa"/>
            <w:vAlign w:val="center"/>
          </w:tcPr>
          <w:p w14:paraId="5114EB0B">
            <w:pPr>
              <w:spacing w:line="360" w:lineRule="auto"/>
              <w:jc w:val="center"/>
              <w:rPr>
                <w:rFonts w:hint="eastAsia" w:ascii="宋体" w:hAnsi="宋体"/>
                <w:sz w:val="24"/>
                <w:szCs w:val="24"/>
              </w:rPr>
            </w:pPr>
            <w:r>
              <w:rPr>
                <w:rFonts w:ascii="宋体" w:hAnsi="宋体"/>
                <w:sz w:val="24"/>
                <w:szCs w:val="24"/>
              </w:rPr>
              <w:t>4</w:t>
            </w:r>
          </w:p>
        </w:tc>
        <w:tc>
          <w:tcPr>
            <w:tcW w:w="3211" w:type="dxa"/>
            <w:vAlign w:val="center"/>
          </w:tcPr>
          <w:p w14:paraId="2A89E06A">
            <w:pPr>
              <w:rPr>
                <w:rFonts w:hint="eastAsia" w:ascii="宋体" w:hAnsi="宋体"/>
                <w:sz w:val="24"/>
                <w:szCs w:val="24"/>
              </w:rPr>
            </w:pPr>
          </w:p>
        </w:tc>
        <w:tc>
          <w:tcPr>
            <w:tcW w:w="3032" w:type="dxa"/>
            <w:vAlign w:val="center"/>
          </w:tcPr>
          <w:p w14:paraId="0672FDB4">
            <w:pPr>
              <w:spacing w:line="360" w:lineRule="auto"/>
              <w:jc w:val="center"/>
              <w:rPr>
                <w:rFonts w:hint="eastAsia" w:ascii="宋体" w:hAnsi="宋体"/>
                <w:sz w:val="24"/>
                <w:szCs w:val="24"/>
              </w:rPr>
            </w:pPr>
          </w:p>
        </w:tc>
        <w:tc>
          <w:tcPr>
            <w:tcW w:w="1430" w:type="dxa"/>
            <w:vAlign w:val="center"/>
          </w:tcPr>
          <w:p w14:paraId="047BA8E7">
            <w:pPr>
              <w:spacing w:line="360" w:lineRule="auto"/>
              <w:jc w:val="center"/>
              <w:rPr>
                <w:rFonts w:hint="eastAsia" w:ascii="宋体" w:hAnsi="宋体"/>
                <w:sz w:val="24"/>
                <w:szCs w:val="24"/>
              </w:rPr>
            </w:pPr>
          </w:p>
        </w:tc>
        <w:tc>
          <w:tcPr>
            <w:tcW w:w="1251" w:type="dxa"/>
            <w:vAlign w:val="center"/>
          </w:tcPr>
          <w:p w14:paraId="170B5679">
            <w:pPr>
              <w:spacing w:line="360" w:lineRule="auto"/>
              <w:jc w:val="center"/>
              <w:rPr>
                <w:rFonts w:hint="eastAsia" w:ascii="宋体" w:hAnsi="宋体"/>
                <w:sz w:val="24"/>
                <w:szCs w:val="24"/>
              </w:rPr>
            </w:pPr>
          </w:p>
        </w:tc>
      </w:tr>
      <w:tr w14:paraId="2E91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46" w:type="dxa"/>
            <w:vAlign w:val="center"/>
          </w:tcPr>
          <w:p w14:paraId="2D5E2C71">
            <w:pPr>
              <w:spacing w:line="360" w:lineRule="auto"/>
              <w:jc w:val="center"/>
              <w:rPr>
                <w:rFonts w:hint="eastAsia" w:ascii="宋体" w:hAnsi="宋体"/>
                <w:sz w:val="24"/>
                <w:szCs w:val="24"/>
              </w:rPr>
            </w:pPr>
            <w:r>
              <w:rPr>
                <w:rFonts w:ascii="宋体" w:hAnsi="宋体"/>
                <w:sz w:val="24"/>
                <w:szCs w:val="24"/>
              </w:rPr>
              <w:t>5</w:t>
            </w:r>
          </w:p>
        </w:tc>
        <w:tc>
          <w:tcPr>
            <w:tcW w:w="3211" w:type="dxa"/>
            <w:vAlign w:val="center"/>
          </w:tcPr>
          <w:p w14:paraId="10DBAAAB">
            <w:pPr>
              <w:spacing w:line="360" w:lineRule="auto"/>
              <w:rPr>
                <w:rFonts w:hint="eastAsia" w:ascii="宋体" w:hAnsi="宋体"/>
                <w:sz w:val="24"/>
                <w:szCs w:val="24"/>
              </w:rPr>
            </w:pPr>
          </w:p>
        </w:tc>
        <w:tc>
          <w:tcPr>
            <w:tcW w:w="3032" w:type="dxa"/>
            <w:vAlign w:val="center"/>
          </w:tcPr>
          <w:p w14:paraId="562F1DC3">
            <w:pPr>
              <w:spacing w:line="360" w:lineRule="auto"/>
              <w:jc w:val="center"/>
              <w:rPr>
                <w:rFonts w:hint="eastAsia" w:ascii="宋体" w:hAnsi="宋体"/>
                <w:sz w:val="24"/>
                <w:szCs w:val="24"/>
              </w:rPr>
            </w:pPr>
          </w:p>
        </w:tc>
        <w:tc>
          <w:tcPr>
            <w:tcW w:w="1430" w:type="dxa"/>
            <w:vAlign w:val="center"/>
          </w:tcPr>
          <w:p w14:paraId="6895B228">
            <w:pPr>
              <w:spacing w:line="360" w:lineRule="auto"/>
              <w:jc w:val="center"/>
              <w:rPr>
                <w:rFonts w:hint="eastAsia" w:ascii="宋体" w:hAnsi="宋体"/>
                <w:sz w:val="24"/>
                <w:szCs w:val="24"/>
              </w:rPr>
            </w:pPr>
          </w:p>
        </w:tc>
        <w:tc>
          <w:tcPr>
            <w:tcW w:w="1251" w:type="dxa"/>
            <w:vAlign w:val="center"/>
          </w:tcPr>
          <w:p w14:paraId="51E08D16">
            <w:pPr>
              <w:spacing w:line="360" w:lineRule="auto"/>
              <w:jc w:val="center"/>
              <w:rPr>
                <w:rFonts w:hint="eastAsia" w:ascii="宋体" w:hAnsi="宋体"/>
                <w:sz w:val="24"/>
                <w:szCs w:val="24"/>
              </w:rPr>
            </w:pPr>
          </w:p>
        </w:tc>
      </w:tr>
      <w:tr w14:paraId="2DD7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189132D5">
            <w:pPr>
              <w:spacing w:line="360" w:lineRule="auto"/>
              <w:jc w:val="center"/>
              <w:rPr>
                <w:rFonts w:hint="eastAsia" w:ascii="宋体" w:hAnsi="宋体"/>
                <w:sz w:val="24"/>
                <w:szCs w:val="24"/>
              </w:rPr>
            </w:pPr>
            <w:r>
              <w:rPr>
                <w:rFonts w:ascii="宋体" w:hAnsi="宋体"/>
                <w:sz w:val="24"/>
                <w:szCs w:val="24"/>
              </w:rPr>
              <w:t>6</w:t>
            </w:r>
          </w:p>
        </w:tc>
        <w:tc>
          <w:tcPr>
            <w:tcW w:w="3211" w:type="dxa"/>
            <w:vAlign w:val="center"/>
          </w:tcPr>
          <w:p w14:paraId="1557CC74">
            <w:pPr>
              <w:spacing w:line="360" w:lineRule="auto"/>
              <w:rPr>
                <w:rFonts w:hint="eastAsia" w:ascii="宋体" w:hAnsi="宋体"/>
                <w:sz w:val="24"/>
                <w:szCs w:val="24"/>
              </w:rPr>
            </w:pPr>
          </w:p>
        </w:tc>
        <w:tc>
          <w:tcPr>
            <w:tcW w:w="3032" w:type="dxa"/>
            <w:vAlign w:val="center"/>
          </w:tcPr>
          <w:p w14:paraId="644B4505">
            <w:pPr>
              <w:spacing w:line="360" w:lineRule="auto"/>
              <w:jc w:val="center"/>
              <w:rPr>
                <w:rFonts w:hint="eastAsia" w:ascii="宋体" w:hAnsi="宋体"/>
                <w:sz w:val="24"/>
                <w:szCs w:val="24"/>
              </w:rPr>
            </w:pPr>
          </w:p>
        </w:tc>
        <w:tc>
          <w:tcPr>
            <w:tcW w:w="1430" w:type="dxa"/>
            <w:vAlign w:val="center"/>
          </w:tcPr>
          <w:p w14:paraId="36A3CA93">
            <w:pPr>
              <w:spacing w:line="360" w:lineRule="auto"/>
              <w:jc w:val="center"/>
              <w:rPr>
                <w:rFonts w:hint="eastAsia" w:ascii="宋体" w:hAnsi="宋体"/>
                <w:sz w:val="24"/>
                <w:szCs w:val="24"/>
              </w:rPr>
            </w:pPr>
          </w:p>
        </w:tc>
        <w:tc>
          <w:tcPr>
            <w:tcW w:w="1251" w:type="dxa"/>
            <w:vAlign w:val="center"/>
          </w:tcPr>
          <w:p w14:paraId="449F499C">
            <w:pPr>
              <w:spacing w:line="360" w:lineRule="auto"/>
              <w:jc w:val="center"/>
              <w:rPr>
                <w:rFonts w:hint="eastAsia" w:ascii="宋体" w:hAnsi="宋体"/>
                <w:sz w:val="24"/>
                <w:szCs w:val="24"/>
              </w:rPr>
            </w:pPr>
          </w:p>
        </w:tc>
      </w:tr>
      <w:tr w14:paraId="19F5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4A284742">
            <w:pPr>
              <w:spacing w:line="360" w:lineRule="auto"/>
              <w:jc w:val="center"/>
              <w:rPr>
                <w:rFonts w:hint="eastAsia" w:ascii="宋体" w:hAnsi="宋体"/>
                <w:sz w:val="24"/>
                <w:szCs w:val="24"/>
              </w:rPr>
            </w:pPr>
            <w:r>
              <w:rPr>
                <w:rFonts w:ascii="宋体" w:hAnsi="宋体"/>
                <w:sz w:val="24"/>
                <w:szCs w:val="24"/>
              </w:rPr>
              <w:t>7</w:t>
            </w:r>
          </w:p>
        </w:tc>
        <w:tc>
          <w:tcPr>
            <w:tcW w:w="3211" w:type="dxa"/>
            <w:vAlign w:val="center"/>
          </w:tcPr>
          <w:p w14:paraId="06429D0D">
            <w:pPr>
              <w:spacing w:line="360" w:lineRule="auto"/>
              <w:rPr>
                <w:rFonts w:hint="eastAsia" w:ascii="宋体" w:hAnsi="宋体"/>
                <w:sz w:val="24"/>
                <w:szCs w:val="24"/>
              </w:rPr>
            </w:pPr>
          </w:p>
        </w:tc>
        <w:tc>
          <w:tcPr>
            <w:tcW w:w="3032" w:type="dxa"/>
            <w:vAlign w:val="center"/>
          </w:tcPr>
          <w:p w14:paraId="448FA8AE">
            <w:pPr>
              <w:spacing w:line="360" w:lineRule="auto"/>
              <w:jc w:val="center"/>
              <w:rPr>
                <w:rFonts w:hint="eastAsia" w:ascii="宋体" w:hAnsi="宋体"/>
                <w:sz w:val="24"/>
                <w:szCs w:val="24"/>
              </w:rPr>
            </w:pPr>
          </w:p>
        </w:tc>
        <w:tc>
          <w:tcPr>
            <w:tcW w:w="1430" w:type="dxa"/>
            <w:vAlign w:val="center"/>
          </w:tcPr>
          <w:p w14:paraId="5646F473">
            <w:pPr>
              <w:spacing w:line="360" w:lineRule="auto"/>
              <w:jc w:val="center"/>
              <w:rPr>
                <w:rFonts w:hint="eastAsia" w:ascii="宋体" w:hAnsi="宋体"/>
                <w:sz w:val="24"/>
                <w:szCs w:val="24"/>
              </w:rPr>
            </w:pPr>
          </w:p>
        </w:tc>
        <w:tc>
          <w:tcPr>
            <w:tcW w:w="1251" w:type="dxa"/>
            <w:vAlign w:val="center"/>
          </w:tcPr>
          <w:p w14:paraId="7B1CC66D">
            <w:pPr>
              <w:spacing w:line="360" w:lineRule="auto"/>
              <w:jc w:val="center"/>
              <w:rPr>
                <w:rFonts w:hint="eastAsia" w:ascii="宋体" w:hAnsi="宋体"/>
                <w:sz w:val="24"/>
                <w:szCs w:val="24"/>
              </w:rPr>
            </w:pPr>
          </w:p>
        </w:tc>
      </w:tr>
      <w:tr w14:paraId="5971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7056AB4E">
            <w:pPr>
              <w:spacing w:line="360" w:lineRule="auto"/>
              <w:jc w:val="center"/>
              <w:rPr>
                <w:rFonts w:hint="eastAsia" w:ascii="宋体" w:hAnsi="宋体"/>
                <w:sz w:val="24"/>
                <w:szCs w:val="24"/>
              </w:rPr>
            </w:pPr>
            <w:r>
              <w:rPr>
                <w:rFonts w:ascii="宋体" w:hAnsi="宋体"/>
                <w:sz w:val="24"/>
                <w:szCs w:val="24"/>
              </w:rPr>
              <w:t>8</w:t>
            </w:r>
          </w:p>
        </w:tc>
        <w:tc>
          <w:tcPr>
            <w:tcW w:w="3211" w:type="dxa"/>
            <w:vAlign w:val="center"/>
          </w:tcPr>
          <w:p w14:paraId="47F6BE3B">
            <w:pPr>
              <w:spacing w:line="360" w:lineRule="auto"/>
              <w:rPr>
                <w:rFonts w:hint="eastAsia" w:ascii="宋体" w:hAnsi="宋体"/>
                <w:sz w:val="24"/>
                <w:szCs w:val="24"/>
              </w:rPr>
            </w:pPr>
          </w:p>
        </w:tc>
        <w:tc>
          <w:tcPr>
            <w:tcW w:w="3032" w:type="dxa"/>
            <w:vAlign w:val="center"/>
          </w:tcPr>
          <w:p w14:paraId="5FECB0AD">
            <w:pPr>
              <w:spacing w:line="360" w:lineRule="auto"/>
              <w:jc w:val="center"/>
              <w:rPr>
                <w:rFonts w:hint="eastAsia" w:ascii="宋体" w:hAnsi="宋体"/>
                <w:sz w:val="24"/>
                <w:szCs w:val="24"/>
              </w:rPr>
            </w:pPr>
          </w:p>
        </w:tc>
        <w:tc>
          <w:tcPr>
            <w:tcW w:w="1430" w:type="dxa"/>
            <w:vAlign w:val="center"/>
          </w:tcPr>
          <w:p w14:paraId="1642D57C">
            <w:pPr>
              <w:spacing w:line="360" w:lineRule="auto"/>
              <w:jc w:val="center"/>
              <w:rPr>
                <w:rFonts w:hint="eastAsia" w:ascii="宋体" w:hAnsi="宋体"/>
                <w:sz w:val="24"/>
                <w:szCs w:val="24"/>
              </w:rPr>
            </w:pPr>
          </w:p>
        </w:tc>
        <w:tc>
          <w:tcPr>
            <w:tcW w:w="1251" w:type="dxa"/>
            <w:vAlign w:val="center"/>
          </w:tcPr>
          <w:p w14:paraId="1D04BA75">
            <w:pPr>
              <w:spacing w:line="360" w:lineRule="auto"/>
              <w:jc w:val="center"/>
              <w:rPr>
                <w:rFonts w:hint="eastAsia" w:ascii="宋体" w:hAnsi="宋体"/>
                <w:sz w:val="24"/>
                <w:szCs w:val="24"/>
              </w:rPr>
            </w:pPr>
          </w:p>
        </w:tc>
      </w:tr>
      <w:tr w14:paraId="66EA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02C91061">
            <w:pPr>
              <w:spacing w:line="360" w:lineRule="auto"/>
              <w:jc w:val="center"/>
              <w:rPr>
                <w:rFonts w:hint="eastAsia" w:ascii="宋体" w:hAnsi="宋体"/>
                <w:sz w:val="24"/>
                <w:szCs w:val="24"/>
              </w:rPr>
            </w:pPr>
            <w:r>
              <w:rPr>
                <w:rFonts w:ascii="宋体" w:hAnsi="宋体"/>
                <w:sz w:val="24"/>
                <w:szCs w:val="24"/>
              </w:rPr>
              <w:t>9</w:t>
            </w:r>
          </w:p>
        </w:tc>
        <w:tc>
          <w:tcPr>
            <w:tcW w:w="3211" w:type="dxa"/>
            <w:vAlign w:val="center"/>
          </w:tcPr>
          <w:p w14:paraId="7686090A">
            <w:pPr>
              <w:spacing w:line="360" w:lineRule="auto"/>
              <w:rPr>
                <w:rFonts w:hint="eastAsia" w:ascii="宋体" w:hAnsi="宋体"/>
                <w:sz w:val="24"/>
                <w:szCs w:val="24"/>
              </w:rPr>
            </w:pPr>
          </w:p>
        </w:tc>
        <w:tc>
          <w:tcPr>
            <w:tcW w:w="3032" w:type="dxa"/>
            <w:vAlign w:val="center"/>
          </w:tcPr>
          <w:p w14:paraId="0F15C07F">
            <w:pPr>
              <w:spacing w:line="360" w:lineRule="auto"/>
              <w:jc w:val="center"/>
              <w:rPr>
                <w:rFonts w:hint="eastAsia" w:ascii="宋体" w:hAnsi="宋体"/>
                <w:sz w:val="24"/>
                <w:szCs w:val="24"/>
              </w:rPr>
            </w:pPr>
          </w:p>
        </w:tc>
        <w:tc>
          <w:tcPr>
            <w:tcW w:w="1430" w:type="dxa"/>
            <w:vAlign w:val="center"/>
          </w:tcPr>
          <w:p w14:paraId="508675EB">
            <w:pPr>
              <w:spacing w:line="360" w:lineRule="auto"/>
              <w:jc w:val="center"/>
              <w:rPr>
                <w:rFonts w:hint="eastAsia" w:ascii="宋体" w:hAnsi="宋体"/>
                <w:sz w:val="24"/>
                <w:szCs w:val="24"/>
              </w:rPr>
            </w:pPr>
          </w:p>
        </w:tc>
        <w:tc>
          <w:tcPr>
            <w:tcW w:w="1251" w:type="dxa"/>
            <w:vAlign w:val="center"/>
          </w:tcPr>
          <w:p w14:paraId="51669189">
            <w:pPr>
              <w:spacing w:line="360" w:lineRule="auto"/>
              <w:jc w:val="center"/>
              <w:rPr>
                <w:rFonts w:hint="eastAsia" w:ascii="宋体" w:hAnsi="宋体"/>
                <w:sz w:val="24"/>
                <w:szCs w:val="24"/>
              </w:rPr>
            </w:pPr>
          </w:p>
        </w:tc>
      </w:tr>
      <w:tr w14:paraId="2878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D1F7E42">
            <w:pPr>
              <w:spacing w:line="360" w:lineRule="auto"/>
              <w:jc w:val="center"/>
              <w:rPr>
                <w:rFonts w:hint="eastAsia" w:ascii="宋体" w:hAnsi="宋体"/>
                <w:sz w:val="24"/>
                <w:szCs w:val="24"/>
              </w:rPr>
            </w:pPr>
            <w:r>
              <w:rPr>
                <w:rFonts w:ascii="宋体" w:hAnsi="宋体"/>
                <w:sz w:val="24"/>
                <w:szCs w:val="24"/>
              </w:rPr>
              <w:t>10</w:t>
            </w:r>
          </w:p>
        </w:tc>
        <w:tc>
          <w:tcPr>
            <w:tcW w:w="3211" w:type="dxa"/>
            <w:vAlign w:val="center"/>
          </w:tcPr>
          <w:p w14:paraId="7C3B74D4">
            <w:pPr>
              <w:spacing w:line="360" w:lineRule="auto"/>
              <w:rPr>
                <w:rFonts w:hint="eastAsia" w:ascii="宋体" w:hAnsi="宋体"/>
                <w:sz w:val="24"/>
                <w:szCs w:val="24"/>
              </w:rPr>
            </w:pPr>
          </w:p>
        </w:tc>
        <w:tc>
          <w:tcPr>
            <w:tcW w:w="3032" w:type="dxa"/>
            <w:vAlign w:val="center"/>
          </w:tcPr>
          <w:p w14:paraId="0FFDD477">
            <w:pPr>
              <w:spacing w:line="360" w:lineRule="auto"/>
              <w:jc w:val="center"/>
              <w:rPr>
                <w:rFonts w:hint="eastAsia" w:ascii="宋体" w:hAnsi="宋体"/>
                <w:sz w:val="24"/>
                <w:szCs w:val="24"/>
              </w:rPr>
            </w:pPr>
          </w:p>
        </w:tc>
        <w:tc>
          <w:tcPr>
            <w:tcW w:w="1430" w:type="dxa"/>
            <w:vAlign w:val="center"/>
          </w:tcPr>
          <w:p w14:paraId="17CC9EFE">
            <w:pPr>
              <w:spacing w:line="360" w:lineRule="auto"/>
              <w:jc w:val="center"/>
              <w:rPr>
                <w:rFonts w:hint="eastAsia" w:ascii="宋体" w:hAnsi="宋体"/>
                <w:sz w:val="24"/>
                <w:szCs w:val="24"/>
              </w:rPr>
            </w:pPr>
          </w:p>
        </w:tc>
        <w:tc>
          <w:tcPr>
            <w:tcW w:w="1251" w:type="dxa"/>
            <w:vAlign w:val="center"/>
          </w:tcPr>
          <w:p w14:paraId="1FFC2DDF">
            <w:pPr>
              <w:spacing w:line="360" w:lineRule="auto"/>
              <w:jc w:val="center"/>
              <w:rPr>
                <w:rFonts w:hint="eastAsia" w:ascii="宋体" w:hAnsi="宋体"/>
                <w:sz w:val="24"/>
                <w:szCs w:val="24"/>
              </w:rPr>
            </w:pPr>
          </w:p>
        </w:tc>
      </w:tr>
      <w:tr w14:paraId="0AE0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504D49C">
            <w:pPr>
              <w:spacing w:line="360" w:lineRule="auto"/>
              <w:jc w:val="center"/>
              <w:rPr>
                <w:rFonts w:hint="eastAsia" w:ascii="宋体" w:hAnsi="宋体"/>
                <w:sz w:val="24"/>
                <w:szCs w:val="24"/>
              </w:rPr>
            </w:pPr>
            <w:r>
              <w:rPr>
                <w:rFonts w:ascii="宋体" w:hAnsi="宋体"/>
                <w:sz w:val="24"/>
                <w:szCs w:val="24"/>
              </w:rPr>
              <w:t>11</w:t>
            </w:r>
          </w:p>
        </w:tc>
        <w:tc>
          <w:tcPr>
            <w:tcW w:w="3211" w:type="dxa"/>
            <w:vAlign w:val="center"/>
          </w:tcPr>
          <w:p w14:paraId="155D4781">
            <w:pPr>
              <w:spacing w:line="360" w:lineRule="auto"/>
              <w:rPr>
                <w:rFonts w:hint="eastAsia" w:ascii="宋体" w:hAnsi="宋体"/>
                <w:sz w:val="24"/>
                <w:szCs w:val="24"/>
              </w:rPr>
            </w:pPr>
          </w:p>
        </w:tc>
        <w:tc>
          <w:tcPr>
            <w:tcW w:w="3032" w:type="dxa"/>
            <w:vAlign w:val="center"/>
          </w:tcPr>
          <w:p w14:paraId="368CE9BE">
            <w:pPr>
              <w:spacing w:line="360" w:lineRule="auto"/>
              <w:jc w:val="center"/>
              <w:rPr>
                <w:rFonts w:hint="eastAsia" w:ascii="宋体" w:hAnsi="宋体"/>
                <w:sz w:val="24"/>
                <w:szCs w:val="24"/>
              </w:rPr>
            </w:pPr>
          </w:p>
        </w:tc>
        <w:tc>
          <w:tcPr>
            <w:tcW w:w="1430" w:type="dxa"/>
            <w:vAlign w:val="center"/>
          </w:tcPr>
          <w:p w14:paraId="56EFFB9C">
            <w:pPr>
              <w:spacing w:line="360" w:lineRule="auto"/>
              <w:jc w:val="center"/>
              <w:rPr>
                <w:rFonts w:hint="eastAsia" w:ascii="宋体" w:hAnsi="宋体"/>
                <w:sz w:val="24"/>
                <w:szCs w:val="24"/>
              </w:rPr>
            </w:pPr>
          </w:p>
        </w:tc>
        <w:tc>
          <w:tcPr>
            <w:tcW w:w="1251" w:type="dxa"/>
            <w:vAlign w:val="center"/>
          </w:tcPr>
          <w:p w14:paraId="4F94647D">
            <w:pPr>
              <w:spacing w:line="360" w:lineRule="auto"/>
              <w:jc w:val="center"/>
              <w:rPr>
                <w:rFonts w:hint="eastAsia" w:ascii="宋体" w:hAnsi="宋体"/>
                <w:sz w:val="24"/>
                <w:szCs w:val="24"/>
              </w:rPr>
            </w:pPr>
          </w:p>
        </w:tc>
      </w:tr>
      <w:tr w14:paraId="4512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4E90650E">
            <w:pPr>
              <w:spacing w:line="360" w:lineRule="auto"/>
              <w:jc w:val="center"/>
              <w:rPr>
                <w:rFonts w:hint="eastAsia" w:ascii="宋体" w:hAnsi="宋体"/>
                <w:sz w:val="24"/>
                <w:szCs w:val="24"/>
              </w:rPr>
            </w:pPr>
            <w:r>
              <w:rPr>
                <w:rFonts w:ascii="宋体" w:hAnsi="宋体"/>
                <w:sz w:val="24"/>
                <w:szCs w:val="24"/>
              </w:rPr>
              <w:t>12</w:t>
            </w:r>
          </w:p>
        </w:tc>
        <w:tc>
          <w:tcPr>
            <w:tcW w:w="3211" w:type="dxa"/>
            <w:vAlign w:val="center"/>
          </w:tcPr>
          <w:p w14:paraId="1481A594">
            <w:pPr>
              <w:spacing w:line="360" w:lineRule="auto"/>
              <w:rPr>
                <w:rFonts w:hint="eastAsia" w:ascii="宋体" w:hAnsi="宋体"/>
                <w:sz w:val="24"/>
                <w:szCs w:val="24"/>
              </w:rPr>
            </w:pPr>
          </w:p>
        </w:tc>
        <w:tc>
          <w:tcPr>
            <w:tcW w:w="3032" w:type="dxa"/>
            <w:vAlign w:val="center"/>
          </w:tcPr>
          <w:p w14:paraId="4CB9C9ED">
            <w:pPr>
              <w:spacing w:line="360" w:lineRule="auto"/>
              <w:jc w:val="center"/>
              <w:rPr>
                <w:rFonts w:hint="eastAsia" w:ascii="宋体" w:hAnsi="宋体"/>
                <w:sz w:val="24"/>
                <w:szCs w:val="24"/>
              </w:rPr>
            </w:pPr>
          </w:p>
        </w:tc>
        <w:tc>
          <w:tcPr>
            <w:tcW w:w="1430" w:type="dxa"/>
            <w:vAlign w:val="center"/>
          </w:tcPr>
          <w:p w14:paraId="0E84548E">
            <w:pPr>
              <w:spacing w:line="360" w:lineRule="auto"/>
              <w:jc w:val="center"/>
              <w:rPr>
                <w:rFonts w:hint="eastAsia" w:ascii="宋体" w:hAnsi="宋体"/>
                <w:sz w:val="24"/>
                <w:szCs w:val="24"/>
              </w:rPr>
            </w:pPr>
          </w:p>
        </w:tc>
        <w:tc>
          <w:tcPr>
            <w:tcW w:w="1251" w:type="dxa"/>
            <w:vAlign w:val="center"/>
          </w:tcPr>
          <w:p w14:paraId="05AC7BB2">
            <w:pPr>
              <w:spacing w:line="360" w:lineRule="auto"/>
              <w:jc w:val="center"/>
              <w:rPr>
                <w:rFonts w:hint="eastAsia" w:ascii="宋体" w:hAnsi="宋体"/>
                <w:sz w:val="24"/>
                <w:szCs w:val="24"/>
              </w:rPr>
            </w:pPr>
          </w:p>
        </w:tc>
      </w:tr>
    </w:tbl>
    <w:p w14:paraId="5EA2835B">
      <w:pPr>
        <w:spacing w:line="360" w:lineRule="atLeast"/>
        <w:rPr>
          <w:rFonts w:hint="eastAsia" w:ascii="宋体" w:hAnsi="宋体"/>
          <w:sz w:val="24"/>
          <w:szCs w:val="24"/>
        </w:rPr>
      </w:pPr>
    </w:p>
    <w:p w14:paraId="1B961DCA">
      <w:pPr>
        <w:spacing w:line="360" w:lineRule="auto"/>
        <w:ind w:right="141"/>
        <w:contextualSpacing/>
        <w:rPr>
          <w:rFonts w:hint="eastAsia" w:ascii="宋体" w:hAnsi="宋体"/>
          <w:sz w:val="24"/>
          <w:szCs w:val="24"/>
          <w:u w:val="single"/>
        </w:rPr>
      </w:pPr>
      <w:r>
        <w:rPr>
          <w:rFonts w:ascii="宋体" w:hAnsi="宋体"/>
          <w:sz w:val="24"/>
        </w:rPr>
        <w:t>投标人名称（</w:t>
      </w:r>
      <w:r>
        <w:rPr>
          <w:rFonts w:ascii="宋体" w:hAnsi="宋体"/>
          <w:b/>
          <w:sz w:val="24"/>
        </w:rPr>
        <w:t>加盖公章</w:t>
      </w:r>
      <w:r>
        <w:rPr>
          <w:rFonts w:ascii="宋体" w:hAnsi="宋体"/>
          <w:sz w:val="24"/>
        </w:rPr>
        <w:t>）：</w:t>
      </w:r>
      <w:r>
        <w:rPr>
          <w:rFonts w:ascii="宋体" w:hAnsi="宋体"/>
          <w:sz w:val="24"/>
          <w:u w:val="single"/>
        </w:rPr>
        <w:t xml:space="preserve">                    </w:t>
      </w:r>
    </w:p>
    <w:p w14:paraId="69019F27">
      <w:pPr>
        <w:spacing w:line="360" w:lineRule="auto"/>
        <w:ind w:right="-1413" w:rightChars="-673"/>
        <w:contextualSpacing/>
        <w:rPr>
          <w:rFonts w:hint="eastAsia" w:ascii="宋体" w:hAnsi="宋体"/>
          <w:sz w:val="24"/>
          <w:szCs w:val="24"/>
        </w:rPr>
      </w:pPr>
    </w:p>
    <w:p w14:paraId="7E439406">
      <w:pPr>
        <w:spacing w:line="360" w:lineRule="auto"/>
        <w:ind w:right="-567" w:rightChars="-270"/>
        <w:contextualSpacing/>
        <w:rPr>
          <w:rFonts w:hint="eastAsia" w:ascii="宋体" w:hAnsi="宋体"/>
          <w:sz w:val="23"/>
          <w:szCs w:val="23"/>
        </w:rPr>
      </w:pPr>
      <w:r>
        <w:rPr>
          <w:rFonts w:ascii="宋体" w:hAnsi="宋体"/>
          <w:sz w:val="23"/>
          <w:szCs w:val="23"/>
        </w:rPr>
        <w:t>注：</w:t>
      </w:r>
    </w:p>
    <w:p w14:paraId="0192A9DD">
      <w:pPr>
        <w:widowControl/>
        <w:numPr>
          <w:ilvl w:val="0"/>
          <w:numId w:val="25"/>
        </w:numPr>
        <w:jc w:val="left"/>
        <w:rPr>
          <w:rFonts w:hint="eastAsia" w:ascii="宋体" w:hAnsi="宋体" w:cs="宋体"/>
          <w:sz w:val="24"/>
          <w:szCs w:val="24"/>
        </w:rPr>
      </w:pPr>
      <w:bookmarkStart w:id="155" w:name="_Hlk171697754"/>
      <w:r>
        <w:rPr>
          <w:rFonts w:hint="eastAsia" w:ascii="宋体" w:hAnsi="宋体" w:cs="宋体"/>
          <w:sz w:val="24"/>
          <w:szCs w:val="24"/>
        </w:rPr>
        <w:t>投标人如果对包括交货期或服务期、付款方式/条件及合同条款等在内的商务条款的响应有任何“负偏离”，将可能作无效投标处理。如对招标文件商务条款未单独列出，视为完全响应招标文件要求。</w:t>
      </w:r>
    </w:p>
    <w:p w14:paraId="728B242D">
      <w:pPr>
        <w:widowControl/>
        <w:numPr>
          <w:ilvl w:val="0"/>
          <w:numId w:val="25"/>
        </w:numPr>
        <w:jc w:val="left"/>
        <w:rPr>
          <w:rFonts w:hint="eastAsia" w:ascii="宋体" w:hAnsi="宋体" w:cs="宋体"/>
          <w:sz w:val="24"/>
          <w:szCs w:val="24"/>
        </w:rPr>
      </w:pPr>
      <w:r>
        <w:rPr>
          <w:rFonts w:hint="eastAsia" w:ascii="宋体" w:hAnsi="宋体" w:cs="宋体"/>
          <w:color w:val="000000"/>
          <w:kern w:val="0"/>
          <w:sz w:val="24"/>
          <w:szCs w:val="24"/>
          <w:lang w:bidi="ar"/>
        </w:rPr>
        <w:t>若中标人以未在偏离表中列出的负偏离为由，</w:t>
      </w:r>
      <w:r>
        <w:rPr>
          <w:rFonts w:hint="eastAsia" w:ascii="宋体" w:hAnsi="宋体" w:cs="宋体"/>
          <w:sz w:val="24"/>
          <w:szCs w:val="24"/>
          <w:lang w:bidi="ar"/>
        </w:rPr>
        <w:t>不按招标要求签约，采购人有权根据相关法规取消该中标人的中标资格并没收其投标保证金，</w:t>
      </w:r>
      <w:bookmarkEnd w:id="155"/>
    </w:p>
    <w:p w14:paraId="5EF7C896">
      <w:pPr>
        <w:widowControl/>
        <w:numPr>
          <w:ilvl w:val="0"/>
          <w:numId w:val="25"/>
        </w:numPr>
        <w:jc w:val="left"/>
        <w:rPr>
          <w:rFonts w:hint="eastAsia" w:ascii="宋体" w:hAnsi="宋体" w:cs="宋体"/>
          <w:sz w:val="24"/>
          <w:szCs w:val="24"/>
        </w:rPr>
      </w:pPr>
      <w:r>
        <w:rPr>
          <w:rFonts w:hint="eastAsia" w:ascii="宋体" w:hAnsi="宋体" w:cs="宋体"/>
          <w:color w:val="000000"/>
          <w:kern w:val="0"/>
          <w:sz w:val="24"/>
          <w:szCs w:val="24"/>
          <w:lang w:bidi="ar"/>
        </w:rPr>
        <w:t>本表不得全部空白（至少得说明是否完全响应招标文件），否则将按无效投标处理。</w:t>
      </w:r>
      <w:bookmarkStart w:id="156" w:name="_Toc161643988"/>
      <w:r>
        <w:rPr>
          <w:rFonts w:hint="eastAsia" w:ascii="宋体" w:hAnsi="宋体" w:cs="宋体"/>
          <w:sz w:val="24"/>
          <w:szCs w:val="24"/>
        </w:rPr>
        <w:br w:type="page"/>
      </w:r>
    </w:p>
    <w:bookmarkEnd w:id="156"/>
    <w:p w14:paraId="62D6F9A2">
      <w:pPr>
        <w:pStyle w:val="20"/>
        <w:tabs>
          <w:tab w:val="left" w:pos="5580"/>
        </w:tabs>
        <w:spacing w:line="360" w:lineRule="auto"/>
        <w:contextualSpacing/>
        <w:jc w:val="center"/>
        <w:outlineLvl w:val="1"/>
        <w:rPr>
          <w:rFonts w:hint="eastAsia" w:hAnsi="宋体" w:eastAsia="宋体"/>
          <w:b/>
          <w:sz w:val="32"/>
          <w:szCs w:val="32"/>
        </w:rPr>
      </w:pPr>
      <w:bookmarkStart w:id="157" w:name="_Toc176023839"/>
      <w:bookmarkStart w:id="158" w:name="_Toc115623246"/>
      <w:bookmarkStart w:id="159" w:name="_Toc497205680"/>
      <w:bookmarkStart w:id="160" w:name="_Toc497147501"/>
      <w:bookmarkStart w:id="161" w:name="_Toc20303147"/>
      <w:r>
        <w:rPr>
          <w:rFonts w:hAnsi="宋体" w:eastAsia="宋体"/>
          <w:b/>
          <w:sz w:val="32"/>
          <w:szCs w:val="32"/>
        </w:rPr>
        <w:t>附件</w:t>
      </w:r>
      <w:r>
        <w:rPr>
          <w:rFonts w:hint="eastAsia" w:hAnsi="宋体" w:eastAsia="宋体"/>
          <w:b/>
          <w:sz w:val="32"/>
          <w:szCs w:val="32"/>
        </w:rPr>
        <w:t>7</w:t>
      </w:r>
      <w:r>
        <w:rPr>
          <w:rFonts w:hAnsi="宋体" w:eastAsia="宋体"/>
          <w:b/>
          <w:sz w:val="32"/>
          <w:szCs w:val="32"/>
        </w:rPr>
        <w:t xml:space="preserve"> </w:t>
      </w:r>
      <w:r>
        <w:rPr>
          <w:rFonts w:hint="eastAsia" w:hAnsi="宋体" w:eastAsia="宋体"/>
          <w:b/>
          <w:sz w:val="32"/>
          <w:szCs w:val="32"/>
        </w:rPr>
        <w:t>落实的政府采购政策</w:t>
      </w:r>
    </w:p>
    <w:p w14:paraId="6C339F34">
      <w:pPr>
        <w:pStyle w:val="20"/>
        <w:tabs>
          <w:tab w:val="left" w:pos="5580"/>
        </w:tabs>
        <w:spacing w:line="360" w:lineRule="auto"/>
        <w:contextualSpacing/>
        <w:outlineLvl w:val="1"/>
        <w:rPr>
          <w:rFonts w:hint="eastAsia" w:hAnsi="宋体" w:eastAsia="宋体"/>
          <w:b/>
          <w:sz w:val="24"/>
          <w:szCs w:val="24"/>
        </w:rPr>
      </w:pPr>
      <w:r>
        <w:rPr>
          <w:rFonts w:hAnsi="宋体" w:eastAsia="宋体"/>
          <w:b/>
          <w:sz w:val="24"/>
          <w:szCs w:val="24"/>
        </w:rPr>
        <w:t>中小企业声明函（</w:t>
      </w:r>
      <w:r>
        <w:rPr>
          <w:rFonts w:hint="eastAsia" w:hAnsi="宋体" w:eastAsia="宋体"/>
          <w:b/>
          <w:sz w:val="24"/>
          <w:szCs w:val="24"/>
        </w:rPr>
        <w:t>不适用，可不提供</w:t>
      </w:r>
      <w:r>
        <w:rPr>
          <w:rFonts w:hAnsi="宋体" w:eastAsia="宋体"/>
          <w:b/>
          <w:sz w:val="24"/>
          <w:szCs w:val="24"/>
        </w:rPr>
        <w:t>）</w:t>
      </w:r>
      <w:bookmarkEnd w:id="157"/>
      <w:bookmarkEnd w:id="158"/>
      <w:bookmarkEnd w:id="159"/>
      <w:bookmarkEnd w:id="160"/>
      <w:bookmarkEnd w:id="161"/>
    </w:p>
    <w:p w14:paraId="136F888D">
      <w:pPr>
        <w:pStyle w:val="20"/>
        <w:tabs>
          <w:tab w:val="left" w:pos="5580"/>
        </w:tabs>
        <w:spacing w:line="360" w:lineRule="auto"/>
        <w:contextualSpacing/>
        <w:outlineLvl w:val="1"/>
        <w:rPr>
          <w:rFonts w:hint="eastAsia" w:hAnsi="宋体" w:eastAsia="宋体"/>
          <w:b/>
          <w:sz w:val="24"/>
          <w:szCs w:val="24"/>
        </w:rPr>
      </w:pPr>
      <w:bookmarkStart w:id="162" w:name="_Toc176023840"/>
      <w:r>
        <w:rPr>
          <w:rFonts w:hint="eastAsia" w:hAnsi="宋体" w:eastAsia="宋体"/>
          <w:b/>
          <w:sz w:val="24"/>
          <w:szCs w:val="24"/>
        </w:rPr>
        <w:t>中小企业证明文件说明：</w:t>
      </w:r>
      <w:bookmarkEnd w:id="162"/>
    </w:p>
    <w:p w14:paraId="38D64A09">
      <w:pPr>
        <w:pStyle w:val="73"/>
        <w:numPr>
          <w:ilvl w:val="0"/>
          <w:numId w:val="26"/>
        </w:numPr>
        <w:tabs>
          <w:tab w:val="left" w:pos="1337"/>
        </w:tabs>
        <w:autoSpaceDE w:val="0"/>
        <w:autoSpaceDN w:val="0"/>
        <w:spacing w:line="360" w:lineRule="auto"/>
        <w:ind w:left="636" w:hanging="636" w:firstLineChars="0"/>
        <w:rPr>
          <w:rFonts w:hint="eastAsia" w:ascii="宋体" w:hAnsi="宋体"/>
          <w:b/>
          <w:bCs/>
          <w:sz w:val="24"/>
          <w:szCs w:val="24"/>
        </w:rPr>
      </w:pPr>
      <w:r>
        <w:rPr>
          <w:rFonts w:ascii="宋体" w:hAnsi="宋体"/>
          <w:sz w:val="24"/>
          <w:szCs w:val="24"/>
        </w:rPr>
        <w:t>《中小企业声明函》或《残疾人福利性单位声明函》或由省级以上监狱管理局、戒毒管理局（含新疆生产建设兵团）出具的属于监狱企业的证明文件；供应商如</w:t>
      </w:r>
      <w:r>
        <w:rPr>
          <w:rFonts w:hint="eastAsia" w:ascii="宋体" w:hAnsi="宋体"/>
          <w:sz w:val="24"/>
          <w:szCs w:val="24"/>
        </w:rPr>
        <w:t>符合要求</w:t>
      </w:r>
      <w:r>
        <w:rPr>
          <w:rFonts w:ascii="宋体" w:hAnsi="宋体"/>
          <w:sz w:val="24"/>
          <w:szCs w:val="24"/>
        </w:rPr>
        <w:t>，</w:t>
      </w:r>
      <w:r>
        <w:rPr>
          <w:rFonts w:hint="eastAsia" w:ascii="宋体" w:hAnsi="宋体"/>
          <w:sz w:val="24"/>
          <w:szCs w:val="24"/>
        </w:rPr>
        <w:t>可</w:t>
      </w:r>
      <w:r>
        <w:rPr>
          <w:rFonts w:ascii="宋体" w:hAnsi="宋体"/>
          <w:sz w:val="24"/>
          <w:szCs w:val="24"/>
        </w:rPr>
        <w:t>在商务技术文件中提供。</w:t>
      </w:r>
    </w:p>
    <w:p w14:paraId="0FE319AF">
      <w:pPr>
        <w:pStyle w:val="73"/>
        <w:numPr>
          <w:ilvl w:val="0"/>
          <w:numId w:val="26"/>
        </w:numPr>
        <w:tabs>
          <w:tab w:val="left" w:pos="1334"/>
        </w:tabs>
        <w:autoSpaceDE w:val="0"/>
        <w:autoSpaceDN w:val="0"/>
        <w:spacing w:line="360" w:lineRule="auto"/>
        <w:ind w:left="636" w:hanging="636" w:firstLineChars="0"/>
        <w:rPr>
          <w:rFonts w:hint="eastAsia" w:ascii="宋体" w:hAnsi="宋体"/>
          <w:sz w:val="24"/>
          <w:szCs w:val="24"/>
        </w:rPr>
      </w:pPr>
      <w:r>
        <w:rPr>
          <w:rFonts w:ascii="宋体" w:hAnsi="宋体"/>
          <w:sz w:val="24"/>
          <w:szCs w:val="24"/>
        </w:rPr>
        <w:t>中小企业声明函填写注意事项</w:t>
      </w:r>
    </w:p>
    <w:p w14:paraId="165CFCF5">
      <w:pPr>
        <w:tabs>
          <w:tab w:val="left" w:pos="1094"/>
        </w:tabs>
        <w:spacing w:line="360" w:lineRule="auto"/>
        <w:ind w:left="525" w:leftChars="250"/>
        <w:rPr>
          <w:rFonts w:hint="eastAsia" w:ascii="宋体" w:hAnsi="宋体"/>
          <w:sz w:val="24"/>
          <w:szCs w:val="24"/>
        </w:rPr>
      </w:pPr>
      <w:r>
        <w:rPr>
          <w:rFonts w:hint="eastAsia" w:ascii="宋体" w:hAnsi="宋体"/>
          <w:sz w:val="24"/>
          <w:szCs w:val="24"/>
        </w:rPr>
        <w:t>1）</w:t>
      </w:r>
      <w:r>
        <w:rPr>
          <w:rFonts w:ascii="宋体" w:hAnsi="宋体"/>
          <w:sz w:val="24"/>
          <w:szCs w:val="24"/>
        </w:rPr>
        <w:t>《中小企业声明函》由参加政府采购活动的投标人出具。联合体投标的，《中小企业声明函》可由牵头人出具。</w:t>
      </w:r>
    </w:p>
    <w:p w14:paraId="08610731">
      <w:pPr>
        <w:tabs>
          <w:tab w:val="left" w:pos="1094"/>
        </w:tabs>
        <w:spacing w:line="360" w:lineRule="auto"/>
        <w:ind w:left="525" w:leftChars="250"/>
        <w:rPr>
          <w:rFonts w:hint="eastAsia" w:ascii="宋体" w:hAnsi="宋体"/>
          <w:sz w:val="24"/>
          <w:szCs w:val="24"/>
        </w:rPr>
      </w:pPr>
      <w:r>
        <w:rPr>
          <w:rFonts w:hint="eastAsia" w:ascii="宋体" w:hAnsi="宋体"/>
          <w:sz w:val="24"/>
          <w:szCs w:val="24"/>
        </w:rPr>
        <w:t>2）</w:t>
      </w:r>
      <w:r>
        <w:rPr>
          <w:rFonts w:ascii="宋体" w:hAnsi="宋体"/>
          <w:sz w:val="24"/>
          <w:szCs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D5DA185">
      <w:pPr>
        <w:pStyle w:val="73"/>
        <w:numPr>
          <w:ilvl w:val="0"/>
          <w:numId w:val="26"/>
        </w:numPr>
        <w:tabs>
          <w:tab w:val="left" w:pos="1334"/>
        </w:tabs>
        <w:autoSpaceDE w:val="0"/>
        <w:autoSpaceDN w:val="0"/>
        <w:spacing w:line="360" w:lineRule="auto"/>
        <w:ind w:left="636" w:hanging="636" w:firstLineChars="0"/>
        <w:rPr>
          <w:rFonts w:hint="eastAsia" w:ascii="宋体" w:hAnsi="宋体"/>
          <w:sz w:val="24"/>
          <w:szCs w:val="24"/>
        </w:rPr>
      </w:pPr>
      <w:r>
        <w:rPr>
          <w:rFonts w:ascii="宋体" w:hAnsi="宋体"/>
          <w:sz w:val="24"/>
          <w:szCs w:val="24"/>
        </w:rPr>
        <w:t>对于多标的采购项目，投标人应充分、准确地了解所提供货物的制造企业、提供服务的承接企业信息。对相关情况了解不清楚的，不建议填报本声明函。</w:t>
      </w:r>
    </w:p>
    <w:p w14:paraId="5C0A2011">
      <w:pPr>
        <w:pStyle w:val="73"/>
        <w:numPr>
          <w:ilvl w:val="0"/>
          <w:numId w:val="26"/>
        </w:numPr>
        <w:tabs>
          <w:tab w:val="left" w:pos="1337"/>
        </w:tabs>
        <w:autoSpaceDE w:val="0"/>
        <w:autoSpaceDN w:val="0"/>
        <w:spacing w:line="360" w:lineRule="auto"/>
        <w:ind w:left="636" w:hanging="636" w:firstLineChars="0"/>
        <w:rPr>
          <w:rFonts w:hint="eastAsia" w:ascii="宋体" w:hAnsi="宋体"/>
          <w:sz w:val="24"/>
          <w:szCs w:val="24"/>
        </w:rPr>
      </w:pPr>
      <w:r>
        <w:rPr>
          <w:rFonts w:ascii="宋体" w:hAnsi="宋体"/>
          <w:sz w:val="24"/>
          <w:szCs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w:t>
      </w:r>
      <w:r>
        <w:rPr>
          <w:rFonts w:hint="eastAsia" w:ascii="宋体" w:hAnsi="宋体"/>
          <w:sz w:val="24"/>
          <w:szCs w:val="24"/>
        </w:rPr>
        <w:t>二</w:t>
      </w:r>
      <w:r>
        <w:rPr>
          <w:rFonts w:ascii="宋体" w:hAnsi="宋体"/>
          <w:sz w:val="24"/>
          <w:szCs w:val="24"/>
        </w:rPr>
        <w:t>章《投标人须知</w:t>
      </w:r>
      <w:r>
        <w:rPr>
          <w:rFonts w:hint="eastAsia" w:ascii="宋体" w:hAnsi="宋体"/>
          <w:sz w:val="24"/>
          <w:szCs w:val="24"/>
        </w:rPr>
        <w:t>前附</w:t>
      </w:r>
      <w:r>
        <w:rPr>
          <w:rFonts w:ascii="宋体" w:hAnsi="宋体"/>
          <w:sz w:val="24"/>
          <w:szCs w:val="24"/>
        </w:rPr>
        <w:t>表》，如在该程序中未找到本项目文件规定的中小企业划分标准所属行业，则按照《关于印发中小企业划型标准规定的通知（工信部联企业﹝2011﹞300 号）》及本项目文件规定的中小企业划分标准所属行业执行。</w:t>
      </w:r>
    </w:p>
    <w:p w14:paraId="0B7D0139">
      <w:pPr>
        <w:widowControl/>
        <w:spacing w:line="360" w:lineRule="auto"/>
        <w:jc w:val="left"/>
        <w:rPr>
          <w:rFonts w:hint="eastAsia" w:ascii="宋体" w:hAnsi="宋体"/>
          <w:sz w:val="24"/>
          <w:szCs w:val="24"/>
        </w:rPr>
      </w:pPr>
      <w:r>
        <w:rPr>
          <w:rFonts w:ascii="宋体" w:hAnsi="宋体"/>
          <w:sz w:val="24"/>
          <w:szCs w:val="24"/>
        </w:rPr>
        <w:br w:type="page"/>
      </w:r>
    </w:p>
    <w:p w14:paraId="55A4A167">
      <w:pPr>
        <w:pStyle w:val="2"/>
        <w:ind w:firstLine="0"/>
        <w:jc w:val="center"/>
        <w:rPr>
          <w:rFonts w:hint="eastAsia" w:ascii="宋体" w:hAnsi="宋体"/>
          <w:bCs/>
          <w:sz w:val="32"/>
          <w:szCs w:val="32"/>
        </w:rPr>
      </w:pPr>
      <w:r>
        <w:rPr>
          <w:rFonts w:hint="eastAsia" w:ascii="宋体" w:hAnsi="宋体"/>
          <w:bCs/>
          <w:sz w:val="32"/>
          <w:szCs w:val="32"/>
        </w:rPr>
        <w:t xml:space="preserve">附件7-1 </w:t>
      </w:r>
      <w:r>
        <w:rPr>
          <w:rFonts w:ascii="宋体" w:hAnsi="宋体"/>
          <w:bCs/>
          <w:sz w:val="32"/>
          <w:szCs w:val="32"/>
        </w:rPr>
        <w:t>中小企业声明函</w:t>
      </w:r>
    </w:p>
    <w:p w14:paraId="27D0C104">
      <w:pPr>
        <w:spacing w:line="360" w:lineRule="auto"/>
        <w:contextualSpacing/>
        <w:rPr>
          <w:rFonts w:hint="eastAsia" w:ascii="宋体" w:hAnsi="宋体"/>
          <w:sz w:val="24"/>
          <w:szCs w:val="24"/>
        </w:rPr>
      </w:pPr>
    </w:p>
    <w:p w14:paraId="0E896CB4">
      <w:pPr>
        <w:spacing w:line="360" w:lineRule="auto"/>
        <w:contextualSpacing/>
        <w:rPr>
          <w:rFonts w:hint="eastAsia" w:ascii="宋体" w:hAnsi="宋体"/>
          <w:sz w:val="24"/>
          <w:szCs w:val="24"/>
        </w:rPr>
      </w:pPr>
      <w:r>
        <w:rPr>
          <w:rFonts w:ascii="宋体" w:hAnsi="宋体"/>
          <w:sz w:val="24"/>
          <w:szCs w:val="24"/>
        </w:rPr>
        <w:t>　　</w:t>
      </w:r>
      <w:r>
        <w:rPr>
          <w:rFonts w:hint="eastAsia" w:ascii="宋体" w:hAnsi="宋体"/>
          <w:sz w:val="24"/>
          <w:szCs w:val="24"/>
        </w:rPr>
        <w:t>本公司郑重声明，根据《政府采购促进中小企业发展管理办法》（财库﹝2020﹞46 号）的规定，本公司</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w:t>
      </w:r>
      <w:r>
        <w:rPr>
          <w:rFonts w:hint="eastAsia" w:ascii="宋体" w:hAnsi="宋体"/>
          <w:sz w:val="24"/>
          <w:szCs w:val="24"/>
        </w:rPr>
        <w:t>参加</w:t>
      </w:r>
      <w:r>
        <w:rPr>
          <w:rFonts w:hint="eastAsia" w:ascii="宋体" w:hAnsi="宋体"/>
          <w:sz w:val="24"/>
          <w:szCs w:val="24"/>
          <w:u w:val="single"/>
        </w:rPr>
        <w:t>（单位名称）</w:t>
      </w:r>
      <w:r>
        <w:rPr>
          <w:rFonts w:hint="eastAsia" w:ascii="宋体" w:hAnsi="宋体"/>
          <w:sz w:val="24"/>
          <w:szCs w:val="24"/>
        </w:rPr>
        <w:t>的</w:t>
      </w:r>
      <w:r>
        <w:rPr>
          <w:rFonts w:hint="eastAsia" w:ascii="宋体" w:hAnsi="宋体"/>
          <w:sz w:val="24"/>
          <w:szCs w:val="24"/>
          <w:u w:val="single"/>
        </w:rPr>
        <w:t>（项目名称）</w:t>
      </w:r>
      <w:r>
        <w:rPr>
          <w:rFonts w:hint="eastAsia" w:ascii="宋体" w:hAnsi="宋体"/>
          <w:sz w:val="24"/>
          <w:szCs w:val="24"/>
        </w:rPr>
        <w:t>采购活动，提供的货物全部由符合政策要求的中小企业制造。相关企业的具体情况如下：</w:t>
      </w:r>
    </w:p>
    <w:p w14:paraId="491BFC59">
      <w:pPr>
        <w:spacing w:line="360" w:lineRule="auto"/>
        <w:ind w:firstLine="480" w:firstLineChars="200"/>
        <w:contextualSpacing/>
        <w:rPr>
          <w:rFonts w:hint="eastAsia" w:ascii="宋体" w:hAnsi="宋体"/>
          <w:sz w:val="24"/>
          <w:szCs w:val="24"/>
        </w:rPr>
      </w:pPr>
      <w:r>
        <w:rPr>
          <w:rFonts w:hint="eastAsia" w:ascii="宋体" w:hAnsi="宋体"/>
          <w:sz w:val="24"/>
          <w:szCs w:val="24"/>
        </w:rPr>
        <w:t>1.</w:t>
      </w:r>
      <w:r>
        <w:rPr>
          <w:rFonts w:hint="eastAsia"/>
        </w:rPr>
        <w:t xml:space="preserve"> </w:t>
      </w:r>
      <w:r>
        <w:rPr>
          <w:rFonts w:hint="eastAsia" w:ascii="宋体" w:hAnsi="宋体"/>
          <w:sz w:val="24"/>
          <w:szCs w:val="24"/>
          <w:u w:val="single"/>
        </w:rPr>
        <w:t xml:space="preserve">     （标的名称）</w:t>
      </w:r>
      <w:r>
        <w:rPr>
          <w:rFonts w:hint="eastAsia" w:ascii="宋体" w:hAnsi="宋体"/>
          <w:sz w:val="24"/>
          <w:szCs w:val="24"/>
        </w:rPr>
        <w:t>， 属于</w:t>
      </w:r>
      <w:r>
        <w:rPr>
          <w:rFonts w:hint="eastAsia" w:ascii="宋体" w:hAnsi="宋体"/>
          <w:sz w:val="24"/>
          <w:szCs w:val="24"/>
          <w:u w:val="single"/>
        </w:rPr>
        <w:t>工业</w:t>
      </w:r>
      <w:r>
        <w:rPr>
          <w:rFonts w:hint="eastAsia" w:ascii="宋体" w:hAnsi="宋体"/>
          <w:sz w:val="24"/>
          <w:szCs w:val="24"/>
        </w:rPr>
        <w:t>行业；</w:t>
      </w:r>
      <w:r>
        <w:rPr>
          <w:rFonts w:hint="eastAsia" w:ascii="宋体" w:hAnsi="宋体"/>
          <w:b/>
          <w:bCs/>
          <w:sz w:val="24"/>
          <w:szCs w:val="24"/>
        </w:rPr>
        <w:t>制造商</w:t>
      </w:r>
      <w:r>
        <w:rPr>
          <w:rFonts w:hint="eastAsia" w:ascii="宋体" w:hAnsi="宋体"/>
          <w:sz w:val="24"/>
          <w:szCs w:val="24"/>
        </w:rPr>
        <w:t>为</w:t>
      </w:r>
      <w:r>
        <w:rPr>
          <w:rFonts w:hint="eastAsia" w:ascii="宋体" w:hAnsi="宋体"/>
          <w:sz w:val="24"/>
          <w:szCs w:val="24"/>
          <w:u w:val="single"/>
        </w:rPr>
        <w:t>（企业名称）</w:t>
      </w:r>
      <w:r>
        <w:rPr>
          <w:rFonts w:hint="eastAsia" w:ascii="宋体" w:hAnsi="宋体"/>
          <w:sz w:val="24"/>
          <w:szCs w:val="24"/>
        </w:rPr>
        <w:t>，从业人员</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rPr>
        <w:t>人，营业收入为</w:t>
      </w:r>
      <w:r>
        <w:rPr>
          <w:rFonts w:hint="eastAsia" w:ascii="宋体" w:hAnsi="宋体"/>
          <w:sz w:val="24"/>
          <w:szCs w:val="24"/>
          <w:u w:val="single"/>
        </w:rPr>
        <w:tab/>
      </w:r>
      <w:r>
        <w:rPr>
          <w:rFonts w:hint="eastAsia" w:ascii="宋体" w:hAnsi="宋体"/>
          <w:sz w:val="24"/>
          <w:szCs w:val="24"/>
        </w:rPr>
        <w:t xml:space="preserve">万元，资产总额为 </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rPr>
        <w:t>万元，属于</w:t>
      </w:r>
      <w:r>
        <w:rPr>
          <w:rFonts w:hint="eastAsia" w:ascii="宋体" w:hAnsi="宋体"/>
          <w:sz w:val="24"/>
          <w:szCs w:val="24"/>
          <w:u w:val="single"/>
        </w:rPr>
        <w:t>（中型企业□、小型企业□、微型企业□）</w:t>
      </w:r>
      <w:r>
        <w:rPr>
          <w:rFonts w:hint="eastAsia" w:ascii="宋体" w:hAnsi="宋体"/>
          <w:sz w:val="24"/>
          <w:szCs w:val="24"/>
        </w:rPr>
        <w:t>。</w:t>
      </w:r>
    </w:p>
    <w:p w14:paraId="51ACBCB2">
      <w:pPr>
        <w:spacing w:line="360" w:lineRule="auto"/>
        <w:ind w:firstLine="480" w:firstLineChars="200"/>
        <w:contextualSpacing/>
        <w:rPr>
          <w:rFonts w:hint="eastAsia" w:ascii="宋体" w:hAnsi="宋体"/>
          <w:sz w:val="24"/>
          <w:szCs w:val="24"/>
        </w:rPr>
      </w:pPr>
      <w:r>
        <w:rPr>
          <w:rFonts w:hint="eastAsia" w:ascii="宋体" w:hAnsi="宋体"/>
          <w:sz w:val="24"/>
          <w:szCs w:val="24"/>
        </w:rPr>
        <w:t>2.</w:t>
      </w:r>
      <w:r>
        <w:rPr>
          <w:rFonts w:hint="eastAsia" w:ascii="宋体" w:hAnsi="宋体"/>
          <w:sz w:val="24"/>
          <w:szCs w:val="24"/>
        </w:rPr>
        <w:tab/>
      </w:r>
      <w:r>
        <w:rPr>
          <w:rFonts w:hint="eastAsia" w:ascii="宋体" w:hAnsi="宋体"/>
          <w:sz w:val="24"/>
          <w:szCs w:val="24"/>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w:t>
      </w:r>
      <w:r>
        <w:rPr>
          <w:rFonts w:hint="eastAsia" w:ascii="宋体" w:hAnsi="宋体"/>
          <w:sz w:val="24"/>
          <w:szCs w:val="24"/>
        </w:rPr>
        <w:t>， 属于</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行业；</w:t>
      </w:r>
      <w:r>
        <w:rPr>
          <w:rFonts w:hint="eastAsia" w:ascii="宋体" w:hAnsi="宋体"/>
          <w:b/>
          <w:bCs/>
          <w:sz w:val="24"/>
          <w:szCs w:val="24"/>
        </w:rPr>
        <w:t>制造商</w:t>
      </w:r>
      <w:r>
        <w:rPr>
          <w:rFonts w:hint="eastAsia" w:ascii="宋体" w:hAnsi="宋体"/>
          <w:sz w:val="24"/>
          <w:szCs w:val="24"/>
        </w:rPr>
        <w:t>为</w:t>
      </w:r>
      <w:r>
        <w:rPr>
          <w:rFonts w:hint="eastAsia" w:ascii="宋体" w:hAnsi="宋体"/>
          <w:sz w:val="24"/>
          <w:szCs w:val="24"/>
          <w:u w:val="single"/>
        </w:rPr>
        <w:t>（企业名称）</w:t>
      </w:r>
      <w:r>
        <w:rPr>
          <w:rFonts w:hint="eastAsia" w:ascii="宋体" w:hAnsi="宋体"/>
          <w:sz w:val="24"/>
          <w:szCs w:val="24"/>
        </w:rPr>
        <w:t>，从业人员</w:t>
      </w:r>
      <w:r>
        <w:rPr>
          <w:rFonts w:hint="eastAsia" w:ascii="宋体" w:hAnsi="宋体"/>
          <w:sz w:val="24"/>
          <w:szCs w:val="24"/>
          <w:u w:val="single"/>
        </w:rPr>
        <w:tab/>
      </w:r>
      <w:r>
        <w:rPr>
          <w:rFonts w:hint="eastAsia" w:ascii="宋体" w:hAnsi="宋体"/>
          <w:sz w:val="24"/>
          <w:szCs w:val="24"/>
        </w:rPr>
        <w:t>人，营业收入为</w:t>
      </w:r>
      <w:r>
        <w:rPr>
          <w:rFonts w:hint="eastAsia" w:ascii="宋体" w:hAnsi="宋体"/>
          <w:sz w:val="24"/>
          <w:szCs w:val="24"/>
          <w:u w:val="single"/>
        </w:rPr>
        <w:tab/>
      </w:r>
      <w:r>
        <w:rPr>
          <w:rFonts w:hint="eastAsia" w:ascii="宋体" w:hAnsi="宋体"/>
          <w:sz w:val="24"/>
          <w:szCs w:val="24"/>
        </w:rPr>
        <w:t xml:space="preserve">万元，资产总额为 </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rPr>
        <w:t>万元，属于（</w:t>
      </w:r>
      <w:r>
        <w:rPr>
          <w:rFonts w:hint="eastAsia" w:ascii="宋体" w:hAnsi="宋体"/>
          <w:sz w:val="24"/>
          <w:szCs w:val="24"/>
          <w:u w:val="single"/>
        </w:rPr>
        <w:t>中型企业□、小型企业□、微型企业□）</w:t>
      </w:r>
      <w:r>
        <w:rPr>
          <w:rFonts w:hint="eastAsia" w:ascii="宋体" w:hAnsi="宋体"/>
          <w:sz w:val="24"/>
          <w:szCs w:val="24"/>
        </w:rPr>
        <w:t>。</w:t>
      </w:r>
    </w:p>
    <w:p w14:paraId="6ACFD4C0">
      <w:pPr>
        <w:spacing w:line="360" w:lineRule="auto"/>
        <w:contextualSpacing/>
        <w:rPr>
          <w:rFonts w:hint="eastAsia" w:ascii="宋体" w:hAnsi="宋体"/>
          <w:sz w:val="24"/>
          <w:szCs w:val="24"/>
        </w:rPr>
      </w:pPr>
      <w:r>
        <w:rPr>
          <w:rFonts w:hint="eastAsia" w:ascii="宋体" w:hAnsi="宋体"/>
          <w:sz w:val="24"/>
          <w:szCs w:val="24"/>
        </w:rPr>
        <w:t>……</w:t>
      </w:r>
    </w:p>
    <w:p w14:paraId="4221ACA8">
      <w:pPr>
        <w:spacing w:line="360" w:lineRule="auto"/>
        <w:ind w:firstLine="480" w:firstLineChars="200"/>
        <w:contextualSpacing/>
        <w:rPr>
          <w:rFonts w:hint="eastAsia" w:ascii="宋体" w:hAnsi="宋体"/>
          <w:sz w:val="24"/>
          <w:szCs w:val="24"/>
        </w:rPr>
      </w:pPr>
      <w:r>
        <w:rPr>
          <w:rFonts w:hint="eastAsia" w:ascii="宋体" w:hAnsi="宋体"/>
          <w:sz w:val="24"/>
          <w:szCs w:val="24"/>
        </w:rPr>
        <w:t>以上企业，不属于大企业的分支机构，不存在控股股东为大企业的情形，也不存在与大企业的负责人为同一人的情形。</w:t>
      </w:r>
    </w:p>
    <w:p w14:paraId="20E979E2">
      <w:pPr>
        <w:spacing w:line="360" w:lineRule="auto"/>
        <w:ind w:firstLine="480" w:firstLineChars="200"/>
        <w:contextualSpacing/>
        <w:rPr>
          <w:rFonts w:hint="eastAsia" w:ascii="宋体" w:hAnsi="宋体"/>
          <w:sz w:val="24"/>
          <w:szCs w:val="24"/>
        </w:rPr>
      </w:pPr>
      <w:r>
        <w:rPr>
          <w:rFonts w:hint="eastAsia" w:ascii="宋体" w:hAnsi="宋体"/>
          <w:sz w:val="24"/>
          <w:szCs w:val="24"/>
        </w:rPr>
        <w:t>本企业对上述声明内容的真实性负责。如有虚假，将依法承担相应责任。</w:t>
      </w:r>
    </w:p>
    <w:p w14:paraId="37F58634">
      <w:pPr>
        <w:spacing w:line="360" w:lineRule="auto"/>
        <w:contextualSpacing/>
        <w:jc w:val="right"/>
        <w:rPr>
          <w:rFonts w:hint="eastAsia" w:ascii="宋体" w:hAnsi="宋体"/>
          <w:sz w:val="24"/>
          <w:szCs w:val="24"/>
        </w:rPr>
      </w:pPr>
    </w:p>
    <w:p w14:paraId="612A4E15">
      <w:pPr>
        <w:spacing w:line="360" w:lineRule="auto"/>
        <w:contextualSpacing/>
        <w:jc w:val="right"/>
        <w:rPr>
          <w:rFonts w:hint="eastAsia" w:ascii="宋体" w:hAnsi="宋体"/>
          <w:sz w:val="24"/>
          <w:szCs w:val="24"/>
        </w:rPr>
      </w:pPr>
      <w:r>
        <w:rPr>
          <w:rFonts w:hint="eastAsia" w:ascii="宋体" w:hAnsi="宋体"/>
          <w:sz w:val="24"/>
          <w:szCs w:val="24"/>
        </w:rPr>
        <w:t>企业名称（盖章）：</w:t>
      </w:r>
    </w:p>
    <w:p w14:paraId="2F0269A0">
      <w:pPr>
        <w:spacing w:line="360" w:lineRule="auto"/>
        <w:contextualSpacing/>
        <w:jc w:val="right"/>
        <w:rPr>
          <w:rFonts w:hint="eastAsia" w:ascii="宋体" w:hAnsi="宋体"/>
          <w:sz w:val="24"/>
          <w:szCs w:val="24"/>
        </w:rPr>
      </w:pPr>
      <w:r>
        <w:rPr>
          <w:rFonts w:hint="eastAsia" w:ascii="宋体" w:hAnsi="宋体"/>
          <w:sz w:val="24"/>
          <w:szCs w:val="24"/>
        </w:rPr>
        <w:t>日期：</w:t>
      </w:r>
    </w:p>
    <w:p w14:paraId="0A9AEB7B">
      <w:pPr>
        <w:jc w:val="left"/>
        <w:rPr>
          <w:rFonts w:hint="eastAsia" w:ascii="宋体" w:hAnsi="宋体" w:cs="微软雅黑"/>
          <w:bCs/>
          <w:sz w:val="24"/>
          <w:szCs w:val="24"/>
        </w:rPr>
      </w:pPr>
      <w:r>
        <w:rPr>
          <w:rFonts w:hint="eastAsia" w:ascii="宋体" w:hAnsi="宋体" w:cs="微软雅黑"/>
          <w:bCs/>
          <w:sz w:val="24"/>
          <w:szCs w:val="24"/>
        </w:rPr>
        <w:t>注：</w:t>
      </w:r>
    </w:p>
    <w:p w14:paraId="744884AE">
      <w:pPr>
        <w:spacing w:line="276" w:lineRule="auto"/>
        <w:jc w:val="left"/>
        <w:rPr>
          <w:rFonts w:hint="eastAsia" w:ascii="宋体" w:hAnsi="宋体" w:cs="微软雅黑"/>
          <w:bCs/>
          <w:sz w:val="24"/>
          <w:szCs w:val="24"/>
        </w:rPr>
      </w:pPr>
      <w:r>
        <w:rPr>
          <w:rFonts w:hint="eastAsia" w:ascii="宋体" w:hAnsi="宋体" w:cs="微软雅黑"/>
          <w:bCs/>
          <w:sz w:val="24"/>
          <w:szCs w:val="24"/>
        </w:rPr>
        <w:t>1. 从业人员、营业收入、资产总额填报上一年度数据，无上一年度数据的新成立企业可不填报。</w:t>
      </w:r>
    </w:p>
    <w:p w14:paraId="1D16ED7E">
      <w:pPr>
        <w:spacing w:line="276" w:lineRule="auto"/>
        <w:jc w:val="left"/>
        <w:rPr>
          <w:rFonts w:hint="eastAsia" w:ascii="宋体" w:hAnsi="宋体" w:cs="微软雅黑"/>
          <w:bCs/>
          <w:sz w:val="24"/>
          <w:szCs w:val="24"/>
        </w:rPr>
      </w:pPr>
      <w:r>
        <w:rPr>
          <w:rFonts w:hint="eastAsia" w:ascii="宋体" w:hAnsi="宋体" w:cs="微软雅黑"/>
          <w:bCs/>
          <w:sz w:val="24"/>
          <w:szCs w:val="24"/>
        </w:rPr>
        <w:t>2. 应与投标分项报价表的制造商规模填写内容保持一致。</w:t>
      </w:r>
    </w:p>
    <w:p w14:paraId="13A1AC01">
      <w:pPr>
        <w:spacing w:line="276" w:lineRule="auto"/>
        <w:jc w:val="left"/>
        <w:rPr>
          <w:rFonts w:hint="eastAsia" w:ascii="宋体" w:hAnsi="宋体" w:cs="微软雅黑"/>
          <w:bCs/>
          <w:sz w:val="24"/>
          <w:szCs w:val="24"/>
        </w:rPr>
      </w:pPr>
      <w:r>
        <w:rPr>
          <w:rFonts w:hint="eastAsia" w:ascii="宋体" w:hAnsi="宋体" w:cs="微软雅黑"/>
          <w:bCs/>
          <w:sz w:val="24"/>
          <w:szCs w:val="24"/>
        </w:rPr>
        <w:t>3.</w:t>
      </w:r>
      <w:r>
        <w:rPr>
          <w:rFonts w:ascii="宋体" w:hAnsi="宋体" w:cs="微软雅黑"/>
          <w:bCs/>
          <w:sz w:val="24"/>
          <w:szCs w:val="24"/>
        </w:rPr>
        <w:t xml:space="preserve"> </w:t>
      </w:r>
      <w:r>
        <w:rPr>
          <w:rFonts w:hint="eastAsia" w:ascii="宋体" w:hAnsi="宋体" w:cs="微软雅黑"/>
          <w:bCs/>
          <w:sz w:val="24"/>
          <w:szCs w:val="24"/>
        </w:rPr>
        <w:t>中小企业划分标准详见工业和信息化部、国家统计局、国家发展和改革委员会、财政部联合印发的《关于印发中小企业划型标准规定的通知》（工信部联企业〔2011〕300号）。</w:t>
      </w:r>
    </w:p>
    <w:p w14:paraId="3C5062CD">
      <w:pPr>
        <w:spacing w:line="276" w:lineRule="auto"/>
        <w:contextualSpacing/>
        <w:rPr>
          <w:rFonts w:hint="eastAsia" w:ascii="宋体" w:hAnsi="宋体" w:cs="微软雅黑"/>
          <w:bCs/>
          <w:sz w:val="24"/>
          <w:szCs w:val="24"/>
        </w:rPr>
      </w:pPr>
      <w:r>
        <w:rPr>
          <w:rFonts w:ascii="宋体" w:hAnsi="宋体" w:cs="微软雅黑"/>
          <w:bCs/>
          <w:sz w:val="24"/>
          <w:szCs w:val="24"/>
        </w:rPr>
        <w:t>4</w:t>
      </w:r>
      <w:r>
        <w:rPr>
          <w:rFonts w:hint="eastAsia" w:ascii="宋体" w:hAnsi="宋体" w:cs="微软雅黑"/>
          <w:bCs/>
          <w:sz w:val="24"/>
          <w:szCs w:val="24"/>
        </w:rPr>
        <w:t>. 本声明函中企业名称（盖章）指加盖投标人公章。</w:t>
      </w:r>
    </w:p>
    <w:p w14:paraId="72EB3467">
      <w:pPr>
        <w:spacing w:line="276" w:lineRule="auto"/>
        <w:contextualSpacing/>
        <w:rPr>
          <w:rFonts w:hint="eastAsia" w:ascii="宋体" w:hAnsi="宋体" w:cs="微软雅黑"/>
          <w:b/>
          <w:sz w:val="24"/>
          <w:szCs w:val="24"/>
        </w:rPr>
      </w:pPr>
      <w:r>
        <w:rPr>
          <w:rFonts w:hint="eastAsia" w:ascii="宋体" w:hAnsi="宋体" w:cs="微软雅黑"/>
          <w:b/>
          <w:sz w:val="24"/>
          <w:szCs w:val="24"/>
        </w:rPr>
        <w:t>5</w:t>
      </w:r>
      <w:r>
        <w:rPr>
          <w:rFonts w:ascii="宋体" w:hAnsi="宋体" w:cs="微软雅黑"/>
          <w:b/>
          <w:sz w:val="24"/>
          <w:szCs w:val="24"/>
        </w:rPr>
        <w:t xml:space="preserve">. </w:t>
      </w:r>
      <w:r>
        <w:rPr>
          <w:rFonts w:hint="eastAsia" w:ascii="宋体" w:hAnsi="宋体" w:cs="微软雅黑"/>
          <w:b/>
          <w:sz w:val="24"/>
          <w:szCs w:val="24"/>
        </w:rPr>
        <w:t>如符合中小企业政策，应按本格式进行填写并盖章。不涉及可不提供。</w:t>
      </w:r>
    </w:p>
    <w:p w14:paraId="44463CC4">
      <w:pPr>
        <w:spacing w:line="360" w:lineRule="auto"/>
        <w:ind w:firstLine="480" w:firstLineChars="200"/>
        <w:contextualSpacing/>
        <w:rPr>
          <w:rFonts w:hint="eastAsia" w:ascii="宋体" w:hAnsi="宋体" w:cs="微软雅黑"/>
          <w:bCs/>
          <w:sz w:val="24"/>
          <w:szCs w:val="24"/>
        </w:rPr>
      </w:pPr>
    </w:p>
    <w:p w14:paraId="55961407">
      <w:pPr>
        <w:spacing w:line="360" w:lineRule="auto"/>
        <w:ind w:firstLine="480" w:firstLineChars="200"/>
        <w:contextualSpacing/>
        <w:rPr>
          <w:rFonts w:hint="eastAsia" w:ascii="宋体" w:hAnsi="宋体" w:cs="微软雅黑"/>
          <w:bCs/>
          <w:sz w:val="24"/>
          <w:szCs w:val="24"/>
        </w:rPr>
      </w:pPr>
    </w:p>
    <w:p w14:paraId="798B2ECD">
      <w:pPr>
        <w:spacing w:line="360" w:lineRule="auto"/>
        <w:ind w:firstLine="480" w:firstLineChars="200"/>
        <w:contextualSpacing/>
        <w:rPr>
          <w:rFonts w:hint="eastAsia" w:ascii="宋体" w:hAnsi="宋体" w:cs="微软雅黑"/>
          <w:bCs/>
          <w:sz w:val="24"/>
          <w:szCs w:val="24"/>
        </w:rPr>
      </w:pPr>
    </w:p>
    <w:p w14:paraId="6B8F5BA4">
      <w:pPr>
        <w:pStyle w:val="2"/>
        <w:ind w:firstLine="0"/>
        <w:rPr>
          <w:rFonts w:hint="eastAsia" w:ascii="宋体" w:hAnsi="宋体"/>
          <w:bCs/>
          <w:spacing w:val="6"/>
          <w:sz w:val="32"/>
          <w:szCs w:val="32"/>
        </w:rPr>
      </w:pPr>
      <w:bookmarkStart w:id="163" w:name="_Toc176023841"/>
      <w:bookmarkStart w:id="164" w:name="_Toc497205681"/>
      <w:bookmarkStart w:id="165" w:name="_Toc497147502"/>
      <w:bookmarkStart w:id="166" w:name="_Toc115623247"/>
      <w:bookmarkStart w:id="167" w:name="OLE_LINK14"/>
      <w:bookmarkStart w:id="168" w:name="OLE_LINK13"/>
      <w:r>
        <w:rPr>
          <w:rFonts w:ascii="宋体" w:hAnsi="宋体"/>
          <w:bCs/>
          <w:sz w:val="32"/>
          <w:szCs w:val="32"/>
        </w:rPr>
        <w:t>附件</w:t>
      </w:r>
      <w:r>
        <w:rPr>
          <w:rFonts w:hint="eastAsia" w:ascii="宋体" w:hAnsi="宋体"/>
          <w:bCs/>
          <w:sz w:val="32"/>
          <w:szCs w:val="32"/>
        </w:rPr>
        <w:t>7</w:t>
      </w:r>
      <w:r>
        <w:rPr>
          <w:rFonts w:ascii="宋体" w:hAnsi="宋体"/>
          <w:bCs/>
          <w:sz w:val="32"/>
          <w:szCs w:val="32"/>
        </w:rPr>
        <w:t>-</w:t>
      </w:r>
      <w:r>
        <w:rPr>
          <w:rFonts w:hint="eastAsia" w:ascii="宋体" w:hAnsi="宋体"/>
          <w:bCs/>
          <w:sz w:val="32"/>
          <w:szCs w:val="32"/>
        </w:rPr>
        <w:t>2</w:t>
      </w:r>
      <w:r>
        <w:rPr>
          <w:rFonts w:ascii="宋体" w:hAnsi="宋体"/>
          <w:bCs/>
          <w:sz w:val="32"/>
          <w:szCs w:val="32"/>
        </w:rPr>
        <w:t xml:space="preserve"> 残疾人福利性单位声明函（</w:t>
      </w:r>
      <w:r>
        <w:rPr>
          <w:rFonts w:hint="eastAsia" w:ascii="宋体" w:hAnsi="宋体"/>
          <w:bCs/>
          <w:sz w:val="32"/>
          <w:szCs w:val="32"/>
        </w:rPr>
        <w:t>不适用，可不提供</w:t>
      </w:r>
      <w:r>
        <w:rPr>
          <w:rFonts w:ascii="宋体" w:hAnsi="宋体"/>
          <w:bCs/>
          <w:sz w:val="32"/>
          <w:szCs w:val="32"/>
        </w:rPr>
        <w:t>）</w:t>
      </w:r>
      <w:bookmarkEnd w:id="163"/>
      <w:bookmarkEnd w:id="164"/>
      <w:bookmarkEnd w:id="165"/>
      <w:bookmarkEnd w:id="166"/>
    </w:p>
    <w:bookmarkEnd w:id="167"/>
    <w:bookmarkEnd w:id="168"/>
    <w:p w14:paraId="75BB9571">
      <w:pPr>
        <w:spacing w:line="588" w:lineRule="exact"/>
        <w:rPr>
          <w:rFonts w:hint="eastAsia" w:ascii="宋体" w:hAnsi="宋体"/>
          <w:b/>
          <w:spacing w:val="6"/>
          <w:sz w:val="30"/>
          <w:szCs w:val="30"/>
        </w:rPr>
      </w:pPr>
    </w:p>
    <w:p w14:paraId="3860FB6C">
      <w:pPr>
        <w:spacing w:line="360" w:lineRule="auto"/>
        <w:ind w:firstLine="420"/>
        <w:contextualSpacing/>
        <w:rPr>
          <w:rFonts w:hint="eastAsia" w:ascii="宋体" w:hAnsi="宋体"/>
          <w:sz w:val="24"/>
          <w:szCs w:val="24"/>
        </w:rPr>
      </w:pPr>
      <w:r>
        <w:rPr>
          <w:rFonts w:ascii="宋体" w:hAnsi="宋体"/>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B9A434F">
      <w:pPr>
        <w:spacing w:line="360" w:lineRule="auto"/>
        <w:ind w:firstLine="420"/>
        <w:contextualSpacing/>
        <w:rPr>
          <w:rFonts w:hint="eastAsia" w:ascii="宋体" w:hAnsi="宋体"/>
          <w:sz w:val="24"/>
          <w:szCs w:val="24"/>
        </w:rPr>
      </w:pPr>
      <w:r>
        <w:rPr>
          <w:rFonts w:ascii="宋体" w:hAnsi="宋体"/>
          <w:sz w:val="24"/>
          <w:szCs w:val="24"/>
        </w:rPr>
        <w:t>本单位对上述声明的真实性负责。如有虚假，将依法承担相应责任。</w:t>
      </w:r>
    </w:p>
    <w:p w14:paraId="68152F2C">
      <w:pPr>
        <w:spacing w:line="360" w:lineRule="auto"/>
        <w:contextualSpacing/>
        <w:rPr>
          <w:rFonts w:hint="eastAsia" w:ascii="宋体" w:hAnsi="宋体"/>
          <w:sz w:val="24"/>
          <w:szCs w:val="24"/>
        </w:rPr>
      </w:pPr>
    </w:p>
    <w:p w14:paraId="0FBFA665">
      <w:pPr>
        <w:spacing w:line="360" w:lineRule="auto"/>
        <w:contextualSpacing/>
        <w:rPr>
          <w:rFonts w:hint="eastAsia" w:ascii="宋体" w:hAnsi="宋体"/>
          <w:sz w:val="24"/>
          <w:szCs w:val="24"/>
        </w:rPr>
      </w:pPr>
    </w:p>
    <w:p w14:paraId="465F2A63">
      <w:pPr>
        <w:spacing w:line="360" w:lineRule="auto"/>
        <w:contextualSpacing/>
        <w:jc w:val="right"/>
        <w:rPr>
          <w:rFonts w:hint="eastAsia" w:ascii="宋体" w:hAnsi="宋体"/>
          <w:sz w:val="24"/>
          <w:szCs w:val="24"/>
        </w:rPr>
      </w:pPr>
      <w:r>
        <w:rPr>
          <w:rFonts w:ascii="宋体" w:hAnsi="宋体"/>
          <w:sz w:val="24"/>
          <w:szCs w:val="24"/>
        </w:rPr>
        <w:t>单位名称（盖章）：</w:t>
      </w:r>
    </w:p>
    <w:p w14:paraId="4BE9EC8F">
      <w:pPr>
        <w:spacing w:line="360" w:lineRule="auto"/>
        <w:contextualSpacing/>
        <w:jc w:val="right"/>
        <w:rPr>
          <w:rFonts w:hint="eastAsia" w:ascii="宋体" w:hAnsi="宋体"/>
          <w:sz w:val="24"/>
          <w:szCs w:val="24"/>
        </w:rPr>
      </w:pPr>
      <w:r>
        <w:rPr>
          <w:rFonts w:ascii="宋体" w:hAnsi="宋体"/>
          <w:sz w:val="24"/>
          <w:szCs w:val="24"/>
        </w:rPr>
        <w:t>日  期：</w:t>
      </w:r>
    </w:p>
    <w:p w14:paraId="6825068F">
      <w:pPr>
        <w:pStyle w:val="17"/>
        <w:spacing w:line="360" w:lineRule="auto"/>
        <w:ind w:firstLine="0"/>
        <w:contextualSpacing/>
        <w:rPr>
          <w:rFonts w:hint="eastAsia" w:ascii="宋体" w:hAnsi="宋体" w:eastAsia="宋体"/>
          <w:b/>
          <w:szCs w:val="24"/>
        </w:rPr>
      </w:pPr>
    </w:p>
    <w:p w14:paraId="6F798944">
      <w:pPr>
        <w:spacing w:line="360" w:lineRule="auto"/>
        <w:rPr>
          <w:rFonts w:hint="eastAsia" w:ascii="宋体" w:hAnsi="宋体"/>
          <w:sz w:val="24"/>
          <w:szCs w:val="24"/>
        </w:rPr>
      </w:pPr>
    </w:p>
    <w:p w14:paraId="2493F66F">
      <w:pPr>
        <w:widowControl/>
        <w:jc w:val="left"/>
        <w:rPr>
          <w:rFonts w:hint="eastAsia" w:ascii="宋体" w:hAnsi="宋体" w:cstheme="minorBidi"/>
          <w:b/>
          <w:sz w:val="32"/>
          <w:szCs w:val="32"/>
          <w14:ligatures w14:val="standardContextual"/>
        </w:rPr>
      </w:pPr>
      <w:bookmarkStart w:id="169" w:name="_Toc497205682"/>
      <w:bookmarkStart w:id="170" w:name="_Toc176023842"/>
      <w:bookmarkStart w:id="171" w:name="_Toc115623248"/>
      <w:r>
        <w:rPr>
          <w:rFonts w:hint="eastAsia" w:hAnsi="宋体"/>
          <w:b/>
          <w:sz w:val="32"/>
          <w:szCs w:val="32"/>
        </w:rPr>
        <w:br w:type="page"/>
      </w:r>
    </w:p>
    <w:p w14:paraId="5B61B632">
      <w:pPr>
        <w:pStyle w:val="20"/>
        <w:tabs>
          <w:tab w:val="left" w:pos="5580"/>
        </w:tabs>
        <w:spacing w:line="360" w:lineRule="auto"/>
        <w:ind w:left="424"/>
        <w:jc w:val="center"/>
        <w:outlineLvl w:val="1"/>
        <w:rPr>
          <w:rFonts w:hint="eastAsia" w:hAnsi="宋体" w:eastAsia="宋体"/>
          <w:b/>
          <w:sz w:val="32"/>
          <w:szCs w:val="32"/>
        </w:rPr>
      </w:pPr>
      <w:r>
        <w:rPr>
          <w:rFonts w:hint="eastAsia" w:hAnsi="宋体" w:eastAsia="宋体"/>
          <w:b/>
          <w:sz w:val="32"/>
          <w:szCs w:val="32"/>
        </w:rPr>
        <w:t>7-3落实国务院办公厅关于在政府采购中实施本国产品标准及相关政策</w:t>
      </w:r>
    </w:p>
    <w:p w14:paraId="4E978D01">
      <w:pPr>
        <w:pStyle w:val="31"/>
        <w:spacing w:before="0" w:beforeAutospacing="0" w:after="188" w:afterAutospacing="0" w:line="360" w:lineRule="auto"/>
        <w:ind w:firstLine="420"/>
        <w:jc w:val="center"/>
        <w:rPr>
          <w:rFonts w:hint="eastAsia"/>
          <w:b/>
          <w:bCs/>
          <w:color w:val="000000"/>
        </w:rPr>
      </w:pPr>
      <w:r>
        <w:rPr>
          <w:rFonts w:hint="eastAsia"/>
          <w:b/>
          <w:bCs/>
          <w:color w:val="000000"/>
        </w:rPr>
        <w:t>7-3-1中国境内生产的组件成本核算基本规则</w:t>
      </w:r>
    </w:p>
    <w:p w14:paraId="27094E55">
      <w:pPr>
        <w:pStyle w:val="31"/>
        <w:spacing w:before="0" w:beforeAutospacing="0" w:after="188" w:afterAutospacing="0" w:line="360" w:lineRule="auto"/>
        <w:ind w:firstLine="420"/>
        <w:rPr>
          <w:rFonts w:hint="eastAsia"/>
          <w:color w:val="000000"/>
        </w:rPr>
      </w:pPr>
      <w:r>
        <w:rPr>
          <w:rFonts w:hint="eastAsia"/>
          <w:color w:val="000000"/>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B0EED18">
      <w:pPr>
        <w:pStyle w:val="31"/>
        <w:spacing w:before="0" w:beforeAutospacing="0" w:after="188" w:afterAutospacing="0" w:line="360" w:lineRule="auto"/>
        <w:ind w:firstLine="420"/>
        <w:rPr>
          <w:rFonts w:hint="eastAsia"/>
          <w:color w:val="000000"/>
        </w:rPr>
      </w:pPr>
      <w:r>
        <w:rPr>
          <w:rFonts w:hint="eastAsia"/>
          <w:color w:val="000000"/>
        </w:rPr>
        <w:t>一、产品的一级组件是指直接组成产品的组件。产品的二级组件是指直接组成产品一级组件的组件。一级组件不可分解的，视同二级组件。</w:t>
      </w:r>
    </w:p>
    <w:p w14:paraId="76AA7FDE">
      <w:pPr>
        <w:pStyle w:val="31"/>
        <w:spacing w:before="0" w:beforeAutospacing="0" w:after="188" w:afterAutospacing="0" w:line="360" w:lineRule="auto"/>
        <w:ind w:firstLine="420"/>
        <w:rPr>
          <w:rFonts w:hint="eastAsia"/>
          <w:color w:val="000000"/>
        </w:rPr>
      </w:pPr>
      <w:r>
        <w:rPr>
          <w:rFonts w:hint="eastAsia"/>
          <w:color w:val="000000"/>
        </w:rPr>
        <w:t>二、二级组件在中国境内生产的，其全部成本计入中国境内生产的组件成本；二级组件不在中国境内生产的，其成本不计入中国境内生产的组件成本。</w:t>
      </w:r>
    </w:p>
    <w:p w14:paraId="05F852CD">
      <w:pPr>
        <w:pStyle w:val="31"/>
        <w:spacing w:before="0" w:beforeAutospacing="0" w:after="188" w:afterAutospacing="0" w:line="360" w:lineRule="auto"/>
        <w:ind w:firstLine="420"/>
        <w:rPr>
          <w:rFonts w:hint="eastAsia"/>
          <w:color w:val="000000"/>
        </w:rPr>
      </w:pPr>
      <w:r>
        <w:rPr>
          <w:rFonts w:hint="eastAsia"/>
          <w:color w:val="000000"/>
        </w:rPr>
        <w:t>三、产品总成本和组件成本以相关会计核算数据、采购合同、进货记录等为基础进行计算。</w:t>
      </w:r>
    </w:p>
    <w:p w14:paraId="228D2C5C">
      <w:pPr>
        <w:pStyle w:val="31"/>
        <w:spacing w:before="0" w:beforeAutospacing="0" w:after="188" w:afterAutospacing="0" w:line="360" w:lineRule="auto"/>
        <w:ind w:firstLine="420"/>
        <w:rPr>
          <w:rFonts w:hint="eastAsia"/>
          <w:color w:val="000000"/>
        </w:rPr>
      </w:pPr>
      <w:r>
        <w:rPr>
          <w:rFonts w:hint="eastAsia"/>
          <w:color w:val="000000"/>
        </w:rPr>
        <w:t>四、需要对成本核算规则予以进一步明确的其他有关事项，由财政部会同有关部门另行规定。</w:t>
      </w:r>
    </w:p>
    <w:p w14:paraId="1CEB8D81">
      <w:pPr>
        <w:rPr>
          <w:rFonts w:cs="宋体"/>
          <w:b/>
          <w:bCs/>
          <w:color w:val="000000"/>
          <w:sz w:val="24"/>
          <w:szCs w:val="24"/>
        </w:rPr>
      </w:pPr>
      <w:r>
        <w:rPr>
          <w:rFonts w:hint="eastAsia" w:cs="宋体"/>
          <w:b/>
          <w:bCs/>
          <w:color w:val="000000"/>
          <w:sz w:val="24"/>
          <w:szCs w:val="24"/>
        </w:rPr>
        <w:br w:type="page"/>
      </w:r>
    </w:p>
    <w:p w14:paraId="13A05DAA">
      <w:pPr>
        <w:pStyle w:val="31"/>
        <w:spacing w:before="0" w:beforeAutospacing="0" w:after="188" w:afterAutospacing="0" w:line="360" w:lineRule="auto"/>
        <w:ind w:firstLine="420"/>
        <w:jc w:val="center"/>
        <w:rPr>
          <w:rFonts w:hint="eastAsia"/>
          <w:b/>
          <w:bCs/>
          <w:color w:val="000000"/>
        </w:rPr>
      </w:pPr>
      <w:r>
        <w:rPr>
          <w:rFonts w:hint="eastAsia"/>
          <w:b/>
          <w:bCs/>
          <w:color w:val="000000"/>
        </w:rPr>
        <w:t>7-3-2关于符合本国产品标准的声明函</w:t>
      </w:r>
    </w:p>
    <w:p w14:paraId="0A360765">
      <w:pPr>
        <w:pStyle w:val="31"/>
        <w:spacing w:before="0" w:beforeAutospacing="0" w:after="188" w:afterAutospacing="0" w:line="360" w:lineRule="auto"/>
        <w:ind w:firstLine="420"/>
        <w:rPr>
          <w:rFonts w:hint="eastAsia"/>
          <w:color w:val="000000"/>
        </w:rPr>
      </w:pPr>
      <w:r>
        <w:rPr>
          <w:rFonts w:hint="eastAsia"/>
          <w:color w:val="000000"/>
        </w:rPr>
        <w:t>本公司（单位）郑重声明，根据《国务院办公厅关于在政府采购中实施本国产品标准及相关政策的通知》（国办发〔2025〕34号）的规定，本公司（单位）提供的以下产品属于本国产品。具体情况如下：</w:t>
      </w:r>
    </w:p>
    <w:p w14:paraId="55C66FDA">
      <w:pPr>
        <w:pStyle w:val="31"/>
        <w:spacing w:before="0" w:beforeAutospacing="0" w:after="188" w:afterAutospacing="0" w:line="360" w:lineRule="auto"/>
        <w:ind w:firstLine="420"/>
        <w:rPr>
          <w:rFonts w:hint="eastAsia"/>
          <w:color w:val="000000"/>
        </w:rPr>
      </w:pPr>
      <w:r>
        <w:rPr>
          <w:rFonts w:hint="eastAsia"/>
          <w:color w:val="000000"/>
        </w:rPr>
        <w:t>1.</w:t>
      </w:r>
      <w:r>
        <w:rPr>
          <w:rFonts w:hint="eastAsia"/>
          <w:color w:val="000000"/>
          <w:u w:val="single"/>
        </w:rPr>
        <w:t>（产品名称1）1</w:t>
      </w:r>
      <w:r>
        <w:rPr>
          <w:rFonts w:hint="eastAsia"/>
          <w:color w:val="000000"/>
        </w:rPr>
        <w:t>，生产厂为</w:t>
      </w:r>
      <w:r>
        <w:rPr>
          <w:rFonts w:hint="eastAsia"/>
          <w:color w:val="000000"/>
          <w:u w:val="single"/>
        </w:rPr>
        <w:t>（厂名）2</w:t>
      </w:r>
      <w:r>
        <w:rPr>
          <w:rFonts w:hint="eastAsia"/>
          <w:color w:val="000000"/>
        </w:rPr>
        <w:t>，厂址为</w:t>
      </w:r>
      <w:r>
        <w:rPr>
          <w:rFonts w:hint="eastAsia"/>
          <w:color w:val="000000"/>
          <w:u w:val="single"/>
        </w:rPr>
        <w:t>（生产厂址）</w:t>
      </w:r>
      <w:r>
        <w:rPr>
          <w:rFonts w:hint="eastAsia"/>
          <w:color w:val="000000"/>
        </w:rPr>
        <w:t>。</w:t>
      </w:r>
      <w:r>
        <w:rPr>
          <w:rFonts w:hint="eastAsia"/>
          <w:color w:val="000000"/>
          <w:u w:val="single"/>
        </w:rPr>
        <w:t>（产品名称1）</w:t>
      </w:r>
      <w:r>
        <w:rPr>
          <w:rFonts w:hint="eastAsia"/>
          <w:color w:val="000000"/>
        </w:rPr>
        <w:t>的中国境内生产的组件成本占比≥</w:t>
      </w:r>
      <w:r>
        <w:rPr>
          <w:rFonts w:hint="eastAsia"/>
          <w:color w:val="000000"/>
          <w:u w:val="single"/>
        </w:rPr>
        <w:t>（规定比例）3</w:t>
      </w:r>
      <w:r>
        <w:rPr>
          <w:rFonts w:hint="eastAsia"/>
          <w:color w:val="000000"/>
        </w:rPr>
        <w:t>。</w:t>
      </w:r>
      <w:r>
        <w:rPr>
          <w:rFonts w:hint="eastAsia"/>
          <w:color w:val="000000"/>
          <w:u w:val="single"/>
        </w:rPr>
        <w:t>（产品名称1）</w:t>
      </w:r>
      <w:r>
        <w:rPr>
          <w:rFonts w:hint="eastAsia"/>
          <w:color w:val="000000"/>
        </w:rPr>
        <w:t>的</w:t>
      </w:r>
      <w:r>
        <w:rPr>
          <w:rFonts w:hint="eastAsia"/>
          <w:color w:val="000000"/>
          <w:u w:val="single"/>
        </w:rPr>
        <w:t>（关键组件）4</w:t>
      </w:r>
      <w:r>
        <w:rPr>
          <w:rFonts w:hint="eastAsia"/>
          <w:color w:val="000000"/>
        </w:rPr>
        <w:t>在中国境内生产。</w:t>
      </w:r>
      <w:r>
        <w:rPr>
          <w:rFonts w:hint="eastAsia"/>
          <w:color w:val="000000"/>
          <w:u w:val="single"/>
        </w:rPr>
        <w:t>（产品名称1）</w:t>
      </w:r>
      <w:r>
        <w:rPr>
          <w:rFonts w:hint="eastAsia"/>
          <w:color w:val="000000"/>
        </w:rPr>
        <w:t>的</w:t>
      </w:r>
      <w:r>
        <w:rPr>
          <w:rFonts w:hint="eastAsia"/>
          <w:color w:val="000000"/>
          <w:u w:val="single"/>
        </w:rPr>
        <w:t>（关键工序）5</w:t>
      </w:r>
      <w:r>
        <w:rPr>
          <w:rFonts w:hint="eastAsia"/>
          <w:color w:val="000000"/>
        </w:rPr>
        <w:t>在中国境内完成。</w:t>
      </w:r>
    </w:p>
    <w:p w14:paraId="38BDE6F2">
      <w:pPr>
        <w:pStyle w:val="31"/>
        <w:spacing w:before="0" w:beforeAutospacing="0" w:after="188" w:afterAutospacing="0" w:line="360" w:lineRule="auto"/>
        <w:ind w:firstLine="420"/>
        <w:rPr>
          <w:rFonts w:hint="eastAsia"/>
          <w:color w:val="000000"/>
        </w:rPr>
      </w:pPr>
      <w:r>
        <w:rPr>
          <w:rFonts w:hint="eastAsia"/>
          <w:color w:val="000000"/>
        </w:rPr>
        <w:t>2.</w:t>
      </w:r>
      <w:r>
        <w:rPr>
          <w:rFonts w:hint="eastAsia"/>
          <w:color w:val="000000"/>
          <w:u w:val="single"/>
        </w:rPr>
        <w:t>（产品名称2）</w:t>
      </w:r>
      <w:r>
        <w:rPr>
          <w:rFonts w:hint="eastAsia"/>
          <w:color w:val="000000"/>
        </w:rPr>
        <w:t>，生产厂为</w:t>
      </w:r>
      <w:r>
        <w:rPr>
          <w:rFonts w:hint="eastAsia"/>
          <w:color w:val="000000"/>
          <w:u w:val="single"/>
        </w:rPr>
        <w:t>（厂名）</w:t>
      </w:r>
      <w:r>
        <w:rPr>
          <w:rFonts w:hint="eastAsia"/>
          <w:color w:val="000000"/>
        </w:rPr>
        <w:t>，厂址为</w:t>
      </w:r>
      <w:r>
        <w:rPr>
          <w:rFonts w:hint="eastAsia"/>
          <w:color w:val="000000"/>
          <w:u w:val="single"/>
        </w:rPr>
        <w:t>（生产厂址）</w:t>
      </w:r>
      <w:r>
        <w:rPr>
          <w:rFonts w:hint="eastAsia"/>
          <w:color w:val="000000"/>
        </w:rPr>
        <w:t>。</w:t>
      </w:r>
      <w:r>
        <w:rPr>
          <w:rFonts w:hint="eastAsia"/>
          <w:color w:val="000000"/>
          <w:u w:val="single"/>
        </w:rPr>
        <w:t>（产品名称2）</w:t>
      </w:r>
      <w:r>
        <w:rPr>
          <w:rFonts w:hint="eastAsia"/>
          <w:color w:val="000000"/>
        </w:rPr>
        <w:t>的中国境内生产的组件成本占比≥</w:t>
      </w:r>
      <w:r>
        <w:rPr>
          <w:rFonts w:hint="eastAsia"/>
          <w:color w:val="000000"/>
          <w:u w:val="single"/>
        </w:rPr>
        <w:t>（规定比例）</w:t>
      </w:r>
      <w:r>
        <w:rPr>
          <w:rFonts w:hint="eastAsia"/>
          <w:color w:val="000000"/>
        </w:rPr>
        <w:t>。</w:t>
      </w:r>
      <w:r>
        <w:rPr>
          <w:rFonts w:hint="eastAsia"/>
          <w:color w:val="000000"/>
          <w:u w:val="single"/>
        </w:rPr>
        <w:t>（产品名称2）</w:t>
      </w:r>
      <w:r>
        <w:rPr>
          <w:rFonts w:hint="eastAsia"/>
          <w:color w:val="000000"/>
        </w:rPr>
        <w:t>的</w:t>
      </w:r>
      <w:r>
        <w:rPr>
          <w:rFonts w:hint="eastAsia"/>
          <w:color w:val="000000"/>
          <w:u w:val="single"/>
        </w:rPr>
        <w:t>（关键组件）</w:t>
      </w:r>
      <w:r>
        <w:rPr>
          <w:rFonts w:hint="eastAsia"/>
          <w:color w:val="000000"/>
        </w:rPr>
        <w:t>在中国境内生产。</w:t>
      </w:r>
      <w:r>
        <w:rPr>
          <w:rFonts w:hint="eastAsia"/>
          <w:color w:val="000000"/>
          <w:u w:val="single"/>
        </w:rPr>
        <w:t>（产品名称2）</w:t>
      </w:r>
      <w:r>
        <w:rPr>
          <w:rFonts w:hint="eastAsia"/>
          <w:color w:val="000000"/>
        </w:rPr>
        <w:t>的</w:t>
      </w:r>
      <w:r>
        <w:rPr>
          <w:rFonts w:hint="eastAsia"/>
          <w:color w:val="000000"/>
          <w:u w:val="single"/>
        </w:rPr>
        <w:t>（关键工序）</w:t>
      </w:r>
      <w:r>
        <w:rPr>
          <w:rFonts w:hint="eastAsia"/>
          <w:color w:val="000000"/>
        </w:rPr>
        <w:t>在中国境内完成。</w:t>
      </w:r>
    </w:p>
    <w:p w14:paraId="6851A934">
      <w:pPr>
        <w:pStyle w:val="31"/>
        <w:spacing w:before="0" w:beforeAutospacing="0" w:after="188" w:afterAutospacing="0" w:line="360" w:lineRule="auto"/>
        <w:ind w:firstLine="420"/>
        <w:rPr>
          <w:rFonts w:hint="eastAsia"/>
          <w:color w:val="000000"/>
        </w:rPr>
      </w:pPr>
      <w:r>
        <w:rPr>
          <w:rFonts w:hint="eastAsia"/>
          <w:color w:val="000000"/>
        </w:rPr>
        <w:t>……</w:t>
      </w:r>
    </w:p>
    <w:p w14:paraId="1FD5212F">
      <w:pPr>
        <w:pStyle w:val="31"/>
        <w:spacing w:before="0" w:beforeAutospacing="0" w:after="188" w:afterAutospacing="0" w:line="360" w:lineRule="auto"/>
        <w:ind w:firstLine="420"/>
        <w:rPr>
          <w:rFonts w:hint="eastAsia"/>
          <w:color w:val="000000"/>
        </w:rPr>
      </w:pPr>
      <w:r>
        <w:rPr>
          <w:rFonts w:hint="eastAsia"/>
          <w:color w:val="000000"/>
        </w:rPr>
        <w:t>本公司（单位）对上述声明内容的真实性负责。如有虚假，愿承担相应法律责任。</w:t>
      </w:r>
    </w:p>
    <w:p w14:paraId="4E66D420">
      <w:pPr>
        <w:pStyle w:val="31"/>
        <w:spacing w:before="0" w:beforeAutospacing="0" w:after="188" w:afterAutospacing="0" w:line="360" w:lineRule="auto"/>
        <w:jc w:val="right"/>
        <w:rPr>
          <w:rFonts w:hint="eastAsia"/>
          <w:color w:val="000000"/>
        </w:rPr>
      </w:pPr>
      <w:r>
        <w:rPr>
          <w:rFonts w:hint="eastAsia"/>
          <w:color w:val="000000"/>
        </w:rPr>
        <w:t>公司（单位）名称（盖章）：　        </w:t>
      </w:r>
    </w:p>
    <w:p w14:paraId="59E4B779">
      <w:pPr>
        <w:pStyle w:val="31"/>
        <w:spacing w:before="0" w:beforeAutospacing="0" w:after="188" w:afterAutospacing="0" w:line="360" w:lineRule="auto"/>
        <w:jc w:val="right"/>
        <w:rPr>
          <w:rFonts w:hint="eastAsia"/>
          <w:color w:val="000000"/>
        </w:rPr>
      </w:pPr>
      <w:r>
        <w:rPr>
          <w:rFonts w:hint="eastAsia"/>
          <w:color w:val="000000"/>
        </w:rPr>
        <w:t>日期：　     年　  月　  日         </w:t>
      </w:r>
    </w:p>
    <w:p w14:paraId="365F93B8">
      <w:pPr>
        <w:pStyle w:val="31"/>
        <w:spacing w:before="0" w:beforeAutospacing="0" w:after="188" w:afterAutospacing="0" w:line="360" w:lineRule="auto"/>
        <w:ind w:firstLine="420"/>
        <w:rPr>
          <w:rFonts w:hint="eastAsia"/>
          <w:color w:val="000000"/>
        </w:rPr>
      </w:pPr>
      <w:r>
        <w:rPr>
          <w:rFonts w:hint="eastAsia"/>
          <w:color w:val="000000"/>
        </w:rPr>
        <w:t>__________________</w:t>
      </w:r>
    </w:p>
    <w:p w14:paraId="0BB2CFDD">
      <w:pPr>
        <w:pStyle w:val="31"/>
        <w:spacing w:before="0" w:beforeAutospacing="0" w:after="188" w:afterAutospacing="0" w:line="360" w:lineRule="auto"/>
        <w:ind w:firstLine="420"/>
        <w:rPr>
          <w:rFonts w:hint="eastAsia"/>
          <w:color w:val="000000"/>
        </w:rPr>
      </w:pPr>
      <w:r>
        <w:rPr>
          <w:rFonts w:hint="eastAsia"/>
          <w:color w:val="000000"/>
        </w:rPr>
        <w:t>1.产品如有型号，请在“产品名称”栏一并填写。</w:t>
      </w:r>
    </w:p>
    <w:p w14:paraId="65DD18D7">
      <w:pPr>
        <w:pStyle w:val="31"/>
        <w:spacing w:before="0" w:beforeAutospacing="0" w:after="188" w:afterAutospacing="0" w:line="360" w:lineRule="auto"/>
        <w:ind w:firstLine="420"/>
        <w:rPr>
          <w:rFonts w:hint="eastAsia"/>
          <w:color w:val="000000"/>
        </w:rPr>
      </w:pPr>
      <w:r>
        <w:rPr>
          <w:rFonts w:hint="eastAsia"/>
          <w:color w:val="000000"/>
        </w:rPr>
        <w:t>2.生产厂名与厂址应与生产厂营业执照载明的相关信息保持一致。</w:t>
      </w:r>
    </w:p>
    <w:p w14:paraId="6E0EDBDA">
      <w:pPr>
        <w:pStyle w:val="31"/>
        <w:spacing w:before="0" w:beforeAutospacing="0" w:after="188" w:afterAutospacing="0" w:line="360" w:lineRule="auto"/>
        <w:ind w:firstLine="420"/>
        <w:rPr>
          <w:rFonts w:hint="eastAsia"/>
          <w:color w:val="000000"/>
        </w:rPr>
      </w:pPr>
      <w:r>
        <w:rPr>
          <w:rFonts w:hint="eastAsia"/>
          <w:color w:val="000000"/>
        </w:rPr>
        <w:t>3.该产品的中国境内生产的组件成本占比相关要求实施前，“规定比例”栏可不填，下同。</w:t>
      </w:r>
    </w:p>
    <w:p w14:paraId="4B151BAD">
      <w:pPr>
        <w:pStyle w:val="31"/>
        <w:spacing w:before="0" w:beforeAutospacing="0" w:after="188" w:afterAutospacing="0" w:line="360" w:lineRule="auto"/>
        <w:ind w:firstLine="420"/>
        <w:rPr>
          <w:rFonts w:hint="eastAsia"/>
          <w:color w:val="000000"/>
        </w:rPr>
      </w:pPr>
      <w:r>
        <w:rPr>
          <w:rFonts w:hint="eastAsia"/>
          <w:color w:val="000000"/>
        </w:rPr>
        <w:t>4.该产品的关键组件要求实施前，“关键组件”栏可不填，下同。</w:t>
      </w:r>
    </w:p>
    <w:p w14:paraId="03D3A1D4">
      <w:pPr>
        <w:pStyle w:val="31"/>
        <w:spacing w:before="0" w:beforeAutospacing="0" w:after="188" w:afterAutospacing="0" w:line="360" w:lineRule="auto"/>
        <w:ind w:firstLine="420"/>
        <w:rPr>
          <w:rFonts w:hint="eastAsia"/>
          <w:color w:val="000000"/>
        </w:rPr>
      </w:pPr>
      <w:r>
        <w:rPr>
          <w:rFonts w:hint="eastAsia"/>
          <w:color w:val="000000"/>
        </w:rPr>
        <w:t>5.该产品的关键工序要求实施前，“关键工序”栏可不填，下同。</w:t>
      </w:r>
    </w:p>
    <w:p w14:paraId="68F3FDA8">
      <w:pPr>
        <w:pStyle w:val="20"/>
        <w:tabs>
          <w:tab w:val="left" w:pos="5580"/>
        </w:tabs>
        <w:spacing w:line="360" w:lineRule="auto"/>
        <w:ind w:left="424"/>
        <w:jc w:val="center"/>
        <w:outlineLvl w:val="1"/>
        <w:rPr>
          <w:rFonts w:hint="eastAsia" w:hAnsi="宋体" w:eastAsia="宋体"/>
          <w:b/>
          <w:sz w:val="32"/>
          <w:szCs w:val="32"/>
        </w:rPr>
      </w:pPr>
    </w:p>
    <w:p w14:paraId="73570659">
      <w:pPr>
        <w:pStyle w:val="20"/>
        <w:tabs>
          <w:tab w:val="left" w:pos="5580"/>
        </w:tabs>
        <w:spacing w:line="360" w:lineRule="auto"/>
        <w:ind w:left="424"/>
        <w:jc w:val="center"/>
        <w:outlineLvl w:val="1"/>
        <w:rPr>
          <w:rFonts w:hint="eastAsia" w:hAnsi="宋体" w:eastAsia="宋体"/>
          <w:b/>
          <w:sz w:val="32"/>
          <w:szCs w:val="32"/>
        </w:rPr>
      </w:pPr>
      <w:r>
        <w:rPr>
          <w:rFonts w:hAnsi="宋体" w:eastAsia="宋体"/>
          <w:b/>
          <w:sz w:val="32"/>
          <w:szCs w:val="32"/>
        </w:rPr>
        <w:t>附件</w:t>
      </w:r>
      <w:r>
        <w:rPr>
          <w:rFonts w:hint="eastAsia" w:hAnsi="宋体" w:eastAsia="宋体"/>
          <w:b/>
          <w:sz w:val="32"/>
          <w:szCs w:val="32"/>
        </w:rPr>
        <w:t>8</w:t>
      </w:r>
      <w:r>
        <w:rPr>
          <w:rFonts w:hAnsi="宋体" w:eastAsia="宋体"/>
          <w:b/>
          <w:sz w:val="32"/>
          <w:szCs w:val="32"/>
        </w:rPr>
        <w:t xml:space="preserve"> 销售业绩</w:t>
      </w:r>
      <w:bookmarkEnd w:id="169"/>
      <w:bookmarkEnd w:id="170"/>
      <w:bookmarkEnd w:id="171"/>
    </w:p>
    <w:p w14:paraId="6C9B68E2">
      <w:pPr>
        <w:pStyle w:val="17"/>
        <w:spacing w:line="360" w:lineRule="auto"/>
        <w:ind w:firstLine="0"/>
        <w:contextualSpacing/>
        <w:rPr>
          <w:rFonts w:hint="eastAsia" w:ascii="宋体" w:hAnsi="宋体" w:eastAsia="宋体"/>
          <w:szCs w:val="24"/>
        </w:rPr>
      </w:pPr>
      <w:r>
        <w:rPr>
          <w:rFonts w:ascii="宋体" w:hAnsi="宋体" w:eastAsia="宋体"/>
          <w:bCs/>
          <w:szCs w:val="24"/>
        </w:rPr>
        <w:t>销售业绩：具体要求详见第</w:t>
      </w:r>
      <w:r>
        <w:rPr>
          <w:rFonts w:hint="eastAsia" w:ascii="宋体" w:hAnsi="宋体" w:eastAsia="宋体"/>
          <w:bCs/>
          <w:szCs w:val="24"/>
        </w:rPr>
        <w:t>六</w:t>
      </w:r>
      <w:r>
        <w:rPr>
          <w:rFonts w:ascii="宋体" w:hAnsi="宋体" w:eastAsia="宋体"/>
          <w:bCs/>
          <w:szCs w:val="24"/>
        </w:rPr>
        <w:t>章综合评审表。</w:t>
      </w:r>
      <w:r>
        <w:rPr>
          <w:rFonts w:hint="eastAsia" w:ascii="宋体" w:hAnsi="宋体" w:eastAsia="宋体"/>
          <w:bCs/>
          <w:szCs w:val="24"/>
        </w:rPr>
        <w:t>采购人</w:t>
      </w:r>
      <w:r>
        <w:rPr>
          <w:rFonts w:ascii="宋体" w:hAnsi="宋体" w:eastAsia="宋体"/>
          <w:bCs/>
          <w:szCs w:val="24"/>
        </w:rPr>
        <w:t>有权拒绝已经停产或已淘汰机型的老旧产品。</w:t>
      </w:r>
      <w:r>
        <w:rPr>
          <w:rFonts w:hint="eastAsia" w:ascii="宋体" w:hAnsi="宋体" w:eastAsia="宋体"/>
          <w:bCs/>
          <w:szCs w:val="24"/>
        </w:rPr>
        <w:t>以下格式仅供参考。</w:t>
      </w:r>
    </w:p>
    <w:tbl>
      <w:tblPr>
        <w:tblStyle w:val="36"/>
        <w:tblW w:w="94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701"/>
        <w:gridCol w:w="1560"/>
        <w:gridCol w:w="1275"/>
        <w:gridCol w:w="1560"/>
        <w:gridCol w:w="1558"/>
      </w:tblGrid>
      <w:tr w14:paraId="030FD6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21139D51">
            <w:pPr>
              <w:spacing w:before="120" w:line="360" w:lineRule="auto"/>
              <w:jc w:val="center"/>
              <w:rPr>
                <w:rFonts w:hint="eastAsia" w:ascii="宋体" w:hAnsi="宋体"/>
                <w:sz w:val="24"/>
                <w:szCs w:val="24"/>
              </w:rPr>
            </w:pPr>
            <w:r>
              <w:rPr>
                <w:rFonts w:ascii="宋体" w:hAnsi="宋体"/>
                <w:sz w:val="24"/>
                <w:szCs w:val="24"/>
              </w:rPr>
              <w:t>销售货物</w:t>
            </w:r>
            <w:r>
              <w:rPr>
                <w:rFonts w:hint="eastAsia" w:ascii="宋体" w:hAnsi="宋体"/>
                <w:sz w:val="24"/>
                <w:szCs w:val="24"/>
              </w:rPr>
              <w:t>名称</w:t>
            </w:r>
          </w:p>
        </w:tc>
        <w:tc>
          <w:tcPr>
            <w:tcW w:w="1701" w:type="dxa"/>
          </w:tcPr>
          <w:p w14:paraId="0886DF9B">
            <w:pPr>
              <w:spacing w:before="120" w:line="360" w:lineRule="auto"/>
              <w:jc w:val="center"/>
              <w:rPr>
                <w:rFonts w:hint="eastAsia" w:ascii="宋体" w:hAnsi="宋体"/>
                <w:sz w:val="24"/>
                <w:szCs w:val="24"/>
              </w:rPr>
            </w:pPr>
            <w:r>
              <w:rPr>
                <w:rFonts w:ascii="宋体" w:hAnsi="宋体"/>
                <w:sz w:val="24"/>
                <w:szCs w:val="24"/>
              </w:rPr>
              <w:t>合同签订时间</w:t>
            </w:r>
          </w:p>
        </w:tc>
        <w:tc>
          <w:tcPr>
            <w:tcW w:w="1560" w:type="dxa"/>
          </w:tcPr>
          <w:p w14:paraId="393CF31C">
            <w:pPr>
              <w:spacing w:before="120" w:line="360" w:lineRule="auto"/>
              <w:jc w:val="center"/>
              <w:rPr>
                <w:rFonts w:hint="eastAsia" w:ascii="宋体" w:hAnsi="宋体"/>
                <w:sz w:val="24"/>
                <w:szCs w:val="24"/>
              </w:rPr>
            </w:pPr>
            <w:r>
              <w:rPr>
                <w:rFonts w:hint="eastAsia" w:ascii="宋体" w:hAnsi="宋体"/>
                <w:sz w:val="24"/>
                <w:szCs w:val="24"/>
              </w:rPr>
              <w:t>甲方名称</w:t>
            </w:r>
          </w:p>
        </w:tc>
        <w:tc>
          <w:tcPr>
            <w:tcW w:w="1275" w:type="dxa"/>
          </w:tcPr>
          <w:p w14:paraId="72473CAE">
            <w:pPr>
              <w:spacing w:before="120" w:line="360" w:lineRule="auto"/>
              <w:rPr>
                <w:rFonts w:hint="eastAsia" w:ascii="宋体" w:hAnsi="宋体"/>
                <w:sz w:val="24"/>
                <w:szCs w:val="24"/>
              </w:rPr>
            </w:pPr>
            <w:r>
              <w:rPr>
                <w:rFonts w:ascii="宋体" w:hAnsi="宋体"/>
                <w:sz w:val="24"/>
                <w:szCs w:val="24"/>
              </w:rPr>
              <w:t>联系人及电话</w:t>
            </w:r>
          </w:p>
        </w:tc>
        <w:tc>
          <w:tcPr>
            <w:tcW w:w="1560" w:type="dxa"/>
          </w:tcPr>
          <w:p w14:paraId="31EFD24D">
            <w:pPr>
              <w:spacing w:before="120" w:line="360" w:lineRule="auto"/>
              <w:jc w:val="center"/>
              <w:rPr>
                <w:rFonts w:hint="eastAsia" w:ascii="宋体" w:hAnsi="宋体"/>
                <w:sz w:val="24"/>
                <w:szCs w:val="24"/>
              </w:rPr>
            </w:pPr>
            <w:r>
              <w:rPr>
                <w:rFonts w:hint="eastAsia" w:ascii="宋体" w:hAnsi="宋体"/>
                <w:sz w:val="24"/>
                <w:szCs w:val="24"/>
              </w:rPr>
              <w:t>乙方名称</w:t>
            </w:r>
          </w:p>
        </w:tc>
        <w:tc>
          <w:tcPr>
            <w:tcW w:w="1558" w:type="dxa"/>
          </w:tcPr>
          <w:p w14:paraId="5863ADCF">
            <w:pPr>
              <w:spacing w:before="120" w:line="360" w:lineRule="auto"/>
              <w:jc w:val="center"/>
              <w:rPr>
                <w:rFonts w:hint="eastAsia" w:ascii="宋体" w:hAnsi="宋体"/>
                <w:sz w:val="24"/>
                <w:szCs w:val="24"/>
              </w:rPr>
            </w:pPr>
            <w:r>
              <w:rPr>
                <w:rFonts w:ascii="宋体" w:hAnsi="宋体"/>
                <w:sz w:val="24"/>
                <w:szCs w:val="24"/>
              </w:rPr>
              <w:t>履约情况</w:t>
            </w:r>
          </w:p>
        </w:tc>
      </w:tr>
      <w:tr w14:paraId="362D7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119A9531">
            <w:pPr>
              <w:spacing w:before="120" w:line="360" w:lineRule="auto"/>
              <w:jc w:val="center"/>
              <w:rPr>
                <w:rFonts w:hint="eastAsia" w:ascii="宋体" w:hAnsi="宋体"/>
                <w:sz w:val="24"/>
                <w:szCs w:val="24"/>
              </w:rPr>
            </w:pPr>
          </w:p>
        </w:tc>
        <w:tc>
          <w:tcPr>
            <w:tcW w:w="1701" w:type="dxa"/>
          </w:tcPr>
          <w:p w14:paraId="725A20AA">
            <w:pPr>
              <w:spacing w:before="120" w:line="360" w:lineRule="auto"/>
              <w:jc w:val="center"/>
              <w:rPr>
                <w:rFonts w:hint="eastAsia" w:ascii="宋体" w:hAnsi="宋体"/>
                <w:sz w:val="24"/>
                <w:szCs w:val="24"/>
              </w:rPr>
            </w:pPr>
          </w:p>
        </w:tc>
        <w:tc>
          <w:tcPr>
            <w:tcW w:w="1560" w:type="dxa"/>
          </w:tcPr>
          <w:p w14:paraId="06A3FC84">
            <w:pPr>
              <w:spacing w:before="120" w:line="360" w:lineRule="auto"/>
              <w:jc w:val="center"/>
              <w:rPr>
                <w:rFonts w:hint="eastAsia" w:ascii="宋体" w:hAnsi="宋体"/>
                <w:sz w:val="24"/>
                <w:szCs w:val="24"/>
              </w:rPr>
            </w:pPr>
          </w:p>
        </w:tc>
        <w:tc>
          <w:tcPr>
            <w:tcW w:w="1275" w:type="dxa"/>
          </w:tcPr>
          <w:p w14:paraId="5C1B1703">
            <w:pPr>
              <w:spacing w:before="120" w:line="360" w:lineRule="auto"/>
              <w:jc w:val="center"/>
              <w:rPr>
                <w:rFonts w:hint="eastAsia" w:ascii="宋体" w:hAnsi="宋体"/>
                <w:sz w:val="24"/>
                <w:szCs w:val="24"/>
              </w:rPr>
            </w:pPr>
          </w:p>
        </w:tc>
        <w:tc>
          <w:tcPr>
            <w:tcW w:w="1560" w:type="dxa"/>
          </w:tcPr>
          <w:p w14:paraId="164EBDBC">
            <w:pPr>
              <w:spacing w:before="120" w:line="360" w:lineRule="auto"/>
              <w:jc w:val="center"/>
              <w:rPr>
                <w:rFonts w:hint="eastAsia" w:ascii="宋体" w:hAnsi="宋体"/>
                <w:sz w:val="24"/>
                <w:szCs w:val="24"/>
              </w:rPr>
            </w:pPr>
          </w:p>
        </w:tc>
        <w:tc>
          <w:tcPr>
            <w:tcW w:w="1558" w:type="dxa"/>
          </w:tcPr>
          <w:p w14:paraId="65D1A17F">
            <w:pPr>
              <w:spacing w:before="120" w:line="360" w:lineRule="auto"/>
              <w:jc w:val="center"/>
              <w:rPr>
                <w:rFonts w:hint="eastAsia" w:ascii="宋体" w:hAnsi="宋体"/>
                <w:sz w:val="24"/>
                <w:szCs w:val="24"/>
              </w:rPr>
            </w:pPr>
          </w:p>
        </w:tc>
      </w:tr>
      <w:tr w14:paraId="30CF12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09D19E42">
            <w:pPr>
              <w:spacing w:before="120" w:line="360" w:lineRule="auto"/>
              <w:jc w:val="center"/>
              <w:rPr>
                <w:rFonts w:hint="eastAsia" w:ascii="宋体" w:hAnsi="宋体"/>
                <w:sz w:val="24"/>
                <w:szCs w:val="24"/>
              </w:rPr>
            </w:pPr>
          </w:p>
        </w:tc>
        <w:tc>
          <w:tcPr>
            <w:tcW w:w="1701" w:type="dxa"/>
          </w:tcPr>
          <w:p w14:paraId="49B0FA61">
            <w:pPr>
              <w:spacing w:before="120" w:line="360" w:lineRule="auto"/>
              <w:jc w:val="center"/>
              <w:rPr>
                <w:rFonts w:hint="eastAsia" w:ascii="宋体" w:hAnsi="宋体"/>
                <w:sz w:val="24"/>
                <w:szCs w:val="24"/>
              </w:rPr>
            </w:pPr>
          </w:p>
        </w:tc>
        <w:tc>
          <w:tcPr>
            <w:tcW w:w="1560" w:type="dxa"/>
          </w:tcPr>
          <w:p w14:paraId="2582421E">
            <w:pPr>
              <w:spacing w:before="120" w:line="360" w:lineRule="auto"/>
              <w:jc w:val="center"/>
              <w:rPr>
                <w:rFonts w:hint="eastAsia" w:ascii="宋体" w:hAnsi="宋体"/>
                <w:sz w:val="24"/>
                <w:szCs w:val="24"/>
              </w:rPr>
            </w:pPr>
          </w:p>
        </w:tc>
        <w:tc>
          <w:tcPr>
            <w:tcW w:w="1275" w:type="dxa"/>
          </w:tcPr>
          <w:p w14:paraId="112F3B70">
            <w:pPr>
              <w:spacing w:before="120" w:line="360" w:lineRule="auto"/>
              <w:jc w:val="center"/>
              <w:rPr>
                <w:rFonts w:hint="eastAsia" w:ascii="宋体" w:hAnsi="宋体"/>
                <w:sz w:val="24"/>
                <w:szCs w:val="24"/>
              </w:rPr>
            </w:pPr>
          </w:p>
        </w:tc>
        <w:tc>
          <w:tcPr>
            <w:tcW w:w="1560" w:type="dxa"/>
          </w:tcPr>
          <w:p w14:paraId="5C07F68D">
            <w:pPr>
              <w:spacing w:before="120" w:line="360" w:lineRule="auto"/>
              <w:jc w:val="center"/>
              <w:rPr>
                <w:rFonts w:hint="eastAsia" w:ascii="宋体" w:hAnsi="宋体"/>
                <w:sz w:val="24"/>
                <w:szCs w:val="24"/>
              </w:rPr>
            </w:pPr>
          </w:p>
        </w:tc>
        <w:tc>
          <w:tcPr>
            <w:tcW w:w="1558" w:type="dxa"/>
          </w:tcPr>
          <w:p w14:paraId="388A6846">
            <w:pPr>
              <w:spacing w:before="120" w:line="360" w:lineRule="auto"/>
              <w:jc w:val="center"/>
              <w:rPr>
                <w:rFonts w:hint="eastAsia" w:ascii="宋体" w:hAnsi="宋体"/>
                <w:sz w:val="24"/>
                <w:szCs w:val="24"/>
              </w:rPr>
            </w:pPr>
          </w:p>
        </w:tc>
      </w:tr>
      <w:tr w14:paraId="706C80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12FB423E">
            <w:pPr>
              <w:spacing w:before="120" w:line="360" w:lineRule="auto"/>
              <w:jc w:val="center"/>
              <w:rPr>
                <w:rFonts w:hint="eastAsia" w:ascii="宋体" w:hAnsi="宋体"/>
                <w:sz w:val="24"/>
                <w:szCs w:val="24"/>
              </w:rPr>
            </w:pPr>
          </w:p>
        </w:tc>
        <w:tc>
          <w:tcPr>
            <w:tcW w:w="1701" w:type="dxa"/>
          </w:tcPr>
          <w:p w14:paraId="4C291213">
            <w:pPr>
              <w:spacing w:before="120" w:line="360" w:lineRule="auto"/>
              <w:jc w:val="center"/>
              <w:rPr>
                <w:rFonts w:hint="eastAsia" w:ascii="宋体" w:hAnsi="宋体"/>
                <w:sz w:val="24"/>
                <w:szCs w:val="24"/>
              </w:rPr>
            </w:pPr>
          </w:p>
        </w:tc>
        <w:tc>
          <w:tcPr>
            <w:tcW w:w="1560" w:type="dxa"/>
          </w:tcPr>
          <w:p w14:paraId="5EA73CAA">
            <w:pPr>
              <w:spacing w:before="120" w:line="360" w:lineRule="auto"/>
              <w:jc w:val="center"/>
              <w:rPr>
                <w:rFonts w:hint="eastAsia" w:ascii="宋体" w:hAnsi="宋体"/>
                <w:sz w:val="24"/>
                <w:szCs w:val="24"/>
              </w:rPr>
            </w:pPr>
          </w:p>
        </w:tc>
        <w:tc>
          <w:tcPr>
            <w:tcW w:w="1275" w:type="dxa"/>
          </w:tcPr>
          <w:p w14:paraId="50CF36D3">
            <w:pPr>
              <w:spacing w:before="120" w:line="360" w:lineRule="auto"/>
              <w:jc w:val="center"/>
              <w:rPr>
                <w:rFonts w:hint="eastAsia" w:ascii="宋体" w:hAnsi="宋体"/>
                <w:sz w:val="24"/>
                <w:szCs w:val="24"/>
              </w:rPr>
            </w:pPr>
          </w:p>
        </w:tc>
        <w:tc>
          <w:tcPr>
            <w:tcW w:w="1560" w:type="dxa"/>
          </w:tcPr>
          <w:p w14:paraId="38771A2A">
            <w:pPr>
              <w:spacing w:before="120" w:line="360" w:lineRule="auto"/>
              <w:jc w:val="center"/>
              <w:rPr>
                <w:rFonts w:hint="eastAsia" w:ascii="宋体" w:hAnsi="宋体"/>
                <w:sz w:val="24"/>
                <w:szCs w:val="24"/>
              </w:rPr>
            </w:pPr>
          </w:p>
        </w:tc>
        <w:tc>
          <w:tcPr>
            <w:tcW w:w="1558" w:type="dxa"/>
          </w:tcPr>
          <w:p w14:paraId="4C338B1C">
            <w:pPr>
              <w:spacing w:before="120" w:line="360" w:lineRule="auto"/>
              <w:jc w:val="center"/>
              <w:rPr>
                <w:rFonts w:hint="eastAsia" w:ascii="宋体" w:hAnsi="宋体"/>
                <w:sz w:val="24"/>
                <w:szCs w:val="24"/>
              </w:rPr>
            </w:pPr>
          </w:p>
        </w:tc>
      </w:tr>
      <w:tr w14:paraId="7F018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0D887600">
            <w:pPr>
              <w:spacing w:before="120" w:line="360" w:lineRule="auto"/>
              <w:jc w:val="center"/>
              <w:rPr>
                <w:rFonts w:hint="eastAsia" w:ascii="宋体" w:hAnsi="宋体"/>
                <w:sz w:val="24"/>
                <w:szCs w:val="24"/>
              </w:rPr>
            </w:pPr>
          </w:p>
        </w:tc>
        <w:tc>
          <w:tcPr>
            <w:tcW w:w="1701" w:type="dxa"/>
          </w:tcPr>
          <w:p w14:paraId="472396B8">
            <w:pPr>
              <w:spacing w:before="120" w:line="360" w:lineRule="auto"/>
              <w:jc w:val="center"/>
              <w:rPr>
                <w:rFonts w:hint="eastAsia" w:ascii="宋体" w:hAnsi="宋体"/>
                <w:sz w:val="24"/>
                <w:szCs w:val="24"/>
              </w:rPr>
            </w:pPr>
          </w:p>
        </w:tc>
        <w:tc>
          <w:tcPr>
            <w:tcW w:w="1560" w:type="dxa"/>
          </w:tcPr>
          <w:p w14:paraId="3B59FDF1">
            <w:pPr>
              <w:spacing w:before="120" w:line="360" w:lineRule="auto"/>
              <w:jc w:val="center"/>
              <w:rPr>
                <w:rFonts w:hint="eastAsia" w:ascii="宋体" w:hAnsi="宋体"/>
                <w:sz w:val="24"/>
                <w:szCs w:val="24"/>
              </w:rPr>
            </w:pPr>
          </w:p>
        </w:tc>
        <w:tc>
          <w:tcPr>
            <w:tcW w:w="1275" w:type="dxa"/>
          </w:tcPr>
          <w:p w14:paraId="066FCC03">
            <w:pPr>
              <w:spacing w:before="120" w:line="360" w:lineRule="auto"/>
              <w:jc w:val="center"/>
              <w:rPr>
                <w:rFonts w:hint="eastAsia" w:ascii="宋体" w:hAnsi="宋体"/>
                <w:sz w:val="24"/>
                <w:szCs w:val="24"/>
              </w:rPr>
            </w:pPr>
          </w:p>
        </w:tc>
        <w:tc>
          <w:tcPr>
            <w:tcW w:w="1560" w:type="dxa"/>
          </w:tcPr>
          <w:p w14:paraId="09F2512E">
            <w:pPr>
              <w:spacing w:before="120" w:line="360" w:lineRule="auto"/>
              <w:jc w:val="center"/>
              <w:rPr>
                <w:rFonts w:hint="eastAsia" w:ascii="宋体" w:hAnsi="宋体"/>
                <w:sz w:val="24"/>
                <w:szCs w:val="24"/>
              </w:rPr>
            </w:pPr>
          </w:p>
        </w:tc>
        <w:tc>
          <w:tcPr>
            <w:tcW w:w="1558" w:type="dxa"/>
          </w:tcPr>
          <w:p w14:paraId="30210D21">
            <w:pPr>
              <w:spacing w:before="120" w:line="360" w:lineRule="auto"/>
              <w:jc w:val="center"/>
              <w:rPr>
                <w:rFonts w:hint="eastAsia" w:ascii="宋体" w:hAnsi="宋体"/>
                <w:sz w:val="24"/>
                <w:szCs w:val="24"/>
              </w:rPr>
            </w:pPr>
          </w:p>
        </w:tc>
      </w:tr>
      <w:tr w14:paraId="15AA18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788DE7F8">
            <w:pPr>
              <w:spacing w:before="120" w:line="360" w:lineRule="auto"/>
              <w:jc w:val="center"/>
              <w:rPr>
                <w:rFonts w:hint="eastAsia" w:ascii="宋体" w:hAnsi="宋体"/>
                <w:sz w:val="24"/>
                <w:szCs w:val="24"/>
              </w:rPr>
            </w:pPr>
          </w:p>
        </w:tc>
        <w:tc>
          <w:tcPr>
            <w:tcW w:w="1701" w:type="dxa"/>
          </w:tcPr>
          <w:p w14:paraId="77090B1A">
            <w:pPr>
              <w:spacing w:before="120" w:line="360" w:lineRule="auto"/>
              <w:jc w:val="center"/>
              <w:rPr>
                <w:rFonts w:hint="eastAsia" w:ascii="宋体" w:hAnsi="宋体"/>
                <w:sz w:val="24"/>
                <w:szCs w:val="24"/>
              </w:rPr>
            </w:pPr>
          </w:p>
        </w:tc>
        <w:tc>
          <w:tcPr>
            <w:tcW w:w="1560" w:type="dxa"/>
          </w:tcPr>
          <w:p w14:paraId="30FBE7F2">
            <w:pPr>
              <w:spacing w:before="120" w:line="360" w:lineRule="auto"/>
              <w:jc w:val="center"/>
              <w:rPr>
                <w:rFonts w:hint="eastAsia" w:ascii="宋体" w:hAnsi="宋体"/>
                <w:sz w:val="24"/>
                <w:szCs w:val="24"/>
              </w:rPr>
            </w:pPr>
          </w:p>
        </w:tc>
        <w:tc>
          <w:tcPr>
            <w:tcW w:w="1275" w:type="dxa"/>
          </w:tcPr>
          <w:p w14:paraId="4AFE005C">
            <w:pPr>
              <w:spacing w:before="120" w:line="360" w:lineRule="auto"/>
              <w:jc w:val="center"/>
              <w:rPr>
                <w:rFonts w:hint="eastAsia" w:ascii="宋体" w:hAnsi="宋体"/>
                <w:sz w:val="24"/>
                <w:szCs w:val="24"/>
              </w:rPr>
            </w:pPr>
          </w:p>
        </w:tc>
        <w:tc>
          <w:tcPr>
            <w:tcW w:w="1560" w:type="dxa"/>
          </w:tcPr>
          <w:p w14:paraId="0D60B446">
            <w:pPr>
              <w:spacing w:before="120" w:line="360" w:lineRule="auto"/>
              <w:jc w:val="center"/>
              <w:rPr>
                <w:rFonts w:hint="eastAsia" w:ascii="宋体" w:hAnsi="宋体"/>
                <w:sz w:val="24"/>
                <w:szCs w:val="24"/>
              </w:rPr>
            </w:pPr>
          </w:p>
        </w:tc>
        <w:tc>
          <w:tcPr>
            <w:tcW w:w="1558" w:type="dxa"/>
          </w:tcPr>
          <w:p w14:paraId="51F095A7">
            <w:pPr>
              <w:spacing w:before="120" w:line="360" w:lineRule="auto"/>
              <w:jc w:val="center"/>
              <w:rPr>
                <w:rFonts w:hint="eastAsia" w:ascii="宋体" w:hAnsi="宋体"/>
                <w:sz w:val="24"/>
                <w:szCs w:val="24"/>
              </w:rPr>
            </w:pPr>
          </w:p>
        </w:tc>
      </w:tr>
      <w:tr w14:paraId="44452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3980E1F0">
            <w:pPr>
              <w:spacing w:before="120" w:line="360" w:lineRule="auto"/>
              <w:jc w:val="center"/>
              <w:rPr>
                <w:rFonts w:hint="eastAsia" w:ascii="宋体" w:hAnsi="宋体"/>
                <w:sz w:val="24"/>
                <w:szCs w:val="24"/>
              </w:rPr>
            </w:pPr>
          </w:p>
        </w:tc>
        <w:tc>
          <w:tcPr>
            <w:tcW w:w="1701" w:type="dxa"/>
          </w:tcPr>
          <w:p w14:paraId="20688629">
            <w:pPr>
              <w:spacing w:before="120" w:line="360" w:lineRule="auto"/>
              <w:jc w:val="center"/>
              <w:rPr>
                <w:rFonts w:hint="eastAsia" w:ascii="宋体" w:hAnsi="宋体"/>
                <w:sz w:val="24"/>
                <w:szCs w:val="24"/>
              </w:rPr>
            </w:pPr>
          </w:p>
        </w:tc>
        <w:tc>
          <w:tcPr>
            <w:tcW w:w="1560" w:type="dxa"/>
          </w:tcPr>
          <w:p w14:paraId="64EFA1CB">
            <w:pPr>
              <w:spacing w:before="120" w:line="360" w:lineRule="auto"/>
              <w:jc w:val="center"/>
              <w:rPr>
                <w:rFonts w:hint="eastAsia" w:ascii="宋体" w:hAnsi="宋体"/>
                <w:sz w:val="24"/>
                <w:szCs w:val="24"/>
              </w:rPr>
            </w:pPr>
          </w:p>
        </w:tc>
        <w:tc>
          <w:tcPr>
            <w:tcW w:w="1275" w:type="dxa"/>
          </w:tcPr>
          <w:p w14:paraId="581ECCD9">
            <w:pPr>
              <w:spacing w:before="120" w:line="360" w:lineRule="auto"/>
              <w:jc w:val="center"/>
              <w:rPr>
                <w:rFonts w:hint="eastAsia" w:ascii="宋体" w:hAnsi="宋体"/>
                <w:sz w:val="24"/>
                <w:szCs w:val="24"/>
              </w:rPr>
            </w:pPr>
          </w:p>
        </w:tc>
        <w:tc>
          <w:tcPr>
            <w:tcW w:w="1560" w:type="dxa"/>
          </w:tcPr>
          <w:p w14:paraId="30A59473">
            <w:pPr>
              <w:spacing w:before="120" w:line="360" w:lineRule="auto"/>
              <w:jc w:val="center"/>
              <w:rPr>
                <w:rFonts w:hint="eastAsia" w:ascii="宋体" w:hAnsi="宋体"/>
                <w:sz w:val="24"/>
                <w:szCs w:val="24"/>
              </w:rPr>
            </w:pPr>
          </w:p>
        </w:tc>
        <w:tc>
          <w:tcPr>
            <w:tcW w:w="1558" w:type="dxa"/>
          </w:tcPr>
          <w:p w14:paraId="5B3CBDAB">
            <w:pPr>
              <w:spacing w:before="120" w:line="360" w:lineRule="auto"/>
              <w:jc w:val="center"/>
              <w:rPr>
                <w:rFonts w:hint="eastAsia" w:ascii="宋体" w:hAnsi="宋体"/>
                <w:sz w:val="24"/>
                <w:szCs w:val="24"/>
              </w:rPr>
            </w:pPr>
          </w:p>
        </w:tc>
      </w:tr>
      <w:tr w14:paraId="71801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2B8EC6B6">
            <w:pPr>
              <w:spacing w:before="120" w:line="360" w:lineRule="auto"/>
              <w:jc w:val="center"/>
              <w:rPr>
                <w:rFonts w:hint="eastAsia" w:ascii="宋体" w:hAnsi="宋体"/>
                <w:sz w:val="24"/>
                <w:szCs w:val="24"/>
              </w:rPr>
            </w:pPr>
          </w:p>
        </w:tc>
        <w:tc>
          <w:tcPr>
            <w:tcW w:w="1701" w:type="dxa"/>
          </w:tcPr>
          <w:p w14:paraId="1F6A100E">
            <w:pPr>
              <w:spacing w:before="120" w:line="360" w:lineRule="auto"/>
              <w:jc w:val="center"/>
              <w:rPr>
                <w:rFonts w:hint="eastAsia" w:ascii="宋体" w:hAnsi="宋体"/>
                <w:sz w:val="24"/>
                <w:szCs w:val="24"/>
              </w:rPr>
            </w:pPr>
          </w:p>
        </w:tc>
        <w:tc>
          <w:tcPr>
            <w:tcW w:w="1560" w:type="dxa"/>
          </w:tcPr>
          <w:p w14:paraId="42F6BE0E">
            <w:pPr>
              <w:spacing w:before="120" w:line="360" w:lineRule="auto"/>
              <w:jc w:val="center"/>
              <w:rPr>
                <w:rFonts w:hint="eastAsia" w:ascii="宋体" w:hAnsi="宋体"/>
                <w:sz w:val="24"/>
                <w:szCs w:val="24"/>
              </w:rPr>
            </w:pPr>
          </w:p>
        </w:tc>
        <w:tc>
          <w:tcPr>
            <w:tcW w:w="1275" w:type="dxa"/>
          </w:tcPr>
          <w:p w14:paraId="0EE5F82E">
            <w:pPr>
              <w:spacing w:before="120" w:line="360" w:lineRule="auto"/>
              <w:jc w:val="center"/>
              <w:rPr>
                <w:rFonts w:hint="eastAsia" w:ascii="宋体" w:hAnsi="宋体"/>
                <w:sz w:val="24"/>
                <w:szCs w:val="24"/>
              </w:rPr>
            </w:pPr>
          </w:p>
        </w:tc>
        <w:tc>
          <w:tcPr>
            <w:tcW w:w="1560" w:type="dxa"/>
          </w:tcPr>
          <w:p w14:paraId="276EAF11">
            <w:pPr>
              <w:spacing w:before="120" w:line="360" w:lineRule="auto"/>
              <w:jc w:val="center"/>
              <w:rPr>
                <w:rFonts w:hint="eastAsia" w:ascii="宋体" w:hAnsi="宋体"/>
                <w:sz w:val="24"/>
                <w:szCs w:val="24"/>
              </w:rPr>
            </w:pPr>
          </w:p>
        </w:tc>
        <w:tc>
          <w:tcPr>
            <w:tcW w:w="1558" w:type="dxa"/>
          </w:tcPr>
          <w:p w14:paraId="5C3ED50C">
            <w:pPr>
              <w:spacing w:before="120" w:line="360" w:lineRule="auto"/>
              <w:jc w:val="center"/>
              <w:rPr>
                <w:rFonts w:hint="eastAsia" w:ascii="宋体" w:hAnsi="宋体"/>
                <w:sz w:val="24"/>
                <w:szCs w:val="24"/>
              </w:rPr>
            </w:pPr>
          </w:p>
        </w:tc>
      </w:tr>
      <w:tr w14:paraId="3C61E3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5B13797F">
            <w:pPr>
              <w:spacing w:before="120" w:line="360" w:lineRule="auto"/>
              <w:jc w:val="center"/>
              <w:rPr>
                <w:rFonts w:hint="eastAsia" w:ascii="宋体" w:hAnsi="宋体"/>
                <w:sz w:val="24"/>
                <w:szCs w:val="24"/>
              </w:rPr>
            </w:pPr>
          </w:p>
        </w:tc>
        <w:tc>
          <w:tcPr>
            <w:tcW w:w="1701" w:type="dxa"/>
          </w:tcPr>
          <w:p w14:paraId="1528D76E">
            <w:pPr>
              <w:spacing w:before="120" w:line="360" w:lineRule="auto"/>
              <w:jc w:val="center"/>
              <w:rPr>
                <w:rFonts w:hint="eastAsia" w:ascii="宋体" w:hAnsi="宋体"/>
                <w:sz w:val="24"/>
                <w:szCs w:val="24"/>
              </w:rPr>
            </w:pPr>
          </w:p>
        </w:tc>
        <w:tc>
          <w:tcPr>
            <w:tcW w:w="1560" w:type="dxa"/>
          </w:tcPr>
          <w:p w14:paraId="5ADD45B7">
            <w:pPr>
              <w:spacing w:before="120" w:line="360" w:lineRule="auto"/>
              <w:jc w:val="center"/>
              <w:rPr>
                <w:rFonts w:hint="eastAsia" w:ascii="宋体" w:hAnsi="宋体"/>
                <w:sz w:val="24"/>
                <w:szCs w:val="24"/>
              </w:rPr>
            </w:pPr>
          </w:p>
        </w:tc>
        <w:tc>
          <w:tcPr>
            <w:tcW w:w="1275" w:type="dxa"/>
          </w:tcPr>
          <w:p w14:paraId="75C86481">
            <w:pPr>
              <w:spacing w:before="120" w:line="360" w:lineRule="auto"/>
              <w:jc w:val="center"/>
              <w:rPr>
                <w:rFonts w:hint="eastAsia" w:ascii="宋体" w:hAnsi="宋体"/>
                <w:sz w:val="24"/>
                <w:szCs w:val="24"/>
              </w:rPr>
            </w:pPr>
          </w:p>
        </w:tc>
        <w:tc>
          <w:tcPr>
            <w:tcW w:w="1560" w:type="dxa"/>
          </w:tcPr>
          <w:p w14:paraId="23C49FB4">
            <w:pPr>
              <w:spacing w:before="120" w:line="360" w:lineRule="auto"/>
              <w:jc w:val="center"/>
              <w:rPr>
                <w:rFonts w:hint="eastAsia" w:ascii="宋体" w:hAnsi="宋体"/>
                <w:sz w:val="24"/>
                <w:szCs w:val="24"/>
              </w:rPr>
            </w:pPr>
          </w:p>
        </w:tc>
        <w:tc>
          <w:tcPr>
            <w:tcW w:w="1558" w:type="dxa"/>
          </w:tcPr>
          <w:p w14:paraId="492F732A">
            <w:pPr>
              <w:spacing w:before="120" w:line="360" w:lineRule="auto"/>
              <w:jc w:val="center"/>
              <w:rPr>
                <w:rFonts w:hint="eastAsia" w:ascii="宋体" w:hAnsi="宋体"/>
                <w:sz w:val="24"/>
                <w:szCs w:val="24"/>
              </w:rPr>
            </w:pPr>
          </w:p>
        </w:tc>
      </w:tr>
      <w:tr w14:paraId="597E3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12667B5F">
            <w:pPr>
              <w:spacing w:before="120" w:line="360" w:lineRule="auto"/>
              <w:jc w:val="center"/>
              <w:rPr>
                <w:rFonts w:hint="eastAsia" w:ascii="宋体" w:hAnsi="宋体"/>
                <w:sz w:val="24"/>
                <w:szCs w:val="24"/>
              </w:rPr>
            </w:pPr>
          </w:p>
        </w:tc>
        <w:tc>
          <w:tcPr>
            <w:tcW w:w="1701" w:type="dxa"/>
          </w:tcPr>
          <w:p w14:paraId="0097A3DD">
            <w:pPr>
              <w:spacing w:before="120" w:line="360" w:lineRule="auto"/>
              <w:jc w:val="center"/>
              <w:rPr>
                <w:rFonts w:hint="eastAsia" w:ascii="宋体" w:hAnsi="宋体"/>
                <w:sz w:val="24"/>
                <w:szCs w:val="24"/>
              </w:rPr>
            </w:pPr>
          </w:p>
        </w:tc>
        <w:tc>
          <w:tcPr>
            <w:tcW w:w="1560" w:type="dxa"/>
          </w:tcPr>
          <w:p w14:paraId="5475F92D">
            <w:pPr>
              <w:spacing w:before="120" w:line="360" w:lineRule="auto"/>
              <w:jc w:val="center"/>
              <w:rPr>
                <w:rFonts w:hint="eastAsia" w:ascii="宋体" w:hAnsi="宋体"/>
                <w:sz w:val="24"/>
                <w:szCs w:val="24"/>
              </w:rPr>
            </w:pPr>
          </w:p>
        </w:tc>
        <w:tc>
          <w:tcPr>
            <w:tcW w:w="1275" w:type="dxa"/>
          </w:tcPr>
          <w:p w14:paraId="4CE50D6A">
            <w:pPr>
              <w:spacing w:before="120" w:line="360" w:lineRule="auto"/>
              <w:jc w:val="center"/>
              <w:rPr>
                <w:rFonts w:hint="eastAsia" w:ascii="宋体" w:hAnsi="宋体"/>
                <w:sz w:val="24"/>
                <w:szCs w:val="24"/>
              </w:rPr>
            </w:pPr>
          </w:p>
        </w:tc>
        <w:tc>
          <w:tcPr>
            <w:tcW w:w="1560" w:type="dxa"/>
          </w:tcPr>
          <w:p w14:paraId="0A406730">
            <w:pPr>
              <w:spacing w:before="120" w:line="360" w:lineRule="auto"/>
              <w:jc w:val="center"/>
              <w:rPr>
                <w:rFonts w:hint="eastAsia" w:ascii="宋体" w:hAnsi="宋体"/>
                <w:sz w:val="24"/>
                <w:szCs w:val="24"/>
              </w:rPr>
            </w:pPr>
          </w:p>
        </w:tc>
        <w:tc>
          <w:tcPr>
            <w:tcW w:w="1558" w:type="dxa"/>
          </w:tcPr>
          <w:p w14:paraId="63C36172">
            <w:pPr>
              <w:spacing w:before="120" w:line="360" w:lineRule="auto"/>
              <w:jc w:val="center"/>
              <w:rPr>
                <w:rFonts w:hint="eastAsia" w:ascii="宋体" w:hAnsi="宋体"/>
                <w:sz w:val="24"/>
                <w:szCs w:val="24"/>
              </w:rPr>
            </w:pPr>
          </w:p>
        </w:tc>
      </w:tr>
      <w:tr w14:paraId="5A918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5A20D804">
            <w:pPr>
              <w:spacing w:before="120" w:line="360" w:lineRule="auto"/>
              <w:jc w:val="center"/>
              <w:rPr>
                <w:rFonts w:hint="eastAsia" w:ascii="宋体" w:hAnsi="宋体"/>
                <w:sz w:val="24"/>
                <w:szCs w:val="24"/>
              </w:rPr>
            </w:pPr>
          </w:p>
        </w:tc>
        <w:tc>
          <w:tcPr>
            <w:tcW w:w="1701" w:type="dxa"/>
          </w:tcPr>
          <w:p w14:paraId="390BEA9E">
            <w:pPr>
              <w:spacing w:before="120" w:line="360" w:lineRule="auto"/>
              <w:jc w:val="center"/>
              <w:rPr>
                <w:rFonts w:hint="eastAsia" w:ascii="宋体" w:hAnsi="宋体"/>
                <w:sz w:val="24"/>
                <w:szCs w:val="24"/>
              </w:rPr>
            </w:pPr>
          </w:p>
        </w:tc>
        <w:tc>
          <w:tcPr>
            <w:tcW w:w="1560" w:type="dxa"/>
          </w:tcPr>
          <w:p w14:paraId="19348F16">
            <w:pPr>
              <w:spacing w:before="120" w:line="360" w:lineRule="auto"/>
              <w:jc w:val="center"/>
              <w:rPr>
                <w:rFonts w:hint="eastAsia" w:ascii="宋体" w:hAnsi="宋体"/>
                <w:sz w:val="24"/>
                <w:szCs w:val="24"/>
              </w:rPr>
            </w:pPr>
          </w:p>
        </w:tc>
        <w:tc>
          <w:tcPr>
            <w:tcW w:w="1275" w:type="dxa"/>
          </w:tcPr>
          <w:p w14:paraId="1061F0BF">
            <w:pPr>
              <w:spacing w:before="120" w:line="360" w:lineRule="auto"/>
              <w:jc w:val="center"/>
              <w:rPr>
                <w:rFonts w:hint="eastAsia" w:ascii="宋体" w:hAnsi="宋体"/>
                <w:sz w:val="24"/>
                <w:szCs w:val="24"/>
              </w:rPr>
            </w:pPr>
          </w:p>
        </w:tc>
        <w:tc>
          <w:tcPr>
            <w:tcW w:w="1560" w:type="dxa"/>
          </w:tcPr>
          <w:p w14:paraId="185D9A3E">
            <w:pPr>
              <w:spacing w:before="120" w:line="360" w:lineRule="auto"/>
              <w:jc w:val="center"/>
              <w:rPr>
                <w:rFonts w:hint="eastAsia" w:ascii="宋体" w:hAnsi="宋体"/>
                <w:sz w:val="24"/>
                <w:szCs w:val="24"/>
              </w:rPr>
            </w:pPr>
          </w:p>
        </w:tc>
        <w:tc>
          <w:tcPr>
            <w:tcW w:w="1558" w:type="dxa"/>
          </w:tcPr>
          <w:p w14:paraId="59F3019B">
            <w:pPr>
              <w:spacing w:before="120" w:line="360" w:lineRule="auto"/>
              <w:jc w:val="center"/>
              <w:rPr>
                <w:rFonts w:hint="eastAsia" w:ascii="宋体" w:hAnsi="宋体"/>
                <w:sz w:val="24"/>
                <w:szCs w:val="24"/>
              </w:rPr>
            </w:pPr>
          </w:p>
        </w:tc>
      </w:tr>
      <w:tr w14:paraId="479AA6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1B66312F">
            <w:pPr>
              <w:spacing w:before="120" w:line="360" w:lineRule="auto"/>
              <w:jc w:val="center"/>
              <w:rPr>
                <w:rFonts w:hint="eastAsia" w:ascii="宋体" w:hAnsi="宋体"/>
                <w:sz w:val="24"/>
                <w:szCs w:val="24"/>
              </w:rPr>
            </w:pPr>
          </w:p>
        </w:tc>
        <w:tc>
          <w:tcPr>
            <w:tcW w:w="1701" w:type="dxa"/>
          </w:tcPr>
          <w:p w14:paraId="3A798B40">
            <w:pPr>
              <w:spacing w:before="120" w:line="360" w:lineRule="auto"/>
              <w:jc w:val="center"/>
              <w:rPr>
                <w:rFonts w:hint="eastAsia" w:ascii="宋体" w:hAnsi="宋体"/>
                <w:sz w:val="24"/>
                <w:szCs w:val="24"/>
              </w:rPr>
            </w:pPr>
          </w:p>
        </w:tc>
        <w:tc>
          <w:tcPr>
            <w:tcW w:w="1560" w:type="dxa"/>
          </w:tcPr>
          <w:p w14:paraId="63DFF269">
            <w:pPr>
              <w:spacing w:before="120" w:line="360" w:lineRule="auto"/>
              <w:jc w:val="center"/>
              <w:rPr>
                <w:rFonts w:hint="eastAsia" w:ascii="宋体" w:hAnsi="宋体"/>
                <w:sz w:val="24"/>
                <w:szCs w:val="24"/>
              </w:rPr>
            </w:pPr>
          </w:p>
        </w:tc>
        <w:tc>
          <w:tcPr>
            <w:tcW w:w="1275" w:type="dxa"/>
          </w:tcPr>
          <w:p w14:paraId="21639005">
            <w:pPr>
              <w:spacing w:before="120" w:line="360" w:lineRule="auto"/>
              <w:jc w:val="center"/>
              <w:rPr>
                <w:rFonts w:hint="eastAsia" w:ascii="宋体" w:hAnsi="宋体"/>
                <w:sz w:val="24"/>
                <w:szCs w:val="24"/>
              </w:rPr>
            </w:pPr>
          </w:p>
        </w:tc>
        <w:tc>
          <w:tcPr>
            <w:tcW w:w="1560" w:type="dxa"/>
          </w:tcPr>
          <w:p w14:paraId="0398DC8C">
            <w:pPr>
              <w:spacing w:before="120" w:line="360" w:lineRule="auto"/>
              <w:jc w:val="center"/>
              <w:rPr>
                <w:rFonts w:hint="eastAsia" w:ascii="宋体" w:hAnsi="宋体"/>
                <w:sz w:val="24"/>
                <w:szCs w:val="24"/>
              </w:rPr>
            </w:pPr>
          </w:p>
        </w:tc>
        <w:tc>
          <w:tcPr>
            <w:tcW w:w="1558" w:type="dxa"/>
          </w:tcPr>
          <w:p w14:paraId="1A519A56">
            <w:pPr>
              <w:spacing w:before="120" w:line="360" w:lineRule="auto"/>
              <w:jc w:val="center"/>
              <w:rPr>
                <w:rFonts w:hint="eastAsia" w:ascii="宋体" w:hAnsi="宋体"/>
                <w:sz w:val="24"/>
                <w:szCs w:val="24"/>
              </w:rPr>
            </w:pPr>
          </w:p>
        </w:tc>
      </w:tr>
      <w:tr w14:paraId="440838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13023866">
            <w:pPr>
              <w:spacing w:before="120" w:line="360" w:lineRule="auto"/>
              <w:jc w:val="center"/>
              <w:rPr>
                <w:rFonts w:hint="eastAsia" w:ascii="宋体" w:hAnsi="宋体"/>
                <w:sz w:val="24"/>
                <w:szCs w:val="24"/>
              </w:rPr>
            </w:pPr>
          </w:p>
        </w:tc>
        <w:tc>
          <w:tcPr>
            <w:tcW w:w="1701" w:type="dxa"/>
          </w:tcPr>
          <w:p w14:paraId="573A6F47">
            <w:pPr>
              <w:spacing w:before="120" w:line="360" w:lineRule="auto"/>
              <w:jc w:val="center"/>
              <w:rPr>
                <w:rFonts w:hint="eastAsia" w:ascii="宋体" w:hAnsi="宋体"/>
                <w:sz w:val="24"/>
                <w:szCs w:val="24"/>
              </w:rPr>
            </w:pPr>
          </w:p>
        </w:tc>
        <w:tc>
          <w:tcPr>
            <w:tcW w:w="1560" w:type="dxa"/>
          </w:tcPr>
          <w:p w14:paraId="77CBE8E8">
            <w:pPr>
              <w:spacing w:before="120" w:line="360" w:lineRule="auto"/>
              <w:jc w:val="center"/>
              <w:rPr>
                <w:rFonts w:hint="eastAsia" w:ascii="宋体" w:hAnsi="宋体"/>
                <w:sz w:val="24"/>
                <w:szCs w:val="24"/>
              </w:rPr>
            </w:pPr>
          </w:p>
        </w:tc>
        <w:tc>
          <w:tcPr>
            <w:tcW w:w="1275" w:type="dxa"/>
          </w:tcPr>
          <w:p w14:paraId="64B2FE9F">
            <w:pPr>
              <w:spacing w:before="120" w:line="360" w:lineRule="auto"/>
              <w:jc w:val="center"/>
              <w:rPr>
                <w:rFonts w:hint="eastAsia" w:ascii="宋体" w:hAnsi="宋体"/>
                <w:sz w:val="24"/>
                <w:szCs w:val="24"/>
              </w:rPr>
            </w:pPr>
          </w:p>
        </w:tc>
        <w:tc>
          <w:tcPr>
            <w:tcW w:w="1560" w:type="dxa"/>
          </w:tcPr>
          <w:p w14:paraId="41DEFACB">
            <w:pPr>
              <w:spacing w:before="120" w:line="360" w:lineRule="auto"/>
              <w:jc w:val="center"/>
              <w:rPr>
                <w:rFonts w:hint="eastAsia" w:ascii="宋体" w:hAnsi="宋体"/>
                <w:sz w:val="24"/>
                <w:szCs w:val="24"/>
              </w:rPr>
            </w:pPr>
          </w:p>
        </w:tc>
        <w:tc>
          <w:tcPr>
            <w:tcW w:w="1558" w:type="dxa"/>
          </w:tcPr>
          <w:p w14:paraId="22482034">
            <w:pPr>
              <w:spacing w:before="120" w:line="360" w:lineRule="auto"/>
              <w:jc w:val="center"/>
              <w:rPr>
                <w:rFonts w:hint="eastAsia" w:ascii="宋体" w:hAnsi="宋体"/>
                <w:sz w:val="24"/>
                <w:szCs w:val="24"/>
              </w:rPr>
            </w:pPr>
          </w:p>
        </w:tc>
      </w:tr>
      <w:tr w14:paraId="20296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0A646114">
            <w:pPr>
              <w:spacing w:before="120" w:line="360" w:lineRule="auto"/>
              <w:jc w:val="center"/>
              <w:rPr>
                <w:rFonts w:hint="eastAsia" w:ascii="宋体" w:hAnsi="宋体"/>
                <w:sz w:val="24"/>
                <w:szCs w:val="24"/>
              </w:rPr>
            </w:pPr>
          </w:p>
        </w:tc>
        <w:tc>
          <w:tcPr>
            <w:tcW w:w="1701" w:type="dxa"/>
          </w:tcPr>
          <w:p w14:paraId="47ECE8D9">
            <w:pPr>
              <w:spacing w:before="120" w:line="360" w:lineRule="auto"/>
              <w:jc w:val="center"/>
              <w:rPr>
                <w:rFonts w:hint="eastAsia" w:ascii="宋体" w:hAnsi="宋体"/>
                <w:sz w:val="24"/>
                <w:szCs w:val="24"/>
              </w:rPr>
            </w:pPr>
          </w:p>
        </w:tc>
        <w:tc>
          <w:tcPr>
            <w:tcW w:w="1560" w:type="dxa"/>
          </w:tcPr>
          <w:p w14:paraId="66ADA997">
            <w:pPr>
              <w:spacing w:before="120" w:line="360" w:lineRule="auto"/>
              <w:jc w:val="center"/>
              <w:rPr>
                <w:rFonts w:hint="eastAsia" w:ascii="宋体" w:hAnsi="宋体"/>
                <w:sz w:val="24"/>
                <w:szCs w:val="24"/>
              </w:rPr>
            </w:pPr>
          </w:p>
        </w:tc>
        <w:tc>
          <w:tcPr>
            <w:tcW w:w="1275" w:type="dxa"/>
          </w:tcPr>
          <w:p w14:paraId="2F50011D">
            <w:pPr>
              <w:spacing w:before="120" w:line="360" w:lineRule="auto"/>
              <w:jc w:val="center"/>
              <w:rPr>
                <w:rFonts w:hint="eastAsia" w:ascii="宋体" w:hAnsi="宋体"/>
                <w:sz w:val="24"/>
                <w:szCs w:val="24"/>
              </w:rPr>
            </w:pPr>
          </w:p>
        </w:tc>
        <w:tc>
          <w:tcPr>
            <w:tcW w:w="1560" w:type="dxa"/>
          </w:tcPr>
          <w:p w14:paraId="2B4787A8">
            <w:pPr>
              <w:spacing w:before="120" w:line="360" w:lineRule="auto"/>
              <w:jc w:val="center"/>
              <w:rPr>
                <w:rFonts w:hint="eastAsia" w:ascii="宋体" w:hAnsi="宋体"/>
                <w:sz w:val="24"/>
                <w:szCs w:val="24"/>
              </w:rPr>
            </w:pPr>
          </w:p>
        </w:tc>
        <w:tc>
          <w:tcPr>
            <w:tcW w:w="1558" w:type="dxa"/>
          </w:tcPr>
          <w:p w14:paraId="722C14DD">
            <w:pPr>
              <w:spacing w:before="120" w:line="360" w:lineRule="auto"/>
              <w:jc w:val="center"/>
              <w:rPr>
                <w:rFonts w:hint="eastAsia" w:ascii="宋体" w:hAnsi="宋体"/>
                <w:sz w:val="24"/>
                <w:szCs w:val="24"/>
              </w:rPr>
            </w:pPr>
          </w:p>
        </w:tc>
      </w:tr>
    </w:tbl>
    <w:p w14:paraId="6F01C3BD">
      <w:pPr>
        <w:pStyle w:val="20"/>
        <w:spacing w:line="360" w:lineRule="auto"/>
        <w:rPr>
          <w:rFonts w:hint="eastAsia" w:hAnsi="宋体" w:eastAsia="宋体"/>
          <w:sz w:val="24"/>
          <w:szCs w:val="24"/>
        </w:rPr>
      </w:pPr>
    </w:p>
    <w:p w14:paraId="31BF14CF">
      <w:pPr>
        <w:pStyle w:val="20"/>
        <w:spacing w:line="360" w:lineRule="auto"/>
        <w:rPr>
          <w:rFonts w:hint="eastAsia" w:hAnsi="宋体" w:eastAsia="宋体"/>
          <w:sz w:val="24"/>
          <w:szCs w:val="24"/>
          <w:u w:val="single"/>
        </w:rPr>
      </w:pPr>
      <w:r>
        <w:rPr>
          <w:rFonts w:hAnsi="宋体" w:eastAsia="宋体"/>
          <w:sz w:val="24"/>
          <w:szCs w:val="24"/>
        </w:rPr>
        <w:t xml:space="preserve"> </w:t>
      </w:r>
    </w:p>
    <w:p w14:paraId="0A8E1973">
      <w:pPr>
        <w:spacing w:line="360" w:lineRule="auto"/>
        <w:rPr>
          <w:rFonts w:hint="eastAsia" w:ascii="宋体" w:hAnsi="宋体"/>
          <w:bCs/>
          <w:sz w:val="24"/>
          <w:szCs w:val="24"/>
        </w:rPr>
        <w:sectPr>
          <w:headerReference r:id="rId22" w:type="default"/>
          <w:pgSz w:w="12240" w:h="15840"/>
          <w:pgMar w:top="1276" w:right="1797" w:bottom="1276" w:left="1797" w:header="851" w:footer="992" w:gutter="0"/>
          <w:cols w:space="720" w:num="1"/>
          <w:docGrid w:linePitch="312" w:charSpace="0"/>
        </w:sectPr>
      </w:pPr>
    </w:p>
    <w:p w14:paraId="087318DD">
      <w:pPr>
        <w:spacing w:line="360" w:lineRule="auto"/>
        <w:contextualSpacing/>
        <w:jc w:val="center"/>
        <w:outlineLvl w:val="1"/>
        <w:rPr>
          <w:rFonts w:hint="eastAsia" w:ascii="宋体" w:hAnsi="宋体"/>
          <w:b/>
          <w:sz w:val="32"/>
          <w:szCs w:val="32"/>
        </w:rPr>
      </w:pPr>
      <w:bookmarkStart w:id="172" w:name="_Toc115623249"/>
      <w:bookmarkStart w:id="173" w:name="_Toc497205683"/>
      <w:bookmarkStart w:id="174" w:name="_Toc176023843"/>
      <w:r>
        <w:rPr>
          <w:rFonts w:ascii="宋体" w:hAnsi="宋体"/>
          <w:b/>
          <w:sz w:val="32"/>
          <w:szCs w:val="32"/>
        </w:rPr>
        <w:t>附件</w:t>
      </w:r>
      <w:r>
        <w:rPr>
          <w:rFonts w:hint="eastAsia" w:ascii="宋体" w:hAnsi="宋体"/>
          <w:b/>
          <w:sz w:val="32"/>
          <w:szCs w:val="32"/>
        </w:rPr>
        <w:t xml:space="preserve">9 </w:t>
      </w:r>
      <w:r>
        <w:rPr>
          <w:rFonts w:ascii="宋体" w:hAnsi="宋体"/>
          <w:b/>
          <w:sz w:val="32"/>
          <w:szCs w:val="32"/>
        </w:rPr>
        <w:t>技术规格偏离表</w:t>
      </w:r>
      <w:bookmarkEnd w:id="172"/>
      <w:bookmarkEnd w:id="173"/>
      <w:r>
        <w:rPr>
          <w:rFonts w:hint="eastAsia" w:ascii="宋体" w:hAnsi="宋体"/>
          <w:b/>
          <w:sz w:val="32"/>
          <w:szCs w:val="32"/>
        </w:rPr>
        <w:t>（实质性格式）</w:t>
      </w:r>
      <w:bookmarkEnd w:id="174"/>
    </w:p>
    <w:p w14:paraId="428D7FB8">
      <w:pPr>
        <w:spacing w:line="360" w:lineRule="auto"/>
        <w:ind w:firstLine="240" w:firstLineChars="100"/>
        <w:rPr>
          <w:rFonts w:hint="eastAsia" w:ascii="宋体" w:hAnsi="宋体"/>
          <w:sz w:val="24"/>
          <w:szCs w:val="24"/>
          <w:u w:val="single"/>
        </w:rPr>
      </w:pPr>
      <w:r>
        <w:rPr>
          <w:rFonts w:ascii="宋体" w:hAnsi="宋体"/>
          <w:sz w:val="24"/>
          <w:szCs w:val="24"/>
        </w:rPr>
        <w:t xml:space="preserve">项目名称：                       项目编号：            </w:t>
      </w:r>
      <w:r>
        <w:rPr>
          <w:rFonts w:hint="eastAsia" w:ascii="宋体" w:hAnsi="宋体"/>
          <w:sz w:val="24"/>
        </w:rPr>
        <w:t xml:space="preserve"> </w:t>
      </w:r>
      <w:r>
        <w:rPr>
          <w:rFonts w:ascii="宋体" w:hAnsi="宋体"/>
          <w:sz w:val="24"/>
          <w:szCs w:val="24"/>
        </w:rPr>
        <w:t xml:space="preserve">  </w:t>
      </w:r>
    </w:p>
    <w:tbl>
      <w:tblPr>
        <w:tblStyle w:val="36"/>
        <w:tblW w:w="941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813"/>
        <w:gridCol w:w="3636"/>
        <w:gridCol w:w="1961"/>
      </w:tblGrid>
      <w:tr w14:paraId="51FE8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tcPr>
          <w:p w14:paraId="4969A0D7">
            <w:pPr>
              <w:spacing w:before="120" w:line="360" w:lineRule="atLeast"/>
              <w:jc w:val="center"/>
              <w:rPr>
                <w:rFonts w:hint="eastAsia" w:ascii="宋体" w:hAnsi="宋体"/>
                <w:sz w:val="24"/>
                <w:szCs w:val="24"/>
              </w:rPr>
            </w:pPr>
            <w:r>
              <w:rPr>
                <w:rFonts w:ascii="宋体" w:hAnsi="宋体"/>
                <w:sz w:val="24"/>
                <w:szCs w:val="24"/>
              </w:rPr>
              <w:t>招标文件要求</w:t>
            </w:r>
          </w:p>
        </w:tc>
        <w:tc>
          <w:tcPr>
            <w:tcW w:w="3636" w:type="dxa"/>
          </w:tcPr>
          <w:p w14:paraId="744C40A1">
            <w:pPr>
              <w:spacing w:before="120" w:line="360" w:lineRule="atLeast"/>
              <w:jc w:val="center"/>
              <w:rPr>
                <w:rFonts w:hint="eastAsia" w:ascii="宋体" w:hAnsi="宋体"/>
                <w:sz w:val="24"/>
                <w:szCs w:val="24"/>
              </w:rPr>
            </w:pPr>
            <w:r>
              <w:rPr>
                <w:rFonts w:ascii="宋体" w:hAnsi="宋体"/>
                <w:sz w:val="24"/>
                <w:szCs w:val="24"/>
              </w:rPr>
              <w:t>投标文件响应内容</w:t>
            </w:r>
          </w:p>
        </w:tc>
        <w:tc>
          <w:tcPr>
            <w:tcW w:w="1961" w:type="dxa"/>
          </w:tcPr>
          <w:p w14:paraId="2C58493D">
            <w:pPr>
              <w:spacing w:before="120" w:line="360" w:lineRule="atLeast"/>
              <w:jc w:val="center"/>
              <w:rPr>
                <w:rFonts w:hint="eastAsia" w:ascii="宋体" w:hAnsi="宋体"/>
                <w:sz w:val="24"/>
                <w:szCs w:val="24"/>
              </w:rPr>
            </w:pPr>
            <w:r>
              <w:rPr>
                <w:rFonts w:ascii="宋体" w:hAnsi="宋体"/>
                <w:sz w:val="24"/>
                <w:szCs w:val="24"/>
              </w:rPr>
              <w:t>偏差说明</w:t>
            </w:r>
          </w:p>
        </w:tc>
      </w:tr>
      <w:tr w14:paraId="03B75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2B986CD0">
            <w:pPr>
              <w:spacing w:before="120" w:line="360" w:lineRule="atLeast"/>
              <w:jc w:val="center"/>
              <w:rPr>
                <w:rFonts w:hint="eastAsia" w:ascii="宋体" w:hAnsi="宋体"/>
                <w:sz w:val="24"/>
                <w:szCs w:val="24"/>
              </w:rPr>
            </w:pPr>
          </w:p>
        </w:tc>
        <w:tc>
          <w:tcPr>
            <w:tcW w:w="3636" w:type="dxa"/>
            <w:vAlign w:val="center"/>
          </w:tcPr>
          <w:p w14:paraId="11932B60">
            <w:pPr>
              <w:spacing w:before="120" w:line="360" w:lineRule="atLeast"/>
              <w:jc w:val="center"/>
              <w:rPr>
                <w:rFonts w:hint="eastAsia" w:ascii="宋体" w:hAnsi="宋体"/>
                <w:sz w:val="24"/>
                <w:szCs w:val="24"/>
              </w:rPr>
            </w:pPr>
          </w:p>
        </w:tc>
        <w:tc>
          <w:tcPr>
            <w:tcW w:w="1961" w:type="dxa"/>
            <w:vAlign w:val="center"/>
          </w:tcPr>
          <w:p w14:paraId="55F3C41C">
            <w:pPr>
              <w:spacing w:before="120" w:line="360" w:lineRule="atLeast"/>
              <w:jc w:val="center"/>
              <w:rPr>
                <w:rFonts w:hint="eastAsia" w:ascii="宋体" w:hAnsi="宋体"/>
                <w:sz w:val="24"/>
                <w:szCs w:val="24"/>
              </w:rPr>
            </w:pPr>
          </w:p>
        </w:tc>
      </w:tr>
      <w:tr w14:paraId="3D066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2B66DF00">
            <w:pPr>
              <w:spacing w:line="360" w:lineRule="atLeast"/>
              <w:jc w:val="center"/>
              <w:rPr>
                <w:rFonts w:hint="eastAsia" w:ascii="宋体" w:hAnsi="宋体"/>
                <w:sz w:val="24"/>
                <w:szCs w:val="24"/>
              </w:rPr>
            </w:pPr>
          </w:p>
        </w:tc>
        <w:tc>
          <w:tcPr>
            <w:tcW w:w="3636" w:type="dxa"/>
            <w:vAlign w:val="center"/>
          </w:tcPr>
          <w:p w14:paraId="2485CE4E">
            <w:pPr>
              <w:spacing w:line="360" w:lineRule="atLeast"/>
              <w:jc w:val="center"/>
              <w:rPr>
                <w:rFonts w:hint="eastAsia" w:ascii="宋体" w:hAnsi="宋体"/>
                <w:sz w:val="24"/>
                <w:szCs w:val="24"/>
              </w:rPr>
            </w:pPr>
          </w:p>
        </w:tc>
        <w:tc>
          <w:tcPr>
            <w:tcW w:w="1961" w:type="dxa"/>
            <w:vAlign w:val="center"/>
          </w:tcPr>
          <w:p w14:paraId="3C484EDE">
            <w:pPr>
              <w:spacing w:line="360" w:lineRule="atLeast"/>
              <w:jc w:val="center"/>
              <w:rPr>
                <w:rFonts w:hint="eastAsia" w:ascii="宋体" w:hAnsi="宋体"/>
                <w:sz w:val="24"/>
                <w:szCs w:val="24"/>
              </w:rPr>
            </w:pPr>
          </w:p>
        </w:tc>
      </w:tr>
      <w:tr w14:paraId="4A4DA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3AB2BC77">
            <w:pPr>
              <w:spacing w:line="360" w:lineRule="atLeast"/>
              <w:jc w:val="center"/>
              <w:rPr>
                <w:rFonts w:hint="eastAsia" w:ascii="宋体" w:hAnsi="宋体"/>
                <w:sz w:val="24"/>
                <w:szCs w:val="24"/>
              </w:rPr>
            </w:pPr>
          </w:p>
        </w:tc>
        <w:tc>
          <w:tcPr>
            <w:tcW w:w="3636" w:type="dxa"/>
            <w:vAlign w:val="center"/>
          </w:tcPr>
          <w:p w14:paraId="75F4E5A3">
            <w:pPr>
              <w:spacing w:line="360" w:lineRule="atLeast"/>
              <w:jc w:val="center"/>
              <w:rPr>
                <w:rFonts w:hint="eastAsia" w:ascii="宋体" w:hAnsi="宋体"/>
                <w:sz w:val="24"/>
                <w:szCs w:val="24"/>
              </w:rPr>
            </w:pPr>
          </w:p>
        </w:tc>
        <w:tc>
          <w:tcPr>
            <w:tcW w:w="1961" w:type="dxa"/>
            <w:vAlign w:val="center"/>
          </w:tcPr>
          <w:p w14:paraId="4F1A9833">
            <w:pPr>
              <w:spacing w:line="360" w:lineRule="atLeast"/>
              <w:jc w:val="center"/>
              <w:rPr>
                <w:rFonts w:hint="eastAsia" w:ascii="宋体" w:hAnsi="宋体"/>
                <w:sz w:val="24"/>
                <w:szCs w:val="24"/>
              </w:rPr>
            </w:pPr>
          </w:p>
        </w:tc>
      </w:tr>
      <w:tr w14:paraId="03E98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20B098F6">
            <w:pPr>
              <w:spacing w:line="360" w:lineRule="atLeast"/>
              <w:jc w:val="center"/>
              <w:rPr>
                <w:rFonts w:hint="eastAsia" w:ascii="宋体" w:hAnsi="宋体"/>
                <w:sz w:val="24"/>
                <w:szCs w:val="24"/>
              </w:rPr>
            </w:pPr>
          </w:p>
        </w:tc>
        <w:tc>
          <w:tcPr>
            <w:tcW w:w="3636" w:type="dxa"/>
            <w:vAlign w:val="center"/>
          </w:tcPr>
          <w:p w14:paraId="31E8EADD">
            <w:pPr>
              <w:spacing w:line="360" w:lineRule="atLeast"/>
              <w:jc w:val="center"/>
              <w:rPr>
                <w:rFonts w:hint="eastAsia" w:ascii="宋体" w:hAnsi="宋体"/>
                <w:sz w:val="24"/>
                <w:szCs w:val="24"/>
              </w:rPr>
            </w:pPr>
          </w:p>
        </w:tc>
        <w:tc>
          <w:tcPr>
            <w:tcW w:w="1961" w:type="dxa"/>
            <w:vAlign w:val="center"/>
          </w:tcPr>
          <w:p w14:paraId="4F86DD6D">
            <w:pPr>
              <w:spacing w:line="360" w:lineRule="atLeast"/>
              <w:jc w:val="center"/>
              <w:rPr>
                <w:rFonts w:hint="eastAsia" w:ascii="宋体" w:hAnsi="宋体"/>
                <w:sz w:val="24"/>
                <w:szCs w:val="24"/>
              </w:rPr>
            </w:pPr>
          </w:p>
        </w:tc>
      </w:tr>
      <w:tr w14:paraId="6DC2E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300023E0">
            <w:pPr>
              <w:spacing w:line="360" w:lineRule="atLeast"/>
              <w:jc w:val="center"/>
              <w:rPr>
                <w:rFonts w:hint="eastAsia" w:ascii="宋体" w:hAnsi="宋体"/>
                <w:sz w:val="24"/>
                <w:szCs w:val="24"/>
              </w:rPr>
            </w:pPr>
          </w:p>
        </w:tc>
        <w:tc>
          <w:tcPr>
            <w:tcW w:w="3636" w:type="dxa"/>
            <w:vAlign w:val="center"/>
          </w:tcPr>
          <w:p w14:paraId="106D2092">
            <w:pPr>
              <w:spacing w:line="360" w:lineRule="atLeast"/>
              <w:jc w:val="center"/>
              <w:rPr>
                <w:rFonts w:hint="eastAsia" w:ascii="宋体" w:hAnsi="宋体"/>
                <w:sz w:val="24"/>
                <w:szCs w:val="24"/>
              </w:rPr>
            </w:pPr>
          </w:p>
        </w:tc>
        <w:tc>
          <w:tcPr>
            <w:tcW w:w="1961" w:type="dxa"/>
            <w:vAlign w:val="center"/>
          </w:tcPr>
          <w:p w14:paraId="45872C7F">
            <w:pPr>
              <w:spacing w:line="360" w:lineRule="atLeast"/>
              <w:jc w:val="center"/>
              <w:rPr>
                <w:rFonts w:hint="eastAsia" w:ascii="宋体" w:hAnsi="宋体"/>
                <w:sz w:val="24"/>
                <w:szCs w:val="24"/>
              </w:rPr>
            </w:pPr>
          </w:p>
        </w:tc>
      </w:tr>
      <w:tr w14:paraId="559F6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69CFFA36">
            <w:pPr>
              <w:spacing w:line="360" w:lineRule="atLeast"/>
              <w:jc w:val="center"/>
              <w:rPr>
                <w:rFonts w:hint="eastAsia" w:ascii="宋体" w:hAnsi="宋体"/>
                <w:sz w:val="24"/>
                <w:szCs w:val="24"/>
              </w:rPr>
            </w:pPr>
          </w:p>
        </w:tc>
        <w:tc>
          <w:tcPr>
            <w:tcW w:w="3636" w:type="dxa"/>
            <w:vAlign w:val="center"/>
          </w:tcPr>
          <w:p w14:paraId="6ABEDCA1">
            <w:pPr>
              <w:spacing w:line="360" w:lineRule="atLeast"/>
              <w:jc w:val="center"/>
              <w:rPr>
                <w:rFonts w:hint="eastAsia" w:ascii="宋体" w:hAnsi="宋体"/>
                <w:sz w:val="24"/>
                <w:szCs w:val="24"/>
              </w:rPr>
            </w:pPr>
          </w:p>
        </w:tc>
        <w:tc>
          <w:tcPr>
            <w:tcW w:w="1961" w:type="dxa"/>
            <w:vAlign w:val="center"/>
          </w:tcPr>
          <w:p w14:paraId="372305B9">
            <w:pPr>
              <w:spacing w:line="360" w:lineRule="atLeast"/>
              <w:jc w:val="center"/>
              <w:rPr>
                <w:rFonts w:hint="eastAsia" w:ascii="宋体" w:hAnsi="宋体"/>
                <w:sz w:val="24"/>
                <w:szCs w:val="24"/>
              </w:rPr>
            </w:pPr>
          </w:p>
        </w:tc>
      </w:tr>
      <w:tr w14:paraId="6A486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5E32B903">
            <w:pPr>
              <w:spacing w:line="360" w:lineRule="atLeast"/>
              <w:jc w:val="center"/>
              <w:rPr>
                <w:rFonts w:hint="eastAsia" w:ascii="宋体" w:hAnsi="宋体"/>
                <w:sz w:val="24"/>
                <w:szCs w:val="24"/>
              </w:rPr>
            </w:pPr>
          </w:p>
        </w:tc>
        <w:tc>
          <w:tcPr>
            <w:tcW w:w="3636" w:type="dxa"/>
            <w:vAlign w:val="center"/>
          </w:tcPr>
          <w:p w14:paraId="5AF0A033">
            <w:pPr>
              <w:spacing w:line="360" w:lineRule="atLeast"/>
              <w:jc w:val="center"/>
              <w:rPr>
                <w:rFonts w:hint="eastAsia" w:ascii="宋体" w:hAnsi="宋体"/>
                <w:sz w:val="24"/>
                <w:szCs w:val="24"/>
              </w:rPr>
            </w:pPr>
          </w:p>
        </w:tc>
        <w:tc>
          <w:tcPr>
            <w:tcW w:w="1961" w:type="dxa"/>
            <w:vAlign w:val="center"/>
          </w:tcPr>
          <w:p w14:paraId="5C3EA4E2">
            <w:pPr>
              <w:spacing w:line="360" w:lineRule="atLeast"/>
              <w:jc w:val="center"/>
              <w:rPr>
                <w:rFonts w:hint="eastAsia" w:ascii="宋体" w:hAnsi="宋体"/>
                <w:sz w:val="24"/>
                <w:szCs w:val="24"/>
              </w:rPr>
            </w:pPr>
          </w:p>
        </w:tc>
      </w:tr>
      <w:tr w14:paraId="5C493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75FA472A">
            <w:pPr>
              <w:spacing w:line="360" w:lineRule="atLeast"/>
              <w:jc w:val="center"/>
              <w:rPr>
                <w:rFonts w:hint="eastAsia" w:ascii="宋体" w:hAnsi="宋体"/>
                <w:sz w:val="24"/>
                <w:szCs w:val="24"/>
              </w:rPr>
            </w:pPr>
          </w:p>
        </w:tc>
        <w:tc>
          <w:tcPr>
            <w:tcW w:w="3636" w:type="dxa"/>
            <w:vAlign w:val="center"/>
          </w:tcPr>
          <w:p w14:paraId="1D890514">
            <w:pPr>
              <w:spacing w:line="360" w:lineRule="atLeast"/>
              <w:jc w:val="center"/>
              <w:rPr>
                <w:rFonts w:hint="eastAsia" w:ascii="宋体" w:hAnsi="宋体"/>
                <w:sz w:val="24"/>
                <w:szCs w:val="24"/>
              </w:rPr>
            </w:pPr>
          </w:p>
        </w:tc>
        <w:tc>
          <w:tcPr>
            <w:tcW w:w="1961" w:type="dxa"/>
            <w:vAlign w:val="center"/>
          </w:tcPr>
          <w:p w14:paraId="2C949C9E">
            <w:pPr>
              <w:spacing w:line="360" w:lineRule="atLeast"/>
              <w:jc w:val="center"/>
              <w:rPr>
                <w:rFonts w:hint="eastAsia" w:ascii="宋体" w:hAnsi="宋体"/>
                <w:sz w:val="24"/>
                <w:szCs w:val="24"/>
              </w:rPr>
            </w:pPr>
          </w:p>
        </w:tc>
      </w:tr>
    </w:tbl>
    <w:p w14:paraId="7FC696C0">
      <w:pPr>
        <w:spacing w:line="360" w:lineRule="atLeast"/>
        <w:rPr>
          <w:rFonts w:hint="eastAsia" w:ascii="宋体" w:hAnsi="宋体"/>
          <w:sz w:val="24"/>
          <w:szCs w:val="24"/>
        </w:rPr>
      </w:pPr>
    </w:p>
    <w:p w14:paraId="009241A2">
      <w:pPr>
        <w:spacing w:line="360" w:lineRule="auto"/>
        <w:contextualSpacing/>
        <w:rPr>
          <w:rFonts w:hint="eastAsia" w:ascii="宋体" w:hAnsi="宋体"/>
          <w:sz w:val="24"/>
        </w:rPr>
      </w:pPr>
      <w:r>
        <w:rPr>
          <w:rFonts w:ascii="宋体" w:hAnsi="宋体"/>
          <w:sz w:val="24"/>
        </w:rPr>
        <w:t>投标人法定代表人或被授权人</w:t>
      </w:r>
      <w:r>
        <w:rPr>
          <w:rFonts w:ascii="宋体" w:hAnsi="宋体"/>
          <w:b/>
          <w:sz w:val="24"/>
        </w:rPr>
        <w:t>签字</w:t>
      </w:r>
      <w:r>
        <w:rPr>
          <w:rFonts w:ascii="宋体" w:hAnsi="宋体"/>
          <w:sz w:val="24"/>
        </w:rPr>
        <w:t>：___________________</w:t>
      </w:r>
    </w:p>
    <w:p w14:paraId="05EC9D53">
      <w:pPr>
        <w:spacing w:line="360" w:lineRule="auto"/>
        <w:contextualSpacing/>
        <w:rPr>
          <w:rFonts w:hint="eastAsia" w:ascii="宋体" w:hAnsi="宋体"/>
          <w:sz w:val="24"/>
          <w:szCs w:val="24"/>
          <w:u w:val="single"/>
        </w:rPr>
      </w:pPr>
      <w:r>
        <w:rPr>
          <w:rFonts w:ascii="宋体" w:hAnsi="宋体"/>
          <w:sz w:val="24"/>
          <w:szCs w:val="24"/>
        </w:rPr>
        <w:t>投标人名称（</w:t>
      </w:r>
      <w:r>
        <w:rPr>
          <w:rFonts w:ascii="宋体" w:hAnsi="宋体"/>
          <w:b/>
          <w:sz w:val="24"/>
          <w:szCs w:val="24"/>
        </w:rPr>
        <w:t>加盖公章</w:t>
      </w:r>
      <w:r>
        <w:rPr>
          <w:rFonts w:ascii="宋体" w:hAnsi="宋体"/>
          <w:sz w:val="24"/>
          <w:szCs w:val="24"/>
        </w:rPr>
        <w:t xml:space="preserve">）： </w:t>
      </w:r>
      <w:r>
        <w:rPr>
          <w:rFonts w:ascii="宋体" w:hAnsi="宋体"/>
          <w:sz w:val="24"/>
          <w:szCs w:val="24"/>
          <w:u w:val="single"/>
        </w:rPr>
        <w:t xml:space="preserve">                </w:t>
      </w:r>
    </w:p>
    <w:p w14:paraId="615C38D7">
      <w:pPr>
        <w:spacing w:line="360" w:lineRule="auto"/>
        <w:contextualSpacing/>
        <w:rPr>
          <w:rFonts w:hint="eastAsia" w:ascii="宋体" w:hAnsi="宋体"/>
          <w:sz w:val="24"/>
          <w:szCs w:val="24"/>
        </w:rPr>
      </w:pPr>
      <w:r>
        <w:rPr>
          <w:rFonts w:ascii="宋体" w:hAnsi="宋体"/>
          <w:sz w:val="24"/>
          <w:szCs w:val="24"/>
        </w:rPr>
        <w:t>注：</w:t>
      </w:r>
    </w:p>
    <w:p w14:paraId="29FD8494">
      <w:pPr>
        <w:widowControl/>
        <w:jc w:val="left"/>
      </w:pPr>
      <w:r>
        <w:rPr>
          <w:rFonts w:hint="eastAsia" w:hAnsi="宋体"/>
          <w:sz w:val="24"/>
          <w:szCs w:val="24"/>
        </w:rPr>
        <w:t>1.投标人应对招标文件“第三章技术总体要求 二、技术指标及要求”</w:t>
      </w:r>
      <w:r>
        <w:rPr>
          <w:rFonts w:hint="eastAsia" w:ascii="宋体" w:hAnsi="宋体" w:cs="宋体"/>
          <w:b/>
          <w:bCs/>
          <w:color w:val="000000"/>
          <w:kern w:val="0"/>
          <w:sz w:val="24"/>
          <w:szCs w:val="24"/>
          <w:lang w:bidi="ar"/>
        </w:rPr>
        <w:t>逐条对应应答</w:t>
      </w:r>
    </w:p>
    <w:p w14:paraId="7DD3EEA3">
      <w:pPr>
        <w:widowControl/>
        <w:jc w:val="left"/>
        <w:rPr>
          <w:rFonts w:hint="eastAsia" w:ascii="宋体" w:hAnsi="宋体" w:cs="宋体"/>
          <w:color w:val="000000"/>
          <w:kern w:val="0"/>
          <w:sz w:val="24"/>
          <w:szCs w:val="24"/>
          <w:lang w:bidi="ar"/>
        </w:rPr>
      </w:pPr>
      <w:r>
        <w:rPr>
          <w:rFonts w:hAnsi="宋体"/>
          <w:sz w:val="24"/>
          <w:szCs w:val="24"/>
        </w:rPr>
        <w:t>，应明确回答“</w:t>
      </w:r>
      <w:bookmarkStart w:id="175" w:name="_Hlk175951626"/>
      <w:r>
        <w:rPr>
          <w:rFonts w:hint="eastAsia" w:hAnsi="宋体"/>
          <w:b/>
          <w:bCs/>
          <w:sz w:val="24"/>
          <w:szCs w:val="24"/>
        </w:rPr>
        <w:t>完全响应</w:t>
      </w:r>
      <w:bookmarkEnd w:id="175"/>
      <w:r>
        <w:rPr>
          <w:rFonts w:hAnsi="宋体"/>
          <w:sz w:val="24"/>
          <w:szCs w:val="24"/>
        </w:rPr>
        <w:t>”或“负偏离”或“正偏离”。</w:t>
      </w:r>
      <w:r>
        <w:rPr>
          <w:rFonts w:hint="eastAsia"/>
          <w:sz w:val="24"/>
          <w:szCs w:val="24"/>
        </w:rPr>
        <w:t xml:space="preserve"> 对“完全响应”的条款应至少</w:t>
      </w:r>
      <w:r>
        <w:rPr>
          <w:rFonts w:hAnsi="宋体"/>
          <w:sz w:val="24"/>
          <w:szCs w:val="24"/>
        </w:rPr>
        <w:t>重复该需求</w:t>
      </w:r>
      <w:r>
        <w:rPr>
          <w:rFonts w:hint="eastAsia" w:hAnsi="宋体"/>
          <w:sz w:val="24"/>
          <w:szCs w:val="24"/>
        </w:rPr>
        <w:t>。</w:t>
      </w:r>
      <w:r>
        <w:rPr>
          <w:sz w:val="24"/>
          <w:szCs w:val="24"/>
        </w:rPr>
        <w:t>对“负偏离”或“正偏离”的条款投标人应作具体说明和详细阐述</w:t>
      </w:r>
      <w:r>
        <w:rPr>
          <w:rFonts w:hAnsi="宋体"/>
          <w:sz w:val="24"/>
          <w:szCs w:val="24"/>
        </w:rPr>
        <w:t>。</w:t>
      </w:r>
      <w:r>
        <w:rPr>
          <w:rFonts w:hint="eastAsia" w:ascii="宋体" w:hAnsi="宋体" w:cs="宋体"/>
          <w:color w:val="000000"/>
          <w:kern w:val="0"/>
          <w:sz w:val="24"/>
          <w:szCs w:val="24"/>
          <w:lang w:bidi="ar"/>
        </w:rPr>
        <w:t>若投标文件未按上述要求一一对应应答，则将被视为不合格或未应答，将作无效投标处理。</w:t>
      </w:r>
    </w:p>
    <w:p w14:paraId="4676F15B">
      <w:pPr>
        <w:widowControl/>
        <w:jc w:val="left"/>
        <w:rPr>
          <w:b/>
          <w:bCs/>
          <w:sz w:val="24"/>
          <w:szCs w:val="24"/>
        </w:rPr>
      </w:pPr>
      <w:r>
        <w:rPr>
          <w:rFonts w:hint="eastAsia" w:ascii="宋体" w:hAnsi="宋体" w:cs="宋体"/>
          <w:color w:val="000000"/>
          <w:kern w:val="0"/>
          <w:sz w:val="24"/>
          <w:szCs w:val="24"/>
          <w:lang w:bidi="ar"/>
        </w:rPr>
        <w:t>2.若中标人不按招标文件要求及其响应内容签约，采购人有权根据相关法规取消该中标人的中标资格并没收其投标保证金，并按有关规定重新确定中标单位或另行采购。</w:t>
      </w:r>
    </w:p>
    <w:p w14:paraId="5C15F990">
      <w:pPr>
        <w:spacing w:line="276" w:lineRule="auto"/>
        <w:contextualSpacing/>
        <w:rPr>
          <w:rFonts w:hint="eastAsia" w:ascii="宋体" w:hAnsi="宋体"/>
          <w:sz w:val="24"/>
          <w:szCs w:val="24"/>
        </w:rPr>
      </w:pPr>
      <w:r>
        <w:rPr>
          <w:rFonts w:hint="eastAsia" w:ascii="宋体" w:hAnsi="宋体"/>
          <w:sz w:val="24"/>
          <w:szCs w:val="24"/>
        </w:rPr>
        <w:t>3</w:t>
      </w:r>
      <w:r>
        <w:rPr>
          <w:rFonts w:ascii="宋体" w:hAnsi="宋体"/>
          <w:sz w:val="24"/>
          <w:szCs w:val="24"/>
        </w:rPr>
        <w:t>.如果表格叙述不下，可另附页说明，但应便于评标委员会查阅。</w:t>
      </w:r>
    </w:p>
    <w:p w14:paraId="5213EA6B">
      <w:pPr>
        <w:contextualSpacing/>
        <w:rPr>
          <w:rFonts w:hint="eastAsia" w:ascii="宋体" w:hAnsi="宋体"/>
          <w:sz w:val="24"/>
          <w:szCs w:val="24"/>
        </w:rPr>
      </w:pPr>
    </w:p>
    <w:p w14:paraId="6114F44B">
      <w:pPr>
        <w:contextualSpacing/>
        <w:rPr>
          <w:rFonts w:hint="eastAsia" w:ascii="宋体" w:hAnsi="宋体"/>
          <w:sz w:val="24"/>
          <w:szCs w:val="24"/>
        </w:rPr>
      </w:pPr>
    </w:p>
    <w:p w14:paraId="7BECD0E3">
      <w:pPr>
        <w:spacing w:line="360" w:lineRule="auto"/>
        <w:jc w:val="center"/>
        <w:outlineLvl w:val="1"/>
        <w:rPr>
          <w:rFonts w:hint="eastAsia" w:ascii="宋体" w:hAnsi="宋体"/>
          <w:b/>
          <w:sz w:val="32"/>
          <w:szCs w:val="32"/>
        </w:rPr>
      </w:pPr>
      <w:bookmarkStart w:id="176" w:name="_Toc115623250"/>
      <w:bookmarkStart w:id="177" w:name="_Toc176023844"/>
      <w:r>
        <w:rPr>
          <w:rFonts w:ascii="宋体" w:hAnsi="宋体"/>
          <w:b/>
          <w:sz w:val="32"/>
          <w:szCs w:val="32"/>
        </w:rPr>
        <w:t>附件1</w:t>
      </w:r>
      <w:r>
        <w:rPr>
          <w:rFonts w:hint="eastAsia" w:ascii="宋体" w:hAnsi="宋体"/>
          <w:b/>
          <w:sz w:val="32"/>
          <w:szCs w:val="32"/>
        </w:rPr>
        <w:t>0</w:t>
      </w:r>
      <w:r>
        <w:rPr>
          <w:rFonts w:ascii="宋体" w:hAnsi="宋体"/>
          <w:b/>
          <w:sz w:val="32"/>
          <w:szCs w:val="32"/>
        </w:rPr>
        <w:t xml:space="preserve"> </w:t>
      </w:r>
      <w:r>
        <w:rPr>
          <w:rFonts w:hint="eastAsia" w:ascii="宋体" w:hAnsi="宋体"/>
          <w:b/>
          <w:sz w:val="32"/>
          <w:szCs w:val="32"/>
        </w:rPr>
        <w:t>保修期</w:t>
      </w:r>
      <w:bookmarkEnd w:id="176"/>
      <w:bookmarkEnd w:id="177"/>
    </w:p>
    <w:p w14:paraId="47168708">
      <w:pPr>
        <w:rPr>
          <w:rFonts w:hint="eastAsia" w:ascii="宋体" w:hAnsi="宋体"/>
          <w:sz w:val="24"/>
          <w:szCs w:val="24"/>
        </w:rPr>
      </w:pPr>
      <w:r>
        <w:rPr>
          <w:rFonts w:hint="eastAsia" w:ascii="宋体" w:hAnsi="宋体"/>
          <w:sz w:val="24"/>
          <w:szCs w:val="24"/>
        </w:rPr>
        <w:t xml:space="preserve"> </w:t>
      </w:r>
      <w:r>
        <w:rPr>
          <w:rFonts w:ascii="宋体" w:hAnsi="宋体"/>
          <w:sz w:val="24"/>
          <w:szCs w:val="24"/>
        </w:rPr>
        <w:t xml:space="preserve">  </w:t>
      </w:r>
    </w:p>
    <w:p w14:paraId="46470D68">
      <w:pPr>
        <w:rPr>
          <w:rFonts w:hint="eastAsia" w:ascii="宋体" w:hAnsi="宋体"/>
          <w:sz w:val="24"/>
        </w:rPr>
      </w:pPr>
    </w:p>
    <w:p w14:paraId="2EDA1DE8">
      <w:pPr>
        <w:spacing w:line="360" w:lineRule="auto"/>
        <w:contextualSpacing/>
        <w:rPr>
          <w:rFonts w:hint="eastAsia" w:ascii="宋体" w:hAnsi="宋体"/>
          <w:sz w:val="24"/>
          <w:szCs w:val="24"/>
        </w:rPr>
      </w:pPr>
      <w:r>
        <w:rPr>
          <w:rFonts w:hint="eastAsia" w:ascii="宋体" w:hAnsi="宋体"/>
          <w:sz w:val="24"/>
          <w:szCs w:val="24"/>
        </w:rPr>
        <w:t>投标人需结合招标文件技术总体要求单独提供保修期</w:t>
      </w:r>
      <w:r>
        <w:rPr>
          <w:rFonts w:hint="eastAsia" w:ascii="宋体" w:hAnsi="宋体"/>
          <w:b/>
          <w:bCs/>
          <w:sz w:val="24"/>
          <w:szCs w:val="24"/>
        </w:rPr>
        <w:t>。</w:t>
      </w:r>
    </w:p>
    <w:p w14:paraId="00BA1FEE">
      <w:pPr>
        <w:spacing w:line="360" w:lineRule="auto"/>
        <w:contextualSpacing/>
        <w:rPr>
          <w:rFonts w:hint="eastAsia" w:ascii="宋体" w:hAnsi="宋体"/>
          <w:sz w:val="24"/>
          <w:szCs w:val="24"/>
        </w:rPr>
      </w:pPr>
    </w:p>
    <w:p w14:paraId="7F67AE58">
      <w:pPr>
        <w:spacing w:line="360" w:lineRule="auto"/>
        <w:contextualSpacing/>
        <w:rPr>
          <w:rFonts w:hint="eastAsia" w:ascii="宋体" w:hAnsi="宋体"/>
          <w:sz w:val="24"/>
          <w:szCs w:val="24"/>
        </w:rPr>
      </w:pPr>
    </w:p>
    <w:p w14:paraId="479871B6">
      <w:pPr>
        <w:contextualSpacing/>
        <w:rPr>
          <w:rFonts w:hint="eastAsia" w:ascii="宋体" w:hAnsi="宋体"/>
          <w:sz w:val="24"/>
          <w:szCs w:val="24"/>
        </w:rPr>
      </w:pPr>
      <w:r>
        <w:rPr>
          <w:rFonts w:ascii="宋体" w:hAnsi="宋体"/>
        </w:rPr>
        <w:br w:type="page"/>
      </w:r>
    </w:p>
    <w:p w14:paraId="3E4F2F5B">
      <w:pPr>
        <w:spacing w:line="360" w:lineRule="auto"/>
        <w:jc w:val="center"/>
        <w:outlineLvl w:val="1"/>
        <w:rPr>
          <w:rFonts w:hint="eastAsia" w:ascii="宋体" w:hAnsi="宋体"/>
          <w:b/>
          <w:sz w:val="32"/>
          <w:szCs w:val="32"/>
        </w:rPr>
      </w:pPr>
      <w:bookmarkStart w:id="178" w:name="_Toc176023845"/>
      <w:bookmarkStart w:id="179" w:name="_Toc115623251"/>
      <w:r>
        <w:rPr>
          <w:rFonts w:ascii="宋体" w:hAnsi="宋体"/>
          <w:b/>
          <w:sz w:val="32"/>
          <w:szCs w:val="32"/>
        </w:rPr>
        <w:t>附件1</w:t>
      </w:r>
      <w:r>
        <w:rPr>
          <w:rFonts w:hint="eastAsia" w:ascii="宋体" w:hAnsi="宋体"/>
          <w:b/>
          <w:sz w:val="32"/>
          <w:szCs w:val="32"/>
        </w:rPr>
        <w:t>1</w:t>
      </w:r>
      <w:r>
        <w:rPr>
          <w:rFonts w:ascii="宋体" w:hAnsi="宋体"/>
          <w:b/>
          <w:sz w:val="32"/>
          <w:szCs w:val="32"/>
        </w:rPr>
        <w:t xml:space="preserve"> </w:t>
      </w:r>
      <w:r>
        <w:rPr>
          <w:rFonts w:hint="eastAsia" w:ascii="宋体" w:hAnsi="宋体"/>
          <w:b/>
          <w:sz w:val="32"/>
          <w:szCs w:val="32"/>
        </w:rPr>
        <w:t>售后服务</w:t>
      </w:r>
      <w:bookmarkEnd w:id="178"/>
      <w:r>
        <w:rPr>
          <w:rFonts w:hint="eastAsia" w:ascii="宋体" w:hAnsi="宋体"/>
          <w:b/>
          <w:sz w:val="32"/>
          <w:szCs w:val="32"/>
        </w:rPr>
        <w:t>承诺</w:t>
      </w:r>
    </w:p>
    <w:p w14:paraId="7ED88089">
      <w:pPr>
        <w:spacing w:line="360" w:lineRule="auto"/>
        <w:contextualSpacing/>
        <w:rPr>
          <w:rFonts w:hint="eastAsia" w:ascii="宋体" w:hAnsi="宋体"/>
          <w:sz w:val="24"/>
          <w:szCs w:val="24"/>
        </w:rPr>
      </w:pPr>
      <w:r>
        <w:rPr>
          <w:rFonts w:hint="eastAsia" w:ascii="宋体" w:hAnsi="宋体"/>
          <w:sz w:val="24"/>
          <w:szCs w:val="24"/>
        </w:rPr>
        <w:t>投标人需结合招标文件技术总体要求单独提供售后服务承诺，</w:t>
      </w:r>
      <w:r>
        <w:rPr>
          <w:rFonts w:hint="eastAsia" w:ascii="宋体" w:hAnsi="宋体"/>
          <w:b/>
          <w:bCs/>
          <w:sz w:val="24"/>
          <w:szCs w:val="24"/>
        </w:rPr>
        <w:t>格式自拟。</w:t>
      </w:r>
    </w:p>
    <w:p w14:paraId="52C7F6BD">
      <w:pPr>
        <w:spacing w:line="360" w:lineRule="auto"/>
        <w:outlineLvl w:val="1"/>
        <w:rPr>
          <w:rFonts w:hint="eastAsia" w:ascii="宋体" w:hAnsi="宋体"/>
          <w:b/>
          <w:sz w:val="32"/>
          <w:szCs w:val="32"/>
        </w:rPr>
      </w:pPr>
      <w:r>
        <w:rPr>
          <w:rFonts w:ascii="宋体" w:hAnsi="宋体"/>
          <w:b/>
          <w:sz w:val="32"/>
          <w:szCs w:val="32"/>
        </w:rPr>
        <w:br w:type="page"/>
      </w:r>
    </w:p>
    <w:p w14:paraId="5C518AF3">
      <w:pPr>
        <w:spacing w:line="360" w:lineRule="auto"/>
        <w:jc w:val="center"/>
        <w:outlineLvl w:val="1"/>
        <w:rPr>
          <w:rFonts w:hint="eastAsia" w:ascii="宋体" w:hAnsi="宋体"/>
          <w:b/>
          <w:sz w:val="32"/>
          <w:szCs w:val="32"/>
        </w:rPr>
      </w:pPr>
      <w:bookmarkStart w:id="180" w:name="_Toc176023846"/>
      <w:r>
        <w:rPr>
          <w:rFonts w:ascii="宋体" w:hAnsi="宋体"/>
          <w:b/>
          <w:sz w:val="32"/>
          <w:szCs w:val="32"/>
        </w:rPr>
        <w:t>附件1</w:t>
      </w:r>
      <w:r>
        <w:rPr>
          <w:rFonts w:hint="eastAsia" w:ascii="宋体" w:hAnsi="宋体"/>
          <w:b/>
          <w:sz w:val="32"/>
          <w:szCs w:val="32"/>
        </w:rPr>
        <w:t>2</w:t>
      </w:r>
      <w:r>
        <w:rPr>
          <w:rFonts w:ascii="宋体" w:hAnsi="宋体"/>
          <w:b/>
          <w:sz w:val="32"/>
          <w:szCs w:val="32"/>
        </w:rPr>
        <w:t xml:space="preserve"> </w:t>
      </w:r>
      <w:r>
        <w:rPr>
          <w:rFonts w:hint="eastAsia" w:ascii="宋体" w:hAnsi="宋体"/>
          <w:b/>
          <w:sz w:val="32"/>
          <w:szCs w:val="32"/>
        </w:rPr>
        <w:t>安装调试方案</w:t>
      </w:r>
      <w:bookmarkEnd w:id="179"/>
      <w:bookmarkEnd w:id="180"/>
    </w:p>
    <w:p w14:paraId="3F4C6165">
      <w:pPr>
        <w:rPr>
          <w:rFonts w:hint="eastAsia" w:ascii="宋体" w:hAnsi="宋体"/>
          <w:sz w:val="24"/>
          <w:szCs w:val="24"/>
        </w:rPr>
      </w:pPr>
      <w:r>
        <w:rPr>
          <w:rFonts w:hint="eastAsia" w:ascii="宋体" w:hAnsi="宋体"/>
          <w:sz w:val="24"/>
          <w:szCs w:val="24"/>
        </w:rPr>
        <w:t xml:space="preserve"> </w:t>
      </w:r>
      <w:r>
        <w:rPr>
          <w:rFonts w:ascii="宋体" w:hAnsi="宋体"/>
          <w:sz w:val="24"/>
          <w:szCs w:val="24"/>
        </w:rPr>
        <w:t xml:space="preserve">  </w:t>
      </w:r>
    </w:p>
    <w:p w14:paraId="704146B7">
      <w:pPr>
        <w:spacing w:line="360" w:lineRule="auto"/>
        <w:contextualSpacing/>
        <w:rPr>
          <w:rFonts w:hint="eastAsia" w:ascii="宋体" w:hAnsi="宋体"/>
          <w:sz w:val="24"/>
          <w:szCs w:val="24"/>
        </w:rPr>
      </w:pPr>
      <w:r>
        <w:rPr>
          <w:rFonts w:hint="eastAsia" w:ascii="宋体" w:hAnsi="宋体"/>
          <w:sz w:val="24"/>
          <w:szCs w:val="24"/>
        </w:rPr>
        <w:t>投标人需结合招标文件技术总体要求单独提供安装调试方案，</w:t>
      </w:r>
      <w:r>
        <w:rPr>
          <w:rFonts w:hint="eastAsia" w:ascii="宋体" w:hAnsi="宋体"/>
          <w:b/>
          <w:bCs/>
          <w:sz w:val="24"/>
          <w:szCs w:val="24"/>
        </w:rPr>
        <w:t>格式自拟。</w:t>
      </w:r>
    </w:p>
    <w:p w14:paraId="1342D152">
      <w:pPr>
        <w:spacing w:line="360" w:lineRule="auto"/>
        <w:jc w:val="center"/>
        <w:outlineLvl w:val="1"/>
        <w:rPr>
          <w:rFonts w:hint="eastAsia" w:ascii="宋体" w:hAnsi="宋体"/>
          <w:b/>
          <w:sz w:val="32"/>
          <w:szCs w:val="32"/>
        </w:rPr>
      </w:pPr>
      <w:r>
        <w:rPr>
          <w:rFonts w:ascii="宋体" w:hAnsi="宋体"/>
          <w:b/>
          <w:sz w:val="32"/>
          <w:szCs w:val="32"/>
        </w:rPr>
        <w:br w:type="page"/>
      </w:r>
      <w:bookmarkStart w:id="181" w:name="_Toc115623252"/>
      <w:bookmarkStart w:id="182" w:name="_Toc176023847"/>
      <w:r>
        <w:rPr>
          <w:rFonts w:ascii="宋体" w:hAnsi="宋体"/>
          <w:b/>
          <w:sz w:val="32"/>
          <w:szCs w:val="32"/>
        </w:rPr>
        <w:t>附件1</w:t>
      </w:r>
      <w:r>
        <w:rPr>
          <w:rFonts w:hint="eastAsia" w:ascii="宋体" w:hAnsi="宋体"/>
          <w:b/>
          <w:sz w:val="32"/>
          <w:szCs w:val="32"/>
        </w:rPr>
        <w:t>3</w:t>
      </w:r>
      <w:r>
        <w:rPr>
          <w:rFonts w:ascii="宋体" w:hAnsi="宋体"/>
          <w:b/>
          <w:sz w:val="32"/>
          <w:szCs w:val="32"/>
        </w:rPr>
        <w:t xml:space="preserve"> </w:t>
      </w:r>
      <w:r>
        <w:rPr>
          <w:rFonts w:hint="eastAsia" w:ascii="宋体" w:hAnsi="宋体"/>
          <w:b/>
          <w:sz w:val="32"/>
          <w:szCs w:val="32"/>
        </w:rPr>
        <w:t>培训方案</w:t>
      </w:r>
      <w:bookmarkEnd w:id="181"/>
      <w:bookmarkEnd w:id="182"/>
    </w:p>
    <w:p w14:paraId="0564ED91">
      <w:pPr>
        <w:spacing w:line="360" w:lineRule="auto"/>
        <w:contextualSpacing/>
        <w:rPr>
          <w:rFonts w:hint="eastAsia" w:ascii="宋体" w:hAnsi="宋体"/>
          <w:b/>
          <w:bCs/>
          <w:sz w:val="24"/>
          <w:szCs w:val="24"/>
        </w:rPr>
      </w:pPr>
      <w:r>
        <w:rPr>
          <w:rFonts w:hint="eastAsia" w:ascii="宋体" w:hAnsi="宋体"/>
          <w:sz w:val="24"/>
          <w:szCs w:val="24"/>
        </w:rPr>
        <w:t>投标人需结合招标文件技术总体要求单独提供培训方案，</w:t>
      </w:r>
      <w:r>
        <w:rPr>
          <w:rFonts w:hint="eastAsia" w:ascii="宋体" w:hAnsi="宋体"/>
          <w:b/>
          <w:bCs/>
          <w:sz w:val="24"/>
          <w:szCs w:val="24"/>
        </w:rPr>
        <w:t>格式自拟。</w:t>
      </w:r>
    </w:p>
    <w:p w14:paraId="0BFA7EB0">
      <w:pPr>
        <w:spacing w:line="360" w:lineRule="auto"/>
        <w:jc w:val="center"/>
        <w:outlineLvl w:val="1"/>
        <w:rPr>
          <w:rFonts w:hint="eastAsia" w:ascii="宋体" w:hAnsi="宋体"/>
          <w:sz w:val="24"/>
          <w:szCs w:val="24"/>
        </w:rPr>
      </w:pPr>
      <w:r>
        <w:rPr>
          <w:rFonts w:ascii="宋体" w:hAnsi="宋体"/>
          <w:b/>
          <w:sz w:val="32"/>
          <w:szCs w:val="32"/>
        </w:rPr>
        <w:br w:type="page"/>
      </w:r>
      <w:bookmarkStart w:id="183" w:name="_Toc335749631"/>
    </w:p>
    <w:bookmarkEnd w:id="183"/>
    <w:p w14:paraId="23DAE375">
      <w:pPr>
        <w:pStyle w:val="3"/>
        <w:rPr>
          <w:rFonts w:hint="eastAsia" w:ascii="宋体" w:hAnsi="宋体"/>
          <w:b/>
          <w:sz w:val="24"/>
          <w:szCs w:val="28"/>
        </w:rPr>
      </w:pPr>
      <w:bookmarkStart w:id="184" w:name="_Toc176023849"/>
      <w:bookmarkStart w:id="185" w:name="_Toc495479213"/>
      <w:r>
        <w:rPr>
          <w:rFonts w:ascii="宋体" w:hAnsi="宋体"/>
          <w:b/>
          <w:sz w:val="44"/>
          <w:szCs w:val="44"/>
        </w:rPr>
        <w:t>第</w:t>
      </w:r>
      <w:r>
        <w:rPr>
          <w:rFonts w:hint="eastAsia" w:ascii="宋体" w:hAnsi="宋体"/>
          <w:b/>
          <w:sz w:val="44"/>
          <w:szCs w:val="44"/>
          <w:lang w:val="en-US"/>
        </w:rPr>
        <w:t>六</w:t>
      </w:r>
      <w:r>
        <w:rPr>
          <w:rFonts w:ascii="宋体" w:hAnsi="宋体"/>
          <w:b/>
          <w:sz w:val="44"/>
          <w:szCs w:val="44"/>
        </w:rPr>
        <w:t>章 评标方法及评分标准</w:t>
      </w:r>
      <w:bookmarkEnd w:id="184"/>
      <w:bookmarkEnd w:id="185"/>
    </w:p>
    <w:p w14:paraId="1F54B7DA">
      <w:pPr>
        <w:rPr>
          <w:rFonts w:hint="eastAsia" w:ascii="宋体" w:hAnsi="宋体"/>
          <w:b/>
          <w:bCs/>
          <w:sz w:val="24"/>
        </w:rPr>
      </w:pPr>
      <w:r>
        <w:rPr>
          <w:rFonts w:ascii="宋体" w:hAnsi="宋体"/>
          <w:sz w:val="24"/>
          <w:szCs w:val="24"/>
        </w:rPr>
        <w:br w:type="page"/>
      </w:r>
      <w:r>
        <w:rPr>
          <w:rFonts w:ascii="宋体" w:hAnsi="宋体"/>
          <w:b/>
          <w:bCs/>
          <w:sz w:val="24"/>
        </w:rPr>
        <w:t>综合评审表</w:t>
      </w:r>
      <w:r>
        <w:rPr>
          <w:rFonts w:hint="eastAsia" w:ascii="宋体" w:hAnsi="宋体"/>
          <w:b/>
          <w:bCs/>
          <w:sz w:val="24"/>
        </w:rPr>
        <w:t>：</w:t>
      </w:r>
    </w:p>
    <w:tbl>
      <w:tblPr>
        <w:tblStyle w:val="36"/>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2405"/>
        <w:gridCol w:w="3874"/>
        <w:gridCol w:w="789"/>
      </w:tblGrid>
      <w:tr w14:paraId="55C6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550" w:type="dxa"/>
            <w:vAlign w:val="center"/>
          </w:tcPr>
          <w:p w14:paraId="101DF074">
            <w:pPr>
              <w:jc w:val="center"/>
              <w:rPr>
                <w:rFonts w:hint="eastAsia" w:ascii="宋体" w:hAnsi="宋体"/>
                <w:kern w:val="0"/>
                <w:sz w:val="24"/>
                <w:szCs w:val="24"/>
              </w:rPr>
            </w:pPr>
            <w:r>
              <w:rPr>
                <w:rFonts w:ascii="宋体" w:hAnsi="宋体"/>
                <w:kern w:val="0"/>
                <w:sz w:val="24"/>
                <w:szCs w:val="24"/>
              </w:rPr>
              <w:t>项目分类</w:t>
            </w:r>
          </w:p>
        </w:tc>
        <w:tc>
          <w:tcPr>
            <w:tcW w:w="2405" w:type="dxa"/>
            <w:vAlign w:val="center"/>
          </w:tcPr>
          <w:p w14:paraId="679E45D7">
            <w:pPr>
              <w:jc w:val="center"/>
              <w:rPr>
                <w:rFonts w:hint="eastAsia" w:ascii="宋体" w:hAnsi="宋体"/>
                <w:kern w:val="0"/>
                <w:sz w:val="24"/>
                <w:szCs w:val="24"/>
              </w:rPr>
            </w:pPr>
            <w:r>
              <w:rPr>
                <w:rFonts w:ascii="宋体" w:hAnsi="宋体"/>
                <w:kern w:val="0"/>
                <w:sz w:val="24"/>
                <w:szCs w:val="24"/>
              </w:rPr>
              <w:t>分项标准</w:t>
            </w:r>
          </w:p>
        </w:tc>
        <w:tc>
          <w:tcPr>
            <w:tcW w:w="3874" w:type="dxa"/>
            <w:vAlign w:val="center"/>
          </w:tcPr>
          <w:p w14:paraId="3DEA2FAF">
            <w:pPr>
              <w:jc w:val="center"/>
              <w:rPr>
                <w:rFonts w:hint="eastAsia" w:ascii="宋体" w:hAnsi="宋体"/>
                <w:kern w:val="0"/>
                <w:sz w:val="24"/>
                <w:szCs w:val="24"/>
              </w:rPr>
            </w:pPr>
            <w:r>
              <w:rPr>
                <w:rFonts w:ascii="宋体" w:hAnsi="宋体"/>
                <w:kern w:val="0"/>
                <w:sz w:val="24"/>
                <w:szCs w:val="24"/>
              </w:rPr>
              <w:t>说明</w:t>
            </w:r>
          </w:p>
        </w:tc>
        <w:tc>
          <w:tcPr>
            <w:tcW w:w="789" w:type="dxa"/>
            <w:vAlign w:val="center"/>
          </w:tcPr>
          <w:p w14:paraId="5C341999">
            <w:pPr>
              <w:jc w:val="center"/>
              <w:rPr>
                <w:rFonts w:hint="eastAsia" w:ascii="宋体" w:hAnsi="宋体"/>
                <w:kern w:val="0"/>
                <w:sz w:val="24"/>
                <w:szCs w:val="24"/>
              </w:rPr>
            </w:pPr>
            <w:r>
              <w:rPr>
                <w:rFonts w:ascii="宋体" w:hAnsi="宋体"/>
                <w:kern w:val="0"/>
                <w:sz w:val="24"/>
                <w:szCs w:val="24"/>
              </w:rPr>
              <w:t>分值</w:t>
            </w:r>
          </w:p>
        </w:tc>
      </w:tr>
      <w:tr w14:paraId="592B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1550" w:type="dxa"/>
            <w:vAlign w:val="center"/>
          </w:tcPr>
          <w:p w14:paraId="4D303CCC">
            <w:pPr>
              <w:rPr>
                <w:rFonts w:hint="eastAsia" w:ascii="宋体" w:hAnsi="宋体"/>
                <w:kern w:val="0"/>
                <w:sz w:val="24"/>
                <w:szCs w:val="24"/>
              </w:rPr>
            </w:pPr>
            <w:bookmarkStart w:id="186" w:name="_Hlk194360192"/>
            <w:r>
              <w:rPr>
                <w:rFonts w:ascii="宋体" w:hAnsi="宋体"/>
                <w:kern w:val="0"/>
                <w:sz w:val="24"/>
                <w:szCs w:val="24"/>
              </w:rPr>
              <w:t>一 价格</w:t>
            </w:r>
          </w:p>
          <w:p w14:paraId="4E9938FF">
            <w:pPr>
              <w:rPr>
                <w:rFonts w:hint="eastAsia" w:ascii="宋体" w:hAnsi="宋体"/>
                <w:kern w:val="0"/>
                <w:sz w:val="24"/>
                <w:szCs w:val="24"/>
              </w:rPr>
            </w:pPr>
            <w:r>
              <w:rPr>
                <w:rFonts w:ascii="宋体" w:hAnsi="宋体"/>
                <w:kern w:val="0"/>
                <w:sz w:val="24"/>
                <w:szCs w:val="24"/>
              </w:rPr>
              <w:t>（</w:t>
            </w:r>
            <w:r>
              <w:rPr>
                <w:rFonts w:hint="eastAsia" w:ascii="宋体" w:hAnsi="宋体"/>
                <w:kern w:val="0"/>
                <w:sz w:val="24"/>
                <w:szCs w:val="24"/>
                <w:u w:val="single"/>
              </w:rPr>
              <w:t>30</w:t>
            </w:r>
            <w:r>
              <w:rPr>
                <w:rFonts w:ascii="宋体" w:hAnsi="宋体"/>
                <w:kern w:val="0"/>
                <w:sz w:val="24"/>
                <w:szCs w:val="24"/>
              </w:rPr>
              <w:t>分）</w:t>
            </w:r>
          </w:p>
        </w:tc>
        <w:tc>
          <w:tcPr>
            <w:tcW w:w="2405" w:type="dxa"/>
            <w:vAlign w:val="center"/>
          </w:tcPr>
          <w:p w14:paraId="672C7523">
            <w:pPr>
              <w:widowControl/>
              <w:jc w:val="left"/>
              <w:rPr>
                <w:rFonts w:hint="eastAsia" w:ascii="宋体" w:hAnsi="宋体"/>
                <w:kern w:val="0"/>
                <w:sz w:val="24"/>
                <w:szCs w:val="24"/>
              </w:rPr>
            </w:pPr>
            <w:r>
              <w:rPr>
                <w:rFonts w:ascii="宋体" w:hAnsi="宋体"/>
                <w:kern w:val="0"/>
                <w:sz w:val="24"/>
                <w:szCs w:val="24"/>
              </w:rPr>
              <w:t>价格计算公式为：</w:t>
            </w:r>
          </w:p>
          <w:p w14:paraId="2F96AC23">
            <w:pPr>
              <w:widowControl/>
              <w:jc w:val="left"/>
              <w:rPr>
                <w:rFonts w:hint="eastAsia" w:ascii="宋体" w:hAnsi="宋体"/>
                <w:kern w:val="0"/>
                <w:sz w:val="24"/>
                <w:szCs w:val="24"/>
              </w:rPr>
            </w:pPr>
            <w:r>
              <w:rPr>
                <w:rFonts w:ascii="宋体" w:hAnsi="宋体"/>
                <w:kern w:val="0"/>
                <w:sz w:val="24"/>
                <w:szCs w:val="24"/>
              </w:rPr>
              <w:t>Rn＝（Cn/Cm）×</w:t>
            </w:r>
            <w:r>
              <w:rPr>
                <w:rFonts w:hint="eastAsia" w:ascii="宋体" w:hAnsi="宋体"/>
                <w:kern w:val="0"/>
                <w:sz w:val="24"/>
                <w:szCs w:val="24"/>
                <w:u w:val="single"/>
              </w:rPr>
              <w:t>3</w:t>
            </w:r>
            <w:r>
              <w:rPr>
                <w:rFonts w:ascii="宋体" w:hAnsi="宋体"/>
                <w:kern w:val="0"/>
                <w:sz w:val="24"/>
                <w:szCs w:val="24"/>
                <w:u w:val="single"/>
              </w:rPr>
              <w:t>0</w:t>
            </w:r>
          </w:p>
        </w:tc>
        <w:tc>
          <w:tcPr>
            <w:tcW w:w="3874" w:type="dxa"/>
            <w:vAlign w:val="center"/>
          </w:tcPr>
          <w:p w14:paraId="42568E2F">
            <w:pPr>
              <w:widowControl/>
              <w:contextualSpacing/>
              <w:rPr>
                <w:rFonts w:hint="eastAsia" w:ascii="宋体" w:hAnsi="宋体"/>
                <w:kern w:val="0"/>
                <w:sz w:val="24"/>
                <w:szCs w:val="24"/>
              </w:rPr>
            </w:pPr>
            <w:r>
              <w:rPr>
                <w:rFonts w:ascii="宋体" w:hAnsi="宋体"/>
                <w:kern w:val="0"/>
                <w:sz w:val="24"/>
                <w:szCs w:val="24"/>
              </w:rPr>
              <w:t>其中：Rn：价格得分</w:t>
            </w:r>
          </w:p>
          <w:p w14:paraId="0D998841">
            <w:pPr>
              <w:widowControl/>
              <w:contextualSpacing/>
              <w:rPr>
                <w:rFonts w:hint="eastAsia" w:ascii="宋体" w:hAnsi="宋体"/>
                <w:kern w:val="0"/>
                <w:sz w:val="24"/>
                <w:szCs w:val="24"/>
              </w:rPr>
            </w:pPr>
            <w:r>
              <w:rPr>
                <w:rFonts w:ascii="宋体" w:hAnsi="宋体"/>
                <w:kern w:val="0"/>
                <w:sz w:val="24"/>
                <w:szCs w:val="24"/>
              </w:rPr>
              <w:t>Cn：最低评标价</w:t>
            </w:r>
          </w:p>
          <w:p w14:paraId="560CDDA9">
            <w:pPr>
              <w:widowControl/>
              <w:contextualSpacing/>
              <w:rPr>
                <w:rFonts w:hint="eastAsia" w:ascii="宋体" w:hAnsi="宋体"/>
                <w:kern w:val="0"/>
                <w:sz w:val="24"/>
                <w:szCs w:val="24"/>
              </w:rPr>
            </w:pPr>
            <w:r>
              <w:rPr>
                <w:rFonts w:ascii="宋体" w:hAnsi="宋体"/>
                <w:kern w:val="0"/>
                <w:sz w:val="24"/>
                <w:szCs w:val="24"/>
              </w:rPr>
              <w:t>Cm：评标价（如无折扣，则评标价等同于投标价）</w:t>
            </w:r>
          </w:p>
          <w:p w14:paraId="46A07123">
            <w:pPr>
              <w:widowControl/>
              <w:contextualSpacing/>
              <w:rPr>
                <w:rFonts w:hint="eastAsia" w:ascii="宋体" w:hAnsi="宋体"/>
                <w:kern w:val="0"/>
                <w:sz w:val="24"/>
                <w:szCs w:val="24"/>
              </w:rPr>
            </w:pPr>
            <w:r>
              <w:rPr>
                <w:rFonts w:hint="eastAsia" w:ascii="宋体" w:hAnsi="宋体"/>
                <w:kern w:val="0"/>
                <w:sz w:val="24"/>
                <w:szCs w:val="24"/>
              </w:rPr>
              <w:t>注：</w:t>
            </w:r>
            <w:r>
              <w:rPr>
                <w:rFonts w:ascii="宋体" w:hAnsi="宋体"/>
                <w:kern w:val="0"/>
                <w:sz w:val="24"/>
                <w:szCs w:val="24"/>
              </w:rPr>
              <w:t>上述投标价是指通过资格</w:t>
            </w:r>
            <w:r>
              <w:rPr>
                <w:rFonts w:hint="eastAsia" w:ascii="宋体" w:hAnsi="宋体"/>
                <w:kern w:val="0"/>
                <w:sz w:val="24"/>
                <w:szCs w:val="24"/>
              </w:rPr>
              <w:t>和</w:t>
            </w:r>
            <w:r>
              <w:rPr>
                <w:rFonts w:ascii="宋体" w:hAnsi="宋体"/>
                <w:kern w:val="0"/>
                <w:sz w:val="24"/>
                <w:szCs w:val="24"/>
              </w:rPr>
              <w:t>符合性审查的投标人的投标总价。价格得分</w:t>
            </w:r>
            <w:r>
              <w:rPr>
                <w:rFonts w:hint="eastAsia" w:ascii="宋体" w:hAnsi="宋体"/>
                <w:kern w:val="0"/>
                <w:sz w:val="24"/>
                <w:szCs w:val="24"/>
              </w:rPr>
              <w:t>四舍五入保留两位小数。</w:t>
            </w:r>
          </w:p>
        </w:tc>
        <w:tc>
          <w:tcPr>
            <w:tcW w:w="789" w:type="dxa"/>
            <w:vAlign w:val="center"/>
          </w:tcPr>
          <w:p w14:paraId="14213644">
            <w:pPr>
              <w:jc w:val="center"/>
              <w:rPr>
                <w:rFonts w:hint="eastAsia" w:ascii="宋体" w:hAnsi="宋体"/>
                <w:kern w:val="0"/>
                <w:sz w:val="24"/>
                <w:szCs w:val="24"/>
              </w:rPr>
            </w:pPr>
            <w:r>
              <w:rPr>
                <w:rFonts w:hint="eastAsia" w:ascii="宋体" w:hAnsi="宋体"/>
                <w:kern w:val="0"/>
                <w:sz w:val="24"/>
                <w:szCs w:val="24"/>
              </w:rPr>
              <w:t>30</w:t>
            </w:r>
          </w:p>
        </w:tc>
      </w:tr>
      <w:tr w14:paraId="2638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550" w:type="dxa"/>
            <w:vAlign w:val="center"/>
          </w:tcPr>
          <w:p w14:paraId="76DD1CFB">
            <w:pPr>
              <w:rPr>
                <w:rFonts w:hint="eastAsia" w:ascii="宋体" w:hAnsi="宋体"/>
                <w:kern w:val="0"/>
                <w:sz w:val="24"/>
                <w:szCs w:val="24"/>
              </w:rPr>
            </w:pPr>
            <w:r>
              <w:rPr>
                <w:rFonts w:ascii="宋体" w:hAnsi="宋体"/>
                <w:kern w:val="0"/>
                <w:sz w:val="24"/>
                <w:szCs w:val="24"/>
              </w:rPr>
              <w:t xml:space="preserve">二 </w:t>
            </w:r>
            <w:r>
              <w:rPr>
                <w:rFonts w:ascii="宋体" w:hAnsi="宋体"/>
                <w:sz w:val="24"/>
                <w:szCs w:val="24"/>
              </w:rPr>
              <w:t>商务部分（</w:t>
            </w:r>
            <w:r>
              <w:rPr>
                <w:rFonts w:hint="eastAsia" w:ascii="宋体" w:hAnsi="宋体"/>
                <w:sz w:val="24"/>
                <w:szCs w:val="24"/>
                <w:u w:val="single"/>
              </w:rPr>
              <w:t>3</w:t>
            </w:r>
            <w:r>
              <w:rPr>
                <w:rFonts w:ascii="宋体" w:hAnsi="宋体"/>
                <w:kern w:val="0"/>
                <w:sz w:val="24"/>
                <w:szCs w:val="24"/>
              </w:rPr>
              <w:t>分</w:t>
            </w:r>
            <w:r>
              <w:rPr>
                <w:rFonts w:ascii="宋体" w:hAnsi="宋体"/>
                <w:sz w:val="24"/>
                <w:szCs w:val="24"/>
              </w:rPr>
              <w:t>）</w:t>
            </w:r>
          </w:p>
        </w:tc>
        <w:tc>
          <w:tcPr>
            <w:tcW w:w="2405" w:type="dxa"/>
            <w:vAlign w:val="center"/>
          </w:tcPr>
          <w:p w14:paraId="1BADC498">
            <w:pPr>
              <w:widowControl/>
              <w:jc w:val="left"/>
              <w:rPr>
                <w:rFonts w:hint="eastAsia" w:ascii="宋体" w:hAnsi="宋体"/>
                <w:bCs/>
                <w:sz w:val="24"/>
                <w:szCs w:val="24"/>
              </w:rPr>
            </w:pPr>
            <w:r>
              <w:rPr>
                <w:rFonts w:ascii="宋体" w:hAnsi="宋体" w:cs="宋体"/>
                <w:kern w:val="0"/>
                <w:sz w:val="24"/>
                <w:szCs w:val="24"/>
              </w:rPr>
              <w:t>202</w:t>
            </w:r>
            <w:r>
              <w:rPr>
                <w:rFonts w:hint="eastAsia" w:ascii="宋体" w:hAnsi="宋体" w:cs="宋体"/>
                <w:kern w:val="0"/>
                <w:sz w:val="24"/>
                <w:szCs w:val="24"/>
              </w:rPr>
              <w:t>3</w:t>
            </w:r>
            <w:r>
              <w:rPr>
                <w:rFonts w:ascii="宋体" w:hAnsi="宋体" w:cs="宋体"/>
                <w:kern w:val="0"/>
                <w:sz w:val="24"/>
                <w:szCs w:val="24"/>
              </w:rPr>
              <w:t>年1月1日至今</w:t>
            </w:r>
            <w:r>
              <w:rPr>
                <w:rFonts w:hint="eastAsia" w:ascii="宋体" w:hAnsi="宋体" w:cs="宋体"/>
                <w:kern w:val="0"/>
                <w:sz w:val="24"/>
                <w:szCs w:val="24"/>
              </w:rPr>
              <w:t>投标人所投产品在中国市场的销售业绩</w:t>
            </w:r>
          </w:p>
        </w:tc>
        <w:tc>
          <w:tcPr>
            <w:tcW w:w="3874" w:type="dxa"/>
            <w:vAlign w:val="center"/>
          </w:tcPr>
          <w:p w14:paraId="745BB4FC">
            <w:pPr>
              <w:widowControl/>
              <w:jc w:val="left"/>
              <w:rPr>
                <w:rFonts w:hint="eastAsia" w:ascii="宋体" w:hAnsi="宋体" w:cs="宋体"/>
                <w:kern w:val="0"/>
                <w:sz w:val="24"/>
                <w:szCs w:val="24"/>
              </w:rPr>
            </w:pPr>
            <w:r>
              <w:rPr>
                <w:rFonts w:hint="eastAsia" w:ascii="宋体" w:hAnsi="宋体" w:cs="宋体"/>
                <w:kern w:val="0"/>
                <w:sz w:val="24"/>
                <w:szCs w:val="24"/>
              </w:rPr>
              <w:t>每提供一个合格的业绩得1分，最多得3分。未按要求提供合同复印件的不得分。</w:t>
            </w:r>
          </w:p>
          <w:p w14:paraId="7D3B2978">
            <w:pPr>
              <w:widowControl/>
              <w:jc w:val="left"/>
              <w:rPr>
                <w:rFonts w:hint="eastAsia" w:ascii="宋体" w:hAnsi="宋体"/>
                <w:bCs/>
                <w:sz w:val="24"/>
              </w:rPr>
            </w:pPr>
            <w:r>
              <w:rPr>
                <w:rFonts w:hint="eastAsia" w:ascii="宋体" w:hAnsi="宋体" w:cs="宋体"/>
                <w:kern w:val="0"/>
                <w:sz w:val="24"/>
                <w:szCs w:val="24"/>
              </w:rPr>
              <w:t>需附合同关键页复印件，复印件内容需体现合同名称、签订双方名称、签订时间、主要设备名称以及双方盖章页。</w:t>
            </w:r>
          </w:p>
        </w:tc>
        <w:tc>
          <w:tcPr>
            <w:tcW w:w="789" w:type="dxa"/>
            <w:vAlign w:val="center"/>
          </w:tcPr>
          <w:p w14:paraId="61B2DF98">
            <w:pPr>
              <w:jc w:val="center"/>
              <w:rPr>
                <w:rFonts w:hint="eastAsia" w:ascii="宋体" w:hAnsi="宋体"/>
                <w:kern w:val="0"/>
                <w:sz w:val="24"/>
                <w:szCs w:val="24"/>
              </w:rPr>
            </w:pPr>
            <w:r>
              <w:rPr>
                <w:rFonts w:hint="eastAsia" w:ascii="宋体" w:hAnsi="宋体"/>
                <w:kern w:val="0"/>
                <w:sz w:val="24"/>
                <w:szCs w:val="24"/>
              </w:rPr>
              <w:t>3</w:t>
            </w:r>
          </w:p>
        </w:tc>
      </w:tr>
      <w:tr w14:paraId="0FCD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550" w:type="dxa"/>
            <w:vMerge w:val="restart"/>
            <w:vAlign w:val="center"/>
          </w:tcPr>
          <w:p w14:paraId="6B0DEAAA">
            <w:pPr>
              <w:rPr>
                <w:rFonts w:hint="eastAsia" w:ascii="宋体" w:hAnsi="宋体"/>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0</wp:posOffset>
                      </wp:positionV>
                      <wp:extent cx="1514475" cy="0"/>
                      <wp:effectExtent l="0" t="57150" r="0" b="57150"/>
                      <wp:wrapNone/>
                      <wp:docPr id="1086955170" name="矩形 1"/>
                      <wp:cNvGraphicFramePr/>
                      <a:graphic xmlns:a="http://schemas.openxmlformats.org/drawingml/2006/main">
                        <a:graphicData uri="http://schemas.microsoft.com/office/word/2010/wordprocessingShape">
                          <wps:wsp>
                            <wps:cNvSpPr>
                              <a:spLocks noChangeArrowheads="1"/>
                            </wps:cNvSpPr>
                            <wps:spPr bwMode="auto">
                              <a:xfrm>
                                <a:off x="0" y="0"/>
                                <a:ext cx="1514475" cy="0"/>
                              </a:xfrm>
                              <a:prstGeom prst="rect">
                                <a:avLst/>
                              </a:prstGeom>
                              <a:noFill/>
                              <a:ln>
                                <a:noFill/>
                              </a:ln>
                            </wps:spPr>
                            <wps:txbx>
                              <w:txbxContent>
                                <w:p w14:paraId="644ABE40"/>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0.75pt;margin-top:0pt;height:0pt;width:119.25pt;z-index:251659264;mso-width-relative:page;mso-height-relative:page;" filled="f" stroked="f" coordsize="21600,21600" o:gfxdata="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MkLi9IAAAADAQAADwAAAAAAAAABACAAAAAiAAAA&#10;ZHJzL2Rvd25yZXYueG1sUEsBAhQAFAAAAAgAh07iQE21rkwNAgAADAQAAA4AAAAAAAAAAQAgAAAA&#10;IQEAAGRycy9lMm9Eb2MueG1sUEsFBgAAAAAGAAYAWQEAAKAFAAAAAA==&#10;">
                      <v:fill on="f" focussize="0,0"/>
                      <v:stroke on="f"/>
                      <v:imagedata o:title=""/>
                      <o:lock v:ext="edit" aspectratio="f"/>
                      <v:textbox>
                        <w:txbxContent>
                          <w:p w14:paraId="644ABE40"/>
                        </w:txbxContent>
                      </v:textbox>
                    </v:rect>
                  </w:pict>
                </mc:Fallback>
              </mc:AlternateContent>
            </w:r>
            <w:r>
              <w:rPr>
                <w:rFonts w:ascii="宋体" w:hAnsi="宋体"/>
                <w:kern w:val="0"/>
                <w:sz w:val="24"/>
                <w:szCs w:val="24"/>
              </w:rPr>
              <w:t>三 技术部分（</w:t>
            </w:r>
            <w:r>
              <w:rPr>
                <w:rFonts w:hint="eastAsia" w:ascii="宋体" w:hAnsi="宋体"/>
                <w:kern w:val="0"/>
                <w:sz w:val="24"/>
                <w:szCs w:val="24"/>
                <w:u w:val="single"/>
              </w:rPr>
              <w:t>67</w:t>
            </w:r>
            <w:r>
              <w:rPr>
                <w:rFonts w:ascii="宋体" w:hAnsi="宋体"/>
                <w:kern w:val="0"/>
                <w:sz w:val="24"/>
                <w:szCs w:val="24"/>
              </w:rPr>
              <w:t>分）</w:t>
            </w: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1066165</wp:posOffset>
                      </wp:positionV>
                      <wp:extent cx="1514475" cy="0"/>
                      <wp:effectExtent l="0" t="57150" r="0" b="57150"/>
                      <wp:wrapNone/>
                      <wp:docPr id="1824865237" name="矩形 1824865237"/>
                      <wp:cNvGraphicFramePr/>
                      <a:graphic xmlns:a="http://schemas.openxmlformats.org/drawingml/2006/main">
                        <a:graphicData uri="http://schemas.microsoft.com/office/word/2010/wordprocessingShape">
                          <wps:wsp>
                            <wps:cNvSpPr>
                              <a:spLocks noChangeArrowheads="1"/>
                            </wps:cNvSpPr>
                            <wps:spPr bwMode="auto">
                              <a:xfrm>
                                <a:off x="0" y="0"/>
                                <a:ext cx="1514475" cy="0"/>
                              </a:xfrm>
                              <a:prstGeom prst="rect">
                                <a:avLst/>
                              </a:prstGeom>
                              <a:noFill/>
                              <a:ln>
                                <a:noFill/>
                              </a:ln>
                            </wps:spPr>
                            <wps:txbx>
                              <w:txbxContent>
                                <w:p w14:paraId="7995D51F"/>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75pt;margin-top:83.95pt;height:0pt;width:119.25pt;z-index:251660288;mso-width-relative:page;mso-height-relative:page;" filled="f" stroked="f" coordsize="21600,21600" o:gfxdata="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ZMETvWAAAACQEAAA8AAAAAAAAAAQAg&#10;AAAAIgAAAGRycy9kb3ducmV2LnhtbFBLAQIUABQAAAAIAIdO4kA8aOUTEAIAABUEAAAOAAAAAAAA&#10;AAEAIAAAACUBAABkcnMvZTJvRG9jLnhtbFBLBQYAAAAABgAGAFkBAACnBQAAAAA=&#10;">
                      <v:fill on="f" focussize="0,0"/>
                      <v:stroke on="f"/>
                      <v:imagedata o:title=""/>
                      <o:lock v:ext="edit" aspectratio="f"/>
                      <v:textbox>
                        <w:txbxContent>
                          <w:p w14:paraId="7995D51F"/>
                        </w:txbxContent>
                      </v:textbox>
                    </v:rect>
                  </w:pict>
                </mc:Fallback>
              </mc:AlternateContent>
            </w:r>
          </w:p>
        </w:tc>
        <w:tc>
          <w:tcPr>
            <w:tcW w:w="2405" w:type="dxa"/>
            <w:vAlign w:val="center"/>
          </w:tcPr>
          <w:p w14:paraId="0FF0663C">
            <w:pPr>
              <w:widowControl/>
              <w:jc w:val="left"/>
              <w:rPr>
                <w:rFonts w:hint="eastAsia" w:ascii="宋体" w:hAnsi="宋体" w:cs="宋体"/>
                <w:kern w:val="0"/>
                <w:sz w:val="24"/>
                <w:szCs w:val="24"/>
              </w:rPr>
            </w:pPr>
            <w:r>
              <w:rPr>
                <w:rFonts w:hint="eastAsia" w:ascii="宋体" w:hAnsi="宋体" w:cs="宋体"/>
                <w:kern w:val="0"/>
                <w:sz w:val="24"/>
                <w:szCs w:val="24"/>
              </w:rPr>
              <w:t>技术参数重要指标响应情况</w:t>
            </w:r>
          </w:p>
        </w:tc>
        <w:tc>
          <w:tcPr>
            <w:tcW w:w="3874" w:type="dxa"/>
            <w:vAlign w:val="center"/>
          </w:tcPr>
          <w:p w14:paraId="148EC39F">
            <w:pPr>
              <w:widowControl/>
              <w:jc w:val="left"/>
              <w:rPr>
                <w:rFonts w:hint="eastAsia" w:ascii="宋体" w:hAnsi="宋体" w:cs="宋体"/>
                <w:kern w:val="0"/>
                <w:sz w:val="24"/>
                <w:szCs w:val="24"/>
              </w:rPr>
            </w:pPr>
            <w:r>
              <w:rPr>
                <w:rFonts w:hint="eastAsia" w:ascii="宋体" w:hAnsi="宋体" w:cs="宋体"/>
                <w:kern w:val="0"/>
                <w:sz w:val="24"/>
                <w:szCs w:val="24"/>
              </w:rPr>
              <w:t>根据投标人按照招标文件第三章技术总体要求中“技术参数要求”的</w:t>
            </w:r>
            <w:r>
              <w:rPr>
                <w:rFonts w:hint="eastAsia" w:ascii="宋体" w:hAnsi="宋体" w:cs="宋体"/>
                <w:b/>
                <w:bCs/>
                <w:sz w:val="24"/>
                <w:szCs w:val="24"/>
              </w:rPr>
              <w:t>▲</w:t>
            </w:r>
            <w:r>
              <w:rPr>
                <w:rFonts w:hint="eastAsia" w:ascii="宋体" w:hAnsi="宋体" w:cs="宋体"/>
                <w:sz w:val="24"/>
                <w:szCs w:val="24"/>
              </w:rPr>
              <w:t>号</w:t>
            </w:r>
            <w:r>
              <w:rPr>
                <w:rFonts w:hint="eastAsia" w:ascii="宋体" w:hAnsi="宋体" w:cs="宋体"/>
                <w:kern w:val="0"/>
                <w:sz w:val="24"/>
                <w:szCs w:val="24"/>
              </w:rPr>
              <w:t>条款技术响应情况进行打分。</w:t>
            </w:r>
          </w:p>
          <w:p w14:paraId="43F36A9A">
            <w:pPr>
              <w:widowControl/>
              <w:jc w:val="left"/>
              <w:rPr>
                <w:rFonts w:hint="eastAsia" w:ascii="宋体" w:hAnsi="宋体" w:cs="宋体"/>
                <w:kern w:val="0"/>
                <w:sz w:val="24"/>
                <w:szCs w:val="24"/>
              </w:rPr>
            </w:pPr>
            <w:r>
              <w:rPr>
                <w:rFonts w:hint="eastAsia" w:ascii="宋体" w:hAnsi="宋体" w:cs="宋体"/>
                <w:kern w:val="0"/>
                <w:sz w:val="24"/>
                <w:szCs w:val="24"/>
              </w:rPr>
              <w:t>有</w:t>
            </w:r>
            <w:r>
              <w:rPr>
                <w:rFonts w:ascii="宋体" w:hAnsi="宋体" w:cs="宋体"/>
                <w:kern w:val="0"/>
                <w:sz w:val="24"/>
                <w:szCs w:val="24"/>
              </w:rPr>
              <w:t>1</w:t>
            </w:r>
            <w:r>
              <w:rPr>
                <w:rFonts w:hint="eastAsia" w:ascii="宋体" w:hAnsi="宋体" w:cs="宋体"/>
                <w:kern w:val="0"/>
                <w:sz w:val="24"/>
                <w:szCs w:val="24"/>
              </w:rPr>
              <w:t>项</w:t>
            </w:r>
            <w:r>
              <w:rPr>
                <w:rFonts w:hint="eastAsia" w:ascii="宋体" w:hAnsi="宋体" w:cs="宋体"/>
                <w:b/>
                <w:bCs/>
                <w:sz w:val="24"/>
                <w:szCs w:val="24"/>
              </w:rPr>
              <w:t>▲</w:t>
            </w:r>
            <w:r>
              <w:rPr>
                <w:rFonts w:hint="eastAsia" w:ascii="宋体" w:hAnsi="宋体" w:cs="宋体"/>
                <w:sz w:val="24"/>
                <w:szCs w:val="24"/>
              </w:rPr>
              <w:t>号</w:t>
            </w:r>
            <w:r>
              <w:rPr>
                <w:rFonts w:hint="eastAsia" w:ascii="宋体" w:hAnsi="宋体" w:cs="宋体"/>
                <w:kern w:val="0"/>
                <w:sz w:val="24"/>
                <w:szCs w:val="24"/>
              </w:rPr>
              <w:t>条款</w:t>
            </w:r>
            <w:r>
              <w:rPr>
                <w:rFonts w:hint="eastAsia" w:ascii="宋体" w:hAnsi="宋体" w:cs="宋体"/>
                <w:sz w:val="24"/>
                <w:szCs w:val="24"/>
              </w:rPr>
              <w:t>完全满足招标文件要求得</w:t>
            </w:r>
            <w:r>
              <w:rPr>
                <w:rFonts w:hint="eastAsia" w:ascii="宋体" w:hAnsi="宋体" w:cs="宋体"/>
                <w:kern w:val="0"/>
                <w:sz w:val="24"/>
                <w:szCs w:val="24"/>
              </w:rPr>
              <w:t>1.5分，最高得10.5分。</w:t>
            </w:r>
          </w:p>
          <w:p w14:paraId="6C4D667E">
            <w:pPr>
              <w:widowControl/>
              <w:jc w:val="left"/>
              <w:rPr>
                <w:rFonts w:hint="eastAsia" w:ascii="宋体" w:hAnsi="宋体" w:cs="宋体"/>
                <w:kern w:val="0"/>
                <w:sz w:val="24"/>
                <w:szCs w:val="24"/>
              </w:rPr>
            </w:pPr>
            <w:r>
              <w:rPr>
                <w:rFonts w:hint="eastAsia" w:ascii="宋体" w:hAnsi="宋体" w:cs="宋体"/>
                <w:kern w:val="0"/>
                <w:sz w:val="24"/>
                <w:szCs w:val="24"/>
              </w:rPr>
              <w:t>条款总计7项，最低得0分。</w:t>
            </w:r>
          </w:p>
          <w:p w14:paraId="7061D3BA">
            <w:pPr>
              <w:pStyle w:val="31"/>
              <w:widowControl w:val="0"/>
              <w:spacing w:before="0" w:beforeAutospacing="0" w:after="0" w:afterAutospacing="0"/>
              <w:rPr>
                <w:rFonts w:hint="eastAsia"/>
              </w:rPr>
            </w:pPr>
            <w:r>
              <w:rPr>
                <w:rFonts w:hint="eastAsia"/>
                <w:lang w:bidi="ar"/>
              </w:rPr>
              <w:t>注：技术参数响应指标以投标产品检测报告或中文白皮书或官网截图或性能参数说明书为准，若投标文件中技术支持资料参数与技术规格偏离表应答不符或无支持资料应答，而投标人又未在投标文件中作出说明和解释的，视为不响应该条技术参数要求。</w:t>
            </w:r>
          </w:p>
          <w:p w14:paraId="74046C65">
            <w:pPr>
              <w:widowControl/>
              <w:jc w:val="left"/>
              <w:rPr>
                <w:sz w:val="24"/>
                <w:szCs w:val="24"/>
              </w:rPr>
            </w:pPr>
            <w:r>
              <w:rPr>
                <w:rFonts w:hint="eastAsia" w:ascii="宋体" w:hAnsi="宋体" w:cs="宋体"/>
                <w:sz w:val="24"/>
                <w:szCs w:val="24"/>
                <w:lang w:bidi="ar"/>
              </w:rPr>
              <w:t>同时具备以上材料或有不一致情况时，认定优先级别为：检测报告、官网截图、性能参数说明书、白皮书，投标人对材料的真实性、有效性，完整性负全部责任。</w:t>
            </w:r>
          </w:p>
        </w:tc>
        <w:tc>
          <w:tcPr>
            <w:tcW w:w="789" w:type="dxa"/>
            <w:vAlign w:val="center"/>
          </w:tcPr>
          <w:p w14:paraId="68BF5932">
            <w:pPr>
              <w:jc w:val="center"/>
              <w:rPr>
                <w:rFonts w:hint="eastAsia" w:ascii="宋体" w:hAnsi="宋体"/>
                <w:kern w:val="0"/>
                <w:sz w:val="24"/>
                <w:szCs w:val="24"/>
              </w:rPr>
            </w:pPr>
            <w:r>
              <w:rPr>
                <w:rFonts w:hint="eastAsia" w:ascii="宋体" w:hAnsi="宋体"/>
                <w:kern w:val="0"/>
                <w:sz w:val="24"/>
                <w:szCs w:val="24"/>
              </w:rPr>
              <w:t>10.5</w:t>
            </w:r>
          </w:p>
        </w:tc>
      </w:tr>
      <w:tr w14:paraId="51DB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550" w:type="dxa"/>
            <w:vMerge w:val="continue"/>
            <w:vAlign w:val="center"/>
          </w:tcPr>
          <w:p w14:paraId="661B8FDA">
            <w:pPr>
              <w:rPr>
                <w:rFonts w:hint="eastAsia" w:ascii="宋体" w:hAnsi="宋体"/>
              </w:rPr>
            </w:pPr>
            <w:bookmarkStart w:id="187" w:name="_Hlk194952788"/>
          </w:p>
        </w:tc>
        <w:tc>
          <w:tcPr>
            <w:tcW w:w="2405" w:type="dxa"/>
            <w:vAlign w:val="center"/>
          </w:tcPr>
          <w:p w14:paraId="4A6A988E">
            <w:pPr>
              <w:widowControl/>
              <w:jc w:val="left"/>
              <w:rPr>
                <w:rFonts w:hint="eastAsia" w:ascii="宋体" w:hAnsi="宋体" w:cs="宋体"/>
                <w:kern w:val="0"/>
                <w:sz w:val="24"/>
                <w:szCs w:val="24"/>
              </w:rPr>
            </w:pPr>
            <w:r>
              <w:rPr>
                <w:rFonts w:hint="eastAsia" w:ascii="宋体" w:hAnsi="宋体" w:cs="宋体"/>
                <w:kern w:val="0"/>
                <w:sz w:val="24"/>
                <w:szCs w:val="24"/>
              </w:rPr>
              <w:t>技术参数一般指标响应情况</w:t>
            </w:r>
          </w:p>
        </w:tc>
        <w:tc>
          <w:tcPr>
            <w:tcW w:w="3874" w:type="dxa"/>
            <w:vAlign w:val="center"/>
          </w:tcPr>
          <w:p w14:paraId="766B4AD0">
            <w:pPr>
              <w:widowControl/>
              <w:jc w:val="left"/>
              <w:rPr>
                <w:rFonts w:hint="eastAsia" w:ascii="宋体" w:hAnsi="宋体" w:cs="宋体"/>
                <w:kern w:val="0"/>
                <w:sz w:val="24"/>
                <w:szCs w:val="24"/>
              </w:rPr>
            </w:pPr>
            <w:r>
              <w:rPr>
                <w:rFonts w:hint="eastAsia" w:ascii="宋体" w:hAnsi="宋体" w:cs="宋体"/>
                <w:kern w:val="0"/>
                <w:sz w:val="24"/>
                <w:szCs w:val="24"/>
              </w:rPr>
              <w:t>根据投标人按照招标文件第三章技术总体要求中“技术参数要求”的一般指标技术响应情况进行打分。</w:t>
            </w:r>
          </w:p>
          <w:p w14:paraId="0D21F57E">
            <w:pPr>
              <w:widowControl/>
              <w:jc w:val="left"/>
              <w:rPr>
                <w:rFonts w:hint="eastAsia" w:ascii="宋体" w:hAnsi="宋体" w:cs="宋体"/>
                <w:kern w:val="0"/>
                <w:sz w:val="24"/>
                <w:szCs w:val="24"/>
              </w:rPr>
            </w:pPr>
            <w:r>
              <w:rPr>
                <w:rFonts w:hint="eastAsia" w:ascii="宋体" w:hAnsi="宋体" w:cs="宋体"/>
                <w:szCs w:val="24"/>
              </w:rPr>
              <w:t>除“</w:t>
            </w:r>
            <w:r>
              <w:rPr>
                <w:rFonts w:hint="eastAsia" w:ascii="宋体" w:hAnsi="宋体" w:cs="宋体"/>
                <w:b/>
                <w:bCs/>
                <w:szCs w:val="24"/>
              </w:rPr>
              <w:t>▲</w:t>
            </w:r>
            <w:r>
              <w:rPr>
                <w:rFonts w:hint="eastAsia" w:ascii="宋体" w:hAnsi="宋体" w:cs="宋体"/>
                <w:szCs w:val="24"/>
              </w:rPr>
              <w:t>”号条款外，</w:t>
            </w:r>
            <w:r>
              <w:rPr>
                <w:rFonts w:hint="eastAsia" w:ascii="宋体" w:hAnsi="宋体" w:cs="宋体"/>
                <w:kern w:val="0"/>
                <w:sz w:val="24"/>
                <w:szCs w:val="24"/>
              </w:rPr>
              <w:t>有</w:t>
            </w:r>
            <w:r>
              <w:rPr>
                <w:rFonts w:ascii="宋体" w:hAnsi="宋体" w:cs="宋体"/>
                <w:kern w:val="0"/>
                <w:sz w:val="24"/>
                <w:szCs w:val="24"/>
              </w:rPr>
              <w:t>1</w:t>
            </w:r>
            <w:r>
              <w:rPr>
                <w:rFonts w:hint="eastAsia" w:ascii="宋体" w:hAnsi="宋体" w:cs="宋体"/>
                <w:kern w:val="0"/>
                <w:sz w:val="24"/>
                <w:szCs w:val="24"/>
              </w:rPr>
              <w:t>项一般条款</w:t>
            </w:r>
            <w:r>
              <w:rPr>
                <w:rFonts w:hint="eastAsia" w:ascii="宋体" w:hAnsi="宋体" w:cs="宋体"/>
                <w:sz w:val="24"/>
                <w:szCs w:val="24"/>
              </w:rPr>
              <w:t>完全满足招标文件要求得</w:t>
            </w:r>
            <w:r>
              <w:rPr>
                <w:rFonts w:hint="eastAsia" w:ascii="宋体" w:hAnsi="宋体" w:cs="宋体"/>
                <w:kern w:val="0"/>
                <w:sz w:val="24"/>
                <w:szCs w:val="24"/>
              </w:rPr>
              <w:t xml:space="preserve"> 0.15分</w:t>
            </w:r>
            <w:r>
              <w:rPr>
                <w:rFonts w:hint="eastAsia" w:ascii="宋体" w:hAnsi="宋体"/>
                <w:kern w:val="0"/>
                <w:sz w:val="24"/>
                <w:szCs w:val="24"/>
              </w:rPr>
              <w:t>，最高得43.5分，条款总计290项</w:t>
            </w:r>
            <w:r>
              <w:rPr>
                <w:rFonts w:hint="eastAsia" w:ascii="宋体" w:hAnsi="宋体" w:cs="宋体"/>
                <w:kern w:val="0"/>
                <w:sz w:val="24"/>
                <w:szCs w:val="24"/>
              </w:rPr>
              <w:t>；最低得0分。</w:t>
            </w:r>
          </w:p>
        </w:tc>
        <w:tc>
          <w:tcPr>
            <w:tcW w:w="789" w:type="dxa"/>
            <w:vAlign w:val="center"/>
          </w:tcPr>
          <w:p w14:paraId="6AD393D9">
            <w:pPr>
              <w:jc w:val="center"/>
              <w:rPr>
                <w:rFonts w:hint="eastAsia" w:ascii="宋体" w:hAnsi="宋体"/>
                <w:kern w:val="0"/>
                <w:sz w:val="24"/>
                <w:szCs w:val="24"/>
              </w:rPr>
            </w:pPr>
            <w:r>
              <w:rPr>
                <w:rFonts w:hint="eastAsia" w:ascii="宋体" w:hAnsi="宋体"/>
                <w:kern w:val="0"/>
                <w:sz w:val="24"/>
                <w:szCs w:val="24"/>
              </w:rPr>
              <w:t>43.5</w:t>
            </w:r>
          </w:p>
        </w:tc>
      </w:tr>
      <w:tr w14:paraId="7E18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7CD588C5">
            <w:pPr>
              <w:rPr>
                <w:rFonts w:hint="eastAsia" w:ascii="宋体" w:hAnsi="宋体"/>
                <w:kern w:val="0"/>
                <w:sz w:val="24"/>
                <w:szCs w:val="24"/>
              </w:rPr>
            </w:pPr>
          </w:p>
        </w:tc>
        <w:tc>
          <w:tcPr>
            <w:tcW w:w="2405" w:type="dxa"/>
            <w:vAlign w:val="center"/>
          </w:tcPr>
          <w:p w14:paraId="26ECE41B">
            <w:pPr>
              <w:widowControl/>
              <w:jc w:val="left"/>
              <w:rPr>
                <w:rFonts w:hint="eastAsia" w:ascii="宋体" w:hAnsi="宋体" w:cs="宋体"/>
                <w:kern w:val="0"/>
                <w:sz w:val="24"/>
                <w:szCs w:val="24"/>
              </w:rPr>
            </w:pPr>
            <w:r>
              <w:rPr>
                <w:rFonts w:hint="eastAsia" w:ascii="宋体" w:hAnsi="宋体" w:cs="宋体"/>
                <w:kern w:val="0"/>
                <w:sz w:val="24"/>
                <w:szCs w:val="24"/>
              </w:rPr>
              <w:t>售后服务承诺</w:t>
            </w:r>
          </w:p>
        </w:tc>
        <w:tc>
          <w:tcPr>
            <w:tcW w:w="3874" w:type="dxa"/>
            <w:vAlign w:val="center"/>
          </w:tcPr>
          <w:p w14:paraId="68F7A112">
            <w:pPr>
              <w:widowControl/>
              <w:jc w:val="left"/>
              <w:rPr>
                <w:rFonts w:hint="eastAsia" w:ascii="宋体" w:hAnsi="宋体" w:cs="宋体"/>
                <w:kern w:val="0"/>
                <w:sz w:val="24"/>
                <w:szCs w:val="24"/>
              </w:rPr>
            </w:pPr>
            <w:r>
              <w:rPr>
                <w:rFonts w:hint="eastAsia" w:ascii="宋体" w:hAnsi="宋体" w:cs="宋体"/>
                <w:kern w:val="0"/>
                <w:sz w:val="24"/>
                <w:szCs w:val="24"/>
              </w:rPr>
              <w:t>完全符合招标文件第三章技术总体要求中的</w:t>
            </w:r>
            <w:r>
              <w:rPr>
                <w:rFonts w:hint="eastAsia" w:ascii="宋体" w:hAnsi="宋体" w:cs="宋体"/>
                <w:b/>
                <w:bCs/>
                <w:kern w:val="0"/>
                <w:sz w:val="24"/>
                <w:szCs w:val="24"/>
              </w:rPr>
              <w:t xml:space="preserve">“三 其他相关要求 </w:t>
            </w:r>
            <w:r>
              <w:rPr>
                <w:rFonts w:hint="eastAsia" w:ascii="宋体" w:hAnsi="宋体"/>
                <w:b/>
                <w:sz w:val="24"/>
                <w:szCs w:val="24"/>
              </w:rPr>
              <w:t>（四）售后服务要求</w:t>
            </w:r>
            <w:r>
              <w:rPr>
                <w:rFonts w:hint="eastAsia" w:ascii="宋体" w:hAnsi="宋体" w:cs="宋体"/>
                <w:b/>
                <w:bCs/>
                <w:kern w:val="0"/>
                <w:sz w:val="24"/>
                <w:szCs w:val="24"/>
              </w:rPr>
              <w:t>”的</w:t>
            </w:r>
            <w:r>
              <w:rPr>
                <w:rFonts w:hint="eastAsia" w:ascii="宋体" w:hAnsi="宋体" w:cs="宋体"/>
                <w:kern w:val="0"/>
                <w:sz w:val="24"/>
                <w:szCs w:val="24"/>
              </w:rPr>
              <w:t>全部条款并提供原厂售后服务承诺函（加盖投标人或厂家公章）得3分。</w:t>
            </w:r>
          </w:p>
          <w:p w14:paraId="7EEB1164">
            <w:pPr>
              <w:widowControl/>
              <w:jc w:val="left"/>
              <w:rPr>
                <w:rFonts w:hint="eastAsia" w:ascii="宋体" w:hAnsi="宋体" w:cs="宋体"/>
                <w:kern w:val="0"/>
                <w:sz w:val="24"/>
                <w:szCs w:val="24"/>
              </w:rPr>
            </w:pPr>
            <w:r>
              <w:rPr>
                <w:rFonts w:hint="eastAsia" w:ascii="宋体" w:hAnsi="宋体" w:cs="宋体"/>
                <w:kern w:val="0"/>
                <w:sz w:val="24"/>
                <w:szCs w:val="24"/>
              </w:rPr>
              <w:t>未按要求提供原厂售后服务承诺函的不得分。</w:t>
            </w:r>
          </w:p>
        </w:tc>
        <w:tc>
          <w:tcPr>
            <w:tcW w:w="789" w:type="dxa"/>
            <w:vAlign w:val="center"/>
          </w:tcPr>
          <w:p w14:paraId="1B073213">
            <w:pPr>
              <w:jc w:val="center"/>
              <w:rPr>
                <w:rFonts w:hint="eastAsia" w:ascii="宋体" w:hAnsi="宋体"/>
                <w:kern w:val="0"/>
                <w:sz w:val="24"/>
                <w:szCs w:val="24"/>
              </w:rPr>
            </w:pPr>
            <w:r>
              <w:rPr>
                <w:rFonts w:hint="eastAsia" w:ascii="宋体" w:hAnsi="宋体"/>
                <w:kern w:val="0"/>
                <w:sz w:val="24"/>
                <w:szCs w:val="24"/>
              </w:rPr>
              <w:t xml:space="preserve">3 </w:t>
            </w:r>
          </w:p>
        </w:tc>
      </w:tr>
      <w:bookmarkEnd w:id="187"/>
      <w:tr w14:paraId="0597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17F39810">
            <w:pPr>
              <w:rPr>
                <w:rFonts w:hint="eastAsia" w:ascii="宋体" w:hAnsi="宋体"/>
                <w:kern w:val="0"/>
                <w:sz w:val="24"/>
                <w:szCs w:val="24"/>
              </w:rPr>
            </w:pPr>
          </w:p>
        </w:tc>
        <w:tc>
          <w:tcPr>
            <w:tcW w:w="2405" w:type="dxa"/>
            <w:vAlign w:val="center"/>
          </w:tcPr>
          <w:p w14:paraId="771D6C42">
            <w:pPr>
              <w:widowControl/>
              <w:jc w:val="left"/>
              <w:rPr>
                <w:rFonts w:hint="eastAsia" w:ascii="宋体" w:hAnsi="宋体" w:cs="宋体"/>
                <w:kern w:val="0"/>
                <w:sz w:val="24"/>
                <w:szCs w:val="24"/>
              </w:rPr>
            </w:pPr>
            <w:r>
              <w:rPr>
                <w:rFonts w:hint="eastAsia" w:ascii="宋体" w:hAnsi="宋体" w:cs="宋体"/>
                <w:kern w:val="0"/>
                <w:sz w:val="24"/>
                <w:szCs w:val="24"/>
              </w:rPr>
              <w:t>安装调试方案</w:t>
            </w:r>
          </w:p>
        </w:tc>
        <w:tc>
          <w:tcPr>
            <w:tcW w:w="3874" w:type="dxa"/>
            <w:vAlign w:val="center"/>
          </w:tcPr>
          <w:p w14:paraId="3ECF26FF">
            <w:pPr>
              <w:widowControl/>
              <w:jc w:val="left"/>
              <w:rPr>
                <w:rFonts w:hint="eastAsia" w:ascii="宋体" w:hAnsi="宋体" w:cs="宋体"/>
                <w:kern w:val="0"/>
                <w:sz w:val="24"/>
                <w:szCs w:val="24"/>
              </w:rPr>
            </w:pPr>
            <w:r>
              <w:rPr>
                <w:rFonts w:hint="eastAsia" w:ascii="宋体" w:hAnsi="宋体" w:cs="宋体"/>
                <w:kern w:val="0"/>
                <w:sz w:val="24"/>
                <w:szCs w:val="24"/>
              </w:rPr>
              <w:t>根据投标人按照招标文件第三章技术总体要求中的</w:t>
            </w:r>
            <w:r>
              <w:rPr>
                <w:rFonts w:hint="eastAsia" w:ascii="宋体" w:hAnsi="宋体" w:cs="宋体"/>
                <w:b/>
                <w:bCs/>
                <w:kern w:val="0"/>
                <w:sz w:val="24"/>
                <w:szCs w:val="24"/>
              </w:rPr>
              <w:t>“安装调试要求</w:t>
            </w:r>
            <w:r>
              <w:rPr>
                <w:rFonts w:hint="eastAsia" w:ascii="宋体" w:hAnsi="宋体" w:cs="宋体"/>
                <w:kern w:val="0"/>
                <w:sz w:val="24"/>
                <w:szCs w:val="24"/>
              </w:rPr>
              <w:t>”提供的安装调试方案进行打分，包括安装计划、调试内容。</w:t>
            </w:r>
          </w:p>
          <w:p w14:paraId="2C17EAC4">
            <w:pPr>
              <w:widowControl/>
              <w:jc w:val="left"/>
              <w:rPr>
                <w:rFonts w:hint="eastAsia" w:ascii="宋体" w:hAnsi="宋体" w:cs="宋体"/>
                <w:kern w:val="0"/>
                <w:sz w:val="24"/>
                <w:szCs w:val="24"/>
              </w:rPr>
            </w:pPr>
            <w:r>
              <w:rPr>
                <w:rFonts w:hint="eastAsia" w:ascii="宋体" w:hAnsi="宋体" w:cs="宋体"/>
                <w:kern w:val="0"/>
                <w:sz w:val="24"/>
                <w:szCs w:val="24"/>
              </w:rPr>
              <w:t>方案内容完整深入、详实可行，有很强的针对性，完全符合项目自动化与智能化需求得8分；</w:t>
            </w:r>
          </w:p>
          <w:p w14:paraId="2C962AC9">
            <w:pPr>
              <w:widowControl/>
              <w:jc w:val="left"/>
              <w:rPr>
                <w:rFonts w:hint="eastAsia" w:ascii="宋体" w:hAnsi="宋体" w:cs="宋体"/>
                <w:kern w:val="0"/>
                <w:sz w:val="24"/>
                <w:szCs w:val="24"/>
              </w:rPr>
            </w:pPr>
            <w:r>
              <w:rPr>
                <w:rFonts w:hint="eastAsia" w:ascii="宋体" w:hAnsi="宋体" w:cs="宋体"/>
                <w:kern w:val="24"/>
                <w:sz w:val="24"/>
                <w:szCs w:val="24"/>
              </w:rPr>
              <w:t>方案内容完整、流程规范，具有一定针对性，可行性强，部分符合本项目需求得5分；</w:t>
            </w:r>
          </w:p>
          <w:p w14:paraId="17F422BC">
            <w:pPr>
              <w:widowControl/>
              <w:jc w:val="left"/>
              <w:rPr>
                <w:rFonts w:hint="eastAsia" w:ascii="宋体" w:hAnsi="宋体" w:cs="宋体"/>
                <w:kern w:val="0"/>
                <w:sz w:val="24"/>
                <w:szCs w:val="24"/>
              </w:rPr>
            </w:pPr>
            <w:r>
              <w:rPr>
                <w:rFonts w:hint="eastAsia" w:ascii="宋体" w:hAnsi="宋体" w:cs="宋体"/>
                <w:kern w:val="0"/>
                <w:sz w:val="24"/>
                <w:szCs w:val="24"/>
              </w:rPr>
              <w:t>方案为通用类内容，未根据本项目特点针对性的提供方案，</w:t>
            </w:r>
            <w:r>
              <w:rPr>
                <w:rFonts w:hint="eastAsia" w:ascii="宋体" w:hAnsi="宋体" w:cs="宋体"/>
                <w:kern w:val="24"/>
                <w:sz w:val="24"/>
                <w:szCs w:val="24"/>
              </w:rPr>
              <w:t>部分</w:t>
            </w:r>
            <w:r>
              <w:rPr>
                <w:rFonts w:hint="eastAsia" w:ascii="宋体" w:hAnsi="宋体" w:cs="宋体"/>
                <w:kern w:val="0"/>
                <w:sz w:val="24"/>
                <w:szCs w:val="24"/>
              </w:rPr>
              <w:t>符合项目需求，得3分；</w:t>
            </w:r>
          </w:p>
          <w:p w14:paraId="0BE5453D">
            <w:pPr>
              <w:widowControl/>
              <w:jc w:val="left"/>
              <w:rPr>
                <w:rFonts w:hint="eastAsia" w:ascii="宋体" w:hAnsi="宋体" w:cs="宋体"/>
                <w:kern w:val="0"/>
                <w:sz w:val="24"/>
                <w:szCs w:val="24"/>
              </w:rPr>
            </w:pPr>
            <w:r>
              <w:rPr>
                <w:rFonts w:hint="eastAsia" w:ascii="宋体" w:hAnsi="宋体" w:cs="宋体"/>
                <w:kern w:val="0"/>
                <w:sz w:val="24"/>
                <w:szCs w:val="24"/>
              </w:rPr>
              <w:t>方案内容简单，有较大风险性，得1分。</w:t>
            </w:r>
          </w:p>
          <w:p w14:paraId="759DFED0">
            <w:pPr>
              <w:widowControl/>
              <w:jc w:val="left"/>
              <w:rPr>
                <w:rFonts w:hint="eastAsia" w:ascii="宋体" w:hAnsi="宋体" w:cs="宋体"/>
                <w:kern w:val="0"/>
                <w:sz w:val="24"/>
                <w:szCs w:val="24"/>
              </w:rPr>
            </w:pPr>
            <w:r>
              <w:rPr>
                <w:rFonts w:hint="eastAsia" w:ascii="宋体" w:hAnsi="宋体" w:cs="宋体"/>
                <w:kern w:val="0"/>
                <w:sz w:val="24"/>
                <w:szCs w:val="24"/>
              </w:rPr>
              <w:t>未单独提供该方案的不得分。</w:t>
            </w:r>
          </w:p>
        </w:tc>
        <w:tc>
          <w:tcPr>
            <w:tcW w:w="789" w:type="dxa"/>
            <w:vAlign w:val="center"/>
          </w:tcPr>
          <w:p w14:paraId="4945609B">
            <w:pPr>
              <w:jc w:val="center"/>
              <w:rPr>
                <w:rFonts w:hint="eastAsia" w:ascii="宋体" w:hAnsi="宋体"/>
                <w:kern w:val="0"/>
                <w:sz w:val="24"/>
                <w:szCs w:val="24"/>
              </w:rPr>
            </w:pPr>
            <w:r>
              <w:rPr>
                <w:rFonts w:hint="eastAsia" w:ascii="宋体" w:hAnsi="宋体"/>
                <w:kern w:val="0"/>
                <w:sz w:val="24"/>
                <w:szCs w:val="24"/>
              </w:rPr>
              <w:t>8</w:t>
            </w:r>
          </w:p>
        </w:tc>
      </w:tr>
      <w:tr w14:paraId="1D24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329D9A8C">
            <w:pPr>
              <w:rPr>
                <w:rFonts w:hint="eastAsia" w:ascii="宋体" w:hAnsi="宋体"/>
                <w:kern w:val="0"/>
                <w:sz w:val="24"/>
                <w:szCs w:val="24"/>
              </w:rPr>
            </w:pPr>
          </w:p>
        </w:tc>
        <w:tc>
          <w:tcPr>
            <w:tcW w:w="2405" w:type="dxa"/>
            <w:vAlign w:val="center"/>
          </w:tcPr>
          <w:p w14:paraId="633EA9C6">
            <w:pPr>
              <w:widowControl/>
              <w:jc w:val="left"/>
              <w:rPr>
                <w:rFonts w:hint="eastAsia" w:ascii="宋体" w:hAnsi="宋体" w:cs="宋体"/>
                <w:kern w:val="0"/>
                <w:sz w:val="24"/>
                <w:szCs w:val="24"/>
              </w:rPr>
            </w:pPr>
            <w:r>
              <w:rPr>
                <w:rFonts w:hint="eastAsia" w:ascii="宋体" w:hAnsi="宋体" w:cs="宋体"/>
                <w:kern w:val="0"/>
                <w:sz w:val="24"/>
                <w:szCs w:val="24"/>
              </w:rPr>
              <w:t>培训方案</w:t>
            </w:r>
          </w:p>
        </w:tc>
        <w:tc>
          <w:tcPr>
            <w:tcW w:w="3874" w:type="dxa"/>
            <w:vAlign w:val="center"/>
          </w:tcPr>
          <w:p w14:paraId="7604049E">
            <w:pPr>
              <w:widowControl/>
              <w:jc w:val="left"/>
              <w:rPr>
                <w:rFonts w:hint="eastAsia" w:ascii="宋体" w:hAnsi="宋体" w:cs="宋体"/>
                <w:kern w:val="0"/>
                <w:sz w:val="24"/>
                <w:szCs w:val="24"/>
              </w:rPr>
            </w:pPr>
            <w:r>
              <w:rPr>
                <w:rFonts w:hint="eastAsia" w:ascii="宋体" w:hAnsi="宋体" w:cs="宋体"/>
                <w:kern w:val="0"/>
                <w:sz w:val="24"/>
                <w:szCs w:val="24"/>
              </w:rPr>
              <w:t>根据投标人按照提供的培训方案进行打分。</w:t>
            </w:r>
          </w:p>
          <w:p w14:paraId="13320CA0">
            <w:pPr>
              <w:widowControl/>
              <w:jc w:val="left"/>
              <w:rPr>
                <w:rFonts w:cs="宋体"/>
                <w:bCs/>
                <w:kern w:val="0"/>
                <w:sz w:val="24"/>
                <w:szCs w:val="24"/>
              </w:rPr>
            </w:pPr>
            <w:r>
              <w:rPr>
                <w:rFonts w:hint="eastAsia" w:ascii="宋体" w:hAnsi="宋体" w:cs="宋体"/>
                <w:bCs/>
                <w:kern w:val="0"/>
                <w:sz w:val="24"/>
                <w:szCs w:val="24"/>
              </w:rPr>
              <w:t>基于</w:t>
            </w:r>
            <w:r>
              <w:rPr>
                <w:rFonts w:hint="eastAsia" w:ascii="宋体" w:hAnsi="宋体" w:cs="宋体"/>
                <w:kern w:val="0"/>
                <w:sz w:val="24"/>
                <w:szCs w:val="24"/>
              </w:rPr>
              <w:t>招标文件第三章技术总体要求中的</w:t>
            </w:r>
            <w:r>
              <w:rPr>
                <w:rFonts w:hint="eastAsia" w:ascii="宋体" w:hAnsi="宋体" w:cs="宋体"/>
                <w:b/>
                <w:bCs/>
                <w:kern w:val="0"/>
                <w:sz w:val="24"/>
                <w:szCs w:val="24"/>
              </w:rPr>
              <w:t>“（五）具体交货、培训要求</w:t>
            </w:r>
            <w:r>
              <w:rPr>
                <w:rFonts w:hint="eastAsia" w:ascii="宋体" w:hAnsi="宋体" w:cs="宋体"/>
                <w:kern w:val="0"/>
                <w:sz w:val="24"/>
                <w:szCs w:val="24"/>
              </w:rPr>
              <w:t>”</w:t>
            </w:r>
            <w:r>
              <w:rPr>
                <w:rFonts w:hint="eastAsia" w:ascii="宋体" w:hAnsi="宋体" w:cs="宋体"/>
                <w:bCs/>
                <w:kern w:val="0"/>
                <w:sz w:val="24"/>
                <w:szCs w:val="24"/>
              </w:rPr>
              <w:t>中的培训要求，投标人制定合理的培训计划及方案，根据计划及方案的完整性、合理性、适用性及可操作性进行评分。每存在一处缺陷扣0.5分，未提供不得分。</w:t>
            </w:r>
          </w:p>
          <w:p w14:paraId="021B06E8">
            <w:pPr>
              <w:widowControl/>
              <w:jc w:val="left"/>
              <w:rPr>
                <w:rFonts w:hint="eastAsia" w:ascii="宋体" w:hAnsi="宋体" w:cs="宋体"/>
                <w:kern w:val="0"/>
                <w:sz w:val="24"/>
                <w:szCs w:val="24"/>
              </w:rPr>
            </w:pPr>
            <w:r>
              <w:rPr>
                <w:rFonts w:hint="eastAsia" w:ascii="宋体" w:hAnsi="宋体" w:cs="宋体"/>
                <w:bCs/>
                <w:kern w:val="0"/>
                <w:sz w:val="24"/>
                <w:szCs w:val="24"/>
              </w:rPr>
              <w:t>注：缺陷具体指:内容与项目实际情况不符、凭空编造、内容不完整、逻辑混乱、引用规范标准错误、地点区域标注错误、关键内容缺漏、未完全满足采购需求等情形。</w:t>
            </w:r>
          </w:p>
        </w:tc>
        <w:tc>
          <w:tcPr>
            <w:tcW w:w="789" w:type="dxa"/>
            <w:vAlign w:val="center"/>
          </w:tcPr>
          <w:p w14:paraId="61E4AF45">
            <w:pPr>
              <w:jc w:val="center"/>
              <w:rPr>
                <w:rFonts w:hint="eastAsia" w:ascii="宋体" w:hAnsi="宋体"/>
                <w:kern w:val="0"/>
                <w:sz w:val="24"/>
                <w:szCs w:val="24"/>
              </w:rPr>
            </w:pPr>
            <w:r>
              <w:rPr>
                <w:rFonts w:hint="eastAsia" w:ascii="宋体" w:hAnsi="宋体"/>
                <w:kern w:val="0"/>
                <w:sz w:val="24"/>
                <w:szCs w:val="24"/>
              </w:rPr>
              <w:t>1</w:t>
            </w:r>
          </w:p>
        </w:tc>
      </w:tr>
      <w:tr w14:paraId="7341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2B678B50">
            <w:pPr>
              <w:rPr>
                <w:rFonts w:hint="eastAsia" w:ascii="宋体" w:hAnsi="宋体"/>
                <w:kern w:val="0"/>
                <w:sz w:val="24"/>
                <w:szCs w:val="24"/>
              </w:rPr>
            </w:pPr>
          </w:p>
        </w:tc>
        <w:tc>
          <w:tcPr>
            <w:tcW w:w="2405" w:type="dxa"/>
            <w:vAlign w:val="center"/>
          </w:tcPr>
          <w:p w14:paraId="3E584A70">
            <w:pPr>
              <w:widowControl/>
              <w:jc w:val="left"/>
              <w:rPr>
                <w:rFonts w:hint="eastAsia" w:ascii="宋体" w:hAnsi="宋体" w:cs="宋体"/>
                <w:kern w:val="0"/>
                <w:sz w:val="24"/>
                <w:szCs w:val="24"/>
              </w:rPr>
            </w:pPr>
            <w:r>
              <w:rPr>
                <w:rFonts w:hint="eastAsia" w:ascii="宋体" w:hAnsi="宋体" w:cs="宋体"/>
                <w:sz w:val="24"/>
                <w:szCs w:val="24"/>
                <w:lang w:bidi="ar"/>
              </w:rPr>
              <w:t>投标设备的全生命周期运行</w:t>
            </w:r>
          </w:p>
        </w:tc>
        <w:tc>
          <w:tcPr>
            <w:tcW w:w="3874" w:type="dxa"/>
            <w:vAlign w:val="center"/>
          </w:tcPr>
          <w:p w14:paraId="5C2C8460">
            <w:pPr>
              <w:widowControl/>
              <w:jc w:val="left"/>
              <w:rPr>
                <w:rFonts w:cs="宋体"/>
                <w:kern w:val="0"/>
                <w:sz w:val="24"/>
                <w:szCs w:val="24"/>
              </w:rPr>
            </w:pPr>
            <w:r>
              <w:rPr>
                <w:rFonts w:hint="eastAsia" w:ascii="宋体" w:hAnsi="宋体" w:cs="宋体"/>
                <w:kern w:val="0"/>
                <w:sz w:val="24"/>
                <w:szCs w:val="24"/>
                <w:lang w:bidi="ar"/>
              </w:rPr>
              <w:t>根据投标人所投产品的维修维护成本、配套耗材（试剂）价格等方面进行综合评价。</w:t>
            </w:r>
          </w:p>
          <w:p w14:paraId="32DF40F9">
            <w:pPr>
              <w:widowControl/>
              <w:jc w:val="left"/>
              <w:rPr>
                <w:rFonts w:hint="eastAsia" w:ascii="宋体" w:hAnsi="宋体" w:cs="宋体"/>
                <w:kern w:val="0"/>
                <w:sz w:val="24"/>
                <w:szCs w:val="24"/>
              </w:rPr>
            </w:pPr>
            <w:r>
              <w:rPr>
                <w:rFonts w:hint="eastAsia" w:ascii="宋体" w:hAnsi="宋体" w:cs="宋体"/>
                <w:kern w:val="0"/>
                <w:sz w:val="24"/>
                <w:szCs w:val="24"/>
                <w:lang w:bidi="ar"/>
              </w:rPr>
              <w:t>根据投标人提供的备品备件价目表、配套耗材（试剂）价目表等，配套耗材（试剂）项目齐全得1分，项目不全或未提供不得分。</w:t>
            </w:r>
          </w:p>
        </w:tc>
        <w:tc>
          <w:tcPr>
            <w:tcW w:w="789" w:type="dxa"/>
            <w:vAlign w:val="center"/>
          </w:tcPr>
          <w:p w14:paraId="39CC7217">
            <w:pPr>
              <w:jc w:val="center"/>
              <w:rPr>
                <w:rFonts w:hint="eastAsia" w:ascii="宋体" w:hAnsi="宋体"/>
                <w:kern w:val="0"/>
                <w:sz w:val="24"/>
                <w:szCs w:val="24"/>
              </w:rPr>
            </w:pPr>
            <w:r>
              <w:rPr>
                <w:rFonts w:hint="eastAsia" w:ascii="宋体" w:hAnsi="宋体"/>
                <w:kern w:val="0"/>
                <w:sz w:val="24"/>
                <w:szCs w:val="24"/>
              </w:rPr>
              <w:t>1</w:t>
            </w:r>
          </w:p>
        </w:tc>
      </w:tr>
      <w:bookmarkEnd w:id="186"/>
      <w:tr w14:paraId="4FD6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50" w:type="dxa"/>
            <w:vAlign w:val="center"/>
          </w:tcPr>
          <w:p w14:paraId="391D232D">
            <w:pPr>
              <w:rPr>
                <w:rFonts w:hint="eastAsia" w:ascii="宋体" w:hAnsi="宋体"/>
                <w:kern w:val="0"/>
                <w:sz w:val="24"/>
                <w:szCs w:val="24"/>
              </w:rPr>
            </w:pPr>
            <w:r>
              <w:rPr>
                <w:rFonts w:ascii="宋体" w:hAnsi="宋体"/>
                <w:kern w:val="0"/>
                <w:sz w:val="24"/>
                <w:szCs w:val="24"/>
              </w:rPr>
              <w:t>四 总分</w:t>
            </w:r>
          </w:p>
        </w:tc>
        <w:tc>
          <w:tcPr>
            <w:tcW w:w="7068" w:type="dxa"/>
            <w:gridSpan w:val="3"/>
            <w:vAlign w:val="center"/>
          </w:tcPr>
          <w:p w14:paraId="2DDB4440">
            <w:pPr>
              <w:jc w:val="center"/>
              <w:rPr>
                <w:rFonts w:hint="eastAsia" w:ascii="宋体" w:hAnsi="宋体"/>
                <w:kern w:val="0"/>
                <w:sz w:val="24"/>
                <w:szCs w:val="24"/>
              </w:rPr>
            </w:pPr>
            <w:r>
              <w:rPr>
                <w:rFonts w:ascii="宋体" w:hAnsi="宋体"/>
                <w:kern w:val="0"/>
                <w:sz w:val="24"/>
                <w:szCs w:val="24"/>
              </w:rPr>
              <w:t>合计100分</w:t>
            </w:r>
          </w:p>
        </w:tc>
      </w:tr>
    </w:tbl>
    <w:p w14:paraId="6123C586">
      <w:pPr>
        <w:jc w:val="left"/>
        <w:rPr>
          <w:rFonts w:hint="eastAsia" w:ascii="宋体" w:hAnsi="宋体" w:cs="宋体"/>
          <w:b/>
          <w:kern w:val="0"/>
          <w:sz w:val="24"/>
          <w:szCs w:val="24"/>
        </w:rPr>
      </w:pPr>
    </w:p>
    <w:p w14:paraId="345D89EF">
      <w:pPr>
        <w:jc w:val="left"/>
        <w:rPr>
          <w:rFonts w:hint="eastAsia" w:ascii="宋体" w:hAnsi="宋体" w:cs="宋体"/>
          <w:b/>
          <w:kern w:val="0"/>
          <w:sz w:val="24"/>
          <w:szCs w:val="24"/>
        </w:rPr>
      </w:pPr>
    </w:p>
    <w:p w14:paraId="03817104">
      <w:pPr>
        <w:jc w:val="left"/>
        <w:rPr>
          <w:rFonts w:hint="eastAsia" w:ascii="宋体" w:hAnsi="宋体" w:cs="宋体"/>
          <w:b/>
          <w:kern w:val="0"/>
          <w:sz w:val="24"/>
          <w:szCs w:val="24"/>
        </w:rPr>
      </w:pPr>
      <w:r>
        <w:rPr>
          <w:rFonts w:hint="eastAsia" w:ascii="宋体" w:hAnsi="宋体" w:cs="宋体"/>
          <w:b/>
          <w:kern w:val="0"/>
          <w:sz w:val="24"/>
          <w:szCs w:val="24"/>
        </w:rPr>
        <w:t>备注：</w:t>
      </w:r>
    </w:p>
    <w:p w14:paraId="17D95C1B">
      <w:pPr>
        <w:rPr>
          <w:rFonts w:hint="eastAsia" w:ascii="宋体" w:hAnsi="宋体"/>
          <w:sz w:val="24"/>
        </w:rPr>
      </w:pPr>
      <w:r>
        <w:rPr>
          <w:rFonts w:ascii="宋体" w:hAnsi="宋体"/>
          <w:sz w:val="24"/>
        </w:rPr>
        <w:t>1</w:t>
      </w:r>
      <w:r>
        <w:rPr>
          <w:rFonts w:hint="eastAsia" w:ascii="宋体" w:hAnsi="宋体"/>
          <w:sz w:val="24"/>
        </w:rPr>
        <w:t>根据《国务院办公厅关于建立政府强制采购节能产品制度的通知》（国办发〔２００７〕５１号）规定，</w:t>
      </w:r>
      <w:r>
        <w:rPr>
          <w:rFonts w:ascii="宋体" w:hAnsi="宋体"/>
          <w:sz w:val="24"/>
        </w:rPr>
        <w:t>在技术、服务等指标同等条件下，优先采购属于国家公布的节能清单中的产品。</w:t>
      </w:r>
      <w:r>
        <w:rPr>
          <w:rFonts w:hint="eastAsia" w:ascii="宋体" w:hAnsi="宋体"/>
          <w:sz w:val="24"/>
        </w:rPr>
        <w:t>以中国政府采购网（</w:t>
      </w:r>
      <w:r>
        <w:rPr>
          <w:rFonts w:ascii="宋体" w:hAnsi="宋体"/>
          <w:sz w:val="24"/>
        </w:rPr>
        <w:t>http://www.ccgp.gov.cn/</w:t>
      </w:r>
      <w:r>
        <w:rPr>
          <w:rFonts w:hint="eastAsia" w:ascii="宋体" w:hAnsi="宋体"/>
          <w:sz w:val="24"/>
        </w:rPr>
        <w:t>）公布的最新一期节能产品政府采购清单为准</w:t>
      </w:r>
      <w:r>
        <w:rPr>
          <w:rFonts w:hint="eastAsia" w:ascii="宋体" w:hAnsi="宋体"/>
          <w:sz w:val="24"/>
          <w:lang w:eastAsia="zh-CN"/>
        </w:rPr>
        <w:t>，</w:t>
      </w:r>
      <w:r>
        <w:rPr>
          <w:rFonts w:hint="eastAsia" w:ascii="宋体" w:hAnsi="宋体"/>
          <w:sz w:val="24"/>
          <w:lang w:val="en-US" w:eastAsia="zh-CN"/>
        </w:rPr>
        <w:t>符合要求的给予加分</w:t>
      </w:r>
      <w:r>
        <w:rPr>
          <w:rFonts w:hint="eastAsia" w:ascii="宋体" w:hAnsi="宋体"/>
          <w:sz w:val="24"/>
        </w:rPr>
        <w:t>。</w:t>
      </w:r>
    </w:p>
    <w:p w14:paraId="08AF2D63">
      <w:pPr>
        <w:jc w:val="left"/>
        <w:rPr>
          <w:rFonts w:hint="eastAsia" w:ascii="宋体" w:hAnsi="宋体"/>
          <w:sz w:val="24"/>
        </w:rPr>
      </w:pPr>
      <w:r>
        <w:rPr>
          <w:rFonts w:ascii="宋体" w:hAnsi="宋体"/>
          <w:sz w:val="24"/>
        </w:rPr>
        <w:t>2</w:t>
      </w:r>
      <w:r>
        <w:rPr>
          <w:rFonts w:hint="eastAsia" w:ascii="宋体" w:hAnsi="宋体"/>
          <w:sz w:val="24"/>
        </w:rPr>
        <w:t>根据《环境标志产品政府采购实施的意见》（财库</w:t>
      </w:r>
      <w:r>
        <w:rPr>
          <w:rFonts w:ascii="宋体" w:hAnsi="宋体"/>
          <w:sz w:val="24"/>
        </w:rPr>
        <w:t>[2006]90</w:t>
      </w:r>
      <w:r>
        <w:rPr>
          <w:rFonts w:hint="eastAsia" w:ascii="宋体" w:hAnsi="宋体"/>
          <w:sz w:val="24"/>
        </w:rPr>
        <w:t>号）的规定，</w:t>
      </w:r>
      <w:r>
        <w:rPr>
          <w:rFonts w:ascii="宋体" w:hAnsi="宋体"/>
          <w:sz w:val="24"/>
        </w:rPr>
        <w:t>在性能、技术、服务等指标同等条件下，优先采购国家公布的环保产品清单中的产品。</w:t>
      </w:r>
      <w:r>
        <w:rPr>
          <w:rFonts w:hint="eastAsia" w:ascii="宋体" w:hAnsi="宋体"/>
          <w:sz w:val="24"/>
        </w:rPr>
        <w:t>以中国政府采购网（</w:t>
      </w:r>
      <w:r>
        <w:rPr>
          <w:rFonts w:ascii="宋体" w:hAnsi="宋体"/>
          <w:sz w:val="24"/>
        </w:rPr>
        <w:t>http://www.ccgp.gov.cn/</w:t>
      </w:r>
      <w:r>
        <w:rPr>
          <w:rFonts w:hint="eastAsia" w:ascii="宋体" w:hAnsi="宋体"/>
          <w:sz w:val="24"/>
        </w:rPr>
        <w:t>）公布的最新一期环境标志产品政府采购清单为准</w:t>
      </w:r>
      <w:r>
        <w:rPr>
          <w:rFonts w:hint="eastAsia" w:ascii="宋体" w:hAnsi="宋体"/>
          <w:sz w:val="24"/>
          <w:lang w:eastAsia="zh-CN"/>
        </w:rPr>
        <w:t>，</w:t>
      </w:r>
      <w:r>
        <w:rPr>
          <w:rFonts w:hint="eastAsia" w:ascii="宋体" w:hAnsi="宋体"/>
          <w:sz w:val="24"/>
          <w:lang w:val="en-US" w:eastAsia="zh-CN"/>
        </w:rPr>
        <w:t>符合要求的给予加分</w:t>
      </w:r>
      <w:r>
        <w:rPr>
          <w:rFonts w:hint="eastAsia" w:ascii="宋体" w:hAnsi="宋体"/>
          <w:sz w:val="24"/>
        </w:rPr>
        <w:t>。</w:t>
      </w:r>
    </w:p>
    <w:p w14:paraId="436CDD92">
      <w:pPr>
        <w:rPr>
          <w:rFonts w:hint="eastAsia" w:ascii="宋体" w:hAnsi="宋体"/>
          <w:sz w:val="24"/>
        </w:rPr>
      </w:pPr>
      <w:r>
        <w:rPr>
          <w:rFonts w:ascii="宋体" w:hAnsi="宋体"/>
          <w:sz w:val="24"/>
        </w:rPr>
        <w:t>3</w:t>
      </w:r>
      <w:r>
        <w:rPr>
          <w:rFonts w:hint="eastAsia" w:ascii="宋体" w:hAnsi="宋体"/>
          <w:sz w:val="24"/>
        </w:rPr>
        <w:t>依据财库</w:t>
      </w:r>
      <w:r>
        <w:rPr>
          <w:rFonts w:ascii="宋体" w:hAnsi="宋体"/>
          <w:sz w:val="24"/>
        </w:rPr>
        <w:t>[2020]46</w:t>
      </w:r>
      <w:r>
        <w:rPr>
          <w:rFonts w:hint="eastAsia" w:ascii="宋体" w:hAnsi="宋体"/>
          <w:sz w:val="24"/>
        </w:rPr>
        <w:t>号财政部、工业和信息化部关于印发《政府采购促进中小企业发展管理办法》的通知，本项目投标人提供全部投标产品的制造商如为小型或微型企业，其投标总价给予</w:t>
      </w:r>
      <w:r>
        <w:rPr>
          <w:rFonts w:ascii="宋体" w:hAnsi="宋体"/>
          <w:sz w:val="24"/>
        </w:rPr>
        <w:t>10%</w:t>
      </w:r>
      <w:r>
        <w:rPr>
          <w:rFonts w:hint="eastAsia" w:ascii="宋体" w:hAnsi="宋体"/>
          <w:sz w:val="24"/>
        </w:rPr>
        <w:t>的扣除，用扣除后的价格参与评审。符合本条件的投标人须附《中小企业声明函》（格式见第五章附件）作为证明文件，否则将不予认可。</w:t>
      </w:r>
    </w:p>
    <w:p w14:paraId="427D0321">
      <w:pPr>
        <w:rPr>
          <w:rFonts w:hint="eastAsia" w:ascii="宋体" w:hAnsi="宋体"/>
          <w:sz w:val="24"/>
        </w:rPr>
      </w:pPr>
      <w:r>
        <w:rPr>
          <w:rFonts w:ascii="宋体" w:hAnsi="宋体"/>
          <w:sz w:val="24"/>
        </w:rPr>
        <w:t>4根据《关于政府采购支持监狱企业发展有关问题的通知》（财库[2014]68 号）的要求，监狱和戒毒企业（以下简称监狱企业）视同小型、微型企业。</w:t>
      </w:r>
      <w:r>
        <w:rPr>
          <w:rFonts w:hint="eastAsia" w:ascii="宋体" w:hAnsi="宋体"/>
          <w:sz w:val="24"/>
        </w:rPr>
        <w:t>投标人</w:t>
      </w:r>
      <w:r>
        <w:rPr>
          <w:rFonts w:ascii="宋体" w:hAnsi="宋体"/>
          <w:sz w:val="24"/>
        </w:rPr>
        <w:t>须提供由省级以上监狱管理局、戒毒管理局（含新疆生产建设兵团）出具的属于监狱企业的证明文件。</w:t>
      </w:r>
      <w:r>
        <w:rPr>
          <w:rFonts w:hint="eastAsia" w:ascii="宋体" w:hAnsi="宋体"/>
          <w:sz w:val="24"/>
        </w:rPr>
        <w:t>本备注3、4、5不重复享受政策。</w:t>
      </w:r>
    </w:p>
    <w:p w14:paraId="50EDE1B4">
      <w:pPr>
        <w:rPr>
          <w:rFonts w:hint="eastAsia" w:ascii="宋体" w:hAnsi="宋体" w:cs="宋体"/>
          <w:kern w:val="0"/>
          <w:sz w:val="24"/>
          <w:szCs w:val="24"/>
        </w:rPr>
      </w:pPr>
      <w:r>
        <w:rPr>
          <w:rFonts w:ascii="宋体" w:hAnsi="宋体"/>
          <w:sz w:val="24"/>
        </w:rPr>
        <w:t>5</w:t>
      </w:r>
      <w:r>
        <w:rPr>
          <w:rFonts w:hint="eastAsia" w:ascii="宋体" w:hAnsi="宋体"/>
          <w:sz w:val="24"/>
        </w:rPr>
        <w:t>根据《三部门联合发布关于促进残疾人就业政府采购政策的通知》（财库〔2017〕141号）的要求，残疾人福利性单位视同小型、微型企业。符合本条件的投标人须附《残疾人福利性单位声明函》（格式见第五章附件）作为证明文件，否则将不予认可。本备注3、4、5不重复享受政策。</w:t>
      </w:r>
    </w:p>
    <w:p w14:paraId="50F892A0">
      <w:pPr>
        <w:rPr>
          <w:rFonts w:hint="eastAsia" w:ascii="宋体" w:hAnsi="宋体"/>
        </w:rPr>
      </w:pPr>
    </w:p>
    <w:sectPr>
      <w:headerReference r:id="rId23" w:type="default"/>
      <w:pgSz w:w="12240" w:h="15840"/>
      <w:pgMar w:top="1276" w:right="1797" w:bottom="1276" w:left="1797" w:header="907" w:footer="907"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MingLiU">
    <w:altName w:val="PMingLiU-ExtB"/>
    <w:panose1 w:val="02010609000101010101"/>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Frutiger Roman">
    <w:altName w:val="Segoe Print"/>
    <w:panose1 w:val="00000000000000000000"/>
    <w:charset w:val="00"/>
    <w:family w:val="swiss"/>
    <w:pitch w:val="default"/>
    <w:sig w:usb0="00000000" w:usb1="00000000" w:usb2="00000000" w:usb3="00000000" w:csb0="00000013"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EFF" w:usb1="C000785B" w:usb2="00000009" w:usb3="00000000" w:csb0="400001FF" w:csb1="FFFF0000"/>
  </w:font>
  <w:font w:name="Arial,Bold">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7FFAEFF" w:usb1="F9DFFFFF" w:usb2="0000007F" w:usb3="00000000" w:csb0="203F01FF" w:csb1="DFFF0000"/>
  </w:font>
  <w:font w:name="Book Antiqua">
    <w:panose1 w:val="02040602050305030304"/>
    <w:charset w:val="00"/>
    <w:family w:val="roman"/>
    <w:pitch w:val="default"/>
    <w:sig w:usb0="00000287" w:usb1="00000000" w:usb2="00000000" w:usb3="00000000" w:csb0="2000009F" w:csb1="DFD70000"/>
  </w:font>
  <w:font w:name="MingLiU_HKSCS">
    <w:altName w:val="MingLiU-ExtB"/>
    <w:panose1 w:val="00000000000000000000"/>
    <w:charset w:val="88"/>
    <w:family w:val="roman"/>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font>
  <w:font w:name="SSJ-PK74820000023-Identity-H">
    <w:altName w:val="宋体"/>
    <w:panose1 w:val="00000000000000000000"/>
    <w:charset w:val="86"/>
    <w:family w:val="auto"/>
    <w:pitch w:val="default"/>
    <w:sig w:usb0="00000000" w:usb1="00000000" w:usb2="00000010" w:usb3="00000000" w:csb0="00040000" w:csb1="00000000"/>
  </w:font>
  <w:font w:name="E-BZ-PK7487b-Identity-H">
    <w:altName w:val="Noto Serif SC"/>
    <w:panose1 w:val="00000000000000000000"/>
    <w:charset w:val="00"/>
    <w:family w:val="auto"/>
    <w:pitch w:val="default"/>
    <w:sig w:usb0="00000000" w:usb1="00000000" w:usb2="00000010" w:usb3="00000000" w:csb0="00040000" w:csb1="00000000"/>
  </w:font>
  <w:font w:name="Noto Serif SC">
    <w:panose1 w:val="02020200000000000000"/>
    <w:charset w:val="86"/>
    <w:family w:val="auto"/>
    <w:pitch w:val="default"/>
    <w:sig w:usb0="20000083" w:usb1="2ADF3C10" w:usb2="00000016" w:usb3="00000000" w:csb0="60060107" w:csb1="00000000"/>
  </w:font>
  <w:font w:name="Malgun Gothic">
    <w:panose1 w:val="020B0503020000020004"/>
    <w:charset w:val="81"/>
    <w:family w:val="auto"/>
    <w:pitch w:val="default"/>
    <w:sig w:usb0="9000002F" w:usb1="29D77CFB" w:usb2="00000012" w:usb3="00000000" w:csb0="00080001" w:csb1="00000000"/>
  </w:font>
  <w:font w:name="PMingLiU-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 w:name="Helvetica">
    <w:altName w:val="Arial"/>
    <w:panose1 w:val="00000000000000000000"/>
    <w:charset w:val="00"/>
    <w:family w:val="auto"/>
    <w:pitch w:val="default"/>
    <w:sig w:usb0="00000000" w:usb1="00000000" w:usb2="00000000" w:usb3="00000000" w:csb0="00000000"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6066"/>
    </w:sdtPr>
    <w:sdtEndPr>
      <w:rPr>
        <w:sz w:val="21"/>
        <w:szCs w:val="28"/>
      </w:rPr>
    </w:sdtEndPr>
    <w:sdtContent>
      <w:p w14:paraId="5F515AF2">
        <w:pPr>
          <w:pStyle w:val="24"/>
          <w:jc w:val="center"/>
          <w:rPr>
            <w:rFonts w:hint="eastAsia"/>
            <w:sz w:val="21"/>
            <w:szCs w:val="28"/>
          </w:rPr>
        </w:pPr>
        <w:r>
          <w:rPr>
            <w:sz w:val="21"/>
            <w:szCs w:val="28"/>
          </w:rPr>
          <w:fldChar w:fldCharType="begin"/>
        </w:r>
        <w:r>
          <w:rPr>
            <w:sz w:val="21"/>
            <w:szCs w:val="28"/>
          </w:rPr>
          <w:instrText xml:space="preserve">PAGE   \* MERGEFORMAT</w:instrText>
        </w:r>
        <w:r>
          <w:rPr>
            <w:sz w:val="21"/>
            <w:szCs w:val="28"/>
          </w:rPr>
          <w:fldChar w:fldCharType="separate"/>
        </w:r>
        <w:r>
          <w:rPr>
            <w:sz w:val="21"/>
            <w:szCs w:val="28"/>
            <w:lang w:val="zh-CN"/>
          </w:rPr>
          <w:t>69</w:t>
        </w:r>
        <w:r>
          <w:rPr>
            <w:sz w:val="21"/>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ABC3">
    <w:pPr>
      <w:pStyle w:val="2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5F201">
    <w:pPr>
      <w:pStyle w:val="24"/>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3473862"/>
    </w:sdtPr>
    <w:sdtEndPr>
      <w:rPr>
        <w:sz w:val="21"/>
        <w:szCs w:val="28"/>
      </w:rPr>
    </w:sdtEndPr>
    <w:sdtContent>
      <w:p w14:paraId="2452E6FC">
        <w:pPr>
          <w:pStyle w:val="24"/>
          <w:jc w:val="center"/>
          <w:rPr>
            <w:rFonts w:hint="eastAsia"/>
            <w:sz w:val="21"/>
            <w:szCs w:val="28"/>
          </w:rPr>
        </w:pPr>
        <w:r>
          <w:rPr>
            <w:sz w:val="21"/>
            <w:szCs w:val="28"/>
          </w:rPr>
          <w:fldChar w:fldCharType="begin"/>
        </w:r>
        <w:r>
          <w:rPr>
            <w:sz w:val="21"/>
            <w:szCs w:val="28"/>
          </w:rPr>
          <w:instrText xml:space="preserve">PAGE   \* MERGEFORMAT</w:instrText>
        </w:r>
        <w:r>
          <w:rPr>
            <w:sz w:val="21"/>
            <w:szCs w:val="28"/>
          </w:rPr>
          <w:fldChar w:fldCharType="separate"/>
        </w:r>
        <w:r>
          <w:rPr>
            <w:sz w:val="21"/>
            <w:szCs w:val="28"/>
            <w:lang w:val="zh-CN"/>
          </w:rPr>
          <w:t>69</w:t>
        </w:r>
        <w:r>
          <w:rPr>
            <w:sz w:val="21"/>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D308D">
    <w:pPr>
      <w:pStyle w:val="24"/>
      <w:jc w:val="center"/>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7780"/>
    </w:sdtPr>
    <w:sdtEndPr>
      <w:rPr>
        <w:sz w:val="21"/>
        <w:szCs w:val="28"/>
      </w:rPr>
    </w:sdtEndPr>
    <w:sdtContent>
      <w:p w14:paraId="2B1B641D">
        <w:pPr>
          <w:pStyle w:val="24"/>
          <w:jc w:val="center"/>
          <w:rPr>
            <w:rFonts w:hint="eastAsia"/>
            <w:sz w:val="21"/>
            <w:szCs w:val="28"/>
          </w:rPr>
        </w:pPr>
        <w:r>
          <w:rPr>
            <w:sz w:val="21"/>
            <w:szCs w:val="28"/>
          </w:rPr>
          <w:fldChar w:fldCharType="begin"/>
        </w:r>
        <w:r>
          <w:rPr>
            <w:sz w:val="21"/>
            <w:szCs w:val="28"/>
          </w:rPr>
          <w:instrText xml:space="preserve">PAGE   \* MERGEFORMAT</w:instrText>
        </w:r>
        <w:r>
          <w:rPr>
            <w:sz w:val="21"/>
            <w:szCs w:val="28"/>
          </w:rPr>
          <w:fldChar w:fldCharType="separate"/>
        </w:r>
        <w:r>
          <w:rPr>
            <w:sz w:val="21"/>
            <w:szCs w:val="28"/>
            <w:lang w:val="zh-CN"/>
          </w:rPr>
          <w:t>69</w:t>
        </w:r>
        <w:r>
          <w:rPr>
            <w:sz w:val="21"/>
            <w:szCs w:val="2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C9097">
    <w:pPr>
      <w:pStyle w:val="24"/>
      <w:framePr w:wrap="around" w:vAnchor="text" w:hAnchor="margin" w:xAlign="center" w:y="1"/>
      <w:rPr>
        <w:rStyle w:val="40"/>
        <w:rFonts w:hint="eastAsia"/>
        <w:caps/>
      </w:rPr>
    </w:pPr>
    <w:r>
      <w:rPr>
        <w:caps/>
      </w:rPr>
      <w:fldChar w:fldCharType="begin"/>
    </w:r>
    <w:r>
      <w:rPr>
        <w:rStyle w:val="40"/>
        <w:caps/>
      </w:rPr>
      <w:instrText xml:space="preserve">PAGE  </w:instrText>
    </w:r>
    <w:r>
      <w:rPr>
        <w:caps/>
      </w:rPr>
      <w:fldChar w:fldCharType="separate"/>
    </w:r>
    <w:r>
      <w:rPr>
        <w:rStyle w:val="40"/>
        <w:caps/>
      </w:rPr>
      <w:t>- 52 -</w:t>
    </w:r>
    <w:r>
      <w:rPr>
        <w:caps/>
      </w:rPr>
      <w:fldChar w:fldCharType="end"/>
    </w:r>
  </w:p>
  <w:p w14:paraId="0DE3AD2D">
    <w:pPr>
      <w:pStyle w:val="24"/>
      <w:jc w:val="center"/>
      <w:rPr>
        <w:rFonts w:hint="eastAsia"/>
        <w:caps/>
        <w:sz w:val="17"/>
        <w:szCs w:val="17"/>
      </w:rPr>
    </w:pPr>
    <w:r>
      <w:rPr>
        <w:rStyle w:val="40"/>
        <w:rFonts w:hint="eastAsia"/>
        <w:caps/>
        <w:sz w:val="17"/>
        <w:szCs w:val="17"/>
      </w:rPr>
      <w:t>51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F1269">
    <w:pPr>
      <w:pStyle w:val="24"/>
      <w:framePr w:wrap="around" w:vAnchor="text" w:hAnchor="margin" w:xAlign="center" w:y="1"/>
      <w:rPr>
        <w:rStyle w:val="40"/>
        <w:rFonts w:hint="eastAsia"/>
      </w:rPr>
    </w:pPr>
    <w:r>
      <w:fldChar w:fldCharType="begin"/>
    </w:r>
    <w:r>
      <w:rPr>
        <w:rStyle w:val="40"/>
      </w:rPr>
      <w:instrText xml:space="preserve">PAGE  </w:instrText>
    </w:r>
    <w:r>
      <w:fldChar w:fldCharType="separate"/>
    </w:r>
    <w:r>
      <w:rPr>
        <w:rStyle w:val="40"/>
      </w:rPr>
      <w:t>- 52 -</w:t>
    </w:r>
    <w:r>
      <w:fldChar w:fldCharType="end"/>
    </w:r>
  </w:p>
  <w:p w14:paraId="4A921498">
    <w:pPr>
      <w:pStyle w:val="24"/>
      <w:jc w:val="center"/>
      <w:rPr>
        <w:rFonts w:hint="eastAsia"/>
        <w:sz w:val="17"/>
        <w:szCs w:val="17"/>
      </w:rPr>
    </w:pPr>
    <w:r>
      <w:rPr>
        <w:rStyle w:val="40"/>
        <w:rFonts w:hint="eastAsia"/>
        <w:sz w:val="17"/>
        <w:szCs w:val="17"/>
      </w:rPr>
      <w:t>51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ED088">
    <w:pPr>
      <w:pStyle w:val="24"/>
      <w:framePr w:wrap="around" w:vAnchor="text" w:hAnchor="margin" w:xAlign="center" w:y="1"/>
      <w:rPr>
        <w:rStyle w:val="40"/>
        <w:rFonts w:hint="eastAsia"/>
      </w:rPr>
    </w:pPr>
    <w:r>
      <w:fldChar w:fldCharType="begin"/>
    </w:r>
    <w:r>
      <w:rPr>
        <w:rStyle w:val="40"/>
      </w:rPr>
      <w:instrText xml:space="preserve">PAGE  </w:instrText>
    </w:r>
    <w:r>
      <w:fldChar w:fldCharType="separate"/>
    </w:r>
    <w:r>
      <w:rPr>
        <w:rStyle w:val="40"/>
      </w:rPr>
      <w:t>- 52 -</w:t>
    </w:r>
    <w:r>
      <w:fldChar w:fldCharType="end"/>
    </w:r>
  </w:p>
  <w:p w14:paraId="5882A495">
    <w:pPr>
      <w:pStyle w:val="24"/>
      <w:jc w:val="center"/>
      <w:rPr>
        <w:rFonts w:hint="eastAsia"/>
        <w:sz w:val="17"/>
        <w:szCs w:val="17"/>
      </w:rPr>
    </w:pPr>
    <w:r>
      <w:rPr>
        <w:rStyle w:val="40"/>
        <w:rFonts w:hint="eastAsia"/>
        <w:sz w:val="17"/>
        <w:szCs w:val="17"/>
      </w:rPr>
      <w:t>51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74BAE">
    <w:pPr>
      <w:pStyle w:val="25"/>
      <w:pBdr>
        <w:bottom w:val="none" w:color="auto" w:sz="0" w:space="0"/>
      </w:pBdr>
      <w:rPr>
        <w:rFonts w:hint="eastAsi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EEF57">
    <w:pPr>
      <w:pStyle w:val="25"/>
      <w:rPr>
        <w:rFonts w:hint="eastAsia"/>
        <w:szCs w:val="17"/>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734C1">
    <w:pPr>
      <w:pStyle w:val="25"/>
      <w:pBdr>
        <w:bottom w:val="none" w:color="auto" w:sz="0" w:space="0"/>
      </w:pBdr>
      <w:jc w:val="both"/>
      <w:rPr>
        <w:rFonts w:hint="eastAsia" w:ascii="楷体_GB2312" w:eastAsia="楷体_GB2312"/>
        <w:sz w:val="21"/>
        <w:szCs w:val="21"/>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07BBC">
    <w:pPr>
      <w:pStyle w:val="25"/>
      <w:pBdr>
        <w:bottom w:val="none" w:color="auto" w:sz="0" w:space="0"/>
      </w:pBdr>
      <w:jc w:val="both"/>
      <w:rPr>
        <w:rFonts w:hint="eastAsia" w:ascii="楷体_GB2312" w:eastAsia="楷体_GB2312"/>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D935D">
    <w:pPr>
      <w:pStyle w:val="25"/>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15C9C">
    <w:pPr>
      <w:pStyle w:val="25"/>
      <w:pBdr>
        <w:bottom w:val="none" w:color="auto" w:sz="0" w:space="0"/>
      </w:pBdr>
      <w:tabs>
        <w:tab w:val="left" w:pos="4130"/>
        <w:tab w:val="clear" w:pos="4153"/>
      </w:tabs>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ECC16">
    <w:pPr>
      <w:pStyle w:val="25"/>
      <w:pBdr>
        <w:bottom w:val="none" w:color="auto" w:sz="0" w:space="0"/>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4987C">
    <w:pPr>
      <w:pStyle w:val="25"/>
      <w:pBdr>
        <w:bottom w:val="none" w:color="auto" w:sz="0" w:space="0"/>
      </w:pBdr>
      <w:tabs>
        <w:tab w:val="left" w:pos="4130"/>
        <w:tab w:val="clear" w:pos="4153"/>
      </w:tabs>
      <w:jc w:val="both"/>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8CB14">
    <w:pPr>
      <w:pStyle w:val="25"/>
      <w:pBdr>
        <w:bottom w:val="none" w:color="auto" w:sz="0" w:space="0"/>
      </w:pBdr>
      <w:jc w:val="both"/>
      <w:rPr>
        <w:rFonts w:hint="eastAsia"/>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EC292">
    <w:pPr>
      <w:pStyle w:val="25"/>
      <w:pBdr>
        <w:bottom w:val="none" w:color="auto" w:sz="0" w:space="0"/>
      </w:pBdr>
      <w:jc w:val="both"/>
      <w:rPr>
        <w:rFonts w:hint="eastAsia"/>
        <w:szCs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81224">
    <w:pPr>
      <w:pStyle w:val="25"/>
      <w:rPr>
        <w:rFonts w:hint="eastAsia"/>
        <w:szCs w:val="17"/>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D65B">
    <w:pPr>
      <w:pStyle w:val="25"/>
      <w:pBdr>
        <w:bottom w:val="none" w:color="auto" w:sz="0" w:space="0"/>
      </w:pBdr>
      <w:rPr>
        <w:rFonts w:hint="eastAsia"/>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3EFAA"/>
    <w:multiLevelType w:val="multilevel"/>
    <w:tmpl w:val="8593EFAA"/>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8FC02478"/>
    <w:multiLevelType w:val="multilevel"/>
    <w:tmpl w:val="8FC02478"/>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90C3AD32"/>
    <w:multiLevelType w:val="multilevel"/>
    <w:tmpl w:val="90C3AD32"/>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D1A65127"/>
    <w:multiLevelType w:val="singleLevel"/>
    <w:tmpl w:val="D1A65127"/>
    <w:lvl w:ilvl="0" w:tentative="0">
      <w:start w:val="1"/>
      <w:numFmt w:val="decimal"/>
      <w:suff w:val="nothing"/>
      <w:lvlText w:val="%1、"/>
      <w:lvlJc w:val="left"/>
    </w:lvl>
  </w:abstractNum>
  <w:abstractNum w:abstractNumId="4">
    <w:nsid w:val="0000000D"/>
    <w:multiLevelType w:val="multilevel"/>
    <w:tmpl w:val="0000000D"/>
    <w:lvl w:ilvl="0" w:tentative="0">
      <w:start w:val="1"/>
      <w:numFmt w:val="decimalEnclosedCircle"/>
      <w:pStyle w:val="124"/>
      <w:lvlText w:val="%1"/>
      <w:lvlJc w:val="left"/>
      <w:pPr>
        <w:ind w:left="360" w:hanging="360"/>
      </w:pPr>
      <w:rPr>
        <w:rFonts w:hint="default"/>
      </w:rPr>
    </w:lvl>
    <w:lvl w:ilvl="1" w:tentative="0">
      <w:start w:val="1"/>
      <w:numFmt w:val="lowerLetter"/>
      <w:pStyle w:val="123"/>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3"/>
    <w:multiLevelType w:val="multilevel"/>
    <w:tmpl w:val="00000013"/>
    <w:lvl w:ilvl="0" w:tentative="0">
      <w:start w:val="1"/>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1"/>
      <w:numFmt w:val="lowerRoman"/>
      <w:pStyle w:val="128"/>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6"/>
    <w:multiLevelType w:val="multilevel"/>
    <w:tmpl w:val="00000016"/>
    <w:lvl w:ilvl="0" w:tentative="0">
      <w:start w:val="1"/>
      <w:numFmt w:val="decimalEnclosedCircle"/>
      <w:pStyle w:val="126"/>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17"/>
    <w:multiLevelType w:val="multilevel"/>
    <w:tmpl w:val="00000017"/>
    <w:lvl w:ilvl="0" w:tentative="0">
      <w:start w:val="1"/>
      <w:numFmt w:val="decimalEnclosedCircle"/>
      <w:pStyle w:val="125"/>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20"/>
    <w:multiLevelType w:val="multilevel"/>
    <w:tmpl w:val="00000020"/>
    <w:lvl w:ilvl="0" w:tentative="0">
      <w:start w:val="1"/>
      <w:numFmt w:val="decimalEnclosedCircle"/>
      <w:pStyle w:val="127"/>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21"/>
    <w:multiLevelType w:val="multilevel"/>
    <w:tmpl w:val="00000021"/>
    <w:lvl w:ilvl="0" w:tentative="0">
      <w:start w:val="1"/>
      <w:numFmt w:val="decimalEnclosedCircle"/>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D77295"/>
    <w:multiLevelType w:val="multilevel"/>
    <w:tmpl w:val="0ED77295"/>
    <w:lvl w:ilvl="0" w:tentative="0">
      <w:start w:val="1"/>
      <w:numFmt w:val="decimal"/>
      <w:pStyle w:val="99"/>
      <w:lvlText w:val="%1"/>
      <w:lvlJc w:val="left"/>
      <w:pPr>
        <w:tabs>
          <w:tab w:val="left" w:pos="360"/>
        </w:tabs>
        <w:ind w:left="0" w:firstLine="0"/>
      </w:pPr>
      <w:rPr>
        <w:rFonts w:hint="eastAsia"/>
      </w:rPr>
    </w:lvl>
    <w:lvl w:ilvl="1" w:tentative="0">
      <w:start w:val="1"/>
      <w:numFmt w:val="decimal"/>
      <w:lvlText w:val="%1.%2"/>
      <w:lvlJc w:val="left"/>
      <w:pPr>
        <w:tabs>
          <w:tab w:val="left" w:pos="720"/>
        </w:tabs>
        <w:ind w:left="0" w:firstLine="0"/>
      </w:pPr>
      <w:rPr>
        <w:rFonts w:hint="eastAsia"/>
      </w:rPr>
    </w:lvl>
    <w:lvl w:ilvl="2" w:tentative="0">
      <w:start w:val="1"/>
      <w:numFmt w:val="decimal"/>
      <w:lvlText w:val="%1.%2.%3"/>
      <w:lvlJc w:val="left"/>
      <w:pPr>
        <w:tabs>
          <w:tab w:val="left" w:pos="1080"/>
        </w:tabs>
        <w:ind w:left="0" w:firstLine="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1">
    <w:nsid w:val="0FB126E7"/>
    <w:multiLevelType w:val="multilevel"/>
    <w:tmpl w:val="0FB126E7"/>
    <w:lvl w:ilvl="0" w:tentative="0">
      <w:start w:val="1"/>
      <w:numFmt w:val="decimal"/>
      <w:lvlText w:val="（%1）"/>
      <w:lvlJc w:val="left"/>
      <w:pPr>
        <w:tabs>
          <w:tab w:val="left" w:pos="284"/>
        </w:tabs>
        <w:ind w:left="851" w:hanging="851"/>
      </w:pPr>
      <w:rPr>
        <w:rFonts w:hint="eastAsia"/>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2">
    <w:nsid w:val="10D97727"/>
    <w:multiLevelType w:val="multilevel"/>
    <w:tmpl w:val="10D97727"/>
    <w:lvl w:ilvl="0" w:tentative="0">
      <w:start w:val="1"/>
      <w:numFmt w:val="decimal"/>
      <w:suff w:val="space"/>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14FB21E0"/>
    <w:multiLevelType w:val="multilevel"/>
    <w:tmpl w:val="14FB21E0"/>
    <w:lvl w:ilvl="0" w:tentative="0">
      <w:start w:val="1"/>
      <w:numFmt w:val="decimal"/>
      <w:suff w:val="space"/>
      <w:lvlText w:val="（%1）"/>
      <w:lvlJc w:val="left"/>
      <w:pPr>
        <w:ind w:left="851" w:hanging="851"/>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4">
    <w:nsid w:val="284B0A56"/>
    <w:multiLevelType w:val="multilevel"/>
    <w:tmpl w:val="284B0A56"/>
    <w:lvl w:ilvl="0" w:tentative="0">
      <w:start w:val="1"/>
      <w:numFmt w:val="decimal"/>
      <w:lvlText w:val="（%1）"/>
      <w:lvlJc w:val="left"/>
      <w:pPr>
        <w:ind w:left="1336" w:hanging="635"/>
      </w:pPr>
      <w:rPr>
        <w:rFonts w:hint="default" w:ascii="宋体" w:hAnsi="宋体" w:eastAsia="宋体" w:cs="宋体"/>
        <w:b w:val="0"/>
        <w:bCs w:val="0"/>
        <w:i w:val="0"/>
        <w:iCs w:val="0"/>
        <w:spacing w:val="-1"/>
        <w:w w:val="100"/>
        <w:sz w:val="24"/>
        <w:szCs w:val="24"/>
        <w:lang w:val="en-US" w:eastAsia="zh-CN" w:bidi="ar-SA"/>
      </w:rPr>
    </w:lvl>
    <w:lvl w:ilvl="1" w:tentative="0">
      <w:start w:val="0"/>
      <w:numFmt w:val="bullet"/>
      <w:lvlText w:val="•"/>
      <w:lvlJc w:val="left"/>
      <w:pPr>
        <w:ind w:left="2252" w:hanging="635"/>
      </w:pPr>
      <w:rPr>
        <w:rFonts w:hint="default"/>
        <w:lang w:val="en-US" w:eastAsia="zh-CN" w:bidi="ar-SA"/>
      </w:rPr>
    </w:lvl>
    <w:lvl w:ilvl="2" w:tentative="0">
      <w:start w:val="0"/>
      <w:numFmt w:val="bullet"/>
      <w:lvlText w:val="•"/>
      <w:lvlJc w:val="left"/>
      <w:pPr>
        <w:ind w:left="3165" w:hanging="635"/>
      </w:pPr>
      <w:rPr>
        <w:rFonts w:hint="default"/>
        <w:lang w:val="en-US" w:eastAsia="zh-CN" w:bidi="ar-SA"/>
      </w:rPr>
    </w:lvl>
    <w:lvl w:ilvl="3" w:tentative="0">
      <w:start w:val="0"/>
      <w:numFmt w:val="bullet"/>
      <w:lvlText w:val="•"/>
      <w:lvlJc w:val="left"/>
      <w:pPr>
        <w:ind w:left="4078" w:hanging="635"/>
      </w:pPr>
      <w:rPr>
        <w:rFonts w:hint="default"/>
        <w:lang w:val="en-US" w:eastAsia="zh-CN" w:bidi="ar-SA"/>
      </w:rPr>
    </w:lvl>
    <w:lvl w:ilvl="4" w:tentative="0">
      <w:start w:val="0"/>
      <w:numFmt w:val="bullet"/>
      <w:lvlText w:val="•"/>
      <w:lvlJc w:val="left"/>
      <w:pPr>
        <w:ind w:left="4990" w:hanging="635"/>
      </w:pPr>
      <w:rPr>
        <w:rFonts w:hint="default"/>
        <w:lang w:val="en-US" w:eastAsia="zh-CN" w:bidi="ar-SA"/>
      </w:rPr>
    </w:lvl>
    <w:lvl w:ilvl="5" w:tentative="0">
      <w:start w:val="0"/>
      <w:numFmt w:val="bullet"/>
      <w:lvlText w:val="•"/>
      <w:lvlJc w:val="left"/>
      <w:pPr>
        <w:ind w:left="5903" w:hanging="635"/>
      </w:pPr>
      <w:rPr>
        <w:rFonts w:hint="default"/>
        <w:lang w:val="en-US" w:eastAsia="zh-CN" w:bidi="ar-SA"/>
      </w:rPr>
    </w:lvl>
    <w:lvl w:ilvl="6" w:tentative="0">
      <w:start w:val="0"/>
      <w:numFmt w:val="bullet"/>
      <w:lvlText w:val="•"/>
      <w:lvlJc w:val="left"/>
      <w:pPr>
        <w:ind w:left="6816" w:hanging="635"/>
      </w:pPr>
      <w:rPr>
        <w:rFonts w:hint="default"/>
        <w:lang w:val="en-US" w:eastAsia="zh-CN" w:bidi="ar-SA"/>
      </w:rPr>
    </w:lvl>
    <w:lvl w:ilvl="7" w:tentative="0">
      <w:start w:val="0"/>
      <w:numFmt w:val="bullet"/>
      <w:lvlText w:val="•"/>
      <w:lvlJc w:val="left"/>
      <w:pPr>
        <w:ind w:left="7728" w:hanging="635"/>
      </w:pPr>
      <w:rPr>
        <w:rFonts w:hint="default"/>
        <w:lang w:val="en-US" w:eastAsia="zh-CN" w:bidi="ar-SA"/>
      </w:rPr>
    </w:lvl>
    <w:lvl w:ilvl="8" w:tentative="0">
      <w:start w:val="0"/>
      <w:numFmt w:val="bullet"/>
      <w:lvlText w:val="•"/>
      <w:lvlJc w:val="left"/>
      <w:pPr>
        <w:ind w:left="8641" w:hanging="635"/>
      </w:pPr>
      <w:rPr>
        <w:rFonts w:hint="default"/>
        <w:lang w:val="en-US" w:eastAsia="zh-CN" w:bidi="ar-SA"/>
      </w:rPr>
    </w:lvl>
  </w:abstractNum>
  <w:abstractNum w:abstractNumId="15">
    <w:nsid w:val="36E404D8"/>
    <w:multiLevelType w:val="multilevel"/>
    <w:tmpl w:val="36E404D8"/>
    <w:lvl w:ilvl="0" w:tentative="0">
      <w:start w:val="1"/>
      <w:numFmt w:val="decimal"/>
      <w:lvlText w:val="（%1）"/>
      <w:lvlJc w:val="left"/>
      <w:pPr>
        <w:ind w:left="720" w:hanging="7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BB43B9F"/>
    <w:multiLevelType w:val="multilevel"/>
    <w:tmpl w:val="3BB43B9F"/>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4D0E0F5"/>
    <w:multiLevelType w:val="singleLevel"/>
    <w:tmpl w:val="54D0E0F5"/>
    <w:lvl w:ilvl="0" w:tentative="0">
      <w:start w:val="7"/>
      <w:numFmt w:val="decimal"/>
      <w:suff w:val="nothing"/>
      <w:lvlText w:val="%1、"/>
      <w:lvlJc w:val="left"/>
    </w:lvl>
  </w:abstractNum>
  <w:abstractNum w:abstractNumId="18">
    <w:nsid w:val="5785C762"/>
    <w:multiLevelType w:val="singleLevel"/>
    <w:tmpl w:val="5785C762"/>
    <w:lvl w:ilvl="0" w:tentative="0">
      <w:start w:val="12"/>
      <w:numFmt w:val="decimal"/>
      <w:suff w:val="nothing"/>
      <w:lvlText w:val="%1、"/>
      <w:lvlJc w:val="left"/>
    </w:lvl>
  </w:abstractNum>
  <w:abstractNum w:abstractNumId="19">
    <w:nsid w:val="57F9DD0B"/>
    <w:multiLevelType w:val="singleLevel"/>
    <w:tmpl w:val="57F9DD0B"/>
    <w:lvl w:ilvl="0" w:tentative="0">
      <w:start w:val="1"/>
      <w:numFmt w:val="decimal"/>
      <w:suff w:val="nothing"/>
      <w:lvlText w:val="%1、"/>
      <w:lvlJc w:val="left"/>
    </w:lvl>
  </w:abstractNum>
  <w:abstractNum w:abstractNumId="20">
    <w:nsid w:val="586AAC49"/>
    <w:multiLevelType w:val="singleLevel"/>
    <w:tmpl w:val="586AAC49"/>
    <w:lvl w:ilvl="0" w:tentative="0">
      <w:start w:val="1"/>
      <w:numFmt w:val="decimal"/>
      <w:suff w:val="nothing"/>
      <w:lvlText w:val="%1、"/>
      <w:lvlJc w:val="left"/>
    </w:lvl>
  </w:abstractNum>
  <w:abstractNum w:abstractNumId="21">
    <w:nsid w:val="62E9465E"/>
    <w:multiLevelType w:val="multilevel"/>
    <w:tmpl w:val="62E9465E"/>
    <w:lvl w:ilvl="0" w:tentative="0">
      <w:start w:val="2"/>
      <w:numFmt w:val="decimal"/>
      <w:lvlText w:val="（%1）"/>
      <w:lvlJc w:val="left"/>
      <w:pPr>
        <w:tabs>
          <w:tab w:val="left" w:pos="340"/>
        </w:tabs>
        <w:ind w:left="680" w:hanging="680"/>
      </w:pPr>
      <w:rPr>
        <w:rFonts w:hint="eastAsia"/>
        <w:lang w:val="en-US"/>
      </w:rPr>
    </w:lvl>
    <w:lvl w:ilvl="1" w:tentative="0">
      <w:start w:val="1"/>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567"/>
        </w:tabs>
        <w:ind w:left="510" w:hanging="510"/>
      </w:pPr>
      <w:rPr>
        <w:rFonts w:hint="eastAsia"/>
        <w:b w:val="0"/>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2">
    <w:nsid w:val="64FE8C09"/>
    <w:multiLevelType w:val="singleLevel"/>
    <w:tmpl w:val="64FE8C09"/>
    <w:lvl w:ilvl="0" w:tentative="0">
      <w:start w:val="1"/>
      <w:numFmt w:val="decimal"/>
      <w:lvlText w:val="%1."/>
      <w:lvlJc w:val="left"/>
      <w:pPr>
        <w:tabs>
          <w:tab w:val="left" w:pos="312"/>
        </w:tabs>
      </w:pPr>
    </w:lvl>
  </w:abstractNum>
  <w:abstractNum w:abstractNumId="23">
    <w:nsid w:val="73752779"/>
    <w:multiLevelType w:val="multilevel"/>
    <w:tmpl w:val="73752779"/>
    <w:lvl w:ilvl="0" w:tentative="0">
      <w:start w:val="1"/>
      <w:numFmt w:val="decimal"/>
      <w:lvlText w:val="1.%1."/>
      <w:lvlJc w:val="left"/>
      <w:pPr>
        <w:ind w:left="420" w:hanging="420"/>
      </w:pPr>
      <w:rPr>
        <w:rFonts w:hint="eastAsia"/>
      </w:rPr>
    </w:lvl>
    <w:lvl w:ilvl="1" w:tentative="0">
      <w:start w:val="1"/>
      <w:numFmt w:val="lowerLetter"/>
      <w:pStyle w:val="86"/>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7E15509"/>
    <w:multiLevelType w:val="multilevel"/>
    <w:tmpl w:val="77E1550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5">
    <w:nsid w:val="7BD2027F"/>
    <w:multiLevelType w:val="multilevel"/>
    <w:tmpl w:val="7BD2027F"/>
    <w:lvl w:ilvl="0" w:tentative="0">
      <w:start w:val="1"/>
      <w:numFmt w:val="decimal"/>
      <w:lvlText w:val="（%1）"/>
      <w:lvlJc w:val="left"/>
      <w:pPr>
        <w:ind w:left="440" w:hanging="440"/>
      </w:pPr>
      <w:rPr>
        <w:rFonts w:hint="default" w:ascii="Times New Roman" w:hAnsi="Times New Roman"/>
        <w:sz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3"/>
  </w:num>
  <w:num w:numId="2">
    <w:abstractNumId w:val="10"/>
  </w:num>
  <w:num w:numId="3">
    <w:abstractNumId w:val="4"/>
  </w:num>
  <w:num w:numId="4">
    <w:abstractNumId w:val="7"/>
  </w:num>
  <w:num w:numId="5">
    <w:abstractNumId w:val="6"/>
  </w:num>
  <w:num w:numId="6">
    <w:abstractNumId w:val="8"/>
  </w:num>
  <w:num w:numId="7">
    <w:abstractNumId w:val="5"/>
  </w:num>
  <w:num w:numId="8">
    <w:abstractNumId w:val="9"/>
  </w:num>
  <w:num w:numId="9">
    <w:abstractNumId w:val="24"/>
  </w:num>
  <w:num w:numId="10">
    <w:abstractNumId w:val="11"/>
  </w:num>
  <w:num w:numId="11">
    <w:abstractNumId w:val="25"/>
  </w:num>
  <w:num w:numId="12">
    <w:abstractNumId w:val="22"/>
  </w:num>
  <w:num w:numId="13">
    <w:abstractNumId w:val="21"/>
  </w:num>
  <w:num w:numId="14">
    <w:abstractNumId w:val="13"/>
  </w:num>
  <w:num w:numId="15">
    <w:abstractNumId w:val="15"/>
  </w:num>
  <w:num w:numId="16">
    <w:abstractNumId w:val="12"/>
  </w:num>
  <w:num w:numId="17">
    <w:abstractNumId w:val="17"/>
  </w:num>
  <w:num w:numId="18">
    <w:abstractNumId w:val="18"/>
  </w:num>
  <w:num w:numId="19">
    <w:abstractNumId w:val="3"/>
  </w:num>
  <w:num w:numId="20">
    <w:abstractNumId w:val="19"/>
  </w:num>
  <w:num w:numId="21">
    <w:abstractNumId w:val="16"/>
  </w:num>
  <w:num w:numId="22">
    <w:abstractNumId w:val="1"/>
  </w:num>
  <w:num w:numId="23">
    <w:abstractNumId w:val="2"/>
  </w:num>
  <w:num w:numId="24">
    <w:abstractNumId w:val="0"/>
  </w:num>
  <w:num w:numId="25">
    <w:abstractNumId w:val="2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7F8"/>
    <w:rsid w:val="0000005E"/>
    <w:rsid w:val="00001F92"/>
    <w:rsid w:val="000026FD"/>
    <w:rsid w:val="0000310B"/>
    <w:rsid w:val="0000578A"/>
    <w:rsid w:val="00005885"/>
    <w:rsid w:val="000067DA"/>
    <w:rsid w:val="00010FF8"/>
    <w:rsid w:val="0001114E"/>
    <w:rsid w:val="0001202C"/>
    <w:rsid w:val="000126B4"/>
    <w:rsid w:val="0001433F"/>
    <w:rsid w:val="00016586"/>
    <w:rsid w:val="00022034"/>
    <w:rsid w:val="00023C92"/>
    <w:rsid w:val="00025A16"/>
    <w:rsid w:val="00026058"/>
    <w:rsid w:val="000304B2"/>
    <w:rsid w:val="00030BA5"/>
    <w:rsid w:val="00031128"/>
    <w:rsid w:val="000317C3"/>
    <w:rsid w:val="00035687"/>
    <w:rsid w:val="00036C83"/>
    <w:rsid w:val="000425C9"/>
    <w:rsid w:val="00043FCD"/>
    <w:rsid w:val="00044047"/>
    <w:rsid w:val="000474B6"/>
    <w:rsid w:val="00051EB6"/>
    <w:rsid w:val="00054FC1"/>
    <w:rsid w:val="00055F16"/>
    <w:rsid w:val="000563BE"/>
    <w:rsid w:val="00057348"/>
    <w:rsid w:val="00061732"/>
    <w:rsid w:val="00064C6D"/>
    <w:rsid w:val="00065899"/>
    <w:rsid w:val="00070A13"/>
    <w:rsid w:val="00073381"/>
    <w:rsid w:val="00077FC1"/>
    <w:rsid w:val="00080A68"/>
    <w:rsid w:val="0008208D"/>
    <w:rsid w:val="0008415E"/>
    <w:rsid w:val="000876D5"/>
    <w:rsid w:val="00090732"/>
    <w:rsid w:val="000919D0"/>
    <w:rsid w:val="00091FD4"/>
    <w:rsid w:val="00091FEB"/>
    <w:rsid w:val="000929D4"/>
    <w:rsid w:val="00092BAE"/>
    <w:rsid w:val="000930C0"/>
    <w:rsid w:val="00093609"/>
    <w:rsid w:val="00093A33"/>
    <w:rsid w:val="00095F63"/>
    <w:rsid w:val="000964B9"/>
    <w:rsid w:val="00096639"/>
    <w:rsid w:val="00097EFF"/>
    <w:rsid w:val="000A0718"/>
    <w:rsid w:val="000A25D3"/>
    <w:rsid w:val="000A3B46"/>
    <w:rsid w:val="000A52E3"/>
    <w:rsid w:val="000A5D05"/>
    <w:rsid w:val="000A6462"/>
    <w:rsid w:val="000B0BBA"/>
    <w:rsid w:val="000B0F77"/>
    <w:rsid w:val="000B34A5"/>
    <w:rsid w:val="000B36F8"/>
    <w:rsid w:val="000B62BE"/>
    <w:rsid w:val="000B7592"/>
    <w:rsid w:val="000B7681"/>
    <w:rsid w:val="000C1041"/>
    <w:rsid w:val="000C149F"/>
    <w:rsid w:val="000C1AC8"/>
    <w:rsid w:val="000C617E"/>
    <w:rsid w:val="000D131C"/>
    <w:rsid w:val="000D1C76"/>
    <w:rsid w:val="000D1DA9"/>
    <w:rsid w:val="000D3284"/>
    <w:rsid w:val="000D4BBF"/>
    <w:rsid w:val="000D4F85"/>
    <w:rsid w:val="000D7DE9"/>
    <w:rsid w:val="000E09F0"/>
    <w:rsid w:val="000E32C1"/>
    <w:rsid w:val="000E4284"/>
    <w:rsid w:val="000E47A1"/>
    <w:rsid w:val="000E4D52"/>
    <w:rsid w:val="000F0547"/>
    <w:rsid w:val="000F3C3E"/>
    <w:rsid w:val="000F7688"/>
    <w:rsid w:val="000F79D1"/>
    <w:rsid w:val="00100F28"/>
    <w:rsid w:val="0010156B"/>
    <w:rsid w:val="00103447"/>
    <w:rsid w:val="00103774"/>
    <w:rsid w:val="001044EE"/>
    <w:rsid w:val="00105101"/>
    <w:rsid w:val="0010544A"/>
    <w:rsid w:val="00105A41"/>
    <w:rsid w:val="001066A0"/>
    <w:rsid w:val="00111C00"/>
    <w:rsid w:val="001201BA"/>
    <w:rsid w:val="001203A5"/>
    <w:rsid w:val="001303E1"/>
    <w:rsid w:val="001316F0"/>
    <w:rsid w:val="001324DB"/>
    <w:rsid w:val="0013295B"/>
    <w:rsid w:val="00133021"/>
    <w:rsid w:val="00134C21"/>
    <w:rsid w:val="00136C6A"/>
    <w:rsid w:val="00140158"/>
    <w:rsid w:val="0014322D"/>
    <w:rsid w:val="00143437"/>
    <w:rsid w:val="0014725C"/>
    <w:rsid w:val="00147D85"/>
    <w:rsid w:val="001537D7"/>
    <w:rsid w:val="0015441C"/>
    <w:rsid w:val="00155A73"/>
    <w:rsid w:val="001603D5"/>
    <w:rsid w:val="00162025"/>
    <w:rsid w:val="001622D8"/>
    <w:rsid w:val="0016263F"/>
    <w:rsid w:val="0016347C"/>
    <w:rsid w:val="00165F30"/>
    <w:rsid w:val="00170D61"/>
    <w:rsid w:val="00172273"/>
    <w:rsid w:val="00175ADE"/>
    <w:rsid w:val="00182758"/>
    <w:rsid w:val="00184D1F"/>
    <w:rsid w:val="00192B63"/>
    <w:rsid w:val="00192C81"/>
    <w:rsid w:val="001941A3"/>
    <w:rsid w:val="001A0378"/>
    <w:rsid w:val="001A0912"/>
    <w:rsid w:val="001A0CF6"/>
    <w:rsid w:val="001A366D"/>
    <w:rsid w:val="001A4317"/>
    <w:rsid w:val="001A4B7C"/>
    <w:rsid w:val="001B09F6"/>
    <w:rsid w:val="001B3CC0"/>
    <w:rsid w:val="001C065E"/>
    <w:rsid w:val="001C29EE"/>
    <w:rsid w:val="001C2A0E"/>
    <w:rsid w:val="001C38DF"/>
    <w:rsid w:val="001C4DDC"/>
    <w:rsid w:val="001C59FA"/>
    <w:rsid w:val="001C63D8"/>
    <w:rsid w:val="001C7394"/>
    <w:rsid w:val="001D1EF0"/>
    <w:rsid w:val="001D2650"/>
    <w:rsid w:val="001D2BCF"/>
    <w:rsid w:val="001D7648"/>
    <w:rsid w:val="001D76BD"/>
    <w:rsid w:val="001E0CEF"/>
    <w:rsid w:val="001E1C1B"/>
    <w:rsid w:val="001E54A0"/>
    <w:rsid w:val="001E5C11"/>
    <w:rsid w:val="001E79F0"/>
    <w:rsid w:val="001F3027"/>
    <w:rsid w:val="001F34C9"/>
    <w:rsid w:val="001F4261"/>
    <w:rsid w:val="001F4BC3"/>
    <w:rsid w:val="001F7404"/>
    <w:rsid w:val="00202CD9"/>
    <w:rsid w:val="00202DD9"/>
    <w:rsid w:val="00207292"/>
    <w:rsid w:val="002101AF"/>
    <w:rsid w:val="00213D9D"/>
    <w:rsid w:val="002141CC"/>
    <w:rsid w:val="00214D04"/>
    <w:rsid w:val="00215AD8"/>
    <w:rsid w:val="00217ED7"/>
    <w:rsid w:val="002228B5"/>
    <w:rsid w:val="002255E1"/>
    <w:rsid w:val="002256AA"/>
    <w:rsid w:val="002261B6"/>
    <w:rsid w:val="00227A07"/>
    <w:rsid w:val="00230CC9"/>
    <w:rsid w:val="00231090"/>
    <w:rsid w:val="00231DA1"/>
    <w:rsid w:val="0023361A"/>
    <w:rsid w:val="002365E2"/>
    <w:rsid w:val="00236A09"/>
    <w:rsid w:val="0023750D"/>
    <w:rsid w:val="00240DE4"/>
    <w:rsid w:val="00243DE9"/>
    <w:rsid w:val="002458CC"/>
    <w:rsid w:val="00245A9D"/>
    <w:rsid w:val="00250FDA"/>
    <w:rsid w:val="002517EA"/>
    <w:rsid w:val="002526C3"/>
    <w:rsid w:val="00253A37"/>
    <w:rsid w:val="00257E63"/>
    <w:rsid w:val="002617D3"/>
    <w:rsid w:val="00261E19"/>
    <w:rsid w:val="00261F10"/>
    <w:rsid w:val="002623EB"/>
    <w:rsid w:val="0026336A"/>
    <w:rsid w:val="00265898"/>
    <w:rsid w:val="0026636A"/>
    <w:rsid w:val="00267802"/>
    <w:rsid w:val="002701E2"/>
    <w:rsid w:val="00270D44"/>
    <w:rsid w:val="00273315"/>
    <w:rsid w:val="00273F77"/>
    <w:rsid w:val="002760D7"/>
    <w:rsid w:val="002775ED"/>
    <w:rsid w:val="002841C5"/>
    <w:rsid w:val="00286E3F"/>
    <w:rsid w:val="00287151"/>
    <w:rsid w:val="00287410"/>
    <w:rsid w:val="00290AC1"/>
    <w:rsid w:val="00290BA7"/>
    <w:rsid w:val="00291515"/>
    <w:rsid w:val="002917EA"/>
    <w:rsid w:val="002919D8"/>
    <w:rsid w:val="00294736"/>
    <w:rsid w:val="00295173"/>
    <w:rsid w:val="0029601F"/>
    <w:rsid w:val="002966C8"/>
    <w:rsid w:val="002A233F"/>
    <w:rsid w:val="002A416B"/>
    <w:rsid w:val="002A4330"/>
    <w:rsid w:val="002B5010"/>
    <w:rsid w:val="002B6C48"/>
    <w:rsid w:val="002C0114"/>
    <w:rsid w:val="002C0996"/>
    <w:rsid w:val="002C281C"/>
    <w:rsid w:val="002C3297"/>
    <w:rsid w:val="002C3F1E"/>
    <w:rsid w:val="002C4E2A"/>
    <w:rsid w:val="002C701D"/>
    <w:rsid w:val="002C7B32"/>
    <w:rsid w:val="002D03BA"/>
    <w:rsid w:val="002D04D8"/>
    <w:rsid w:val="002D1122"/>
    <w:rsid w:val="002D2876"/>
    <w:rsid w:val="002D5092"/>
    <w:rsid w:val="002D50D9"/>
    <w:rsid w:val="002D7E96"/>
    <w:rsid w:val="002E0CF1"/>
    <w:rsid w:val="002E1A89"/>
    <w:rsid w:val="002E3EEA"/>
    <w:rsid w:val="002E518B"/>
    <w:rsid w:val="002E6746"/>
    <w:rsid w:val="002E7A91"/>
    <w:rsid w:val="002E7ED9"/>
    <w:rsid w:val="002F0D73"/>
    <w:rsid w:val="002F2FCC"/>
    <w:rsid w:val="002F4867"/>
    <w:rsid w:val="002F65D9"/>
    <w:rsid w:val="002F68F8"/>
    <w:rsid w:val="00303AC2"/>
    <w:rsid w:val="00304168"/>
    <w:rsid w:val="0030673E"/>
    <w:rsid w:val="00307BEC"/>
    <w:rsid w:val="00307D2E"/>
    <w:rsid w:val="003173C5"/>
    <w:rsid w:val="00317455"/>
    <w:rsid w:val="00320EF2"/>
    <w:rsid w:val="00320FB6"/>
    <w:rsid w:val="0032674D"/>
    <w:rsid w:val="00327419"/>
    <w:rsid w:val="003279EE"/>
    <w:rsid w:val="003359D6"/>
    <w:rsid w:val="00335D87"/>
    <w:rsid w:val="00341F2D"/>
    <w:rsid w:val="00345F88"/>
    <w:rsid w:val="00350F08"/>
    <w:rsid w:val="00351B51"/>
    <w:rsid w:val="00352C75"/>
    <w:rsid w:val="0035372C"/>
    <w:rsid w:val="0035421B"/>
    <w:rsid w:val="00354590"/>
    <w:rsid w:val="0035626C"/>
    <w:rsid w:val="00357FB3"/>
    <w:rsid w:val="003613F2"/>
    <w:rsid w:val="003625B7"/>
    <w:rsid w:val="003646C6"/>
    <w:rsid w:val="00364859"/>
    <w:rsid w:val="003660D9"/>
    <w:rsid w:val="00370150"/>
    <w:rsid w:val="00370E7C"/>
    <w:rsid w:val="00371D46"/>
    <w:rsid w:val="00371D75"/>
    <w:rsid w:val="00372561"/>
    <w:rsid w:val="00373E50"/>
    <w:rsid w:val="0037426A"/>
    <w:rsid w:val="003771B7"/>
    <w:rsid w:val="00377A98"/>
    <w:rsid w:val="00382C5D"/>
    <w:rsid w:val="00382D7C"/>
    <w:rsid w:val="00383424"/>
    <w:rsid w:val="003861BA"/>
    <w:rsid w:val="00387A41"/>
    <w:rsid w:val="00391B9D"/>
    <w:rsid w:val="00394DFB"/>
    <w:rsid w:val="00396665"/>
    <w:rsid w:val="003A07A5"/>
    <w:rsid w:val="003A0B6A"/>
    <w:rsid w:val="003A0D78"/>
    <w:rsid w:val="003A0EA2"/>
    <w:rsid w:val="003A1395"/>
    <w:rsid w:val="003A1DD2"/>
    <w:rsid w:val="003A2135"/>
    <w:rsid w:val="003A2E84"/>
    <w:rsid w:val="003A30AE"/>
    <w:rsid w:val="003A3716"/>
    <w:rsid w:val="003A78BF"/>
    <w:rsid w:val="003A7EFD"/>
    <w:rsid w:val="003B0521"/>
    <w:rsid w:val="003B5FA5"/>
    <w:rsid w:val="003B77B3"/>
    <w:rsid w:val="003C261B"/>
    <w:rsid w:val="003C3007"/>
    <w:rsid w:val="003C60AA"/>
    <w:rsid w:val="003C673F"/>
    <w:rsid w:val="003C77BA"/>
    <w:rsid w:val="003C7AEB"/>
    <w:rsid w:val="003D0DA4"/>
    <w:rsid w:val="003D1117"/>
    <w:rsid w:val="003D2B9C"/>
    <w:rsid w:val="003D4A9B"/>
    <w:rsid w:val="003E03FA"/>
    <w:rsid w:val="003E0CE3"/>
    <w:rsid w:val="003E3557"/>
    <w:rsid w:val="003E3D3B"/>
    <w:rsid w:val="003E6916"/>
    <w:rsid w:val="003E6943"/>
    <w:rsid w:val="003F30D3"/>
    <w:rsid w:val="003F3818"/>
    <w:rsid w:val="003F427C"/>
    <w:rsid w:val="003F4426"/>
    <w:rsid w:val="003F4581"/>
    <w:rsid w:val="003F581D"/>
    <w:rsid w:val="003F58C7"/>
    <w:rsid w:val="003F67DD"/>
    <w:rsid w:val="003F705E"/>
    <w:rsid w:val="003F7315"/>
    <w:rsid w:val="004014CC"/>
    <w:rsid w:val="0040234B"/>
    <w:rsid w:val="00404965"/>
    <w:rsid w:val="00405074"/>
    <w:rsid w:val="0040594F"/>
    <w:rsid w:val="00405F71"/>
    <w:rsid w:val="004061B2"/>
    <w:rsid w:val="00406F75"/>
    <w:rsid w:val="00407E3D"/>
    <w:rsid w:val="00410B51"/>
    <w:rsid w:val="00411FEC"/>
    <w:rsid w:val="00414172"/>
    <w:rsid w:val="00415604"/>
    <w:rsid w:val="004201D0"/>
    <w:rsid w:val="00420449"/>
    <w:rsid w:val="00420901"/>
    <w:rsid w:val="00420D0F"/>
    <w:rsid w:val="00422CBD"/>
    <w:rsid w:val="00424A70"/>
    <w:rsid w:val="00424A73"/>
    <w:rsid w:val="004259EE"/>
    <w:rsid w:val="00426EA6"/>
    <w:rsid w:val="00427798"/>
    <w:rsid w:val="0043213A"/>
    <w:rsid w:val="00432AF6"/>
    <w:rsid w:val="00433DF4"/>
    <w:rsid w:val="00436316"/>
    <w:rsid w:val="004413DB"/>
    <w:rsid w:val="004419A7"/>
    <w:rsid w:val="00444E48"/>
    <w:rsid w:val="00446B4F"/>
    <w:rsid w:val="00454955"/>
    <w:rsid w:val="00454A29"/>
    <w:rsid w:val="00454F35"/>
    <w:rsid w:val="004608EA"/>
    <w:rsid w:val="00464655"/>
    <w:rsid w:val="00464B16"/>
    <w:rsid w:val="004662EB"/>
    <w:rsid w:val="00466E9B"/>
    <w:rsid w:val="00470801"/>
    <w:rsid w:val="004709CA"/>
    <w:rsid w:val="00472ABB"/>
    <w:rsid w:val="0047367D"/>
    <w:rsid w:val="00473F13"/>
    <w:rsid w:val="00474239"/>
    <w:rsid w:val="00475F5E"/>
    <w:rsid w:val="00477861"/>
    <w:rsid w:val="0048048E"/>
    <w:rsid w:val="004859AB"/>
    <w:rsid w:val="004865AF"/>
    <w:rsid w:val="00486A0D"/>
    <w:rsid w:val="004914D5"/>
    <w:rsid w:val="004916CD"/>
    <w:rsid w:val="0049231C"/>
    <w:rsid w:val="004927C1"/>
    <w:rsid w:val="004930C8"/>
    <w:rsid w:val="00493E19"/>
    <w:rsid w:val="004968AE"/>
    <w:rsid w:val="004977C1"/>
    <w:rsid w:val="004A1775"/>
    <w:rsid w:val="004A2663"/>
    <w:rsid w:val="004A5B03"/>
    <w:rsid w:val="004A632D"/>
    <w:rsid w:val="004B0102"/>
    <w:rsid w:val="004B24B8"/>
    <w:rsid w:val="004B2862"/>
    <w:rsid w:val="004B42E7"/>
    <w:rsid w:val="004B54D1"/>
    <w:rsid w:val="004B6A56"/>
    <w:rsid w:val="004B73C3"/>
    <w:rsid w:val="004B7E8D"/>
    <w:rsid w:val="004C09C3"/>
    <w:rsid w:val="004C240D"/>
    <w:rsid w:val="004C61BE"/>
    <w:rsid w:val="004D01C2"/>
    <w:rsid w:val="004D08EC"/>
    <w:rsid w:val="004D6221"/>
    <w:rsid w:val="004D6439"/>
    <w:rsid w:val="004D695C"/>
    <w:rsid w:val="004E6FB2"/>
    <w:rsid w:val="004E7922"/>
    <w:rsid w:val="004F0B9E"/>
    <w:rsid w:val="004F2753"/>
    <w:rsid w:val="004F2B91"/>
    <w:rsid w:val="00504976"/>
    <w:rsid w:val="00504AE9"/>
    <w:rsid w:val="00507486"/>
    <w:rsid w:val="00507D52"/>
    <w:rsid w:val="00510E12"/>
    <w:rsid w:val="00511DB5"/>
    <w:rsid w:val="00513C45"/>
    <w:rsid w:val="00513DF0"/>
    <w:rsid w:val="0051451D"/>
    <w:rsid w:val="005151E2"/>
    <w:rsid w:val="00517943"/>
    <w:rsid w:val="00523BA0"/>
    <w:rsid w:val="00527FD5"/>
    <w:rsid w:val="00530F5D"/>
    <w:rsid w:val="00531586"/>
    <w:rsid w:val="005325D0"/>
    <w:rsid w:val="0053362C"/>
    <w:rsid w:val="005338BD"/>
    <w:rsid w:val="00534CD7"/>
    <w:rsid w:val="00537EF5"/>
    <w:rsid w:val="00543202"/>
    <w:rsid w:val="00543532"/>
    <w:rsid w:val="00543B55"/>
    <w:rsid w:val="00545AA7"/>
    <w:rsid w:val="00545CD9"/>
    <w:rsid w:val="00550C21"/>
    <w:rsid w:val="0056248D"/>
    <w:rsid w:val="00564894"/>
    <w:rsid w:val="00564F42"/>
    <w:rsid w:val="00565963"/>
    <w:rsid w:val="00571FB6"/>
    <w:rsid w:val="00572B95"/>
    <w:rsid w:val="00573BBE"/>
    <w:rsid w:val="005755EE"/>
    <w:rsid w:val="005805EB"/>
    <w:rsid w:val="00580CB7"/>
    <w:rsid w:val="00581518"/>
    <w:rsid w:val="00582BCD"/>
    <w:rsid w:val="00583927"/>
    <w:rsid w:val="00583FB6"/>
    <w:rsid w:val="00584A90"/>
    <w:rsid w:val="00585AE3"/>
    <w:rsid w:val="00586FEB"/>
    <w:rsid w:val="0059046A"/>
    <w:rsid w:val="00592D59"/>
    <w:rsid w:val="00596C5C"/>
    <w:rsid w:val="005A1340"/>
    <w:rsid w:val="005A135C"/>
    <w:rsid w:val="005A4117"/>
    <w:rsid w:val="005A47EC"/>
    <w:rsid w:val="005A5CEC"/>
    <w:rsid w:val="005A6CE9"/>
    <w:rsid w:val="005A7A1D"/>
    <w:rsid w:val="005B0C78"/>
    <w:rsid w:val="005B426C"/>
    <w:rsid w:val="005B482A"/>
    <w:rsid w:val="005B5949"/>
    <w:rsid w:val="005B5A24"/>
    <w:rsid w:val="005C059E"/>
    <w:rsid w:val="005C1933"/>
    <w:rsid w:val="005C213D"/>
    <w:rsid w:val="005C5C2E"/>
    <w:rsid w:val="005D176C"/>
    <w:rsid w:val="005D1E14"/>
    <w:rsid w:val="005D2517"/>
    <w:rsid w:val="005D2B8D"/>
    <w:rsid w:val="005D5680"/>
    <w:rsid w:val="005D58DC"/>
    <w:rsid w:val="005D764E"/>
    <w:rsid w:val="005E0A26"/>
    <w:rsid w:val="005E0CB4"/>
    <w:rsid w:val="005E1E04"/>
    <w:rsid w:val="005E3A58"/>
    <w:rsid w:val="005E50E5"/>
    <w:rsid w:val="005F1F93"/>
    <w:rsid w:val="005F460B"/>
    <w:rsid w:val="005F5209"/>
    <w:rsid w:val="005F6923"/>
    <w:rsid w:val="005F6D33"/>
    <w:rsid w:val="005F7F6C"/>
    <w:rsid w:val="00601B93"/>
    <w:rsid w:val="00604147"/>
    <w:rsid w:val="00604FE7"/>
    <w:rsid w:val="00605634"/>
    <w:rsid w:val="00611A27"/>
    <w:rsid w:val="00615800"/>
    <w:rsid w:val="00616946"/>
    <w:rsid w:val="006210E5"/>
    <w:rsid w:val="00623386"/>
    <w:rsid w:val="00624C19"/>
    <w:rsid w:val="00624EFF"/>
    <w:rsid w:val="00627B93"/>
    <w:rsid w:val="00630170"/>
    <w:rsid w:val="00630593"/>
    <w:rsid w:val="006355E9"/>
    <w:rsid w:val="00635B7B"/>
    <w:rsid w:val="00636D19"/>
    <w:rsid w:val="006411EF"/>
    <w:rsid w:val="006417C7"/>
    <w:rsid w:val="0064313A"/>
    <w:rsid w:val="00643AB2"/>
    <w:rsid w:val="0064465F"/>
    <w:rsid w:val="006447E5"/>
    <w:rsid w:val="00647678"/>
    <w:rsid w:val="00650C86"/>
    <w:rsid w:val="0065180A"/>
    <w:rsid w:val="00651CF7"/>
    <w:rsid w:val="00653323"/>
    <w:rsid w:val="006555BE"/>
    <w:rsid w:val="006566B6"/>
    <w:rsid w:val="006568F0"/>
    <w:rsid w:val="0065693C"/>
    <w:rsid w:val="006602AC"/>
    <w:rsid w:val="006603B2"/>
    <w:rsid w:val="00660429"/>
    <w:rsid w:val="00665E7E"/>
    <w:rsid w:val="00672AA9"/>
    <w:rsid w:val="00676114"/>
    <w:rsid w:val="006771C0"/>
    <w:rsid w:val="00684E95"/>
    <w:rsid w:val="006864DA"/>
    <w:rsid w:val="00687470"/>
    <w:rsid w:val="00690333"/>
    <w:rsid w:val="00690B6C"/>
    <w:rsid w:val="006914EB"/>
    <w:rsid w:val="00692AB9"/>
    <w:rsid w:val="006A1968"/>
    <w:rsid w:val="006A2F63"/>
    <w:rsid w:val="006A3795"/>
    <w:rsid w:val="006A4ED6"/>
    <w:rsid w:val="006A6950"/>
    <w:rsid w:val="006B0F99"/>
    <w:rsid w:val="006B1E86"/>
    <w:rsid w:val="006B3AE1"/>
    <w:rsid w:val="006B3EA2"/>
    <w:rsid w:val="006B63E2"/>
    <w:rsid w:val="006B77C9"/>
    <w:rsid w:val="006C032B"/>
    <w:rsid w:val="006C3870"/>
    <w:rsid w:val="006C4A12"/>
    <w:rsid w:val="006C5AC8"/>
    <w:rsid w:val="006C77C2"/>
    <w:rsid w:val="006D185B"/>
    <w:rsid w:val="006D34D0"/>
    <w:rsid w:val="006D4D2A"/>
    <w:rsid w:val="006D4F57"/>
    <w:rsid w:val="006D7449"/>
    <w:rsid w:val="006D75DD"/>
    <w:rsid w:val="006D77BE"/>
    <w:rsid w:val="006D7E91"/>
    <w:rsid w:val="006E4EFE"/>
    <w:rsid w:val="006E6DDA"/>
    <w:rsid w:val="006E7E35"/>
    <w:rsid w:val="006F1351"/>
    <w:rsid w:val="006F2066"/>
    <w:rsid w:val="006F6AE0"/>
    <w:rsid w:val="006F6BDD"/>
    <w:rsid w:val="007003B7"/>
    <w:rsid w:val="007027F6"/>
    <w:rsid w:val="0070346F"/>
    <w:rsid w:val="007042A1"/>
    <w:rsid w:val="0070494D"/>
    <w:rsid w:val="0071084E"/>
    <w:rsid w:val="00713221"/>
    <w:rsid w:val="00714E73"/>
    <w:rsid w:val="00715C52"/>
    <w:rsid w:val="0071639C"/>
    <w:rsid w:val="007176D1"/>
    <w:rsid w:val="00720476"/>
    <w:rsid w:val="00721976"/>
    <w:rsid w:val="00721C4B"/>
    <w:rsid w:val="00721F17"/>
    <w:rsid w:val="007220A4"/>
    <w:rsid w:val="00724A57"/>
    <w:rsid w:val="00724BA4"/>
    <w:rsid w:val="00726D69"/>
    <w:rsid w:val="007324C2"/>
    <w:rsid w:val="007342F1"/>
    <w:rsid w:val="00736996"/>
    <w:rsid w:val="00736D55"/>
    <w:rsid w:val="0074044A"/>
    <w:rsid w:val="007405AE"/>
    <w:rsid w:val="0074204E"/>
    <w:rsid w:val="007458E0"/>
    <w:rsid w:val="007465EC"/>
    <w:rsid w:val="007473F3"/>
    <w:rsid w:val="007513F5"/>
    <w:rsid w:val="00754D61"/>
    <w:rsid w:val="007550DF"/>
    <w:rsid w:val="00755EDF"/>
    <w:rsid w:val="00767286"/>
    <w:rsid w:val="00770D13"/>
    <w:rsid w:val="00773F0F"/>
    <w:rsid w:val="007769F7"/>
    <w:rsid w:val="00777602"/>
    <w:rsid w:val="007778B3"/>
    <w:rsid w:val="00777908"/>
    <w:rsid w:val="0078093F"/>
    <w:rsid w:val="00780C22"/>
    <w:rsid w:val="00780C84"/>
    <w:rsid w:val="0078354C"/>
    <w:rsid w:val="00783556"/>
    <w:rsid w:val="0078532D"/>
    <w:rsid w:val="00785FAC"/>
    <w:rsid w:val="0079036A"/>
    <w:rsid w:val="0079278C"/>
    <w:rsid w:val="00795139"/>
    <w:rsid w:val="0079616B"/>
    <w:rsid w:val="0079746E"/>
    <w:rsid w:val="007A06D2"/>
    <w:rsid w:val="007A0FCA"/>
    <w:rsid w:val="007A2230"/>
    <w:rsid w:val="007A3C09"/>
    <w:rsid w:val="007A4DC5"/>
    <w:rsid w:val="007A690B"/>
    <w:rsid w:val="007A74BF"/>
    <w:rsid w:val="007B0183"/>
    <w:rsid w:val="007B02C6"/>
    <w:rsid w:val="007B1178"/>
    <w:rsid w:val="007B2FE4"/>
    <w:rsid w:val="007B4AC4"/>
    <w:rsid w:val="007B62FB"/>
    <w:rsid w:val="007B6617"/>
    <w:rsid w:val="007C38B2"/>
    <w:rsid w:val="007C64FE"/>
    <w:rsid w:val="007C6C3F"/>
    <w:rsid w:val="007C743E"/>
    <w:rsid w:val="007D7758"/>
    <w:rsid w:val="007E3415"/>
    <w:rsid w:val="007E5B82"/>
    <w:rsid w:val="007F0DE1"/>
    <w:rsid w:val="007F1893"/>
    <w:rsid w:val="007F1A52"/>
    <w:rsid w:val="007F24BC"/>
    <w:rsid w:val="007F29AE"/>
    <w:rsid w:val="007F474A"/>
    <w:rsid w:val="007F4EDE"/>
    <w:rsid w:val="007F5C2E"/>
    <w:rsid w:val="0080338F"/>
    <w:rsid w:val="00804C6F"/>
    <w:rsid w:val="00806DA5"/>
    <w:rsid w:val="0080742C"/>
    <w:rsid w:val="008122CD"/>
    <w:rsid w:val="00813E7E"/>
    <w:rsid w:val="0081466D"/>
    <w:rsid w:val="00814F66"/>
    <w:rsid w:val="0082210F"/>
    <w:rsid w:val="008302BB"/>
    <w:rsid w:val="00834B61"/>
    <w:rsid w:val="00835175"/>
    <w:rsid w:val="008358FC"/>
    <w:rsid w:val="00841490"/>
    <w:rsid w:val="008526EF"/>
    <w:rsid w:val="0085511E"/>
    <w:rsid w:val="008553BA"/>
    <w:rsid w:val="008564F4"/>
    <w:rsid w:val="0086212B"/>
    <w:rsid w:val="008633A1"/>
    <w:rsid w:val="0086480C"/>
    <w:rsid w:val="00864EF4"/>
    <w:rsid w:val="008654E7"/>
    <w:rsid w:val="00866124"/>
    <w:rsid w:val="008667A1"/>
    <w:rsid w:val="00866CB5"/>
    <w:rsid w:val="00867FDB"/>
    <w:rsid w:val="00871164"/>
    <w:rsid w:val="00873568"/>
    <w:rsid w:val="00873B1B"/>
    <w:rsid w:val="0087483B"/>
    <w:rsid w:val="00874867"/>
    <w:rsid w:val="00874D52"/>
    <w:rsid w:val="00875AFD"/>
    <w:rsid w:val="008821EB"/>
    <w:rsid w:val="00885031"/>
    <w:rsid w:val="0088692E"/>
    <w:rsid w:val="00892039"/>
    <w:rsid w:val="00897F01"/>
    <w:rsid w:val="008A0ECB"/>
    <w:rsid w:val="008A4665"/>
    <w:rsid w:val="008A6861"/>
    <w:rsid w:val="008A79DE"/>
    <w:rsid w:val="008B030E"/>
    <w:rsid w:val="008B07D0"/>
    <w:rsid w:val="008B0E9E"/>
    <w:rsid w:val="008B21A3"/>
    <w:rsid w:val="008B236A"/>
    <w:rsid w:val="008B267F"/>
    <w:rsid w:val="008B56D9"/>
    <w:rsid w:val="008B7645"/>
    <w:rsid w:val="008B7EB8"/>
    <w:rsid w:val="008C0703"/>
    <w:rsid w:val="008C0CAB"/>
    <w:rsid w:val="008C35AD"/>
    <w:rsid w:val="008C3853"/>
    <w:rsid w:val="008C445C"/>
    <w:rsid w:val="008C4647"/>
    <w:rsid w:val="008C53BE"/>
    <w:rsid w:val="008C5658"/>
    <w:rsid w:val="008C617C"/>
    <w:rsid w:val="008C743F"/>
    <w:rsid w:val="008D1E5E"/>
    <w:rsid w:val="008D340D"/>
    <w:rsid w:val="008D3907"/>
    <w:rsid w:val="008D39A6"/>
    <w:rsid w:val="008D4445"/>
    <w:rsid w:val="008D4A25"/>
    <w:rsid w:val="008D5B82"/>
    <w:rsid w:val="008E0D16"/>
    <w:rsid w:val="008E2705"/>
    <w:rsid w:val="008E5AA6"/>
    <w:rsid w:val="008F2063"/>
    <w:rsid w:val="008F3634"/>
    <w:rsid w:val="008F41F0"/>
    <w:rsid w:val="008F4CD4"/>
    <w:rsid w:val="008F6861"/>
    <w:rsid w:val="00901FE6"/>
    <w:rsid w:val="009028E8"/>
    <w:rsid w:val="0090509F"/>
    <w:rsid w:val="00906CA1"/>
    <w:rsid w:val="00907060"/>
    <w:rsid w:val="00911BD5"/>
    <w:rsid w:val="00912534"/>
    <w:rsid w:val="00912608"/>
    <w:rsid w:val="009127C2"/>
    <w:rsid w:val="009147C2"/>
    <w:rsid w:val="00920370"/>
    <w:rsid w:val="00920881"/>
    <w:rsid w:val="00923320"/>
    <w:rsid w:val="00927AA1"/>
    <w:rsid w:val="0093198C"/>
    <w:rsid w:val="00931B37"/>
    <w:rsid w:val="00932E71"/>
    <w:rsid w:val="0093497E"/>
    <w:rsid w:val="00936ADB"/>
    <w:rsid w:val="00941E36"/>
    <w:rsid w:val="00942FF7"/>
    <w:rsid w:val="00944A62"/>
    <w:rsid w:val="00954D2C"/>
    <w:rsid w:val="00955B2F"/>
    <w:rsid w:val="00956BED"/>
    <w:rsid w:val="0095773A"/>
    <w:rsid w:val="00960917"/>
    <w:rsid w:val="009616F0"/>
    <w:rsid w:val="009617AF"/>
    <w:rsid w:val="00962A80"/>
    <w:rsid w:val="0096339C"/>
    <w:rsid w:val="00963676"/>
    <w:rsid w:val="009659A3"/>
    <w:rsid w:val="0096686B"/>
    <w:rsid w:val="00966C52"/>
    <w:rsid w:val="009672C0"/>
    <w:rsid w:val="00970F08"/>
    <w:rsid w:val="00971E66"/>
    <w:rsid w:val="00972A80"/>
    <w:rsid w:val="00973EE2"/>
    <w:rsid w:val="00974F03"/>
    <w:rsid w:val="00975ABD"/>
    <w:rsid w:val="00977006"/>
    <w:rsid w:val="00977178"/>
    <w:rsid w:val="00977C45"/>
    <w:rsid w:val="0098102A"/>
    <w:rsid w:val="00984D72"/>
    <w:rsid w:val="00984F48"/>
    <w:rsid w:val="009927BC"/>
    <w:rsid w:val="00992BA5"/>
    <w:rsid w:val="009930A3"/>
    <w:rsid w:val="00993C02"/>
    <w:rsid w:val="009B0A2D"/>
    <w:rsid w:val="009B0CFC"/>
    <w:rsid w:val="009B1E3E"/>
    <w:rsid w:val="009B2130"/>
    <w:rsid w:val="009C14F5"/>
    <w:rsid w:val="009D33B1"/>
    <w:rsid w:val="009D3933"/>
    <w:rsid w:val="009D505E"/>
    <w:rsid w:val="009D5CAA"/>
    <w:rsid w:val="009D6C4F"/>
    <w:rsid w:val="009D6F42"/>
    <w:rsid w:val="009D753E"/>
    <w:rsid w:val="009E5C8A"/>
    <w:rsid w:val="009E74BC"/>
    <w:rsid w:val="009F1B1D"/>
    <w:rsid w:val="009F1ED4"/>
    <w:rsid w:val="009F1FA2"/>
    <w:rsid w:val="009F351B"/>
    <w:rsid w:val="009F6D0D"/>
    <w:rsid w:val="00A02F7A"/>
    <w:rsid w:val="00A036E3"/>
    <w:rsid w:val="00A04B11"/>
    <w:rsid w:val="00A06331"/>
    <w:rsid w:val="00A0728D"/>
    <w:rsid w:val="00A1164D"/>
    <w:rsid w:val="00A12EA5"/>
    <w:rsid w:val="00A1316E"/>
    <w:rsid w:val="00A14E22"/>
    <w:rsid w:val="00A16CC1"/>
    <w:rsid w:val="00A204D5"/>
    <w:rsid w:val="00A20F0A"/>
    <w:rsid w:val="00A23CF3"/>
    <w:rsid w:val="00A24E8C"/>
    <w:rsid w:val="00A26E6F"/>
    <w:rsid w:val="00A30F21"/>
    <w:rsid w:val="00A31A93"/>
    <w:rsid w:val="00A31BD7"/>
    <w:rsid w:val="00A321C8"/>
    <w:rsid w:val="00A33296"/>
    <w:rsid w:val="00A334B1"/>
    <w:rsid w:val="00A34E7B"/>
    <w:rsid w:val="00A351DF"/>
    <w:rsid w:val="00A35A22"/>
    <w:rsid w:val="00A36B9E"/>
    <w:rsid w:val="00A41C68"/>
    <w:rsid w:val="00A42D47"/>
    <w:rsid w:val="00A43597"/>
    <w:rsid w:val="00A43B09"/>
    <w:rsid w:val="00A43ED0"/>
    <w:rsid w:val="00A44698"/>
    <w:rsid w:val="00A44963"/>
    <w:rsid w:val="00A46A20"/>
    <w:rsid w:val="00A46F4F"/>
    <w:rsid w:val="00A47559"/>
    <w:rsid w:val="00A51C5D"/>
    <w:rsid w:val="00A52B2E"/>
    <w:rsid w:val="00A54351"/>
    <w:rsid w:val="00A5506C"/>
    <w:rsid w:val="00A55771"/>
    <w:rsid w:val="00A620EB"/>
    <w:rsid w:val="00A64B91"/>
    <w:rsid w:val="00A674F2"/>
    <w:rsid w:val="00A67ED4"/>
    <w:rsid w:val="00A71236"/>
    <w:rsid w:val="00A716DC"/>
    <w:rsid w:val="00A73F6D"/>
    <w:rsid w:val="00A745C9"/>
    <w:rsid w:val="00A7681E"/>
    <w:rsid w:val="00A76C6E"/>
    <w:rsid w:val="00A772C9"/>
    <w:rsid w:val="00A81315"/>
    <w:rsid w:val="00A83185"/>
    <w:rsid w:val="00A8335B"/>
    <w:rsid w:val="00A854AA"/>
    <w:rsid w:val="00A87619"/>
    <w:rsid w:val="00A87E04"/>
    <w:rsid w:val="00A91CE6"/>
    <w:rsid w:val="00A92B13"/>
    <w:rsid w:val="00A92BE5"/>
    <w:rsid w:val="00A9308D"/>
    <w:rsid w:val="00A93A1D"/>
    <w:rsid w:val="00A9436F"/>
    <w:rsid w:val="00A94B17"/>
    <w:rsid w:val="00A95C7A"/>
    <w:rsid w:val="00AA4786"/>
    <w:rsid w:val="00AA583D"/>
    <w:rsid w:val="00AA61BE"/>
    <w:rsid w:val="00AB089E"/>
    <w:rsid w:val="00AB0F6A"/>
    <w:rsid w:val="00AB297A"/>
    <w:rsid w:val="00AB2B4A"/>
    <w:rsid w:val="00AB3125"/>
    <w:rsid w:val="00AB6CEE"/>
    <w:rsid w:val="00AC1353"/>
    <w:rsid w:val="00AC17A8"/>
    <w:rsid w:val="00AC5D6A"/>
    <w:rsid w:val="00AC7CB7"/>
    <w:rsid w:val="00AD10E6"/>
    <w:rsid w:val="00AD448B"/>
    <w:rsid w:val="00AD4BDB"/>
    <w:rsid w:val="00AD5701"/>
    <w:rsid w:val="00AD68DA"/>
    <w:rsid w:val="00AE00C6"/>
    <w:rsid w:val="00AE0777"/>
    <w:rsid w:val="00AE3F8C"/>
    <w:rsid w:val="00AE5126"/>
    <w:rsid w:val="00AE514C"/>
    <w:rsid w:val="00AE5FCD"/>
    <w:rsid w:val="00AE62A5"/>
    <w:rsid w:val="00AF0D41"/>
    <w:rsid w:val="00AF2194"/>
    <w:rsid w:val="00AF2434"/>
    <w:rsid w:val="00AF2D2A"/>
    <w:rsid w:val="00AF7E8B"/>
    <w:rsid w:val="00B00492"/>
    <w:rsid w:val="00B010B0"/>
    <w:rsid w:val="00B05723"/>
    <w:rsid w:val="00B061CB"/>
    <w:rsid w:val="00B0758D"/>
    <w:rsid w:val="00B07759"/>
    <w:rsid w:val="00B1067C"/>
    <w:rsid w:val="00B10946"/>
    <w:rsid w:val="00B10B23"/>
    <w:rsid w:val="00B124F6"/>
    <w:rsid w:val="00B13C0D"/>
    <w:rsid w:val="00B15FD3"/>
    <w:rsid w:val="00B167F8"/>
    <w:rsid w:val="00B168D7"/>
    <w:rsid w:val="00B23951"/>
    <w:rsid w:val="00B24A0D"/>
    <w:rsid w:val="00B27C12"/>
    <w:rsid w:val="00B31FE4"/>
    <w:rsid w:val="00B32D89"/>
    <w:rsid w:val="00B33047"/>
    <w:rsid w:val="00B35CF2"/>
    <w:rsid w:val="00B35FB6"/>
    <w:rsid w:val="00B41DB2"/>
    <w:rsid w:val="00B43188"/>
    <w:rsid w:val="00B500A0"/>
    <w:rsid w:val="00B521DE"/>
    <w:rsid w:val="00B536BD"/>
    <w:rsid w:val="00B5415A"/>
    <w:rsid w:val="00B550D4"/>
    <w:rsid w:val="00B55EA4"/>
    <w:rsid w:val="00B57C74"/>
    <w:rsid w:val="00B6175E"/>
    <w:rsid w:val="00B635FB"/>
    <w:rsid w:val="00B638EF"/>
    <w:rsid w:val="00B63DE1"/>
    <w:rsid w:val="00B64E88"/>
    <w:rsid w:val="00B710BD"/>
    <w:rsid w:val="00B7291F"/>
    <w:rsid w:val="00B72DC9"/>
    <w:rsid w:val="00B80C4A"/>
    <w:rsid w:val="00B82A64"/>
    <w:rsid w:val="00B84787"/>
    <w:rsid w:val="00B8681D"/>
    <w:rsid w:val="00B868B1"/>
    <w:rsid w:val="00B86FEF"/>
    <w:rsid w:val="00B90589"/>
    <w:rsid w:val="00B905F8"/>
    <w:rsid w:val="00B90E65"/>
    <w:rsid w:val="00B9368D"/>
    <w:rsid w:val="00B9383C"/>
    <w:rsid w:val="00B94236"/>
    <w:rsid w:val="00B950CC"/>
    <w:rsid w:val="00B9680C"/>
    <w:rsid w:val="00BA1C19"/>
    <w:rsid w:val="00BA1D28"/>
    <w:rsid w:val="00BA57FA"/>
    <w:rsid w:val="00BA5D20"/>
    <w:rsid w:val="00BA608C"/>
    <w:rsid w:val="00BA62CA"/>
    <w:rsid w:val="00BB0003"/>
    <w:rsid w:val="00BB1043"/>
    <w:rsid w:val="00BB136D"/>
    <w:rsid w:val="00BB3970"/>
    <w:rsid w:val="00BB47CA"/>
    <w:rsid w:val="00BB785A"/>
    <w:rsid w:val="00BC0930"/>
    <w:rsid w:val="00BC15E0"/>
    <w:rsid w:val="00BC3127"/>
    <w:rsid w:val="00BC3C14"/>
    <w:rsid w:val="00BC416F"/>
    <w:rsid w:val="00BC537E"/>
    <w:rsid w:val="00BC6E1F"/>
    <w:rsid w:val="00BC6E51"/>
    <w:rsid w:val="00BC73D6"/>
    <w:rsid w:val="00BC7766"/>
    <w:rsid w:val="00BD4676"/>
    <w:rsid w:val="00BD4D65"/>
    <w:rsid w:val="00BD4F09"/>
    <w:rsid w:val="00BD6C07"/>
    <w:rsid w:val="00BE13F5"/>
    <w:rsid w:val="00BE2064"/>
    <w:rsid w:val="00BE3397"/>
    <w:rsid w:val="00BE3F5B"/>
    <w:rsid w:val="00BF1AC7"/>
    <w:rsid w:val="00BF1E06"/>
    <w:rsid w:val="00BF2A05"/>
    <w:rsid w:val="00BF3609"/>
    <w:rsid w:val="00BF4EA1"/>
    <w:rsid w:val="00BF7A51"/>
    <w:rsid w:val="00BF7FC0"/>
    <w:rsid w:val="00C00129"/>
    <w:rsid w:val="00C008F9"/>
    <w:rsid w:val="00C03E1C"/>
    <w:rsid w:val="00C0474D"/>
    <w:rsid w:val="00C05154"/>
    <w:rsid w:val="00C07757"/>
    <w:rsid w:val="00C10D75"/>
    <w:rsid w:val="00C14DB5"/>
    <w:rsid w:val="00C15284"/>
    <w:rsid w:val="00C17BFD"/>
    <w:rsid w:val="00C203A8"/>
    <w:rsid w:val="00C228D5"/>
    <w:rsid w:val="00C317A8"/>
    <w:rsid w:val="00C31BC5"/>
    <w:rsid w:val="00C34C88"/>
    <w:rsid w:val="00C34FC8"/>
    <w:rsid w:val="00C371D1"/>
    <w:rsid w:val="00C41EFE"/>
    <w:rsid w:val="00C43E35"/>
    <w:rsid w:val="00C47431"/>
    <w:rsid w:val="00C53154"/>
    <w:rsid w:val="00C53F48"/>
    <w:rsid w:val="00C54BE0"/>
    <w:rsid w:val="00C6161F"/>
    <w:rsid w:val="00C62A03"/>
    <w:rsid w:val="00C64BF4"/>
    <w:rsid w:val="00C67302"/>
    <w:rsid w:val="00C70F68"/>
    <w:rsid w:val="00C71743"/>
    <w:rsid w:val="00C724BB"/>
    <w:rsid w:val="00C725D9"/>
    <w:rsid w:val="00C7381C"/>
    <w:rsid w:val="00C7449C"/>
    <w:rsid w:val="00C745DD"/>
    <w:rsid w:val="00C74FE2"/>
    <w:rsid w:val="00C75D4A"/>
    <w:rsid w:val="00C76569"/>
    <w:rsid w:val="00C76976"/>
    <w:rsid w:val="00C7789B"/>
    <w:rsid w:val="00C80FB7"/>
    <w:rsid w:val="00C85461"/>
    <w:rsid w:val="00C86976"/>
    <w:rsid w:val="00C9045C"/>
    <w:rsid w:val="00C90746"/>
    <w:rsid w:val="00C947BC"/>
    <w:rsid w:val="00C95459"/>
    <w:rsid w:val="00C9617C"/>
    <w:rsid w:val="00CA24AC"/>
    <w:rsid w:val="00CA2D42"/>
    <w:rsid w:val="00CA4216"/>
    <w:rsid w:val="00CA5119"/>
    <w:rsid w:val="00CA72AA"/>
    <w:rsid w:val="00CA7F4C"/>
    <w:rsid w:val="00CB0185"/>
    <w:rsid w:val="00CB16A8"/>
    <w:rsid w:val="00CB1E63"/>
    <w:rsid w:val="00CB48AD"/>
    <w:rsid w:val="00CB62F5"/>
    <w:rsid w:val="00CB69B5"/>
    <w:rsid w:val="00CB6A18"/>
    <w:rsid w:val="00CC379F"/>
    <w:rsid w:val="00CC7B2E"/>
    <w:rsid w:val="00CD031E"/>
    <w:rsid w:val="00CD18B4"/>
    <w:rsid w:val="00CD2648"/>
    <w:rsid w:val="00CD4B71"/>
    <w:rsid w:val="00CD5094"/>
    <w:rsid w:val="00CD6399"/>
    <w:rsid w:val="00CE0737"/>
    <w:rsid w:val="00CE15CB"/>
    <w:rsid w:val="00CE4CF8"/>
    <w:rsid w:val="00CE6877"/>
    <w:rsid w:val="00CF2A75"/>
    <w:rsid w:val="00CF612B"/>
    <w:rsid w:val="00CF7732"/>
    <w:rsid w:val="00CF7A1E"/>
    <w:rsid w:val="00D00FC1"/>
    <w:rsid w:val="00D01342"/>
    <w:rsid w:val="00D050ED"/>
    <w:rsid w:val="00D06629"/>
    <w:rsid w:val="00D07166"/>
    <w:rsid w:val="00D10FDF"/>
    <w:rsid w:val="00D12EA4"/>
    <w:rsid w:val="00D13D14"/>
    <w:rsid w:val="00D14625"/>
    <w:rsid w:val="00D14C16"/>
    <w:rsid w:val="00D151A6"/>
    <w:rsid w:val="00D152D3"/>
    <w:rsid w:val="00D15802"/>
    <w:rsid w:val="00D16A9C"/>
    <w:rsid w:val="00D16DAF"/>
    <w:rsid w:val="00D1759C"/>
    <w:rsid w:val="00D17F09"/>
    <w:rsid w:val="00D22D34"/>
    <w:rsid w:val="00D2456A"/>
    <w:rsid w:val="00D25836"/>
    <w:rsid w:val="00D302C2"/>
    <w:rsid w:val="00D3227D"/>
    <w:rsid w:val="00D329DB"/>
    <w:rsid w:val="00D34007"/>
    <w:rsid w:val="00D354C8"/>
    <w:rsid w:val="00D3751D"/>
    <w:rsid w:val="00D42528"/>
    <w:rsid w:val="00D43138"/>
    <w:rsid w:val="00D43C67"/>
    <w:rsid w:val="00D441FF"/>
    <w:rsid w:val="00D442C9"/>
    <w:rsid w:val="00D4681E"/>
    <w:rsid w:val="00D50018"/>
    <w:rsid w:val="00D52308"/>
    <w:rsid w:val="00D53984"/>
    <w:rsid w:val="00D543D6"/>
    <w:rsid w:val="00D54C39"/>
    <w:rsid w:val="00D55BFF"/>
    <w:rsid w:val="00D56367"/>
    <w:rsid w:val="00D571B9"/>
    <w:rsid w:val="00D577DA"/>
    <w:rsid w:val="00D57B87"/>
    <w:rsid w:val="00D604E3"/>
    <w:rsid w:val="00D60F83"/>
    <w:rsid w:val="00D60FEE"/>
    <w:rsid w:val="00D64F59"/>
    <w:rsid w:val="00D66125"/>
    <w:rsid w:val="00D662C2"/>
    <w:rsid w:val="00D67179"/>
    <w:rsid w:val="00D71B69"/>
    <w:rsid w:val="00D72CA0"/>
    <w:rsid w:val="00D739CC"/>
    <w:rsid w:val="00D75C3A"/>
    <w:rsid w:val="00D766DE"/>
    <w:rsid w:val="00D77A3D"/>
    <w:rsid w:val="00D804A2"/>
    <w:rsid w:val="00D80920"/>
    <w:rsid w:val="00D8462F"/>
    <w:rsid w:val="00D846F9"/>
    <w:rsid w:val="00D86937"/>
    <w:rsid w:val="00D86EAF"/>
    <w:rsid w:val="00D90C78"/>
    <w:rsid w:val="00D92895"/>
    <w:rsid w:val="00D934A7"/>
    <w:rsid w:val="00D93F4A"/>
    <w:rsid w:val="00D94403"/>
    <w:rsid w:val="00D95F36"/>
    <w:rsid w:val="00DB1A5E"/>
    <w:rsid w:val="00DB2447"/>
    <w:rsid w:val="00DB31E6"/>
    <w:rsid w:val="00DB3D78"/>
    <w:rsid w:val="00DB447D"/>
    <w:rsid w:val="00DB6DAB"/>
    <w:rsid w:val="00DB73AD"/>
    <w:rsid w:val="00DC27DA"/>
    <w:rsid w:val="00DC28AA"/>
    <w:rsid w:val="00DC3630"/>
    <w:rsid w:val="00DC3F5C"/>
    <w:rsid w:val="00DC7D4F"/>
    <w:rsid w:val="00DD13E3"/>
    <w:rsid w:val="00DD2BD2"/>
    <w:rsid w:val="00DD3D75"/>
    <w:rsid w:val="00DD4522"/>
    <w:rsid w:val="00DD54FB"/>
    <w:rsid w:val="00DE27A9"/>
    <w:rsid w:val="00DE2A31"/>
    <w:rsid w:val="00DE304F"/>
    <w:rsid w:val="00DE3CC6"/>
    <w:rsid w:val="00DE79D2"/>
    <w:rsid w:val="00DE7D5C"/>
    <w:rsid w:val="00DF10C2"/>
    <w:rsid w:val="00DF38AF"/>
    <w:rsid w:val="00DF4EC6"/>
    <w:rsid w:val="00DF549B"/>
    <w:rsid w:val="00DF686D"/>
    <w:rsid w:val="00E0015A"/>
    <w:rsid w:val="00E01235"/>
    <w:rsid w:val="00E02F47"/>
    <w:rsid w:val="00E0588E"/>
    <w:rsid w:val="00E105CF"/>
    <w:rsid w:val="00E1070C"/>
    <w:rsid w:val="00E118C3"/>
    <w:rsid w:val="00E1320F"/>
    <w:rsid w:val="00E14AF3"/>
    <w:rsid w:val="00E17511"/>
    <w:rsid w:val="00E179FD"/>
    <w:rsid w:val="00E206C4"/>
    <w:rsid w:val="00E207AB"/>
    <w:rsid w:val="00E20E49"/>
    <w:rsid w:val="00E22FEB"/>
    <w:rsid w:val="00E24870"/>
    <w:rsid w:val="00E25DC2"/>
    <w:rsid w:val="00E27653"/>
    <w:rsid w:val="00E30C21"/>
    <w:rsid w:val="00E30D17"/>
    <w:rsid w:val="00E31B47"/>
    <w:rsid w:val="00E33A54"/>
    <w:rsid w:val="00E34155"/>
    <w:rsid w:val="00E34755"/>
    <w:rsid w:val="00E36170"/>
    <w:rsid w:val="00E37F0F"/>
    <w:rsid w:val="00E40B19"/>
    <w:rsid w:val="00E4196E"/>
    <w:rsid w:val="00E4434D"/>
    <w:rsid w:val="00E44530"/>
    <w:rsid w:val="00E45282"/>
    <w:rsid w:val="00E47A0F"/>
    <w:rsid w:val="00E52209"/>
    <w:rsid w:val="00E53424"/>
    <w:rsid w:val="00E53B44"/>
    <w:rsid w:val="00E55A0D"/>
    <w:rsid w:val="00E55D37"/>
    <w:rsid w:val="00E62127"/>
    <w:rsid w:val="00E626DE"/>
    <w:rsid w:val="00E65D2C"/>
    <w:rsid w:val="00E671F2"/>
    <w:rsid w:val="00E678CD"/>
    <w:rsid w:val="00E67B8B"/>
    <w:rsid w:val="00E7248C"/>
    <w:rsid w:val="00E72F0C"/>
    <w:rsid w:val="00E73165"/>
    <w:rsid w:val="00E749B0"/>
    <w:rsid w:val="00E75492"/>
    <w:rsid w:val="00E81878"/>
    <w:rsid w:val="00E846B5"/>
    <w:rsid w:val="00E85B71"/>
    <w:rsid w:val="00E85C1B"/>
    <w:rsid w:val="00E86A7D"/>
    <w:rsid w:val="00E871DC"/>
    <w:rsid w:val="00E910D8"/>
    <w:rsid w:val="00E91F77"/>
    <w:rsid w:val="00E92E71"/>
    <w:rsid w:val="00E943C9"/>
    <w:rsid w:val="00E94CDE"/>
    <w:rsid w:val="00E9527A"/>
    <w:rsid w:val="00EA039F"/>
    <w:rsid w:val="00EA12FC"/>
    <w:rsid w:val="00EA1B6F"/>
    <w:rsid w:val="00EA2C05"/>
    <w:rsid w:val="00EA39C8"/>
    <w:rsid w:val="00EB1373"/>
    <w:rsid w:val="00EB1C0A"/>
    <w:rsid w:val="00EB22AC"/>
    <w:rsid w:val="00EB2427"/>
    <w:rsid w:val="00EB5167"/>
    <w:rsid w:val="00EC0BB7"/>
    <w:rsid w:val="00EC0D36"/>
    <w:rsid w:val="00EC199E"/>
    <w:rsid w:val="00EC1A06"/>
    <w:rsid w:val="00EC1BC8"/>
    <w:rsid w:val="00EC2622"/>
    <w:rsid w:val="00EC2834"/>
    <w:rsid w:val="00EC3786"/>
    <w:rsid w:val="00EC3DAB"/>
    <w:rsid w:val="00ED0647"/>
    <w:rsid w:val="00ED0F14"/>
    <w:rsid w:val="00ED111C"/>
    <w:rsid w:val="00ED393B"/>
    <w:rsid w:val="00EE1F6C"/>
    <w:rsid w:val="00EE5C9E"/>
    <w:rsid w:val="00EE7C91"/>
    <w:rsid w:val="00EF0DE9"/>
    <w:rsid w:val="00EF104F"/>
    <w:rsid w:val="00EF2723"/>
    <w:rsid w:val="00EF44C5"/>
    <w:rsid w:val="00EF6743"/>
    <w:rsid w:val="00EF693C"/>
    <w:rsid w:val="00EF761D"/>
    <w:rsid w:val="00EF7D15"/>
    <w:rsid w:val="00F0019E"/>
    <w:rsid w:val="00F018D3"/>
    <w:rsid w:val="00F023E7"/>
    <w:rsid w:val="00F03462"/>
    <w:rsid w:val="00F03A53"/>
    <w:rsid w:val="00F03DEC"/>
    <w:rsid w:val="00F04F3F"/>
    <w:rsid w:val="00F0520A"/>
    <w:rsid w:val="00F121E6"/>
    <w:rsid w:val="00F16EB4"/>
    <w:rsid w:val="00F20131"/>
    <w:rsid w:val="00F2275D"/>
    <w:rsid w:val="00F25E5A"/>
    <w:rsid w:val="00F3033D"/>
    <w:rsid w:val="00F30AD7"/>
    <w:rsid w:val="00F3155F"/>
    <w:rsid w:val="00F31FA7"/>
    <w:rsid w:val="00F32E88"/>
    <w:rsid w:val="00F34875"/>
    <w:rsid w:val="00F3643B"/>
    <w:rsid w:val="00F37584"/>
    <w:rsid w:val="00F4033E"/>
    <w:rsid w:val="00F41640"/>
    <w:rsid w:val="00F42352"/>
    <w:rsid w:val="00F42BDB"/>
    <w:rsid w:val="00F4613A"/>
    <w:rsid w:val="00F47C9E"/>
    <w:rsid w:val="00F510D3"/>
    <w:rsid w:val="00F52B14"/>
    <w:rsid w:val="00F52DDE"/>
    <w:rsid w:val="00F5493C"/>
    <w:rsid w:val="00F55AD8"/>
    <w:rsid w:val="00F55C70"/>
    <w:rsid w:val="00F55E22"/>
    <w:rsid w:val="00F57041"/>
    <w:rsid w:val="00F6090B"/>
    <w:rsid w:val="00F642AB"/>
    <w:rsid w:val="00F65765"/>
    <w:rsid w:val="00F669F3"/>
    <w:rsid w:val="00F6743D"/>
    <w:rsid w:val="00F7008F"/>
    <w:rsid w:val="00F744DF"/>
    <w:rsid w:val="00F7517F"/>
    <w:rsid w:val="00F7622C"/>
    <w:rsid w:val="00F77A16"/>
    <w:rsid w:val="00F80312"/>
    <w:rsid w:val="00F815CE"/>
    <w:rsid w:val="00F822A8"/>
    <w:rsid w:val="00F83109"/>
    <w:rsid w:val="00F843CA"/>
    <w:rsid w:val="00F84A7F"/>
    <w:rsid w:val="00F877B7"/>
    <w:rsid w:val="00F90698"/>
    <w:rsid w:val="00F909E0"/>
    <w:rsid w:val="00F93679"/>
    <w:rsid w:val="00F94F1D"/>
    <w:rsid w:val="00F95994"/>
    <w:rsid w:val="00F967FD"/>
    <w:rsid w:val="00F96EC9"/>
    <w:rsid w:val="00F9704E"/>
    <w:rsid w:val="00F977D2"/>
    <w:rsid w:val="00FA441D"/>
    <w:rsid w:val="00FA4444"/>
    <w:rsid w:val="00FA5FD5"/>
    <w:rsid w:val="00FA64A4"/>
    <w:rsid w:val="00FB2164"/>
    <w:rsid w:val="00FB4255"/>
    <w:rsid w:val="00FB5228"/>
    <w:rsid w:val="00FB5753"/>
    <w:rsid w:val="00FB6B85"/>
    <w:rsid w:val="00FC063E"/>
    <w:rsid w:val="00FC0E3C"/>
    <w:rsid w:val="00FC23EE"/>
    <w:rsid w:val="00FC4AF3"/>
    <w:rsid w:val="00FC76AB"/>
    <w:rsid w:val="00FC76F1"/>
    <w:rsid w:val="00FD23CB"/>
    <w:rsid w:val="00FD294D"/>
    <w:rsid w:val="00FD3047"/>
    <w:rsid w:val="00FD778F"/>
    <w:rsid w:val="00FE1C34"/>
    <w:rsid w:val="00FE3531"/>
    <w:rsid w:val="00FE59B8"/>
    <w:rsid w:val="00FF1147"/>
    <w:rsid w:val="00FF1EC2"/>
    <w:rsid w:val="00FF32C3"/>
    <w:rsid w:val="00FF37C8"/>
    <w:rsid w:val="00FF3B53"/>
    <w:rsid w:val="00FF64C7"/>
    <w:rsid w:val="00FF6CE6"/>
    <w:rsid w:val="00FF7B52"/>
    <w:rsid w:val="0191038B"/>
    <w:rsid w:val="01C20BC1"/>
    <w:rsid w:val="02447828"/>
    <w:rsid w:val="026954E1"/>
    <w:rsid w:val="02B707A5"/>
    <w:rsid w:val="02DA1F3A"/>
    <w:rsid w:val="02ED7EC0"/>
    <w:rsid w:val="02F32FFC"/>
    <w:rsid w:val="03433F84"/>
    <w:rsid w:val="03762364"/>
    <w:rsid w:val="03870314"/>
    <w:rsid w:val="03A569EC"/>
    <w:rsid w:val="041B6CAE"/>
    <w:rsid w:val="042F2E05"/>
    <w:rsid w:val="043B2EAD"/>
    <w:rsid w:val="04806B11"/>
    <w:rsid w:val="049820AD"/>
    <w:rsid w:val="04AE18D1"/>
    <w:rsid w:val="04DA4CD4"/>
    <w:rsid w:val="051B6ABC"/>
    <w:rsid w:val="05377B18"/>
    <w:rsid w:val="059E3504"/>
    <w:rsid w:val="05FD666C"/>
    <w:rsid w:val="061340E1"/>
    <w:rsid w:val="063D4CBA"/>
    <w:rsid w:val="06450013"/>
    <w:rsid w:val="06A411DD"/>
    <w:rsid w:val="06B35987"/>
    <w:rsid w:val="0748600C"/>
    <w:rsid w:val="0790350F"/>
    <w:rsid w:val="07E9355D"/>
    <w:rsid w:val="085B1D6F"/>
    <w:rsid w:val="08A91E62"/>
    <w:rsid w:val="090369F3"/>
    <w:rsid w:val="098F7F23"/>
    <w:rsid w:val="09C63218"/>
    <w:rsid w:val="0A9C54D9"/>
    <w:rsid w:val="0AD656DD"/>
    <w:rsid w:val="0B093FC6"/>
    <w:rsid w:val="0B1D155E"/>
    <w:rsid w:val="0C175FAD"/>
    <w:rsid w:val="0C6C00A7"/>
    <w:rsid w:val="0CAC6D36"/>
    <w:rsid w:val="0CD300F2"/>
    <w:rsid w:val="0CD33710"/>
    <w:rsid w:val="0CFC7CE1"/>
    <w:rsid w:val="0D650A0F"/>
    <w:rsid w:val="0DB461AA"/>
    <w:rsid w:val="0E4532A6"/>
    <w:rsid w:val="0E794CFD"/>
    <w:rsid w:val="0E83792A"/>
    <w:rsid w:val="0EC4361C"/>
    <w:rsid w:val="0EF32D02"/>
    <w:rsid w:val="0F135152"/>
    <w:rsid w:val="0F346E76"/>
    <w:rsid w:val="0F5658D0"/>
    <w:rsid w:val="10183D84"/>
    <w:rsid w:val="10505F32"/>
    <w:rsid w:val="1090632E"/>
    <w:rsid w:val="10C5186D"/>
    <w:rsid w:val="11C049F1"/>
    <w:rsid w:val="11C37223"/>
    <w:rsid w:val="11EC57E6"/>
    <w:rsid w:val="123956DC"/>
    <w:rsid w:val="12492C39"/>
    <w:rsid w:val="135A0648"/>
    <w:rsid w:val="13D1738A"/>
    <w:rsid w:val="13ED41C3"/>
    <w:rsid w:val="144933C4"/>
    <w:rsid w:val="162E0AC3"/>
    <w:rsid w:val="165F2A2B"/>
    <w:rsid w:val="1666200B"/>
    <w:rsid w:val="16CB00C0"/>
    <w:rsid w:val="16DE45CD"/>
    <w:rsid w:val="17233A97"/>
    <w:rsid w:val="17C35773"/>
    <w:rsid w:val="17C874DB"/>
    <w:rsid w:val="17EF6030"/>
    <w:rsid w:val="18D30EB1"/>
    <w:rsid w:val="19747A60"/>
    <w:rsid w:val="19B7465C"/>
    <w:rsid w:val="19DB2B26"/>
    <w:rsid w:val="19FA13E8"/>
    <w:rsid w:val="1A712403"/>
    <w:rsid w:val="1AD77EB4"/>
    <w:rsid w:val="1ADF05DE"/>
    <w:rsid w:val="1B0E2C71"/>
    <w:rsid w:val="1BB11F7A"/>
    <w:rsid w:val="1BCA27B8"/>
    <w:rsid w:val="1C3D55BC"/>
    <w:rsid w:val="1C610BB8"/>
    <w:rsid w:val="1C6A62F0"/>
    <w:rsid w:val="1C9B22E3"/>
    <w:rsid w:val="1CBF06C7"/>
    <w:rsid w:val="1CE31E01"/>
    <w:rsid w:val="1CEE68B6"/>
    <w:rsid w:val="1D13456F"/>
    <w:rsid w:val="1D486806"/>
    <w:rsid w:val="1DB16262"/>
    <w:rsid w:val="1DC046F7"/>
    <w:rsid w:val="1E370E0A"/>
    <w:rsid w:val="1E3B1FCF"/>
    <w:rsid w:val="1EC75611"/>
    <w:rsid w:val="1EFF035C"/>
    <w:rsid w:val="1FBC0EEE"/>
    <w:rsid w:val="202C7E22"/>
    <w:rsid w:val="20784E15"/>
    <w:rsid w:val="20C9519F"/>
    <w:rsid w:val="20E41338"/>
    <w:rsid w:val="21B52099"/>
    <w:rsid w:val="21B55BF5"/>
    <w:rsid w:val="224F429B"/>
    <w:rsid w:val="22857CBD"/>
    <w:rsid w:val="22F95FB5"/>
    <w:rsid w:val="2336552C"/>
    <w:rsid w:val="237E5747"/>
    <w:rsid w:val="23E427C1"/>
    <w:rsid w:val="240F3CE2"/>
    <w:rsid w:val="241C01AD"/>
    <w:rsid w:val="2432177F"/>
    <w:rsid w:val="243948BB"/>
    <w:rsid w:val="24747FE9"/>
    <w:rsid w:val="249D12EE"/>
    <w:rsid w:val="25596CEC"/>
    <w:rsid w:val="25867FD4"/>
    <w:rsid w:val="25D4066E"/>
    <w:rsid w:val="26087A5F"/>
    <w:rsid w:val="268F110A"/>
    <w:rsid w:val="27A04BA3"/>
    <w:rsid w:val="27A40BE5"/>
    <w:rsid w:val="27F136FF"/>
    <w:rsid w:val="28994654"/>
    <w:rsid w:val="29A30A29"/>
    <w:rsid w:val="29C0782D"/>
    <w:rsid w:val="29C2266C"/>
    <w:rsid w:val="2A172BDA"/>
    <w:rsid w:val="2A673D4C"/>
    <w:rsid w:val="2A8820F8"/>
    <w:rsid w:val="2A9036A3"/>
    <w:rsid w:val="2ABE5F12"/>
    <w:rsid w:val="2BEA114C"/>
    <w:rsid w:val="2BF0264B"/>
    <w:rsid w:val="2C275941"/>
    <w:rsid w:val="2C3818FC"/>
    <w:rsid w:val="2C44309A"/>
    <w:rsid w:val="2C574478"/>
    <w:rsid w:val="2C600818"/>
    <w:rsid w:val="2C970D19"/>
    <w:rsid w:val="2D2B1461"/>
    <w:rsid w:val="2D6F7214"/>
    <w:rsid w:val="2E2E745B"/>
    <w:rsid w:val="2E3A2E51"/>
    <w:rsid w:val="2E4818D3"/>
    <w:rsid w:val="2E976DAE"/>
    <w:rsid w:val="2EDD678B"/>
    <w:rsid w:val="2F16265C"/>
    <w:rsid w:val="2FD55059"/>
    <w:rsid w:val="31083F93"/>
    <w:rsid w:val="3186135C"/>
    <w:rsid w:val="31C61758"/>
    <w:rsid w:val="32B819E9"/>
    <w:rsid w:val="331F3816"/>
    <w:rsid w:val="33883169"/>
    <w:rsid w:val="33B0446E"/>
    <w:rsid w:val="34357FFF"/>
    <w:rsid w:val="3442156A"/>
    <w:rsid w:val="34A72BA0"/>
    <w:rsid w:val="34C915A1"/>
    <w:rsid w:val="351F18AB"/>
    <w:rsid w:val="354F3C2D"/>
    <w:rsid w:val="35E47CB9"/>
    <w:rsid w:val="35ED3757"/>
    <w:rsid w:val="369D19AA"/>
    <w:rsid w:val="36E6103A"/>
    <w:rsid w:val="36EFCFD8"/>
    <w:rsid w:val="37046FAB"/>
    <w:rsid w:val="372E4027"/>
    <w:rsid w:val="372E5DD5"/>
    <w:rsid w:val="37EF41BB"/>
    <w:rsid w:val="3891486E"/>
    <w:rsid w:val="39805DB2"/>
    <w:rsid w:val="3982065B"/>
    <w:rsid w:val="39B916C7"/>
    <w:rsid w:val="39C333C8"/>
    <w:rsid w:val="3A3F02FA"/>
    <w:rsid w:val="3A5C70FE"/>
    <w:rsid w:val="3A755165"/>
    <w:rsid w:val="3BF13876"/>
    <w:rsid w:val="3BFF2436"/>
    <w:rsid w:val="3C591B47"/>
    <w:rsid w:val="3C885F88"/>
    <w:rsid w:val="3CE753A4"/>
    <w:rsid w:val="3D540B55"/>
    <w:rsid w:val="3D7B3D3F"/>
    <w:rsid w:val="3D896640"/>
    <w:rsid w:val="3D98044D"/>
    <w:rsid w:val="3EAB2402"/>
    <w:rsid w:val="3ECC2AA4"/>
    <w:rsid w:val="3F4940F4"/>
    <w:rsid w:val="3F7F666B"/>
    <w:rsid w:val="3FE71217"/>
    <w:rsid w:val="40041DC9"/>
    <w:rsid w:val="40925627"/>
    <w:rsid w:val="409E72B5"/>
    <w:rsid w:val="40FE0F0E"/>
    <w:rsid w:val="423D7815"/>
    <w:rsid w:val="42892A5A"/>
    <w:rsid w:val="429F402B"/>
    <w:rsid w:val="42EB54C2"/>
    <w:rsid w:val="431A0A09"/>
    <w:rsid w:val="437234EE"/>
    <w:rsid w:val="43922065"/>
    <w:rsid w:val="444B3AA3"/>
    <w:rsid w:val="452F78E8"/>
    <w:rsid w:val="457B2B2E"/>
    <w:rsid w:val="45CD2133"/>
    <w:rsid w:val="45D67D64"/>
    <w:rsid w:val="4614088C"/>
    <w:rsid w:val="461B197A"/>
    <w:rsid w:val="462369CB"/>
    <w:rsid w:val="47457DE9"/>
    <w:rsid w:val="479C7E43"/>
    <w:rsid w:val="47A10846"/>
    <w:rsid w:val="47AE19FA"/>
    <w:rsid w:val="47C22C96"/>
    <w:rsid w:val="48931F3C"/>
    <w:rsid w:val="48DF5182"/>
    <w:rsid w:val="48EC255C"/>
    <w:rsid w:val="495518E8"/>
    <w:rsid w:val="49D547D7"/>
    <w:rsid w:val="49F92273"/>
    <w:rsid w:val="4A02381D"/>
    <w:rsid w:val="4A1B668D"/>
    <w:rsid w:val="4A651985"/>
    <w:rsid w:val="4AB663B6"/>
    <w:rsid w:val="4B5814AD"/>
    <w:rsid w:val="4BDC3BFA"/>
    <w:rsid w:val="4BF929FE"/>
    <w:rsid w:val="4C7C718B"/>
    <w:rsid w:val="4CE66414"/>
    <w:rsid w:val="4CF17B79"/>
    <w:rsid w:val="4D2F7879"/>
    <w:rsid w:val="4D357A66"/>
    <w:rsid w:val="4DF72F6D"/>
    <w:rsid w:val="4E273C0C"/>
    <w:rsid w:val="4E9C58C3"/>
    <w:rsid w:val="4EDC03D2"/>
    <w:rsid w:val="4F451272"/>
    <w:rsid w:val="4F4915A7"/>
    <w:rsid w:val="4F560168"/>
    <w:rsid w:val="4F567E9E"/>
    <w:rsid w:val="50B43398"/>
    <w:rsid w:val="50E3085C"/>
    <w:rsid w:val="517A638F"/>
    <w:rsid w:val="51976F41"/>
    <w:rsid w:val="51DF7251"/>
    <w:rsid w:val="51F07734"/>
    <w:rsid w:val="52662470"/>
    <w:rsid w:val="52691F60"/>
    <w:rsid w:val="52F061DD"/>
    <w:rsid w:val="53D004E8"/>
    <w:rsid w:val="5406700A"/>
    <w:rsid w:val="542B571F"/>
    <w:rsid w:val="542F2E55"/>
    <w:rsid w:val="549A4653"/>
    <w:rsid w:val="55481269"/>
    <w:rsid w:val="55F935FB"/>
    <w:rsid w:val="56226FF5"/>
    <w:rsid w:val="562543F0"/>
    <w:rsid w:val="565F5B54"/>
    <w:rsid w:val="56864BF8"/>
    <w:rsid w:val="574014E1"/>
    <w:rsid w:val="576D24F2"/>
    <w:rsid w:val="57BE68AA"/>
    <w:rsid w:val="57D91936"/>
    <w:rsid w:val="5875340D"/>
    <w:rsid w:val="590429E2"/>
    <w:rsid w:val="5932754F"/>
    <w:rsid w:val="594352B9"/>
    <w:rsid w:val="5959054C"/>
    <w:rsid w:val="597B2CA5"/>
    <w:rsid w:val="59BB12F3"/>
    <w:rsid w:val="59E52814"/>
    <w:rsid w:val="5A767FE9"/>
    <w:rsid w:val="5A8E6A07"/>
    <w:rsid w:val="5AC10B8B"/>
    <w:rsid w:val="5B920779"/>
    <w:rsid w:val="5BA364E3"/>
    <w:rsid w:val="5BBB382C"/>
    <w:rsid w:val="5C514191"/>
    <w:rsid w:val="5CA2679A"/>
    <w:rsid w:val="5CBF10FA"/>
    <w:rsid w:val="5CDF354A"/>
    <w:rsid w:val="5D9B6664"/>
    <w:rsid w:val="5E9B5B97"/>
    <w:rsid w:val="5EA0313F"/>
    <w:rsid w:val="5EBA5F56"/>
    <w:rsid w:val="5FC12487"/>
    <w:rsid w:val="60336A3A"/>
    <w:rsid w:val="6071095D"/>
    <w:rsid w:val="60796DE8"/>
    <w:rsid w:val="609B1DF8"/>
    <w:rsid w:val="60A26D69"/>
    <w:rsid w:val="61110DB5"/>
    <w:rsid w:val="61B74A96"/>
    <w:rsid w:val="62F94AE8"/>
    <w:rsid w:val="63343EC4"/>
    <w:rsid w:val="634E70A1"/>
    <w:rsid w:val="646F31FC"/>
    <w:rsid w:val="648D7D30"/>
    <w:rsid w:val="649D3E7C"/>
    <w:rsid w:val="660065E3"/>
    <w:rsid w:val="66023AC3"/>
    <w:rsid w:val="66805D9E"/>
    <w:rsid w:val="66BE2423"/>
    <w:rsid w:val="66D9725C"/>
    <w:rsid w:val="675F3C06"/>
    <w:rsid w:val="67DF6AF4"/>
    <w:rsid w:val="682D5AB2"/>
    <w:rsid w:val="684A6664"/>
    <w:rsid w:val="684D3A5E"/>
    <w:rsid w:val="69076E24"/>
    <w:rsid w:val="69845BA5"/>
    <w:rsid w:val="699F29DF"/>
    <w:rsid w:val="6A4C5F97"/>
    <w:rsid w:val="6A8D2838"/>
    <w:rsid w:val="6AB97AD1"/>
    <w:rsid w:val="6AFA59F3"/>
    <w:rsid w:val="6C657EEA"/>
    <w:rsid w:val="6CDE381E"/>
    <w:rsid w:val="6CF03552"/>
    <w:rsid w:val="6D7D4902"/>
    <w:rsid w:val="6D7E0B5E"/>
    <w:rsid w:val="6D82064E"/>
    <w:rsid w:val="6DB85E1E"/>
    <w:rsid w:val="6DD864C0"/>
    <w:rsid w:val="6EA2087C"/>
    <w:rsid w:val="6EBD1966"/>
    <w:rsid w:val="6F411E43"/>
    <w:rsid w:val="6F525DFE"/>
    <w:rsid w:val="6F5E62FE"/>
    <w:rsid w:val="6F6F2EAF"/>
    <w:rsid w:val="703A1840"/>
    <w:rsid w:val="70545BA6"/>
    <w:rsid w:val="706E1C80"/>
    <w:rsid w:val="709E4983"/>
    <w:rsid w:val="70EC5DDE"/>
    <w:rsid w:val="710D6480"/>
    <w:rsid w:val="712330CA"/>
    <w:rsid w:val="7151028B"/>
    <w:rsid w:val="71777D9E"/>
    <w:rsid w:val="71AB5612"/>
    <w:rsid w:val="71D21478"/>
    <w:rsid w:val="721E6481"/>
    <w:rsid w:val="72783DCD"/>
    <w:rsid w:val="7307038F"/>
    <w:rsid w:val="734E2D80"/>
    <w:rsid w:val="73611436"/>
    <w:rsid w:val="74210D9D"/>
    <w:rsid w:val="746F2FAE"/>
    <w:rsid w:val="75153B55"/>
    <w:rsid w:val="752D5AEB"/>
    <w:rsid w:val="754E0E15"/>
    <w:rsid w:val="757E5B9F"/>
    <w:rsid w:val="757F36C5"/>
    <w:rsid w:val="758D7B90"/>
    <w:rsid w:val="75CC622D"/>
    <w:rsid w:val="76206EFF"/>
    <w:rsid w:val="762832FB"/>
    <w:rsid w:val="762B73A9"/>
    <w:rsid w:val="769E5DCD"/>
    <w:rsid w:val="76BB7BC2"/>
    <w:rsid w:val="76DA5057"/>
    <w:rsid w:val="77476464"/>
    <w:rsid w:val="778F6F79"/>
    <w:rsid w:val="779A6594"/>
    <w:rsid w:val="77B77146"/>
    <w:rsid w:val="77B90893"/>
    <w:rsid w:val="781A76D5"/>
    <w:rsid w:val="7860333A"/>
    <w:rsid w:val="78E773D3"/>
    <w:rsid w:val="79156C5A"/>
    <w:rsid w:val="7962698E"/>
    <w:rsid w:val="79B17BC5"/>
    <w:rsid w:val="7A122D59"/>
    <w:rsid w:val="7A356A48"/>
    <w:rsid w:val="7A6A4943"/>
    <w:rsid w:val="7A7E3F4B"/>
    <w:rsid w:val="7A7E7D69"/>
    <w:rsid w:val="7AD63D87"/>
    <w:rsid w:val="7B6E2211"/>
    <w:rsid w:val="7C482A62"/>
    <w:rsid w:val="7D525BA7"/>
    <w:rsid w:val="7E141A72"/>
    <w:rsid w:val="7E9B65C0"/>
    <w:rsid w:val="7EA85A3A"/>
    <w:rsid w:val="7EDB5E10"/>
    <w:rsid w:val="7F00119D"/>
    <w:rsid w:val="7F192494"/>
    <w:rsid w:val="7F381CBD"/>
    <w:rsid w:val="7F4D3288"/>
    <w:rsid w:val="7F6633AF"/>
    <w:rsid w:val="7F7327AE"/>
    <w:rsid w:val="7FA501CC"/>
    <w:rsid w:val="7FC56178"/>
    <w:rsid w:val="7FF64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0"/>
    <w:qFormat/>
    <w:uiPriority w:val="9"/>
    <w:pPr>
      <w:keepNext/>
      <w:widowControl/>
      <w:jc w:val="center"/>
      <w:outlineLvl w:val="0"/>
    </w:pPr>
    <w:rPr>
      <w:kern w:val="0"/>
      <w:sz w:val="32"/>
      <w:lang w:val="zh-CN"/>
    </w:rPr>
  </w:style>
  <w:style w:type="paragraph" w:styleId="2">
    <w:name w:val="heading 2"/>
    <w:basedOn w:val="1"/>
    <w:next w:val="1"/>
    <w:link w:val="103"/>
    <w:qFormat/>
    <w:uiPriority w:val="0"/>
    <w:pPr>
      <w:keepNext/>
      <w:ind w:firstLine="721"/>
      <w:outlineLvl w:val="1"/>
    </w:pPr>
    <w:rPr>
      <w:b/>
      <w:sz w:val="24"/>
      <w:lang w:val="zh-CN"/>
    </w:rPr>
  </w:style>
  <w:style w:type="paragraph" w:styleId="4">
    <w:name w:val="heading 3"/>
    <w:basedOn w:val="1"/>
    <w:next w:val="1"/>
    <w:link w:val="47"/>
    <w:qFormat/>
    <w:uiPriority w:val="0"/>
    <w:pPr>
      <w:keepNext/>
      <w:keepLines/>
      <w:spacing w:before="260" w:after="260" w:line="416" w:lineRule="auto"/>
      <w:outlineLvl w:val="2"/>
    </w:pPr>
    <w:rPr>
      <w:b/>
      <w:bCs/>
      <w:sz w:val="32"/>
      <w:szCs w:val="32"/>
    </w:rPr>
  </w:style>
  <w:style w:type="paragraph" w:styleId="5">
    <w:name w:val="heading 4"/>
    <w:basedOn w:val="1"/>
    <w:next w:val="1"/>
    <w:link w:val="13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3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13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13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3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13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8">
    <w:name w:val="Default Paragraph Font"/>
    <w:unhideWhenUsed/>
    <w:uiPriority w:val="1"/>
  </w:style>
  <w:style w:type="table" w:default="1" w:styleId="36">
    <w:name w:val="Normal Table"/>
    <w:semiHidden/>
    <w:unhideWhenUsed/>
    <w:uiPriority w:val="99"/>
    <w:tblPr>
      <w:tblCellMar>
        <w:top w:w="0" w:type="dxa"/>
        <w:left w:w="108" w:type="dxa"/>
        <w:bottom w:w="0" w:type="dxa"/>
        <w:right w:w="108" w:type="dxa"/>
      </w:tblCellMar>
    </w:tblPr>
  </w:style>
  <w:style w:type="paragraph" w:styleId="11">
    <w:name w:val="table of authorities"/>
    <w:basedOn w:val="1"/>
    <w:next w:val="1"/>
    <w:autoRedefine/>
    <w:qFormat/>
    <w:uiPriority w:val="0"/>
    <w:pPr>
      <w:ind w:left="420" w:leftChars="200"/>
    </w:pPr>
    <w:rPr>
      <w:rFonts w:asciiTheme="minorHAnsi" w:hAnsiTheme="minorHAnsi" w:eastAsiaTheme="minorEastAsia" w:cstheme="minorBidi"/>
      <w:szCs w:val="24"/>
    </w:rPr>
  </w:style>
  <w:style w:type="paragraph" w:styleId="12">
    <w:name w:val="Normal Indent"/>
    <w:basedOn w:val="1"/>
    <w:qFormat/>
    <w:uiPriority w:val="0"/>
    <w:pPr>
      <w:ind w:firstLine="420"/>
    </w:pPr>
  </w:style>
  <w:style w:type="paragraph" w:styleId="13">
    <w:name w:val="Document Map"/>
    <w:basedOn w:val="1"/>
    <w:link w:val="49"/>
    <w:qFormat/>
    <w:uiPriority w:val="0"/>
    <w:rPr>
      <w:rFonts w:ascii="宋体" w:hAnsiTheme="minorHAnsi" w:eastAsiaTheme="minorEastAsia" w:cstheme="minorBidi"/>
      <w:sz w:val="18"/>
      <w:szCs w:val="18"/>
      <w14:ligatures w14:val="standardContextual"/>
    </w:rPr>
  </w:style>
  <w:style w:type="paragraph" w:styleId="14">
    <w:name w:val="annotation text"/>
    <w:basedOn w:val="1"/>
    <w:link w:val="66"/>
    <w:unhideWhenUsed/>
    <w:qFormat/>
    <w:uiPriority w:val="0"/>
    <w:pPr>
      <w:jc w:val="left"/>
    </w:pPr>
  </w:style>
  <w:style w:type="paragraph" w:styleId="15">
    <w:name w:val="Salutation"/>
    <w:basedOn w:val="1"/>
    <w:next w:val="1"/>
    <w:link w:val="53"/>
    <w:qFormat/>
    <w:uiPriority w:val="0"/>
    <w:rPr>
      <w:rFonts w:asciiTheme="minorHAnsi" w:hAnsiTheme="minorHAnsi" w:eastAsiaTheme="minorEastAsia" w:cstheme="minorBidi"/>
      <w:sz w:val="24"/>
      <w:szCs w:val="22"/>
      <w14:ligatures w14:val="standardContextual"/>
    </w:rPr>
  </w:style>
  <w:style w:type="paragraph" w:styleId="16">
    <w:name w:val="Body Text"/>
    <w:basedOn w:val="1"/>
    <w:link w:val="71"/>
    <w:qFormat/>
    <w:uiPriority w:val="0"/>
    <w:pPr>
      <w:widowControl/>
    </w:pPr>
    <w:rPr>
      <w:kern w:val="0"/>
      <w:sz w:val="24"/>
    </w:rPr>
  </w:style>
  <w:style w:type="paragraph" w:styleId="17">
    <w:name w:val="Body Text Indent"/>
    <w:basedOn w:val="1"/>
    <w:link w:val="64"/>
    <w:qFormat/>
    <w:uiPriority w:val="0"/>
    <w:pPr>
      <w:ind w:firstLine="425"/>
    </w:pPr>
    <w:rPr>
      <w:rFonts w:ascii="楷体_GB2312" w:eastAsia="楷体_GB2312"/>
      <w:sz w:val="24"/>
    </w:rPr>
  </w:style>
  <w:style w:type="paragraph" w:styleId="18">
    <w:name w:val="List 2"/>
    <w:basedOn w:val="1"/>
    <w:qFormat/>
    <w:uiPriority w:val="0"/>
    <w:pPr>
      <w:tabs>
        <w:tab w:val="left" w:pos="360"/>
      </w:tabs>
      <w:ind w:left="840" w:hanging="420"/>
    </w:pPr>
  </w:style>
  <w:style w:type="paragraph" w:styleId="19">
    <w:name w:val="toc 3"/>
    <w:basedOn w:val="1"/>
    <w:next w:val="1"/>
    <w:autoRedefine/>
    <w:unhideWhenUsed/>
    <w:qFormat/>
    <w:uiPriority w:val="39"/>
    <w:pPr>
      <w:ind w:left="840" w:leftChars="400"/>
    </w:pPr>
  </w:style>
  <w:style w:type="paragraph" w:styleId="20">
    <w:name w:val="Plain Text"/>
    <w:basedOn w:val="1"/>
    <w:link w:val="54"/>
    <w:qFormat/>
    <w:uiPriority w:val="0"/>
    <w:rPr>
      <w:rFonts w:ascii="宋体" w:hAnsi="Courier New" w:eastAsiaTheme="minorEastAsia" w:cstheme="minorBidi"/>
      <w:szCs w:val="21"/>
      <w14:ligatures w14:val="standardContextual"/>
    </w:rPr>
  </w:style>
  <w:style w:type="paragraph" w:styleId="21">
    <w:name w:val="Date"/>
    <w:basedOn w:val="1"/>
    <w:next w:val="1"/>
    <w:link w:val="63"/>
    <w:qFormat/>
    <w:uiPriority w:val="0"/>
    <w:pPr>
      <w:ind w:left="100" w:leftChars="2500"/>
    </w:pPr>
    <w:rPr>
      <w:rFonts w:asciiTheme="minorHAnsi" w:hAnsiTheme="minorHAnsi" w:eastAsiaTheme="minorEastAsia" w:cstheme="minorBidi"/>
      <w:szCs w:val="22"/>
      <w14:ligatures w14:val="standardContextual"/>
    </w:rPr>
  </w:style>
  <w:style w:type="paragraph" w:styleId="22">
    <w:name w:val="Body Text Indent 2"/>
    <w:basedOn w:val="1"/>
    <w:link w:val="56"/>
    <w:qFormat/>
    <w:uiPriority w:val="0"/>
    <w:pPr>
      <w:spacing w:after="120" w:line="480" w:lineRule="auto"/>
      <w:ind w:left="420" w:leftChars="200"/>
    </w:pPr>
    <w:rPr>
      <w:rFonts w:asciiTheme="minorHAnsi" w:hAnsiTheme="minorHAnsi" w:eastAsiaTheme="minorEastAsia" w:cstheme="minorBidi"/>
      <w:szCs w:val="22"/>
      <w14:ligatures w14:val="standardContextual"/>
    </w:rPr>
  </w:style>
  <w:style w:type="paragraph" w:styleId="23">
    <w:name w:val="Balloon Text"/>
    <w:basedOn w:val="1"/>
    <w:link w:val="59"/>
    <w:qFormat/>
    <w:uiPriority w:val="99"/>
    <w:rPr>
      <w:rFonts w:asciiTheme="minorHAnsi" w:hAnsiTheme="minorHAnsi" w:eastAsiaTheme="minorEastAsia" w:cstheme="minorBidi"/>
      <w:sz w:val="18"/>
      <w:szCs w:val="18"/>
      <w14:ligatures w14:val="standardContextual"/>
    </w:rPr>
  </w:style>
  <w:style w:type="paragraph" w:styleId="24">
    <w:name w:val="footer"/>
    <w:basedOn w:val="1"/>
    <w:link w:val="48"/>
    <w:qFormat/>
    <w:uiPriority w:val="99"/>
    <w:pPr>
      <w:tabs>
        <w:tab w:val="center" w:pos="4153"/>
        <w:tab w:val="right" w:pos="8306"/>
      </w:tabs>
      <w:snapToGrid w:val="0"/>
      <w:jc w:val="left"/>
    </w:pPr>
    <w:rPr>
      <w:rFonts w:asciiTheme="minorHAnsi" w:hAnsiTheme="minorHAnsi" w:eastAsiaTheme="minorEastAsia" w:cstheme="minorBidi"/>
      <w:sz w:val="18"/>
      <w:szCs w:val="22"/>
      <w14:ligatures w14:val="standardContextual"/>
    </w:rPr>
  </w:style>
  <w:style w:type="paragraph" w:styleId="25">
    <w:name w:val="header"/>
    <w:basedOn w:val="1"/>
    <w:link w:val="55"/>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14:ligatures w14:val="standardContextual"/>
    </w:rPr>
  </w:style>
  <w:style w:type="paragraph" w:styleId="26">
    <w:name w:val="toc 1"/>
    <w:basedOn w:val="1"/>
    <w:next w:val="1"/>
    <w:autoRedefine/>
    <w:unhideWhenUsed/>
    <w:qFormat/>
    <w:uiPriority w:val="39"/>
    <w:pPr>
      <w:tabs>
        <w:tab w:val="right" w:leader="dot" w:pos="9678"/>
      </w:tabs>
    </w:pPr>
  </w:style>
  <w:style w:type="paragraph" w:styleId="27">
    <w:name w:val="Subtitle"/>
    <w:basedOn w:val="1"/>
    <w:next w:val="1"/>
    <w:link w:val="13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Body Text Indent 3"/>
    <w:basedOn w:val="1"/>
    <w:link w:val="84"/>
    <w:qFormat/>
    <w:uiPriority w:val="0"/>
    <w:pPr>
      <w:ind w:firstLine="420"/>
    </w:pPr>
    <w:rPr>
      <w:rFonts w:ascii="楷体_GB2312" w:eastAsia="楷体_GB2312"/>
      <w:sz w:val="24"/>
    </w:rPr>
  </w:style>
  <w:style w:type="paragraph" w:styleId="29">
    <w:name w:val="toc 2"/>
    <w:basedOn w:val="1"/>
    <w:next w:val="1"/>
    <w:autoRedefine/>
    <w:unhideWhenUsed/>
    <w:qFormat/>
    <w:uiPriority w:val="39"/>
    <w:pPr>
      <w:ind w:left="420" w:leftChars="200"/>
    </w:pPr>
  </w:style>
  <w:style w:type="paragraph" w:styleId="30">
    <w:name w:val="Body Text 2"/>
    <w:basedOn w:val="1"/>
    <w:link w:val="85"/>
    <w:qFormat/>
    <w:uiPriority w:val="0"/>
    <w:pPr>
      <w:widowControl/>
      <w:jc w:val="left"/>
    </w:pPr>
    <w:rPr>
      <w:kern w:val="0"/>
      <w:sz w:val="24"/>
    </w:rPr>
  </w:style>
  <w:style w:type="paragraph" w:styleId="31">
    <w:name w:val="Normal (Web)"/>
    <w:basedOn w:val="1"/>
    <w:link w:val="113"/>
    <w:qFormat/>
    <w:uiPriority w:val="99"/>
    <w:pPr>
      <w:widowControl/>
      <w:spacing w:before="100" w:beforeAutospacing="1" w:after="100" w:afterAutospacing="1"/>
      <w:jc w:val="left"/>
    </w:pPr>
    <w:rPr>
      <w:rFonts w:ascii="宋体" w:hAnsi="宋体" w:cs="宋体"/>
      <w:kern w:val="0"/>
      <w:sz w:val="24"/>
      <w:szCs w:val="24"/>
    </w:rPr>
  </w:style>
  <w:style w:type="paragraph" w:styleId="32">
    <w:name w:val="index 1"/>
    <w:basedOn w:val="1"/>
    <w:next w:val="1"/>
    <w:semiHidden/>
    <w:qFormat/>
    <w:uiPriority w:val="0"/>
  </w:style>
  <w:style w:type="paragraph" w:styleId="33">
    <w:name w:val="Title"/>
    <w:basedOn w:val="1"/>
    <w:link w:val="57"/>
    <w:qFormat/>
    <w:uiPriority w:val="0"/>
    <w:pPr>
      <w:widowControl/>
      <w:jc w:val="center"/>
    </w:pPr>
    <w:rPr>
      <w:rFonts w:eastAsia="Batang" w:asciiTheme="minorHAnsi" w:hAnsiTheme="minorHAnsi" w:cstheme="minorBidi"/>
      <w:b/>
      <w:bCs/>
      <w:sz w:val="24"/>
      <w:szCs w:val="24"/>
      <w:lang w:eastAsia="ko-KR"/>
      <w14:ligatures w14:val="standardContextual"/>
    </w:rPr>
  </w:style>
  <w:style w:type="paragraph" w:styleId="34">
    <w:name w:val="annotation subject"/>
    <w:basedOn w:val="14"/>
    <w:next w:val="14"/>
    <w:link w:val="61"/>
    <w:qFormat/>
    <w:uiPriority w:val="0"/>
    <w:rPr>
      <w:rFonts w:eastAsia="MingLiU" w:asciiTheme="minorHAnsi" w:hAnsiTheme="minorHAnsi" w:cstheme="minorBidi"/>
      <w:sz w:val="24"/>
      <w:szCs w:val="22"/>
      <w:lang w:eastAsia="zh-TW"/>
      <w14:ligatures w14:val="standardContextual"/>
    </w:rPr>
  </w:style>
  <w:style w:type="paragraph" w:styleId="35">
    <w:name w:val="Body Text First Indent 2"/>
    <w:basedOn w:val="17"/>
    <w:link w:val="117"/>
    <w:semiHidden/>
    <w:unhideWhenUsed/>
    <w:qFormat/>
    <w:uiPriority w:val="99"/>
    <w:pPr>
      <w:spacing w:after="120"/>
      <w:ind w:left="420" w:leftChars="200" w:firstLine="420" w:firstLineChars="200"/>
    </w:pPr>
    <w:rPr>
      <w:rFonts w:ascii="Times New Roman" w:eastAsia="宋体"/>
      <w:sz w:val="21"/>
    </w:rPr>
  </w:style>
  <w:style w:type="table" w:styleId="37">
    <w:name w:val="Table Grid"/>
    <w:basedOn w:val="3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22"/>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99"/>
    <w:rPr>
      <w:color w:val="0000FF"/>
      <w:u w:val="single"/>
    </w:rPr>
  </w:style>
  <w:style w:type="character" w:styleId="43">
    <w:name w:val="annotation reference"/>
    <w:qFormat/>
    <w:uiPriority w:val="99"/>
    <w:rPr>
      <w:sz w:val="21"/>
      <w:szCs w:val="21"/>
    </w:rPr>
  </w:style>
  <w:style w:type="paragraph" w:customStyle="1" w:styleId="44">
    <w:name w:val="正文缩进1"/>
    <w:basedOn w:val="1"/>
    <w:qFormat/>
    <w:uiPriority w:val="0"/>
    <w:pPr>
      <w:widowControl/>
      <w:overflowPunct w:val="0"/>
      <w:autoSpaceDE w:val="0"/>
      <w:autoSpaceDN w:val="0"/>
      <w:adjustRightInd w:val="0"/>
      <w:spacing w:after="160" w:line="360" w:lineRule="atLeast"/>
      <w:ind w:firstLine="420" w:firstLineChars="200"/>
      <w:jc w:val="left"/>
      <w:textAlignment w:val="baseline"/>
    </w:pPr>
    <w:rPr>
      <w:kern w:val="0"/>
      <w:sz w:val="24"/>
    </w:rPr>
  </w:style>
  <w:style w:type="character" w:customStyle="1" w:styleId="45">
    <w:name w:val="标题 1 字符"/>
    <w:basedOn w:val="38"/>
    <w:qFormat/>
    <w:uiPriority w:val="9"/>
    <w:rPr>
      <w:rFonts w:ascii="Times New Roman" w:hAnsi="Times New Roman" w:eastAsia="宋体" w:cs="Times New Roman"/>
      <w:b/>
      <w:bCs/>
      <w:kern w:val="44"/>
      <w:sz w:val="44"/>
      <w:szCs w:val="44"/>
      <w14:ligatures w14:val="none"/>
    </w:rPr>
  </w:style>
  <w:style w:type="character" w:customStyle="1" w:styleId="46">
    <w:name w:val="标题 2 字符"/>
    <w:basedOn w:val="38"/>
    <w:semiHidden/>
    <w:qFormat/>
    <w:uiPriority w:val="9"/>
    <w:rPr>
      <w:rFonts w:asciiTheme="majorHAnsi" w:hAnsiTheme="majorHAnsi" w:eastAsiaTheme="majorEastAsia" w:cstheme="majorBidi"/>
      <w:b/>
      <w:bCs/>
      <w:sz w:val="32"/>
      <w:szCs w:val="32"/>
      <w14:ligatures w14:val="none"/>
    </w:rPr>
  </w:style>
  <w:style w:type="character" w:customStyle="1" w:styleId="47">
    <w:name w:val="标题 3 字符"/>
    <w:basedOn w:val="38"/>
    <w:link w:val="4"/>
    <w:qFormat/>
    <w:uiPriority w:val="0"/>
    <w:rPr>
      <w:rFonts w:ascii="Times New Roman" w:hAnsi="Times New Roman" w:eastAsia="宋体" w:cs="Times New Roman"/>
      <w:b/>
      <w:bCs/>
      <w:sz w:val="32"/>
      <w:szCs w:val="32"/>
      <w14:ligatures w14:val="none"/>
    </w:rPr>
  </w:style>
  <w:style w:type="character" w:customStyle="1" w:styleId="48">
    <w:name w:val="页脚 字符1"/>
    <w:link w:val="24"/>
    <w:qFormat/>
    <w:uiPriority w:val="99"/>
    <w:rPr>
      <w:sz w:val="18"/>
    </w:rPr>
  </w:style>
  <w:style w:type="character" w:customStyle="1" w:styleId="49">
    <w:name w:val="文档结构图 字符1"/>
    <w:link w:val="13"/>
    <w:qFormat/>
    <w:uiPriority w:val="0"/>
    <w:rPr>
      <w:rFonts w:ascii="宋体"/>
      <w:sz w:val="18"/>
      <w:szCs w:val="18"/>
    </w:rPr>
  </w:style>
  <w:style w:type="character" w:customStyle="1" w:styleId="50">
    <w:name w:val="font51"/>
    <w:qFormat/>
    <w:uiPriority w:val="0"/>
    <w:rPr>
      <w:rFonts w:hint="default" w:ascii="Times New Roman" w:hAnsi="Times New Roman" w:cs="Times New Roman"/>
      <w:color w:val="0000FF"/>
      <w:sz w:val="22"/>
      <w:szCs w:val="22"/>
    </w:rPr>
  </w:style>
  <w:style w:type="character" w:customStyle="1" w:styleId="51">
    <w:name w:val="style32"/>
    <w:qFormat/>
    <w:uiPriority w:val="0"/>
    <w:rPr>
      <w:rFonts w:hint="eastAsia" w:ascii="微软雅黑" w:hAnsi="微软雅黑" w:eastAsia="微软雅黑"/>
      <w:b/>
      <w:bCs/>
      <w:color w:val="FF0000"/>
      <w:sz w:val="24"/>
      <w:szCs w:val="24"/>
    </w:rPr>
  </w:style>
  <w:style w:type="character" w:customStyle="1" w:styleId="52">
    <w:name w:val="font11"/>
    <w:qFormat/>
    <w:uiPriority w:val="0"/>
    <w:rPr>
      <w:rFonts w:hint="eastAsia" w:ascii="宋体" w:hAnsi="宋体" w:eastAsia="宋体" w:cs="宋体"/>
      <w:color w:val="0000FF"/>
      <w:sz w:val="22"/>
      <w:szCs w:val="22"/>
    </w:rPr>
  </w:style>
  <w:style w:type="character" w:customStyle="1" w:styleId="53">
    <w:name w:val="称呼 字符1"/>
    <w:link w:val="15"/>
    <w:qFormat/>
    <w:uiPriority w:val="0"/>
    <w:rPr>
      <w:sz w:val="24"/>
    </w:rPr>
  </w:style>
  <w:style w:type="character" w:customStyle="1" w:styleId="54">
    <w:name w:val="纯文本 字符1"/>
    <w:link w:val="20"/>
    <w:qFormat/>
    <w:uiPriority w:val="0"/>
    <w:rPr>
      <w:rFonts w:ascii="宋体" w:hAnsi="Courier New"/>
      <w:szCs w:val="21"/>
    </w:rPr>
  </w:style>
  <w:style w:type="character" w:customStyle="1" w:styleId="55">
    <w:name w:val="页眉 字符1"/>
    <w:link w:val="25"/>
    <w:qFormat/>
    <w:uiPriority w:val="0"/>
    <w:rPr>
      <w:sz w:val="18"/>
    </w:rPr>
  </w:style>
  <w:style w:type="character" w:customStyle="1" w:styleId="56">
    <w:name w:val="正文文本缩进 2 字符1"/>
    <w:link w:val="22"/>
    <w:qFormat/>
    <w:uiPriority w:val="0"/>
  </w:style>
  <w:style w:type="character" w:customStyle="1" w:styleId="57">
    <w:name w:val="标题 字符1"/>
    <w:link w:val="33"/>
    <w:qFormat/>
    <w:uiPriority w:val="0"/>
    <w:rPr>
      <w:rFonts w:eastAsia="Batang"/>
      <w:b/>
      <w:bCs/>
      <w:sz w:val="24"/>
      <w:szCs w:val="24"/>
      <w:lang w:eastAsia="ko-KR"/>
    </w:rPr>
  </w:style>
  <w:style w:type="character" w:customStyle="1" w:styleId="58">
    <w:name w:val="批注文字 Char"/>
    <w:qFormat/>
    <w:uiPriority w:val="99"/>
    <w:rPr>
      <w:rFonts w:eastAsia="MingLiU"/>
      <w:sz w:val="24"/>
      <w:lang w:eastAsia="zh-TW"/>
    </w:rPr>
  </w:style>
  <w:style w:type="character" w:customStyle="1" w:styleId="59">
    <w:name w:val="批注框文本 字符1"/>
    <w:link w:val="23"/>
    <w:qFormat/>
    <w:uiPriority w:val="99"/>
    <w:rPr>
      <w:sz w:val="18"/>
      <w:szCs w:val="18"/>
    </w:rPr>
  </w:style>
  <w:style w:type="character" w:customStyle="1" w:styleId="60">
    <w:name w:val="标题 1 字符1"/>
    <w:link w:val="3"/>
    <w:qFormat/>
    <w:uiPriority w:val="9"/>
    <w:rPr>
      <w:rFonts w:ascii="Times New Roman" w:hAnsi="Times New Roman" w:eastAsia="宋体" w:cs="Times New Roman"/>
      <w:kern w:val="0"/>
      <w:sz w:val="32"/>
      <w:szCs w:val="20"/>
      <w:lang w:val="zh-CN" w:eastAsia="zh-CN"/>
      <w14:ligatures w14:val="none"/>
    </w:rPr>
  </w:style>
  <w:style w:type="character" w:customStyle="1" w:styleId="61">
    <w:name w:val="批注主题 字符1"/>
    <w:link w:val="34"/>
    <w:qFormat/>
    <w:uiPriority w:val="0"/>
    <w:rPr>
      <w:rFonts w:eastAsia="MingLiU"/>
      <w:sz w:val="24"/>
      <w:lang w:eastAsia="zh-TW"/>
    </w:rPr>
  </w:style>
  <w:style w:type="character" w:customStyle="1" w:styleId="62">
    <w:name w:val="font41"/>
    <w:qFormat/>
    <w:uiPriority w:val="0"/>
    <w:rPr>
      <w:rFonts w:hint="default" w:ascii="Times New Roman" w:hAnsi="Times New Roman" w:cs="Times New Roman"/>
      <w:color w:val="0000FF"/>
      <w:sz w:val="22"/>
      <w:szCs w:val="22"/>
    </w:rPr>
  </w:style>
  <w:style w:type="character" w:customStyle="1" w:styleId="63">
    <w:name w:val="日期 字符1"/>
    <w:link w:val="21"/>
    <w:qFormat/>
    <w:uiPriority w:val="0"/>
  </w:style>
  <w:style w:type="character" w:customStyle="1" w:styleId="64">
    <w:name w:val="正文文本缩进 字符"/>
    <w:basedOn w:val="38"/>
    <w:link w:val="17"/>
    <w:qFormat/>
    <w:uiPriority w:val="0"/>
    <w:rPr>
      <w:rFonts w:ascii="楷体_GB2312" w:hAnsi="Times New Roman" w:eastAsia="楷体_GB2312" w:cs="Times New Roman"/>
      <w:sz w:val="24"/>
      <w:szCs w:val="20"/>
      <w14:ligatures w14:val="none"/>
    </w:rPr>
  </w:style>
  <w:style w:type="character" w:customStyle="1" w:styleId="65">
    <w:name w:val="页脚 字符"/>
    <w:basedOn w:val="38"/>
    <w:qFormat/>
    <w:uiPriority w:val="99"/>
    <w:rPr>
      <w:rFonts w:ascii="Times New Roman" w:hAnsi="Times New Roman" w:eastAsia="宋体" w:cs="Times New Roman"/>
      <w:sz w:val="18"/>
      <w:szCs w:val="18"/>
      <w14:ligatures w14:val="none"/>
    </w:rPr>
  </w:style>
  <w:style w:type="character" w:customStyle="1" w:styleId="66">
    <w:name w:val="批注文字 字符"/>
    <w:basedOn w:val="38"/>
    <w:link w:val="14"/>
    <w:qFormat/>
    <w:uiPriority w:val="0"/>
    <w:rPr>
      <w:rFonts w:ascii="Times New Roman" w:hAnsi="Times New Roman" w:eastAsia="宋体" w:cs="Times New Roman"/>
      <w:szCs w:val="20"/>
      <w14:ligatures w14:val="none"/>
    </w:rPr>
  </w:style>
  <w:style w:type="character" w:customStyle="1" w:styleId="67">
    <w:name w:val="批注主题 字符"/>
    <w:basedOn w:val="66"/>
    <w:semiHidden/>
    <w:qFormat/>
    <w:uiPriority w:val="99"/>
    <w:rPr>
      <w:rFonts w:ascii="Times New Roman" w:hAnsi="Times New Roman" w:eastAsia="宋体" w:cs="Times New Roman"/>
      <w:b/>
      <w:bCs/>
      <w:szCs w:val="20"/>
      <w14:ligatures w14:val="none"/>
    </w:rPr>
  </w:style>
  <w:style w:type="character" w:customStyle="1" w:styleId="68">
    <w:name w:val="称呼 字符"/>
    <w:basedOn w:val="38"/>
    <w:qFormat/>
    <w:uiPriority w:val="0"/>
    <w:rPr>
      <w:rFonts w:ascii="Times New Roman" w:hAnsi="Times New Roman" w:eastAsia="宋体" w:cs="Times New Roman"/>
      <w:szCs w:val="20"/>
      <w14:ligatures w14:val="none"/>
    </w:rPr>
  </w:style>
  <w:style w:type="character" w:customStyle="1" w:styleId="69">
    <w:name w:val="纯文本 字符"/>
    <w:basedOn w:val="38"/>
    <w:qFormat/>
    <w:uiPriority w:val="0"/>
    <w:rPr>
      <w:rFonts w:hAnsi="Courier New" w:cs="Courier New" w:asciiTheme="minorEastAsia"/>
      <w:szCs w:val="20"/>
      <w14:ligatures w14:val="none"/>
    </w:rPr>
  </w:style>
  <w:style w:type="character" w:customStyle="1" w:styleId="70">
    <w:name w:val="文档结构图 字符"/>
    <w:basedOn w:val="38"/>
    <w:semiHidden/>
    <w:qFormat/>
    <w:uiPriority w:val="99"/>
    <w:rPr>
      <w:rFonts w:ascii="Microsoft YaHei UI" w:hAnsi="Times New Roman" w:eastAsia="Microsoft YaHei UI" w:cs="Times New Roman"/>
      <w:sz w:val="18"/>
      <w:szCs w:val="18"/>
      <w14:ligatures w14:val="none"/>
    </w:rPr>
  </w:style>
  <w:style w:type="character" w:customStyle="1" w:styleId="71">
    <w:name w:val="正文文本 字符"/>
    <w:basedOn w:val="38"/>
    <w:link w:val="16"/>
    <w:qFormat/>
    <w:uiPriority w:val="0"/>
    <w:rPr>
      <w:rFonts w:ascii="Times New Roman" w:hAnsi="Times New Roman" w:eastAsia="宋体" w:cs="Times New Roman"/>
      <w:kern w:val="0"/>
      <w:sz w:val="24"/>
      <w:szCs w:val="20"/>
      <w14:ligatures w14:val="none"/>
    </w:rPr>
  </w:style>
  <w:style w:type="paragraph" w:customStyle="1" w:styleId="72">
    <w:name w:val="1"/>
    <w:basedOn w:val="1"/>
    <w:next w:val="73"/>
    <w:link w:val="102"/>
    <w:qFormat/>
    <w:uiPriority w:val="34"/>
    <w:pPr>
      <w:ind w:firstLine="420" w:firstLineChars="200"/>
    </w:pPr>
    <w:rPr>
      <w:rFonts w:ascii="Calibri" w:hAnsi="Calibri" w:eastAsiaTheme="minorEastAsia" w:cstheme="minorBidi"/>
      <w:szCs w:val="22"/>
      <w14:ligatures w14:val="standardContextual"/>
    </w:rPr>
  </w:style>
  <w:style w:type="paragraph" w:styleId="73">
    <w:name w:val="List Paragraph"/>
    <w:basedOn w:val="1"/>
    <w:link w:val="129"/>
    <w:qFormat/>
    <w:uiPriority w:val="34"/>
    <w:pPr>
      <w:ind w:firstLine="420" w:firstLineChars="200"/>
    </w:pPr>
  </w:style>
  <w:style w:type="paragraph" w:customStyle="1" w:styleId="74">
    <w:name w:val="纯文本1"/>
    <w:basedOn w:val="1"/>
    <w:qFormat/>
    <w:uiPriority w:val="0"/>
    <w:rPr>
      <w:rFonts w:ascii="宋体" w:hAnsi="Courier New" w:cs="Courier New"/>
      <w:szCs w:val="21"/>
    </w:rPr>
  </w:style>
  <w:style w:type="paragraph" w:customStyle="1" w:styleId="75">
    <w:name w:val="Char1"/>
    <w:basedOn w:val="1"/>
    <w:qFormat/>
    <w:uiPriority w:val="0"/>
    <w:pPr>
      <w:tabs>
        <w:tab w:val="left" w:pos="360"/>
      </w:tabs>
    </w:pPr>
    <w:rPr>
      <w:sz w:val="24"/>
      <w:szCs w:val="24"/>
    </w:rPr>
  </w:style>
  <w:style w:type="character" w:customStyle="1" w:styleId="76">
    <w:name w:val="日期 字符"/>
    <w:basedOn w:val="38"/>
    <w:semiHidden/>
    <w:qFormat/>
    <w:uiPriority w:val="99"/>
    <w:rPr>
      <w:rFonts w:ascii="Times New Roman" w:hAnsi="Times New Roman" w:eastAsia="宋体" w:cs="Times New Roman"/>
      <w:szCs w:val="20"/>
      <w14:ligatures w14:val="none"/>
    </w:rPr>
  </w:style>
  <w:style w:type="paragraph" w:customStyle="1" w:styleId="77">
    <w:name w:val="Normal no space after"/>
    <w:basedOn w:val="1"/>
    <w:qFormat/>
    <w:uiPriority w:val="0"/>
    <w:pPr>
      <w:widowControl/>
      <w:tabs>
        <w:tab w:val="left" w:pos="284"/>
        <w:tab w:val="left" w:pos="567"/>
      </w:tabs>
      <w:spacing w:line="280" w:lineRule="atLeast"/>
      <w:jc w:val="left"/>
    </w:pPr>
    <w:rPr>
      <w:rFonts w:ascii="Frutiger Roman" w:hAnsi="Frutiger Roman"/>
      <w:kern w:val="0"/>
      <w:sz w:val="20"/>
      <w:lang w:eastAsia="en-US"/>
    </w:rPr>
  </w:style>
  <w:style w:type="paragraph" w:customStyle="1" w:styleId="78">
    <w:name w:val="Indent"/>
    <w:basedOn w:val="1"/>
    <w:qFormat/>
    <w:uiPriority w:val="0"/>
    <w:pPr>
      <w:widowControl/>
      <w:ind w:left="900"/>
      <w:jc w:val="left"/>
    </w:pPr>
    <w:rPr>
      <w:rFonts w:ascii="Arial" w:hAnsi="Arial" w:cs="Arial"/>
      <w:kern w:val="0"/>
      <w:sz w:val="24"/>
      <w:lang w:eastAsia="en-US"/>
    </w:rPr>
  </w:style>
  <w:style w:type="paragraph" w:customStyle="1" w:styleId="79">
    <w:name w:val="图文"/>
    <w:basedOn w:val="1"/>
    <w:qFormat/>
    <w:uiPriority w:val="0"/>
    <w:pPr>
      <w:adjustRightInd w:val="0"/>
      <w:snapToGrid w:val="0"/>
      <w:spacing w:after="50" w:line="360" w:lineRule="auto"/>
    </w:pPr>
    <w:rPr>
      <w:sz w:val="24"/>
      <w:szCs w:val="24"/>
    </w:rPr>
  </w:style>
  <w:style w:type="paragraph" w:customStyle="1" w:styleId="80">
    <w:name w:val="Default"/>
    <w:qFormat/>
    <w:uiPriority w:val="0"/>
    <w:pPr>
      <w:widowControl w:val="0"/>
      <w:autoSpaceDE w:val="0"/>
      <w:autoSpaceDN w:val="0"/>
      <w:adjustRightInd w:val="0"/>
    </w:pPr>
    <w:rPr>
      <w:rFonts w:ascii="Arial,Bold" w:hAnsi="Arial,Bold" w:eastAsia="Times New Roman" w:cs="Times New Roman"/>
      <w:lang w:val="en-US" w:eastAsia="en-US" w:bidi="ar-SA"/>
    </w:rPr>
  </w:style>
  <w:style w:type="character" w:customStyle="1" w:styleId="81">
    <w:name w:val="正文文本缩进 2 字符"/>
    <w:basedOn w:val="38"/>
    <w:semiHidden/>
    <w:qFormat/>
    <w:uiPriority w:val="99"/>
    <w:rPr>
      <w:rFonts w:ascii="Times New Roman" w:hAnsi="Times New Roman" w:eastAsia="宋体" w:cs="Times New Roman"/>
      <w:szCs w:val="20"/>
      <w14:ligatures w14:val="none"/>
    </w:rPr>
  </w:style>
  <w:style w:type="character" w:customStyle="1" w:styleId="82">
    <w:name w:val="页眉 字符"/>
    <w:basedOn w:val="38"/>
    <w:semiHidden/>
    <w:qFormat/>
    <w:uiPriority w:val="99"/>
    <w:rPr>
      <w:rFonts w:ascii="Times New Roman" w:hAnsi="Times New Roman" w:eastAsia="宋体" w:cs="Times New Roman"/>
      <w:sz w:val="18"/>
      <w:szCs w:val="18"/>
      <w14:ligatures w14:val="none"/>
    </w:rPr>
  </w:style>
  <w:style w:type="character" w:customStyle="1" w:styleId="83">
    <w:name w:val="批注框文本 字符"/>
    <w:basedOn w:val="38"/>
    <w:semiHidden/>
    <w:qFormat/>
    <w:uiPriority w:val="99"/>
    <w:rPr>
      <w:rFonts w:ascii="Times New Roman" w:hAnsi="Times New Roman" w:eastAsia="宋体" w:cs="Times New Roman"/>
      <w:sz w:val="18"/>
      <w:szCs w:val="18"/>
      <w14:ligatures w14:val="none"/>
    </w:rPr>
  </w:style>
  <w:style w:type="character" w:customStyle="1" w:styleId="84">
    <w:name w:val="正文文本缩进 3 字符"/>
    <w:basedOn w:val="38"/>
    <w:link w:val="28"/>
    <w:qFormat/>
    <w:uiPriority w:val="0"/>
    <w:rPr>
      <w:rFonts w:ascii="楷体_GB2312" w:hAnsi="Times New Roman" w:eastAsia="楷体_GB2312" w:cs="Times New Roman"/>
      <w:sz w:val="24"/>
      <w:szCs w:val="20"/>
      <w14:ligatures w14:val="none"/>
    </w:rPr>
  </w:style>
  <w:style w:type="character" w:customStyle="1" w:styleId="85">
    <w:name w:val="正文文本 2 字符"/>
    <w:basedOn w:val="38"/>
    <w:link w:val="30"/>
    <w:qFormat/>
    <w:uiPriority w:val="0"/>
    <w:rPr>
      <w:rFonts w:ascii="Times New Roman" w:hAnsi="Times New Roman" w:eastAsia="宋体" w:cs="Times New Roman"/>
      <w:kern w:val="0"/>
      <w:sz w:val="24"/>
      <w:szCs w:val="20"/>
      <w14:ligatures w14:val="none"/>
    </w:rPr>
  </w:style>
  <w:style w:type="paragraph" w:customStyle="1" w:styleId="86">
    <w:name w:val="2级标题"/>
    <w:basedOn w:val="1"/>
    <w:qFormat/>
    <w:uiPriority w:val="0"/>
    <w:pPr>
      <w:numPr>
        <w:ilvl w:val="1"/>
        <w:numId w:val="1"/>
      </w:numPr>
      <w:tabs>
        <w:tab w:val="left" w:pos="240"/>
      </w:tabs>
      <w:adjustRightInd w:val="0"/>
      <w:snapToGrid w:val="0"/>
      <w:spacing w:before="480" w:after="360"/>
      <w:jc w:val="left"/>
      <w:outlineLvl w:val="1"/>
    </w:pPr>
    <w:rPr>
      <w:rFonts w:eastAsia="黑体"/>
      <w:sz w:val="30"/>
      <w:szCs w:val="24"/>
    </w:rPr>
  </w:style>
  <w:style w:type="character" w:customStyle="1" w:styleId="87">
    <w:name w:val="标题 字符"/>
    <w:basedOn w:val="38"/>
    <w:qFormat/>
    <w:uiPriority w:val="10"/>
    <w:rPr>
      <w:rFonts w:asciiTheme="majorHAnsi" w:hAnsiTheme="majorHAnsi" w:eastAsiaTheme="majorEastAsia" w:cstheme="majorBidi"/>
      <w:b/>
      <w:bCs/>
      <w:sz w:val="32"/>
      <w:szCs w:val="32"/>
      <w14:ligatures w14:val="none"/>
    </w:rPr>
  </w:style>
  <w:style w:type="paragraph" w:customStyle="1" w:styleId="88">
    <w:name w:val="western"/>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9">
    <w:name w:val="列出段落1"/>
    <w:basedOn w:val="1"/>
    <w:qFormat/>
    <w:uiPriority w:val="34"/>
    <w:pPr>
      <w:ind w:firstLine="420" w:firstLineChars="200"/>
    </w:pPr>
    <w:rPr>
      <w:rFonts w:ascii="Calibri" w:hAnsi="Calibri"/>
      <w:szCs w:val="22"/>
    </w:rPr>
  </w:style>
  <w:style w:type="paragraph" w:customStyle="1" w:styleId="90">
    <w:name w:val="列出段落2"/>
    <w:basedOn w:val="1"/>
    <w:qFormat/>
    <w:uiPriority w:val="0"/>
    <w:pPr>
      <w:ind w:firstLine="420" w:firstLineChars="200"/>
    </w:pPr>
    <w:rPr>
      <w:rFonts w:ascii="Calibri" w:hAnsi="Calibri"/>
      <w:szCs w:val="22"/>
    </w:rPr>
  </w:style>
  <w:style w:type="paragraph" w:customStyle="1" w:styleId="9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2">
    <w:name w:val="Char"/>
    <w:basedOn w:val="1"/>
    <w:qFormat/>
    <w:uiPriority w:val="0"/>
    <w:pPr>
      <w:tabs>
        <w:tab w:val="left" w:pos="360"/>
      </w:tabs>
    </w:pPr>
    <w:rPr>
      <w:rFonts w:ascii="仿宋_GB2312" w:eastAsia="仿宋_GB2312"/>
      <w:sz w:val="24"/>
      <w:szCs w:val="24"/>
    </w:rPr>
  </w:style>
  <w:style w:type="paragraph" w:customStyle="1" w:styleId="93">
    <w:name w:val="Char1 Char Char Char"/>
    <w:basedOn w:val="1"/>
    <w:qFormat/>
    <w:uiPriority w:val="0"/>
    <w:rPr>
      <w:rFonts w:ascii="Tahoma" w:hAnsi="Tahoma"/>
      <w:sz w:val="24"/>
    </w:rPr>
  </w:style>
  <w:style w:type="paragraph" w:customStyle="1" w:styleId="94">
    <w:name w:val="p0"/>
    <w:basedOn w:val="1"/>
    <w:qFormat/>
    <w:uiPriority w:val="0"/>
    <w:pPr>
      <w:widowControl/>
    </w:pPr>
    <w:rPr>
      <w:rFonts w:ascii="Calibri" w:hAnsi="Calibri" w:cs="宋体"/>
      <w:kern w:val="0"/>
      <w:szCs w:val="21"/>
    </w:rPr>
  </w:style>
  <w:style w:type="paragraph" w:customStyle="1" w:styleId="95">
    <w:name w:val="正文1"/>
    <w:basedOn w:val="1"/>
    <w:qFormat/>
    <w:uiPriority w:val="0"/>
    <w:pPr>
      <w:widowControl/>
      <w:overflowPunct w:val="0"/>
      <w:autoSpaceDE w:val="0"/>
      <w:autoSpaceDN w:val="0"/>
      <w:adjustRightInd w:val="0"/>
      <w:spacing w:line="312" w:lineRule="exact"/>
      <w:jc w:val="left"/>
      <w:textAlignment w:val="baseline"/>
    </w:pPr>
    <w:rPr>
      <w:rFonts w:ascii="宋体"/>
      <w:kern w:val="0"/>
    </w:rPr>
  </w:style>
  <w:style w:type="paragraph" w:customStyle="1" w:styleId="96">
    <w:name w:val="Document 1"/>
    <w:qFormat/>
    <w:uiPriority w:val="0"/>
    <w:pPr>
      <w:keepNext/>
      <w:keepLines/>
      <w:tabs>
        <w:tab w:val="left" w:pos="-720"/>
      </w:tabs>
      <w:suppressAutoHyphens/>
      <w:overflowPunct w:val="0"/>
      <w:autoSpaceDE w:val="0"/>
      <w:autoSpaceDN w:val="0"/>
      <w:adjustRightInd w:val="0"/>
      <w:textAlignment w:val="baseline"/>
    </w:pPr>
    <w:rPr>
      <w:rFonts w:ascii="Courier New" w:hAnsi="Courier New" w:eastAsia="宋体" w:cs="Times New Roman"/>
      <w:sz w:val="24"/>
      <w:lang w:val="en-US" w:eastAsia="zh-CN" w:bidi="ar-SA"/>
    </w:rPr>
  </w:style>
  <w:style w:type="paragraph" w:customStyle="1" w:styleId="97">
    <w:name w:val="正文-标准"/>
    <w:basedOn w:val="1"/>
    <w:qFormat/>
    <w:uiPriority w:val="0"/>
    <w:pPr>
      <w:autoSpaceDE w:val="0"/>
      <w:autoSpaceDN w:val="0"/>
      <w:adjustRightInd w:val="0"/>
      <w:spacing w:line="360" w:lineRule="exact"/>
      <w:jc w:val="left"/>
      <w:textAlignment w:val="baseline"/>
    </w:pPr>
    <w:rPr>
      <w:kern w:val="21"/>
    </w:rPr>
  </w:style>
  <w:style w:type="paragraph" w:customStyle="1" w:styleId="98">
    <w:name w:val="Char Char Char Char Char Char Char Char Char Char Char Char"/>
    <w:basedOn w:val="1"/>
    <w:qFormat/>
    <w:uiPriority w:val="0"/>
    <w:pPr>
      <w:spacing w:line="300" w:lineRule="auto"/>
    </w:pPr>
    <w:rPr>
      <w:rFonts w:ascii="宋体" w:hAnsi="宋体"/>
      <w:b/>
      <w:bCs/>
      <w:color w:val="000000"/>
      <w:spacing w:val="8"/>
      <w:kern w:val="0"/>
      <w:sz w:val="24"/>
      <w:szCs w:val="24"/>
    </w:rPr>
  </w:style>
  <w:style w:type="paragraph" w:customStyle="1" w:styleId="99">
    <w:name w:val="1级标题"/>
    <w:basedOn w:val="1"/>
    <w:qFormat/>
    <w:uiPriority w:val="0"/>
    <w:pPr>
      <w:numPr>
        <w:ilvl w:val="0"/>
        <w:numId w:val="2"/>
      </w:numPr>
      <w:tabs>
        <w:tab w:val="left" w:pos="240"/>
        <w:tab w:val="clear" w:pos="360"/>
      </w:tabs>
      <w:adjustRightInd w:val="0"/>
      <w:snapToGrid w:val="0"/>
      <w:spacing w:before="480" w:after="360"/>
      <w:jc w:val="left"/>
      <w:outlineLvl w:val="0"/>
    </w:pPr>
    <w:rPr>
      <w:rFonts w:eastAsia="黑体"/>
      <w:sz w:val="32"/>
      <w:szCs w:val="24"/>
    </w:rPr>
  </w:style>
  <w:style w:type="paragraph" w:customStyle="1" w:styleId="100">
    <w:name w:val="font6"/>
    <w:basedOn w:val="1"/>
    <w:qFormat/>
    <w:uiPriority w:val="0"/>
    <w:pPr>
      <w:widowControl/>
      <w:spacing w:before="100" w:beforeAutospacing="1" w:after="100" w:afterAutospacing="1"/>
      <w:jc w:val="left"/>
    </w:pPr>
    <w:rPr>
      <w:rFonts w:eastAsia="Arial Unicode MS"/>
      <w:b/>
      <w:bCs/>
      <w:kern w:val="0"/>
      <w:sz w:val="24"/>
      <w:szCs w:val="24"/>
    </w:rPr>
  </w:style>
  <w:style w:type="paragraph" w:customStyle="1" w:styleId="101">
    <w:name w:val="表格文字"/>
    <w:basedOn w:val="1"/>
    <w:qFormat/>
    <w:uiPriority w:val="0"/>
    <w:pPr>
      <w:snapToGrid w:val="0"/>
      <w:spacing w:before="120"/>
    </w:pPr>
  </w:style>
  <w:style w:type="character" w:customStyle="1" w:styleId="102">
    <w:name w:val="列出段落 Char"/>
    <w:link w:val="72"/>
    <w:qFormat/>
    <w:uiPriority w:val="34"/>
    <w:rPr>
      <w:rFonts w:ascii="Calibri" w:hAnsi="Calibri"/>
    </w:rPr>
  </w:style>
  <w:style w:type="character" w:customStyle="1" w:styleId="103">
    <w:name w:val="标题 2 字符1"/>
    <w:link w:val="2"/>
    <w:qFormat/>
    <w:uiPriority w:val="0"/>
    <w:rPr>
      <w:rFonts w:ascii="Times New Roman" w:hAnsi="Times New Roman" w:eastAsia="宋体" w:cs="Times New Roman"/>
      <w:b/>
      <w:sz w:val="24"/>
      <w:szCs w:val="20"/>
      <w:lang w:val="zh-CN" w:eastAsia="zh-CN"/>
      <w14:ligatures w14:val="none"/>
    </w:rPr>
  </w:style>
  <w:style w:type="character" w:customStyle="1" w:styleId="104">
    <w:name w:val="short_text"/>
    <w:qFormat/>
    <w:uiPriority w:val="0"/>
  </w:style>
  <w:style w:type="paragraph" w:customStyle="1" w:styleId="10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06">
    <w:name w:val="未处理的提及1"/>
    <w:semiHidden/>
    <w:unhideWhenUsed/>
    <w:qFormat/>
    <w:uiPriority w:val="99"/>
    <w:rPr>
      <w:color w:val="605E5C"/>
      <w:shd w:val="clear" w:color="auto" w:fill="E1DFDD"/>
    </w:rPr>
  </w:style>
  <w:style w:type="character" w:customStyle="1" w:styleId="107">
    <w:name w:val="批注文字 字符1"/>
    <w:qFormat/>
    <w:uiPriority w:val="99"/>
    <w:rPr>
      <w:rFonts w:eastAsia="MingLiU"/>
      <w:sz w:val="24"/>
      <w:lang w:eastAsia="zh-TW"/>
    </w:rPr>
  </w:style>
  <w:style w:type="paragraph" w:customStyle="1" w:styleId="108">
    <w:name w:val="列出段落3"/>
    <w:basedOn w:val="1"/>
    <w:qFormat/>
    <w:uiPriority w:val="34"/>
    <w:pPr>
      <w:ind w:firstLine="420" w:firstLineChars="200"/>
    </w:pPr>
    <w:rPr>
      <w:rFonts w:ascii="Calibri" w:hAnsi="Calibri"/>
      <w:szCs w:val="22"/>
      <w:lang w:val="zh-CN"/>
    </w:rPr>
  </w:style>
  <w:style w:type="character" w:customStyle="1" w:styleId="109">
    <w:name w:val="彩色列表 - 强调文字颜色 1 Char"/>
    <w:link w:val="110"/>
    <w:qFormat/>
    <w:uiPriority w:val="34"/>
    <w:rPr>
      <w:rFonts w:ascii="Calibri" w:hAnsi="Calibri"/>
    </w:rPr>
  </w:style>
  <w:style w:type="paragraph" w:customStyle="1" w:styleId="110">
    <w:name w:val="彩色列表 - 强调文字颜色 11"/>
    <w:basedOn w:val="1"/>
    <w:link w:val="109"/>
    <w:qFormat/>
    <w:uiPriority w:val="34"/>
    <w:pPr>
      <w:ind w:firstLine="420" w:firstLineChars="200"/>
    </w:pPr>
    <w:rPr>
      <w:rFonts w:ascii="Calibri" w:hAnsi="Calibri" w:eastAsiaTheme="minorEastAsia" w:cstheme="minorBidi"/>
      <w:szCs w:val="22"/>
      <w14:ligatures w14:val="standardContextual"/>
    </w:rPr>
  </w:style>
  <w:style w:type="character" w:customStyle="1" w:styleId="111">
    <w:name w:val="纯文本 字符2"/>
    <w:qFormat/>
    <w:uiPriority w:val="0"/>
    <w:rPr>
      <w:rFonts w:ascii="宋体" w:hAnsi="Courier New"/>
      <w:szCs w:val="21"/>
    </w:rPr>
  </w:style>
  <w:style w:type="paragraph" w:customStyle="1" w:styleId="112">
    <w:name w:val="目录"/>
    <w:basedOn w:val="1"/>
    <w:qFormat/>
    <w:uiPriority w:val="0"/>
    <w:pPr>
      <w:widowControl/>
      <w:jc w:val="center"/>
    </w:pPr>
    <w:rPr>
      <w:rFonts w:ascii="宋体"/>
      <w:b/>
      <w:kern w:val="0"/>
      <w:sz w:val="36"/>
    </w:rPr>
  </w:style>
  <w:style w:type="character" w:customStyle="1" w:styleId="113">
    <w:name w:val="普通(网站) 字符"/>
    <w:link w:val="31"/>
    <w:qFormat/>
    <w:uiPriority w:val="99"/>
    <w:rPr>
      <w:rFonts w:ascii="宋体" w:hAnsi="宋体" w:eastAsia="宋体" w:cs="宋体"/>
      <w:kern w:val="0"/>
      <w:sz w:val="24"/>
      <w:szCs w:val="24"/>
      <w14:ligatures w14:val="none"/>
    </w:rPr>
  </w:style>
  <w:style w:type="paragraph" w:customStyle="1" w:styleId="114">
    <w:name w:val="标题 41"/>
    <w:basedOn w:val="1"/>
    <w:qFormat/>
    <w:uiPriority w:val="1"/>
    <w:pPr>
      <w:jc w:val="left"/>
      <w:outlineLvl w:val="4"/>
    </w:pPr>
    <w:rPr>
      <w:rFonts w:ascii="宋体" w:hAnsi="宋体"/>
      <w:b/>
      <w:bCs/>
      <w:kern w:val="0"/>
      <w:sz w:val="32"/>
      <w:szCs w:val="32"/>
      <w:lang w:eastAsia="en-US"/>
    </w:rPr>
  </w:style>
  <w:style w:type="paragraph" w:customStyle="1" w:styleId="115">
    <w:name w:val="标题 61"/>
    <w:basedOn w:val="1"/>
    <w:qFormat/>
    <w:uiPriority w:val="1"/>
    <w:pPr>
      <w:ind w:left="118"/>
      <w:jc w:val="left"/>
      <w:outlineLvl w:val="6"/>
    </w:pPr>
    <w:rPr>
      <w:rFonts w:ascii="宋体" w:hAnsi="宋体"/>
      <w:b/>
      <w:bCs/>
      <w:kern w:val="0"/>
      <w:sz w:val="24"/>
      <w:szCs w:val="24"/>
      <w:lang w:eastAsia="en-US"/>
    </w:rPr>
  </w:style>
  <w:style w:type="paragraph" w:customStyle="1" w:styleId="116">
    <w:name w:val="列表段落1"/>
    <w:basedOn w:val="1"/>
    <w:autoRedefine/>
    <w:qFormat/>
    <w:uiPriority w:val="0"/>
    <w:pPr>
      <w:spacing w:line="360" w:lineRule="auto"/>
      <w:jc w:val="left"/>
    </w:pPr>
    <w:rPr>
      <w:sz w:val="24"/>
      <w:szCs w:val="24"/>
    </w:rPr>
  </w:style>
  <w:style w:type="character" w:customStyle="1" w:styleId="117">
    <w:name w:val="正文文本首行缩进 2 字符"/>
    <w:basedOn w:val="64"/>
    <w:link w:val="35"/>
    <w:semiHidden/>
    <w:qFormat/>
    <w:uiPriority w:val="99"/>
    <w:rPr>
      <w:rFonts w:ascii="Times New Roman" w:hAnsi="Times New Roman" w:eastAsia="宋体" w:cs="Times New Roman"/>
      <w:sz w:val="24"/>
      <w:szCs w:val="20"/>
      <w14:ligatures w14:val="none"/>
    </w:rPr>
  </w:style>
  <w:style w:type="paragraph" w:customStyle="1" w:styleId="118">
    <w:name w:val="Table Paragraph"/>
    <w:basedOn w:val="1"/>
    <w:qFormat/>
    <w:uiPriority w:val="1"/>
    <w:pPr>
      <w:autoSpaceDE w:val="0"/>
      <w:autoSpaceDN w:val="0"/>
      <w:spacing w:line="360" w:lineRule="auto"/>
      <w:jc w:val="left"/>
    </w:pPr>
    <w:rPr>
      <w:rFonts w:cs="宋体"/>
      <w:kern w:val="0"/>
      <w:sz w:val="24"/>
      <w:szCs w:val="22"/>
    </w:rPr>
  </w:style>
  <w:style w:type="table" w:customStyle="1" w:styleId="119">
    <w:name w:val="Table Normal"/>
    <w:unhideWhenUsed/>
    <w:qFormat/>
    <w:uiPriority w:val="2"/>
    <w:tblPr>
      <w:tblCellMar>
        <w:top w:w="0" w:type="dxa"/>
        <w:left w:w="0" w:type="dxa"/>
        <w:bottom w:w="0" w:type="dxa"/>
        <w:right w:w="0" w:type="dxa"/>
      </w:tblCellMar>
    </w:tblPr>
  </w:style>
  <w:style w:type="character" w:customStyle="1" w:styleId="120">
    <w:name w:val="NormalCharacter"/>
    <w:semiHidden/>
    <w:qFormat/>
    <w:uiPriority w:val="0"/>
  </w:style>
  <w:style w:type="character" w:customStyle="1" w:styleId="121">
    <w:name w:val="纯文本 Char"/>
    <w:qFormat/>
    <w:uiPriority w:val="0"/>
    <w:rPr>
      <w:rFonts w:ascii="宋体" w:hAnsi="Courier New"/>
      <w:kern w:val="2"/>
      <w:sz w:val="21"/>
      <w:szCs w:val="21"/>
    </w:rPr>
  </w:style>
  <w:style w:type="paragraph" w:customStyle="1" w:styleId="122">
    <w:name w:val="List Paragraph1"/>
    <w:basedOn w:val="1"/>
    <w:qFormat/>
    <w:uiPriority w:val="0"/>
    <w:pPr>
      <w:ind w:firstLine="420" w:firstLineChars="200"/>
    </w:pPr>
    <w:rPr>
      <w:szCs w:val="24"/>
    </w:rPr>
  </w:style>
  <w:style w:type="paragraph" w:customStyle="1" w:styleId="123">
    <w:name w:val="样式 样式 样式 标题 2 + 宋体 五号 非加粗 黑色 + 段前: 6 磅 段后: 0 磅 行距: 单倍行距 + 段前: 12..."/>
    <w:basedOn w:val="1"/>
    <w:qFormat/>
    <w:uiPriority w:val="0"/>
    <w:pPr>
      <w:keepNext/>
      <w:keepLines/>
      <w:numPr>
        <w:ilvl w:val="1"/>
        <w:numId w:val="3"/>
      </w:numPr>
      <w:tabs>
        <w:tab w:val="left" w:pos="1140"/>
      </w:tabs>
      <w:adjustRightInd w:val="0"/>
      <w:spacing w:before="240" w:after="160" w:line="278" w:lineRule="auto"/>
      <w:jc w:val="left"/>
      <w:textAlignment w:val="baseline"/>
      <w:outlineLvl w:val="1"/>
    </w:pPr>
    <w:rPr>
      <w:rFonts w:ascii="宋体" w:hAnsi="宋体"/>
      <w:color w:val="000000"/>
      <w:kern w:val="0"/>
    </w:rPr>
  </w:style>
  <w:style w:type="paragraph" w:customStyle="1" w:styleId="124">
    <w:name w:val="应标题2"/>
    <w:basedOn w:val="89"/>
    <w:next w:val="1"/>
    <w:qFormat/>
    <w:uiPriority w:val="0"/>
    <w:pPr>
      <w:numPr>
        <w:ilvl w:val="0"/>
        <w:numId w:val="3"/>
      </w:numPr>
      <w:spacing w:after="160" w:line="360" w:lineRule="auto"/>
      <w:ind w:left="723" w:hanging="723" w:hangingChars="200"/>
      <w:outlineLvl w:val="1"/>
    </w:pPr>
    <w:rPr>
      <w:rFonts w:ascii="黑体" w:hAnsi="黑体" w:eastAsia="黑体"/>
      <w:b/>
      <w:sz w:val="36"/>
      <w:szCs w:val="36"/>
      <w:lang w:eastAsia="en-US"/>
    </w:rPr>
  </w:style>
  <w:style w:type="paragraph" w:customStyle="1" w:styleId="125">
    <w:name w:val="页脚左"/>
    <w:basedOn w:val="1"/>
    <w:qFormat/>
    <w:uiPriority w:val="0"/>
    <w:pPr>
      <w:numPr>
        <w:ilvl w:val="0"/>
        <w:numId w:val="4"/>
      </w:numPr>
      <w:spacing w:after="160" w:line="360" w:lineRule="auto"/>
      <w:ind w:left="0" w:hanging="200" w:hangingChars="200"/>
      <w:jc w:val="left"/>
    </w:pPr>
    <w:rPr>
      <w:rFonts w:ascii="宋体" w:hAnsi="宋体"/>
      <w:szCs w:val="24"/>
    </w:rPr>
  </w:style>
  <w:style w:type="paragraph" w:customStyle="1" w:styleId="126">
    <w:name w:val="项目文字2"/>
    <w:basedOn w:val="1"/>
    <w:qFormat/>
    <w:uiPriority w:val="0"/>
    <w:pPr>
      <w:numPr>
        <w:ilvl w:val="0"/>
        <w:numId w:val="5"/>
      </w:numPr>
      <w:spacing w:after="160" w:line="360" w:lineRule="auto"/>
    </w:pPr>
    <w:rPr>
      <w:rFonts w:ascii="宋体" w:hAnsi="宋体"/>
      <w:sz w:val="24"/>
      <w:szCs w:val="24"/>
    </w:rPr>
  </w:style>
  <w:style w:type="paragraph" w:customStyle="1" w:styleId="127">
    <w:name w:val="列表标题2"/>
    <w:basedOn w:val="1"/>
    <w:next w:val="1"/>
    <w:qFormat/>
    <w:uiPriority w:val="0"/>
    <w:pPr>
      <w:numPr>
        <w:ilvl w:val="0"/>
        <w:numId w:val="6"/>
      </w:numPr>
      <w:spacing w:after="160" w:line="360" w:lineRule="auto"/>
      <w:ind w:left="1442" w:leftChars="400" w:hanging="482" w:hangingChars="200"/>
    </w:pPr>
    <w:rPr>
      <w:rFonts w:ascii="宋体" w:hAnsi="宋体"/>
      <w:b/>
      <w:sz w:val="24"/>
      <w:szCs w:val="24"/>
    </w:rPr>
  </w:style>
  <w:style w:type="paragraph" w:customStyle="1" w:styleId="128">
    <w:name w:val="小节"/>
    <w:basedOn w:val="1"/>
    <w:qFormat/>
    <w:uiPriority w:val="0"/>
    <w:pPr>
      <w:widowControl/>
      <w:numPr>
        <w:ilvl w:val="2"/>
        <w:numId w:val="7"/>
      </w:numPr>
      <w:tabs>
        <w:tab w:val="left" w:pos="1440"/>
      </w:tabs>
      <w:spacing w:after="160" w:line="360" w:lineRule="auto"/>
      <w:jc w:val="left"/>
    </w:pPr>
    <w:rPr>
      <w:rFonts w:ascii="Book Antiqua" w:hAnsi="Book Antiqua"/>
      <w:b/>
      <w:kern w:val="0"/>
      <w:sz w:val="32"/>
      <w:szCs w:val="21"/>
    </w:rPr>
  </w:style>
  <w:style w:type="character" w:customStyle="1" w:styleId="129">
    <w:name w:val="列表段落 字符"/>
    <w:link w:val="73"/>
    <w:qFormat/>
    <w:uiPriority w:val="34"/>
    <w:rPr>
      <w:rFonts w:ascii="Times New Roman" w:hAnsi="Times New Roman" w:eastAsia="宋体" w:cs="Times New Roman"/>
      <w:szCs w:val="20"/>
      <w14:ligatures w14:val="none"/>
    </w:rPr>
  </w:style>
  <w:style w:type="character" w:customStyle="1" w:styleId="130">
    <w:name w:val="未处理的提及2"/>
    <w:basedOn w:val="38"/>
    <w:semiHidden/>
    <w:unhideWhenUsed/>
    <w:qFormat/>
    <w:uiPriority w:val="99"/>
    <w:rPr>
      <w:color w:val="605E5C"/>
      <w:shd w:val="clear" w:color="auto" w:fill="E1DFDD"/>
    </w:rPr>
  </w:style>
  <w:style w:type="character" w:customStyle="1" w:styleId="131">
    <w:name w:val="标题 4 字符"/>
    <w:basedOn w:val="38"/>
    <w:link w:val="5"/>
    <w:semiHidden/>
    <w:qFormat/>
    <w:uiPriority w:val="9"/>
    <w:rPr>
      <w:rFonts w:ascii="Times New Roman" w:hAnsi="Times New Roman" w:eastAsia="宋体" w:cstheme="majorBidi"/>
      <w:color w:val="2F5597" w:themeColor="accent1" w:themeShade="BF"/>
      <w:sz w:val="28"/>
      <w:szCs w:val="28"/>
      <w14:ligatures w14:val="none"/>
    </w:rPr>
  </w:style>
  <w:style w:type="character" w:customStyle="1" w:styleId="132">
    <w:name w:val="标题 5 字符"/>
    <w:basedOn w:val="38"/>
    <w:link w:val="6"/>
    <w:semiHidden/>
    <w:qFormat/>
    <w:uiPriority w:val="9"/>
    <w:rPr>
      <w:rFonts w:ascii="Times New Roman" w:hAnsi="Times New Roman" w:eastAsia="宋体" w:cstheme="majorBidi"/>
      <w:color w:val="2F5597" w:themeColor="accent1" w:themeShade="BF"/>
      <w:sz w:val="24"/>
      <w:szCs w:val="20"/>
      <w14:ligatures w14:val="none"/>
    </w:rPr>
  </w:style>
  <w:style w:type="character" w:customStyle="1" w:styleId="133">
    <w:name w:val="标题 6 字符"/>
    <w:basedOn w:val="38"/>
    <w:link w:val="7"/>
    <w:semiHidden/>
    <w:qFormat/>
    <w:uiPriority w:val="9"/>
    <w:rPr>
      <w:rFonts w:ascii="Times New Roman" w:hAnsi="Times New Roman" w:eastAsia="宋体" w:cstheme="majorBidi"/>
      <w:b/>
      <w:bCs/>
      <w:color w:val="2F5597" w:themeColor="accent1" w:themeShade="BF"/>
      <w:szCs w:val="20"/>
      <w14:ligatures w14:val="none"/>
    </w:rPr>
  </w:style>
  <w:style w:type="character" w:customStyle="1" w:styleId="134">
    <w:name w:val="标题 7 字符"/>
    <w:basedOn w:val="38"/>
    <w:link w:val="8"/>
    <w:semiHidden/>
    <w:qFormat/>
    <w:uiPriority w:val="9"/>
    <w:rPr>
      <w:rFonts w:ascii="Times New Roman" w:hAnsi="Times New Roman" w:eastAsia="宋体" w:cstheme="majorBidi"/>
      <w:b/>
      <w:bCs/>
      <w:color w:val="595959" w:themeColor="text1" w:themeTint="A6"/>
      <w:szCs w:val="20"/>
      <w14:textFill>
        <w14:solidFill>
          <w14:schemeClr w14:val="tx1">
            <w14:lumMod w14:val="65000"/>
            <w14:lumOff w14:val="35000"/>
          </w14:schemeClr>
        </w14:solidFill>
      </w14:textFill>
      <w14:ligatures w14:val="none"/>
    </w:rPr>
  </w:style>
  <w:style w:type="character" w:customStyle="1" w:styleId="135">
    <w:name w:val="标题 8 字符"/>
    <w:basedOn w:val="38"/>
    <w:link w:val="9"/>
    <w:semiHidden/>
    <w:qFormat/>
    <w:uiPriority w:val="9"/>
    <w:rPr>
      <w:rFonts w:ascii="Times New Roman" w:hAnsi="Times New Roman" w:eastAsia="宋体" w:cstheme="majorBidi"/>
      <w:color w:val="595959" w:themeColor="text1" w:themeTint="A6"/>
      <w:szCs w:val="20"/>
      <w14:textFill>
        <w14:solidFill>
          <w14:schemeClr w14:val="tx1">
            <w14:lumMod w14:val="65000"/>
            <w14:lumOff w14:val="35000"/>
          </w14:schemeClr>
        </w14:solidFill>
      </w14:textFill>
      <w14:ligatures w14:val="none"/>
    </w:rPr>
  </w:style>
  <w:style w:type="character" w:customStyle="1" w:styleId="136">
    <w:name w:val="标题 9 字符"/>
    <w:basedOn w:val="38"/>
    <w:link w:val="10"/>
    <w:semiHidden/>
    <w:qFormat/>
    <w:uiPriority w:val="9"/>
    <w:rPr>
      <w:rFonts w:ascii="Times New Roman" w:hAnsi="Times New Roman" w:eastAsiaTheme="majorEastAsia" w:cstheme="majorBidi"/>
      <w:color w:val="595959" w:themeColor="text1" w:themeTint="A6"/>
      <w:szCs w:val="20"/>
      <w14:textFill>
        <w14:solidFill>
          <w14:schemeClr w14:val="tx1">
            <w14:lumMod w14:val="65000"/>
            <w14:lumOff w14:val="35000"/>
          </w14:schemeClr>
        </w14:solidFill>
      </w14:textFill>
      <w14:ligatures w14:val="none"/>
    </w:rPr>
  </w:style>
  <w:style w:type="character" w:customStyle="1" w:styleId="137">
    <w:name w:val="副标题 字符"/>
    <w:basedOn w:val="38"/>
    <w:link w:val="2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138">
    <w:name w:val="Quote"/>
    <w:basedOn w:val="1"/>
    <w:next w:val="1"/>
    <w:link w:val="13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39">
    <w:name w:val="引用 字符"/>
    <w:basedOn w:val="38"/>
    <w:link w:val="138"/>
    <w:qFormat/>
    <w:uiPriority w:val="29"/>
    <w:rPr>
      <w:rFonts w:ascii="Times New Roman" w:hAnsi="Times New Roman" w:eastAsia="宋体" w:cs="Times New Roman"/>
      <w:i/>
      <w:iCs/>
      <w:color w:val="404040" w:themeColor="text1" w:themeTint="BF"/>
      <w:szCs w:val="20"/>
      <w14:textFill>
        <w14:solidFill>
          <w14:schemeClr w14:val="tx1">
            <w14:lumMod w14:val="75000"/>
            <w14:lumOff w14:val="25000"/>
          </w14:schemeClr>
        </w14:solidFill>
      </w14:textFill>
      <w14:ligatures w14:val="none"/>
    </w:rPr>
  </w:style>
  <w:style w:type="character" w:customStyle="1" w:styleId="140">
    <w:name w:val="明显强调1"/>
    <w:basedOn w:val="38"/>
    <w:qFormat/>
    <w:uiPriority w:val="21"/>
    <w:rPr>
      <w:i/>
      <w:iCs/>
      <w:color w:val="2F5597" w:themeColor="accent1" w:themeShade="BF"/>
    </w:rPr>
  </w:style>
  <w:style w:type="paragraph" w:styleId="141">
    <w:name w:val="Intense Quote"/>
    <w:basedOn w:val="1"/>
    <w:next w:val="1"/>
    <w:link w:val="14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142">
    <w:name w:val="明显引用 字符"/>
    <w:basedOn w:val="38"/>
    <w:link w:val="141"/>
    <w:qFormat/>
    <w:uiPriority w:val="30"/>
    <w:rPr>
      <w:rFonts w:ascii="Times New Roman" w:hAnsi="Times New Roman" w:eastAsia="宋体" w:cs="Times New Roman"/>
      <w:i/>
      <w:iCs/>
      <w:color w:val="2F5597" w:themeColor="accent1" w:themeShade="BF"/>
      <w:szCs w:val="20"/>
      <w14:ligatures w14:val="none"/>
    </w:rPr>
  </w:style>
  <w:style w:type="character" w:customStyle="1" w:styleId="143">
    <w:name w:val="明显参考1"/>
    <w:basedOn w:val="38"/>
    <w:qFormat/>
    <w:uiPriority w:val="32"/>
    <w:rPr>
      <w:b/>
      <w:bCs/>
      <w:smallCaps/>
      <w:color w:val="2F5597" w:themeColor="accent1" w:themeShade="BF"/>
      <w:spacing w:val="5"/>
    </w:rPr>
  </w:style>
  <w:style w:type="paragraph" w:customStyle="1" w:styleId="144">
    <w:name w:val="修订11"/>
    <w:hidden/>
    <w:unhideWhenUsed/>
    <w:qFormat/>
    <w:uiPriority w:val="99"/>
    <w:rPr>
      <w:rFonts w:ascii="Times New Roman" w:hAnsi="Times New Roman" w:eastAsia="宋体" w:cs="Times New Roman"/>
      <w:kern w:val="2"/>
      <w:sz w:val="21"/>
      <w:lang w:val="en-US" w:eastAsia="zh-CN" w:bidi="ar-SA"/>
    </w:rPr>
  </w:style>
  <w:style w:type="character" w:customStyle="1" w:styleId="145">
    <w:name w:val="未处理的提及21"/>
    <w:basedOn w:val="38"/>
    <w:semiHidden/>
    <w:unhideWhenUsed/>
    <w:qFormat/>
    <w:uiPriority w:val="99"/>
    <w:rPr>
      <w:color w:val="605E5C"/>
      <w:shd w:val="clear" w:color="auto" w:fill="E1DFDD"/>
    </w:rPr>
  </w:style>
  <w:style w:type="paragraph" w:customStyle="1" w:styleId="146">
    <w:name w:val="_Style 11"/>
    <w:basedOn w:val="1"/>
    <w:next w:val="73"/>
    <w:qFormat/>
    <w:uiPriority w:val="34"/>
    <w:pPr>
      <w:ind w:firstLine="420" w:firstLineChars="200"/>
    </w:pPr>
    <w:rPr>
      <w:rFonts w:ascii="Calibri" w:hAnsi="Calibri"/>
      <w:szCs w:val="24"/>
    </w:rPr>
  </w:style>
  <w:style w:type="paragraph" w:customStyle="1" w:styleId="147">
    <w:name w:val="p15"/>
    <w:basedOn w:val="1"/>
    <w:qFormat/>
    <w:uiPriority w:val="0"/>
    <w:pPr>
      <w:adjustRightInd w:val="0"/>
    </w:pPr>
    <w:rPr>
      <w:rFonts w:ascii="Arial Unicode MS" w:hAnsi="Arial Unicode MS" w:cs="宋体" w:eastAsiaTheme="minorEastAsia"/>
      <w:color w:val="000000"/>
      <w:szCs w:val="24"/>
    </w:rPr>
  </w:style>
  <w:style w:type="character" w:customStyle="1" w:styleId="148">
    <w:name w:val="UP标题3 Char Char"/>
    <w:basedOn w:val="38"/>
    <w:link w:val="149"/>
    <w:qFormat/>
    <w:uiPriority w:val="0"/>
    <w:rPr>
      <w:rFonts w:ascii="黑体" w:eastAsia="黑体"/>
      <w:kern w:val="2"/>
      <w:sz w:val="28"/>
      <w:lang w:val="en-US" w:eastAsia="zh-CN" w:bidi="ar-SA"/>
    </w:rPr>
  </w:style>
  <w:style w:type="paragraph" w:customStyle="1" w:styleId="149">
    <w:name w:val="UP标题3"/>
    <w:basedOn w:val="1"/>
    <w:link w:val="148"/>
    <w:qFormat/>
    <w:uiPriority w:val="0"/>
    <w:pPr>
      <w:spacing w:line="360" w:lineRule="auto"/>
      <w:ind w:firstLine="149" w:firstLineChars="149"/>
    </w:pPr>
    <w:rPr>
      <w:rFonts w:ascii="黑体" w:eastAsia="黑体"/>
      <w:sz w:val="28"/>
    </w:rPr>
  </w:style>
  <w:style w:type="paragraph" w:customStyle="1" w:styleId="150">
    <w:name w:val="msonospacing"/>
    <w:basedOn w:val="1"/>
    <w:qFormat/>
    <w:uiPriority w:val="0"/>
    <w:pPr>
      <w:jc w:val="left"/>
    </w:pPr>
    <w:rPr>
      <w:rFonts w:hint="eastAsia" w:ascii="宋体" w:hAnsi="宋体"/>
      <w:sz w:val="24"/>
      <w:szCs w:val="22"/>
    </w:rPr>
  </w:style>
  <w:style w:type="paragraph" w:styleId="151">
    <w:name w:val="No Spacing"/>
    <w:autoRedefine/>
    <w:qFormat/>
    <w:uiPriority w:val="1"/>
    <w:pPr>
      <w:widowControl w:val="0"/>
      <w:spacing w:line="312" w:lineRule="auto"/>
      <w:ind w:firstLine="240" w:firstLineChars="100"/>
    </w:pPr>
    <w:rPr>
      <w:rFonts w:ascii="宋体" w:hAnsi="宋体" w:eastAsia="宋体" w:cstheme="minorBidi"/>
      <w:kern w:val="2"/>
      <w:sz w:val="24"/>
      <w:szCs w:val="22"/>
      <w:lang w:val="en-US" w:eastAsia="zh-CN" w:bidi="ar-SA"/>
    </w:rPr>
  </w:style>
  <w:style w:type="paragraph" w:customStyle="1" w:styleId="152">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153">
    <w:name w:val="修订3"/>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D6BA1E-1AF6-45E8-B3AE-05D90F2B5569}">
  <ds:schemaRefs/>
</ds:datastoreItem>
</file>

<file path=docProps/app.xml><?xml version="1.0" encoding="utf-8"?>
<Properties xmlns="http://schemas.openxmlformats.org/officeDocument/2006/extended-properties" xmlns:vt="http://schemas.openxmlformats.org/officeDocument/2006/docPropsVTypes">
  <Template>Normal</Template>
  <Pages>98</Pages>
  <Words>10973</Words>
  <Characters>11638</Characters>
  <Lines>2246</Lines>
  <Paragraphs>1497</Paragraphs>
  <TotalTime>137</TotalTime>
  <ScaleCrop>false</ScaleCrop>
  <LinksUpToDate>false</LinksUpToDate>
  <CharactersWithSpaces>11750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2024-01-03T23:16:00Z</dcterms:created>
  <dc:creator>chenyq@biddingcitic.com</dc:creator>
  <cp:lastModifiedBy>cheny</cp:lastModifiedBy>
  <dcterms:modified xsi:type="dcterms:W3CDTF">2026-05-20T10:30:05Z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eyJoZGlkIjoiNzI1MzljODBiNDliMzEyMzFlZWNlN2EzYjU0N2YzMWEiLCJ1c2VySWQiOiIxMzk5MDU4Njg4In0=</vt:lpwstr>
  </property>
  <property fmtid="{D5CDD505-2E9C-101B-9397-08002B2CF9AE}" pid="3" name="KSOProductBuildVer">
    <vt:lpwstr>2052-12.1.0.26375</vt:lpwstr>
  </property>
  <property fmtid="{D5CDD505-2E9C-101B-9397-08002B2CF9AE}" pid="4" name="ICV">
    <vt:lpwstr>4C61F82D948A4614AA51527B19257AD7_13</vt:lpwstr>
  </property>
</Properties>
</file>