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163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44"/>
          <w:szCs w:val="52"/>
          <w:highlight w:val="none"/>
        </w:rPr>
      </w:pPr>
    </w:p>
    <w:p w14:paraId="526F83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44"/>
          <w:szCs w:val="52"/>
          <w:highlight w:val="none"/>
        </w:rPr>
      </w:pPr>
    </w:p>
    <w:p w14:paraId="434678B5">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eastAsia" w:ascii="宋体" w:hAnsi="宋体" w:eastAsia="宋体" w:cs="宋体"/>
          <w:color w:val="auto"/>
          <w:sz w:val="48"/>
          <w:szCs w:val="56"/>
          <w:highlight w:val="none"/>
        </w:rPr>
      </w:pPr>
      <w:r>
        <w:rPr>
          <w:rFonts w:hint="eastAsia" w:ascii="宋体" w:hAnsi="宋体" w:eastAsia="宋体" w:cs="宋体"/>
          <w:color w:val="auto"/>
          <w:sz w:val="48"/>
          <w:szCs w:val="56"/>
          <w:highlight w:val="none"/>
        </w:rPr>
        <w:t>中华人民共和国新疆出入境边防检查总站全过程预算绩效管理服务采购项目</w:t>
      </w:r>
    </w:p>
    <w:p w14:paraId="648CCF16">
      <w:pPr>
        <w:keepNext w:val="0"/>
        <w:keepLines w:val="0"/>
        <w:pageBreakBefore w:val="0"/>
        <w:widowControl w:val="0"/>
        <w:kinsoku/>
        <w:wordWrap/>
        <w:overflowPunct/>
        <w:topLinePunct w:val="0"/>
        <w:autoSpaceDE/>
        <w:autoSpaceDN/>
        <w:bidi w:val="0"/>
        <w:adjustRightInd/>
        <w:snapToGrid/>
        <w:spacing w:line="600" w:lineRule="auto"/>
        <w:textAlignment w:val="auto"/>
        <w:rPr>
          <w:rFonts w:hint="eastAsia" w:ascii="宋体" w:hAnsi="宋体" w:eastAsia="宋体" w:cs="宋体"/>
          <w:color w:val="auto"/>
          <w:sz w:val="32"/>
          <w:szCs w:val="40"/>
          <w:highlight w:val="none"/>
        </w:rPr>
      </w:pPr>
    </w:p>
    <w:p w14:paraId="377D828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32"/>
          <w:szCs w:val="40"/>
          <w:highlight w:val="none"/>
        </w:rPr>
      </w:pPr>
    </w:p>
    <w:p w14:paraId="540EB6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lang w:val="en-US" w:eastAsia="zh-CN"/>
        </w:rPr>
      </w:pPr>
      <w:r>
        <w:rPr>
          <w:rFonts w:hint="eastAsia" w:ascii="宋体" w:hAnsi="宋体" w:eastAsia="宋体" w:cs="宋体"/>
          <w:color w:val="auto"/>
          <w:sz w:val="40"/>
          <w:szCs w:val="48"/>
          <w:highlight w:val="none"/>
          <w:lang w:val="en-US" w:eastAsia="zh-CN"/>
        </w:rPr>
        <w:t>竞争性磋商文件</w:t>
      </w:r>
    </w:p>
    <w:p w14:paraId="445BAAB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lang w:val="en-US" w:eastAsia="zh-CN"/>
        </w:rPr>
      </w:pPr>
    </w:p>
    <w:p w14:paraId="08DB65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rPr>
      </w:pPr>
    </w:p>
    <w:p w14:paraId="0D9F4E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rPr>
      </w:pPr>
    </w:p>
    <w:p w14:paraId="142A24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rPr>
      </w:pPr>
      <w:r>
        <w:rPr>
          <w:rFonts w:hint="eastAsia" w:ascii="宋体" w:hAnsi="宋体" w:eastAsia="宋体" w:cs="宋体"/>
          <w:color w:val="auto"/>
          <w:sz w:val="40"/>
          <w:szCs w:val="48"/>
          <w:highlight w:val="none"/>
        </w:rPr>
        <w:t>项目编号</w:t>
      </w:r>
      <w:r>
        <w:rPr>
          <w:rFonts w:hint="eastAsia" w:ascii="宋体" w:hAnsi="宋体" w:eastAsia="宋体" w:cs="宋体"/>
          <w:color w:val="auto"/>
          <w:sz w:val="40"/>
          <w:szCs w:val="48"/>
          <w:highlight w:val="none"/>
          <w:lang w:eastAsia="zh-CN"/>
        </w:rPr>
        <w:t>：</w:t>
      </w:r>
      <w:r>
        <w:rPr>
          <w:rFonts w:hint="eastAsia" w:ascii="宋体" w:hAnsi="宋体" w:eastAsia="宋体" w:cs="宋体"/>
          <w:color w:val="auto"/>
          <w:sz w:val="40"/>
          <w:szCs w:val="48"/>
          <w:highlight w:val="none"/>
        </w:rPr>
        <w:t>2026（JKJ）188</w:t>
      </w:r>
    </w:p>
    <w:p w14:paraId="6C68BE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rPr>
      </w:pPr>
    </w:p>
    <w:p w14:paraId="6CD6FF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rPr>
      </w:pPr>
    </w:p>
    <w:p w14:paraId="35C2B7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rPr>
      </w:pPr>
    </w:p>
    <w:p w14:paraId="7EDA2D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rPr>
      </w:pPr>
    </w:p>
    <w:p w14:paraId="3C14578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rPr>
      </w:pPr>
      <w:r>
        <w:rPr>
          <w:rFonts w:hint="eastAsia" w:ascii="宋体" w:hAnsi="宋体" w:eastAsia="宋体" w:cs="宋体"/>
          <w:color w:val="auto"/>
          <w:sz w:val="40"/>
          <w:szCs w:val="48"/>
          <w:highlight w:val="none"/>
        </w:rPr>
        <w:t>采购人：中华人民共和国新疆出入境边防检查总站</w:t>
      </w:r>
    </w:p>
    <w:p w14:paraId="77CD24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rPr>
      </w:pPr>
    </w:p>
    <w:p w14:paraId="6DCBE8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lang w:eastAsia="zh-CN"/>
        </w:rPr>
      </w:pPr>
      <w:r>
        <w:rPr>
          <w:rFonts w:hint="eastAsia" w:ascii="宋体" w:hAnsi="宋体" w:eastAsia="宋体" w:cs="宋体"/>
          <w:color w:val="auto"/>
          <w:sz w:val="40"/>
          <w:szCs w:val="48"/>
          <w:highlight w:val="none"/>
        </w:rPr>
        <w:t>采购代理机构：</w:t>
      </w:r>
      <w:r>
        <w:rPr>
          <w:rFonts w:hint="eastAsia" w:ascii="宋体" w:hAnsi="宋体" w:eastAsia="宋体" w:cs="宋体"/>
          <w:color w:val="auto"/>
          <w:sz w:val="40"/>
          <w:szCs w:val="48"/>
          <w:highlight w:val="none"/>
          <w:lang w:eastAsia="zh-CN"/>
        </w:rPr>
        <w:t>新疆君凯杰工程项目管理有限公司</w:t>
      </w:r>
    </w:p>
    <w:p w14:paraId="6A8396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40"/>
          <w:szCs w:val="48"/>
          <w:highlight w:val="none"/>
        </w:rPr>
      </w:pPr>
    </w:p>
    <w:p w14:paraId="64A3F6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6"/>
          <w:szCs w:val="44"/>
          <w:highlight w:val="none"/>
        </w:rPr>
      </w:pPr>
      <w:r>
        <w:rPr>
          <w:rFonts w:hint="eastAsia" w:ascii="宋体" w:hAnsi="宋体" w:eastAsia="宋体" w:cs="宋体"/>
          <w:color w:val="auto"/>
          <w:sz w:val="40"/>
          <w:szCs w:val="48"/>
          <w:highlight w:val="none"/>
        </w:rPr>
        <w:t>二〇二</w:t>
      </w:r>
      <w:r>
        <w:rPr>
          <w:rFonts w:hint="eastAsia" w:ascii="宋体" w:hAnsi="宋体" w:eastAsia="宋体" w:cs="宋体"/>
          <w:color w:val="auto"/>
          <w:sz w:val="40"/>
          <w:szCs w:val="48"/>
          <w:highlight w:val="none"/>
          <w:lang w:val="en-US" w:eastAsia="zh-CN"/>
        </w:rPr>
        <w:t>六</w:t>
      </w:r>
      <w:r>
        <w:rPr>
          <w:rFonts w:hint="eastAsia" w:ascii="宋体" w:hAnsi="宋体" w:eastAsia="宋体" w:cs="宋体"/>
          <w:color w:val="auto"/>
          <w:sz w:val="40"/>
          <w:szCs w:val="48"/>
          <w:highlight w:val="none"/>
        </w:rPr>
        <w:t>年</w:t>
      </w:r>
      <w:r>
        <w:rPr>
          <w:rFonts w:hint="eastAsia" w:ascii="宋体" w:hAnsi="宋体" w:eastAsia="宋体" w:cs="宋体"/>
          <w:color w:val="auto"/>
          <w:sz w:val="40"/>
          <w:szCs w:val="48"/>
          <w:highlight w:val="none"/>
          <w:lang w:val="en-US" w:eastAsia="zh-CN"/>
        </w:rPr>
        <w:t>四</w:t>
      </w:r>
      <w:r>
        <w:rPr>
          <w:rFonts w:hint="eastAsia" w:ascii="宋体" w:hAnsi="宋体" w:eastAsia="宋体" w:cs="宋体"/>
          <w:color w:val="auto"/>
          <w:sz w:val="40"/>
          <w:szCs w:val="48"/>
          <w:highlight w:val="none"/>
        </w:rPr>
        <w:t>月</w:t>
      </w:r>
    </w:p>
    <w:p w14:paraId="22354D1D">
      <w:pPr>
        <w:bidi w:val="0"/>
        <w:rPr>
          <w:rFonts w:hint="eastAsia"/>
          <w:color w:val="auto"/>
          <w:highlight w:val="none"/>
        </w:rPr>
      </w:pPr>
      <w:r>
        <w:rPr>
          <w:rFonts w:hint="eastAsia"/>
          <w:color w:val="auto"/>
          <w:highlight w:val="none"/>
        </w:rPr>
        <w:br w:type="page"/>
      </w:r>
    </w:p>
    <w:p w14:paraId="48BB4478">
      <w:pPr>
        <w:bidi w:val="0"/>
        <w:jc w:val="center"/>
        <w:rPr>
          <w:rFonts w:hint="eastAsia"/>
          <w:color w:val="auto"/>
          <w:sz w:val="32"/>
          <w:szCs w:val="40"/>
          <w:highlight w:val="none"/>
          <w:lang w:val="en-US" w:eastAsia="zh-CN"/>
        </w:rPr>
      </w:pPr>
      <w:r>
        <w:rPr>
          <w:rFonts w:hint="eastAsia"/>
          <w:color w:val="auto"/>
          <w:sz w:val="32"/>
          <w:szCs w:val="40"/>
          <w:highlight w:val="none"/>
          <w:lang w:val="en-US" w:eastAsia="zh-CN"/>
        </w:rPr>
        <w:t>目录</w:t>
      </w:r>
    </w:p>
    <w:p w14:paraId="01BCF574">
      <w:pPr>
        <w:pStyle w:val="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color w:val="auto"/>
          <w:highlight w:val="none"/>
          <w:lang w:val="en-US" w:eastAsia="zh-CN"/>
        </w:rPr>
        <w:fldChar w:fldCharType="begin"/>
      </w:r>
      <w:r>
        <w:rPr>
          <w:rFonts w:hint="eastAsia"/>
          <w:color w:val="auto"/>
          <w:highlight w:val="none"/>
          <w:lang w:val="en-US" w:eastAsia="zh-CN"/>
        </w:rPr>
        <w:instrText xml:space="preserve">TOC \o "1-2" \h \u </w:instrText>
      </w:r>
      <w:r>
        <w:rPr>
          <w:rFonts w:hint="eastAsia"/>
          <w:color w:val="auto"/>
          <w:highlight w:val="none"/>
          <w:lang w:val="en-US" w:eastAsia="zh-CN"/>
        </w:rPr>
        <w:fldChar w:fldCharType="separate"/>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_Toc7946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rPr>
        <w:t>第一部分</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邀请供应商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_Toc7946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3382C90">
      <w:pPr>
        <w:pStyle w:val="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_Toc8535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rPr>
        <w:t>第二部分竞争性磋商流程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_Toc8535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6D2FE0F">
      <w:pPr>
        <w:pStyle w:val="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_Toc29319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bidi="ar-SA"/>
        </w:rPr>
        <w:t xml:space="preserve">第三部分 </w:t>
      </w:r>
      <w:r>
        <w:rPr>
          <w:rFonts w:hint="eastAsia" w:ascii="宋体" w:hAnsi="宋体" w:eastAsia="宋体" w:cs="宋体"/>
          <w:color w:val="auto"/>
          <w:sz w:val="24"/>
          <w:szCs w:val="24"/>
          <w:highlight w:val="none"/>
        </w:rPr>
        <w:t>供应商须知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_Toc29319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8A742CA">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_Toc5472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rPr>
        <w:t>一、供应商须知前附表</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_Toc5472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FE2A1F9">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_Toc19851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二、总则</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_Toc19851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DACC483">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_Toc22291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三、需要落实的政府采购政策</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_Toc22291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0A21E3D">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_Toc10189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四、询问、质疑与投诉</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_Toc10189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19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65FC117">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_Toc9051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五、磋商文件构成、修改、解释</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_Toc9051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40A733B">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_Toc1649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六、响应文件的编制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72FAC93">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_Toc16160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七、响应文件的提交和备份</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_Toc16160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22</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C9F1171">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_Toc1452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八、开启响应文件与信用信息查询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28290A7">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_Toc23794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九、提交最后报价</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_Toc23794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66A3FA8">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_Toc8274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十、评审</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_Toc8274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9DD161F">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_Toc23753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十一、成交</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_Toc23753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628E772">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_Toc11533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十二、合同</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_Toc11533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FC3815D">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_Toc7926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十三、验收</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_Toc7926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528BBBC">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_Toc1549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十四、电子交易活动的中止</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_Toc1549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27</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024ADE91">
      <w:pPr>
        <w:pStyle w:val="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_Toc11136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bidi="ar-SA"/>
        </w:rPr>
        <w:t>第四部分 采购需求</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_Toc11136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28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14AE118C">
      <w:pPr>
        <w:pStyle w:val="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_Toc14191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bidi="ar-SA"/>
        </w:rPr>
        <w:t>第五部分 评审方法及评审标准</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_Toc14191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FFF4772">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_Toc14717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一、评审方法</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_Toc14717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D4B16EF">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_Toc12720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二、磋商小组的组成</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_Toc12720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791293B">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_Toc15917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三、磋商小组的职责</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_Toc15917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54862024">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_Toc10471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四、评审程序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_Toc10471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F595877">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_Toc10713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bidi="ar-SA"/>
        </w:rPr>
        <w:t>五、</w:t>
      </w:r>
      <w:r>
        <w:rPr>
          <w:rFonts w:hint="eastAsia" w:ascii="宋体" w:hAnsi="宋体" w:eastAsia="宋体" w:cs="宋体"/>
          <w:color w:val="auto"/>
          <w:sz w:val="24"/>
          <w:szCs w:val="24"/>
          <w:highlight w:val="none"/>
          <w:lang w:val="en-US" w:eastAsia="zh-CN"/>
        </w:rPr>
        <w:t>评审须知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_Toc10713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69F0FE1F">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_Toc20121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bidi="ar-SA"/>
        </w:rPr>
        <w:t>六、评审过程的保密与录像</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_Toc20121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336D8A85">
      <w:pPr>
        <w:pStyle w:val="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_Toc26822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bidi="ar-SA"/>
        </w:rPr>
        <w:t>第六部分 拟签订的合同文本</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_Toc26822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45</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E2AEF5E">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_Toc17252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kern w:val="0"/>
          <w:sz w:val="24"/>
          <w:szCs w:val="24"/>
          <w:highlight w:val="none"/>
          <w:lang w:val="en-US" w:eastAsia="zh-CN" w:bidi="ar"/>
        </w:rPr>
        <w:t>第一部分 政府采购合同协议书</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_Toc17252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46</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A76C88A">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_Toc12486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kern w:val="0"/>
          <w:sz w:val="24"/>
          <w:szCs w:val="24"/>
          <w:highlight w:val="none"/>
          <w:lang w:val="en-US" w:eastAsia="zh-CN" w:bidi="ar"/>
        </w:rPr>
        <w:t>第二部分 合同一般条款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_Toc12486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50</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447BFFBD">
      <w:pPr>
        <w:pStyle w:val="12"/>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_Toc18139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bCs/>
          <w:color w:val="auto"/>
          <w:kern w:val="0"/>
          <w:sz w:val="24"/>
          <w:szCs w:val="24"/>
          <w:highlight w:val="none"/>
          <w:lang w:val="en-US" w:eastAsia="zh-CN" w:bidi="ar"/>
        </w:rPr>
        <w:t>第三部分 合同专用条款</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_Toc18139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54</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7F063757">
      <w:pPr>
        <w:pStyle w:val="9"/>
        <w:keepNext w:val="0"/>
        <w:keepLines w:val="0"/>
        <w:pageBreakBefore w:val="0"/>
        <w:widowControl w:val="0"/>
        <w:tabs>
          <w:tab w:val="right" w:leader="dot" w:pos="9746"/>
        </w:tabs>
        <w:kinsoku/>
        <w:wordWrap/>
        <w:overflowPunct/>
        <w:topLinePunct w:val="0"/>
        <w:autoSpaceDE/>
        <w:autoSpaceDN/>
        <w:bidi w:val="0"/>
        <w:adjustRightInd/>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\l _Toc10272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kern w:val="2"/>
          <w:sz w:val="24"/>
          <w:szCs w:val="24"/>
          <w:highlight w:val="none"/>
          <w:lang w:val="en-US" w:eastAsia="zh-CN" w:bidi="ar-SA"/>
        </w:rPr>
        <w:t>第七部分 应提交的有关格式范例</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PAGEREF _Toc10272 \h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58</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fldChar w:fldCharType="end"/>
      </w:r>
    </w:p>
    <w:p w14:paraId="2C37DF72">
      <w:pPr>
        <w:pStyle w:val="12"/>
        <w:tabs>
          <w:tab w:val="right" w:leader="dot" w:pos="9746"/>
        </w:tabs>
        <w:rPr>
          <w:color w:val="auto"/>
          <w:highlight w:val="none"/>
        </w:rPr>
      </w:pPr>
    </w:p>
    <w:p w14:paraId="56F0F40E">
      <w:pPr>
        <w:rPr>
          <w:rFonts w:hint="eastAsia"/>
          <w:color w:val="auto"/>
          <w:highlight w:val="none"/>
          <w:lang w:val="en-US" w:eastAsia="zh-CN"/>
        </w:rPr>
      </w:pPr>
      <w:r>
        <w:rPr>
          <w:rFonts w:hint="eastAsia"/>
          <w:color w:val="auto"/>
          <w:highlight w:val="none"/>
          <w:lang w:val="en-US" w:eastAsia="zh-CN"/>
        </w:rPr>
        <w:fldChar w:fldCharType="end"/>
      </w:r>
    </w:p>
    <w:p w14:paraId="76E434CF">
      <w:pPr>
        <w:rPr>
          <w:rFonts w:hint="eastAsia"/>
          <w:color w:val="auto"/>
          <w:highlight w:val="none"/>
          <w:lang w:val="en-US" w:eastAsia="zh-CN"/>
        </w:rPr>
      </w:pPr>
    </w:p>
    <w:p w14:paraId="4C8E157A">
      <w:pPr>
        <w:spacing w:beforeLines="0" w:afterLines="0"/>
        <w:jc w:val="center"/>
        <w:outlineLvl w:val="0"/>
        <w:rPr>
          <w:rFonts w:hint="eastAsia" w:ascii="宋体" w:hAnsi="宋体" w:eastAsia="宋体"/>
          <w:color w:val="auto"/>
          <w:sz w:val="32"/>
          <w:szCs w:val="32"/>
          <w:highlight w:val="none"/>
        </w:rPr>
        <w:sectPr>
          <w:pgSz w:w="11906" w:h="16838"/>
          <w:pgMar w:top="1440" w:right="1080" w:bottom="1440" w:left="1080" w:header="851" w:footer="992" w:gutter="0"/>
          <w:cols w:space="425" w:num="1"/>
          <w:docGrid w:type="lines" w:linePitch="312" w:charSpace="0"/>
        </w:sectPr>
      </w:pPr>
      <w:bookmarkStart w:id="0" w:name="_Toc7946"/>
    </w:p>
    <w:p w14:paraId="149FE237">
      <w:pPr>
        <w:spacing w:beforeLines="0" w:afterLines="0"/>
        <w:jc w:val="center"/>
        <w:outlineLvl w:val="0"/>
        <w:rPr>
          <w:rFonts w:hint="eastAsia" w:ascii="宋体" w:hAnsi="宋体" w:eastAsia="宋体"/>
          <w:color w:val="auto"/>
          <w:sz w:val="32"/>
          <w:szCs w:val="32"/>
          <w:highlight w:val="none"/>
        </w:rPr>
      </w:pPr>
      <w:r>
        <w:rPr>
          <w:rFonts w:hint="eastAsia" w:ascii="宋体" w:hAnsi="宋体" w:eastAsia="宋体"/>
          <w:color w:val="auto"/>
          <w:sz w:val="32"/>
          <w:szCs w:val="32"/>
          <w:highlight w:val="none"/>
        </w:rPr>
        <w:t>第一部分</w:t>
      </w:r>
      <w:r>
        <w:rPr>
          <w:rFonts w:hint="eastAsia" w:ascii="宋体" w:hAnsi="宋体" w:eastAsia="宋体"/>
          <w:color w:val="auto"/>
          <w:sz w:val="32"/>
          <w:szCs w:val="32"/>
          <w:highlight w:val="none"/>
          <w:lang w:val="en-US" w:eastAsia="zh-CN"/>
        </w:rPr>
        <w:t xml:space="preserve">  </w:t>
      </w:r>
      <w:r>
        <w:rPr>
          <w:rFonts w:hint="eastAsia" w:ascii="宋体" w:hAnsi="宋体" w:eastAsia="宋体"/>
          <w:color w:val="auto"/>
          <w:sz w:val="32"/>
          <w:szCs w:val="32"/>
          <w:highlight w:val="none"/>
        </w:rPr>
        <w:t>邀请供应商</w:t>
      </w:r>
      <w:bookmarkEnd w:id="0"/>
    </w:p>
    <w:p w14:paraId="2C4A2D9A">
      <w:pPr>
        <w:bidi w:val="0"/>
        <w:jc w:val="center"/>
        <w:rPr>
          <w:rFonts w:hint="eastAsia" w:ascii="宋体" w:hAnsi="宋体" w:eastAsia="宋体"/>
          <w:color w:val="auto"/>
          <w:sz w:val="32"/>
          <w:szCs w:val="32"/>
          <w:highlight w:val="none"/>
        </w:rPr>
      </w:pPr>
      <w:r>
        <w:rPr>
          <w:rFonts w:hint="eastAsia" w:ascii="宋体" w:hAnsi="宋体" w:eastAsia="宋体"/>
          <w:color w:val="auto"/>
          <w:sz w:val="32"/>
          <w:szCs w:val="32"/>
          <w:highlight w:val="none"/>
        </w:rPr>
        <w:t>竞争性磋商邀请</w:t>
      </w:r>
    </w:p>
    <w:p w14:paraId="01A2F8A5">
      <w:pPr>
        <w:pStyle w:val="13"/>
        <w:pBdr>
          <w:top w:val="single" w:color="auto" w:sz="4" w:space="1"/>
          <w:left w:val="single" w:color="auto" w:sz="4" w:space="4"/>
          <w:bottom w:val="single" w:color="auto" w:sz="4" w:space="1"/>
          <w:right w:val="single" w:color="auto" w:sz="4" w:space="4"/>
        </w:pBdr>
        <w:spacing w:before="0" w:beforeAutospacing="0" w:after="0" w:afterAutospacing="0"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项目概况：</w:t>
      </w:r>
    </w:p>
    <w:p w14:paraId="04CEDD0D">
      <w:pPr>
        <w:pStyle w:val="13"/>
        <w:pBdr>
          <w:top w:val="single" w:color="auto" w:sz="4" w:space="1"/>
          <w:left w:val="single" w:color="auto" w:sz="4" w:space="4"/>
          <w:bottom w:val="single" w:color="auto" w:sz="4" w:space="1"/>
          <w:right w:val="single" w:color="auto" w:sz="4" w:space="4"/>
        </w:pBdr>
        <w:spacing w:before="0" w:beforeAutospacing="0" w:after="0" w:afterAutospacing="0" w:line="360" w:lineRule="auto"/>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u w:val="single"/>
          <w:shd w:val="clear" w:color="auto" w:fill="auto"/>
        </w:rPr>
        <w:t>中华人民共和国新疆出入境边防检查总站全过程预算绩效管理服务采购项目</w:t>
      </w:r>
      <w:r>
        <w:rPr>
          <w:rFonts w:hint="eastAsia" w:ascii="宋体" w:hAnsi="宋体" w:eastAsia="宋体" w:cs="宋体"/>
          <w:color w:val="auto"/>
          <w:highlight w:val="none"/>
          <w:shd w:val="clear" w:color="auto" w:fill="auto"/>
        </w:rPr>
        <w:t>的潜在供应商应在政采云平台线上（https://www.zcygov.cn/）获取</w:t>
      </w:r>
      <w:r>
        <w:rPr>
          <w:rFonts w:hint="eastAsia" w:eastAsia="宋体" w:cs="宋体"/>
          <w:color w:val="auto"/>
          <w:highlight w:val="none"/>
          <w:shd w:val="clear" w:color="auto" w:fill="auto"/>
          <w:lang w:val="en-US" w:eastAsia="zh-CN"/>
        </w:rPr>
        <w:t>采购</w:t>
      </w:r>
      <w:r>
        <w:rPr>
          <w:rFonts w:hint="eastAsia" w:ascii="宋体" w:hAnsi="宋体" w:eastAsia="宋体" w:cs="宋体"/>
          <w:color w:val="auto"/>
          <w:highlight w:val="none"/>
          <w:shd w:val="clear" w:color="auto" w:fill="auto"/>
        </w:rPr>
        <w:t xml:space="preserve">文件，并于 </w:t>
      </w:r>
      <w:r>
        <w:rPr>
          <w:rFonts w:hint="eastAsia" w:cs="宋体"/>
          <w:color w:val="auto"/>
          <w:highlight w:val="none"/>
          <w:shd w:val="clear" w:color="auto" w:fill="auto"/>
          <w:lang w:val="en-US" w:eastAsia="zh-CN"/>
        </w:rPr>
        <w:t>2026</w:t>
      </w:r>
      <w:r>
        <w:rPr>
          <w:rFonts w:hint="eastAsia" w:ascii="宋体" w:hAnsi="宋体" w:eastAsia="宋体" w:cs="宋体"/>
          <w:color w:val="auto"/>
          <w:highlight w:val="none"/>
          <w:shd w:val="clear" w:color="auto" w:fill="auto"/>
        </w:rPr>
        <w:t>年</w:t>
      </w:r>
      <w:r>
        <w:rPr>
          <w:rFonts w:hint="eastAsia" w:cs="宋体"/>
          <w:color w:val="auto"/>
          <w:highlight w:val="none"/>
          <w:shd w:val="clear" w:color="auto" w:fill="auto"/>
          <w:lang w:val="en-US" w:eastAsia="zh-CN"/>
        </w:rPr>
        <w:t xml:space="preserve"> 05 </w:t>
      </w:r>
      <w:r>
        <w:rPr>
          <w:rFonts w:hint="eastAsia" w:ascii="宋体" w:hAnsi="宋体" w:eastAsia="宋体" w:cs="宋体"/>
          <w:color w:val="auto"/>
          <w:highlight w:val="none"/>
          <w:shd w:val="clear" w:color="auto" w:fill="auto"/>
        </w:rPr>
        <w:t>月</w:t>
      </w:r>
      <w:r>
        <w:rPr>
          <w:rFonts w:hint="eastAsia" w:eastAsia="宋体" w:cs="宋体"/>
          <w:color w:val="auto"/>
          <w:highlight w:val="none"/>
          <w:shd w:val="clear" w:color="auto" w:fill="auto"/>
          <w:lang w:val="en-US" w:eastAsia="zh-CN"/>
        </w:rPr>
        <w:t>12</w:t>
      </w:r>
      <w:r>
        <w:rPr>
          <w:rFonts w:hint="eastAsia" w:ascii="宋体" w:hAnsi="宋体" w:eastAsia="宋体" w:cs="宋体"/>
          <w:color w:val="auto"/>
          <w:highlight w:val="none"/>
          <w:shd w:val="clear" w:color="auto" w:fill="auto"/>
        </w:rPr>
        <w:t>日</w:t>
      </w:r>
      <w:r>
        <w:rPr>
          <w:rFonts w:hint="eastAsia" w:ascii="宋体" w:hAnsi="宋体" w:eastAsia="宋体" w:cs="宋体"/>
          <w:color w:val="auto"/>
          <w:highlight w:val="none"/>
          <w:shd w:val="clear" w:color="auto" w:fill="auto"/>
          <w:lang w:val="en-US" w:eastAsia="zh-CN"/>
        </w:rPr>
        <w:t>1</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rPr>
        <w:t>:</w:t>
      </w:r>
      <w:r>
        <w:rPr>
          <w:rFonts w:hint="eastAsia" w:eastAsia="宋体"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rPr>
        <w:t>0（北京时间）前递交响应文件。</w:t>
      </w:r>
    </w:p>
    <w:p w14:paraId="4D5BFE08">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jc w:val="left"/>
        <w:textAlignment w:val="auto"/>
        <w:rPr>
          <w:rFonts w:hint="eastAsia" w:ascii="宋体" w:hAnsi="宋体" w:eastAsia="宋体" w:cs="宋体"/>
          <w:color w:val="auto"/>
          <w:sz w:val="24"/>
          <w:szCs w:val="24"/>
          <w:highlight w:val="none"/>
          <w:shd w:val="clear" w:color="auto" w:fill="auto"/>
        </w:rPr>
      </w:pPr>
      <w:r>
        <w:rPr>
          <w:rStyle w:val="17"/>
          <w:rFonts w:hint="eastAsia" w:ascii="宋体" w:hAnsi="宋体" w:eastAsia="宋体" w:cs="宋体"/>
          <w:color w:val="auto"/>
          <w:sz w:val="24"/>
          <w:szCs w:val="24"/>
          <w:highlight w:val="none"/>
          <w:shd w:val="clear" w:color="auto" w:fill="auto"/>
        </w:rPr>
        <w:t>一、项目基本情况</w:t>
      </w:r>
    </w:p>
    <w:p w14:paraId="3B6DE7F0">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项目编号：2026（JKJ）188</w:t>
      </w:r>
    </w:p>
    <w:p w14:paraId="6F0F2A9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项目名称：中华人民共和国新疆出入境边防检查总站全过程预算绩效管理服务采购项目</w:t>
      </w:r>
    </w:p>
    <w:p w14:paraId="57A9CA46">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采购方式：竞争性</w:t>
      </w:r>
      <w:r>
        <w:rPr>
          <w:rFonts w:hint="eastAsia" w:ascii="宋体" w:hAnsi="宋体" w:eastAsia="宋体" w:cs="宋体"/>
          <w:color w:val="auto"/>
          <w:sz w:val="24"/>
          <w:szCs w:val="24"/>
          <w:highlight w:val="none"/>
          <w:shd w:val="clear" w:color="auto" w:fill="auto"/>
          <w:lang w:val="en-US" w:eastAsia="zh-CN"/>
        </w:rPr>
        <w:t>磋商</w:t>
      </w:r>
    </w:p>
    <w:p w14:paraId="1B4124B3">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预算金额：</w:t>
      </w:r>
      <w:r>
        <w:rPr>
          <w:rFonts w:hint="eastAsia" w:ascii="宋体" w:hAnsi="宋体" w:eastAsia="宋体" w:cs="宋体"/>
          <w:color w:val="auto"/>
          <w:sz w:val="24"/>
          <w:szCs w:val="24"/>
          <w:highlight w:val="none"/>
          <w:shd w:val="clear" w:color="auto" w:fill="auto"/>
          <w:lang w:val="en-US" w:eastAsia="zh-CN"/>
        </w:rPr>
        <w:t>430000.00</w:t>
      </w:r>
      <w:r>
        <w:rPr>
          <w:rFonts w:hint="eastAsia" w:ascii="宋体" w:hAnsi="宋体" w:eastAsia="宋体" w:cs="宋体"/>
          <w:color w:val="auto"/>
          <w:sz w:val="24"/>
          <w:szCs w:val="24"/>
          <w:highlight w:val="none"/>
          <w:shd w:val="clear" w:color="auto" w:fill="auto"/>
          <w:lang w:val="zh-CN"/>
        </w:rPr>
        <w:t>元</w:t>
      </w:r>
    </w:p>
    <w:p w14:paraId="791BB47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最高限价：</w:t>
      </w:r>
      <w:r>
        <w:rPr>
          <w:rFonts w:hint="eastAsia" w:ascii="宋体" w:hAnsi="宋体" w:eastAsia="宋体" w:cs="宋体"/>
          <w:color w:val="auto"/>
          <w:sz w:val="24"/>
          <w:szCs w:val="24"/>
          <w:highlight w:val="none"/>
          <w:shd w:val="clear" w:color="auto" w:fill="auto"/>
          <w:lang w:val="en-US" w:eastAsia="zh-CN"/>
        </w:rPr>
        <w:t>430000.00</w:t>
      </w:r>
      <w:r>
        <w:rPr>
          <w:rFonts w:hint="eastAsia" w:ascii="宋体" w:hAnsi="宋体" w:eastAsia="宋体" w:cs="宋体"/>
          <w:b w:val="0"/>
          <w:bCs w:val="0"/>
          <w:color w:val="auto"/>
          <w:sz w:val="24"/>
          <w:szCs w:val="24"/>
          <w:highlight w:val="none"/>
          <w:shd w:val="clear" w:color="auto" w:fill="auto"/>
          <w:lang w:val="zh-CN" w:eastAsia="zh-CN"/>
        </w:rPr>
        <w:t>元</w:t>
      </w:r>
    </w:p>
    <w:p w14:paraId="2F4190CC">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kern w:val="0"/>
          <w:sz w:val="24"/>
          <w:szCs w:val="24"/>
          <w:highlight w:val="none"/>
          <w:shd w:val="clear" w:color="auto" w:fill="auto"/>
          <w:lang w:val="en-US" w:eastAsia="zh-CN" w:bidi="ar-SA"/>
        </w:rPr>
      </w:pPr>
      <w:r>
        <w:rPr>
          <w:rFonts w:hint="eastAsia" w:ascii="宋体" w:hAnsi="宋体" w:eastAsia="宋体" w:cs="宋体"/>
          <w:color w:val="auto"/>
          <w:kern w:val="0"/>
          <w:sz w:val="24"/>
          <w:szCs w:val="24"/>
          <w:highlight w:val="none"/>
          <w:shd w:val="clear" w:color="auto" w:fill="auto"/>
          <w:lang w:val="en-US" w:eastAsia="zh-CN" w:bidi="ar-SA"/>
        </w:rPr>
        <w:t>采购需求：为落实全面预算绩效管理工作，提高财政资金使用效益，总站计划开展年度全过程预算绩效管理工作，主要包括项目入库评审、绩效监控复核、绩效自评复核等（具体需求详见磋商文件第四部分采购需求）。</w:t>
      </w:r>
    </w:p>
    <w:p w14:paraId="1D639F94">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eastAsia="zh-CN"/>
        </w:rPr>
        <w:t>合同履约期限：</w:t>
      </w:r>
      <w:r>
        <w:rPr>
          <w:rFonts w:hint="eastAsia" w:ascii="宋体" w:hAnsi="宋体" w:eastAsia="宋体" w:cs="宋体"/>
          <w:color w:val="auto"/>
          <w:sz w:val="24"/>
          <w:szCs w:val="24"/>
          <w:highlight w:val="none"/>
          <w:shd w:val="clear" w:color="auto" w:fill="auto"/>
          <w:lang w:val="en-US" w:eastAsia="zh-CN"/>
        </w:rPr>
        <w:t>自合同签订之日起1年。</w:t>
      </w:r>
      <w:r>
        <w:rPr>
          <w:rFonts w:hint="eastAsia" w:ascii="宋体" w:hAnsi="宋体" w:eastAsia="宋体" w:cs="宋体"/>
          <w:color w:val="auto"/>
          <w:sz w:val="24"/>
          <w:szCs w:val="24"/>
          <w:highlight w:val="none"/>
          <w:lang w:val="en-US" w:eastAsia="zh-CN"/>
        </w:rPr>
        <w:t>该项目为一招三年服务类项目，合同一年一签，采购人对乙方的工作情况及工作质量随时进行检查，并在每一年度合同执行末期对乙方全年工作情况考核评价，并根据乙方的审计工作质量情况决定是否续签合同。</w:t>
      </w:r>
    </w:p>
    <w:p w14:paraId="6F44CB9F">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jc w:val="left"/>
        <w:textAlignment w:val="auto"/>
        <w:rPr>
          <w:rFonts w:hint="eastAsia" w:ascii="宋体" w:hAnsi="宋体" w:eastAsia="宋体" w:cs="宋体"/>
          <w:color w:val="auto"/>
          <w:sz w:val="24"/>
          <w:szCs w:val="24"/>
          <w:highlight w:val="none"/>
          <w:shd w:val="clear" w:color="auto" w:fill="auto"/>
        </w:rPr>
      </w:pPr>
      <w:r>
        <w:rPr>
          <w:rStyle w:val="17"/>
          <w:rFonts w:hint="eastAsia" w:ascii="宋体" w:hAnsi="宋体" w:eastAsia="宋体" w:cs="宋体"/>
          <w:color w:val="auto"/>
          <w:sz w:val="24"/>
          <w:szCs w:val="24"/>
          <w:highlight w:val="none"/>
          <w:shd w:val="clear" w:color="auto" w:fill="auto"/>
        </w:rPr>
        <w:t>二、申请人的资格要求：</w:t>
      </w:r>
    </w:p>
    <w:p w14:paraId="476391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1.满足《中华人民共和国政府采购法》第二十二条规定；</w:t>
      </w:r>
    </w:p>
    <w:p w14:paraId="4528E7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2.落实政府采购政策需满足的资格要求：本项目为专门面向中小企业（含中型、小型、微型企业）采购项目，根据《政府采购促进中小企业发展管理办法》（财库﹝2020﹞46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14:paraId="168971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（1）财政部《关于进一步加大政府采购支持中小企业力度的通知》（财库〔2022〕19号）、《政府采购促进中小企业发展管理办法》（财库﹝2020﹞46 号）；</w:t>
      </w:r>
    </w:p>
    <w:p w14:paraId="5E14FB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（2）《关于政府采购支持监狱企业发展有关问题的通知》（财库[2014]68号）；</w:t>
      </w:r>
    </w:p>
    <w:p w14:paraId="3C2512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lang w:val="en-US" w:eastAsia="zh-CN"/>
        </w:rPr>
        <w:t>（3）《三部门联合发布关于促进残疾人就业政府采购政策的通知》（财库[2017]141 号）。</w:t>
      </w:r>
    </w:p>
    <w:p w14:paraId="639F5B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lang w:val="en-US" w:eastAsia="zh-CN"/>
        </w:rPr>
        <w:t>3.本项目的特定资格要求：</w:t>
      </w:r>
    </w:p>
    <w:p w14:paraId="5221BDA0">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4.</w:t>
      </w:r>
      <w:r>
        <w:rPr>
          <w:rFonts w:hint="eastAsia" w:ascii="宋体" w:hAnsi="宋体" w:eastAsia="宋体" w:cs="宋体"/>
          <w:color w:val="auto"/>
          <w:sz w:val="24"/>
          <w:szCs w:val="24"/>
          <w:highlight w:val="none"/>
          <w:shd w:val="clear" w:color="auto" w:fill="auto"/>
        </w:rPr>
        <w:t>本项目不接受联合体投标。</w:t>
      </w:r>
    </w:p>
    <w:p w14:paraId="07666FED">
      <w:pPr>
        <w:keepNext w:val="0"/>
        <w:keepLines w:val="0"/>
        <w:pageBreakBefore w:val="0"/>
        <w:kinsoku/>
        <w:wordWrap/>
        <w:overflowPunct/>
        <w:topLinePunct w:val="0"/>
        <w:autoSpaceDE/>
        <w:autoSpaceDN/>
        <w:bidi w:val="0"/>
        <w:spacing w:line="360" w:lineRule="auto"/>
        <w:ind w:firstLine="482" w:firstLineChars="200"/>
        <w:jc w:val="left"/>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 xml:space="preserve">三、获取谈判文件 </w:t>
      </w:r>
    </w:p>
    <w:p w14:paraId="53A82989">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时间：</w:t>
      </w:r>
      <w:r>
        <w:rPr>
          <w:rFonts w:hint="eastAsia" w:ascii="宋体" w:hAnsi="宋体" w:eastAsia="宋体" w:cs="宋体"/>
          <w:color w:val="auto"/>
          <w:sz w:val="24"/>
          <w:szCs w:val="24"/>
          <w:highlight w:val="none"/>
          <w:shd w:val="clear" w:color="auto" w:fill="auto"/>
          <w:lang w:val="en-US" w:eastAsia="zh-CN"/>
        </w:rPr>
        <w:t>2026</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shd w:val="clear" w:color="auto" w:fill="auto"/>
          <w:lang w:val="en-US" w:eastAsia="zh-CN"/>
        </w:rPr>
        <w:t xml:space="preserve"> 04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shd w:val="clear" w:color="auto" w:fill="auto"/>
          <w:lang w:val="en-US" w:eastAsia="zh-CN"/>
        </w:rPr>
        <w:t>30</w:t>
      </w:r>
      <w:r>
        <w:rPr>
          <w:rFonts w:hint="eastAsia" w:ascii="宋体" w:hAnsi="宋体" w:eastAsia="宋体" w:cs="宋体"/>
          <w:color w:val="auto"/>
          <w:sz w:val="24"/>
          <w:szCs w:val="24"/>
          <w:highlight w:val="none"/>
          <w:shd w:val="clear" w:color="auto" w:fill="auto"/>
        </w:rPr>
        <w:t>日至</w:t>
      </w:r>
      <w:r>
        <w:rPr>
          <w:rFonts w:hint="eastAsia" w:ascii="宋体" w:hAnsi="宋体" w:eastAsia="宋体" w:cs="宋体"/>
          <w:color w:val="auto"/>
          <w:sz w:val="24"/>
          <w:szCs w:val="24"/>
          <w:highlight w:val="none"/>
          <w:shd w:val="clear" w:color="auto" w:fill="auto"/>
          <w:lang w:val="en-US" w:eastAsia="zh-CN"/>
        </w:rPr>
        <w:t>2026</w:t>
      </w:r>
      <w:r>
        <w:rPr>
          <w:rFonts w:hint="eastAsia" w:ascii="宋体" w:hAnsi="宋体" w:eastAsia="宋体" w:cs="宋体"/>
          <w:color w:val="auto"/>
          <w:sz w:val="24"/>
          <w:szCs w:val="24"/>
          <w:highlight w:val="none"/>
          <w:shd w:val="clear" w:color="auto" w:fill="auto"/>
        </w:rPr>
        <w:t>年</w:t>
      </w:r>
      <w:r>
        <w:rPr>
          <w:rFonts w:hint="eastAsia" w:ascii="宋体" w:hAnsi="宋体" w:eastAsia="宋体" w:cs="宋体"/>
          <w:color w:val="auto"/>
          <w:sz w:val="24"/>
          <w:szCs w:val="24"/>
          <w:highlight w:val="none"/>
          <w:shd w:val="clear" w:color="auto" w:fill="auto"/>
          <w:lang w:val="en-US" w:eastAsia="zh-CN"/>
        </w:rPr>
        <w:t xml:space="preserve"> 05 </w:t>
      </w:r>
      <w:r>
        <w:rPr>
          <w:rFonts w:hint="eastAsia" w:ascii="宋体" w:hAnsi="宋体" w:eastAsia="宋体" w:cs="宋体"/>
          <w:color w:val="auto"/>
          <w:sz w:val="24"/>
          <w:szCs w:val="24"/>
          <w:highlight w:val="none"/>
          <w:shd w:val="clear" w:color="auto" w:fill="auto"/>
        </w:rPr>
        <w:t>月</w:t>
      </w:r>
      <w:r>
        <w:rPr>
          <w:rFonts w:hint="eastAsia" w:ascii="宋体" w:hAnsi="宋体" w:eastAsia="宋体" w:cs="宋体"/>
          <w:color w:val="auto"/>
          <w:sz w:val="24"/>
          <w:szCs w:val="24"/>
          <w:highlight w:val="none"/>
          <w:shd w:val="clear" w:color="auto" w:fill="auto"/>
          <w:lang w:val="en-US" w:eastAsia="zh-CN"/>
        </w:rPr>
        <w:t>11</w:t>
      </w:r>
      <w:r>
        <w:rPr>
          <w:rFonts w:hint="eastAsia" w:ascii="宋体" w:hAnsi="宋体" w:eastAsia="宋体" w:cs="宋体"/>
          <w:color w:val="auto"/>
          <w:sz w:val="24"/>
          <w:szCs w:val="24"/>
          <w:highlight w:val="none"/>
          <w:shd w:val="clear" w:color="auto" w:fill="auto"/>
        </w:rPr>
        <w:t>日 ，每天上午</w:t>
      </w:r>
      <w:r>
        <w:rPr>
          <w:rFonts w:hint="eastAsia" w:ascii="宋体" w:hAnsi="宋体" w:eastAsia="宋体" w:cs="宋体"/>
          <w:color w:val="auto"/>
          <w:sz w:val="24"/>
          <w:szCs w:val="24"/>
          <w:highlight w:val="none"/>
          <w:shd w:val="clear" w:color="auto" w:fill="auto"/>
          <w:lang w:val="en-US" w:eastAsia="zh-CN"/>
        </w:rPr>
        <w:t>09</w:t>
      </w:r>
      <w:r>
        <w:rPr>
          <w:rFonts w:hint="eastAsia" w:ascii="宋体" w:hAnsi="宋体" w:eastAsia="宋体" w:cs="宋体"/>
          <w:color w:val="auto"/>
          <w:sz w:val="24"/>
          <w:szCs w:val="24"/>
          <w:highlight w:val="none"/>
          <w:shd w:val="clear" w:color="auto" w:fill="auto"/>
        </w:rPr>
        <w:t>:00至14:00 ，下午14:00至2</w:t>
      </w:r>
      <w:r>
        <w:rPr>
          <w:rFonts w:hint="eastAsia" w:ascii="宋体" w:hAnsi="宋体" w:eastAsia="宋体" w:cs="宋体"/>
          <w:color w:val="auto"/>
          <w:sz w:val="24"/>
          <w:szCs w:val="24"/>
          <w:highlight w:val="none"/>
          <w:shd w:val="clear" w:color="auto" w:fill="auto"/>
          <w:lang w:val="en-US" w:eastAsia="zh-CN"/>
        </w:rPr>
        <w:t>1</w:t>
      </w:r>
      <w:r>
        <w:rPr>
          <w:rFonts w:hint="eastAsia" w:ascii="宋体" w:hAnsi="宋体" w:eastAsia="宋体" w:cs="宋体"/>
          <w:color w:val="auto"/>
          <w:sz w:val="24"/>
          <w:szCs w:val="24"/>
          <w:highlight w:val="none"/>
          <w:shd w:val="clear" w:color="auto" w:fill="auto"/>
        </w:rPr>
        <w:t>:</w:t>
      </w:r>
      <w:r>
        <w:rPr>
          <w:rFonts w:hint="eastAsia" w:ascii="宋体" w:hAnsi="宋体" w:eastAsia="宋体" w:cs="宋体"/>
          <w:color w:val="auto"/>
          <w:sz w:val="24"/>
          <w:szCs w:val="24"/>
          <w:highlight w:val="none"/>
          <w:shd w:val="clear" w:color="auto" w:fill="auto"/>
          <w:lang w:val="en-US" w:eastAsia="zh-CN"/>
        </w:rPr>
        <w:t>00</w:t>
      </w:r>
      <w:r>
        <w:rPr>
          <w:rFonts w:hint="eastAsia" w:ascii="宋体" w:hAnsi="宋体" w:eastAsia="宋体" w:cs="宋体"/>
          <w:color w:val="auto"/>
          <w:sz w:val="24"/>
          <w:szCs w:val="24"/>
          <w:highlight w:val="none"/>
          <w:shd w:val="clear" w:color="auto" w:fill="auto"/>
        </w:rPr>
        <w:t>（北京时间，法定节假日除外）</w:t>
      </w:r>
    </w:p>
    <w:p w14:paraId="2D40C808">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地点：</w:t>
      </w:r>
      <w:r>
        <w:rPr>
          <w:rFonts w:hint="eastAsia" w:ascii="宋体" w:hAnsi="宋体" w:eastAsia="宋体" w:cs="宋体"/>
          <w:b w:val="0"/>
          <w:bCs w:val="0"/>
          <w:color w:val="auto"/>
          <w:sz w:val="24"/>
          <w:szCs w:val="24"/>
          <w:highlight w:val="none"/>
          <w:shd w:val="clear" w:color="auto" w:fill="auto"/>
          <w:lang w:eastAsia="zh-CN"/>
        </w:rPr>
        <w:t>政采云平台（https://www.zcygov.cn/）</w:t>
      </w:r>
      <w:r>
        <w:rPr>
          <w:rFonts w:hint="eastAsia" w:ascii="宋体" w:hAnsi="宋体" w:eastAsia="宋体" w:cs="宋体"/>
          <w:b w:val="0"/>
          <w:bCs w:val="0"/>
          <w:color w:val="auto"/>
          <w:sz w:val="24"/>
          <w:szCs w:val="24"/>
          <w:highlight w:val="none"/>
          <w:shd w:val="clear" w:color="auto" w:fill="auto"/>
          <w:lang w:val="en-US" w:eastAsia="zh-CN"/>
        </w:rPr>
        <w:t>线上</w:t>
      </w:r>
    </w:p>
    <w:p w14:paraId="25E5D97F">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方式：供应商登录政采云平台</w:t>
      </w:r>
      <w:r>
        <w:rPr>
          <w:rFonts w:hint="eastAsia" w:ascii="宋体" w:hAnsi="宋体" w:eastAsia="宋体" w:cs="宋体"/>
          <w:color w:val="auto"/>
          <w:kern w:val="0"/>
          <w:sz w:val="24"/>
          <w:szCs w:val="24"/>
          <w:highlight w:val="none"/>
          <w:shd w:val="clear" w:color="auto" w:fill="auto"/>
        </w:rPr>
        <w:t>https://www.zcygov.cn/</w:t>
      </w:r>
      <w:r>
        <w:rPr>
          <w:rFonts w:hint="eastAsia" w:ascii="宋体" w:hAnsi="宋体" w:eastAsia="宋体" w:cs="宋体"/>
          <w:color w:val="auto"/>
          <w:sz w:val="24"/>
          <w:szCs w:val="24"/>
          <w:highlight w:val="none"/>
          <w:shd w:val="clear" w:color="auto" w:fill="auto"/>
        </w:rPr>
        <w:t xml:space="preserve">在线申请获取采购文件（进入“项目采购”应用，在获取采购文件菜单中选择项目，申请获取采购文件） </w:t>
      </w:r>
    </w:p>
    <w:p w14:paraId="1478C589">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售价（元）：0  </w:t>
      </w:r>
    </w:p>
    <w:p w14:paraId="574BFB9F">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jc w:val="left"/>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四、提交</w:t>
      </w:r>
      <w:r>
        <w:rPr>
          <w:rFonts w:hint="eastAsia" w:ascii="宋体" w:hAnsi="宋体" w:eastAsia="宋体" w:cs="宋体"/>
          <w:b/>
          <w:bCs/>
          <w:color w:val="auto"/>
          <w:sz w:val="24"/>
          <w:szCs w:val="24"/>
          <w:highlight w:val="none"/>
          <w:shd w:val="clear" w:color="auto" w:fill="auto"/>
          <w:lang w:eastAsia="zh-CN"/>
        </w:rPr>
        <w:t>响应文件</w:t>
      </w:r>
      <w:r>
        <w:rPr>
          <w:rFonts w:hint="eastAsia" w:ascii="宋体" w:hAnsi="宋体" w:eastAsia="宋体" w:cs="宋体"/>
          <w:b/>
          <w:bCs/>
          <w:color w:val="auto"/>
          <w:sz w:val="24"/>
          <w:szCs w:val="24"/>
          <w:highlight w:val="none"/>
          <w:shd w:val="clear" w:color="auto" w:fill="auto"/>
        </w:rPr>
        <w:t>截止时间和地点</w:t>
      </w:r>
    </w:p>
    <w:p w14:paraId="2D9A9437">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提交</w:t>
      </w:r>
      <w:r>
        <w:rPr>
          <w:rFonts w:hint="eastAsia" w:ascii="宋体" w:hAnsi="宋体" w:eastAsia="宋体" w:cs="宋体"/>
          <w:b w:val="0"/>
          <w:bCs w:val="0"/>
          <w:color w:val="auto"/>
          <w:sz w:val="24"/>
          <w:szCs w:val="24"/>
          <w:highlight w:val="none"/>
          <w:shd w:val="clear" w:color="auto" w:fill="auto"/>
          <w:lang w:eastAsia="zh-CN"/>
        </w:rPr>
        <w:t>响应文件</w:t>
      </w:r>
      <w:r>
        <w:rPr>
          <w:rFonts w:hint="eastAsia" w:ascii="宋体" w:hAnsi="宋体" w:eastAsia="宋体" w:cs="宋体"/>
          <w:b w:val="0"/>
          <w:bCs w:val="0"/>
          <w:color w:val="auto"/>
          <w:sz w:val="24"/>
          <w:szCs w:val="24"/>
          <w:highlight w:val="none"/>
          <w:shd w:val="clear" w:color="auto" w:fill="auto"/>
        </w:rPr>
        <w:t>截止时间：</w:t>
      </w:r>
      <w:r>
        <w:rPr>
          <w:rFonts w:hint="eastAsia" w:ascii="宋体" w:hAnsi="宋体" w:eastAsia="宋体" w:cs="宋体"/>
          <w:b w:val="0"/>
          <w:bCs w:val="0"/>
          <w:color w:val="auto"/>
          <w:sz w:val="24"/>
          <w:szCs w:val="24"/>
          <w:highlight w:val="none"/>
          <w:shd w:val="clear" w:color="auto" w:fill="auto"/>
          <w:lang w:val="en-US" w:eastAsia="zh-CN"/>
        </w:rPr>
        <w:t>2026</w:t>
      </w:r>
      <w:r>
        <w:rPr>
          <w:rFonts w:hint="eastAsia" w:ascii="宋体" w:hAnsi="宋体" w:eastAsia="宋体" w:cs="宋体"/>
          <w:b w:val="0"/>
          <w:bCs w:val="0"/>
          <w:color w:val="auto"/>
          <w:sz w:val="24"/>
          <w:szCs w:val="24"/>
          <w:highlight w:val="none"/>
          <w:shd w:val="clear" w:color="auto" w:fill="auto"/>
        </w:rPr>
        <w:t>年</w:t>
      </w:r>
      <w:r>
        <w:rPr>
          <w:rFonts w:hint="eastAsia" w:ascii="宋体" w:hAnsi="宋体" w:eastAsia="宋体" w:cs="宋体"/>
          <w:b w:val="0"/>
          <w:bCs w:val="0"/>
          <w:color w:val="auto"/>
          <w:sz w:val="24"/>
          <w:szCs w:val="24"/>
          <w:highlight w:val="none"/>
          <w:shd w:val="clear" w:color="auto" w:fill="auto"/>
          <w:lang w:val="en-US" w:eastAsia="zh-CN"/>
        </w:rPr>
        <w:t xml:space="preserve"> 05 </w:t>
      </w:r>
      <w:r>
        <w:rPr>
          <w:rFonts w:hint="eastAsia" w:ascii="宋体" w:hAnsi="宋体" w:eastAsia="宋体" w:cs="宋体"/>
          <w:b w:val="0"/>
          <w:bCs w:val="0"/>
          <w:color w:val="auto"/>
          <w:sz w:val="24"/>
          <w:szCs w:val="24"/>
          <w:highlight w:val="none"/>
          <w:shd w:val="clear" w:color="auto" w:fill="auto"/>
        </w:rPr>
        <w:t>月</w:t>
      </w:r>
      <w:r>
        <w:rPr>
          <w:rFonts w:hint="eastAsia" w:eastAsia="宋体" w:cs="宋体"/>
          <w:b w:val="0"/>
          <w:bCs w:val="0"/>
          <w:color w:val="auto"/>
          <w:sz w:val="24"/>
          <w:szCs w:val="24"/>
          <w:highlight w:val="none"/>
          <w:shd w:val="clear" w:color="auto" w:fill="auto"/>
          <w:lang w:val="en-US" w:eastAsia="zh-CN"/>
        </w:rPr>
        <w:t>12</w:t>
      </w:r>
      <w:r>
        <w:rPr>
          <w:rFonts w:hint="eastAsia" w:ascii="宋体" w:hAnsi="宋体" w:eastAsia="宋体" w:cs="宋体"/>
          <w:b w:val="0"/>
          <w:bCs w:val="0"/>
          <w:color w:val="auto"/>
          <w:sz w:val="24"/>
          <w:szCs w:val="24"/>
          <w:highlight w:val="none"/>
          <w:shd w:val="clear" w:color="auto" w:fill="auto"/>
        </w:rPr>
        <w:t>日</w:t>
      </w:r>
      <w:r>
        <w:rPr>
          <w:rFonts w:hint="eastAsia" w:ascii="宋体" w:hAnsi="宋体" w:eastAsia="宋体" w:cs="宋体"/>
          <w:b w:val="0"/>
          <w:bCs w:val="0"/>
          <w:color w:val="auto"/>
          <w:sz w:val="24"/>
          <w:szCs w:val="24"/>
          <w:highlight w:val="none"/>
          <w:shd w:val="clear" w:color="auto" w:fill="auto"/>
          <w:lang w:val="en-US" w:eastAsia="zh-CN"/>
        </w:rPr>
        <w:t>10</w:t>
      </w:r>
      <w:r>
        <w:rPr>
          <w:rFonts w:hint="eastAsia" w:ascii="宋体" w:hAnsi="宋体" w:eastAsia="宋体" w:cs="宋体"/>
          <w:b w:val="0"/>
          <w:bCs w:val="0"/>
          <w:color w:val="auto"/>
          <w:sz w:val="24"/>
          <w:szCs w:val="24"/>
          <w:highlight w:val="none"/>
          <w:shd w:val="clear" w:color="auto" w:fill="auto"/>
        </w:rPr>
        <w:t>:</w:t>
      </w:r>
      <w:r>
        <w:rPr>
          <w:rFonts w:hint="eastAsia" w:eastAsia="宋体" w:cs="宋体"/>
          <w:b w:val="0"/>
          <w:bCs w:val="0"/>
          <w:color w:val="auto"/>
          <w:sz w:val="24"/>
          <w:szCs w:val="24"/>
          <w:highlight w:val="none"/>
          <w:shd w:val="clear" w:color="auto" w:fill="auto"/>
          <w:lang w:val="en-US" w:eastAsia="zh-CN"/>
        </w:rPr>
        <w:t>0</w:t>
      </w:r>
      <w:r>
        <w:rPr>
          <w:rFonts w:hint="eastAsia" w:ascii="宋体" w:hAnsi="宋体" w:eastAsia="宋体" w:cs="宋体"/>
          <w:b w:val="0"/>
          <w:bCs w:val="0"/>
          <w:color w:val="auto"/>
          <w:sz w:val="24"/>
          <w:szCs w:val="24"/>
          <w:highlight w:val="none"/>
          <w:shd w:val="clear" w:color="auto" w:fill="auto"/>
        </w:rPr>
        <w:t>0（北京时间）</w:t>
      </w:r>
    </w:p>
    <w:p w14:paraId="11337F2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b w:val="0"/>
          <w:bCs w:val="0"/>
          <w:color w:val="auto"/>
          <w:sz w:val="24"/>
          <w:szCs w:val="24"/>
          <w:highlight w:val="none"/>
          <w:shd w:val="clear" w:color="auto" w:fill="auto"/>
        </w:rPr>
      </w:pPr>
      <w:r>
        <w:rPr>
          <w:rFonts w:hint="eastAsia" w:ascii="宋体" w:hAnsi="宋体" w:eastAsia="宋体" w:cs="宋体"/>
          <w:b w:val="0"/>
          <w:bCs w:val="0"/>
          <w:color w:val="auto"/>
          <w:sz w:val="24"/>
          <w:szCs w:val="24"/>
          <w:highlight w:val="none"/>
          <w:shd w:val="clear" w:color="auto" w:fill="auto"/>
        </w:rPr>
        <w:t>地点：登录政采云投标客户端投标（https://www.zcygov.cn/）</w:t>
      </w:r>
    </w:p>
    <w:p w14:paraId="408F462F">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jc w:val="left"/>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rPr>
        <w:t>五、开启</w:t>
      </w:r>
    </w:p>
    <w:p w14:paraId="4A698FE0">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lang w:eastAsia="zh-CN"/>
        </w:rPr>
        <w:t>开启时间：</w:t>
      </w:r>
      <w:r>
        <w:rPr>
          <w:rFonts w:hint="eastAsia" w:ascii="宋体" w:hAnsi="宋体" w:eastAsia="宋体" w:cs="宋体"/>
          <w:b w:val="0"/>
          <w:bCs w:val="0"/>
          <w:color w:val="auto"/>
          <w:sz w:val="24"/>
          <w:szCs w:val="24"/>
          <w:highlight w:val="none"/>
          <w:shd w:val="clear" w:color="auto" w:fill="auto"/>
          <w:lang w:val="en-US" w:eastAsia="zh-CN"/>
        </w:rPr>
        <w:t>2026</w:t>
      </w:r>
      <w:r>
        <w:rPr>
          <w:rFonts w:hint="eastAsia" w:ascii="宋体" w:hAnsi="宋体" w:eastAsia="宋体" w:cs="宋体"/>
          <w:b w:val="0"/>
          <w:bCs w:val="0"/>
          <w:color w:val="auto"/>
          <w:sz w:val="24"/>
          <w:szCs w:val="24"/>
          <w:highlight w:val="none"/>
          <w:shd w:val="clear" w:color="auto" w:fill="auto"/>
        </w:rPr>
        <w:t>年</w:t>
      </w:r>
      <w:r>
        <w:rPr>
          <w:rFonts w:hint="eastAsia" w:ascii="宋体" w:hAnsi="宋体" w:eastAsia="宋体" w:cs="宋体"/>
          <w:b w:val="0"/>
          <w:bCs w:val="0"/>
          <w:color w:val="auto"/>
          <w:sz w:val="24"/>
          <w:szCs w:val="24"/>
          <w:highlight w:val="none"/>
          <w:shd w:val="clear" w:color="auto" w:fill="auto"/>
          <w:lang w:val="en-US" w:eastAsia="zh-CN"/>
        </w:rPr>
        <w:t xml:space="preserve"> 05 </w:t>
      </w:r>
      <w:r>
        <w:rPr>
          <w:rFonts w:hint="eastAsia" w:ascii="宋体" w:hAnsi="宋体" w:eastAsia="宋体" w:cs="宋体"/>
          <w:b w:val="0"/>
          <w:bCs w:val="0"/>
          <w:color w:val="auto"/>
          <w:sz w:val="24"/>
          <w:szCs w:val="24"/>
          <w:highlight w:val="none"/>
          <w:shd w:val="clear" w:color="auto" w:fill="auto"/>
        </w:rPr>
        <w:t>月</w:t>
      </w:r>
      <w:r>
        <w:rPr>
          <w:rFonts w:hint="eastAsia" w:eastAsia="宋体" w:cs="宋体"/>
          <w:b w:val="0"/>
          <w:bCs w:val="0"/>
          <w:color w:val="auto"/>
          <w:sz w:val="24"/>
          <w:szCs w:val="24"/>
          <w:highlight w:val="none"/>
          <w:shd w:val="clear" w:color="auto" w:fill="auto"/>
          <w:lang w:val="en-US" w:eastAsia="zh-CN"/>
        </w:rPr>
        <w:t>12</w:t>
      </w:r>
      <w:r>
        <w:rPr>
          <w:rFonts w:hint="eastAsia" w:ascii="宋体" w:hAnsi="宋体" w:eastAsia="宋体" w:cs="宋体"/>
          <w:b w:val="0"/>
          <w:bCs w:val="0"/>
          <w:color w:val="auto"/>
          <w:sz w:val="24"/>
          <w:szCs w:val="24"/>
          <w:highlight w:val="none"/>
          <w:shd w:val="clear" w:color="auto" w:fill="auto"/>
        </w:rPr>
        <w:t>日</w:t>
      </w:r>
      <w:r>
        <w:rPr>
          <w:rFonts w:hint="eastAsia" w:ascii="宋体" w:hAnsi="宋体" w:eastAsia="宋体" w:cs="宋体"/>
          <w:b w:val="0"/>
          <w:bCs w:val="0"/>
          <w:color w:val="auto"/>
          <w:sz w:val="24"/>
          <w:szCs w:val="24"/>
          <w:highlight w:val="none"/>
          <w:shd w:val="clear" w:color="auto" w:fill="auto"/>
          <w:lang w:val="en-US" w:eastAsia="zh-CN"/>
        </w:rPr>
        <w:t>10</w:t>
      </w:r>
      <w:r>
        <w:rPr>
          <w:rFonts w:hint="eastAsia" w:ascii="宋体" w:hAnsi="宋体" w:eastAsia="宋体" w:cs="宋体"/>
          <w:b w:val="0"/>
          <w:bCs w:val="0"/>
          <w:color w:val="auto"/>
          <w:sz w:val="24"/>
          <w:szCs w:val="24"/>
          <w:highlight w:val="none"/>
          <w:shd w:val="clear" w:color="auto" w:fill="auto"/>
        </w:rPr>
        <w:t>:</w:t>
      </w:r>
      <w:r>
        <w:rPr>
          <w:rFonts w:hint="eastAsia" w:eastAsia="宋体" w:cs="宋体"/>
          <w:b w:val="0"/>
          <w:bCs w:val="0"/>
          <w:color w:val="auto"/>
          <w:sz w:val="24"/>
          <w:szCs w:val="24"/>
          <w:highlight w:val="none"/>
          <w:shd w:val="clear" w:color="auto" w:fill="auto"/>
          <w:lang w:val="en-US" w:eastAsia="zh-CN"/>
        </w:rPr>
        <w:t>0</w:t>
      </w:r>
      <w:r>
        <w:rPr>
          <w:rFonts w:hint="eastAsia" w:ascii="宋体" w:hAnsi="宋体" w:eastAsia="宋体" w:cs="宋体"/>
          <w:b w:val="0"/>
          <w:bCs w:val="0"/>
          <w:color w:val="auto"/>
          <w:sz w:val="24"/>
          <w:szCs w:val="24"/>
          <w:highlight w:val="none"/>
          <w:shd w:val="clear" w:color="auto" w:fill="auto"/>
        </w:rPr>
        <w:t>0</w:t>
      </w:r>
      <w:r>
        <w:rPr>
          <w:rFonts w:hint="eastAsia" w:ascii="宋体" w:hAnsi="宋体" w:eastAsia="宋体" w:cs="宋体"/>
          <w:b w:val="0"/>
          <w:bCs w:val="0"/>
          <w:color w:val="auto"/>
          <w:sz w:val="24"/>
          <w:szCs w:val="24"/>
          <w:highlight w:val="none"/>
          <w:shd w:val="clear" w:color="auto" w:fill="auto"/>
          <w:lang w:eastAsia="zh-CN"/>
        </w:rPr>
        <w:t>（北京时间）</w:t>
      </w:r>
    </w:p>
    <w:p w14:paraId="406FC32E">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b w:val="0"/>
          <w:bCs w:val="0"/>
          <w:color w:val="auto"/>
          <w:sz w:val="24"/>
          <w:szCs w:val="24"/>
          <w:highlight w:val="none"/>
          <w:shd w:val="clear" w:color="auto" w:fill="auto"/>
          <w:lang w:eastAsia="zh-CN"/>
        </w:rPr>
      </w:pPr>
      <w:r>
        <w:rPr>
          <w:rFonts w:hint="eastAsia" w:ascii="宋体" w:hAnsi="宋体" w:eastAsia="宋体" w:cs="宋体"/>
          <w:b w:val="0"/>
          <w:bCs w:val="0"/>
          <w:color w:val="auto"/>
          <w:sz w:val="24"/>
          <w:szCs w:val="24"/>
          <w:highlight w:val="none"/>
          <w:shd w:val="clear" w:color="auto" w:fill="auto"/>
          <w:lang w:eastAsia="zh-CN"/>
        </w:rPr>
        <w:t>地点：政采云平台（https://www.zcygov.cn/）</w:t>
      </w:r>
      <w:bookmarkStart w:id="42" w:name="_GoBack"/>
      <w:bookmarkEnd w:id="42"/>
    </w:p>
    <w:p w14:paraId="12C43A38">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六</w:t>
      </w:r>
      <w:r>
        <w:rPr>
          <w:rFonts w:hint="eastAsia" w:ascii="宋体" w:hAnsi="宋体" w:eastAsia="宋体" w:cs="宋体"/>
          <w:b/>
          <w:bCs/>
          <w:color w:val="auto"/>
          <w:sz w:val="24"/>
          <w:szCs w:val="24"/>
          <w:highlight w:val="none"/>
          <w:shd w:val="clear" w:color="auto" w:fill="auto"/>
        </w:rPr>
        <w:t>、公告期限</w:t>
      </w:r>
      <w:r>
        <w:rPr>
          <w:rFonts w:hint="eastAsia" w:ascii="宋体" w:hAnsi="宋体" w:eastAsia="宋体" w:cs="宋体"/>
          <w:color w:val="auto"/>
          <w:sz w:val="24"/>
          <w:szCs w:val="24"/>
          <w:highlight w:val="none"/>
          <w:shd w:val="clear" w:color="auto" w:fill="auto"/>
        </w:rPr>
        <w:t xml:space="preserve"> </w:t>
      </w:r>
    </w:p>
    <w:p w14:paraId="1D7A2847">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自本公告发布之日起3个工作日 </w:t>
      </w:r>
    </w:p>
    <w:p w14:paraId="45CC22BC">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七</w:t>
      </w:r>
      <w:r>
        <w:rPr>
          <w:rFonts w:hint="eastAsia" w:ascii="宋体" w:hAnsi="宋体" w:eastAsia="宋体" w:cs="宋体"/>
          <w:b/>
          <w:bCs/>
          <w:color w:val="auto"/>
          <w:sz w:val="24"/>
          <w:szCs w:val="24"/>
          <w:highlight w:val="none"/>
          <w:shd w:val="clear" w:color="auto" w:fill="auto"/>
        </w:rPr>
        <w:t>、其他补充事宜</w:t>
      </w:r>
    </w:p>
    <w:p w14:paraId="229B66D9">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lang w:val="en-US" w:eastAsia="zh-CN"/>
        </w:rPr>
        <w:t>1、本项目实行网上投标，采用电子投标文件。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3、供应商将政采云电子交易客户端下载、安装完成后，可通过账号密码或CA登录客户端进行投标文件的制作。在使用政采云投标客户端时，建议使用WIN7及以上操作系统。4、其他事项：（1）本项目实行网上投标，采用电子投标文件，若投标供应商参与投标，自行承担投标一切费用。（2）各投标供应商应在开标前应确保成为新疆维吾尔自治区政府采购网正式注册入库投标供应商，并完成CA数字证书申领。因未注册入库、未办理CA数字证书等原因造成无法响应或响应失败等后果由投标供应商自行承担。（3）未办理CA的投标供应商可自主通过新疆CA申领渠道“新疆政务通”申请政采云平台可使用的CA设备，如原有兵团或公共资源使用的CA，可与新疆CA联系，申请增加电子证书即可，无需重复申领。（4）投标供应商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5）逾期未上传的或不符合规定的响应文件将被拒绝接收，采购人不予受理。 </w:t>
      </w:r>
    </w:p>
    <w:p w14:paraId="4911955B">
      <w:pPr>
        <w:pStyle w:val="13"/>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2" w:firstLineChars="200"/>
        <w:jc w:val="left"/>
        <w:textAlignment w:val="auto"/>
        <w:rPr>
          <w:rFonts w:hint="eastAsia" w:ascii="宋体" w:hAnsi="宋体" w:eastAsia="宋体" w:cs="宋体"/>
          <w:b/>
          <w:bCs/>
          <w:color w:val="auto"/>
          <w:sz w:val="24"/>
          <w:szCs w:val="24"/>
          <w:highlight w:val="none"/>
          <w:shd w:val="clear" w:color="auto" w:fill="auto"/>
        </w:rPr>
      </w:pPr>
      <w:r>
        <w:rPr>
          <w:rFonts w:hint="eastAsia" w:ascii="宋体" w:hAnsi="宋体" w:eastAsia="宋体" w:cs="宋体"/>
          <w:b/>
          <w:bCs/>
          <w:color w:val="auto"/>
          <w:sz w:val="24"/>
          <w:szCs w:val="24"/>
          <w:highlight w:val="none"/>
          <w:shd w:val="clear" w:color="auto" w:fill="auto"/>
          <w:lang w:val="en-US" w:eastAsia="zh-CN"/>
        </w:rPr>
        <w:t>八</w:t>
      </w:r>
      <w:r>
        <w:rPr>
          <w:rFonts w:hint="eastAsia" w:ascii="宋体" w:hAnsi="宋体" w:eastAsia="宋体" w:cs="宋体"/>
          <w:b/>
          <w:bCs/>
          <w:color w:val="auto"/>
          <w:sz w:val="24"/>
          <w:szCs w:val="24"/>
          <w:highlight w:val="none"/>
          <w:shd w:val="clear" w:color="auto" w:fill="auto"/>
        </w:rPr>
        <w:t>、对本次采购提出询问，请按以下方式联系</w:t>
      </w:r>
    </w:p>
    <w:p w14:paraId="7F97996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1.采购人信息</w:t>
      </w:r>
    </w:p>
    <w:p w14:paraId="42673EE2">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名 称：中华人民共和国新疆出入境边防检查总站</w:t>
      </w:r>
    </w:p>
    <w:p w14:paraId="64B4B1A0">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 址：新疆</w:t>
      </w:r>
      <w:r>
        <w:rPr>
          <w:rFonts w:hint="eastAsia" w:ascii="宋体" w:hAnsi="宋体" w:eastAsia="宋体" w:cs="宋体"/>
          <w:color w:val="auto"/>
          <w:sz w:val="24"/>
          <w:szCs w:val="24"/>
          <w:highlight w:val="none"/>
        </w:rPr>
        <w:t>乌鲁木齐市</w:t>
      </w:r>
      <w:r>
        <w:rPr>
          <w:rFonts w:hint="eastAsia" w:ascii="宋体" w:hAnsi="宋体" w:eastAsia="宋体" w:cs="宋体"/>
          <w:color w:val="auto"/>
          <w:sz w:val="24"/>
          <w:szCs w:val="24"/>
          <w:highlight w:val="none"/>
          <w:shd w:val="clear" w:color="auto" w:fill="auto"/>
        </w:rPr>
        <w:t>天山区团结路1551号</w:t>
      </w:r>
    </w:p>
    <w:p w14:paraId="08F45DCB">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项目联系人：</w:t>
      </w:r>
      <w:r>
        <w:rPr>
          <w:rFonts w:hint="eastAsia" w:ascii="宋体" w:hAnsi="宋体" w:eastAsia="宋体" w:cs="宋体"/>
          <w:color w:val="auto"/>
          <w:sz w:val="24"/>
          <w:szCs w:val="24"/>
          <w:highlight w:val="none"/>
          <w:shd w:val="clear" w:color="auto" w:fill="auto"/>
          <w:lang w:val="en-US" w:eastAsia="zh-CN"/>
        </w:rPr>
        <w:t>李</w:t>
      </w:r>
      <w:r>
        <w:rPr>
          <w:rFonts w:hint="eastAsia" w:ascii="宋体" w:hAnsi="宋体" w:eastAsia="宋体" w:cs="宋体"/>
          <w:color w:val="auto"/>
          <w:sz w:val="24"/>
          <w:szCs w:val="24"/>
          <w:highlight w:val="none"/>
          <w:shd w:val="clear" w:color="auto" w:fill="auto"/>
          <w:lang w:eastAsia="zh-CN"/>
        </w:rPr>
        <w:t>警官</w:t>
      </w:r>
    </w:p>
    <w:p w14:paraId="411EB466">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项目联系方式：</w:t>
      </w:r>
      <w:r>
        <w:rPr>
          <w:rFonts w:hint="eastAsia" w:ascii="宋体" w:hAnsi="宋体" w:eastAsia="宋体" w:cs="宋体"/>
          <w:color w:val="auto"/>
          <w:sz w:val="24"/>
          <w:szCs w:val="24"/>
          <w:highlight w:val="none"/>
          <w:shd w:val="clear" w:color="auto" w:fill="auto"/>
          <w:lang w:eastAsia="zh-CN"/>
        </w:rPr>
        <w:t>0991-85121</w:t>
      </w:r>
      <w:r>
        <w:rPr>
          <w:rFonts w:hint="eastAsia" w:ascii="宋体" w:hAnsi="宋体" w:eastAsia="宋体" w:cs="宋体"/>
          <w:color w:val="auto"/>
          <w:sz w:val="24"/>
          <w:szCs w:val="24"/>
          <w:highlight w:val="none"/>
          <w:shd w:val="clear" w:color="auto" w:fill="auto"/>
          <w:lang w:val="en-US" w:eastAsia="zh-CN"/>
        </w:rPr>
        <w:t>43</w:t>
      </w:r>
    </w:p>
    <w:p w14:paraId="6EFE287D">
      <w:pPr>
        <w:keepNext w:val="0"/>
        <w:keepLines w:val="0"/>
        <w:pageBreakBefore w:val="0"/>
        <w:kinsoku/>
        <w:wordWrap/>
        <w:overflowPunct/>
        <w:topLinePunct w:val="0"/>
        <w:autoSpaceDE/>
        <w:autoSpaceDN/>
        <w:bidi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2.采购代理机构信息</w:t>
      </w:r>
    </w:p>
    <w:p w14:paraId="3543361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名 称：</w:t>
      </w:r>
      <w:r>
        <w:rPr>
          <w:rFonts w:hint="eastAsia" w:ascii="宋体" w:hAnsi="宋体" w:eastAsia="宋体" w:cs="宋体"/>
          <w:color w:val="auto"/>
          <w:sz w:val="24"/>
          <w:szCs w:val="24"/>
          <w:highlight w:val="none"/>
          <w:shd w:val="clear" w:color="auto" w:fill="auto"/>
          <w:lang w:eastAsia="zh-CN"/>
        </w:rPr>
        <w:t>新疆君凯杰工程项目管理有限公司</w:t>
      </w:r>
    </w:p>
    <w:p w14:paraId="0792367C">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地 址：</w:t>
      </w:r>
      <w:r>
        <w:rPr>
          <w:rFonts w:hint="eastAsia" w:ascii="宋体" w:hAnsi="宋体" w:eastAsia="宋体" w:cs="宋体"/>
          <w:color w:val="auto"/>
          <w:spacing w:val="0"/>
          <w:w w:val="100"/>
          <w:sz w:val="24"/>
          <w:szCs w:val="24"/>
          <w:highlight w:val="none"/>
          <w:lang w:val="en-US" w:eastAsia="zh-CN" w:bidi="ar-SA"/>
        </w:rPr>
        <w:t>乌鲁木齐市会展大道1119号大成尔雅A座807室</w:t>
      </w:r>
    </w:p>
    <w:p w14:paraId="5DAD8566">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电 话：</w:t>
      </w:r>
      <w:r>
        <w:rPr>
          <w:rFonts w:hint="eastAsia" w:ascii="宋体" w:hAnsi="宋体" w:eastAsia="宋体" w:cs="宋体"/>
          <w:color w:val="auto"/>
          <w:spacing w:val="0"/>
          <w:w w:val="100"/>
          <w:sz w:val="24"/>
          <w:szCs w:val="24"/>
          <w:highlight w:val="none"/>
          <w:lang w:val="en-US" w:eastAsia="zh-CN" w:bidi="ar-SA"/>
        </w:rPr>
        <w:t>13201097601</w:t>
      </w:r>
    </w:p>
    <w:p w14:paraId="0B38E10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3.项目联系方式</w:t>
      </w:r>
    </w:p>
    <w:p w14:paraId="22D597F2">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lang w:val="en-US" w:eastAsia="zh-CN"/>
        </w:rPr>
      </w:pPr>
      <w:r>
        <w:rPr>
          <w:rFonts w:hint="eastAsia" w:ascii="宋体" w:hAnsi="宋体" w:eastAsia="宋体" w:cs="宋体"/>
          <w:color w:val="auto"/>
          <w:sz w:val="24"/>
          <w:szCs w:val="24"/>
          <w:highlight w:val="none"/>
          <w:shd w:val="clear" w:color="auto" w:fill="auto"/>
        </w:rPr>
        <w:t>项目联系人：</w:t>
      </w:r>
      <w:r>
        <w:rPr>
          <w:rFonts w:hint="eastAsia" w:ascii="宋体" w:hAnsi="宋体" w:eastAsia="宋体" w:cs="宋体"/>
          <w:color w:val="auto"/>
          <w:sz w:val="24"/>
          <w:szCs w:val="24"/>
          <w:highlight w:val="none"/>
          <w:shd w:val="clear" w:color="auto" w:fill="auto"/>
          <w:lang w:val="en-US" w:eastAsia="zh-CN"/>
        </w:rPr>
        <w:t>陈晨、吕砚君、胡雪玲、周芸</w:t>
      </w:r>
    </w:p>
    <w:p w14:paraId="447209B4">
      <w:pPr>
        <w:keepNext w:val="0"/>
        <w:keepLines w:val="0"/>
        <w:pageBreakBefore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电 话：</w:t>
      </w:r>
      <w:r>
        <w:rPr>
          <w:rFonts w:hint="eastAsia" w:ascii="宋体" w:hAnsi="宋体" w:eastAsia="宋体" w:cs="宋体"/>
          <w:color w:val="auto"/>
          <w:spacing w:val="0"/>
          <w:w w:val="100"/>
          <w:sz w:val="24"/>
          <w:szCs w:val="24"/>
          <w:highlight w:val="none"/>
          <w:lang w:val="en-US" w:eastAsia="zh-CN" w:bidi="ar-SA"/>
        </w:rPr>
        <w:t>13201097601</w:t>
      </w:r>
    </w:p>
    <w:p w14:paraId="7B8BB697">
      <w:pPr>
        <w:bidi w:val="0"/>
        <w:rPr>
          <w:rFonts w:hint="eastAsia" w:ascii="宋体" w:hAnsi="宋体" w:eastAsia="宋体"/>
          <w:color w:val="auto"/>
          <w:sz w:val="36"/>
          <w:szCs w:val="24"/>
          <w:highlight w:val="none"/>
        </w:rPr>
      </w:pPr>
    </w:p>
    <w:p w14:paraId="77A6A016">
      <w:pPr>
        <w:bidi w:val="0"/>
        <w:rPr>
          <w:rFonts w:hint="eastAsia" w:ascii="宋体" w:hAnsi="宋体" w:eastAsia="宋体"/>
          <w:color w:val="auto"/>
          <w:sz w:val="36"/>
          <w:szCs w:val="24"/>
          <w:highlight w:val="none"/>
        </w:rPr>
      </w:pPr>
    </w:p>
    <w:p w14:paraId="17E56753">
      <w:pPr>
        <w:bidi w:val="0"/>
        <w:rPr>
          <w:rFonts w:hint="eastAsia" w:ascii="宋体" w:hAnsi="宋体" w:eastAsia="宋体"/>
          <w:color w:val="auto"/>
          <w:sz w:val="36"/>
          <w:szCs w:val="24"/>
          <w:highlight w:val="none"/>
        </w:rPr>
      </w:pPr>
    </w:p>
    <w:p w14:paraId="0BE99594">
      <w:pPr>
        <w:bidi w:val="0"/>
        <w:rPr>
          <w:rFonts w:hint="eastAsia"/>
          <w:color w:val="auto"/>
          <w:highlight w:val="none"/>
          <w:lang w:val="en-US" w:eastAsia="zh-CN"/>
        </w:rPr>
      </w:pPr>
      <w:r>
        <w:rPr>
          <w:rFonts w:hint="eastAsia"/>
          <w:color w:val="auto"/>
          <w:highlight w:val="none"/>
          <w:lang w:val="en-US" w:eastAsia="zh-CN"/>
        </w:rPr>
        <w:br w:type="page"/>
      </w:r>
    </w:p>
    <w:p w14:paraId="00BABFB0">
      <w:pPr>
        <w:bidi w:val="0"/>
        <w:jc w:val="center"/>
        <w:outlineLvl w:val="0"/>
        <w:rPr>
          <w:rFonts w:hint="eastAsia"/>
          <w:color w:val="auto"/>
          <w:highlight w:val="none"/>
          <w:lang w:val="en-US" w:eastAsia="zh-CN"/>
        </w:rPr>
      </w:pPr>
      <w:bookmarkStart w:id="1" w:name="_Toc8535"/>
      <w:r>
        <w:rPr>
          <w:rFonts w:hint="eastAsia" w:ascii="宋体" w:hAnsi="宋体" w:eastAsia="宋体"/>
          <w:color w:val="auto"/>
          <w:sz w:val="36"/>
          <w:szCs w:val="24"/>
          <w:highlight w:val="none"/>
        </w:rPr>
        <w:t>第二部分竞争性磋商流程</w:t>
      </w:r>
      <w:bookmarkEnd w:id="1"/>
    </w:p>
    <w:p w14:paraId="66BFBF78">
      <w:pPr>
        <w:bidi w:val="0"/>
        <w:jc w:val="center"/>
        <w:rPr>
          <w:rFonts w:hint="eastAsia"/>
          <w:color w:val="auto"/>
          <w:highlight w:val="none"/>
          <w:lang w:val="en-US" w:eastAsia="zh-CN"/>
        </w:rPr>
      </w:pPr>
    </w:p>
    <w:p w14:paraId="0D33B6C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1.征集供应商</w:t>
      </w:r>
    </w:p>
    <w:p w14:paraId="47AF21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邀请供应商。</w:t>
      </w:r>
    </w:p>
    <w:p w14:paraId="10E25EA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采用公告方式邀请供应商的</w:t>
      </w:r>
      <w:r>
        <w:rPr>
          <w:rFonts w:hint="eastAsia" w:ascii="宋体" w:hAnsi="宋体" w:eastAsia="宋体" w:cs="宋体"/>
          <w:color w:val="auto"/>
          <w:sz w:val="24"/>
          <w:szCs w:val="24"/>
          <w:highlight w:val="none"/>
        </w:rPr>
        <w:t>，由采购人、采购代理机构在省级以上人民政府财政部门指定的政府采购信息发布媒体上发布磋商公告，邀请符合相应资格条件的供应商参与竞争性磋商采购活动。</w:t>
      </w:r>
    </w:p>
    <w:p w14:paraId="48B7878F">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采用随机抽取方式邀请供应商的</w:t>
      </w:r>
      <w:r>
        <w:rPr>
          <w:rFonts w:hint="eastAsia" w:ascii="宋体" w:hAnsi="宋体" w:eastAsia="宋体" w:cs="宋体"/>
          <w:color w:val="auto"/>
          <w:sz w:val="24"/>
          <w:szCs w:val="24"/>
          <w:highlight w:val="none"/>
        </w:rPr>
        <w:t>，由采购人、采购代理机构从省级以上财政部门建立的供应商库中随机抽取不少于3 家符合相应资格条件的供应商参与竞争性磋商采购活动。</w:t>
      </w:r>
    </w:p>
    <w:p w14:paraId="65FB5B97">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0" w:hanging="42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采用书面推荐方式邀请供应商的</w:t>
      </w:r>
      <w:r>
        <w:rPr>
          <w:rFonts w:hint="eastAsia" w:ascii="宋体" w:hAnsi="宋体" w:eastAsia="宋体" w:cs="宋体"/>
          <w:color w:val="auto"/>
          <w:sz w:val="24"/>
          <w:szCs w:val="24"/>
          <w:highlight w:val="none"/>
        </w:rPr>
        <w:t>，由采购人和评审专家分别书面推荐不少于3家符合相应资格条件的供应商参与竞争性磋商采购活动。采取采购人和评审专家书面推荐方式选择供应商的，采购人和评审专家应当各自出具书面推荐意见。采购人推荐供应商的比例不得高于推荐供应商总数的50%。格式见附件</w:t>
      </w:r>
    </w:p>
    <w:p w14:paraId="45BE41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供应商获取磋商文件。</w:t>
      </w:r>
    </w:p>
    <w:p w14:paraId="2F1BF6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组织现场考察或召开答疑会（如果有）。</w:t>
      </w:r>
    </w:p>
    <w:p w14:paraId="0A7A21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发布更正（延期）公告，澄清或修改磋商文件（如果有）。</w:t>
      </w:r>
    </w:p>
    <w:p w14:paraId="36045F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供应商按磋商文件要求编制响应文件。</w:t>
      </w:r>
    </w:p>
    <w:p w14:paraId="78AAB1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2.响应文件开启与信用信息查询</w:t>
      </w:r>
    </w:p>
    <w:p w14:paraId="138A64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供应商依据“提交响应文件的截止时间与地点”通过政采云平台在线提交响应文件。供应商在提交响应文件的截止时间前，可以补充、修改或撤回响应文件。</w:t>
      </w:r>
    </w:p>
    <w:p w14:paraId="3B5B9B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采购代理机构将通过“信用中国”网站(www.creditchina.gov.cn)和中国政府采购网(www.ccgp.gov.cn)渠道查询供应商响应截止时间当日的信用记录。</w:t>
      </w:r>
    </w:p>
    <w:p w14:paraId="173FEE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3.磋商与评审</w:t>
      </w:r>
    </w:p>
    <w:p w14:paraId="75407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磋商小组签到。</w:t>
      </w:r>
    </w:p>
    <w:p w14:paraId="6945D8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采购代理机构宣布有关纪律以及磋商、评审工作程序。</w:t>
      </w:r>
    </w:p>
    <w:p w14:paraId="44C83C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 磋商小组审查确认磋商文件。磋商文件内容违反国家有关强制性规定的，磋商小组应当停止评审并向采购代理机构说明情况。</w:t>
      </w:r>
    </w:p>
    <w:p w14:paraId="3993E8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 磋商小组对供应商的资格进行审查。</w:t>
      </w:r>
    </w:p>
    <w:p w14:paraId="0D2F24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 磋商小组审查响应文件。</w:t>
      </w:r>
    </w:p>
    <w:p w14:paraId="3BD150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 对于未实质性响应磋商文件的响应文件由磋商小组认定响应无效，并告知该供</w:t>
      </w:r>
      <w:r>
        <w:rPr>
          <w:rFonts w:ascii="宋体" w:hAnsi="宋体" w:eastAsia="宋体" w:cs="宋体"/>
          <w:color w:val="auto"/>
          <w:sz w:val="24"/>
          <w:szCs w:val="24"/>
          <w:highlight w:val="none"/>
        </w:rPr>
        <w:t xml:space="preserve">应商。 </w:t>
      </w:r>
    </w:p>
    <w:p w14:paraId="2A208F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3.7 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58D0A6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3.8 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利用政采云平台发起磋商邀请，供应商通过政采云“在线评审室”进行远程视频磋商。供应商使用 CA 数字证书登录政采云平台——收到视频评审邀请——点击“视频评审”进入“视频评审系统”——开始远程磋商活动</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 xml:space="preserve">对于要求到采购代理机构现场进行磋商的供应商，可在采购代理机构办公场所通过视频会议系统或自备CA数字证书、笔记本电脑等开展磋商活动。 </w:t>
      </w:r>
    </w:p>
    <w:p w14:paraId="2C31B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3.9 经磋商确定磋商文件的变动情况。对磋商文件作出的实质性变动是磋商文件的有效组成部分，磋商小组应当及时以书面形式同时通知所有参加磋商的供应商。</w:t>
      </w:r>
    </w:p>
    <w:p w14:paraId="23CC63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w:t>
      </w:r>
      <w:r>
        <w:rPr>
          <w:rFonts w:ascii="宋体" w:hAnsi="宋体" w:eastAsia="宋体" w:cs="宋体"/>
          <w:b/>
          <w:bCs/>
          <w:color w:val="auto"/>
          <w:sz w:val="24"/>
          <w:szCs w:val="24"/>
          <w:highlight w:val="none"/>
        </w:rPr>
        <w:t>如供应商未按磋商小组的要求在规定的时间内提交最后报价的，视为退出磋商。</w:t>
      </w:r>
    </w:p>
    <w:p w14:paraId="5ABBFA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3.11 磋商小组按照下列方式确定提交最后报价的供应商，有特殊规定的从其规定：磋商文件能够详细列明采购标的的技术、服务要求的，磋商结束后，磋商小组应当要求所有实质性响应的供应商在规定时间内在电子交易平台提交最后报价，提交最后报价的供应商不得少于3家。磋商文件不能详细列明采购标的的技术、服务要求，需经磋商由供应商提供最终设计方案或解决方案的，磋商结束后，磋商小组应当按照少数服从多数的原则投票推荐3 家及以上供应商的设计方案或者解决方案，并要求其在规定时间内在电子交易平台提交最后报价。</w:t>
      </w:r>
    </w:p>
    <w:p w14:paraId="3D21D7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3.12 确定进入最后报价的供应商在规定时间内提交最后报价。</w:t>
      </w:r>
    </w:p>
    <w:p w14:paraId="464E467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3.13 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6C4E50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3.14 磋商小组应当根据综合评分情况，按照评审得分由高到低顺序推荐3名成交候选供应商，并编写评审报告。</w:t>
      </w:r>
    </w:p>
    <w:p w14:paraId="0ECB837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color w:val="auto"/>
          <w:sz w:val="24"/>
          <w:szCs w:val="24"/>
          <w:highlight w:val="none"/>
        </w:rPr>
      </w:pPr>
      <w:r>
        <w:rPr>
          <w:rFonts w:ascii="宋体" w:hAnsi="宋体" w:eastAsia="宋体" w:cs="宋体"/>
          <w:b/>
          <w:bCs/>
          <w:color w:val="auto"/>
          <w:sz w:val="24"/>
          <w:szCs w:val="24"/>
          <w:highlight w:val="none"/>
        </w:rPr>
        <w:t>4. 成交</w:t>
      </w:r>
      <w:r>
        <w:rPr>
          <w:rFonts w:ascii="宋体" w:hAnsi="宋体" w:eastAsia="宋体" w:cs="宋体"/>
          <w:color w:val="auto"/>
          <w:sz w:val="24"/>
          <w:szCs w:val="24"/>
          <w:highlight w:val="none"/>
        </w:rPr>
        <w:t xml:space="preserve"> </w:t>
      </w:r>
    </w:p>
    <w:p w14:paraId="0E7A3D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4.1 政府采购项目实行全流程电子化，评审报告送交、采购结果确定和结果公告均在线完成。采购代理机构应当依法及时将评审报告在线送交采购人确认。采购人应当在收到评审报告后</w:t>
      </w:r>
      <w:r>
        <w:rPr>
          <w:rFonts w:hint="eastAsia" w:ascii="宋体" w:hAnsi="宋体" w:eastAsia="宋体" w:cs="宋体"/>
          <w:color w:val="auto"/>
          <w:sz w:val="24"/>
          <w:szCs w:val="24"/>
          <w:highlight w:val="none"/>
          <w:lang w:val="en-US" w:eastAsia="zh-CN"/>
        </w:rPr>
        <w:t>5</w:t>
      </w:r>
      <w:r>
        <w:rPr>
          <w:rFonts w:ascii="宋体" w:hAnsi="宋体" w:eastAsia="宋体" w:cs="宋体"/>
          <w:color w:val="auto"/>
          <w:sz w:val="24"/>
          <w:szCs w:val="24"/>
          <w:highlight w:val="none"/>
        </w:rPr>
        <w:t xml:space="preserve">个工作日内，从评审报告提出的成交候选供应商中，按照排序由高到低的原则确定成交供应商，采购人也可以书面授权磋商小组直接确定成交供应商。 </w:t>
      </w:r>
    </w:p>
    <w:p w14:paraId="1B4B2A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4.2 采购代理机构在收到采购人对评审报告的确认意见和对成交供应商的确定结果后，应当在</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个工作日内，在新疆政府采购网（政采云）上公告成交结果，同时向成交供应商发出成交通知书，并将磋商文件随成交结果同时公告。</w:t>
      </w:r>
    </w:p>
    <w:p w14:paraId="446F321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ascii="宋体" w:hAnsi="宋体" w:eastAsia="宋体" w:cs="宋体"/>
          <w:b/>
          <w:bCs/>
          <w:color w:val="auto"/>
          <w:sz w:val="24"/>
          <w:szCs w:val="24"/>
          <w:highlight w:val="none"/>
        </w:rPr>
        <w:t xml:space="preserve">5.合同及履约验收 </w:t>
      </w:r>
    </w:p>
    <w:p w14:paraId="23574C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5.1 采购人与成交供应商应当在成交通知书发出之日起30日内签订政府采购合同。 </w:t>
      </w:r>
    </w:p>
    <w:p w14:paraId="1466D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5.2 成交供应商按照政策要求及合同约定缴纳履约保证金。 </w:t>
      </w:r>
    </w:p>
    <w:p w14:paraId="0323E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5.3 合同履约。 </w:t>
      </w:r>
    </w:p>
    <w:p w14:paraId="2BE73D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5.4 采购人组织验收。</w:t>
      </w:r>
    </w:p>
    <w:p w14:paraId="603BA33E">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348ED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6.竞争性磋商流程图</w:t>
      </w:r>
    </w:p>
    <w:p w14:paraId="104099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inline distT="0" distB="0" distL="114300" distR="114300">
            <wp:extent cx="1997710" cy="7884795"/>
            <wp:effectExtent l="0" t="0" r="2540" b="1905"/>
            <wp:docPr id="8" name="图片 8" descr="exported_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exported_image"/>
                    <pic:cNvPicPr>
                      <a:picLocks noChangeAspect="1"/>
                    </pic:cNvPicPr>
                  </pic:nvPicPr>
                  <pic:blipFill>
                    <a:blip r:embed="rId5"/>
                    <a:stretch>
                      <a:fillRect/>
                    </a:stretch>
                  </pic:blipFill>
                  <pic:spPr>
                    <a:xfrm>
                      <a:off x="0" y="0"/>
                      <a:ext cx="1997710" cy="7884795"/>
                    </a:xfrm>
                    <a:prstGeom prst="rect">
                      <a:avLst/>
                    </a:prstGeom>
                  </pic:spPr>
                </pic:pic>
              </a:graphicData>
            </a:graphic>
          </wp:inline>
        </w:drawing>
      </w:r>
    </w:p>
    <w:p w14:paraId="23A55D25">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65DF04FD">
      <w:pPr>
        <w:numPr>
          <w:ilvl w:val="0"/>
          <w:numId w:val="0"/>
        </w:numPr>
        <w:bidi w:val="0"/>
        <w:jc w:val="center"/>
        <w:outlineLvl w:val="0"/>
        <w:rPr>
          <w:rFonts w:hint="eastAsia" w:ascii="宋体" w:hAnsi="宋体" w:eastAsia="宋体"/>
          <w:color w:val="auto"/>
          <w:sz w:val="36"/>
          <w:szCs w:val="24"/>
          <w:highlight w:val="none"/>
        </w:rPr>
      </w:pPr>
      <w:bookmarkStart w:id="2" w:name="_Toc29319"/>
      <w:r>
        <w:rPr>
          <w:rFonts w:hint="eastAsia" w:ascii="宋体" w:hAnsi="宋体" w:eastAsia="宋体" w:cstheme="minorBidi"/>
          <w:color w:val="auto"/>
          <w:kern w:val="2"/>
          <w:sz w:val="36"/>
          <w:szCs w:val="24"/>
          <w:highlight w:val="none"/>
          <w:lang w:val="en-US" w:eastAsia="zh-CN" w:bidi="ar-SA"/>
        </w:rPr>
        <w:t xml:space="preserve">第三部分 </w:t>
      </w:r>
      <w:r>
        <w:rPr>
          <w:rFonts w:hint="eastAsia" w:ascii="宋体" w:hAnsi="宋体" w:eastAsia="宋体"/>
          <w:color w:val="auto"/>
          <w:sz w:val="36"/>
          <w:szCs w:val="24"/>
          <w:highlight w:val="none"/>
        </w:rPr>
        <w:t>供应商须知</w:t>
      </w:r>
      <w:bookmarkEnd w:id="2"/>
      <w:r>
        <w:rPr>
          <w:rFonts w:hint="eastAsia" w:ascii="宋体" w:hAnsi="宋体" w:eastAsia="宋体"/>
          <w:color w:val="auto"/>
          <w:sz w:val="36"/>
          <w:szCs w:val="24"/>
          <w:highlight w:val="none"/>
        </w:rPr>
        <w:t xml:space="preserve"> </w:t>
      </w:r>
    </w:p>
    <w:p w14:paraId="62FC2A1C">
      <w:pPr>
        <w:numPr>
          <w:ilvl w:val="0"/>
          <w:numId w:val="0"/>
        </w:numPr>
        <w:bidi w:val="0"/>
        <w:jc w:val="center"/>
        <w:outlineLvl w:val="1"/>
        <w:rPr>
          <w:rFonts w:hint="eastAsia" w:ascii="宋体" w:hAnsi="宋体" w:eastAsia="宋体"/>
          <w:color w:val="auto"/>
          <w:sz w:val="32"/>
          <w:szCs w:val="22"/>
          <w:highlight w:val="none"/>
          <w:lang w:val="en-US" w:eastAsia="zh-CN"/>
        </w:rPr>
      </w:pPr>
      <w:bookmarkStart w:id="3" w:name="_Toc5472"/>
      <w:r>
        <w:rPr>
          <w:rFonts w:hint="eastAsia" w:ascii="宋体" w:hAnsi="宋体" w:eastAsia="宋体"/>
          <w:color w:val="auto"/>
          <w:sz w:val="32"/>
          <w:szCs w:val="22"/>
          <w:highlight w:val="none"/>
        </w:rPr>
        <w:t>一、供应商须知前附表</w:t>
      </w:r>
      <w:bookmarkEnd w:id="3"/>
    </w:p>
    <w:p w14:paraId="321325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注：本表是本项目的具体要求，是对供应商须知的具体补充和修改，如有不一致，以本表为准。</w:t>
      </w:r>
    </w:p>
    <w:tbl>
      <w:tblPr>
        <w:tblStyle w:val="1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820"/>
        <w:gridCol w:w="7469"/>
      </w:tblGrid>
      <w:tr w14:paraId="290D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2ACDFDA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条款号</w:t>
            </w:r>
          </w:p>
        </w:tc>
        <w:tc>
          <w:tcPr>
            <w:tcW w:w="1820" w:type="dxa"/>
            <w:vAlign w:val="center"/>
          </w:tcPr>
          <w:p w14:paraId="2FD4333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条款名称</w:t>
            </w:r>
          </w:p>
        </w:tc>
        <w:tc>
          <w:tcPr>
            <w:tcW w:w="7469" w:type="dxa"/>
            <w:vAlign w:val="center"/>
          </w:tcPr>
          <w:p w14:paraId="5ED2CB3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内容、说明与要求</w:t>
            </w:r>
          </w:p>
        </w:tc>
      </w:tr>
      <w:tr w14:paraId="4854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3" w:type="dxa"/>
            <w:gridSpan w:val="2"/>
            <w:vAlign w:val="center"/>
          </w:tcPr>
          <w:p w14:paraId="335E15A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项目属性</w:t>
            </w:r>
          </w:p>
        </w:tc>
        <w:tc>
          <w:tcPr>
            <w:tcW w:w="7469" w:type="dxa"/>
            <w:vAlign w:val="center"/>
          </w:tcPr>
          <w:p w14:paraId="09B0B6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（1）项目属性：服务</w:t>
            </w:r>
          </w:p>
          <w:p w14:paraId="3E1857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（2）采购标的及其对应的中小企业划分标准所属行业：</w:t>
            </w:r>
            <w:r>
              <w:rPr>
                <w:rFonts w:hint="eastAsia" w:ascii="宋体" w:hAnsi="宋体" w:eastAsia="宋体" w:cs="宋体"/>
                <w:b/>
                <w:bCs/>
                <w:color w:val="auto"/>
                <w:sz w:val="24"/>
                <w:szCs w:val="24"/>
                <w:highlight w:val="none"/>
                <w:vertAlign w:val="baseline"/>
                <w:lang w:val="en-US" w:eastAsia="zh-CN"/>
              </w:rPr>
              <w:t>其他未列明行业</w:t>
            </w:r>
          </w:p>
          <w:p w14:paraId="2301BC2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中小微企业划分标准：从业人员300人以下的为中小微型企业。其中，从业人员100人及以上的为中型企业；从业人员10人及以上的为小型企业；从业人员10人以下的为微型企业。</w:t>
            </w:r>
          </w:p>
        </w:tc>
      </w:tr>
      <w:tr w14:paraId="136D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09311B8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820" w:type="dxa"/>
            <w:vAlign w:val="center"/>
          </w:tcPr>
          <w:p w14:paraId="62A80C9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rPr>
              <w:t>采购人</w:t>
            </w:r>
          </w:p>
        </w:tc>
        <w:tc>
          <w:tcPr>
            <w:tcW w:w="7469" w:type="dxa"/>
            <w:vAlign w:val="center"/>
          </w:tcPr>
          <w:p w14:paraId="75634C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名称：中华人民共和国新疆出入境边防检查总站</w:t>
            </w:r>
          </w:p>
          <w:p w14:paraId="399312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地址：新疆乌鲁木齐市天山区团结路1551号</w:t>
            </w:r>
          </w:p>
          <w:p w14:paraId="70D512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联系人：李警官</w:t>
            </w:r>
          </w:p>
          <w:p w14:paraId="066523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联系方式：0991-8512143</w:t>
            </w:r>
          </w:p>
        </w:tc>
      </w:tr>
      <w:tr w14:paraId="6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362EB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820" w:type="dxa"/>
            <w:vAlign w:val="center"/>
          </w:tcPr>
          <w:p w14:paraId="2E9C35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7469" w:type="dxa"/>
            <w:vAlign w:val="center"/>
          </w:tcPr>
          <w:p w14:paraId="73CA761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highlight w:val="none"/>
                <w:shd w:val="clear" w:color="auto" w:fill="auto"/>
                <w:lang w:eastAsia="zh-CN"/>
              </w:rPr>
            </w:pPr>
            <w:r>
              <w:rPr>
                <w:rFonts w:hint="eastAsia" w:ascii="宋体" w:hAnsi="宋体" w:eastAsia="宋体" w:cs="宋体"/>
                <w:color w:val="auto"/>
                <w:sz w:val="24"/>
                <w:highlight w:val="none"/>
                <w:shd w:val="clear" w:color="auto" w:fill="auto"/>
              </w:rPr>
              <w:t>名 称：</w:t>
            </w:r>
            <w:r>
              <w:rPr>
                <w:rFonts w:hint="eastAsia" w:ascii="宋体" w:hAnsi="宋体" w:eastAsia="宋体" w:cs="宋体"/>
                <w:color w:val="auto"/>
                <w:sz w:val="24"/>
                <w:highlight w:val="none"/>
                <w:shd w:val="clear" w:color="auto" w:fill="auto"/>
                <w:lang w:eastAsia="zh-CN"/>
              </w:rPr>
              <w:t>新疆君凯杰工程项目管理有限公司</w:t>
            </w:r>
          </w:p>
          <w:p w14:paraId="5A34296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highlight w:val="none"/>
                <w:shd w:val="clear" w:color="auto" w:fill="auto"/>
              </w:rPr>
            </w:pPr>
            <w:r>
              <w:rPr>
                <w:rFonts w:hint="eastAsia" w:ascii="宋体" w:hAnsi="宋体" w:eastAsia="宋体" w:cs="宋体"/>
                <w:color w:val="auto"/>
                <w:sz w:val="24"/>
                <w:highlight w:val="none"/>
                <w:shd w:val="clear" w:color="auto" w:fill="auto"/>
              </w:rPr>
              <w:t>地 址：</w:t>
            </w:r>
            <w:r>
              <w:rPr>
                <w:rFonts w:hint="eastAsia" w:ascii="宋体" w:hAnsi="宋体" w:eastAsia="宋体" w:cs="宋体"/>
                <w:color w:val="auto"/>
                <w:spacing w:val="0"/>
                <w:w w:val="100"/>
                <w:sz w:val="24"/>
                <w:szCs w:val="24"/>
                <w:highlight w:val="none"/>
                <w:lang w:val="en-US" w:eastAsia="zh-CN" w:bidi="ar-SA"/>
              </w:rPr>
              <w:t>乌鲁木齐市会展大道1119号大成尔雅A座807室</w:t>
            </w:r>
          </w:p>
          <w:p w14:paraId="7A44A4C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联系人：陈晨</w:t>
            </w:r>
          </w:p>
          <w:p w14:paraId="518F86C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highlight w:val="none"/>
                <w:shd w:val="clear" w:color="auto" w:fill="auto"/>
              </w:rPr>
              <w:t>电 话：</w:t>
            </w:r>
            <w:r>
              <w:rPr>
                <w:rFonts w:hint="eastAsia" w:ascii="宋体" w:hAnsi="宋体" w:eastAsia="宋体" w:cs="宋体"/>
                <w:color w:val="auto"/>
                <w:spacing w:val="0"/>
                <w:w w:val="100"/>
                <w:sz w:val="24"/>
                <w:szCs w:val="24"/>
                <w:highlight w:val="none"/>
                <w:lang w:val="en-US" w:eastAsia="zh-CN" w:bidi="ar-SA"/>
              </w:rPr>
              <w:t>13201097601</w:t>
            </w:r>
          </w:p>
        </w:tc>
      </w:tr>
      <w:tr w14:paraId="1950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94B97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1820" w:type="dxa"/>
            <w:vAlign w:val="center"/>
          </w:tcPr>
          <w:p w14:paraId="0E5C0A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采购项目名称</w:t>
            </w:r>
          </w:p>
        </w:tc>
        <w:tc>
          <w:tcPr>
            <w:tcW w:w="7469" w:type="dxa"/>
            <w:vAlign w:val="center"/>
          </w:tcPr>
          <w:p w14:paraId="0BDCD89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0"/>
                <w:w w:val="100"/>
                <w:sz w:val="24"/>
                <w:szCs w:val="24"/>
                <w:highlight w:val="none"/>
                <w:lang w:val="en-US" w:eastAsia="zh-CN" w:bidi="ar-SA"/>
              </w:rPr>
            </w:pPr>
            <w:r>
              <w:rPr>
                <w:rFonts w:hint="eastAsia" w:ascii="宋体" w:hAnsi="宋体" w:eastAsia="宋体" w:cs="宋体"/>
                <w:color w:val="auto"/>
                <w:spacing w:val="0"/>
                <w:w w:val="100"/>
                <w:sz w:val="24"/>
                <w:szCs w:val="24"/>
                <w:highlight w:val="none"/>
                <w:lang w:val="en-US" w:eastAsia="zh-CN" w:bidi="ar-SA"/>
              </w:rPr>
              <w:t>中华人民共和国新疆出入境边防检查总站全过程预算绩效管理服务采购项目</w:t>
            </w:r>
          </w:p>
        </w:tc>
      </w:tr>
      <w:tr w14:paraId="2F53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7A8D7D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1820" w:type="dxa"/>
            <w:vAlign w:val="center"/>
          </w:tcPr>
          <w:p w14:paraId="7ED5B8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rPr>
            </w:pPr>
            <w:r>
              <w:rPr>
                <w:rFonts w:ascii="宋体" w:hAnsi="宋体" w:eastAsia="宋体" w:cs="宋体"/>
                <w:color w:val="auto"/>
                <w:sz w:val="24"/>
                <w:szCs w:val="24"/>
                <w:highlight w:val="none"/>
              </w:rPr>
              <w:t>采购项目编号</w:t>
            </w:r>
          </w:p>
        </w:tc>
        <w:tc>
          <w:tcPr>
            <w:tcW w:w="7469" w:type="dxa"/>
            <w:vAlign w:val="center"/>
          </w:tcPr>
          <w:p w14:paraId="3A3948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0"/>
                <w:w w:val="100"/>
                <w:sz w:val="24"/>
                <w:szCs w:val="24"/>
                <w:highlight w:val="none"/>
                <w:lang w:val="en-US" w:eastAsia="zh-CN" w:bidi="ar-SA"/>
              </w:rPr>
            </w:pPr>
            <w:r>
              <w:rPr>
                <w:rFonts w:hint="eastAsia" w:ascii="宋体" w:hAnsi="宋体" w:eastAsia="宋体" w:cs="宋体"/>
                <w:color w:val="auto"/>
                <w:spacing w:val="0"/>
                <w:w w:val="100"/>
                <w:sz w:val="24"/>
                <w:szCs w:val="24"/>
                <w:highlight w:val="none"/>
                <w:lang w:val="en-US" w:eastAsia="zh-CN" w:bidi="ar-SA"/>
              </w:rPr>
              <w:t>2026（JKJ）188</w:t>
            </w:r>
          </w:p>
        </w:tc>
      </w:tr>
      <w:tr w14:paraId="71CD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5512C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1820" w:type="dxa"/>
            <w:vAlign w:val="center"/>
          </w:tcPr>
          <w:p w14:paraId="753888A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标项划分</w:t>
            </w:r>
          </w:p>
        </w:tc>
        <w:tc>
          <w:tcPr>
            <w:tcW w:w="7469" w:type="dxa"/>
            <w:vAlign w:val="center"/>
          </w:tcPr>
          <w:p w14:paraId="651D898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auto"/>
                <w:spacing w:val="0"/>
                <w:w w:val="100"/>
                <w:sz w:val="24"/>
                <w:szCs w:val="24"/>
                <w:highlight w:val="none"/>
                <w:lang w:val="en-US" w:eastAsia="zh-CN" w:bidi="ar-SA"/>
              </w:rPr>
            </w:pPr>
            <w:r>
              <w:rPr>
                <w:rFonts w:hint="eastAsia" w:ascii="宋体" w:hAnsi="宋体" w:eastAsia="宋体" w:cs="宋体"/>
                <w:color w:val="auto"/>
                <w:spacing w:val="0"/>
                <w:w w:val="100"/>
                <w:sz w:val="24"/>
                <w:szCs w:val="24"/>
                <w:highlight w:val="none"/>
                <w:lang w:val="en-US" w:eastAsia="zh-CN" w:bidi="ar-SA"/>
              </w:rPr>
              <w:t>不分包</w:t>
            </w:r>
          </w:p>
        </w:tc>
      </w:tr>
      <w:tr w14:paraId="482A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78ECE63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1820" w:type="dxa"/>
            <w:vAlign w:val="center"/>
          </w:tcPr>
          <w:p w14:paraId="7C667D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采购内容</w:t>
            </w:r>
          </w:p>
        </w:tc>
        <w:tc>
          <w:tcPr>
            <w:tcW w:w="7469" w:type="dxa"/>
            <w:vAlign w:val="center"/>
          </w:tcPr>
          <w:p w14:paraId="5B70CE2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0"/>
                <w:w w:val="100"/>
                <w:sz w:val="24"/>
                <w:szCs w:val="24"/>
                <w:highlight w:val="none"/>
                <w:lang w:val="en-US" w:eastAsia="zh-CN" w:bidi="ar-SA"/>
              </w:rPr>
            </w:pPr>
            <w:r>
              <w:rPr>
                <w:rFonts w:hint="eastAsia" w:ascii="宋体" w:hAnsi="宋体" w:eastAsia="宋体" w:cs="宋体"/>
                <w:color w:val="auto"/>
                <w:spacing w:val="0"/>
                <w:w w:val="100"/>
                <w:sz w:val="24"/>
                <w:szCs w:val="24"/>
                <w:highlight w:val="none"/>
                <w:lang w:val="en-US" w:eastAsia="zh-CN" w:bidi="ar-SA"/>
              </w:rPr>
              <w:t>为落实全面预算绩效管理工作，提高财政资金使用效益，总站计划开展年度全过程预算绩效管理工作，主要包括</w:t>
            </w:r>
            <w:r>
              <w:rPr>
                <w:rFonts w:hint="eastAsia" w:ascii="宋体" w:hAnsi="宋体" w:eastAsia="宋体" w:cs="宋体"/>
                <w:color w:val="auto"/>
                <w:kern w:val="0"/>
                <w:sz w:val="24"/>
                <w:szCs w:val="24"/>
                <w:highlight w:val="none"/>
                <w:shd w:val="clear" w:color="auto" w:fill="auto"/>
                <w:lang w:val="en-US" w:eastAsia="zh-CN" w:bidi="ar-SA"/>
              </w:rPr>
              <w:t>项目入库评审、绩效监控复核、绩效自评复核等</w:t>
            </w:r>
            <w:r>
              <w:rPr>
                <w:rFonts w:hint="eastAsia" w:ascii="宋体" w:hAnsi="宋体" w:eastAsia="宋体" w:cs="宋体"/>
                <w:color w:val="auto"/>
                <w:spacing w:val="0"/>
                <w:w w:val="100"/>
                <w:sz w:val="24"/>
                <w:szCs w:val="24"/>
                <w:highlight w:val="none"/>
                <w:lang w:val="en-US" w:eastAsia="zh-CN" w:bidi="ar-SA"/>
              </w:rPr>
              <w:t>（具体需求详见磋商文件第四部分采购需求）。</w:t>
            </w:r>
          </w:p>
        </w:tc>
      </w:tr>
      <w:tr w14:paraId="181DC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715A61B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1820" w:type="dxa"/>
            <w:vAlign w:val="center"/>
          </w:tcPr>
          <w:p w14:paraId="4CE94CD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资金来源</w:t>
            </w:r>
          </w:p>
        </w:tc>
        <w:tc>
          <w:tcPr>
            <w:tcW w:w="7469" w:type="dxa"/>
            <w:vAlign w:val="center"/>
          </w:tcPr>
          <w:p w14:paraId="2B61DD7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auto"/>
                <w:spacing w:val="0"/>
                <w:w w:val="100"/>
                <w:sz w:val="24"/>
                <w:szCs w:val="24"/>
                <w:highlight w:val="none"/>
                <w:lang w:val="en-US" w:eastAsia="zh-CN" w:bidi="ar-SA"/>
              </w:rPr>
            </w:pPr>
            <w:r>
              <w:rPr>
                <w:rFonts w:hint="eastAsia" w:ascii="宋体" w:hAnsi="宋体" w:eastAsia="宋体" w:cs="宋体"/>
                <w:color w:val="auto"/>
                <w:spacing w:val="0"/>
                <w:w w:val="100"/>
                <w:sz w:val="24"/>
                <w:szCs w:val="24"/>
                <w:highlight w:val="none"/>
                <w:lang w:val="en-US" w:eastAsia="zh-CN" w:bidi="ar-SA"/>
              </w:rPr>
              <w:t>财政资金</w:t>
            </w:r>
          </w:p>
        </w:tc>
      </w:tr>
      <w:tr w14:paraId="637B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77E7D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1820" w:type="dxa"/>
            <w:vAlign w:val="center"/>
          </w:tcPr>
          <w:p w14:paraId="69DC6F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预算金额</w:t>
            </w:r>
          </w:p>
        </w:tc>
        <w:tc>
          <w:tcPr>
            <w:tcW w:w="7469" w:type="dxa"/>
            <w:vAlign w:val="center"/>
          </w:tcPr>
          <w:p w14:paraId="17759B7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0"/>
                <w:w w:val="100"/>
                <w:sz w:val="24"/>
                <w:szCs w:val="24"/>
                <w:highlight w:val="none"/>
                <w:lang w:val="en-US" w:eastAsia="zh-CN" w:bidi="ar-SA"/>
              </w:rPr>
            </w:pPr>
            <w:r>
              <w:rPr>
                <w:rFonts w:hint="eastAsia" w:ascii="宋体" w:hAnsi="宋体" w:eastAsia="宋体" w:cs="宋体"/>
                <w:color w:val="auto"/>
                <w:spacing w:val="0"/>
                <w:w w:val="100"/>
                <w:sz w:val="24"/>
                <w:szCs w:val="24"/>
                <w:highlight w:val="none"/>
                <w:lang w:val="en-US" w:eastAsia="zh-CN" w:bidi="ar-SA"/>
              </w:rPr>
              <w:t>430000.00元/年（肆拾叁万元整）</w:t>
            </w:r>
          </w:p>
        </w:tc>
      </w:tr>
      <w:tr w14:paraId="13CE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0FB79E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1820" w:type="dxa"/>
            <w:vAlign w:val="center"/>
          </w:tcPr>
          <w:p w14:paraId="7CC2607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最高限价</w:t>
            </w:r>
          </w:p>
        </w:tc>
        <w:tc>
          <w:tcPr>
            <w:tcW w:w="7469" w:type="dxa"/>
            <w:vAlign w:val="center"/>
          </w:tcPr>
          <w:p w14:paraId="02277A5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0"/>
                <w:w w:val="100"/>
                <w:sz w:val="24"/>
                <w:szCs w:val="24"/>
                <w:highlight w:val="none"/>
                <w:lang w:val="en-US" w:eastAsia="zh-CN" w:bidi="ar-SA"/>
              </w:rPr>
            </w:pPr>
            <w:r>
              <w:rPr>
                <w:rFonts w:hint="eastAsia" w:ascii="宋体" w:hAnsi="宋体" w:eastAsia="宋体" w:cs="宋体"/>
                <w:color w:val="auto"/>
                <w:spacing w:val="0"/>
                <w:w w:val="100"/>
                <w:sz w:val="24"/>
                <w:szCs w:val="24"/>
                <w:highlight w:val="none"/>
                <w:lang w:val="en-US" w:eastAsia="zh-CN" w:bidi="ar-SA"/>
              </w:rPr>
              <w:t>430000.00元/年（肆拾叁万元整）</w:t>
            </w:r>
          </w:p>
          <w:p w14:paraId="48B1495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color w:val="auto"/>
                <w:highlight w:val="none"/>
                <w:lang w:val="en-US" w:eastAsia="zh-CN"/>
              </w:rPr>
            </w:pPr>
            <w:r>
              <w:rPr>
                <w:rFonts w:hint="eastAsia" w:ascii="宋体" w:hAnsi="宋体" w:eastAsia="宋体" w:cs="宋体"/>
                <w:color w:val="auto"/>
                <w:spacing w:val="0"/>
                <w:w w:val="100"/>
                <w:sz w:val="24"/>
                <w:szCs w:val="24"/>
                <w:highlight w:val="none"/>
                <w:lang w:val="en-US" w:eastAsia="zh-CN" w:bidi="ar-SA"/>
              </w:rPr>
              <w:t>备注：投标报价不得超过最高限价</w:t>
            </w:r>
            <w:r>
              <w:rPr>
                <w:rFonts w:ascii="宋体" w:hAnsi="宋体" w:eastAsia="宋体" w:cs="宋体"/>
                <w:color w:val="auto"/>
                <w:sz w:val="24"/>
                <w:szCs w:val="24"/>
                <w:highlight w:val="none"/>
              </w:rPr>
              <w:t>，超过最高限价的按无效投标处理。</w:t>
            </w:r>
          </w:p>
        </w:tc>
      </w:tr>
      <w:tr w14:paraId="34F3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1C3B296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1820" w:type="dxa"/>
            <w:vAlign w:val="center"/>
          </w:tcPr>
          <w:p w14:paraId="4544548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是否为专门面向中小企业采购</w:t>
            </w:r>
          </w:p>
        </w:tc>
        <w:tc>
          <w:tcPr>
            <w:tcW w:w="7469" w:type="dxa"/>
            <w:vAlign w:val="center"/>
          </w:tcPr>
          <w:p w14:paraId="7C02D97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是。专门面向</w:t>
            </w:r>
            <w:r>
              <w:rPr>
                <w:rFonts w:hint="eastAsia" w:ascii="宋体" w:hAnsi="宋体" w:eastAsia="宋体" w:cs="宋体"/>
                <w:color w:val="auto"/>
                <w:sz w:val="24"/>
                <w:szCs w:val="24"/>
                <w:highlight w:val="none"/>
                <w:lang w:val="en-US" w:eastAsia="zh-CN"/>
              </w:rPr>
              <w:t>中</w:t>
            </w:r>
            <w:r>
              <w:rPr>
                <w:rFonts w:ascii="宋体" w:hAnsi="宋体" w:eastAsia="宋体" w:cs="宋体"/>
                <w:color w:val="auto"/>
                <w:sz w:val="24"/>
                <w:szCs w:val="24"/>
                <w:highlight w:val="none"/>
              </w:rPr>
              <w:t xml:space="preserve">小微企业采购的项目或者采购包，不再执行价格评审优惠的扶持政策。 </w:t>
            </w:r>
          </w:p>
          <w:p w14:paraId="23957AA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A8"/>
            </w:r>
            <w:r>
              <w:rPr>
                <w:rFonts w:ascii="宋体" w:hAnsi="宋体" w:eastAsia="宋体" w:cs="宋体"/>
                <w:color w:val="auto"/>
                <w:sz w:val="24"/>
                <w:szCs w:val="24"/>
                <w:highlight w:val="none"/>
              </w:rPr>
              <w:t xml:space="preserve">否。非专门面向中小企业采购项目适用 </w:t>
            </w:r>
          </w:p>
          <w:p w14:paraId="51692329">
            <w:pPr>
              <w:keepNext w:val="0"/>
              <w:keepLines w:val="0"/>
              <w:pageBreakBefore w:val="0"/>
              <w:widowControl w:val="0"/>
              <w:numPr>
                <w:ilvl w:val="0"/>
                <w:numId w:val="2"/>
              </w:numPr>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小型和微型企业价格扣除：10%。 </w:t>
            </w:r>
          </w:p>
          <w:p w14:paraId="24D427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0"/>
                <w:w w:val="100"/>
                <w:sz w:val="24"/>
                <w:szCs w:val="24"/>
                <w:highlight w:val="none"/>
                <w:lang w:val="en-US" w:eastAsia="zh-CN" w:bidi="ar-SA"/>
              </w:rPr>
            </w:pPr>
            <w:r>
              <w:rPr>
                <w:rFonts w:ascii="宋体" w:hAnsi="宋体" w:eastAsia="宋体" w:cs="宋体"/>
                <w:color w:val="auto"/>
                <w:sz w:val="24"/>
                <w:szCs w:val="24"/>
                <w:highlight w:val="none"/>
              </w:rPr>
              <w:t xml:space="preserve">（2）监狱企业价格扣除：同小型和微型企业。 </w:t>
            </w:r>
          </w:p>
          <w:p w14:paraId="2E2B5A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0"/>
                <w:w w:val="100"/>
                <w:sz w:val="24"/>
                <w:szCs w:val="24"/>
                <w:highlight w:val="none"/>
                <w:lang w:val="en-US" w:eastAsia="zh-CN" w:bidi="ar-SA"/>
              </w:rPr>
            </w:pPr>
            <w:r>
              <w:rPr>
                <w:rFonts w:ascii="宋体" w:hAnsi="宋体" w:eastAsia="宋体" w:cs="宋体"/>
                <w:color w:val="auto"/>
                <w:sz w:val="24"/>
                <w:szCs w:val="24"/>
                <w:highlight w:val="none"/>
              </w:rPr>
              <w:t>（3）残疾人福利性单位价格扣除：同小型和微型企业。</w:t>
            </w:r>
          </w:p>
        </w:tc>
      </w:tr>
      <w:tr w14:paraId="6C04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1CE9D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11</w:t>
            </w:r>
          </w:p>
        </w:tc>
        <w:tc>
          <w:tcPr>
            <w:tcW w:w="1820" w:type="dxa"/>
            <w:vAlign w:val="center"/>
          </w:tcPr>
          <w:p w14:paraId="5C0165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是</w:t>
            </w:r>
            <w:r>
              <w:rPr>
                <w:rFonts w:ascii="宋体" w:hAnsi="宋体" w:eastAsia="宋体" w:cs="宋体"/>
                <w:color w:val="auto"/>
                <w:sz w:val="24"/>
                <w:szCs w:val="24"/>
                <w:highlight w:val="none"/>
              </w:rPr>
              <w:t>否允许联合体投</w:t>
            </w:r>
          </w:p>
        </w:tc>
        <w:tc>
          <w:tcPr>
            <w:tcW w:w="7469" w:type="dxa"/>
            <w:vAlign w:val="center"/>
          </w:tcPr>
          <w:p w14:paraId="1F308B5A">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0"/>
                <w:w w:val="100"/>
                <w:sz w:val="24"/>
                <w:szCs w:val="24"/>
                <w:highlight w:val="none"/>
                <w:lang w:val="en-US" w:eastAsia="zh-CN" w:bidi="ar-SA"/>
              </w:rPr>
            </w:pPr>
            <w:r>
              <w:rPr>
                <w:rFonts w:ascii="宋体" w:hAnsi="宋体" w:eastAsia="宋体" w:cs="宋体"/>
                <w:color w:val="auto"/>
                <w:sz w:val="24"/>
                <w:szCs w:val="24"/>
                <w:highlight w:val="none"/>
              </w:rPr>
              <w:sym w:font="Wingdings" w:char="00A8"/>
            </w:r>
            <w:r>
              <w:rPr>
                <w:rFonts w:ascii="宋体" w:hAnsi="宋体" w:eastAsia="宋体" w:cs="宋体"/>
                <w:color w:val="auto"/>
                <w:sz w:val="24"/>
                <w:szCs w:val="24"/>
                <w:highlight w:val="none"/>
              </w:rPr>
              <w:t>是</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否</w:t>
            </w:r>
          </w:p>
        </w:tc>
      </w:tr>
      <w:tr w14:paraId="5889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009A281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12</w:t>
            </w:r>
          </w:p>
        </w:tc>
        <w:tc>
          <w:tcPr>
            <w:tcW w:w="1820" w:type="dxa"/>
            <w:vAlign w:val="center"/>
          </w:tcPr>
          <w:p w14:paraId="0FE7AC1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现场考察</w:t>
            </w:r>
          </w:p>
        </w:tc>
        <w:tc>
          <w:tcPr>
            <w:tcW w:w="7469" w:type="dxa"/>
            <w:vAlign w:val="center"/>
          </w:tcPr>
          <w:p w14:paraId="4A3FB6A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不组织，自行考察 </w:t>
            </w:r>
          </w:p>
          <w:p w14:paraId="240B180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A8"/>
            </w:r>
            <w:r>
              <w:rPr>
                <w:rFonts w:ascii="宋体" w:hAnsi="宋体" w:eastAsia="宋体" w:cs="宋体"/>
                <w:color w:val="auto"/>
                <w:sz w:val="24"/>
                <w:szCs w:val="24"/>
                <w:highlight w:val="none"/>
              </w:rPr>
              <w:t xml:space="preserve">统一组织 </w:t>
            </w:r>
          </w:p>
          <w:p w14:paraId="7BB09A2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 xml:space="preserve">分 </w:t>
            </w:r>
          </w:p>
          <w:p w14:paraId="5598B18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地点： </w:t>
            </w:r>
          </w:p>
          <w:p w14:paraId="1B1B475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现场考察联系人及联系电话： </w:t>
            </w:r>
          </w:p>
          <w:p w14:paraId="50322ED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pacing w:val="0"/>
                <w:w w:val="100"/>
                <w:sz w:val="24"/>
                <w:szCs w:val="24"/>
                <w:highlight w:val="none"/>
                <w:lang w:val="en-US" w:eastAsia="zh-CN" w:bidi="ar-SA"/>
              </w:rPr>
            </w:pPr>
            <w:r>
              <w:rPr>
                <w:rFonts w:ascii="宋体" w:hAnsi="宋体" w:eastAsia="宋体" w:cs="宋体"/>
                <w:color w:val="auto"/>
                <w:sz w:val="24"/>
                <w:szCs w:val="24"/>
                <w:highlight w:val="none"/>
              </w:rPr>
              <w:t>备注：如供应商未参加采购人统一组织的现场考察，视同放弃现 场考察，由此引起的一切责任由供应商自行承担。</w:t>
            </w:r>
          </w:p>
        </w:tc>
      </w:tr>
      <w:tr w14:paraId="793D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C9679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13</w:t>
            </w:r>
          </w:p>
        </w:tc>
        <w:tc>
          <w:tcPr>
            <w:tcW w:w="1820" w:type="dxa"/>
            <w:vAlign w:val="center"/>
          </w:tcPr>
          <w:p w14:paraId="64B0D1C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竞争性磋商文件领 取时间及方式</w:t>
            </w:r>
          </w:p>
        </w:tc>
        <w:tc>
          <w:tcPr>
            <w:tcW w:w="7469" w:type="dxa"/>
            <w:vAlign w:val="center"/>
          </w:tcPr>
          <w:p w14:paraId="3613A84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详</w:t>
            </w:r>
            <w:r>
              <w:rPr>
                <w:rFonts w:ascii="宋体" w:hAnsi="宋体" w:eastAsia="宋体" w:cs="宋体"/>
                <w:color w:val="auto"/>
                <w:sz w:val="24"/>
                <w:szCs w:val="24"/>
                <w:highlight w:val="none"/>
              </w:rPr>
              <w:t>见供应商邀请</w:t>
            </w:r>
          </w:p>
        </w:tc>
      </w:tr>
      <w:tr w14:paraId="7CCE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F8A3A1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14</w:t>
            </w:r>
          </w:p>
        </w:tc>
        <w:tc>
          <w:tcPr>
            <w:tcW w:w="1820" w:type="dxa"/>
            <w:vAlign w:val="center"/>
          </w:tcPr>
          <w:p w14:paraId="20FC7C2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竞争性磋商文件澄 清或修改时间、形式</w:t>
            </w:r>
          </w:p>
        </w:tc>
        <w:tc>
          <w:tcPr>
            <w:tcW w:w="7469" w:type="dxa"/>
            <w:vAlign w:val="center"/>
          </w:tcPr>
          <w:p w14:paraId="69C0B7B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时间：递交响应文件截</w:t>
            </w:r>
            <w:r>
              <w:rPr>
                <w:rFonts w:hint="eastAsia" w:ascii="宋体" w:hAnsi="宋体" w:eastAsia="宋体" w:cs="宋体"/>
                <w:color w:val="auto"/>
                <w:sz w:val="24"/>
                <w:szCs w:val="24"/>
                <w:highlight w:val="none"/>
                <w:lang w:val="en-US" w:eastAsia="zh-CN"/>
              </w:rPr>
              <w:t>止</w:t>
            </w:r>
            <w:r>
              <w:rPr>
                <w:rFonts w:ascii="宋体" w:hAnsi="宋体" w:eastAsia="宋体" w:cs="宋体"/>
                <w:color w:val="auto"/>
                <w:sz w:val="24"/>
                <w:szCs w:val="24"/>
                <w:highlight w:val="none"/>
              </w:rPr>
              <w:t xml:space="preserve">时间5日前 </w:t>
            </w:r>
          </w:p>
          <w:p w14:paraId="0C3CC0F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形式：书面</w:t>
            </w:r>
          </w:p>
        </w:tc>
      </w:tr>
      <w:tr w14:paraId="4E76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2D1247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w:t>
            </w:r>
          </w:p>
        </w:tc>
        <w:tc>
          <w:tcPr>
            <w:tcW w:w="1820" w:type="dxa"/>
            <w:vAlign w:val="center"/>
          </w:tcPr>
          <w:p w14:paraId="20CBC0F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供应商对竞争性磋商提出质疑的时间、形式</w:t>
            </w:r>
          </w:p>
        </w:tc>
        <w:tc>
          <w:tcPr>
            <w:tcW w:w="7469" w:type="dxa"/>
            <w:vAlign w:val="center"/>
          </w:tcPr>
          <w:p w14:paraId="54A5D9A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时间：供应商认为</w:t>
            </w:r>
            <w:r>
              <w:rPr>
                <w:rFonts w:hint="eastAsia" w:ascii="宋体" w:hAnsi="宋体" w:eastAsia="宋体" w:cs="宋体"/>
                <w:color w:val="auto"/>
                <w:sz w:val="24"/>
                <w:szCs w:val="24"/>
                <w:highlight w:val="none"/>
                <w:lang w:val="en-US" w:eastAsia="zh-CN"/>
              </w:rPr>
              <w:t>磋商文件</w:t>
            </w:r>
            <w:r>
              <w:rPr>
                <w:rFonts w:ascii="宋体" w:hAnsi="宋体" w:eastAsia="宋体" w:cs="宋体"/>
                <w:color w:val="auto"/>
                <w:sz w:val="24"/>
                <w:szCs w:val="24"/>
                <w:highlight w:val="none"/>
              </w:rPr>
              <w:t>使自己的权益受到损害的，可以自获取</w:t>
            </w:r>
            <w:r>
              <w:rPr>
                <w:rFonts w:hint="eastAsia" w:ascii="宋体" w:hAnsi="宋体" w:eastAsia="宋体" w:cs="宋体"/>
                <w:color w:val="auto"/>
                <w:sz w:val="24"/>
                <w:szCs w:val="24"/>
                <w:highlight w:val="none"/>
                <w:lang w:val="en-US" w:eastAsia="zh-CN"/>
              </w:rPr>
              <w:t>磋商文件</w:t>
            </w:r>
            <w:r>
              <w:rPr>
                <w:rFonts w:ascii="宋体" w:hAnsi="宋体" w:eastAsia="宋体" w:cs="宋体"/>
                <w:color w:val="auto"/>
                <w:sz w:val="24"/>
                <w:szCs w:val="24"/>
                <w:highlight w:val="none"/>
              </w:rPr>
              <w:t>之日或者</w:t>
            </w:r>
            <w:r>
              <w:rPr>
                <w:rFonts w:hint="eastAsia" w:ascii="宋体" w:hAnsi="宋体" w:eastAsia="宋体" w:cs="宋体"/>
                <w:color w:val="auto"/>
                <w:sz w:val="24"/>
                <w:szCs w:val="24"/>
                <w:highlight w:val="none"/>
                <w:lang w:val="en-US" w:eastAsia="zh-CN"/>
              </w:rPr>
              <w:t>磋商</w:t>
            </w:r>
            <w:r>
              <w:rPr>
                <w:rFonts w:ascii="宋体" w:hAnsi="宋体" w:eastAsia="宋体" w:cs="宋体"/>
                <w:color w:val="auto"/>
                <w:sz w:val="24"/>
                <w:szCs w:val="24"/>
                <w:highlight w:val="none"/>
              </w:rPr>
              <w:t>公告期限届满之日（公告期限届满后获取</w:t>
            </w:r>
            <w:r>
              <w:rPr>
                <w:rFonts w:hint="eastAsia" w:ascii="宋体" w:hAnsi="宋体" w:eastAsia="宋体" w:cs="宋体"/>
                <w:color w:val="auto"/>
                <w:sz w:val="24"/>
                <w:szCs w:val="24"/>
                <w:highlight w:val="none"/>
                <w:lang w:val="en-US" w:eastAsia="zh-CN"/>
              </w:rPr>
              <w:t>磋商</w:t>
            </w:r>
            <w:r>
              <w:rPr>
                <w:rFonts w:ascii="宋体" w:hAnsi="宋体" w:eastAsia="宋体" w:cs="宋体"/>
                <w:color w:val="auto"/>
                <w:sz w:val="24"/>
                <w:szCs w:val="24"/>
                <w:highlight w:val="none"/>
              </w:rPr>
              <w:t>文件的，以公告期限届满之日为准）起7个工作日内，以书面形式向采购人和采购代理机构提出质疑，超过期限的采购人或采购代理机构不再受理</w:t>
            </w:r>
          </w:p>
          <w:p w14:paraId="34DDBCD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形式：书面形式</w:t>
            </w:r>
          </w:p>
        </w:tc>
      </w:tr>
      <w:tr w14:paraId="0A1F7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54F13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w:t>
            </w:r>
          </w:p>
        </w:tc>
        <w:tc>
          <w:tcPr>
            <w:tcW w:w="1820" w:type="dxa"/>
            <w:vAlign w:val="center"/>
          </w:tcPr>
          <w:p w14:paraId="194C8B3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对竞争性磋商提出质疑答复时间、形式</w:t>
            </w:r>
          </w:p>
        </w:tc>
        <w:tc>
          <w:tcPr>
            <w:tcW w:w="7469" w:type="dxa"/>
            <w:vAlign w:val="center"/>
          </w:tcPr>
          <w:p w14:paraId="56A4503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时间：自收到供应商质疑函之日起7个工作日内</w:t>
            </w:r>
          </w:p>
          <w:p w14:paraId="56F89D5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形式：书面形式</w:t>
            </w:r>
          </w:p>
        </w:tc>
      </w:tr>
      <w:tr w14:paraId="034F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9348B4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w:t>
            </w:r>
          </w:p>
        </w:tc>
        <w:tc>
          <w:tcPr>
            <w:tcW w:w="1820" w:type="dxa"/>
            <w:vAlign w:val="center"/>
          </w:tcPr>
          <w:p w14:paraId="4CFC74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磋商保证金</w:t>
            </w:r>
          </w:p>
        </w:tc>
        <w:tc>
          <w:tcPr>
            <w:tcW w:w="7469" w:type="dxa"/>
            <w:vAlign w:val="center"/>
          </w:tcPr>
          <w:p w14:paraId="7E0CCC5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A8"/>
            </w:r>
            <w:r>
              <w:rPr>
                <w:rFonts w:ascii="宋体" w:hAnsi="宋体" w:eastAsia="宋体" w:cs="宋体"/>
                <w:color w:val="auto"/>
                <w:sz w:val="24"/>
                <w:szCs w:val="24"/>
                <w:highlight w:val="none"/>
              </w:rPr>
              <w:t>不收取 </w:t>
            </w:r>
          </w:p>
          <w:p w14:paraId="13BBF5A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 xml:space="preserve">收取 </w:t>
            </w:r>
          </w:p>
          <w:p w14:paraId="7A8E053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金额： 人民币：</w:t>
            </w:r>
            <w:r>
              <w:rPr>
                <w:rFonts w:hint="eastAsia" w:ascii="宋体" w:hAnsi="宋体" w:eastAsia="宋体" w:cs="宋体"/>
                <w:color w:val="auto"/>
                <w:sz w:val="24"/>
                <w:szCs w:val="24"/>
                <w:highlight w:val="none"/>
                <w:lang w:val="en-US" w:eastAsia="zh-CN"/>
              </w:rPr>
              <w:t>4000.0</w:t>
            </w:r>
            <w:r>
              <w:rPr>
                <w:rFonts w:ascii="宋体" w:hAnsi="宋体" w:eastAsia="宋体" w:cs="宋体"/>
                <w:color w:val="auto"/>
                <w:sz w:val="24"/>
                <w:szCs w:val="24"/>
                <w:highlight w:val="none"/>
              </w:rPr>
              <w:t xml:space="preserve">0元 </w:t>
            </w:r>
          </w:p>
          <w:p w14:paraId="5BA779D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支付方式：</w:t>
            </w: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转账/电汇</w:t>
            </w: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支票</w:t>
            </w: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汇票</w:t>
            </w: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本票</w:t>
            </w: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保函</w:t>
            </w: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保单</w:t>
            </w:r>
          </w:p>
          <w:p w14:paraId="6181A251">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投标保证金收款单位名称：</w:t>
            </w:r>
            <w:r>
              <w:rPr>
                <w:rFonts w:hint="eastAsia" w:ascii="宋体" w:hAnsi="Calibri" w:eastAsia="宋体" w:cs="Times New Roman"/>
                <w:color w:val="auto"/>
                <w:kern w:val="2"/>
                <w:sz w:val="24"/>
                <w:szCs w:val="24"/>
                <w:highlight w:val="none"/>
                <w:lang w:val="en-US" w:eastAsia="zh-CN" w:bidi="ar-SA"/>
              </w:rPr>
              <w:t>新疆君凯杰工程项目管理有限公司</w:t>
            </w:r>
          </w:p>
          <w:p w14:paraId="28E26636">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Calibri" w:eastAsia="宋体" w:cs="Times New Roman"/>
                <w:color w:val="auto"/>
                <w:kern w:val="2"/>
                <w:sz w:val="24"/>
                <w:szCs w:val="24"/>
                <w:highlight w:val="none"/>
                <w:lang w:val="en-US" w:eastAsia="zh-CN" w:bidi="ar-SA"/>
              </w:rPr>
              <w:t>中国农业银行乌鲁木齐昆仑路支行</w:t>
            </w:r>
          </w:p>
          <w:p w14:paraId="58B1EF6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r>
              <w:rPr>
                <w:rFonts w:hint="eastAsia" w:ascii="宋体" w:hAnsi="Calibri" w:eastAsia="宋体" w:cs="Times New Roman"/>
                <w:color w:val="auto"/>
                <w:kern w:val="2"/>
                <w:sz w:val="24"/>
                <w:szCs w:val="24"/>
                <w:highlight w:val="none"/>
                <w:lang w:val="en-US" w:eastAsia="zh-CN" w:bidi="ar-SA"/>
              </w:rPr>
              <w:t>30006 4010 400 10690</w:t>
            </w:r>
          </w:p>
          <w:p w14:paraId="2250385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行号：</w:t>
            </w:r>
            <w:r>
              <w:rPr>
                <w:rFonts w:hint="eastAsia" w:ascii="宋体" w:hAnsi="Calibri" w:eastAsia="宋体" w:cs="Times New Roman"/>
                <w:color w:val="auto"/>
                <w:kern w:val="2"/>
                <w:sz w:val="24"/>
                <w:szCs w:val="24"/>
                <w:highlight w:val="none"/>
                <w:lang w:val="en-US" w:eastAsia="zh-CN" w:bidi="ar-SA"/>
              </w:rPr>
              <w:t>10388 1000 646</w:t>
            </w:r>
          </w:p>
          <w:p w14:paraId="001E8D23">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保证金缴纳要求：不接受现金及任何个人、分公司汇款。</w:t>
            </w:r>
            <w:r>
              <w:rPr>
                <w:rFonts w:hint="eastAsia" w:ascii="宋体" w:hAnsi="宋体" w:eastAsia="宋体" w:cs="宋体"/>
                <w:b/>
                <w:bCs/>
                <w:color w:val="auto"/>
                <w:sz w:val="24"/>
                <w:szCs w:val="24"/>
                <w:highlight w:val="none"/>
              </w:rPr>
              <w:t>打款时注明投标保证金项目名称</w:t>
            </w:r>
            <w:r>
              <w:rPr>
                <w:rFonts w:hint="eastAsia" w:ascii="宋体" w:hAnsi="宋体" w:eastAsia="宋体" w:cs="宋体"/>
                <w:b/>
                <w:bCs/>
                <w:color w:val="auto"/>
                <w:sz w:val="24"/>
                <w:szCs w:val="24"/>
                <w:highlight w:val="none"/>
                <w:lang w:val="en-US" w:eastAsia="zh-CN"/>
              </w:rPr>
              <w:t>简称或项目编号</w:t>
            </w:r>
            <w:r>
              <w:rPr>
                <w:rFonts w:hint="eastAsia" w:ascii="宋体" w:hAnsi="宋体" w:eastAsia="宋体" w:cs="宋体"/>
                <w:b/>
                <w:bCs/>
                <w:color w:val="auto"/>
                <w:sz w:val="24"/>
                <w:szCs w:val="24"/>
                <w:highlight w:val="none"/>
              </w:rPr>
              <w:t>。</w:t>
            </w:r>
          </w:p>
          <w:p w14:paraId="66EEFB9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投标保证金的退还：</w:t>
            </w:r>
          </w:p>
          <w:p w14:paraId="55B5182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通知书发出之日起5个工作日内退还未</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的投标保证金，</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投标保证金在与采购单位签订合同后，5个工作日内，无息退还保证金。</w:t>
            </w:r>
          </w:p>
          <w:p w14:paraId="550F90A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递交要求：</w:t>
            </w:r>
          </w:p>
          <w:p w14:paraId="5E8EC10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1.如采用转账或电汇，投标保证金应当在投标截止时间前足额到达</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文件指定账号。</w:t>
            </w:r>
          </w:p>
          <w:p w14:paraId="1D971E0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2.如采用金融机构出具的保函（银行保函），应为银行出具的见索即付无条件保函。</w:t>
            </w:r>
          </w:p>
          <w:p w14:paraId="6B69D05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3.如采用担保机构出具的保函（担保机构担保），应为经金融监督管理局审查批准，依法取得融资担保业务经营许可证的融资担保机构出具的无条件保函。</w:t>
            </w:r>
          </w:p>
          <w:p w14:paraId="7D7E25F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color w:val="auto"/>
                <w:highlight w:val="none"/>
              </w:rPr>
            </w:pPr>
            <w:r>
              <w:rPr>
                <w:rFonts w:hint="eastAsia" w:ascii="宋体" w:hAnsi="宋体" w:eastAsia="宋体" w:cs="宋体"/>
                <w:color w:val="auto"/>
                <w:sz w:val="24"/>
                <w:szCs w:val="24"/>
                <w:highlight w:val="none"/>
              </w:rPr>
              <w:t>4.如采用保函（银行保函、担保机构担保）形式提交投标保证金的，</w:t>
            </w:r>
            <w:r>
              <w:rPr>
                <w:rFonts w:hint="eastAsia" w:ascii="宋体" w:hAnsi="宋体" w:eastAsia="宋体" w:cs="宋体"/>
                <w:b/>
                <w:bCs/>
                <w:color w:val="auto"/>
                <w:sz w:val="24"/>
                <w:szCs w:val="24"/>
                <w:highlight w:val="none"/>
              </w:rPr>
              <w:t>且必须具有明确有效的查询途径（二维码或网址链接及查询方式）</w:t>
            </w:r>
            <w:r>
              <w:rPr>
                <w:rFonts w:hint="eastAsia" w:ascii="宋体" w:hAnsi="宋体" w:eastAsia="宋体" w:cs="宋体"/>
                <w:color w:val="auto"/>
                <w:sz w:val="24"/>
                <w:szCs w:val="24"/>
                <w:highlight w:val="none"/>
              </w:rPr>
              <w:t>，否则该保函（银行保函、担保机构担保）无效。评标时评标委员会保留现场核查权利。若发现供应商提供虚假资料谋取</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，采购人应当报监管部门依法处理。</w:t>
            </w:r>
          </w:p>
        </w:tc>
      </w:tr>
      <w:tr w14:paraId="6286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B15B5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w:t>
            </w:r>
          </w:p>
        </w:tc>
        <w:tc>
          <w:tcPr>
            <w:tcW w:w="1820" w:type="dxa"/>
            <w:vAlign w:val="center"/>
          </w:tcPr>
          <w:p w14:paraId="0595C8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其他不予退还磋商保证金的情形</w:t>
            </w:r>
          </w:p>
        </w:tc>
        <w:tc>
          <w:tcPr>
            <w:tcW w:w="7469" w:type="dxa"/>
            <w:vAlign w:val="center"/>
          </w:tcPr>
          <w:p w14:paraId="39BDFB8C">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供应商在磋商截止时间后撤回投标文件的； </w:t>
            </w:r>
          </w:p>
          <w:p w14:paraId="6EDA5904">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供应商在响应文件中提供虚假材料的；</w:t>
            </w:r>
          </w:p>
          <w:p w14:paraId="2FA12484">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除因不可抗力或响应文件认可的情形以外，</w:t>
            </w:r>
            <w:r>
              <w:rPr>
                <w:rFonts w:hint="eastAsia" w:ascii="宋体" w:hAnsi="宋体" w:eastAsia="宋体" w:cs="宋体"/>
                <w:color w:val="auto"/>
                <w:sz w:val="24"/>
                <w:szCs w:val="24"/>
                <w:highlight w:val="none"/>
                <w:lang w:val="en-US" w:eastAsia="zh-CN"/>
              </w:rPr>
              <w:t>成交供应商</w:t>
            </w:r>
            <w:r>
              <w:rPr>
                <w:rFonts w:ascii="宋体" w:hAnsi="宋体" w:eastAsia="宋体" w:cs="宋体"/>
                <w:color w:val="auto"/>
                <w:sz w:val="24"/>
                <w:szCs w:val="24"/>
                <w:highlight w:val="none"/>
              </w:rPr>
              <w:t>不与采购人签订合同的；</w:t>
            </w:r>
          </w:p>
          <w:p w14:paraId="23B3A23A">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供应商与采购人、其他供应商或者采购代理机构恶意串通的；</w:t>
            </w:r>
          </w:p>
          <w:p w14:paraId="3FB4AB4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（5）除因不可抗力或竞争性磋商文件认可的情形以外，成交供应商放弃成交资格的。</w:t>
            </w:r>
          </w:p>
        </w:tc>
      </w:tr>
      <w:tr w14:paraId="1E18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2943C8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w:t>
            </w:r>
          </w:p>
        </w:tc>
        <w:tc>
          <w:tcPr>
            <w:tcW w:w="1820" w:type="dxa"/>
            <w:vAlign w:val="center"/>
          </w:tcPr>
          <w:p w14:paraId="5D02F4F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磋商有效期</w:t>
            </w:r>
          </w:p>
        </w:tc>
        <w:tc>
          <w:tcPr>
            <w:tcW w:w="7469" w:type="dxa"/>
            <w:vAlign w:val="center"/>
          </w:tcPr>
          <w:p w14:paraId="01F4D5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90日历日</w:t>
            </w:r>
          </w:p>
        </w:tc>
      </w:tr>
      <w:tr w14:paraId="05AF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D84977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20</w:t>
            </w:r>
          </w:p>
        </w:tc>
        <w:tc>
          <w:tcPr>
            <w:tcW w:w="1820" w:type="dxa"/>
            <w:vAlign w:val="center"/>
          </w:tcPr>
          <w:p w14:paraId="79FDB8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响应文件要求</w:t>
            </w:r>
          </w:p>
        </w:tc>
        <w:tc>
          <w:tcPr>
            <w:tcW w:w="7469" w:type="dxa"/>
            <w:vAlign w:val="center"/>
          </w:tcPr>
          <w:p w14:paraId="5145C6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加密电子响应文件</w:t>
            </w:r>
          </w:p>
        </w:tc>
      </w:tr>
      <w:tr w14:paraId="4C79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2962AD8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21</w:t>
            </w:r>
          </w:p>
        </w:tc>
        <w:tc>
          <w:tcPr>
            <w:tcW w:w="1820" w:type="dxa"/>
            <w:vAlign w:val="center"/>
          </w:tcPr>
          <w:p w14:paraId="708CA9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开标现场提交的其他材料要求</w:t>
            </w:r>
          </w:p>
        </w:tc>
        <w:tc>
          <w:tcPr>
            <w:tcW w:w="7469" w:type="dxa"/>
            <w:vAlign w:val="center"/>
          </w:tcPr>
          <w:p w14:paraId="6C5A00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73D60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87E9EA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22</w:t>
            </w:r>
          </w:p>
        </w:tc>
        <w:tc>
          <w:tcPr>
            <w:tcW w:w="1820" w:type="dxa"/>
            <w:vAlign w:val="center"/>
          </w:tcPr>
          <w:p w14:paraId="37FA99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提交响应文件截止时间</w:t>
            </w:r>
          </w:p>
        </w:tc>
        <w:tc>
          <w:tcPr>
            <w:tcW w:w="7469" w:type="dxa"/>
            <w:vAlign w:val="center"/>
          </w:tcPr>
          <w:p w14:paraId="2247BA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w:t>
            </w:r>
            <w:r>
              <w:rPr>
                <w:rFonts w:ascii="宋体" w:hAnsi="宋体" w:eastAsia="宋体" w:cs="宋体"/>
                <w:color w:val="auto"/>
                <w:sz w:val="24"/>
                <w:szCs w:val="24"/>
                <w:highlight w:val="none"/>
              </w:rPr>
              <w:t>见供应商邀请</w:t>
            </w:r>
          </w:p>
        </w:tc>
      </w:tr>
      <w:tr w14:paraId="4CA4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1F6393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23</w:t>
            </w:r>
          </w:p>
        </w:tc>
        <w:tc>
          <w:tcPr>
            <w:tcW w:w="1820" w:type="dxa"/>
            <w:vAlign w:val="center"/>
          </w:tcPr>
          <w:p w14:paraId="75A838E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响应文件解密时间</w:t>
            </w:r>
          </w:p>
        </w:tc>
        <w:tc>
          <w:tcPr>
            <w:tcW w:w="7469" w:type="dxa"/>
            <w:vAlign w:val="center"/>
          </w:tcPr>
          <w:p w14:paraId="46FE63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提交响应文件截止时间后30分钟内（以电子交易系统解密倒计时为准）</w:t>
            </w:r>
          </w:p>
        </w:tc>
      </w:tr>
      <w:tr w14:paraId="062A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034DD06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24</w:t>
            </w:r>
          </w:p>
        </w:tc>
        <w:tc>
          <w:tcPr>
            <w:tcW w:w="1820" w:type="dxa"/>
            <w:vAlign w:val="center"/>
          </w:tcPr>
          <w:p w14:paraId="4578FD1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磋商时间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磋商地点</w:t>
            </w:r>
          </w:p>
        </w:tc>
        <w:tc>
          <w:tcPr>
            <w:tcW w:w="7469" w:type="dxa"/>
            <w:vAlign w:val="center"/>
          </w:tcPr>
          <w:p w14:paraId="47D415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详见供应商邀请</w:t>
            </w:r>
          </w:p>
        </w:tc>
      </w:tr>
      <w:tr w14:paraId="6F9B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CDCEF0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25</w:t>
            </w:r>
          </w:p>
        </w:tc>
        <w:tc>
          <w:tcPr>
            <w:tcW w:w="1820" w:type="dxa"/>
            <w:vAlign w:val="center"/>
          </w:tcPr>
          <w:p w14:paraId="46FDBD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资格审查</w:t>
            </w:r>
          </w:p>
        </w:tc>
        <w:tc>
          <w:tcPr>
            <w:tcW w:w="7469" w:type="dxa"/>
            <w:vAlign w:val="center"/>
          </w:tcPr>
          <w:p w14:paraId="53CDC7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磋商评审小组审查</w:t>
            </w:r>
          </w:p>
        </w:tc>
      </w:tr>
      <w:tr w14:paraId="717C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9A1AE0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26</w:t>
            </w:r>
          </w:p>
        </w:tc>
        <w:tc>
          <w:tcPr>
            <w:tcW w:w="1820" w:type="dxa"/>
            <w:vAlign w:val="center"/>
          </w:tcPr>
          <w:p w14:paraId="7D1CFBC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评标方法</w:t>
            </w:r>
          </w:p>
        </w:tc>
        <w:tc>
          <w:tcPr>
            <w:tcW w:w="7469" w:type="dxa"/>
            <w:vAlign w:val="center"/>
          </w:tcPr>
          <w:p w14:paraId="4EA91B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A8"/>
            </w:r>
            <w:r>
              <w:rPr>
                <w:rFonts w:ascii="宋体" w:hAnsi="宋体" w:eastAsia="宋体" w:cs="宋体"/>
                <w:color w:val="auto"/>
                <w:sz w:val="24"/>
                <w:szCs w:val="24"/>
                <w:highlight w:val="none"/>
              </w:rPr>
              <w:t>最低评标价法 </w:t>
            </w:r>
          </w:p>
          <w:p w14:paraId="2096EA3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综合评分法</w:t>
            </w:r>
          </w:p>
        </w:tc>
      </w:tr>
      <w:tr w14:paraId="240AA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E19774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27</w:t>
            </w:r>
          </w:p>
        </w:tc>
        <w:tc>
          <w:tcPr>
            <w:tcW w:w="1820" w:type="dxa"/>
            <w:vAlign w:val="center"/>
          </w:tcPr>
          <w:p w14:paraId="552B38C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磋商小组推荐</w:t>
            </w:r>
            <w:r>
              <w:rPr>
                <w:rFonts w:hint="eastAsia" w:ascii="宋体" w:hAnsi="宋体" w:eastAsia="宋体" w:cs="宋体"/>
                <w:color w:val="auto"/>
                <w:sz w:val="24"/>
                <w:szCs w:val="24"/>
                <w:highlight w:val="none"/>
                <w:lang w:val="en-US" w:eastAsia="zh-CN"/>
              </w:rPr>
              <w:t>成交</w:t>
            </w:r>
            <w:r>
              <w:rPr>
                <w:rFonts w:ascii="宋体" w:hAnsi="宋体" w:eastAsia="宋体" w:cs="宋体"/>
                <w:color w:val="auto"/>
                <w:sz w:val="24"/>
                <w:szCs w:val="24"/>
                <w:highlight w:val="none"/>
              </w:rPr>
              <w:t>候选人的数量</w:t>
            </w:r>
          </w:p>
        </w:tc>
        <w:tc>
          <w:tcPr>
            <w:tcW w:w="7469" w:type="dxa"/>
            <w:vAlign w:val="center"/>
          </w:tcPr>
          <w:p w14:paraId="77C9B0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3家</w:t>
            </w:r>
          </w:p>
        </w:tc>
      </w:tr>
      <w:tr w14:paraId="6CB29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0AD79DB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28</w:t>
            </w:r>
          </w:p>
        </w:tc>
        <w:tc>
          <w:tcPr>
            <w:tcW w:w="1820" w:type="dxa"/>
            <w:vAlign w:val="center"/>
          </w:tcPr>
          <w:p w14:paraId="101204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确定成交供应商</w:t>
            </w:r>
          </w:p>
        </w:tc>
        <w:tc>
          <w:tcPr>
            <w:tcW w:w="7469" w:type="dxa"/>
            <w:vAlign w:val="center"/>
          </w:tcPr>
          <w:p w14:paraId="7863F35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采购人委托评标委员会确定 </w:t>
            </w:r>
          </w:p>
          <w:p w14:paraId="515FCDC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sym w:font="Wingdings" w:char="00A8"/>
            </w:r>
            <w:r>
              <w:rPr>
                <w:rFonts w:ascii="宋体" w:hAnsi="宋体" w:eastAsia="宋体" w:cs="宋体"/>
                <w:color w:val="auto"/>
                <w:sz w:val="24"/>
                <w:szCs w:val="24"/>
                <w:highlight w:val="none"/>
              </w:rPr>
              <w:t>采购人确定</w:t>
            </w:r>
          </w:p>
        </w:tc>
      </w:tr>
      <w:tr w14:paraId="7F6D9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7CD711D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29</w:t>
            </w:r>
          </w:p>
        </w:tc>
        <w:tc>
          <w:tcPr>
            <w:tcW w:w="1820" w:type="dxa"/>
            <w:vAlign w:val="center"/>
          </w:tcPr>
          <w:p w14:paraId="2CD5D99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随成交结果公告同时公告的成交供应商的响应文件内容</w:t>
            </w:r>
          </w:p>
        </w:tc>
        <w:tc>
          <w:tcPr>
            <w:tcW w:w="7469" w:type="dxa"/>
            <w:vAlign w:val="center"/>
          </w:tcPr>
          <w:p w14:paraId="731A4F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A8"/>
            </w:r>
            <w:r>
              <w:rPr>
                <w:rFonts w:ascii="宋体" w:hAnsi="宋体" w:eastAsia="宋体" w:cs="宋体"/>
                <w:color w:val="auto"/>
                <w:sz w:val="24"/>
                <w:szCs w:val="24"/>
                <w:highlight w:val="none"/>
              </w:rPr>
              <w:t>不公示 </w:t>
            </w:r>
          </w:p>
          <w:p w14:paraId="4E6073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公示 </w:t>
            </w:r>
          </w:p>
          <w:p w14:paraId="6A5604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A8"/>
            </w:r>
            <w:r>
              <w:rPr>
                <w:rFonts w:ascii="宋体" w:hAnsi="宋体" w:eastAsia="宋体" w:cs="宋体"/>
                <w:color w:val="auto"/>
                <w:kern w:val="2"/>
                <w:sz w:val="24"/>
                <w:szCs w:val="24"/>
                <w:highlight w:val="none"/>
                <w:lang w:val="en-US" w:eastAsia="zh-CN" w:bidi="ar-SA"/>
              </w:rPr>
              <w:t>（1）</w:t>
            </w:r>
            <w:r>
              <w:rPr>
                <w:rFonts w:ascii="宋体" w:hAnsi="宋体" w:eastAsia="宋体" w:cs="宋体"/>
                <w:color w:val="auto"/>
                <w:sz w:val="24"/>
                <w:szCs w:val="24"/>
                <w:highlight w:val="none"/>
              </w:rPr>
              <w:t>无重大违法记录声明函、无不良信用记录声明函； </w:t>
            </w:r>
          </w:p>
          <w:p w14:paraId="4963D2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A8"/>
            </w:r>
            <w:r>
              <w:rPr>
                <w:rFonts w:ascii="宋体" w:hAnsi="宋体" w:eastAsia="宋体" w:cs="宋体"/>
                <w:color w:val="auto"/>
                <w:kern w:val="2"/>
                <w:sz w:val="24"/>
                <w:szCs w:val="24"/>
                <w:highlight w:val="none"/>
                <w:lang w:val="en-US" w:eastAsia="zh-CN" w:bidi="ar-SA"/>
              </w:rPr>
              <w:t>（2）</w:t>
            </w:r>
            <w:r>
              <w:rPr>
                <w:rFonts w:ascii="宋体" w:hAnsi="宋体" w:eastAsia="宋体" w:cs="宋体"/>
                <w:color w:val="auto"/>
                <w:sz w:val="24"/>
                <w:szCs w:val="24"/>
                <w:highlight w:val="none"/>
              </w:rPr>
              <w:t>响应业绩承诺函；（如有） </w:t>
            </w:r>
          </w:p>
          <w:p w14:paraId="2AA66BE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FE"/>
            </w:r>
            <w:r>
              <w:rPr>
                <w:rFonts w:ascii="宋体" w:hAnsi="宋体" w:eastAsia="宋体" w:cs="宋体"/>
                <w:color w:val="auto"/>
                <w:kern w:val="2"/>
                <w:sz w:val="24"/>
                <w:szCs w:val="24"/>
                <w:highlight w:val="none"/>
                <w:lang w:val="en-US" w:eastAsia="zh-CN" w:bidi="ar-SA"/>
              </w:rPr>
              <w:t>（3）</w:t>
            </w:r>
            <w:r>
              <w:rPr>
                <w:rFonts w:ascii="宋体" w:hAnsi="宋体" w:eastAsia="宋体" w:cs="宋体"/>
                <w:color w:val="auto"/>
                <w:sz w:val="24"/>
                <w:szCs w:val="24"/>
                <w:highlight w:val="none"/>
              </w:rPr>
              <w:t>中小企业声明函；（如有） </w:t>
            </w:r>
          </w:p>
          <w:p w14:paraId="23BB132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FE"/>
            </w:r>
            <w:r>
              <w:rPr>
                <w:rFonts w:ascii="宋体" w:hAnsi="宋体" w:eastAsia="宋体" w:cs="宋体"/>
                <w:color w:val="auto"/>
                <w:kern w:val="2"/>
                <w:sz w:val="24"/>
                <w:szCs w:val="24"/>
                <w:highlight w:val="none"/>
                <w:lang w:val="en-US" w:eastAsia="zh-CN" w:bidi="ar-SA"/>
              </w:rPr>
              <w:t>（4）</w:t>
            </w:r>
            <w:r>
              <w:rPr>
                <w:rFonts w:ascii="宋体" w:hAnsi="宋体" w:eastAsia="宋体" w:cs="宋体"/>
                <w:color w:val="auto"/>
                <w:sz w:val="24"/>
                <w:szCs w:val="24"/>
                <w:highlight w:val="none"/>
              </w:rPr>
              <w:t>残疾人福利性单位声明函；（如有） </w:t>
            </w:r>
          </w:p>
          <w:p w14:paraId="13F0D6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（5）磋商文件中规定进行公示的其他内容。（如有）</w:t>
            </w:r>
          </w:p>
        </w:tc>
      </w:tr>
      <w:tr w14:paraId="38915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9E232F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30</w:t>
            </w:r>
          </w:p>
        </w:tc>
        <w:tc>
          <w:tcPr>
            <w:tcW w:w="1820" w:type="dxa"/>
            <w:vAlign w:val="center"/>
          </w:tcPr>
          <w:p w14:paraId="198005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成交通知书发出的形式</w:t>
            </w:r>
          </w:p>
        </w:tc>
        <w:tc>
          <w:tcPr>
            <w:tcW w:w="7469" w:type="dxa"/>
            <w:vAlign w:val="center"/>
          </w:tcPr>
          <w:p w14:paraId="2157F1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 xml:space="preserve">书面    </w:t>
            </w:r>
            <w:r>
              <w:rPr>
                <w:rFonts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数据电文</w:t>
            </w:r>
          </w:p>
        </w:tc>
      </w:tr>
      <w:tr w14:paraId="45CE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35C461C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31</w:t>
            </w:r>
          </w:p>
        </w:tc>
        <w:tc>
          <w:tcPr>
            <w:tcW w:w="1820" w:type="dxa"/>
            <w:vAlign w:val="center"/>
          </w:tcPr>
          <w:p w14:paraId="022EF1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告知招标结果的形式</w:t>
            </w:r>
          </w:p>
        </w:tc>
        <w:tc>
          <w:tcPr>
            <w:tcW w:w="7469" w:type="dxa"/>
            <w:vAlign w:val="center"/>
          </w:tcPr>
          <w:p w14:paraId="1280A8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供应商自行登录</w:t>
            </w:r>
            <w:r>
              <w:rPr>
                <w:rFonts w:ascii="宋体" w:hAnsi="宋体" w:eastAsia="宋体" w:cs="宋体"/>
                <w:color w:val="auto"/>
                <w:sz w:val="24"/>
                <w:szCs w:val="24"/>
                <w:highlight w:val="none"/>
              </w:rPr>
              <w:t>电子服务系统查看</w:t>
            </w:r>
          </w:p>
          <w:p w14:paraId="271045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eastAsia="宋体"/>
                <w:color w:val="auto"/>
                <w:highlight w:val="none"/>
                <w:lang w:val="en-US" w:eastAsia="zh-CN"/>
              </w:rPr>
            </w:pPr>
            <w:r>
              <w:rPr>
                <w:rFonts w:hint="default" w:ascii="宋体" w:hAnsi="宋体" w:eastAsia="宋体" w:cs="宋体"/>
                <w:color w:val="auto"/>
                <w:sz w:val="24"/>
                <w:szCs w:val="24"/>
                <w:highlight w:val="none"/>
                <w:lang w:val="en-US" w:eastAsia="zh-CN"/>
              </w:rPr>
              <w:sym w:font="Wingdings" w:char="00A8"/>
            </w:r>
            <w:r>
              <w:rPr>
                <w:rFonts w:hint="eastAsia" w:ascii="宋体" w:hAnsi="宋体" w:eastAsia="宋体" w:cs="宋体"/>
                <w:color w:val="auto"/>
                <w:sz w:val="24"/>
                <w:szCs w:val="24"/>
                <w:highlight w:val="none"/>
                <w:lang w:val="en-US" w:eastAsia="zh-CN"/>
              </w:rPr>
              <w:t>评审现场告知</w:t>
            </w:r>
          </w:p>
        </w:tc>
      </w:tr>
      <w:tr w14:paraId="72D9D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3" w:type="dxa"/>
            <w:vAlign w:val="center"/>
          </w:tcPr>
          <w:p w14:paraId="3C8FE0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32</w:t>
            </w:r>
          </w:p>
        </w:tc>
        <w:tc>
          <w:tcPr>
            <w:tcW w:w="1820" w:type="dxa"/>
            <w:vAlign w:val="center"/>
          </w:tcPr>
          <w:p w14:paraId="67283E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w:t>
            </w:r>
          </w:p>
        </w:tc>
        <w:tc>
          <w:tcPr>
            <w:tcW w:w="7469" w:type="dxa"/>
            <w:vAlign w:val="center"/>
          </w:tcPr>
          <w:p w14:paraId="3EB816A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不收取</w:t>
            </w:r>
          </w:p>
        </w:tc>
      </w:tr>
      <w:tr w14:paraId="25D5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8A7AA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33</w:t>
            </w:r>
          </w:p>
        </w:tc>
        <w:tc>
          <w:tcPr>
            <w:tcW w:w="1820" w:type="dxa"/>
            <w:vAlign w:val="center"/>
          </w:tcPr>
          <w:p w14:paraId="3B5E131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供应商成交服务费</w:t>
            </w:r>
          </w:p>
        </w:tc>
        <w:tc>
          <w:tcPr>
            <w:tcW w:w="7469" w:type="dxa"/>
            <w:vAlign w:val="center"/>
          </w:tcPr>
          <w:p w14:paraId="562293E1">
            <w:pPr>
              <w:pStyle w:val="19"/>
              <w:keepNext w:val="0"/>
              <w:keepLines w:val="0"/>
              <w:pageBreakBefore w:val="0"/>
              <w:widowControl w:val="0"/>
              <w:kinsoku/>
              <w:wordWrap/>
              <w:overflowPunct/>
              <w:topLinePunct w:val="0"/>
              <w:bidi w:val="0"/>
              <w:spacing w:before="66" w:line="240" w:lineRule="auto"/>
              <w:jc w:val="left"/>
              <w:rPr>
                <w:rFonts w:hint="default"/>
                <w:color w:val="auto"/>
                <w:sz w:val="24"/>
                <w:szCs w:val="24"/>
                <w:highlight w:val="none"/>
                <w:lang w:val="en-US" w:eastAsia="zh-CN"/>
              </w:rPr>
            </w:pPr>
            <w:r>
              <w:rPr>
                <w:color w:val="auto"/>
                <w:spacing w:val="-4"/>
                <w:sz w:val="24"/>
                <w:szCs w:val="24"/>
                <w:highlight w:val="none"/>
                <w:lang w:eastAsia="zh-CN"/>
              </w:rPr>
              <w:t>收费对象：</w:t>
            </w:r>
            <w:r>
              <w:rPr>
                <w:rFonts w:hint="eastAsia"/>
                <w:color w:val="auto"/>
                <w:spacing w:val="-4"/>
                <w:sz w:val="24"/>
                <w:szCs w:val="24"/>
                <w:highlight w:val="none"/>
                <w:lang w:val="en-US" w:eastAsia="zh-CN"/>
              </w:rPr>
              <w:t>成交供应商</w:t>
            </w:r>
          </w:p>
          <w:p w14:paraId="5F88FBEF">
            <w:pPr>
              <w:pStyle w:val="20"/>
              <w:keepNext w:val="0"/>
              <w:keepLines w:val="0"/>
              <w:pageBreakBefore w:val="0"/>
              <w:widowControl w:val="0"/>
              <w:kinsoku/>
              <w:wordWrap/>
              <w:overflowPunct/>
              <w:topLinePunct w:val="0"/>
              <w:bidi w:val="0"/>
              <w:spacing w:line="240" w:lineRule="auto"/>
              <w:jc w:val="left"/>
              <w:rPr>
                <w:rFonts w:hint="default"/>
                <w:color w:val="auto"/>
                <w:spacing w:val="-1"/>
                <w:sz w:val="24"/>
                <w:szCs w:val="24"/>
                <w:highlight w:val="none"/>
                <w:lang w:val="en-US" w:eastAsia="zh-CN"/>
              </w:rPr>
            </w:pPr>
            <w:r>
              <w:rPr>
                <w:color w:val="auto"/>
                <w:spacing w:val="-1"/>
                <w:sz w:val="24"/>
                <w:szCs w:val="24"/>
                <w:highlight w:val="none"/>
                <w:lang w:eastAsia="zh-CN"/>
              </w:rPr>
              <w:t>收费标准</w:t>
            </w:r>
            <w:r>
              <w:rPr>
                <w:rFonts w:hint="eastAsia"/>
                <w:color w:val="auto"/>
                <w:spacing w:val="-1"/>
                <w:sz w:val="24"/>
                <w:szCs w:val="24"/>
                <w:highlight w:val="none"/>
                <w:lang w:eastAsia="zh-CN"/>
              </w:rPr>
              <w:t>：</w:t>
            </w:r>
            <w:r>
              <w:rPr>
                <w:rFonts w:hint="eastAsia"/>
                <w:color w:val="auto"/>
                <w:spacing w:val="-1"/>
                <w:sz w:val="24"/>
                <w:szCs w:val="24"/>
                <w:highlight w:val="none"/>
                <w:lang w:val="en-US" w:eastAsia="zh-CN"/>
              </w:rPr>
              <w:t>根</w:t>
            </w:r>
            <w:r>
              <w:rPr>
                <w:color w:val="auto"/>
                <w:spacing w:val="-1"/>
                <w:sz w:val="24"/>
                <w:szCs w:val="24"/>
                <w:highlight w:val="none"/>
                <w:lang w:eastAsia="zh-CN"/>
              </w:rPr>
              <w:t>据</w:t>
            </w:r>
            <w:r>
              <w:rPr>
                <w:rFonts w:hint="eastAsia"/>
                <w:color w:val="auto"/>
                <w:spacing w:val="-1"/>
                <w:sz w:val="24"/>
                <w:szCs w:val="24"/>
                <w:highlight w:val="none"/>
                <w:lang w:val="en-US" w:eastAsia="zh-CN"/>
              </w:rPr>
              <w:t>下图</w:t>
            </w:r>
            <w:r>
              <w:rPr>
                <w:color w:val="auto"/>
                <w:spacing w:val="-1"/>
                <w:sz w:val="24"/>
                <w:szCs w:val="24"/>
                <w:highlight w:val="none"/>
                <w:lang w:eastAsia="zh-CN"/>
              </w:rPr>
              <w:t>规定的招标代理服务收费</w:t>
            </w:r>
            <w:r>
              <w:rPr>
                <w:color w:val="auto"/>
                <w:spacing w:val="-2"/>
                <w:sz w:val="24"/>
                <w:szCs w:val="24"/>
                <w:highlight w:val="none"/>
                <w:lang w:eastAsia="zh-CN"/>
              </w:rPr>
              <w:t>标准</w:t>
            </w:r>
            <w:r>
              <w:rPr>
                <w:b/>
                <w:bCs/>
                <w:color w:val="auto"/>
                <w:spacing w:val="-2"/>
                <w:sz w:val="24"/>
                <w:szCs w:val="24"/>
                <w:highlight w:val="none"/>
                <w:lang w:eastAsia="zh-CN"/>
              </w:rPr>
              <w:t>（</w:t>
            </w:r>
            <w:r>
              <w:rPr>
                <w:rFonts w:hint="eastAsia"/>
                <w:b/>
                <w:bCs/>
                <w:color w:val="auto"/>
                <w:spacing w:val="-2"/>
                <w:sz w:val="24"/>
                <w:szCs w:val="24"/>
                <w:highlight w:val="none"/>
                <w:lang w:val="en-US" w:eastAsia="zh-CN"/>
              </w:rPr>
              <w:t>服务招标</w:t>
            </w:r>
            <w:r>
              <w:rPr>
                <w:b/>
                <w:bCs/>
                <w:color w:val="auto"/>
                <w:spacing w:val="9"/>
                <w:sz w:val="24"/>
                <w:szCs w:val="24"/>
                <w:highlight w:val="none"/>
                <w:lang w:eastAsia="zh-CN"/>
              </w:rPr>
              <w:t>）</w:t>
            </w:r>
          </w:p>
          <w:p w14:paraId="5669D3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drawing>
                <wp:inline distT="0" distB="0" distL="114300" distR="114300">
                  <wp:extent cx="3852545" cy="1958340"/>
                  <wp:effectExtent l="0" t="0" r="14605" b="381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stretch>
                            <a:fillRect/>
                          </a:stretch>
                        </pic:blipFill>
                        <pic:spPr>
                          <a:xfrm>
                            <a:off x="0" y="0"/>
                            <a:ext cx="3852545" cy="1958340"/>
                          </a:xfrm>
                          <a:prstGeom prst="rect">
                            <a:avLst/>
                          </a:prstGeom>
                          <a:noFill/>
                          <a:ln>
                            <a:noFill/>
                          </a:ln>
                        </pic:spPr>
                      </pic:pic>
                    </a:graphicData>
                  </a:graphic>
                </wp:inline>
              </w:drawing>
            </w:r>
          </w:p>
          <w:p w14:paraId="4091A7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eastAsia="黑体"/>
                <w:color w:val="auto"/>
                <w:highlight w:val="none"/>
                <w:lang w:val="en-US" w:eastAsia="zh-CN"/>
              </w:rPr>
            </w:pPr>
            <w:r>
              <w:rPr>
                <w:rFonts w:hint="eastAsia" w:ascii="宋体" w:hAnsi="宋体" w:eastAsia="宋体" w:cs="宋体"/>
                <w:color w:val="auto"/>
                <w:sz w:val="24"/>
                <w:szCs w:val="24"/>
                <w:highlight w:val="none"/>
                <w:lang w:val="en-US" w:eastAsia="zh-CN"/>
              </w:rPr>
              <w:t>收费时间：领取成交通知书前</w:t>
            </w:r>
          </w:p>
        </w:tc>
      </w:tr>
      <w:tr w14:paraId="39B96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02B0913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34</w:t>
            </w:r>
          </w:p>
        </w:tc>
        <w:tc>
          <w:tcPr>
            <w:tcW w:w="1820" w:type="dxa"/>
            <w:vAlign w:val="center"/>
          </w:tcPr>
          <w:p w14:paraId="5E510AB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质疑函递交方式、接收部门、联系电话和通讯地址</w:t>
            </w:r>
          </w:p>
        </w:tc>
        <w:tc>
          <w:tcPr>
            <w:tcW w:w="7469" w:type="dxa"/>
            <w:vAlign w:val="center"/>
          </w:tcPr>
          <w:p w14:paraId="452261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递交方式：书面形式 </w:t>
            </w:r>
          </w:p>
          <w:p w14:paraId="0AC1B7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递交</w:t>
            </w:r>
            <w:r>
              <w:rPr>
                <w:rFonts w:ascii="宋体" w:hAnsi="宋体" w:eastAsia="宋体" w:cs="宋体"/>
                <w:color w:val="auto"/>
                <w:sz w:val="24"/>
                <w:szCs w:val="24"/>
                <w:highlight w:val="none"/>
                <w:lang w:eastAsia="zh-CN"/>
              </w:rPr>
              <w:t>部门：</w:t>
            </w:r>
            <w:r>
              <w:rPr>
                <w:rFonts w:hint="eastAsia" w:ascii="宋体" w:hAnsi="宋体" w:eastAsia="宋体" w:cs="宋体"/>
                <w:color w:val="auto"/>
                <w:sz w:val="24"/>
                <w:szCs w:val="24"/>
                <w:highlight w:val="none"/>
                <w:lang w:val="en-US" w:eastAsia="zh-CN"/>
              </w:rPr>
              <w:t>新疆君凯杰工程项目管理有限公司</w:t>
            </w:r>
            <w:r>
              <w:rPr>
                <w:rFonts w:ascii="宋体" w:hAnsi="宋体" w:eastAsia="宋体" w:cs="宋体"/>
                <w:color w:val="auto"/>
                <w:sz w:val="24"/>
                <w:szCs w:val="24"/>
                <w:highlight w:val="none"/>
                <w:lang w:eastAsia="zh-CN"/>
              </w:rPr>
              <w:t>；</w:t>
            </w:r>
          </w:p>
          <w:p w14:paraId="3450C16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联系电话：</w:t>
            </w:r>
            <w:r>
              <w:rPr>
                <w:rFonts w:hint="eastAsia" w:ascii="宋体" w:hAnsi="宋体" w:eastAsia="宋体" w:cs="宋体"/>
                <w:color w:val="auto"/>
                <w:sz w:val="24"/>
                <w:szCs w:val="24"/>
                <w:highlight w:val="none"/>
                <w:lang w:val="en-US" w:eastAsia="zh-CN"/>
              </w:rPr>
              <w:t>13201097601</w:t>
            </w:r>
            <w:r>
              <w:rPr>
                <w:rFonts w:ascii="宋体" w:hAnsi="宋体" w:eastAsia="宋体" w:cs="宋体"/>
                <w:color w:val="auto"/>
                <w:sz w:val="24"/>
                <w:szCs w:val="24"/>
                <w:highlight w:val="none"/>
                <w:lang w:eastAsia="zh-CN"/>
              </w:rPr>
              <w:t>；</w:t>
            </w:r>
          </w:p>
          <w:p w14:paraId="515769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lang w:eastAsia="zh-CN"/>
              </w:rPr>
              <w:t>通讯地址：</w:t>
            </w:r>
            <w:r>
              <w:rPr>
                <w:rFonts w:hint="eastAsia" w:ascii="宋体" w:hAnsi="宋体" w:eastAsia="宋体" w:cs="宋体"/>
                <w:color w:val="auto"/>
                <w:sz w:val="24"/>
                <w:szCs w:val="24"/>
                <w:highlight w:val="none"/>
                <w:lang w:val="en-US" w:eastAsia="zh-CN"/>
              </w:rPr>
              <w:t>乌鲁木齐市会展大道1119号大成尔雅A座807室</w:t>
            </w:r>
          </w:p>
        </w:tc>
      </w:tr>
      <w:tr w14:paraId="01D6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708D06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35</w:t>
            </w:r>
          </w:p>
        </w:tc>
        <w:tc>
          <w:tcPr>
            <w:tcW w:w="1820" w:type="dxa"/>
            <w:vAlign w:val="center"/>
          </w:tcPr>
          <w:p w14:paraId="770225E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关于联合体的相关约定</w:t>
            </w:r>
          </w:p>
        </w:tc>
        <w:tc>
          <w:tcPr>
            <w:tcW w:w="7469" w:type="dxa"/>
            <w:vAlign w:val="center"/>
          </w:tcPr>
          <w:p w14:paraId="5E795E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p>
        </w:tc>
      </w:tr>
      <w:tr w14:paraId="0B329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49628A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36</w:t>
            </w:r>
          </w:p>
        </w:tc>
        <w:tc>
          <w:tcPr>
            <w:tcW w:w="1820" w:type="dxa"/>
            <w:vAlign w:val="center"/>
          </w:tcPr>
          <w:p w14:paraId="469FCCBE">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是否允许大中型企业向小微企业分包（非专门面向中小企业采购项目及要求获得采购合同的供应商将采购项目中的一定比例分包给中小企业的项目适用</w:t>
            </w:r>
            <w:r>
              <w:rPr>
                <w:rFonts w:hint="eastAsia" w:ascii="宋体" w:hAnsi="宋体" w:eastAsia="宋体" w:cs="宋体"/>
                <w:color w:val="auto"/>
                <w:sz w:val="24"/>
                <w:szCs w:val="24"/>
                <w:highlight w:val="none"/>
                <w:lang w:eastAsia="zh-CN"/>
              </w:rPr>
              <w:t>）</w:t>
            </w:r>
          </w:p>
        </w:tc>
        <w:tc>
          <w:tcPr>
            <w:tcW w:w="7469" w:type="dxa"/>
            <w:vAlign w:val="center"/>
          </w:tcPr>
          <w:p w14:paraId="41274463">
            <w:pPr>
              <w:pStyle w:val="2"/>
              <w:keepNext w:val="0"/>
              <w:keepLines w:val="0"/>
              <w:pageBreakBefore w:val="0"/>
              <w:widowControl w:val="0"/>
              <w:kinsoku/>
              <w:wordWrap/>
              <w:overflowPunct/>
              <w:topLinePunct w:val="0"/>
              <w:bidi w:val="0"/>
              <w:spacing w:line="240" w:lineRule="auto"/>
              <w:ind w:left="0" w:leftChars="0" w:firstLine="0" w:firstLineChars="0"/>
              <w:jc w:val="left"/>
              <w:outlineLvl w:val="9"/>
              <w:rPr>
                <w:rFonts w:hint="eastAsia" w:eastAsia="黑体"/>
                <w:color w:val="auto"/>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14:paraId="6ED20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7D1ACEE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37</w:t>
            </w:r>
          </w:p>
        </w:tc>
        <w:tc>
          <w:tcPr>
            <w:tcW w:w="1820" w:type="dxa"/>
            <w:vAlign w:val="center"/>
          </w:tcPr>
          <w:p w14:paraId="64EBF1A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本项目提供除电子版竞争性磋商文件以外的其他资料</w:t>
            </w:r>
          </w:p>
        </w:tc>
        <w:tc>
          <w:tcPr>
            <w:tcW w:w="7469" w:type="dxa"/>
            <w:vAlign w:val="center"/>
          </w:tcPr>
          <w:p w14:paraId="449402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无</w:t>
            </w:r>
            <w:r>
              <w:rPr>
                <w:rFonts w:ascii="宋体" w:hAnsi="宋体" w:eastAsia="宋体" w:cs="宋体"/>
                <w:color w:val="auto"/>
                <w:sz w:val="24"/>
                <w:szCs w:val="24"/>
                <w:highlight w:val="none"/>
              </w:rPr>
              <w:sym w:font="Wingdings" w:char="00A8"/>
            </w:r>
            <w:r>
              <w:rPr>
                <w:rFonts w:ascii="宋体" w:hAnsi="宋体" w:eastAsia="宋体" w:cs="宋体"/>
                <w:color w:val="auto"/>
                <w:sz w:val="24"/>
                <w:szCs w:val="24"/>
                <w:highlight w:val="none"/>
              </w:rPr>
              <w:t>图纸</w:t>
            </w:r>
            <w:r>
              <w:rPr>
                <w:rFonts w:ascii="宋体" w:hAnsi="宋体" w:eastAsia="宋体" w:cs="宋体"/>
                <w:color w:val="auto"/>
                <w:sz w:val="24"/>
                <w:szCs w:val="24"/>
                <w:highlight w:val="none"/>
              </w:rPr>
              <w:sym w:font="Wingdings" w:char="00A8"/>
            </w:r>
            <w:r>
              <w:rPr>
                <w:rFonts w:ascii="宋体" w:hAnsi="宋体" w:eastAsia="宋体" w:cs="宋体"/>
                <w:color w:val="auto"/>
                <w:sz w:val="24"/>
                <w:szCs w:val="24"/>
                <w:highlight w:val="none"/>
              </w:rPr>
              <w:t xml:space="preserve">光盘 </w:t>
            </w:r>
          </w:p>
          <w:p w14:paraId="112B99B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获取方式： 上述资料请供应商在获取竞争性磋商文件后，自行</w:t>
            </w:r>
            <w:r>
              <w:rPr>
                <w:rFonts w:hint="eastAsia" w:ascii="宋体" w:hAnsi="宋体" w:eastAsia="宋体" w:cs="宋体"/>
                <w:color w:val="auto"/>
                <w:sz w:val="24"/>
                <w:szCs w:val="24"/>
                <w:highlight w:val="none"/>
                <w:lang w:val="en-US" w:eastAsia="zh-CN"/>
              </w:rPr>
              <w:t>登录</w:t>
            </w:r>
            <w:r>
              <w:rPr>
                <w:rFonts w:ascii="宋体" w:hAnsi="宋体" w:eastAsia="宋体" w:cs="宋体"/>
                <w:color w:val="auto"/>
                <w:sz w:val="24"/>
                <w:szCs w:val="24"/>
                <w:highlight w:val="none"/>
              </w:rPr>
              <w:t>电子交易系统下载本项目附件。</w:t>
            </w:r>
          </w:p>
        </w:tc>
      </w:tr>
      <w:tr w14:paraId="13E8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2A4CA9A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38</w:t>
            </w:r>
          </w:p>
        </w:tc>
        <w:tc>
          <w:tcPr>
            <w:tcW w:w="1820" w:type="dxa"/>
            <w:vAlign w:val="center"/>
          </w:tcPr>
          <w:p w14:paraId="559DB12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是否允许采购进口产品</w:t>
            </w:r>
          </w:p>
        </w:tc>
        <w:tc>
          <w:tcPr>
            <w:tcW w:w="7469" w:type="dxa"/>
            <w:vAlign w:val="center"/>
          </w:tcPr>
          <w:p w14:paraId="308FC5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FE"/>
            </w:r>
            <w:r>
              <w:rPr>
                <w:rFonts w:ascii="宋体" w:hAnsi="宋体" w:eastAsia="宋体" w:cs="宋体"/>
                <w:color w:val="auto"/>
                <w:sz w:val="24"/>
                <w:szCs w:val="24"/>
                <w:highlight w:val="none"/>
              </w:rPr>
              <w:t xml:space="preserve">本项目不允许采购进口产品。 </w:t>
            </w:r>
          </w:p>
          <w:p w14:paraId="42EC34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sym w:font="Wingdings" w:char="00A8"/>
            </w:r>
            <w:r>
              <w:rPr>
                <w:rFonts w:ascii="宋体" w:hAnsi="宋体" w:eastAsia="宋体" w:cs="宋体"/>
                <w:color w:val="auto"/>
                <w:sz w:val="24"/>
                <w:szCs w:val="24"/>
                <w:highlight w:val="none"/>
              </w:rPr>
              <w:t>可以采购进口产品。</w:t>
            </w:r>
          </w:p>
        </w:tc>
      </w:tr>
      <w:tr w14:paraId="133C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7D71F84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39</w:t>
            </w:r>
          </w:p>
        </w:tc>
        <w:tc>
          <w:tcPr>
            <w:tcW w:w="1820" w:type="dxa"/>
            <w:vAlign w:val="center"/>
          </w:tcPr>
          <w:p w14:paraId="39007A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样品提供</w:t>
            </w:r>
          </w:p>
        </w:tc>
        <w:tc>
          <w:tcPr>
            <w:tcW w:w="7469" w:type="dxa"/>
            <w:vAlign w:val="center"/>
          </w:tcPr>
          <w:p w14:paraId="289D29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不要求提供</w:t>
            </w:r>
          </w:p>
        </w:tc>
      </w:tr>
      <w:tr w14:paraId="25A6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28963F6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40</w:t>
            </w:r>
          </w:p>
        </w:tc>
        <w:tc>
          <w:tcPr>
            <w:tcW w:w="1820" w:type="dxa"/>
            <w:vAlign w:val="center"/>
          </w:tcPr>
          <w:p w14:paraId="2FE2FFB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方案讲解演示</w:t>
            </w:r>
          </w:p>
        </w:tc>
        <w:tc>
          <w:tcPr>
            <w:tcW w:w="7469" w:type="dxa"/>
            <w:vAlign w:val="center"/>
          </w:tcPr>
          <w:p w14:paraId="21B20D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不组织</w:t>
            </w:r>
          </w:p>
        </w:tc>
      </w:tr>
      <w:tr w14:paraId="654D8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629A7A9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41</w:t>
            </w:r>
          </w:p>
        </w:tc>
        <w:tc>
          <w:tcPr>
            <w:tcW w:w="1820" w:type="dxa"/>
            <w:vAlign w:val="center"/>
          </w:tcPr>
          <w:p w14:paraId="4180DE9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报价要求</w:t>
            </w:r>
          </w:p>
        </w:tc>
        <w:tc>
          <w:tcPr>
            <w:tcW w:w="7469" w:type="dxa"/>
            <w:vAlign w:val="center"/>
          </w:tcPr>
          <w:p w14:paraId="16A1FF2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有关本项目实施所需的所有费用（含税费）均计入最后报价。《最后报价一览表（报价表）》是最后报价的唯一载体。磋商文件中价格全部采用人民币报价。磋商文件未列明，而供应商认为必需的费用也需列入报价。</w:t>
            </w:r>
          </w:p>
          <w:p w14:paraId="109CBF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最后报价出现下列情形的，响应无效：</w:t>
            </w:r>
          </w:p>
          <w:p w14:paraId="0B062B5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响应文件出现不是唯一的、有选择性的最后报价的；</w:t>
            </w:r>
          </w:p>
          <w:p w14:paraId="672D57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最后报价超过磋商文件中规定的预算金额或者最高限价的</w:t>
            </w:r>
            <w:r>
              <w:rPr>
                <w:rFonts w:hint="eastAsia" w:ascii="宋体" w:hAnsi="宋体" w:eastAsia="宋体" w:cs="宋体"/>
                <w:color w:val="auto"/>
                <w:sz w:val="24"/>
                <w:szCs w:val="24"/>
                <w:highlight w:val="none"/>
                <w:lang w:eastAsia="zh-CN"/>
              </w:rPr>
              <w:t>；</w:t>
            </w:r>
          </w:p>
          <w:p w14:paraId="23AE04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最后报价明显低于其他通过符合性审查供应商的报价，有可能影响产品质量或者不能诚信履约的，未能按要求提供书面说明或者提交相关证明材料证明其报价合理性的供应商对根据修正原则修正后的报价不确认的。</w:t>
            </w:r>
          </w:p>
        </w:tc>
      </w:tr>
      <w:tr w14:paraId="7978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50AAFDA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42</w:t>
            </w:r>
          </w:p>
        </w:tc>
        <w:tc>
          <w:tcPr>
            <w:tcW w:w="1820" w:type="dxa"/>
            <w:vAlign w:val="center"/>
          </w:tcPr>
          <w:p w14:paraId="7C5049F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中小企业信用融资</w:t>
            </w:r>
          </w:p>
        </w:tc>
        <w:tc>
          <w:tcPr>
            <w:tcW w:w="7469" w:type="dxa"/>
            <w:vAlign w:val="center"/>
          </w:tcPr>
          <w:p w14:paraId="47E39869">
            <w:pPr>
              <w:keepNext w:val="0"/>
              <w:keepLines w:val="0"/>
              <w:widowControl/>
              <w:suppressLineNumbers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AFC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76C92C7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43</w:t>
            </w:r>
          </w:p>
        </w:tc>
        <w:tc>
          <w:tcPr>
            <w:tcW w:w="1820" w:type="dxa"/>
            <w:vAlign w:val="center"/>
          </w:tcPr>
          <w:p w14:paraId="23C9864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重要提示</w:t>
            </w:r>
          </w:p>
        </w:tc>
        <w:tc>
          <w:tcPr>
            <w:tcW w:w="7469" w:type="dxa"/>
            <w:vAlign w:val="center"/>
          </w:tcPr>
          <w:p w14:paraId="081AFF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（1）成交供应商应在规定期限内领取《成交通知书》，若成交供应商未在规定期限内领取《成交通知书》，采购人有权取消成交供应商成交资格，并将相关违约行为报送监管部门，实施信用惩戒；</w:t>
            </w:r>
          </w:p>
          <w:p w14:paraId="6D934B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成交供应商应在规定期限内提交履约担保并与采购人签订合同，若成交供应商未能在规定期限内提交履约担保或签订合同，采购人有权取消成交供应商成交资格，并将相关违约行为报送监管部门，实施信用惩戒； </w:t>
            </w:r>
          </w:p>
          <w:p w14:paraId="3AC282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合同签订后，成交供应商存在规定时间内不组织人员进场开工，不履行供货、安装或服务义务等情况，采购人有权解除合同，并追究违约责任，同时将相关违约行为报送监管部门，记不良行为记录，实施信用惩戒；</w:t>
            </w:r>
          </w:p>
          <w:p w14:paraId="402FBE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（4）成交供应商成交后被监管部门查实存在违法行为，不满足成交条件的，由采购人取消中标资格，并做好项目后续工作；</w:t>
            </w:r>
          </w:p>
          <w:p w14:paraId="25E4C77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（5）成交供应商在成交项目发生投诉、信访举报案件、履约存在争议时，拒绝协助配合执法部门调查案件的，采购人可以取消其成交资格或解除合同，并追究其违约责任。</w:t>
            </w:r>
          </w:p>
        </w:tc>
      </w:tr>
      <w:tr w14:paraId="77077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1412CD0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44</w:t>
            </w:r>
          </w:p>
        </w:tc>
        <w:tc>
          <w:tcPr>
            <w:tcW w:w="1820" w:type="dxa"/>
            <w:vAlign w:val="center"/>
          </w:tcPr>
          <w:p w14:paraId="0C9F17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解释权</w:t>
            </w:r>
          </w:p>
        </w:tc>
        <w:tc>
          <w:tcPr>
            <w:tcW w:w="7469" w:type="dxa"/>
            <w:vAlign w:val="center"/>
          </w:tcPr>
          <w:p w14:paraId="3659C9C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（1）构成本磋商文件的各个组成文件应互为解释，互为说明； </w:t>
            </w:r>
          </w:p>
          <w:p w14:paraId="6E92C2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（2）同一组成文件中就同一事项的规定或约定不一致的，以编排顺序在后者为准； </w:t>
            </w:r>
          </w:p>
          <w:p w14:paraId="1FCC17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（3）如有不明确或不一致，构成合同文件组成内容的，以合同文件约定内容为准，且以专用合同条款约定的合同文件优先顺序解释； </w:t>
            </w:r>
          </w:p>
          <w:p w14:paraId="668022D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（4）除磋商文件中有特别规定外，仅适用于磋商阶段的规定，按公告、供应商邀请、供应商须知、评标方法和标准、响应文件格式的先后顺序解释；</w:t>
            </w:r>
          </w:p>
          <w:p w14:paraId="18A000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（5）按本款前述规定仍不能形成结论的，由采购人负责解释。</w:t>
            </w:r>
          </w:p>
        </w:tc>
      </w:tr>
      <w:tr w14:paraId="2E792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03F838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45</w:t>
            </w:r>
          </w:p>
        </w:tc>
        <w:tc>
          <w:tcPr>
            <w:tcW w:w="1820" w:type="dxa"/>
            <w:vAlign w:val="center"/>
          </w:tcPr>
          <w:p w14:paraId="010146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7469" w:type="dxa"/>
            <w:vAlign w:val="center"/>
          </w:tcPr>
          <w:p w14:paraId="58493F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合同履行地点</w:t>
            </w:r>
            <w:r>
              <w:rPr>
                <w:rFonts w:hint="default"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乌鲁木齐市团结路1551号新疆出入境边防检查总站</w:t>
            </w:r>
          </w:p>
          <w:p w14:paraId="7F2D03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）合同履约期限（</w:t>
            </w:r>
            <w:r>
              <w:rPr>
                <w:rFonts w:hint="default" w:ascii="宋体" w:hAnsi="宋体" w:eastAsia="宋体" w:cs="宋体"/>
                <w:color w:val="auto"/>
                <w:sz w:val="24"/>
                <w:szCs w:val="24"/>
                <w:highlight w:val="none"/>
                <w:lang w:eastAsia="zh-CN"/>
              </w:rPr>
              <w:t>项目交付时间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自合同签订之日起1年。</w:t>
            </w:r>
          </w:p>
          <w:p w14:paraId="78D94A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color w:val="auto"/>
                <w:highlight w:val="none"/>
                <w:lang w:val="en-US"/>
              </w:rPr>
            </w:pPr>
            <w:r>
              <w:rPr>
                <w:rFonts w:hint="eastAsia" w:ascii="宋体" w:hAnsi="宋体" w:eastAsia="宋体" w:cs="宋体"/>
                <w:color w:val="auto"/>
                <w:sz w:val="24"/>
                <w:szCs w:val="24"/>
                <w:highlight w:val="none"/>
                <w:lang w:val="en-US" w:eastAsia="zh-CN"/>
              </w:rPr>
              <w:t>（3）服务期限：该项目为一招三年服务类项目，合同一年一签，采购人对乙方的工作情况及工作质量随时进行检查，并在每一年度合同执行末期对乙方全年工作情况考核评价，并根据乙方的审计工作质量情况决定是否续签合同。</w:t>
            </w:r>
          </w:p>
        </w:tc>
      </w:tr>
      <w:tr w14:paraId="5AB8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25F6CA5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46</w:t>
            </w:r>
          </w:p>
        </w:tc>
        <w:tc>
          <w:tcPr>
            <w:tcW w:w="1820" w:type="dxa"/>
            <w:vAlign w:val="center"/>
          </w:tcPr>
          <w:p w14:paraId="46DB9D3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lang w:val="en-US" w:eastAsia="zh-CN"/>
              </w:rPr>
              <w:t>异常低价</w:t>
            </w:r>
            <w:r>
              <w:rPr>
                <w:rFonts w:hint="eastAsia" w:ascii="宋体" w:hAnsi="宋体" w:eastAsia="宋体" w:cs="宋体"/>
                <w:color w:val="auto"/>
                <w:sz w:val="24"/>
                <w:szCs w:val="24"/>
                <w:highlight w:val="none"/>
                <w:lang w:val="en-US" w:eastAsia="zh-CN"/>
              </w:rPr>
              <w:t>审查</w:t>
            </w:r>
          </w:p>
        </w:tc>
        <w:tc>
          <w:tcPr>
            <w:tcW w:w="7469" w:type="dxa"/>
            <w:vAlign w:val="center"/>
          </w:tcPr>
          <w:p w14:paraId="6D22B0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依据《关于推动解决政府采购异常低价问题的通知》财库〔2026〕2号规定：</w:t>
            </w:r>
          </w:p>
          <w:p w14:paraId="2CB973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政府采购评审中出现下列情形之一的，评审委员会应当启动异常低价响应审查程序：</w:t>
            </w:r>
          </w:p>
          <w:p w14:paraId="51F40F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442801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2437C45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3.投标（响应）报价低于采购项目最高限价45%的，即投标（响应）报价&lt;采购项目最高限价×45%；</w:t>
            </w:r>
          </w:p>
          <w:p w14:paraId="564DBB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4.评审委员会基于专业判断，认为供应商报价过低，有可能影响产品质量或者不能诚信履约的其他情形。</w:t>
            </w:r>
          </w:p>
          <w:p w14:paraId="6F9146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E443F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480" w:firstLineChars="200"/>
              <w:jc w:val="left"/>
              <w:textAlignment w:val="auto"/>
              <w:rPr>
                <w:rFonts w:hint="eastAsia"/>
                <w:color w:val="auto"/>
                <w:highlight w:val="none"/>
                <w:lang w:val="en-US" w:eastAsia="zh-CN"/>
              </w:rPr>
            </w:pPr>
            <w:r>
              <w:rPr>
                <w:rFonts w:hint="eastAsia" w:ascii="宋体" w:hAnsi="宋体" w:eastAsia="宋体" w:cs="宋体"/>
                <w:color w:val="auto"/>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C0E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3" w:type="dxa"/>
            <w:vAlign w:val="center"/>
          </w:tcPr>
          <w:p w14:paraId="09A14A5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47</w:t>
            </w:r>
          </w:p>
        </w:tc>
        <w:tc>
          <w:tcPr>
            <w:tcW w:w="1820" w:type="dxa"/>
            <w:vAlign w:val="center"/>
          </w:tcPr>
          <w:p w14:paraId="669C33B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温馨提示</w:t>
            </w:r>
          </w:p>
        </w:tc>
        <w:tc>
          <w:tcPr>
            <w:tcW w:w="7469" w:type="dxa"/>
            <w:vAlign w:val="center"/>
          </w:tcPr>
          <w:p w14:paraId="0AD2BD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本项目采用远程不见面电子标的方式开标，磋商环节，供应商须自备视频摄像头及语音通话功能的设备参与在线磋商。</w:t>
            </w:r>
          </w:p>
        </w:tc>
      </w:tr>
    </w:tbl>
    <w:p w14:paraId="314C9606">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1025BE38">
      <w:pPr>
        <w:numPr>
          <w:ilvl w:val="0"/>
          <w:numId w:val="0"/>
        </w:numPr>
        <w:bidi w:val="0"/>
        <w:jc w:val="center"/>
        <w:outlineLvl w:val="1"/>
        <w:rPr>
          <w:rFonts w:hint="eastAsia" w:ascii="宋体" w:hAnsi="宋体" w:eastAsia="宋体"/>
          <w:color w:val="auto"/>
          <w:sz w:val="32"/>
          <w:szCs w:val="22"/>
          <w:highlight w:val="none"/>
        </w:rPr>
      </w:pPr>
      <w:bookmarkStart w:id="4" w:name="_Toc19851"/>
      <w:r>
        <w:rPr>
          <w:rFonts w:hint="eastAsia" w:ascii="宋体" w:hAnsi="宋体" w:eastAsia="宋体"/>
          <w:color w:val="auto"/>
          <w:sz w:val="32"/>
          <w:szCs w:val="22"/>
          <w:highlight w:val="none"/>
          <w:lang w:val="en-US" w:eastAsia="zh-CN"/>
        </w:rPr>
        <w:t>二、总则</w:t>
      </w:r>
      <w:bookmarkEnd w:id="4"/>
      <w:r>
        <w:rPr>
          <w:rFonts w:hint="eastAsia" w:ascii="宋体" w:hAnsi="宋体" w:eastAsia="宋体"/>
          <w:color w:val="auto"/>
          <w:sz w:val="32"/>
          <w:szCs w:val="22"/>
          <w:highlight w:val="none"/>
          <w:lang w:val="en-US" w:eastAsia="zh-CN"/>
        </w:rPr>
        <w:t xml:space="preserve"> </w:t>
      </w:r>
    </w:p>
    <w:p w14:paraId="19034A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1. 适用范围 </w:t>
      </w:r>
    </w:p>
    <w:p w14:paraId="55B16E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本磋商文件适用于该项目的邀请、响应、开启响应文件、信用信息查询、资格性审查、评审、成交、合同、验收等行为（法律、法规另有规定的，从其规定）。</w:t>
      </w:r>
    </w:p>
    <w:p w14:paraId="2235F05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2. 定义 </w:t>
      </w:r>
    </w:p>
    <w:p w14:paraId="28346C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2.1 “采购人”系指磋商邀请公告中载明的本项目的采购人。 </w:t>
      </w:r>
    </w:p>
    <w:p w14:paraId="0FA9AC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2.2 “采购代理机构”系指磋商邀请公告中载明的本项目的采购代理机构。 </w:t>
      </w:r>
    </w:p>
    <w:p w14:paraId="2B82633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2.3 “供应商”系指响应磋商、参加本次竞争的法人、其他组织或自然人。 </w:t>
      </w:r>
    </w:p>
    <w:p w14:paraId="54B6885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2.4 “负责人”系指法人企业的法定负责人，或其他组织为法律、行政法规规定代表单位行使职权的主要负责人，或自然人本人。 </w:t>
      </w:r>
    </w:p>
    <w:p w14:paraId="0CAE0C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2.5 “成交人”系指经评审确定的成交供应商。 </w:t>
      </w:r>
    </w:p>
    <w:p w14:paraId="0E7A42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2.6“响应文件”系指供应商提交的商务技术文件。供应商提交最后报价后，最后报价是供应商响应文件的有效组成部分。 </w:t>
      </w:r>
    </w:p>
    <w:p w14:paraId="7D93D1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2.7“电子交易平台”系指本项目政府采购活动所依托的政府采购云平台（https://www.zcygov.cn/）。 </w:t>
      </w:r>
    </w:p>
    <w:p w14:paraId="0CF09F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 4）。 </w:t>
      </w:r>
    </w:p>
    <w:p w14:paraId="69357B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2.9 “书面形式”包括数据电文形式与纸质形式。数据电文形式与纸质形式的采购活动具有同等法律效力。 </w:t>
      </w:r>
    </w:p>
    <w:p w14:paraId="792D37F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2.10 “▲” 系指实质性要求条款， “※”系指磋商过程中可能实质性变动的内容， “</w:t>
      </w:r>
      <w:r>
        <w:rPr>
          <w:rFonts w:hint="eastAsia" w:ascii="宋体" w:hAnsi="宋体" w:eastAsia="宋体" w:cs="宋体"/>
          <w:color w:val="auto"/>
          <w:kern w:val="0"/>
          <w:sz w:val="24"/>
          <w:szCs w:val="24"/>
          <w:highlight w:val="none"/>
          <w:lang w:val="en-US" w:eastAsia="zh-CN" w:bidi="ar"/>
        </w:rPr>
        <w:sym w:font="Wingdings" w:char="00FE"/>
      </w:r>
      <w:r>
        <w:rPr>
          <w:rFonts w:hint="eastAsia" w:ascii="宋体" w:hAnsi="宋体" w:eastAsia="宋体" w:cs="宋体"/>
          <w:color w:val="auto"/>
          <w:kern w:val="0"/>
          <w:sz w:val="24"/>
          <w:szCs w:val="24"/>
          <w:highlight w:val="none"/>
          <w:lang w:val="en-US" w:eastAsia="zh-CN" w:bidi="ar"/>
        </w:rPr>
        <w:t>” 系指适用本项目的要求，“☐” 系指不适用本项目的要求。</w:t>
      </w:r>
    </w:p>
    <w:p w14:paraId="524428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 xml:space="preserve">3. 响应有效期 </w:t>
      </w:r>
    </w:p>
    <w:p w14:paraId="004083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▲3.1 </w:t>
      </w:r>
      <w:r>
        <w:rPr>
          <w:rFonts w:hint="eastAsia" w:ascii="宋体" w:hAnsi="宋体" w:eastAsia="宋体" w:cs="宋体"/>
          <w:b/>
          <w:bCs/>
          <w:color w:val="auto"/>
          <w:kern w:val="0"/>
          <w:sz w:val="24"/>
          <w:szCs w:val="24"/>
          <w:highlight w:val="none"/>
          <w:lang w:val="en-US" w:eastAsia="zh-CN" w:bidi="ar"/>
        </w:rPr>
        <w:t>响应有效期为从提交响应文件的截止之日起 90 日历日。供应商的响应文件中承诺的响应有效期少于磋商文件中载明的磋商有效期的，响应无效。</w:t>
      </w:r>
    </w:p>
    <w:p w14:paraId="4E98E0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3.2 响应文件合格提交后，自响应截止日期起，在响应有效期内有效。 </w:t>
      </w:r>
    </w:p>
    <w:p w14:paraId="7CE77E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3.3 在原定响应有效期满之前，如果出现特殊情况，采购代理机构可以以书面形式通知供应商延长响应有效期。供应商同意延长的，不得要求或被允许修改其响应文件；供应商拒绝延长的，其响应无效。拒绝延长磋商有效期的供应商不得再参与该项目后续采购活动。</w:t>
      </w:r>
    </w:p>
    <w:p w14:paraId="5D38756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bidi="ar"/>
        </w:rPr>
        <w:t>4．响应费用</w:t>
      </w:r>
    </w:p>
    <w:p w14:paraId="14812288">
      <w:pPr>
        <w:keepNext w:val="0"/>
        <w:keepLines w:val="0"/>
        <w:widowControl/>
        <w:suppressLineNumbers w:val="0"/>
        <w:ind w:firstLine="420" w:firstLineChars="0"/>
        <w:jc w:val="left"/>
        <w:rPr>
          <w:color w:val="auto"/>
          <w:highlight w:val="none"/>
        </w:rPr>
      </w:pPr>
      <w:r>
        <w:rPr>
          <w:rFonts w:hint="eastAsia" w:ascii="宋体" w:hAnsi="宋体" w:eastAsia="宋体" w:cs="宋体"/>
          <w:color w:val="auto"/>
          <w:kern w:val="0"/>
          <w:sz w:val="24"/>
          <w:szCs w:val="24"/>
          <w:highlight w:val="none"/>
          <w:lang w:val="en-US" w:eastAsia="zh-CN" w:bidi="ar"/>
        </w:rPr>
        <w:t>供应商需自行承担涉及响应的一切费用。</w:t>
      </w:r>
    </w:p>
    <w:p w14:paraId="36D5E0EC">
      <w:pPr>
        <w:numPr>
          <w:ilvl w:val="0"/>
          <w:numId w:val="0"/>
        </w:numPr>
        <w:bidi w:val="0"/>
        <w:jc w:val="center"/>
        <w:outlineLvl w:val="1"/>
        <w:rPr>
          <w:rFonts w:hint="eastAsia" w:ascii="宋体" w:hAnsi="宋体" w:eastAsia="宋体"/>
          <w:color w:val="auto"/>
          <w:sz w:val="32"/>
          <w:szCs w:val="22"/>
          <w:highlight w:val="none"/>
          <w:lang w:val="en-US" w:eastAsia="zh-CN"/>
        </w:rPr>
      </w:pPr>
      <w:bookmarkStart w:id="5" w:name="_Toc22291"/>
      <w:r>
        <w:rPr>
          <w:rFonts w:hint="eastAsia" w:ascii="宋体" w:hAnsi="宋体" w:eastAsia="宋体"/>
          <w:color w:val="auto"/>
          <w:sz w:val="32"/>
          <w:szCs w:val="22"/>
          <w:highlight w:val="none"/>
          <w:lang w:val="en-US" w:eastAsia="zh-CN"/>
        </w:rPr>
        <w:t>三、需要落实的政府采购政策</w:t>
      </w:r>
      <w:bookmarkEnd w:id="5"/>
      <w:r>
        <w:rPr>
          <w:rFonts w:hint="eastAsia" w:ascii="宋体" w:hAnsi="宋体" w:eastAsia="宋体"/>
          <w:color w:val="auto"/>
          <w:sz w:val="32"/>
          <w:szCs w:val="22"/>
          <w:highlight w:val="none"/>
          <w:lang w:val="en-US" w:eastAsia="zh-CN"/>
        </w:rPr>
        <w:t xml:space="preserve"> </w:t>
      </w:r>
    </w:p>
    <w:p w14:paraId="3C5919E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color w:val="auto"/>
          <w:highlight w:val="none"/>
        </w:rPr>
      </w:pPr>
      <w:r>
        <w:rPr>
          <w:rFonts w:hint="eastAsia" w:ascii="宋体" w:hAnsi="宋体" w:eastAsia="宋体" w:cs="宋体"/>
          <w:b/>
          <w:bCs/>
          <w:color w:val="auto"/>
          <w:kern w:val="0"/>
          <w:sz w:val="24"/>
          <w:szCs w:val="24"/>
          <w:highlight w:val="none"/>
          <w:lang w:val="en-US" w:eastAsia="zh-CN" w:bidi="ar"/>
        </w:rPr>
        <w:t xml:space="preserve">3.1 是否允许采购进口产品要求 </w:t>
      </w:r>
    </w:p>
    <w:p w14:paraId="146E525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3.1.1 本项目原则上采购本国生产的货物、工程和服务，不允许采购进口产品。除采购人采购进口产品，已经在采购活动开始前向财政部门提出申请并获得财政部门审核同意，且在第三部分《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 </w:t>
      </w:r>
    </w:p>
    <w:p w14:paraId="1B22ED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3.1.2 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 号文）。 </w:t>
      </w:r>
    </w:p>
    <w:p w14:paraId="7C9AC8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b/>
          <w:bCs/>
          <w:color w:val="auto"/>
          <w:highlight w:val="none"/>
        </w:rPr>
      </w:pPr>
      <w:r>
        <w:rPr>
          <w:rFonts w:hint="eastAsia" w:ascii="宋体" w:hAnsi="宋体" w:eastAsia="宋体" w:cs="宋体"/>
          <w:b/>
          <w:bCs/>
          <w:color w:val="auto"/>
          <w:kern w:val="0"/>
          <w:sz w:val="24"/>
          <w:szCs w:val="24"/>
          <w:highlight w:val="none"/>
          <w:lang w:val="en-US" w:eastAsia="zh-CN" w:bidi="ar"/>
        </w:rPr>
        <w:t xml:space="preserve">3.2 支持绿色发展 </w:t>
      </w:r>
    </w:p>
    <w:p w14:paraId="741F9E6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3.2.1 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6EB0D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采购人拟采购的产品属于品目清单范围的，采购人及其委托的采购代理机构将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03A25D3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▲如本项目采购产品属于实施政府强制采购品目清单范围的节能产品，则供应商所报产品必须获得国家确定的认证机构出具的、处于有效期之内的节能产品认证证书，否则投标无效；</w:t>
      </w:r>
    </w:p>
    <w:p w14:paraId="29E999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非政府强制采购的节能产品或环境标志产品，依据品目清单和认证证书实施政府优先采购。优先采购的具体规定见第五部分《评标办法》（如涉及）。</w:t>
      </w:r>
    </w:p>
    <w:p w14:paraId="58D876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3.2.2 按照《财政部住房和城乡建设部关于政府采购支持绿色建材促进建筑品质提升试点工作的通知》（财库〔2020〕31 号）要求，鼓励采购人在政府采购工程中优先采购可循环可利用建材、高强度高耐久建材、绿色部品部件、绿色装饰装修材料、节水节能建材等绿色建材产品。采购人应将绿色建筑和绿色建材性能、指标等作为实质性条件纳入招标文件和合同。本项目如涉及的，则其具体要求见第四部分《采购需求》。 </w:t>
      </w:r>
    </w:p>
    <w:p w14:paraId="5B710B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3.2.3 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财办库〔2020〕123 号）。鼓励采购单位优先采购秸秆环保板材等资源综合利用产品。鼓励采购单位优先采购绿色物流配送服务、提供新能源交通工具的租赁服务。本项目如涉及商品包装和快递包装的，则其具体要求见第四部分《采购需求》。 </w:t>
      </w:r>
    </w:p>
    <w:p w14:paraId="0E6B2BB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3.2.4 鼓励供应商在参加政府采购过程中开展绿色设计、选择绿色材料、打造绿色制造工艺、开展绿色运输、做好废弃产品回收处理，实现产品全周期的绿色环保。鼓励采购单位对其提高预付款比例、免收履约保证金。要求见第四部分《采购需求》。 </w:t>
      </w:r>
    </w:p>
    <w:p w14:paraId="0017B1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3.2.5 绿色数据中心政府采购需求标准（试行） </w:t>
      </w:r>
    </w:p>
    <w:p w14:paraId="0EE212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为加快数据中心绿色转型，根据财政部生态环境部工业和信息化部关于印发《绿色数据中心政府采购需求标准（试行）》的通知（财库〔2023〕7 号），本项目如涉及绿色数据中心，则具体要求见第四部分《采购需求》（如涉及）。</w:t>
      </w:r>
    </w:p>
    <w:p w14:paraId="573FECA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3.3 支持中小企业发展</w:t>
      </w:r>
    </w:p>
    <w:p w14:paraId="559985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3.3.1 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7834FB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3.3.2 根据中华人民共和国财政部、中华人民共和国工业和信息化部《政府采购促进中小企业发展管理办法》（财库〔2020〕46 号）文件的规定，属于中小企业评审优惠内容及幅度如下：①符合中小企业划分标准（按《关于印发中小企业划型标准规定的通知》（工信部联企业〔2011〕300 号）执行）；②提供本企业制造的货物、承担的项目或者服务，或者提供其他中小企业制造的货物。本项所称货物不包括使用大型企业注册商标的货物；供应商提供的货物、工程或者服务符合下列情形的，享受中小企业扶持政策：</w:t>
      </w:r>
    </w:p>
    <w:p w14:paraId="16B7DD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（1）在货物采购项目中，货物由中小企业制造，即货物由中小企业生产且使用该中小企业商号或者注册商标； </w:t>
      </w:r>
    </w:p>
    <w:p w14:paraId="38FD53A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（2）在工程采购项目中，工程由中小企业承建，即工程施工单位为中小企业；</w:t>
      </w:r>
    </w:p>
    <w:p w14:paraId="0E187F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（3）在服务采购项目中，服务由中小企业承接，即提供服务的人员为中小企业依照《中华人民共和国劳动合同法》订立劳动合同的从业人员。</w:t>
      </w:r>
    </w:p>
    <w:p w14:paraId="55372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在货物采购项目中，供应商提供的货物既有中小企业制造货物，也有大型企业制造货物的，不享受本办法规定的中小企业扶持政策。</w:t>
      </w:r>
    </w:p>
    <w:p w14:paraId="50F24E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以联合体形式参加政府采购活动，联合体各方均为中小企业的，联合体视同中小企业。其中，联合体各方均为小微企业的，联合体视同小微企业。</w:t>
      </w:r>
    </w:p>
    <w:p w14:paraId="4274906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3.3.3 对于未预留份额专门面向中小企业的政府采购项目，以及预留份额政府采购项目中的非预留部分标项，对小型和微型企业的投标报价给予 10%-20%的扣除，用扣除后的价格参与评审。接受大中型企业与小微企业组成联合体或者允许大中型企业向一家或者多家小微企业分包的政府采购项目，对于联合协议或者分包意向协议约定小微企业的合同份额占到合同总金额 40%以上的，对联合体或者大中型企业的报价给予 4%-6% 的扣除，用扣除后的价格参加评审。组成联合体或者接受分包的小微企业与联合体内其他企业、分包企业之间存在直接控股、管理关系的，不享受价格扣除优惠政策。</w:t>
      </w:r>
    </w:p>
    <w:p w14:paraId="0AB69B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3.3.4 符合《关于促进残疾人就业政府采购政策的通知》（财库〔2017〕141 号）规定的条件并提供《残疾人福利性单位声明函》（附件 1）的残疾人福利性单位视同小型、微型企业。应当同时满足以下条件： </w:t>
      </w:r>
    </w:p>
    <w:p w14:paraId="1F4DEA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 安置的残疾人占本单位在职职工人数的比例不低于 25%（含 25%），并且安置的残疾人人数不少于 10 人（含 10 人）；</w:t>
      </w:r>
    </w:p>
    <w:p w14:paraId="01F0E1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 依法与安置的每位残疾人签订了一年以上（含一年）的劳动合同或服务协议；</w:t>
      </w:r>
    </w:p>
    <w:p w14:paraId="464A3C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 为安置的每位残疾人按月足额缴纳了基本养老保险、基本医疗保险、失业保险、工伤保险和生育保险等社会保险费； </w:t>
      </w:r>
    </w:p>
    <w:p w14:paraId="187BA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 通过银行等金融机构向安置的每位残疾人，按月支付了不低于单位所在区县适用的经省级人民政府批准的月最低工资标准的工资； </w:t>
      </w:r>
    </w:p>
    <w:p w14:paraId="7975CF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（5） 提供本单位制造的货物、承担的工程或者服务，或者提供其他残疾人福利性单位制造的货物（不包括使用非残疾人福利性单位注册商标的货物）。 </w:t>
      </w:r>
    </w:p>
    <w:p w14:paraId="7D162F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 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3C1B453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3.3.5 符合《关于政府采购支持监狱企业发展有关问题的通知》（财库[2014]68 号）规定的监狱企业并提供由省级以上监狱管理局、戒毒管理局（含新疆生产建设兵团）出具的属于监狱企业证明文件的，视同为小型、微型企业。 </w:t>
      </w:r>
    </w:p>
    <w:p w14:paraId="677A05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3.3.6 可享受中小企业扶持政策的供应商应按照招标文件格式要求提供《中小企业声明函》，供应商提供的《中小企业声明函》与实际情况不符的，不享受中小企业扶持政策。声明内容不实的，属于提供虚假材料谋取中标、成交的，依法承担法律责任。</w:t>
      </w:r>
    </w:p>
    <w:p w14:paraId="7C5BA8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3.3.7 中小企业享受扶持政策获得政府采购合同的，小微企业不得将合同分包给大中型企业，中型企业不得将合同分包给大型企业。</w:t>
      </w:r>
    </w:p>
    <w:p w14:paraId="755AEF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3.4 支持创新发展 </w:t>
      </w:r>
    </w:p>
    <w:p w14:paraId="09E319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3.4.1 采购人优先采购被认定为首台套产品和“制造精品”的自主创新产品。 </w:t>
      </w:r>
    </w:p>
    <w:p w14:paraId="2D8E3B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3.4.2 首台套产品被纳入《首台套产品推广应用指导目录》，具有明晰自主知识产权产品，供应商需提交首台（套）相关证明材料。依据《关于促进首台（套）重大技术装备示范应用的意见》（发改产业〔2018〕558 号）、《工业和信息化部国家发展改革委国务院国资委关于支持首台（套）重大技术装备平等参与企业招标投标活动的指导意见》（工信部联重装〔2023〕127 号）。本项目所投产品如涉及首台套产品，则具体要求见第五部分《评标办法》，若未对该部分做相关要求，则招标项目不落实该政策。 </w:t>
      </w:r>
    </w:p>
    <w:p w14:paraId="7EA090C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3.5 网络安全专用产品</w:t>
      </w:r>
      <w:r>
        <w:rPr>
          <w:rFonts w:hint="eastAsia" w:ascii="宋体" w:hAnsi="宋体" w:eastAsia="宋体" w:cs="宋体"/>
          <w:color w:val="auto"/>
          <w:kern w:val="0"/>
          <w:sz w:val="24"/>
          <w:szCs w:val="24"/>
          <w:highlight w:val="none"/>
          <w:lang w:val="en-US" w:eastAsia="zh-CN" w:bidi="ar"/>
        </w:rPr>
        <w:t xml:space="preserve"> </w:t>
      </w:r>
    </w:p>
    <w:p w14:paraId="07726D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网络关键设备和网络安全专用产品安全认证和安全检测结果发布公告），供应商需提供相关认证或检测结果的查询网址截图，具体要求见第四部分《采购需求》（如涉及）。 </w:t>
      </w:r>
    </w:p>
    <w:p w14:paraId="243C406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3.6 正版软件</w:t>
      </w:r>
      <w:r>
        <w:rPr>
          <w:rFonts w:hint="eastAsia" w:ascii="宋体" w:hAnsi="宋体" w:eastAsia="宋体" w:cs="宋体"/>
          <w:color w:val="auto"/>
          <w:kern w:val="0"/>
          <w:sz w:val="24"/>
          <w:szCs w:val="24"/>
          <w:highlight w:val="none"/>
          <w:lang w:val="en-US" w:eastAsia="zh-CN" w:bidi="ar"/>
        </w:rPr>
        <w:t xml:space="preserve"> </w:t>
      </w:r>
    </w:p>
    <w:p w14:paraId="3B405B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3.6.1 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投标无效。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27B8146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3.6.2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22790C9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3.7 支持乡村产业振兴管理 </w:t>
      </w:r>
    </w:p>
    <w:p w14:paraId="5EDC5A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3.7.1 为落实《关于深入持续开展政府采购脱贫地区农副产品工作推进乡村产业振兴的实施意见》（新财购〔2023〕15 号）及《关于做好 2024 年政府采购脱贫地区农副产品工作的通知》（新财购〔2024〕3 号）有关要求，本项目采购活动中对于支持做好脱贫地区农副产品政府采购工作要求见第四章《采购需求》（如涉及）。 </w:t>
      </w:r>
    </w:p>
    <w:p w14:paraId="7FA7D1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3.8 如为专门面向中小企业采购的项目，不再执行价格评审优惠的扶持政策。</w:t>
      </w:r>
    </w:p>
    <w:p w14:paraId="4441EF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p>
    <w:p w14:paraId="3547FFCA">
      <w:pPr>
        <w:numPr>
          <w:ilvl w:val="0"/>
          <w:numId w:val="0"/>
        </w:numPr>
        <w:bidi w:val="0"/>
        <w:jc w:val="center"/>
        <w:outlineLvl w:val="1"/>
        <w:rPr>
          <w:rFonts w:hint="eastAsia" w:ascii="宋体" w:hAnsi="宋体" w:eastAsia="宋体"/>
          <w:color w:val="auto"/>
          <w:sz w:val="32"/>
          <w:szCs w:val="22"/>
          <w:highlight w:val="none"/>
          <w:lang w:val="en-US" w:eastAsia="zh-CN"/>
        </w:rPr>
      </w:pPr>
      <w:bookmarkStart w:id="6" w:name="_Toc10189"/>
      <w:r>
        <w:rPr>
          <w:rFonts w:hint="eastAsia" w:ascii="宋体" w:hAnsi="宋体" w:eastAsia="宋体"/>
          <w:color w:val="auto"/>
          <w:sz w:val="32"/>
          <w:szCs w:val="22"/>
          <w:highlight w:val="none"/>
          <w:lang w:val="en-US" w:eastAsia="zh-CN"/>
        </w:rPr>
        <w:t>四、询问、质疑与投诉</w:t>
      </w:r>
      <w:bookmarkEnd w:id="6"/>
    </w:p>
    <w:p w14:paraId="4AA929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1. 在线询问、质疑、投诉 </w:t>
      </w:r>
    </w:p>
    <w:p w14:paraId="165632D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2. 供应商询问 </w:t>
      </w:r>
    </w:p>
    <w:p w14:paraId="2897C2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EF9CCC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3. 供应商质疑 </w:t>
      </w:r>
    </w:p>
    <w:p w14:paraId="7C97E8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3.1 质疑提出时效 </w:t>
      </w:r>
    </w:p>
    <w:p w14:paraId="166DF63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3.1.1 提出质疑的供应商应当是参与所质疑项目采购活动的供应商。潜在供应商已依法获取其可质疑的采购文件的，可以对该文件提出质疑。 </w:t>
      </w:r>
    </w:p>
    <w:p w14:paraId="7BAD93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3.1.2 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5E004B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3.1.2.1 对采购文件提出质疑的，质疑期限为供应商获得采购文件之日或者采购文件公告期限届满之日起计算，采购文件在获取截止之日后获得的，应当自采购文件公告期限届满之日起计算。</w:t>
      </w:r>
    </w:p>
    <w:p w14:paraId="6C8FDD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3.1.2.2 对采购过程提出质疑的，质疑期限为各采购程序环节结束之日起计算。 </w:t>
      </w:r>
    </w:p>
    <w:p w14:paraId="1A7D992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3.1.2.3 对采购结果提出质疑的，质疑期限自采购结果公告期限届满之日起计算。 </w:t>
      </w:r>
    </w:p>
    <w:p w14:paraId="01E943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3.1.2.4 对同一采购程序环节的质疑，供应商须一次性提出。 </w:t>
      </w:r>
    </w:p>
    <w:p w14:paraId="00043AA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3.2 质疑答复 </w:t>
      </w:r>
    </w:p>
    <w:p w14:paraId="56847E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3.2.1 采购人或者采购代理机构应当在收到供应商的书面质疑后七个工作日内作出答复，并以书面形式通知质疑供应商和其他与质疑处理结果有利害关系的政府采购当事人，但答复的内容不得涉及商业秘密。 </w:t>
      </w:r>
    </w:p>
    <w:p w14:paraId="2623EA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3.2.2 询问或者质疑事项可能影响采购结果的，采购人应当暂停签订合同，已经签订合同的，应当中止履行合同。</w:t>
      </w:r>
    </w:p>
    <w:p w14:paraId="6E6C017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3.3 质疑函 </w:t>
      </w:r>
    </w:p>
    <w:p w14:paraId="0294E1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3.3.1 供应商提出质疑应当提交质疑函和必要的证明材料。质疑函应当包括下列内容：</w:t>
      </w:r>
    </w:p>
    <w:p w14:paraId="3E35C402">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供应商的姓名或者名称、地址、邮编、联系人及联系电话； </w:t>
      </w:r>
    </w:p>
    <w:p w14:paraId="729AEC78">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质疑项目的名称、编号； </w:t>
      </w:r>
    </w:p>
    <w:p w14:paraId="268D252F">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具体、明确的质疑事项和与质疑事项相关的请求； </w:t>
      </w:r>
    </w:p>
    <w:p w14:paraId="04416E79">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事实依据； </w:t>
      </w:r>
    </w:p>
    <w:p w14:paraId="672CEB1E">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必要的法律依据； </w:t>
      </w:r>
    </w:p>
    <w:p w14:paraId="0B323C54">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提出质疑的日期</w:t>
      </w:r>
    </w:p>
    <w:p w14:paraId="0445E09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4.供应商投诉 </w:t>
      </w:r>
    </w:p>
    <w:p w14:paraId="6F9089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4.1 质疑供应商对采购人、采购代理机构的答复不满意或者采购人、采购代理机构未在规定的时间内作出答复的，可以在答复期满后十五个工作日内向同级政府采购监督管理部门提出投诉。 </w:t>
      </w:r>
    </w:p>
    <w:p w14:paraId="72888D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4.2 供应商投诉的事项不得超出已质疑事项的范围，基于质疑答复内容提出的投诉事项除外。</w:t>
      </w:r>
    </w:p>
    <w:p w14:paraId="6B0C5A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4.3 供应商投诉应当有明确的请求和必要的证明材料。</w:t>
      </w:r>
    </w:p>
    <w:p w14:paraId="4984DD2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4.4 以联合体形式参加政府采购活动的，其投诉应当由组成联合体的所有供应商共同提出。</w:t>
      </w:r>
    </w:p>
    <w:p w14:paraId="24F025AA">
      <w:pPr>
        <w:numPr>
          <w:ilvl w:val="0"/>
          <w:numId w:val="0"/>
        </w:numPr>
        <w:bidi w:val="0"/>
        <w:jc w:val="center"/>
        <w:outlineLvl w:val="1"/>
        <w:rPr>
          <w:rFonts w:hint="eastAsia" w:ascii="宋体" w:hAnsi="宋体" w:eastAsia="宋体"/>
          <w:color w:val="auto"/>
          <w:sz w:val="32"/>
          <w:szCs w:val="22"/>
          <w:highlight w:val="none"/>
          <w:lang w:val="en-US" w:eastAsia="zh-CN"/>
        </w:rPr>
      </w:pPr>
      <w:bookmarkStart w:id="7" w:name="_Toc9051"/>
      <w:r>
        <w:rPr>
          <w:rFonts w:hint="eastAsia" w:ascii="宋体" w:hAnsi="宋体" w:eastAsia="宋体"/>
          <w:color w:val="auto"/>
          <w:sz w:val="32"/>
          <w:szCs w:val="22"/>
          <w:highlight w:val="none"/>
          <w:lang w:val="en-US" w:eastAsia="zh-CN"/>
        </w:rPr>
        <w:t>五、磋商文件构成、修改、解释</w:t>
      </w:r>
      <w:bookmarkEnd w:id="7"/>
      <w:r>
        <w:rPr>
          <w:rFonts w:hint="eastAsia" w:ascii="宋体" w:hAnsi="宋体" w:eastAsia="宋体"/>
          <w:color w:val="auto"/>
          <w:sz w:val="32"/>
          <w:szCs w:val="22"/>
          <w:highlight w:val="none"/>
          <w:lang w:val="en-US" w:eastAsia="zh-CN"/>
        </w:rPr>
        <w:t xml:space="preserve"> </w:t>
      </w:r>
    </w:p>
    <w:p w14:paraId="328A185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1．磋商文件的构成 </w:t>
      </w:r>
    </w:p>
    <w:p w14:paraId="15D31F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1.1 磋商文件包括下列文件及附件 </w:t>
      </w:r>
    </w:p>
    <w:p w14:paraId="3DFADE33">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第一部分 供应商邀请 </w:t>
      </w:r>
    </w:p>
    <w:p w14:paraId="0F5A69D0">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第二部分 竞争性磋商流程 </w:t>
      </w:r>
    </w:p>
    <w:p w14:paraId="06741575">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第三部分 供应商须知 </w:t>
      </w:r>
    </w:p>
    <w:p w14:paraId="622FB0BD">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第四部分 采购需求 </w:t>
      </w:r>
    </w:p>
    <w:p w14:paraId="12DD267F">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第五部分 评审方法及评审标准 </w:t>
      </w:r>
    </w:p>
    <w:p w14:paraId="5EBE597C">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第六部分 拟签订的合同文本 </w:t>
      </w:r>
    </w:p>
    <w:p w14:paraId="546DE391">
      <w:pPr>
        <w:keepNext w:val="0"/>
        <w:keepLines w:val="0"/>
        <w:pageBreakBefore w:val="0"/>
        <w:widowControl/>
        <w:numPr>
          <w:ilvl w:val="0"/>
          <w:numId w:val="4"/>
        </w:numPr>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 第七部分 应提交的有关格式范例 </w:t>
      </w:r>
    </w:p>
    <w:p w14:paraId="7A496B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1.2 与本项目有关的澄清或者修改的内容为磋商文件的组成部分。 </w:t>
      </w:r>
    </w:p>
    <w:p w14:paraId="39996ED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2. 磋商文件的澄清、修改 </w:t>
      </w:r>
    </w:p>
    <w:p w14:paraId="5BF948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2.1 已获取磋商文件的潜在供应商，若有问题需要澄清，应于提交首次响应文件截止时间前，以书面形式向采购代理机构提出。 </w:t>
      </w:r>
    </w:p>
    <w:p w14:paraId="31BA09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2.2 采购代理机构对磋商文件进行澄清或修改的，将同时通过电子交易平台通知已获取磋商文件的供应商。依法应当公告的，将按规定公告，同时视情况延长提交首次响应文件截止时间和响应文件开启时间。该澄清或者修改的内容为磋商文件的组成部分。 </w:t>
      </w:r>
    </w:p>
    <w:p w14:paraId="5C7D89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2.3 澄清或者修改的内容可能影响响应文件编制的，采购人、采购代理机构应当在提交首次响应文件截止时间至少 5 日前，通过电子交易平台通知所有获取磋商文件的供应商；不足 5 日的，采购人、采购代理机构应当顺延提交首次响应文件截止时间。</w:t>
      </w:r>
    </w:p>
    <w:p w14:paraId="129E38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▲响应文件未按磋商文件的澄清、修改的内容编制，又不符合实质性要求的，响应无效。 </w:t>
      </w:r>
    </w:p>
    <w:p w14:paraId="19245772">
      <w:pPr>
        <w:numPr>
          <w:ilvl w:val="0"/>
          <w:numId w:val="0"/>
        </w:numPr>
        <w:bidi w:val="0"/>
        <w:jc w:val="center"/>
        <w:outlineLvl w:val="1"/>
        <w:rPr>
          <w:rFonts w:hint="eastAsia" w:ascii="宋体" w:hAnsi="宋体" w:eastAsia="宋体"/>
          <w:color w:val="auto"/>
          <w:sz w:val="32"/>
          <w:szCs w:val="22"/>
          <w:highlight w:val="none"/>
          <w:lang w:val="en-US" w:eastAsia="zh-CN"/>
        </w:rPr>
      </w:pPr>
      <w:bookmarkStart w:id="8" w:name="_Toc1649"/>
      <w:r>
        <w:rPr>
          <w:rFonts w:hint="eastAsia" w:ascii="宋体" w:hAnsi="宋体" w:eastAsia="宋体"/>
          <w:color w:val="auto"/>
          <w:sz w:val="32"/>
          <w:szCs w:val="22"/>
          <w:highlight w:val="none"/>
          <w:lang w:val="en-US" w:eastAsia="zh-CN"/>
        </w:rPr>
        <w:t>六、响应文件的编制</w:t>
      </w:r>
      <w:bookmarkEnd w:id="8"/>
      <w:r>
        <w:rPr>
          <w:rFonts w:hint="eastAsia" w:ascii="宋体" w:hAnsi="宋体" w:eastAsia="宋体"/>
          <w:color w:val="auto"/>
          <w:sz w:val="32"/>
          <w:szCs w:val="22"/>
          <w:highlight w:val="none"/>
          <w:lang w:val="en-US" w:eastAsia="zh-CN"/>
        </w:rPr>
        <w:t xml:space="preserve"> </w:t>
      </w:r>
    </w:p>
    <w:p w14:paraId="33000DF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1. 响应文件的语言 </w:t>
      </w:r>
    </w:p>
    <w:p w14:paraId="099B4D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响应文件及供应商与采购有关的来往通知、函件和文件均应使用中文。 </w:t>
      </w:r>
    </w:p>
    <w:p w14:paraId="42F845A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2. 响应文件的组成 </w:t>
      </w:r>
    </w:p>
    <w:p w14:paraId="45E8B0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响应文件应当包括以下主要内容：</w:t>
      </w:r>
    </w:p>
    <w:p w14:paraId="408972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（1）资格文件 </w:t>
      </w:r>
    </w:p>
    <w:p w14:paraId="344E80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（2）商务技术文件 </w:t>
      </w:r>
    </w:p>
    <w:p w14:paraId="0F7B75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（3）报价文件 </w:t>
      </w:r>
    </w:p>
    <w:p w14:paraId="70ED87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详见响应文件格式 </w:t>
      </w:r>
    </w:p>
    <w:p w14:paraId="3D56E1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3. 响应文件的编制和签署 </w:t>
      </w:r>
    </w:p>
    <w:p w14:paraId="66CB9F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 各供应商在编制响应文件时请按照磋商文件第七部分规定的格式进行，混乱的编排导致响应文件被误读或磋商小组查找不到有效文件是供应商的风险。</w:t>
      </w:r>
    </w:p>
    <w:p w14:paraId="503467B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3.2 供应商进行电子交易应安装客户端软件—“政采云电子交易客户端”，并按照磋商文件和电子交易平台的要求编制并加密响应文件。供应商未按规定加密的响应文件，电子交易平台将拒收并提示。 </w:t>
      </w:r>
    </w:p>
    <w:p w14:paraId="24408D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 使用“政采云电子交易客户端”需要提前申领 CA 数字证书，申领流程请自行前往“新疆政府采购网-下载专区-电子交易客户端-CA 驱动和申领流程”进行查阅。</w:t>
      </w:r>
    </w:p>
    <w:p w14:paraId="089BCD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3.4 响应文件按照磋商文件第七部分格式要求进行签署、盖章。</w:t>
      </w:r>
      <w:r>
        <w:rPr>
          <w:rFonts w:hint="eastAsia" w:ascii="宋体" w:hAnsi="宋体" w:eastAsia="宋体" w:cs="宋体"/>
          <w:b/>
          <w:bCs/>
          <w:color w:val="auto"/>
          <w:kern w:val="0"/>
          <w:sz w:val="24"/>
          <w:szCs w:val="24"/>
          <w:highlight w:val="none"/>
          <w:lang w:val="en-US" w:eastAsia="zh-CN" w:bidi="ar"/>
        </w:rPr>
        <w:t>▲供应商的响应文件未按照磋商文件要求签署、盖章的，其响应无效。</w:t>
      </w:r>
      <w:r>
        <w:rPr>
          <w:rFonts w:hint="eastAsia" w:ascii="宋体" w:hAnsi="宋体" w:eastAsia="宋体" w:cs="宋体"/>
          <w:color w:val="auto"/>
          <w:kern w:val="0"/>
          <w:sz w:val="24"/>
          <w:szCs w:val="24"/>
          <w:highlight w:val="none"/>
          <w:lang w:val="en-US" w:eastAsia="zh-CN" w:bidi="ar"/>
        </w:rPr>
        <w:t xml:space="preserve"> </w:t>
      </w:r>
    </w:p>
    <w:p w14:paraId="290C4B7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3.5 为确保网上操作合法、有效和安全，供应商应当在响应截止时间前完成在“政府采购云平台”的身份认证，确保在电子交易过程中能够对相关数据电文进行加密和使用电子签名。 </w:t>
      </w:r>
    </w:p>
    <w:p w14:paraId="7F7F4F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3.6 磋商文件对响应文件签署、盖章的要求适用于电子签名。</w:t>
      </w:r>
    </w:p>
    <w:p w14:paraId="78EAB16F">
      <w:pPr>
        <w:numPr>
          <w:ilvl w:val="0"/>
          <w:numId w:val="0"/>
        </w:numPr>
        <w:bidi w:val="0"/>
        <w:jc w:val="center"/>
        <w:outlineLvl w:val="1"/>
        <w:rPr>
          <w:rFonts w:hint="eastAsia" w:ascii="宋体" w:hAnsi="宋体" w:eastAsia="宋体"/>
          <w:color w:val="auto"/>
          <w:sz w:val="32"/>
          <w:szCs w:val="22"/>
          <w:highlight w:val="none"/>
          <w:lang w:val="en-US" w:eastAsia="zh-CN"/>
        </w:rPr>
      </w:pPr>
      <w:bookmarkStart w:id="9" w:name="_Toc16160"/>
      <w:r>
        <w:rPr>
          <w:rFonts w:hint="eastAsia" w:ascii="宋体" w:hAnsi="宋体" w:eastAsia="宋体"/>
          <w:color w:val="auto"/>
          <w:sz w:val="32"/>
          <w:szCs w:val="22"/>
          <w:highlight w:val="none"/>
          <w:lang w:val="en-US" w:eastAsia="zh-CN"/>
        </w:rPr>
        <w:t>七、响应文件的提交和备份</w:t>
      </w:r>
      <w:bookmarkEnd w:id="9"/>
      <w:r>
        <w:rPr>
          <w:rFonts w:hint="eastAsia" w:ascii="宋体" w:hAnsi="宋体" w:eastAsia="宋体"/>
          <w:color w:val="auto"/>
          <w:sz w:val="32"/>
          <w:szCs w:val="22"/>
          <w:highlight w:val="none"/>
          <w:lang w:val="en-US" w:eastAsia="zh-CN"/>
        </w:rPr>
        <w:t xml:space="preserve"> </w:t>
      </w:r>
    </w:p>
    <w:p w14:paraId="35375A9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1.响应文件的提交、补充、修改、撤回 </w:t>
      </w:r>
    </w:p>
    <w:p w14:paraId="7D38EF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39A3748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1.2 在响应截止时间以后，不能补充、修改响应文件。 </w:t>
      </w:r>
    </w:p>
    <w:p w14:paraId="7EF2BE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1.3 在提交“最后报价”后，供应商不能退出磋商。</w:t>
      </w:r>
    </w:p>
    <w:p w14:paraId="13C8DAE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1.4 电子交易平台收到响应文件，将妥善保存并即时向供应商发出确认回执通知。在响应截止时间前，除供应商补充、修改或者撤回响应文件外，任何单位和个人不得解密或提取响应文件。 </w:t>
      </w:r>
    </w:p>
    <w:p w14:paraId="3A7891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1.5 采购代理机构可以视情况延长提交响应文件的截止时间。在上述情况下，采购 </w:t>
      </w:r>
    </w:p>
    <w:p w14:paraId="7B6C91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代理机构与供应商以前在响应截止期方面的全部权利、责任和义务，将适用于延长至新 </w:t>
      </w:r>
    </w:p>
    <w:p w14:paraId="46C887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的响应截止期。 </w:t>
      </w:r>
    </w:p>
    <w:p w14:paraId="5673002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2.备份响应文件 </w:t>
      </w:r>
    </w:p>
    <w:p w14:paraId="4C5FAFC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2.1 供应商在电子交易平台传输提交响应文件后，还可以在响应截止时间前直接提交或者以邮政快递方式递交备份响应文件 1 份，但采购人、采购代理机构不强制或变相强制供应商提交备份响应文件。 </w:t>
      </w:r>
    </w:p>
    <w:p w14:paraId="0D5E91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2.2 备份响应文件须在“政采云投标客户端”制作生成，并储存在不可修改的电子光盘等存储介质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宋体" w:hAnsi="宋体" w:eastAsia="宋体" w:cs="宋体"/>
          <w:b w:val="0"/>
          <w:bCs w:val="0"/>
          <w:color w:val="auto"/>
          <w:kern w:val="0"/>
          <w:sz w:val="24"/>
          <w:szCs w:val="24"/>
          <w:highlight w:val="none"/>
          <w:lang w:val="en-US" w:eastAsia="zh-CN" w:bidi="ar"/>
        </w:rPr>
        <w:t xml:space="preserve">▲不符合上述制作、存储、密封规定的备份响应文件将被视为无效或者被拒绝接收。 </w:t>
      </w:r>
    </w:p>
    <w:p w14:paraId="5451F77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2.3 直接提交备份响应文件的，供应商应于响应截止时间前在磋商公告中载明的开启响应文件的地点将备份响应文件提交给采购代理机构，采购代理机构将拒绝接受逾期送达的备份响应文件。 </w:t>
      </w:r>
    </w:p>
    <w:p w14:paraId="5AB56F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2.4 以邮政快递方式递交备份响应文件的，供应商应先将备份响应文件按要求密封和标记，再进行邮政快递包装后邮寄。备份响应文件须在提交响应文件截止时间之前送达磋商文件第三部分供应商须知前附表规定的备份响应文件送达地点；送达时间以签收人签收时间为准。采购代理机构将拒绝接受逾期送达的备份响应文件。邮寄过程中，电子备份响应文件发生泄露、遗失、损坏或延期送达等情况的，由供应商自行负责。 </w:t>
      </w:r>
    </w:p>
    <w:p w14:paraId="1E46CD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2.5 ▲供应商仅提交备份响应文件，未在电子交易平台传输提交响应文件的，响应无效。</w:t>
      </w:r>
    </w:p>
    <w:p w14:paraId="651A2762">
      <w:pPr>
        <w:numPr>
          <w:ilvl w:val="0"/>
          <w:numId w:val="0"/>
        </w:numPr>
        <w:bidi w:val="0"/>
        <w:jc w:val="center"/>
        <w:outlineLvl w:val="1"/>
        <w:rPr>
          <w:rFonts w:hint="eastAsia" w:ascii="宋体" w:hAnsi="宋体" w:eastAsia="宋体"/>
          <w:color w:val="auto"/>
          <w:sz w:val="32"/>
          <w:szCs w:val="22"/>
          <w:highlight w:val="none"/>
          <w:lang w:val="en-US" w:eastAsia="zh-CN"/>
        </w:rPr>
      </w:pPr>
      <w:bookmarkStart w:id="10" w:name="_Toc1452"/>
      <w:r>
        <w:rPr>
          <w:rFonts w:hint="eastAsia" w:ascii="宋体" w:hAnsi="宋体" w:eastAsia="宋体"/>
          <w:color w:val="auto"/>
          <w:sz w:val="32"/>
          <w:szCs w:val="22"/>
          <w:highlight w:val="none"/>
          <w:lang w:val="en-US" w:eastAsia="zh-CN"/>
        </w:rPr>
        <w:t>八、开启响应文件与信用信息查询</w:t>
      </w:r>
      <w:bookmarkEnd w:id="10"/>
      <w:r>
        <w:rPr>
          <w:rFonts w:hint="eastAsia" w:ascii="宋体" w:hAnsi="宋体" w:eastAsia="宋体"/>
          <w:color w:val="auto"/>
          <w:sz w:val="32"/>
          <w:szCs w:val="22"/>
          <w:highlight w:val="none"/>
          <w:lang w:val="en-US" w:eastAsia="zh-CN"/>
        </w:rPr>
        <w:t xml:space="preserve"> </w:t>
      </w:r>
    </w:p>
    <w:p w14:paraId="0A43066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 xml:space="preserve">1. 开启响应文件 </w:t>
      </w:r>
    </w:p>
    <w:p w14:paraId="43CB15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1.1 采购代理机构按照磋商文件规定的时间通过电子交易平台组织响应文件开启，所有供应商均应当准时在线参加。供应商数量不符合规定的，不得开启响应文件。</w:t>
      </w:r>
    </w:p>
    <w:p w14:paraId="14055F5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1.2 开启响应文件时，电子交易平台按开启响应文件时间自动提取所有响应文件。采购代理机构依托电子交易平台发起开始解密指令，供应商按照平台提示和磋商文件的规定在半小时内完成在线解密。 </w:t>
      </w:r>
    </w:p>
    <w:p w14:paraId="35FA58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 响应文件未在规定时间内成功解密的供应商，如提交了备份响应文件的，以备份响应文件作为依据，否则视为响应文件撤回。响应文件解密成功的供应商，其备份响应文件自动失效。</w:t>
      </w:r>
    </w:p>
    <w:p w14:paraId="1CBB12F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2.信用信息查询 </w:t>
      </w:r>
    </w:p>
    <w:p w14:paraId="74732B8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2.1 信用信息查询渠道及截止时间：采购代理机构将通过“信用中国”网站(www.creditchina.gov.cn)、中国政府采购网(www.ccgp.gov.cn)渠道查询供应商响应截止时间前的信用记录。 </w:t>
      </w:r>
    </w:p>
    <w:p w14:paraId="208984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2.2 信用信息查询记录和证据留存的具体方式：现场查询的供应商的信用记录、查询结果经确认后存档。 </w:t>
      </w:r>
    </w:p>
    <w:p w14:paraId="4A54558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 信用信息的使用规则：经查询列入失信被执行人名单、重大税收违法案件当事人名单、政府采购严重违法失信行为记录名单的供应商将被拒绝参与政府采购活动。</w:t>
      </w:r>
    </w:p>
    <w:p w14:paraId="48605EF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E4A2939">
      <w:pPr>
        <w:numPr>
          <w:ilvl w:val="0"/>
          <w:numId w:val="0"/>
        </w:numPr>
        <w:bidi w:val="0"/>
        <w:jc w:val="center"/>
        <w:outlineLvl w:val="1"/>
        <w:rPr>
          <w:rFonts w:hint="eastAsia" w:ascii="宋体" w:hAnsi="宋体" w:eastAsia="宋体"/>
          <w:color w:val="auto"/>
          <w:sz w:val="32"/>
          <w:szCs w:val="22"/>
          <w:highlight w:val="none"/>
          <w:lang w:val="en-US" w:eastAsia="zh-CN"/>
        </w:rPr>
      </w:pPr>
      <w:bookmarkStart w:id="11" w:name="_Toc23794"/>
      <w:r>
        <w:rPr>
          <w:rFonts w:hint="eastAsia" w:ascii="宋体" w:hAnsi="宋体" w:eastAsia="宋体"/>
          <w:color w:val="auto"/>
          <w:sz w:val="32"/>
          <w:szCs w:val="22"/>
          <w:highlight w:val="none"/>
          <w:lang w:val="en-US" w:eastAsia="zh-CN"/>
        </w:rPr>
        <w:t>九、提交最后报价</w:t>
      </w:r>
      <w:bookmarkEnd w:id="11"/>
      <w:r>
        <w:rPr>
          <w:rFonts w:hint="eastAsia" w:ascii="宋体" w:hAnsi="宋体" w:eastAsia="宋体"/>
          <w:color w:val="auto"/>
          <w:sz w:val="32"/>
          <w:szCs w:val="22"/>
          <w:highlight w:val="none"/>
          <w:lang w:val="en-US" w:eastAsia="zh-CN"/>
        </w:rPr>
        <w:t xml:space="preserve"> </w:t>
      </w:r>
    </w:p>
    <w:p w14:paraId="55E0525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1.供应商的最后报价文件应包括以下内容（均需使用电子签名）： </w:t>
      </w:r>
    </w:p>
    <w:p w14:paraId="4F8205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 最后报价一览表； </w:t>
      </w:r>
    </w:p>
    <w:p w14:paraId="6AE7594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2.磋商并不限定只进行二轮报价，如果磋商小组认为有必要，可以要求供应商进行多轮报价。</w:t>
      </w:r>
      <w:r>
        <w:rPr>
          <w:rFonts w:hint="eastAsia" w:ascii="宋体" w:hAnsi="宋体" w:eastAsia="宋体" w:cs="宋体"/>
          <w:b/>
          <w:bCs/>
          <w:color w:val="auto"/>
          <w:sz w:val="24"/>
          <w:szCs w:val="24"/>
          <w:highlight w:val="none"/>
          <w:lang w:val="en-US" w:eastAsia="zh-CN"/>
        </w:rPr>
        <w:t>供应商未在规定时间内提交二轮报价或多轮报价的，其报价无效。</w:t>
      </w:r>
    </w:p>
    <w:p w14:paraId="0B6099F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3.在磋商内容不做实质性变更或重大调整的前提下，供应商下一轮报价不得高于上一轮报价。 </w:t>
      </w:r>
    </w:p>
    <w:p w14:paraId="460963E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4.最后报价是供应商响应文件的有效组成部分，最后报价也是签订合同的依据。 </w:t>
      </w:r>
    </w:p>
    <w:p w14:paraId="3AA5BD69">
      <w:pPr>
        <w:numPr>
          <w:ilvl w:val="0"/>
          <w:numId w:val="0"/>
        </w:numPr>
        <w:bidi w:val="0"/>
        <w:jc w:val="center"/>
        <w:outlineLvl w:val="1"/>
        <w:rPr>
          <w:rFonts w:hint="eastAsia" w:ascii="宋体" w:hAnsi="宋体" w:eastAsia="宋体"/>
          <w:color w:val="auto"/>
          <w:sz w:val="32"/>
          <w:szCs w:val="22"/>
          <w:highlight w:val="none"/>
          <w:lang w:val="en-US" w:eastAsia="zh-CN"/>
        </w:rPr>
      </w:pPr>
      <w:bookmarkStart w:id="12" w:name="_Toc8274"/>
      <w:r>
        <w:rPr>
          <w:rFonts w:hint="eastAsia" w:ascii="宋体" w:hAnsi="宋体" w:eastAsia="宋体"/>
          <w:color w:val="auto"/>
          <w:sz w:val="32"/>
          <w:szCs w:val="22"/>
          <w:highlight w:val="none"/>
          <w:lang w:val="en-US" w:eastAsia="zh-CN"/>
        </w:rPr>
        <w:t>十、评审</w:t>
      </w:r>
      <w:bookmarkEnd w:id="12"/>
      <w:r>
        <w:rPr>
          <w:rFonts w:hint="eastAsia" w:ascii="宋体" w:hAnsi="宋体" w:eastAsia="宋体"/>
          <w:color w:val="auto"/>
          <w:sz w:val="32"/>
          <w:szCs w:val="22"/>
          <w:highlight w:val="none"/>
          <w:lang w:val="en-US" w:eastAsia="zh-CN"/>
        </w:rPr>
        <w:t xml:space="preserve"> </w:t>
      </w:r>
    </w:p>
    <w:p w14:paraId="6BE458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 评审方法：</w:t>
      </w:r>
      <w:r>
        <w:rPr>
          <w:rFonts w:hint="eastAsia" w:ascii="宋体" w:hAnsi="宋体" w:eastAsia="宋体" w:cs="宋体"/>
          <w:color w:val="auto"/>
          <w:sz w:val="24"/>
          <w:szCs w:val="24"/>
          <w:highlight w:val="none"/>
          <w:lang w:val="en-US" w:eastAsia="zh-CN"/>
        </w:rPr>
        <w:t>综合评分法。</w:t>
      </w:r>
    </w:p>
    <w:p w14:paraId="40FA9C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 价格分计算方法：</w:t>
      </w:r>
      <w:r>
        <w:rPr>
          <w:rFonts w:hint="eastAsia" w:ascii="宋体" w:hAnsi="宋体" w:eastAsia="宋体" w:cs="宋体"/>
          <w:color w:val="auto"/>
          <w:sz w:val="24"/>
          <w:szCs w:val="24"/>
          <w:highlight w:val="none"/>
          <w:lang w:val="en-US" w:eastAsia="zh-CN"/>
        </w:rPr>
        <w:t xml:space="preserve">低价优先法。 </w:t>
      </w:r>
    </w:p>
    <w:p w14:paraId="21FF022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 评审要求：</w:t>
      </w:r>
      <w:r>
        <w:rPr>
          <w:rFonts w:hint="eastAsia" w:ascii="宋体" w:hAnsi="宋体" w:eastAsia="宋体" w:cs="宋体"/>
          <w:color w:val="auto"/>
          <w:sz w:val="24"/>
          <w:szCs w:val="24"/>
          <w:highlight w:val="none"/>
          <w:lang w:val="en-US" w:eastAsia="zh-CN"/>
        </w:rPr>
        <w:t xml:space="preserve">详见磋商文件第五部分“评审方法及评审标准”。 </w:t>
      </w:r>
    </w:p>
    <w:p w14:paraId="7F131765">
      <w:pPr>
        <w:numPr>
          <w:ilvl w:val="0"/>
          <w:numId w:val="0"/>
        </w:numPr>
        <w:bidi w:val="0"/>
        <w:jc w:val="center"/>
        <w:outlineLvl w:val="1"/>
        <w:rPr>
          <w:rFonts w:hint="eastAsia" w:ascii="宋体" w:hAnsi="宋体" w:eastAsia="宋体"/>
          <w:color w:val="auto"/>
          <w:sz w:val="32"/>
          <w:szCs w:val="22"/>
          <w:highlight w:val="none"/>
          <w:lang w:val="en-US" w:eastAsia="zh-CN"/>
        </w:rPr>
      </w:pPr>
      <w:bookmarkStart w:id="13" w:name="_Toc23753"/>
      <w:r>
        <w:rPr>
          <w:rFonts w:hint="eastAsia" w:ascii="宋体" w:hAnsi="宋体" w:eastAsia="宋体"/>
          <w:color w:val="auto"/>
          <w:sz w:val="32"/>
          <w:szCs w:val="22"/>
          <w:highlight w:val="none"/>
          <w:lang w:val="en-US" w:eastAsia="zh-CN"/>
        </w:rPr>
        <w:t>十一、成交</w:t>
      </w:r>
      <w:bookmarkEnd w:id="13"/>
      <w:r>
        <w:rPr>
          <w:rFonts w:hint="eastAsia" w:ascii="宋体" w:hAnsi="宋体" w:eastAsia="宋体"/>
          <w:color w:val="auto"/>
          <w:sz w:val="32"/>
          <w:szCs w:val="22"/>
          <w:highlight w:val="none"/>
          <w:lang w:val="en-US" w:eastAsia="zh-CN"/>
        </w:rPr>
        <w:t xml:space="preserve"> </w:t>
      </w:r>
    </w:p>
    <w:p w14:paraId="152390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 推荐成交候选供应商 </w:t>
      </w:r>
    </w:p>
    <w:p w14:paraId="12BFA1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 磋商小组将根据综合评分情况，按照评审得分由高到低顺序推荐 3 名成交候选供应商，并编写评审报告。</w:t>
      </w:r>
    </w:p>
    <w:p w14:paraId="3BE4B3A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1.2 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 </w:t>
      </w:r>
    </w:p>
    <w:p w14:paraId="1E07B49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 评审得分相同的，按照最后报价由低到高的顺序推荐。评审得分且最后报价相同的，按照技术指标优劣顺序推荐。</w:t>
      </w:r>
    </w:p>
    <w:p w14:paraId="34CFCFA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2. 确定成交供应商 </w:t>
      </w:r>
    </w:p>
    <w:p w14:paraId="353752A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政府采购项目实行全流程电子化，评审报告送交、采购结果确定和结果公告均在线完成。为进一步提升采购结果确定效率，采购代理机构应当依法及时将评审报告在线送交采购人。采购人应当自收到评审报告之日起 5个工作日内在线确定成交供应商。成交通知书和成交结果公告应当在规定时间内同时发出。 </w:t>
      </w:r>
    </w:p>
    <w:p w14:paraId="4979976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3．成交通知及成交结果公告 </w:t>
      </w:r>
    </w:p>
    <w:p w14:paraId="31F79C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3.1 自成交人确定之日起 5 个工作日内，采购代理机构通过电子交易平台向成交人发出成交通知书，同时编制发布采购成交结果公告。采购代理机构也可以以纸质形式进行成交通知。 </w:t>
      </w:r>
    </w:p>
    <w:p w14:paraId="36D8D39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3.2 成交结果公告内容应当包括采购人及其委托的采购代理机构的名称、地址、联系方式，项目名称和项目编号，成交供应商名称、地址和成交金额，主要成交标的的名称、规格型号、数量、单价、服务要求，成交结果公告期限、评审专家名单以及供应商须知前附表中约定进行公告的内容。 </w:t>
      </w:r>
    </w:p>
    <w:p w14:paraId="61E658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 公告期限为 1 个工作日。</w:t>
      </w:r>
    </w:p>
    <w:p w14:paraId="69567D79">
      <w:pPr>
        <w:numPr>
          <w:ilvl w:val="0"/>
          <w:numId w:val="0"/>
        </w:numPr>
        <w:bidi w:val="0"/>
        <w:jc w:val="center"/>
        <w:outlineLvl w:val="1"/>
        <w:rPr>
          <w:rFonts w:hint="eastAsia" w:ascii="宋体" w:hAnsi="宋体" w:eastAsia="宋体"/>
          <w:color w:val="auto"/>
          <w:sz w:val="32"/>
          <w:szCs w:val="22"/>
          <w:highlight w:val="none"/>
          <w:lang w:val="en-US" w:eastAsia="zh-CN"/>
        </w:rPr>
      </w:pPr>
      <w:bookmarkStart w:id="14" w:name="_Toc11533"/>
      <w:r>
        <w:rPr>
          <w:rFonts w:hint="eastAsia" w:ascii="宋体" w:hAnsi="宋体" w:eastAsia="宋体"/>
          <w:color w:val="auto"/>
          <w:sz w:val="32"/>
          <w:szCs w:val="22"/>
          <w:highlight w:val="none"/>
          <w:lang w:val="en-US" w:eastAsia="zh-CN"/>
        </w:rPr>
        <w:t>十二、合同</w:t>
      </w:r>
      <w:bookmarkEnd w:id="14"/>
      <w:r>
        <w:rPr>
          <w:rFonts w:hint="eastAsia" w:ascii="宋体" w:hAnsi="宋体" w:eastAsia="宋体"/>
          <w:color w:val="auto"/>
          <w:sz w:val="32"/>
          <w:szCs w:val="22"/>
          <w:highlight w:val="none"/>
          <w:lang w:val="en-US" w:eastAsia="zh-CN"/>
        </w:rPr>
        <w:t xml:space="preserve"> </w:t>
      </w:r>
    </w:p>
    <w:p w14:paraId="531E0A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1.合同主要条款：</w:t>
      </w:r>
      <w:r>
        <w:rPr>
          <w:rFonts w:hint="eastAsia" w:ascii="宋体" w:hAnsi="宋体" w:eastAsia="宋体" w:cs="宋体"/>
          <w:color w:val="auto"/>
          <w:sz w:val="24"/>
          <w:szCs w:val="24"/>
          <w:highlight w:val="none"/>
          <w:lang w:val="en-US" w:eastAsia="zh-CN"/>
        </w:rPr>
        <w:t xml:space="preserve">详见“第六部分拟签订的合同文本”。 </w:t>
      </w:r>
    </w:p>
    <w:p w14:paraId="33AE49D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2.合同的签订</w:t>
      </w:r>
      <w:r>
        <w:rPr>
          <w:rFonts w:hint="eastAsia" w:ascii="宋体" w:hAnsi="宋体" w:eastAsia="宋体" w:cs="宋体"/>
          <w:color w:val="auto"/>
          <w:sz w:val="24"/>
          <w:szCs w:val="24"/>
          <w:highlight w:val="none"/>
          <w:lang w:val="en-US" w:eastAsia="zh-CN"/>
        </w:rPr>
        <w:t xml:space="preserve"> </w:t>
      </w:r>
    </w:p>
    <w:p w14:paraId="298710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 除不可抗力等特殊情况外，原则上采购人应当在成交通知书发出之日起 30 个工作日内，与成交供应商按照磋商文件确定的事项签订政府采购合同，并在签订之日起 2 个工作日内将政府采购合同在新疆政府采购网上公告。鼓励有条件的采购人视情缩减采购合同签订时限，提高采购效率，杜绝“冷、硬、横、推”等不当行为。</w:t>
      </w:r>
    </w:p>
    <w:p w14:paraId="497E50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2.2 成交人按规定的日期、时间、地点，由法定代表人或其授权代表与采购人代表签订合同。如成交人为联合体的，由联合体成员各方法定代表人或其授权代表与采购人代表签订合同。 </w:t>
      </w:r>
    </w:p>
    <w:p w14:paraId="386802D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7C001A4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4ADA9C5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 如签订合同并生效后，供应商无故拒绝或延期，除按照合同条款处理外，列入不良行为记录一次，并给予通报。</w:t>
      </w:r>
    </w:p>
    <w:p w14:paraId="5AC84D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 采购合同由采购人与成交供应商根据磋商文件、响应文件等内容签订。</w:t>
      </w:r>
    </w:p>
    <w:p w14:paraId="2D5F43D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3．履约保证金 </w:t>
      </w:r>
    </w:p>
    <w:p w14:paraId="2A02DC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拟签订的合同文本要求成交供应商提交履约保证金的，供应商应当以支票、汇票、本票或者金融机构、担保机构出具的保函等非现金形式提交。履约保证金的数额不得超过政府采购合同金额的 10%，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 </w:t>
      </w:r>
    </w:p>
    <w:p w14:paraId="2B776F7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 400-903-9583。</w:t>
      </w:r>
    </w:p>
    <w:p w14:paraId="6649F67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4.预付款</w:t>
      </w:r>
      <w:r>
        <w:rPr>
          <w:rFonts w:hint="eastAsia" w:ascii="宋体" w:hAnsi="宋体" w:eastAsia="宋体" w:cs="宋体"/>
          <w:color w:val="auto"/>
          <w:sz w:val="24"/>
          <w:szCs w:val="24"/>
          <w:highlight w:val="none"/>
          <w:lang w:val="en-US" w:eastAsia="zh-CN"/>
        </w:rPr>
        <w:t>（详见第六部分 拟签订的合同文本）</w:t>
      </w:r>
    </w:p>
    <w:p w14:paraId="010132B6">
      <w:pPr>
        <w:numPr>
          <w:ilvl w:val="0"/>
          <w:numId w:val="0"/>
        </w:numPr>
        <w:bidi w:val="0"/>
        <w:jc w:val="center"/>
        <w:outlineLvl w:val="1"/>
        <w:rPr>
          <w:rFonts w:hint="eastAsia" w:ascii="宋体" w:hAnsi="宋体" w:eastAsia="宋体"/>
          <w:color w:val="auto"/>
          <w:sz w:val="32"/>
          <w:szCs w:val="22"/>
          <w:highlight w:val="none"/>
          <w:lang w:val="en-US" w:eastAsia="zh-CN"/>
        </w:rPr>
      </w:pPr>
      <w:bookmarkStart w:id="15" w:name="_Toc7926"/>
      <w:r>
        <w:rPr>
          <w:rFonts w:hint="eastAsia" w:ascii="宋体" w:hAnsi="宋体" w:eastAsia="宋体"/>
          <w:color w:val="auto"/>
          <w:sz w:val="32"/>
          <w:szCs w:val="22"/>
          <w:highlight w:val="none"/>
          <w:lang w:val="en-US" w:eastAsia="zh-CN"/>
        </w:rPr>
        <w:t>十三、验收</w:t>
      </w:r>
      <w:bookmarkEnd w:id="15"/>
      <w:r>
        <w:rPr>
          <w:rFonts w:hint="eastAsia" w:ascii="宋体" w:hAnsi="宋体" w:eastAsia="宋体"/>
          <w:color w:val="auto"/>
          <w:sz w:val="32"/>
          <w:szCs w:val="22"/>
          <w:highlight w:val="none"/>
          <w:lang w:val="en-US" w:eastAsia="zh-CN"/>
        </w:rPr>
        <w:t xml:space="preserve"> </w:t>
      </w:r>
    </w:p>
    <w:p w14:paraId="4DE8BF2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1.验收 </w:t>
      </w:r>
    </w:p>
    <w:p w14:paraId="4203AF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136BA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 采购人可以邀请参加本项目的其他供应商或者第三方机构参与验收。参与验收的供应商或者第三方机构的意见作为验收书的参考资料一并存档。</w:t>
      </w:r>
    </w:p>
    <w:p w14:paraId="5539FE5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 严格按照采购合同开展履约验收。采购人成立验收小组，按照采购合同的约定对供应商履约情况进行验收。验收时，按照采购合同的约定对每一项技术、服务、安全 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302D2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 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7B4B662">
      <w:pPr>
        <w:numPr>
          <w:ilvl w:val="0"/>
          <w:numId w:val="0"/>
        </w:numPr>
        <w:bidi w:val="0"/>
        <w:jc w:val="center"/>
        <w:outlineLvl w:val="1"/>
        <w:rPr>
          <w:rFonts w:hint="eastAsia" w:ascii="宋体" w:hAnsi="宋体" w:eastAsia="宋体"/>
          <w:color w:val="auto"/>
          <w:sz w:val="32"/>
          <w:szCs w:val="22"/>
          <w:highlight w:val="none"/>
          <w:lang w:val="en-US" w:eastAsia="zh-CN"/>
        </w:rPr>
      </w:pPr>
      <w:bookmarkStart w:id="16" w:name="_Toc1549"/>
      <w:r>
        <w:rPr>
          <w:rFonts w:hint="eastAsia" w:ascii="宋体" w:hAnsi="宋体" w:eastAsia="宋体"/>
          <w:color w:val="auto"/>
          <w:sz w:val="32"/>
          <w:szCs w:val="22"/>
          <w:highlight w:val="none"/>
          <w:lang w:val="en-US" w:eastAsia="zh-CN"/>
        </w:rPr>
        <w:t>十四、电子交易活动的中止</w:t>
      </w:r>
      <w:bookmarkEnd w:id="16"/>
      <w:r>
        <w:rPr>
          <w:rFonts w:hint="eastAsia" w:ascii="宋体" w:hAnsi="宋体" w:eastAsia="宋体"/>
          <w:color w:val="auto"/>
          <w:sz w:val="32"/>
          <w:szCs w:val="22"/>
          <w:highlight w:val="none"/>
          <w:lang w:val="en-US" w:eastAsia="zh-CN"/>
        </w:rPr>
        <w:t xml:space="preserve"> </w:t>
      </w:r>
    </w:p>
    <w:p w14:paraId="590828D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 电子交易活动的中止 </w:t>
      </w:r>
    </w:p>
    <w:p w14:paraId="4628E5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采购过程中出现以下情形，导致电子交易平台无法正常运行，或者无法保证电子交易的公平、公正和安全时，采购代理机构可中止电子交易活动： </w:t>
      </w:r>
    </w:p>
    <w:p w14:paraId="13E55C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1.1 电子交易平台发生故障而无法登录访问的； </w:t>
      </w:r>
    </w:p>
    <w:p w14:paraId="76A41A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1.2 电子交易平台应用或数据库出现错误，不能进行正常操作的； </w:t>
      </w:r>
    </w:p>
    <w:p w14:paraId="793E5A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1.3 电子交易平台发现严重安全漏洞，有潜在泄密危险的； </w:t>
      </w:r>
    </w:p>
    <w:p w14:paraId="7E41D80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1.4 病毒发作导致不能进行正常操作的； </w:t>
      </w:r>
    </w:p>
    <w:p w14:paraId="360F5D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1.5 其他无法保证电子交易的公平、公正和安全的情况。 </w:t>
      </w:r>
    </w:p>
    <w:p w14:paraId="4B62716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2.出现以上情形，不影响采购公平、公正性的，采购组织机构可以待上述情形消除后继续组织电子交易活动，也可以决定某些环节以纸质形式进行；影响或可能影响采购公平、公正性的，应当重新采购</w:t>
      </w:r>
    </w:p>
    <w:p w14:paraId="5AFEAC5E">
      <w:pP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br w:type="page"/>
      </w:r>
    </w:p>
    <w:p w14:paraId="190C954F">
      <w:pPr>
        <w:numPr>
          <w:ilvl w:val="0"/>
          <w:numId w:val="0"/>
        </w:numPr>
        <w:bidi w:val="0"/>
        <w:jc w:val="center"/>
        <w:outlineLvl w:val="0"/>
        <w:rPr>
          <w:rFonts w:hint="eastAsia" w:ascii="宋体" w:hAnsi="宋体" w:eastAsia="宋体" w:cstheme="minorBidi"/>
          <w:color w:val="auto"/>
          <w:kern w:val="2"/>
          <w:sz w:val="36"/>
          <w:szCs w:val="24"/>
          <w:highlight w:val="none"/>
          <w:lang w:val="en-US" w:eastAsia="zh-CN" w:bidi="ar-SA"/>
        </w:rPr>
      </w:pPr>
      <w:bookmarkStart w:id="17" w:name="_Toc11136"/>
      <w:r>
        <w:rPr>
          <w:rFonts w:hint="eastAsia" w:ascii="宋体" w:hAnsi="宋体" w:eastAsia="宋体" w:cstheme="minorBidi"/>
          <w:color w:val="auto"/>
          <w:kern w:val="2"/>
          <w:sz w:val="36"/>
          <w:szCs w:val="24"/>
          <w:highlight w:val="none"/>
          <w:lang w:val="en-US" w:eastAsia="zh-CN" w:bidi="ar-SA"/>
        </w:rPr>
        <w:t>第四部分 采购需求</w:t>
      </w:r>
      <w:bookmarkEnd w:id="17"/>
      <w:r>
        <w:rPr>
          <w:rFonts w:hint="eastAsia" w:ascii="宋体" w:hAnsi="宋体" w:eastAsia="宋体" w:cstheme="minorBidi"/>
          <w:color w:val="auto"/>
          <w:kern w:val="2"/>
          <w:sz w:val="36"/>
          <w:szCs w:val="24"/>
          <w:highlight w:val="none"/>
          <w:lang w:val="en-US" w:eastAsia="zh-CN" w:bidi="ar-SA"/>
        </w:rPr>
        <w:t xml:space="preserve"> </w:t>
      </w:r>
    </w:p>
    <w:p w14:paraId="3EF25F9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一、商务要求</w:t>
      </w:r>
    </w:p>
    <w:p w14:paraId="5AF59E13">
      <w:pPr>
        <w:pStyle w:val="18"/>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1、项目名称：中华人民共和国新疆出入境边防检查总站全过程预算绩效管理服务采购项目</w:t>
      </w:r>
    </w:p>
    <w:p w14:paraId="00231A28">
      <w:pPr>
        <w:pStyle w:val="18"/>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2、▲付款方式：完成项目入库评审30日内支付70%进度款，完成绩效监控复核和绩效自评复核，经验收合格后30日内支付30%尾款。</w:t>
      </w:r>
    </w:p>
    <w:p w14:paraId="086A66FD">
      <w:pPr>
        <w:pStyle w:val="18"/>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3、▲合同履约期限（</w:t>
      </w:r>
      <w:r>
        <w:rPr>
          <w:rFonts w:hint="default" w:ascii="宋体" w:hAnsi="宋体" w:eastAsia="宋体" w:cs="宋体"/>
          <w:color w:val="auto"/>
          <w:sz w:val="24"/>
          <w:szCs w:val="24"/>
          <w:highlight w:val="none"/>
          <w:lang w:val="en-US" w:eastAsia="zh-CN"/>
        </w:rPr>
        <w:t>项目交付时间</w:t>
      </w:r>
      <w:r>
        <w:rPr>
          <w:rFonts w:hint="eastAsia" w:ascii="宋体" w:hAnsi="宋体" w:eastAsia="宋体" w:cs="宋体"/>
          <w:color w:val="auto"/>
          <w:sz w:val="24"/>
          <w:szCs w:val="24"/>
          <w:highlight w:val="none"/>
          <w:lang w:val="en-US" w:eastAsia="zh-CN"/>
        </w:rPr>
        <w:t>）：自合同签订之日起1年。</w:t>
      </w:r>
    </w:p>
    <w:p w14:paraId="1B2B24CD">
      <w:pPr>
        <w:pStyle w:val="18"/>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sz w:val="24"/>
          <w:szCs w:val="24"/>
          <w:highlight w:val="none"/>
          <w:lang w:val="en-US" w:eastAsia="zh-CN"/>
        </w:rPr>
        <w:t>合同履行地点：乌鲁木齐市团结路1551号新疆出入境边防检查总站。</w:t>
      </w:r>
    </w:p>
    <w:p w14:paraId="0FA11023">
      <w:pPr>
        <w:pStyle w:val="18"/>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期限：该项目为一招三年服务类项目，合同一年一签，采购人对乙方的工作情况及工作质量随时进行检查，并在每一年度合同执行末期对乙方全年工作情况考核评价，并根据乙方的审计工作质量情况决定是否续签合同。（考核办法详见合同附件）</w:t>
      </w:r>
    </w:p>
    <w:p w14:paraId="11CBFA10">
      <w:pPr>
        <w:pStyle w:val="18"/>
        <w:keepNext w:val="0"/>
        <w:keepLines w:val="0"/>
        <w:pageBreakBefore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6、履约保证金：本项目不收取履约保证金。</w:t>
      </w:r>
    </w:p>
    <w:p w14:paraId="0264DCC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7、▲报价组成：有关本项目实施所需的所有费用（含税费）等均计入最后报价。</w:t>
      </w:r>
    </w:p>
    <w:p w14:paraId="07DAC37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8、预算金额：430000.00元/年（肆拾叁万元整）</w:t>
      </w:r>
    </w:p>
    <w:p w14:paraId="012AD7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9、▲最高限价：430000.00元/年（肆拾叁万元整）</w:t>
      </w:r>
    </w:p>
    <w:p w14:paraId="4784C50C">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二、技术要求</w:t>
      </w:r>
    </w:p>
    <w:p w14:paraId="7C40D6D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1、项目概况</w:t>
      </w:r>
    </w:p>
    <w:p w14:paraId="3E57C6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通过采购全过程预算绩效管理服务，开展绩效自评复核、绩效监控复核、项目入库评审、其他咨询工作，落实新疆边检总站全面预算绩效管理工作，提高财政资金使用效益。</w:t>
      </w:r>
    </w:p>
    <w:p w14:paraId="49280C1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2、采购标的需实现的功能或者目标</w:t>
      </w:r>
    </w:p>
    <w:p w14:paraId="366388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（1）采购标的需实现的功能</w:t>
      </w:r>
    </w:p>
    <w:p w14:paraId="32E622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为全面提高总站预算绩效管理水平，建立从绩效指标管理、绩效监控管理、绩效自评管理、结果应用管理等环节的预算绩效“全过程”管理体系。 </w:t>
      </w:r>
    </w:p>
    <w:p w14:paraId="114CC1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）采购标的需实现的目标</w:t>
      </w:r>
    </w:p>
    <w:p w14:paraId="360B20A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为落实全面预算绩效管理工作，提高财政资金使用效益，总站计划开展年度全过程预算绩效管理工作，主要包括</w:t>
      </w:r>
      <w:r>
        <w:rPr>
          <w:rFonts w:hint="eastAsia" w:ascii="宋体" w:hAnsi="宋体" w:eastAsia="宋体" w:cs="宋体"/>
          <w:color w:val="auto"/>
          <w:kern w:val="0"/>
          <w:sz w:val="24"/>
          <w:szCs w:val="24"/>
          <w:highlight w:val="none"/>
          <w:shd w:val="clear" w:color="auto" w:fill="auto"/>
          <w:lang w:val="en-US" w:eastAsia="zh-CN" w:bidi="ar-SA"/>
        </w:rPr>
        <w:t>项目入库评审、绩效监控复核、绩效自评复核等</w:t>
      </w:r>
      <w:r>
        <w:rPr>
          <w:rFonts w:hint="default" w:ascii="宋体" w:hAnsi="宋体" w:eastAsia="宋体" w:cs="宋体"/>
          <w:color w:val="auto"/>
          <w:kern w:val="2"/>
          <w:sz w:val="24"/>
          <w:szCs w:val="24"/>
          <w:highlight w:val="none"/>
          <w:lang w:val="en-US" w:eastAsia="zh-CN" w:bidi="ar-SA"/>
        </w:rPr>
        <w:t>。</w:t>
      </w:r>
    </w:p>
    <w:p w14:paraId="32181E39">
      <w:pPr>
        <w:pStyle w:val="18"/>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SA"/>
        </w:rPr>
        <w:t>项目进度安排</w:t>
      </w:r>
    </w:p>
    <w:p w14:paraId="127D16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（1）项目入库评审：2026年5月31日前完成预算评审、绩效目标审核等工作，并提交相关成果报告（具体完成时间按照财政部要求相应调整）。</w:t>
      </w:r>
    </w:p>
    <w:p w14:paraId="0025A5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（2）绩效监控复核：2026年8月31日前完成绩效监控复核工作，并提交相关成果资料（具体完成时间按照财政部要求相应调整）。</w:t>
      </w:r>
    </w:p>
    <w:p w14:paraId="4FDBB3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（3）绩效自评复核。2027年3月31日前完成自评资料复核工作，并提交相关成果报告（具体完成时间按照财政部要求相应调整）。</w:t>
      </w:r>
    </w:p>
    <w:p w14:paraId="12D5F5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（4）其他咨询工作：结合我总站预算绩效管理实际需求，提供AI在预算编报审核、绩效管理及其他相关功能支持提供至合同履行结束</w:t>
      </w:r>
      <w:r>
        <w:rPr>
          <w:rFonts w:hint="eastAsia" w:ascii="宋体" w:hAnsi="宋体" w:eastAsia="宋体" w:cs="宋体"/>
          <w:color w:val="auto"/>
          <w:kern w:val="2"/>
          <w:sz w:val="24"/>
          <w:szCs w:val="24"/>
          <w:highlight w:val="none"/>
          <w:lang w:val="en-US" w:eastAsia="zh-CN" w:bidi="ar-SA"/>
        </w:rPr>
        <w:t>。</w:t>
      </w:r>
    </w:p>
    <w:p w14:paraId="00401F60">
      <w:pPr>
        <w:pStyle w:val="18"/>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SA"/>
        </w:rPr>
        <w:t>服务内容</w:t>
      </w:r>
    </w:p>
    <w:p w14:paraId="4FFAA1C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项目入库评审。按照《关于印发&lt;国家移民管理机构预算项目储备管理办法（试行）&gt;的通知》（国移民后〔2021〕252号）等文件要求，指派不少于3名行业专家（具有相关行业高级或相当职称）、1名预算绩效管理专家（具有相关行业中级或相当职称）、1名财务领域专家（具有相关行业中级或相当职称）对总站所有申报入库的三级项目，在总站机关（乌鲁木齐市团结路1535号）开展现场评审工作（评审期间食宿自理），项目评审工作执行专家专业对口硬性要求，评审专家的专业领域必须与评审项目类型完全匹配，如信息化项目评审，评审组必须包含至少3名信息化专业高级评审专家；基建类项目评审，评审专家必须为基建类对应专业的评审专家，评审过后出具实质性审查报告，形成专项档案。评审工作量按照往年申报的项目数量测算，预计涉及三级项目440余个、资金规模约8亿元。</w:t>
      </w:r>
    </w:p>
    <w:p w14:paraId="2410D7E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绩效监控复核。结合财政部《中央部门预算绩效运行监控管理暂行办法》（财预〔2019〕136号）要求，对总站本级和所属站级单位绩效监控工作开展复核检查，出具工作总结，形成专项工作档案。复核工作量按照往年项目测算，预计涉及二级项目230余个、资金规模约9亿元。</w:t>
      </w:r>
    </w:p>
    <w:p w14:paraId="26F93FC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（3）绩效自评复核。根据《中共中央 国务院关于全面实施预算绩效管理的意见》（中发〔2018〕34号）、《关于贯彻落实&lt;中共中央国务院关于全面实施预算绩效管理的意见&gt;的通知》（财预〔2018〕167号）等政策文件要求，对总站本级和所属单位绩效自评工作开展复核检查，出具总站本级和总站整体绩效自评报告，形成专项工作档案。复核工作量按照往年项目测算，预计涉及二级项目230余个、资金规模约9亿元。</w:t>
      </w:r>
    </w:p>
    <w:p w14:paraId="5CBE54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（4）结合我总站预算绩效管理实际需求，提供AI在预算编报审核、绩效管理及其他相关功能支持，提供至合同履行结束。</w:t>
      </w:r>
    </w:p>
    <w:p w14:paraId="3D0F0A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人工智能、大数据、AI服务能力：供应商积极使用人工智能、大数据、AI辅助服务在项目评审关键环节，如：能够对项目文本开展规范性审核、对项目预算如设备等价格开展审核，提高工作效率和工作质量供应商能够在预算、绩效等方面为甲方提供人工智能、大数据、AI辅助服务咨询、培训等内容。供应商对项目实施中涉及的相关数据、资料文档等具有保密的义务，并按照相应保密规定执行。本项目所形成的数据成果归采购人所有。未经采购人同意，供应商不得以商业目的使用该资料或者开发和生产其他产品。</w:t>
      </w:r>
    </w:p>
    <w:p w14:paraId="00A9E1F4">
      <w:pPr>
        <w:pStyle w:val="18"/>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SA"/>
        </w:rPr>
        <w:t>服务要求</w:t>
      </w:r>
    </w:p>
    <w:p w14:paraId="52D48E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应遵照有关法律法规秉公考核，坚持原则，严格按照程序工作，确保绩效工作依据充分、评价结果公正准确，对工作情况的真实性、准确性负责。严禁弄虚作假、徇私舞弊，对违背规定造成工作结果严重失真、失实的，新疆总站有权追究</w:t>
      </w:r>
      <w:r>
        <w:rPr>
          <w:rFonts w:hint="eastAsia" w:ascii="宋体" w:hAnsi="宋体" w:eastAsia="宋体"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的责任。</w:t>
      </w:r>
    </w:p>
    <w:p w14:paraId="1E26111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2</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派出的项目工作人员应遵守职业道德规范，具备完成绩效评价项目的专业胜任能力，具有从事同类绩效评价项目的工作经验。项目工作人员不能胜任工作的或与被评价单位存在利益关系的，新疆总站有权要求</w:t>
      </w:r>
      <w:r>
        <w:rPr>
          <w:rFonts w:hint="eastAsia" w:ascii="宋体" w:hAnsi="宋体" w:eastAsia="宋体"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调换工作人员。</w:t>
      </w:r>
    </w:p>
    <w:p w14:paraId="4606FA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3</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应保证项目组稳定性，原则上不得更换项目经理。如有特殊原因确需更换，必须书面写明更换理由，报新疆总站同意。</w:t>
      </w:r>
    </w:p>
    <w:p w14:paraId="12E1A4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4</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派出的项目组必须服从项目工作安排，按时按质完成任务。为了保证绩效评价工作总体进度，项目组在绩效评价工作过程中遇到的重大问题，应及时将问题反馈报告新疆总站。</w:t>
      </w:r>
    </w:p>
    <w:p w14:paraId="2DE668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）项目工作人员不得向被评价单位收取或变相收取任何费用。</w:t>
      </w:r>
    </w:p>
    <w:p w14:paraId="3D5E93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6</w:t>
      </w:r>
      <w:r>
        <w:rPr>
          <w:rFonts w:hint="default" w:ascii="宋体" w:hAnsi="宋体" w:eastAsia="宋体" w:cs="宋体"/>
          <w:color w:val="auto"/>
          <w:kern w:val="2"/>
          <w:sz w:val="24"/>
          <w:szCs w:val="24"/>
          <w:highlight w:val="none"/>
          <w:lang w:val="en-US" w:eastAsia="zh-CN" w:bidi="ar-SA"/>
        </w:rPr>
        <w:t>）工作人员违反有关法律、法规或新疆总站制定的工作纪律或被有效投诉的，总站除相应扣减要支付给</w:t>
      </w:r>
      <w:r>
        <w:rPr>
          <w:rFonts w:hint="eastAsia" w:ascii="宋体" w:hAnsi="宋体" w:eastAsia="宋体"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的费用外，情节严重的可解除与</w:t>
      </w:r>
      <w:r>
        <w:rPr>
          <w:rFonts w:hint="eastAsia" w:ascii="宋体" w:hAnsi="宋体" w:eastAsia="宋体" w:cs="宋体"/>
          <w:color w:val="auto"/>
          <w:kern w:val="2"/>
          <w:sz w:val="24"/>
          <w:szCs w:val="24"/>
          <w:highlight w:val="none"/>
          <w:lang w:val="en-US" w:eastAsia="zh-CN" w:bidi="ar-SA"/>
        </w:rPr>
        <w:t>供应商</w:t>
      </w:r>
      <w:r>
        <w:rPr>
          <w:rFonts w:hint="default" w:ascii="宋体" w:hAnsi="宋体" w:eastAsia="宋体" w:cs="宋体"/>
          <w:color w:val="auto"/>
          <w:kern w:val="2"/>
          <w:sz w:val="24"/>
          <w:szCs w:val="24"/>
          <w:highlight w:val="none"/>
          <w:lang w:val="en-US" w:eastAsia="zh-CN" w:bidi="ar-SA"/>
        </w:rPr>
        <w:t>的服务协议。</w:t>
      </w:r>
    </w:p>
    <w:p w14:paraId="53D908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7</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供应商需及时跟进中央、财政部、国家移民管理局等关于预算绩效管理的要求，结合我总站预算绩效管理实际需求，提供其他预算绩效管理咨询服务。</w:t>
      </w:r>
    </w:p>
    <w:p w14:paraId="6EF38B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8</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供应商须提供能满足工作要求的团队配备，其中项目负责人须具有经济或管理类相关专业的高级职称（含正高、副高），项目经理须具有中级职称，项目助理须具有全日制本科及以上学历。</w:t>
      </w:r>
    </w:p>
    <w:p w14:paraId="548F847C">
      <w:pPr>
        <w:pStyle w:val="18"/>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6、</w:t>
      </w:r>
      <w:r>
        <w:rPr>
          <w:rFonts w:hint="eastAsia" w:ascii="宋体" w:hAnsi="宋体" w:eastAsia="宋体" w:cs="宋体"/>
          <w:color w:val="auto"/>
          <w:kern w:val="0"/>
          <w:sz w:val="24"/>
          <w:szCs w:val="24"/>
          <w:highlight w:val="none"/>
          <w:lang w:val="en-US" w:eastAsia="zh-CN" w:bidi="ar"/>
        </w:rPr>
        <w:t>▲</w:t>
      </w:r>
      <w:r>
        <w:rPr>
          <w:rFonts w:hint="default" w:ascii="宋体" w:hAnsi="宋体" w:eastAsia="宋体" w:cs="宋体"/>
          <w:b/>
          <w:bCs/>
          <w:color w:val="auto"/>
          <w:kern w:val="2"/>
          <w:sz w:val="24"/>
          <w:szCs w:val="24"/>
          <w:highlight w:val="none"/>
          <w:lang w:val="en-US" w:eastAsia="zh-CN" w:bidi="ar-SA"/>
        </w:rPr>
        <w:t>售后服务标准要求</w:t>
      </w:r>
    </w:p>
    <w:p w14:paraId="018B31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提交相应成果文件需符合财政部、国家移民管理局年度预算绩效管理相关要求，并经总站验收小组审议通过如审议不通过，需按照要求整改，7日内整改完毕，10日内重新出具成果文件。</w:t>
      </w:r>
    </w:p>
    <w:p w14:paraId="19CAF9E2">
      <w:pPr>
        <w:pStyle w:val="18"/>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7、</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bCs/>
          <w:color w:val="auto"/>
          <w:kern w:val="2"/>
          <w:sz w:val="24"/>
          <w:szCs w:val="24"/>
          <w:highlight w:val="none"/>
          <w:lang w:val="en-US" w:eastAsia="zh-CN" w:bidi="ar-SA"/>
        </w:rPr>
        <w:t>服务时间响应</w:t>
      </w:r>
    </w:p>
    <w:p w14:paraId="6DDAC9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各项工作需按照财政部、国家移民管理局要求时间开展，并在规定时间节点前完成，遇临</w:t>
      </w:r>
      <w:r>
        <w:rPr>
          <w:rFonts w:hint="eastAsia" w:ascii="宋体" w:hAnsi="宋体" w:eastAsia="宋体" w:cs="宋体"/>
          <w:color w:val="auto"/>
          <w:kern w:val="2"/>
          <w:sz w:val="24"/>
          <w:szCs w:val="24"/>
          <w:highlight w:val="none"/>
          <w:lang w:val="en-US" w:eastAsia="zh-CN" w:bidi="ar-SA"/>
        </w:rPr>
        <w:t>时工作任务，电话响应1小时内反馈，3个工作日时间解决问题。</w:t>
      </w:r>
    </w:p>
    <w:p w14:paraId="769B6F2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8、采购标的需执行的相关标准</w:t>
      </w:r>
    </w:p>
    <w:p w14:paraId="4544AD80">
      <w:pPr>
        <w:pStyle w:val="18"/>
        <w:keepNext w:val="0"/>
        <w:keepLines w:val="0"/>
        <w:pageBreakBefore w:val="0"/>
        <w:widowControl w:val="0"/>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中共中央国务院关于全面实施预算绩效管理的意见》（中发〔2018〕34号）、《关于贯彻落实&lt;中共中央国务院关于全面实施预算绩效管理的意见&gt;的通知》（财预〔2018〕167号）、《中央部门预算绩效运行监控管理暂行办法》（财预〔2019〕136号）、《关于印发&lt;国家移民管理机构预算项目储备管理办法（试行）&gt;的通知》（国移民后〔2021〕252号）、《项目支出绩效评价管理办法》（财预〔2020〕10号）。</w:t>
      </w:r>
      <w:r>
        <w:rPr>
          <w:rFonts w:hint="default" w:ascii="宋体" w:hAnsi="宋体" w:eastAsia="宋体" w:cs="宋体"/>
          <w:color w:val="auto"/>
          <w:kern w:val="2"/>
          <w:sz w:val="24"/>
          <w:szCs w:val="24"/>
          <w:highlight w:val="none"/>
          <w:lang w:val="en-US" w:eastAsia="zh-CN" w:bidi="ar-SA"/>
        </w:rPr>
        <w:t xml:space="preserve"> </w:t>
      </w:r>
    </w:p>
    <w:p w14:paraId="7654CB57">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9、履约验收内容及标准</w:t>
      </w:r>
    </w:p>
    <w:p w14:paraId="3553D4B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技术履约内容：完成总站绩效自评复核并出具工作报告及复核的原始资料、完成绩效监控复核并出具工作报告及复核的原始资料、完成项目入库评审并出具项目评审工作报告，上述工作出具的成果性文件需符合财政部、国家移民管理局关于预算绩效管理的年度工作计划和相关工作要求。</w:t>
      </w:r>
    </w:p>
    <w:p w14:paraId="5AF4EF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（2）商务履约内容：主要针对履约期限，售后服务及质保响应等内容进行验收比对。</w:t>
      </w:r>
    </w:p>
    <w:p w14:paraId="498FBA5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（3）履约验收标准：5月31日前完成项目入库评审并出具项目评审工作报告、8月31日前完成绩效监控复核并出具工作报告及复核的原始资料、 2027年3月31日前完成总站绩效自评复核并出具工作报告及复核的原始资料，上述工作出具的成果性文件需符合财政部、国家移民管理局关于预算绩效管理的年度工作计划和相关工作要求，经总站验收小组评估后，予以通过验收。</w:t>
      </w:r>
    </w:p>
    <w:p w14:paraId="5932E0B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10、履约验收流程</w:t>
      </w:r>
    </w:p>
    <w:p w14:paraId="57FE8E6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（1）启动验收，制定验收方案。供应商按甲方要求完成服务后，由供应商向采购需求部门发送项目验收申请，由后勤保障处制定验收方案，呈批验收请示。</w:t>
      </w:r>
    </w:p>
    <w:p w14:paraId="2E4358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（2）供应商提供验收所需资料。主要包括相关绩效评审报告及其相关资料。</w:t>
      </w:r>
    </w:p>
    <w:p w14:paraId="57AAA7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（3）成立验收小组。由后勤保障处牵头成立验收小组，验收小组应当由3人以上单数组成，验收小组按照合同约定的内容开展项目验收工作。</w:t>
      </w:r>
    </w:p>
    <w:p w14:paraId="0184B8E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（4）验收结束后，验收小组出具初步验收报告。验收小组成员根据验收报告明确验收意见，并盖章确认。</w:t>
      </w:r>
    </w:p>
    <w:p w14:paraId="37E5A8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（5）验收不合格的处理。履约验收不合格的，后勤保障处向供应商发出整改通知书，整改结束后由供应商对接验收组织主体重新验收。</w:t>
      </w:r>
    </w:p>
    <w:p w14:paraId="310AE44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（6）验收档案收集及保存。履约验收完成后，由后勤保障处统一收集各单位验收报告留存备查。</w:t>
      </w:r>
    </w:p>
    <w:p w14:paraId="7543FFC1">
      <w:pPr>
        <w:rPr>
          <w:rFonts w:hint="eastAsia"/>
          <w:color w:val="auto"/>
          <w:highlight w:val="none"/>
          <w:lang w:val="en-US" w:eastAsia="zh-CN"/>
        </w:rPr>
      </w:pPr>
    </w:p>
    <w:p w14:paraId="7F14CEC3">
      <w:pPr>
        <w:rPr>
          <w:rFonts w:hint="default"/>
          <w:color w:val="auto"/>
          <w:highlight w:val="none"/>
          <w:lang w:val="en-US" w:eastAsia="zh-CN"/>
        </w:rPr>
      </w:pPr>
      <w:r>
        <w:rPr>
          <w:rFonts w:hint="default"/>
          <w:color w:val="auto"/>
          <w:highlight w:val="none"/>
          <w:lang w:val="en-US" w:eastAsia="zh-CN"/>
        </w:rPr>
        <w:br w:type="page"/>
      </w:r>
    </w:p>
    <w:p w14:paraId="4C9AECC6">
      <w:pPr>
        <w:numPr>
          <w:ilvl w:val="0"/>
          <w:numId w:val="0"/>
        </w:numPr>
        <w:bidi w:val="0"/>
        <w:jc w:val="center"/>
        <w:outlineLvl w:val="0"/>
        <w:rPr>
          <w:rFonts w:hint="eastAsia" w:ascii="宋体" w:hAnsi="宋体" w:eastAsia="宋体" w:cstheme="minorBidi"/>
          <w:color w:val="auto"/>
          <w:kern w:val="2"/>
          <w:sz w:val="36"/>
          <w:szCs w:val="24"/>
          <w:highlight w:val="none"/>
          <w:lang w:val="en-US" w:eastAsia="zh-CN" w:bidi="ar-SA"/>
        </w:rPr>
      </w:pPr>
      <w:bookmarkStart w:id="18" w:name="_Toc14191"/>
      <w:r>
        <w:rPr>
          <w:rFonts w:hint="eastAsia" w:ascii="宋体" w:hAnsi="宋体" w:eastAsia="宋体" w:cstheme="minorBidi"/>
          <w:color w:val="auto"/>
          <w:kern w:val="2"/>
          <w:sz w:val="36"/>
          <w:szCs w:val="24"/>
          <w:highlight w:val="none"/>
          <w:lang w:val="en-US" w:eastAsia="zh-CN" w:bidi="ar-SA"/>
        </w:rPr>
        <w:t>第五部分 评审方法及评审标准</w:t>
      </w:r>
      <w:bookmarkEnd w:id="18"/>
      <w:r>
        <w:rPr>
          <w:rFonts w:hint="eastAsia" w:ascii="宋体" w:hAnsi="宋体" w:eastAsia="宋体" w:cstheme="minorBidi"/>
          <w:color w:val="auto"/>
          <w:kern w:val="2"/>
          <w:sz w:val="36"/>
          <w:szCs w:val="24"/>
          <w:highlight w:val="none"/>
          <w:lang w:val="en-US" w:eastAsia="zh-CN" w:bidi="ar-SA"/>
        </w:rPr>
        <w:t xml:space="preserve"> </w:t>
      </w:r>
    </w:p>
    <w:p w14:paraId="6F86B47E">
      <w:pPr>
        <w:numPr>
          <w:ilvl w:val="0"/>
          <w:numId w:val="0"/>
        </w:numPr>
        <w:bidi w:val="0"/>
        <w:jc w:val="center"/>
        <w:outlineLvl w:val="1"/>
        <w:rPr>
          <w:rFonts w:hint="eastAsia" w:ascii="宋体" w:hAnsi="宋体" w:eastAsia="宋体"/>
          <w:color w:val="auto"/>
          <w:sz w:val="32"/>
          <w:szCs w:val="22"/>
          <w:highlight w:val="none"/>
          <w:lang w:val="en-US" w:eastAsia="zh-CN"/>
        </w:rPr>
      </w:pPr>
      <w:bookmarkStart w:id="19" w:name="_Toc14717"/>
      <w:r>
        <w:rPr>
          <w:rFonts w:hint="eastAsia" w:ascii="宋体" w:hAnsi="宋体" w:eastAsia="宋体"/>
          <w:color w:val="auto"/>
          <w:sz w:val="32"/>
          <w:szCs w:val="22"/>
          <w:highlight w:val="none"/>
          <w:lang w:val="en-US" w:eastAsia="zh-CN"/>
        </w:rPr>
        <w:t>一、评审方法</w:t>
      </w:r>
      <w:bookmarkEnd w:id="19"/>
    </w:p>
    <w:p w14:paraId="75A162D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1.综合评分法。综合评分法，是指响应文件满足磋商文件全部实质性要求，且按照评审因素的量化指标评审得分最高的供应商为成交候选人的评审方法。 </w:t>
      </w:r>
    </w:p>
    <w:p w14:paraId="3D59E00B">
      <w:pPr>
        <w:numPr>
          <w:ilvl w:val="0"/>
          <w:numId w:val="0"/>
        </w:numPr>
        <w:bidi w:val="0"/>
        <w:jc w:val="center"/>
        <w:outlineLvl w:val="1"/>
        <w:rPr>
          <w:rFonts w:hint="eastAsia" w:ascii="宋体" w:hAnsi="宋体" w:eastAsia="宋体"/>
          <w:color w:val="auto"/>
          <w:sz w:val="32"/>
          <w:szCs w:val="22"/>
          <w:highlight w:val="none"/>
          <w:lang w:val="en-US" w:eastAsia="zh-CN"/>
        </w:rPr>
      </w:pPr>
      <w:bookmarkStart w:id="20" w:name="_Toc12720"/>
      <w:r>
        <w:rPr>
          <w:rFonts w:hint="eastAsia" w:ascii="宋体" w:hAnsi="宋体" w:eastAsia="宋体"/>
          <w:color w:val="auto"/>
          <w:sz w:val="32"/>
          <w:szCs w:val="22"/>
          <w:highlight w:val="none"/>
          <w:lang w:val="en-US" w:eastAsia="zh-CN"/>
        </w:rPr>
        <w:t>二、磋商小组的组成</w:t>
      </w:r>
      <w:bookmarkEnd w:id="20"/>
      <w:r>
        <w:rPr>
          <w:rFonts w:hint="eastAsia" w:ascii="宋体" w:hAnsi="宋体" w:eastAsia="宋体"/>
          <w:color w:val="auto"/>
          <w:sz w:val="32"/>
          <w:szCs w:val="22"/>
          <w:highlight w:val="none"/>
          <w:lang w:val="en-US" w:eastAsia="zh-CN"/>
        </w:rPr>
        <w:t xml:space="preserve"> </w:t>
      </w:r>
    </w:p>
    <w:p w14:paraId="6F3D5D9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1.磋商小组的组成</w:t>
      </w:r>
    </w:p>
    <w:p w14:paraId="6E3A1D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磋商小组由采购人代表和评审专家共 3 人以上单数组成，其中评审专家人数不得少于磋商小组成员总数的 2/3。采购代理机构人员不得参加本机构代理的采购项目的评审。 </w:t>
      </w:r>
    </w:p>
    <w:p w14:paraId="3DB4B8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采用竞争性磋商方式的政府采购项目，评审专家应当从政府采购评审专家库内相关专业的专家名单中随机抽取。符合《政府采购竞争性磋商采购方式管理暂行办法》的通知(财库〔2014〕214 号)第三条第四项规定情形的项目，以及情况特殊、通过随机方式难以确定合适的评审专家的项目，经主管预算单位同意，可以自行选定评审专家。技术复杂、专业性强的采购项目，评审专家中应当包含 1 名法律专家。 </w:t>
      </w:r>
    </w:p>
    <w:p w14:paraId="3103362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 </w:t>
      </w:r>
    </w:p>
    <w:p w14:paraId="7D19211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2.磋商小组的组成人员的回避。</w:t>
      </w:r>
    </w:p>
    <w:p w14:paraId="08CD61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在政府采购活动中，磋商小组的组成人员与供应商有下列利害关系之一的，应当回避：</w:t>
      </w:r>
    </w:p>
    <w:p w14:paraId="5B56E2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2.1 参加采购活动前 3 年内与供应商存在劳动关系； </w:t>
      </w:r>
    </w:p>
    <w:p w14:paraId="32EBEB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2.2 参加采购活动前 3 年内担任供应商的董事、监事； </w:t>
      </w:r>
    </w:p>
    <w:p w14:paraId="50E88F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2.3 参加采购活动前 3 年内是供应商的控股股东或者实际控制人； </w:t>
      </w:r>
    </w:p>
    <w:p w14:paraId="71357C1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2.4 与供应商的法定代表人或者负责人有夫妻、直系血亲、三代以内旁系血亲或者近姻亲关系；</w:t>
      </w:r>
    </w:p>
    <w:p w14:paraId="27AA09E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2.5 与供应商有其他可能影响政府采购活动公平、公正进行的关系。 </w:t>
      </w:r>
    </w:p>
    <w:p w14:paraId="05B4654B">
      <w:pPr>
        <w:numPr>
          <w:ilvl w:val="0"/>
          <w:numId w:val="0"/>
        </w:numPr>
        <w:bidi w:val="0"/>
        <w:jc w:val="center"/>
        <w:outlineLvl w:val="1"/>
        <w:rPr>
          <w:rFonts w:hint="default" w:ascii="宋体" w:hAnsi="宋体" w:eastAsia="宋体"/>
          <w:color w:val="auto"/>
          <w:sz w:val="32"/>
          <w:szCs w:val="22"/>
          <w:highlight w:val="none"/>
          <w:lang w:val="en-US" w:eastAsia="zh-CN"/>
        </w:rPr>
      </w:pPr>
      <w:bookmarkStart w:id="21" w:name="_Toc15917"/>
      <w:r>
        <w:rPr>
          <w:rFonts w:hint="default" w:ascii="宋体" w:hAnsi="宋体" w:eastAsia="宋体"/>
          <w:color w:val="auto"/>
          <w:sz w:val="32"/>
          <w:szCs w:val="22"/>
          <w:highlight w:val="none"/>
          <w:lang w:val="en-US" w:eastAsia="zh-CN"/>
        </w:rPr>
        <w:t>三、磋商小组的职责</w:t>
      </w:r>
      <w:bookmarkEnd w:id="21"/>
      <w:r>
        <w:rPr>
          <w:rFonts w:hint="default" w:ascii="宋体" w:hAnsi="宋体" w:eastAsia="宋体"/>
          <w:color w:val="auto"/>
          <w:sz w:val="32"/>
          <w:szCs w:val="22"/>
          <w:highlight w:val="none"/>
          <w:lang w:val="en-US" w:eastAsia="zh-CN"/>
        </w:rPr>
        <w:t xml:space="preserve"> </w:t>
      </w:r>
    </w:p>
    <w:p w14:paraId="442A9C4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 xml:space="preserve">1.磋商小组负责具体评审事务，并独立履行下列职责： </w:t>
      </w:r>
    </w:p>
    <w:p w14:paraId="38B972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1.1 对供应商的资格进行审查；对响应文件的有效性、完整性和响应程度进行审查； </w:t>
      </w:r>
    </w:p>
    <w:p w14:paraId="4FF93EF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1.2 审查、评价响应文件是否符合磋商文件的商务、技术等实质性要求； </w:t>
      </w:r>
    </w:p>
    <w:p w14:paraId="276CBF4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1.3 要求供应商对响应文件有关事项作出澄清、说明或者更正； </w:t>
      </w:r>
    </w:p>
    <w:p w14:paraId="067291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1.4 磋商小组集中与单一供应商分别进行磋商； </w:t>
      </w:r>
    </w:p>
    <w:p w14:paraId="5C34A1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1.5 确定磋商文件的变动情况，并确定提交最后报价的供应商； </w:t>
      </w:r>
    </w:p>
    <w:p w14:paraId="605C34E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1.6 根据磋商文件确定的评审办法及评审标准对提交最后报价的供应商的响应文件和最后报价采用综合评分法进行综合评分； </w:t>
      </w:r>
    </w:p>
    <w:p w14:paraId="2B37103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1.7 编制评审报告，确定成交候选人名单，以及根据采购人委托直接确定成交人； </w:t>
      </w:r>
    </w:p>
    <w:p w14:paraId="09E5D8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1.8 向采购人、采购代理机构或者有关部门报告评审中发现的违法行为； </w:t>
      </w:r>
    </w:p>
    <w:p w14:paraId="0B491F4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1.9 法律、法规、规章、磋商文件等规定的其它事项。 </w:t>
      </w:r>
    </w:p>
    <w:p w14:paraId="5C527E6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 xml:space="preserve">2.磋商小组及其成员不得有下列行为： </w:t>
      </w:r>
    </w:p>
    <w:p w14:paraId="7A8FE8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2.1 确定参与本项目至评审结束前私自接触供应商； </w:t>
      </w:r>
    </w:p>
    <w:p w14:paraId="5956E1A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2.2 接受供应商提出的“超出响应文件的范围或者改变响应文件的实质性内容”的澄清、说明或者更正； </w:t>
      </w:r>
    </w:p>
    <w:p w14:paraId="1D25C3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2.3 违反评审纪律发表倾向性意见或者征询采购人的倾向性意见； </w:t>
      </w:r>
    </w:p>
    <w:p w14:paraId="41819F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2.4 对需要专业判断的主观评审因素协商评分； </w:t>
      </w:r>
    </w:p>
    <w:p w14:paraId="66D7CFA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2.5 在评审过程中擅离职守，影响评审程序正常进行的； </w:t>
      </w:r>
    </w:p>
    <w:p w14:paraId="606B110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2.6 记录、复制或者带走任何评审资料； </w:t>
      </w:r>
    </w:p>
    <w:p w14:paraId="75C8A3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2.7 其他不遵守评审纪律的行为。 </w:t>
      </w:r>
    </w:p>
    <w:p w14:paraId="1F82EE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磋商小组成员有 2.1-2.5 行为之一的，其评审意见无效，并不得获取评审劳务报酬和报销异地评审差旅费。 </w:t>
      </w:r>
    </w:p>
    <w:p w14:paraId="43BB11CD">
      <w:pPr>
        <w:numPr>
          <w:ilvl w:val="0"/>
          <w:numId w:val="0"/>
        </w:numPr>
        <w:bidi w:val="0"/>
        <w:jc w:val="center"/>
        <w:outlineLvl w:val="1"/>
        <w:rPr>
          <w:rFonts w:hint="default" w:ascii="宋体" w:hAnsi="宋体" w:eastAsia="宋体"/>
          <w:color w:val="auto"/>
          <w:sz w:val="32"/>
          <w:szCs w:val="22"/>
          <w:highlight w:val="none"/>
          <w:lang w:val="en-US" w:eastAsia="zh-CN"/>
        </w:rPr>
      </w:pPr>
      <w:bookmarkStart w:id="22" w:name="_Toc10471"/>
      <w:r>
        <w:rPr>
          <w:rFonts w:hint="default" w:ascii="宋体" w:hAnsi="宋体" w:eastAsia="宋体"/>
          <w:color w:val="auto"/>
          <w:sz w:val="32"/>
          <w:szCs w:val="22"/>
          <w:highlight w:val="none"/>
          <w:lang w:val="en-US" w:eastAsia="zh-CN"/>
        </w:rPr>
        <w:t>四、评审程序</w:t>
      </w:r>
      <w:bookmarkEnd w:id="22"/>
      <w:r>
        <w:rPr>
          <w:rFonts w:hint="default" w:ascii="宋体" w:hAnsi="宋体" w:eastAsia="宋体"/>
          <w:color w:val="auto"/>
          <w:sz w:val="32"/>
          <w:szCs w:val="22"/>
          <w:highlight w:val="none"/>
          <w:lang w:val="en-US" w:eastAsia="zh-CN"/>
        </w:rPr>
        <w:t xml:space="preserve"> </w:t>
      </w:r>
    </w:p>
    <w:p w14:paraId="6F71D8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详见磋商文件“第二部分 竞争性磋商流程”。磋商小组将根据资格审查要求和符合性审查要求中规定的内容，对供应商进行检查，并形成检查结果。供应商《响应文件》有任何一项不符合《资格审查表》和《符合性审查表》要求的，视为未实质性响应磋商文件。未实质性响应磋商文件的响应文件按无效响应处理，磋商小组应当告知提交响应文件的供应商。</w:t>
      </w:r>
    </w:p>
    <w:p w14:paraId="4336675C">
      <w:pPr>
        <w:numPr>
          <w:ilvl w:val="0"/>
          <w:numId w:val="0"/>
        </w:numPr>
        <w:bidi w:val="0"/>
        <w:jc w:val="center"/>
        <w:outlineLvl w:val="1"/>
        <w:rPr>
          <w:rFonts w:hint="default" w:ascii="宋体" w:hAnsi="宋体" w:eastAsia="宋体"/>
          <w:color w:val="auto"/>
          <w:sz w:val="32"/>
          <w:szCs w:val="22"/>
          <w:highlight w:val="none"/>
          <w:lang w:val="en-US" w:eastAsia="zh-CN"/>
        </w:rPr>
      </w:pPr>
      <w:bookmarkStart w:id="23" w:name="_Toc10713"/>
      <w:r>
        <w:rPr>
          <w:rFonts w:hint="eastAsia" w:ascii="宋体" w:hAnsi="宋体" w:eastAsia="宋体" w:cstheme="minorBidi"/>
          <w:color w:val="auto"/>
          <w:kern w:val="2"/>
          <w:sz w:val="32"/>
          <w:szCs w:val="22"/>
          <w:highlight w:val="none"/>
          <w:lang w:val="en-US" w:eastAsia="zh-CN" w:bidi="ar-SA"/>
        </w:rPr>
        <w:t>五、</w:t>
      </w:r>
      <w:r>
        <w:rPr>
          <w:rFonts w:hint="default" w:ascii="宋体" w:hAnsi="宋体" w:eastAsia="宋体"/>
          <w:color w:val="auto"/>
          <w:sz w:val="32"/>
          <w:szCs w:val="22"/>
          <w:highlight w:val="none"/>
          <w:lang w:val="en-US" w:eastAsia="zh-CN"/>
        </w:rPr>
        <w:t>评审须知</w:t>
      </w:r>
      <w:bookmarkEnd w:id="23"/>
    </w:p>
    <w:p w14:paraId="3F7C7DF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 xml:space="preserve">1. 响应文件的澄清 </w:t>
      </w:r>
    </w:p>
    <w:p w14:paraId="0D0BDE6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对于响应文件中含义不明确、同类问题表述不一致或者有明显文字和计算错误的内容需要供应商做出必要的澄清、说明或者补正的，磋商小组和供应商通过电子交易平台交换数据电文，供应商提交使用电子签名的相关数据电文或通过平台上传加盖公章的扫 描件。给予供应商提交澄清、说明或补正的时间不得少于半小时，供应商已经明确表示澄清说明或补正完毕的除外。供应商的澄清、说明或者补正不得超出响应文件的范围或 者改变响应文件的实质性内容。</w:t>
      </w:r>
    </w:p>
    <w:p w14:paraId="12F35C7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ascii="宋体" w:hAnsi="宋体" w:eastAsia="宋体" w:cs="宋体"/>
          <w:color w:val="auto"/>
          <w:sz w:val="24"/>
          <w:szCs w:val="24"/>
          <w:highlight w:val="none"/>
        </w:rPr>
        <w:t>磋商小组要求供应商澄清、说明或者更正响应文件应当以书面形式作出。供应商的澄清、说明或者更正应当由法定代表人（若供应商为事业单位或其他组织或分支机构，可为单位负责人）或其授权代表签字或者加盖公章。由授权代表签字的，应当附授权委托书。供应商为自然人的，应当由本人签字并附身份证明。澄清、说明或者更正文件将作为响应文件内容的一部分。</w:t>
      </w:r>
    </w:p>
    <w:p w14:paraId="757B118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 xml:space="preserve">2.最后报价及最后报价修正原则 </w:t>
      </w:r>
    </w:p>
    <w:p w14:paraId="5E89C14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磋商结束后，磋商小组将要求所有实质性响应的供应商在规定时间内提交最后报价。最后报价时间为磋商小组指定的时间，具体时间根据磋商进度另行通知。</w:t>
      </w:r>
    </w:p>
    <w:p w14:paraId="4730A30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磋商小组对响应文件的最后报价进行审核，对发现计算、书写等错误的，按以下原则进行修正：</w:t>
      </w:r>
    </w:p>
    <w:p w14:paraId="600AF04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2.1《最后报价一览表》内容与响应文件中响应内容不一致的，以《最后报价一览表》为准</w:t>
      </w:r>
      <w:r>
        <w:rPr>
          <w:rFonts w:hint="eastAsia" w:ascii="宋体" w:hAnsi="宋体" w:eastAsia="宋体" w:cs="宋体"/>
          <w:color w:val="auto"/>
          <w:kern w:val="2"/>
          <w:sz w:val="24"/>
          <w:szCs w:val="24"/>
          <w:highlight w:val="none"/>
          <w:lang w:val="en-US" w:eastAsia="zh-CN" w:bidi="ar-SA"/>
        </w:rPr>
        <w:t>；</w:t>
      </w:r>
    </w:p>
    <w:p w14:paraId="7453916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2.2 大写金额和小写金额不一致的，以大写金额为准</w:t>
      </w:r>
      <w:r>
        <w:rPr>
          <w:rFonts w:hint="eastAsia" w:ascii="宋体" w:hAnsi="宋体" w:eastAsia="宋体" w:cs="宋体"/>
          <w:color w:val="auto"/>
          <w:kern w:val="2"/>
          <w:sz w:val="24"/>
          <w:szCs w:val="24"/>
          <w:highlight w:val="none"/>
          <w:lang w:val="en-US" w:eastAsia="zh-CN" w:bidi="ar-SA"/>
        </w:rPr>
        <w:t>；</w:t>
      </w:r>
    </w:p>
    <w:p w14:paraId="5351F7B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2.3 单价金额小数点或者百分比有明显错位的，以《最后报价一览表》的总价为准，并修改单价</w:t>
      </w:r>
      <w:r>
        <w:rPr>
          <w:rFonts w:hint="eastAsia" w:ascii="宋体" w:hAnsi="宋体" w:eastAsia="宋体" w:cs="宋体"/>
          <w:color w:val="auto"/>
          <w:kern w:val="2"/>
          <w:sz w:val="24"/>
          <w:szCs w:val="24"/>
          <w:highlight w:val="none"/>
          <w:lang w:val="en-US" w:eastAsia="zh-CN" w:bidi="ar-SA"/>
        </w:rPr>
        <w:t>；</w:t>
      </w:r>
    </w:p>
    <w:p w14:paraId="371946F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2.4 总价金额与按单价汇总金额不一致的，以单价金额计算结果为准。 </w:t>
      </w:r>
    </w:p>
    <w:p w14:paraId="61F4B79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2.5 同时出现两种以上不一致的，按照前款规定的顺序修正。</w:t>
      </w:r>
    </w:p>
    <w:p w14:paraId="0A1485C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2.6 以修正后的总价作为最后报价。</w:t>
      </w:r>
    </w:p>
    <w:p w14:paraId="3CA4CC5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2.7</w:t>
      </w:r>
      <w:r>
        <w:rPr>
          <w:rFonts w:hint="default" w:ascii="宋体" w:hAnsi="宋体" w:eastAsia="宋体" w:cs="宋体"/>
          <w:b/>
          <w:bCs/>
          <w:color w:val="auto"/>
          <w:kern w:val="2"/>
          <w:sz w:val="24"/>
          <w:szCs w:val="24"/>
          <w:highlight w:val="none"/>
          <w:lang w:val="en-US" w:eastAsia="zh-CN" w:bidi="ar-SA"/>
        </w:rPr>
        <w:t>▲供应商对根据修正原则修正后的最后报价不确认的，响应无效。</w:t>
      </w:r>
    </w:p>
    <w:p w14:paraId="2302B98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2.8对于非专门面向中小企业的项目，未预留份额专门面向中小企业的政府采购项目，以及预留份额政府采购项目中的非预留部分标项，对小型和微型企业的投标报价给予10%的扣除，用扣除后的价格参与评审。接受大中型企业与小微企业组成联合体或者允许大中型企业向一家或者多家小微企业分包的政府采购项目，对于联合协议或者分包意向协议约定小微企业的合同份额占到合同总金额40%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7B2BA58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磋商小组将根据政府采购政策支持中小企业政策对最后报价进行价格折扣，折扣的价格将作为评审价格。如下表：</w:t>
      </w:r>
    </w:p>
    <w:p w14:paraId="2C1B49CF">
      <w:pP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br w:type="page"/>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48E7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5B0D7B66">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根据中华人民共和国财政部、中华人民共和国工业和信息化部《政府采购促进中小企业发展管理办法》（财库〔2020〕46号）及《关于进一步加大政府采购支持中小企业力度的通知》（财库〔2022〕19号）文件的规定，属于中小企业评审优惠内容及幅度如下：</w:t>
            </w:r>
          </w:p>
          <w:p w14:paraId="1A169BF6">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（一）中小企业（含中型、小型、微型企业）应当同时符合以下条件：</w:t>
            </w:r>
          </w:p>
          <w:p w14:paraId="0665B648">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①符合中小企业划分标准（按《关于印发中小企业划型标准规定的通知》（工信部联企业〔2011〕300号）执行）；</w:t>
            </w:r>
          </w:p>
          <w:p w14:paraId="24C8E67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②提供本企业制造的货物、承建的工程或者承担的服务，或者提供其他中小企业制造的货物。本项所称货物不包括使用大型企业注册商标的货物；</w:t>
            </w:r>
          </w:p>
          <w:p w14:paraId="18A22A04">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③小型、微型企业提供中型企业制造的货物的，视同为中型企业。</w:t>
            </w:r>
          </w:p>
          <w:p w14:paraId="42AB8EFB">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（二）价格扣除办法：</w:t>
            </w:r>
          </w:p>
          <w:p w14:paraId="382169C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对于非专门面向中小企业的项目，对小型和微型企业（或联合体各方均为小型、微型企业的，残疾人福利性单位、监狱企业视为小微企业）产品的价格给予10%的扣除，用扣除后的价格参与价格的评审。</w:t>
            </w:r>
          </w:p>
          <w:p w14:paraId="4C4179D8">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（三）小型和微型企业适用价格扣除办法时应提供的相关资料：供应商《中小企业声明函》或《残疾人福利性单位声明函》或《监狱企业证明》。</w:t>
            </w:r>
          </w:p>
          <w:p w14:paraId="70FE36C2">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供应商应提供以上材料，否则将不给予价格扣除。若所供应产品为进口产品的，不适用《政府采购促进中小企业发展暂行办法》。</w:t>
            </w:r>
          </w:p>
          <w:p w14:paraId="6CE6E11E">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四）供应商出具的中小企业声明函不属于采购标的所属行业，则不具备符合本项目的中小企业资格。对于专门面向中小企业的项目，不具备中小企业资格，不通过资格审查。对于非专门面向中小企业的项目，不具备小微企业资格，不享受评审优惠。</w:t>
            </w:r>
          </w:p>
          <w:p w14:paraId="61BF6074">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注：监狱企业、残疾人福利性单位视同小微企业；残疾人福利性单位属于小型、微型企业的，不重复享受政策。</w:t>
            </w:r>
          </w:p>
        </w:tc>
      </w:tr>
    </w:tbl>
    <w:p w14:paraId="639ED78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textAlignment w:val="auto"/>
        <w:rPr>
          <w:rFonts w:hint="default" w:ascii="宋体" w:hAnsi="宋体" w:eastAsia="宋体" w:cs="宋体"/>
          <w:b/>
          <w:bCs/>
          <w:color w:val="auto"/>
          <w:kern w:val="2"/>
          <w:sz w:val="24"/>
          <w:szCs w:val="24"/>
          <w:highlight w:val="none"/>
          <w:lang w:val="en-US" w:eastAsia="zh-CN" w:bidi="ar-SA"/>
        </w:rPr>
      </w:pPr>
      <w:r>
        <w:rPr>
          <w:rFonts w:hint="default" w:ascii="宋体" w:hAnsi="宋体" w:eastAsia="宋体" w:cs="宋体"/>
          <w:b/>
          <w:bCs/>
          <w:color w:val="auto"/>
          <w:kern w:val="2"/>
          <w:sz w:val="24"/>
          <w:szCs w:val="24"/>
          <w:highlight w:val="none"/>
          <w:lang w:val="en-US" w:eastAsia="zh-CN" w:bidi="ar-SA"/>
        </w:rPr>
        <w:t>3.响应无效</w:t>
      </w:r>
    </w:p>
    <w:p w14:paraId="7077499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有下列情况之一的，响应无效：</w:t>
      </w:r>
    </w:p>
    <w:p w14:paraId="0483AB5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 单位负责人为同一人或者存在直接控股、管理关系的不同供应商参加同一合同项下的政府采购活动的（均无效）；</w:t>
      </w:r>
    </w:p>
    <w:p w14:paraId="14BFBFC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3.2 为采购项目提供整体设计、规范编制或者项目管理、监理、检测等服务的供应商再参加该采购项目的其他采购活动的；</w:t>
      </w:r>
    </w:p>
    <w:p w14:paraId="3BC23B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3.3 供应商不具备磋商文件中规定的资格要求的（供应商未提供有效的资格证明文件的，视为供应商不具备磋商文件中规定的资格要求）；</w:t>
      </w:r>
    </w:p>
    <w:p w14:paraId="1B2A410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3.4 如以联合体形式参加政府采购活动的，联合协议不符合磋商文件规定的联合协议要求的；</w:t>
      </w:r>
    </w:p>
    <w:p w14:paraId="4BB83E2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3.5 响应文件未按磋商文件的澄清、修改的内容编制，又不符合实质性要求的；</w:t>
      </w:r>
    </w:p>
    <w:p w14:paraId="1DAEB36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3.6 响应文件组成漏项，内容不全或内容字迹模糊辨认不清的；</w:t>
      </w:r>
    </w:p>
    <w:p w14:paraId="33E6A70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3.7 响应文件中法人授权书所载内容与本项目内容有异的；</w:t>
      </w:r>
    </w:p>
    <w:p w14:paraId="47CB53F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3.8 响应文件未按照磋商文件要求签署、盖章的；</w:t>
      </w:r>
    </w:p>
    <w:p w14:paraId="5C25B01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3.9 采购人拟采购的产品属于政府强制采购的节能产品品目清单范围的，供应商相应的响应产品未获得国家确定的认证机构出具的、处于有效期之内的节能产品认证证书的；</w:t>
      </w:r>
    </w:p>
    <w:p w14:paraId="208CB9E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3.10 响应文件含有采购人不能接受的附加条件的；</w:t>
      </w:r>
    </w:p>
    <w:p w14:paraId="1A9409E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3.11 响应文件中承诺的响应有效期少于磋商文件中载明的响应有效期的；</w:t>
      </w:r>
    </w:p>
    <w:p w14:paraId="0AEF2E3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3.12 供应商所投内容不符合磋商文件中实质性要求的；</w:t>
      </w:r>
    </w:p>
    <w:p w14:paraId="25DF01E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3.13 所提交的《最后报价一览表》中出现不是唯一的、有选择性的报价的</w:t>
      </w:r>
      <w:r>
        <w:rPr>
          <w:rFonts w:hint="eastAsia" w:ascii="宋体" w:hAnsi="宋体" w:eastAsia="宋体" w:cs="宋体"/>
          <w:color w:val="auto"/>
          <w:sz w:val="24"/>
          <w:szCs w:val="24"/>
          <w:highlight w:val="none"/>
          <w:lang w:val="en-US" w:eastAsia="zh-CN"/>
        </w:rPr>
        <w:t>；</w:t>
      </w:r>
    </w:p>
    <w:p w14:paraId="5191FE8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3.14 最后报价高于本项目采购预算或者最高限价的</w:t>
      </w:r>
      <w:r>
        <w:rPr>
          <w:rFonts w:hint="eastAsia" w:ascii="宋体" w:hAnsi="宋体" w:eastAsia="宋体" w:cs="宋体"/>
          <w:color w:val="auto"/>
          <w:sz w:val="24"/>
          <w:szCs w:val="24"/>
          <w:highlight w:val="none"/>
          <w:lang w:val="en-US" w:eastAsia="zh-CN"/>
        </w:rPr>
        <w:t>；</w:t>
      </w:r>
    </w:p>
    <w:p w14:paraId="68F145D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3.15 最后报价明显低于其他供应商的最后报价，有可能影响产品质量或者不能诚信履约的，未能按要求提供书面说明或者提交相关证明材料，不能证明其报价合理性的</w:t>
      </w:r>
      <w:r>
        <w:rPr>
          <w:rFonts w:hint="eastAsia" w:ascii="宋体" w:hAnsi="宋体" w:eastAsia="宋体" w:cs="宋体"/>
          <w:color w:val="auto"/>
          <w:sz w:val="24"/>
          <w:szCs w:val="24"/>
          <w:highlight w:val="none"/>
          <w:lang w:val="en-US" w:eastAsia="zh-CN"/>
        </w:rPr>
        <w:t>；</w:t>
      </w:r>
    </w:p>
    <w:p w14:paraId="20F15AE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3.16《最后报价一览表》填写不完整或字迹不能辨认或有漏项的；</w:t>
      </w:r>
    </w:p>
    <w:p w14:paraId="6CF985A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3.17 供应商对根据修正原则修正后的最后报价不确认的；</w:t>
      </w:r>
    </w:p>
    <w:p w14:paraId="1F87FCC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3.18 供应商提供虚假材料响应的（包括但不限于以下情节）；</w:t>
      </w:r>
    </w:p>
    <w:p w14:paraId="7D3A04BF">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使用伪造、变造的许可证件；</w:t>
      </w:r>
    </w:p>
    <w:p w14:paraId="0BCC1A77">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提供虚假的财务状况或者业绩；</w:t>
      </w:r>
    </w:p>
    <w:p w14:paraId="72BD6313">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提供虚假的项目负责人或者主要技术人员简历、劳动关系证明；</w:t>
      </w:r>
    </w:p>
    <w:p w14:paraId="4EB95F4D">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提供虚假的信用状况；</w:t>
      </w:r>
    </w:p>
    <w:p w14:paraId="48887AB5">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其他弄虚作假的行为。</w:t>
      </w:r>
    </w:p>
    <w:p w14:paraId="0C4301D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3.19 供应商有恶意串通、妨碍其他供应商的竞争行为、损害采购人或者其他供应商的合法权益情形的。</w:t>
      </w:r>
    </w:p>
    <w:p w14:paraId="4FC4A04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有下列情形之一的，属于或视为恶意串通，其响应无效：</w:t>
      </w:r>
    </w:p>
    <w:p w14:paraId="5BADE6C1">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供应商直接或者间接从采购人或者采购代理机构处获得其他供应商的相关情况并修改其响应文件；</w:t>
      </w:r>
    </w:p>
    <w:p w14:paraId="207F68A3">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供应商按照采购人或者采购代理机构的授意撤换、修改投标文件或者响应文件；</w:t>
      </w:r>
    </w:p>
    <w:p w14:paraId="13AD4233">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供应商之间协商报价、技术方案等投标文件或者响应文件的实质性内容；</w:t>
      </w:r>
    </w:p>
    <w:p w14:paraId="1BAB1122">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属于同一集团、协会、商会等组织成员的供应商按照该组织要求协同参加政府采购活动；</w:t>
      </w:r>
    </w:p>
    <w:p w14:paraId="43DE773E">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供应商之间事先约定由某一特定供应商中标、成交；</w:t>
      </w:r>
    </w:p>
    <w:p w14:paraId="223DED13">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供应商之间商定部分供应商放弃参加政府采购活动或者放弃中标、成交；</w:t>
      </w:r>
    </w:p>
    <w:p w14:paraId="69ED5423">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供应商与采购人或者采购代理机构之间、供应商相互之间，为谋求特定供应商中标、成交或者排斥其他供应商的其他串通行为。</w:t>
      </w:r>
    </w:p>
    <w:p w14:paraId="75422354">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不同供应商的响应文件由同一单位或者个人编制；</w:t>
      </w:r>
    </w:p>
    <w:p w14:paraId="49D1CC4F">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不同供应商委托同一单位或者个人办理响应事宜；</w:t>
      </w:r>
    </w:p>
    <w:p w14:paraId="446DCCB0">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default" w:ascii="宋体" w:hAnsi="宋体" w:eastAsia="宋体" w:cs="宋体"/>
          <w:color w:val="auto"/>
          <w:sz w:val="24"/>
          <w:szCs w:val="24"/>
          <w:highlight w:val="none"/>
          <w:lang w:val="en-US" w:eastAsia="zh-CN"/>
        </w:rPr>
        <w:t>不同供应商的响应文件载明的项目管理成员或者联系人员为同一人；</w:t>
      </w:r>
    </w:p>
    <w:p w14:paraId="4FB2FCE5">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不同供应商的响应文件异常一致或者最后报价呈规律性差异；</w:t>
      </w:r>
    </w:p>
    <w:p w14:paraId="17DD5AA1">
      <w:pPr>
        <w:pStyle w:val="18"/>
        <w:keepNext w:val="0"/>
        <w:keepLines w:val="0"/>
        <w:pageBreakBefore w:val="0"/>
        <w:widowControl w:val="0"/>
        <w:numPr>
          <w:ilvl w:val="0"/>
          <w:numId w:val="4"/>
        </w:numPr>
        <w:kinsoku/>
        <w:wordWrap/>
        <w:overflowPunct/>
        <w:topLinePunct w:val="0"/>
        <w:autoSpaceDE/>
        <w:autoSpaceDN/>
        <w:bidi w:val="0"/>
        <w:adjustRightInd/>
        <w:snapToGrid/>
        <w:spacing w:after="0" w:line="360" w:lineRule="auto"/>
        <w:ind w:left="420" w:leftChars="0" w:hanging="420" w:firstLineChars="0"/>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不同供应商的响应文件相互混装。</w:t>
      </w:r>
    </w:p>
    <w:p w14:paraId="68F496D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3.20 供应商仅提交备份响应文件，没有在电子交易平台传输提交响应文件的，响应</w:t>
      </w:r>
      <w:r>
        <w:rPr>
          <w:rFonts w:ascii="宋体" w:hAnsi="宋体" w:eastAsia="宋体" w:cs="宋体"/>
          <w:color w:val="auto"/>
          <w:sz w:val="24"/>
          <w:szCs w:val="24"/>
          <w:highlight w:val="none"/>
        </w:rPr>
        <w:t>无效；</w:t>
      </w:r>
    </w:p>
    <w:p w14:paraId="78C2340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3.21 法律、法规、规章（适用本市的）及省级以上规范性文件（适用本市的）规定的其他无效情形。</w:t>
      </w:r>
    </w:p>
    <w:p w14:paraId="56D1301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 </w:t>
      </w:r>
      <w:r>
        <w:rPr>
          <w:rFonts w:hint="default" w:ascii="宋体" w:hAnsi="宋体" w:eastAsia="宋体" w:cs="宋体"/>
          <w:color w:val="auto"/>
          <w:sz w:val="24"/>
          <w:szCs w:val="24"/>
          <w:highlight w:val="none"/>
          <w:lang w:val="en-US" w:eastAsia="zh-CN"/>
        </w:rPr>
        <w:t>磋商文件能够详细列明采购标的的技术、服务要求的，磋商结束后，磋商小组应当要求所有实质性响应的供应商在规定时间内提交最后报价，提交最后报价的供应商不得少于 3 家。磋商文件不能详细列明采购标的的技术、服务要求，需经磋商由供应商提交最终设计方案或解决方案的，磋商结束后，磋商小组应当按照少数服从多数的原则投票推荐 3 家以上供应商的设计方案或者解决方案，并要求其在规定时间内提交最后报价。市场竞争不充分的科研项目，以及需要扶持的科技成果转化项目，提交最后报价的供应商可以为 2家；政府购买服务项目（含政府和社会资本合作项目），在采购过程中符合要求的供应商（社会资本）只有 2 家的，竞争性磋商采购活动可以继续进行。</w:t>
      </w:r>
    </w:p>
    <w:p w14:paraId="65992F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5.非政府强制采购的节能产品或环境标志产品。本项目采购需求中若涉及非政府强制采购的节能产品或环境标志产品，依据品目清单和认证证书实施政府优先采购。所投主要成交标的产品中属于政府采购优先采购的节能产品或环境标志产品的，作为评标办法《详细评审表》的加分项，每提供1项产品加1分，最多加2分。</w:t>
      </w:r>
    </w:p>
    <w:p w14:paraId="3E1214C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6 确定成交候选人名单</w:t>
      </w:r>
    </w:p>
    <w:p w14:paraId="4DCF2BE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6.1 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14:paraId="6FDFCC9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6.2 磋商小组根据上述供应商排序，依次推荐排序前</w:t>
      </w:r>
      <w:r>
        <w:rPr>
          <w:rFonts w:hint="eastAsia" w:ascii="宋体" w:hAnsi="宋体" w:eastAsia="宋体" w:cs="宋体"/>
          <w:color w:val="auto"/>
          <w:sz w:val="24"/>
          <w:szCs w:val="24"/>
          <w:highlight w:val="none"/>
          <w:lang w:val="en-US" w:eastAsia="zh-CN"/>
        </w:rPr>
        <w:t>3</w:t>
      </w:r>
      <w:r>
        <w:rPr>
          <w:rFonts w:ascii="宋体" w:hAnsi="宋体" w:eastAsia="宋体" w:cs="宋体"/>
          <w:color w:val="auto"/>
          <w:sz w:val="24"/>
          <w:szCs w:val="24"/>
          <w:highlight w:val="none"/>
        </w:rPr>
        <w:t>名的供应商为成交候选供应</w:t>
      </w:r>
      <w:r>
        <w:rPr>
          <w:rFonts w:hint="eastAsia" w:ascii="宋体" w:hAnsi="宋体" w:eastAsia="宋体" w:cs="宋体"/>
          <w:color w:val="auto"/>
          <w:sz w:val="24"/>
          <w:szCs w:val="24"/>
          <w:highlight w:val="none"/>
        </w:rPr>
        <w:t>商（若在磋商文件允许的情形下提交最后报价的供应商为</w:t>
      </w:r>
      <w:r>
        <w:rPr>
          <w:rFonts w:hint="eastAsia" w:ascii="宋体" w:hAnsi="宋体" w:eastAsia="宋体" w:cs="宋体"/>
          <w:color w:val="auto"/>
          <w:sz w:val="24"/>
          <w:szCs w:val="24"/>
          <w:highlight w:val="none"/>
          <w:lang w:eastAsia="zh-CN"/>
        </w:rPr>
        <w:t>两家</w:t>
      </w:r>
      <w:r>
        <w:rPr>
          <w:rFonts w:hint="eastAsia" w:ascii="宋体" w:hAnsi="宋体" w:eastAsia="宋体" w:cs="宋体"/>
          <w:color w:val="auto"/>
          <w:sz w:val="24"/>
          <w:szCs w:val="24"/>
          <w:highlight w:val="none"/>
        </w:rPr>
        <w:t>，则依次推荐</w:t>
      </w:r>
      <w:r>
        <w:rPr>
          <w:rFonts w:hint="eastAsia" w:ascii="宋体" w:hAnsi="宋体" w:eastAsia="宋体" w:cs="宋体"/>
          <w:color w:val="auto"/>
          <w:sz w:val="24"/>
          <w:szCs w:val="24"/>
          <w:highlight w:val="none"/>
          <w:lang w:eastAsia="zh-CN"/>
        </w:rPr>
        <w:t>两名</w:t>
      </w:r>
      <w:r>
        <w:rPr>
          <w:rFonts w:hint="eastAsia" w:ascii="宋体" w:hAnsi="宋体" w:eastAsia="宋体" w:cs="宋体"/>
          <w:color w:val="auto"/>
          <w:sz w:val="24"/>
          <w:szCs w:val="24"/>
          <w:highlight w:val="none"/>
        </w:rPr>
        <w:t>供应商为成交候选供应商），并编写评审报告。</w:t>
      </w:r>
    </w:p>
    <w:p w14:paraId="433D1A1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6.3 磋商小组要对评分汇总情况进行复核，特别是对排名第一的、报价最低的、响应文件被认定为无效的情形进行重点复核。</w:t>
      </w:r>
    </w:p>
    <w:p w14:paraId="365B86C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b/>
          <w:bCs/>
          <w:color w:val="auto"/>
          <w:sz w:val="24"/>
          <w:szCs w:val="24"/>
          <w:highlight w:val="none"/>
          <w:lang w:val="en-US" w:eastAsia="zh-CN"/>
        </w:rPr>
      </w:pPr>
      <w:r>
        <w:rPr>
          <w:rFonts w:ascii="宋体" w:hAnsi="宋体" w:eastAsia="宋体" w:cs="宋体"/>
          <w:b/>
          <w:bCs/>
          <w:color w:val="auto"/>
          <w:sz w:val="24"/>
          <w:szCs w:val="24"/>
          <w:highlight w:val="none"/>
        </w:rPr>
        <w:t>7. 重新开展采购活动</w:t>
      </w:r>
    </w:p>
    <w:p w14:paraId="2342098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出现下列情形之一的，采购代理机构应当终止竞争性磋商采购活动，通过电子交易平台发布项目终止公告并说明原因，重新开展采购活动：</w:t>
      </w:r>
    </w:p>
    <w:p w14:paraId="6F498DF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（1）因情况变化，不再符合规定的竞争性磋商采购方式适用情形的；</w:t>
      </w:r>
    </w:p>
    <w:p w14:paraId="78A0B83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（2）出现影响采购公正的违法、违规行为的；</w:t>
      </w:r>
    </w:p>
    <w:p w14:paraId="2AF729D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（3）在采购过程中符合要求的供应商或者最后报价未超过采购预算的供应商不足3 家的（有特殊规定的从其规定）。</w:t>
      </w:r>
    </w:p>
    <w:p w14:paraId="00D20D1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b/>
          <w:bCs/>
          <w:color w:val="auto"/>
          <w:sz w:val="24"/>
          <w:szCs w:val="24"/>
          <w:highlight w:val="none"/>
          <w:lang w:val="en-US" w:eastAsia="zh-CN"/>
        </w:rPr>
      </w:pPr>
      <w:r>
        <w:rPr>
          <w:rFonts w:ascii="宋体" w:hAnsi="宋体" w:eastAsia="宋体" w:cs="宋体"/>
          <w:b/>
          <w:bCs/>
          <w:color w:val="auto"/>
          <w:sz w:val="24"/>
          <w:szCs w:val="24"/>
          <w:highlight w:val="none"/>
        </w:rPr>
        <w:t>8. 终止采购活动</w:t>
      </w:r>
    </w:p>
    <w:p w14:paraId="118F771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在采购活动中因重大变故，采购任务取消的，采购代理机构将终止采购活动，通过电子交易平台通知所有参加采购活动的供应商，并将项目实施情况和采购任务取消原因报送本级财政部门。</w:t>
      </w:r>
    </w:p>
    <w:p w14:paraId="3967EA2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9. 采购代理机构有权对磋商小组各成员的评分情况和评审意见进行合理性和合规性审</w:t>
      </w:r>
      <w:r>
        <w:rPr>
          <w:rFonts w:hint="eastAsia" w:ascii="宋体" w:hAnsi="宋体" w:eastAsia="宋体" w:cs="宋体"/>
          <w:b/>
          <w:bCs/>
          <w:color w:val="auto"/>
          <w:sz w:val="24"/>
          <w:szCs w:val="24"/>
          <w:highlight w:val="none"/>
          <w:lang w:val="en-US" w:eastAsia="zh-CN"/>
        </w:rPr>
        <w:t>查，</w:t>
      </w:r>
      <w:r>
        <w:rPr>
          <w:rFonts w:hint="eastAsia" w:ascii="宋体" w:hAnsi="宋体" w:eastAsia="宋体" w:cs="宋体"/>
          <w:b w:val="0"/>
          <w:bCs w:val="0"/>
          <w:color w:val="auto"/>
          <w:sz w:val="24"/>
          <w:szCs w:val="24"/>
          <w:highlight w:val="none"/>
          <w:lang w:val="en-US" w:eastAsia="zh-CN"/>
        </w:rPr>
        <w:t>如发现磋商小组成员的评审意见带有明显倾向性，或不按规定程序和标准评审、计分的，磋商小组成员应进行书面澄清和说明；磋商小组成员拒不接受采购代理机构审查的，采购代理机构将向同级政府采购监督管理部门报告并予以处理。</w:t>
      </w:r>
    </w:p>
    <w:p w14:paraId="07D2E4A7">
      <w:pPr>
        <w:numPr>
          <w:ilvl w:val="0"/>
          <w:numId w:val="0"/>
        </w:numPr>
        <w:bidi w:val="0"/>
        <w:jc w:val="center"/>
        <w:outlineLvl w:val="1"/>
        <w:rPr>
          <w:rFonts w:hint="default" w:ascii="宋体" w:hAnsi="宋体" w:eastAsia="宋体" w:cstheme="minorBidi"/>
          <w:color w:val="auto"/>
          <w:kern w:val="2"/>
          <w:sz w:val="32"/>
          <w:szCs w:val="22"/>
          <w:highlight w:val="none"/>
          <w:lang w:val="en-US" w:eastAsia="zh-CN" w:bidi="ar-SA"/>
        </w:rPr>
      </w:pPr>
      <w:bookmarkStart w:id="24" w:name="_Toc20121"/>
      <w:r>
        <w:rPr>
          <w:rFonts w:hint="eastAsia" w:ascii="宋体" w:hAnsi="宋体" w:eastAsia="宋体" w:cstheme="minorBidi"/>
          <w:color w:val="auto"/>
          <w:kern w:val="2"/>
          <w:sz w:val="32"/>
          <w:szCs w:val="22"/>
          <w:highlight w:val="none"/>
          <w:lang w:val="en-US" w:eastAsia="zh-CN" w:bidi="ar-SA"/>
        </w:rPr>
        <w:t>六、评审过程的保密与录像</w:t>
      </w:r>
      <w:bookmarkEnd w:id="24"/>
    </w:p>
    <w:p w14:paraId="6404177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1.保密。</w:t>
      </w:r>
      <w:r>
        <w:rPr>
          <w:rFonts w:hint="default" w:ascii="宋体" w:hAnsi="宋体" w:eastAsia="宋体" w:cs="宋体"/>
          <w:color w:val="auto"/>
          <w:sz w:val="24"/>
          <w:szCs w:val="24"/>
          <w:highlight w:val="none"/>
          <w:lang w:val="en-US" w:eastAsia="zh-CN"/>
        </w:rPr>
        <w:t>评审活动在严格保密的情况下进行。评审过程中凡是与采购响应文件评审和比较、成交人推荐等评审有关的情况，以及涉及国家秘密和商业秘密等信息，磋商小组成员、采购人和采购代理机构工作人员、相关监督人员等与评审有关的人员应当予以保密。</w:t>
      </w:r>
    </w:p>
    <w:p w14:paraId="262A606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2.录音录像。</w:t>
      </w:r>
      <w:r>
        <w:rPr>
          <w:rFonts w:hint="default" w:ascii="宋体" w:hAnsi="宋体" w:eastAsia="宋体" w:cs="宋体"/>
          <w:color w:val="auto"/>
          <w:sz w:val="24"/>
          <w:szCs w:val="24"/>
          <w:highlight w:val="none"/>
          <w:lang w:val="en-US" w:eastAsia="zh-CN"/>
        </w:rPr>
        <w:t>采购代理机构对评审工作现场进行全过程录音录像，录音录像资料作为采购项目文件随其他文件一并存档。</w:t>
      </w:r>
    </w:p>
    <w:p w14:paraId="25C4CA25">
      <w:p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br w:type="page"/>
      </w:r>
    </w:p>
    <w:p w14:paraId="2338E4D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kern w:val="0"/>
          <w:sz w:val="32"/>
          <w:szCs w:val="32"/>
          <w:highlight w:val="none"/>
          <w:lang w:val="en-US" w:eastAsia="zh-CN" w:bidi="ar"/>
        </w:rPr>
      </w:pPr>
      <w:r>
        <w:rPr>
          <w:rFonts w:hint="default" w:ascii="宋体" w:hAnsi="宋体" w:eastAsia="宋体" w:cs="宋体"/>
          <w:color w:val="auto"/>
          <w:kern w:val="0"/>
          <w:sz w:val="32"/>
          <w:szCs w:val="32"/>
          <w:highlight w:val="none"/>
          <w:lang w:val="en-US" w:eastAsia="zh-CN" w:bidi="ar"/>
        </w:rPr>
        <w:t>附件 1：</w:t>
      </w:r>
    </w:p>
    <w:p w14:paraId="6892BC72">
      <w:pPr>
        <w:keepNext w:val="0"/>
        <w:keepLines w:val="0"/>
        <w:widowControl/>
        <w:suppressLineNumbers w:val="0"/>
        <w:jc w:val="center"/>
        <w:outlineLvl w:val="2"/>
        <w:rPr>
          <w:color w:val="auto"/>
          <w:sz w:val="32"/>
          <w:szCs w:val="32"/>
          <w:highlight w:val="none"/>
        </w:rPr>
      </w:pPr>
      <w:r>
        <w:rPr>
          <w:rFonts w:hint="eastAsia" w:ascii="宋体" w:hAnsi="宋体" w:eastAsia="宋体" w:cs="宋体"/>
          <w:color w:val="auto"/>
          <w:kern w:val="0"/>
          <w:sz w:val="32"/>
          <w:szCs w:val="32"/>
          <w:highlight w:val="none"/>
          <w:lang w:val="en-US" w:eastAsia="zh-CN" w:bidi="ar"/>
        </w:rPr>
        <w:t>资格审查表</w:t>
      </w:r>
    </w:p>
    <w:p w14:paraId="56F7F0F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磋商小组对供应商的响应文件进行初审，以确定其是否满足磋商文件的实质性要求。初审表如下：</w:t>
      </w:r>
    </w:p>
    <w:tbl>
      <w:tblPr>
        <w:tblStyle w:val="15"/>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7653"/>
        <w:gridCol w:w="1313"/>
        <w:gridCol w:w="498"/>
      </w:tblGrid>
      <w:tr w14:paraId="6DA4D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1830A47">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7653" w:type="dxa"/>
            <w:vAlign w:val="center"/>
          </w:tcPr>
          <w:p w14:paraId="0E1B1EC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审查因素</w:t>
            </w:r>
          </w:p>
        </w:tc>
        <w:tc>
          <w:tcPr>
            <w:tcW w:w="1313" w:type="dxa"/>
            <w:vAlign w:val="center"/>
          </w:tcPr>
          <w:p w14:paraId="0F2E9F8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是否合法有效</w:t>
            </w:r>
          </w:p>
        </w:tc>
        <w:tc>
          <w:tcPr>
            <w:tcW w:w="498" w:type="dxa"/>
            <w:vAlign w:val="center"/>
          </w:tcPr>
          <w:p w14:paraId="3B3E984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备注</w:t>
            </w:r>
          </w:p>
        </w:tc>
      </w:tr>
      <w:tr w14:paraId="420E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589AC5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7653" w:type="dxa"/>
            <w:vAlign w:val="center"/>
          </w:tcPr>
          <w:p w14:paraId="213C552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法定代表人身份证或法定代表人授权委托书和委托代理人的身份证。法定代表人授权委托书应当与响应文件中所提供的相一致；</w:t>
            </w:r>
          </w:p>
        </w:tc>
        <w:tc>
          <w:tcPr>
            <w:tcW w:w="1313" w:type="dxa"/>
            <w:vAlign w:val="center"/>
          </w:tcPr>
          <w:p w14:paraId="3FF6AA28">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c>
          <w:tcPr>
            <w:tcW w:w="498" w:type="dxa"/>
            <w:vAlign w:val="center"/>
          </w:tcPr>
          <w:p w14:paraId="1563E8E7">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r>
      <w:tr w14:paraId="17A35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320313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7653" w:type="dxa"/>
            <w:vAlign w:val="center"/>
          </w:tcPr>
          <w:p w14:paraId="22E3E858">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供应商为企业法人应提供合法有效的标识有统一社会信用代码的营业执照；</w:t>
            </w:r>
          </w:p>
          <w:p w14:paraId="00AAA8DB">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事业法人应提供事业单位法人证书；</w:t>
            </w:r>
          </w:p>
          <w:p w14:paraId="3DE3561A">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其他组织应提供合法登记证明文件；</w:t>
            </w:r>
          </w:p>
        </w:tc>
        <w:tc>
          <w:tcPr>
            <w:tcW w:w="1313" w:type="dxa"/>
            <w:vAlign w:val="center"/>
          </w:tcPr>
          <w:p w14:paraId="5F0B06B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c>
          <w:tcPr>
            <w:tcW w:w="498" w:type="dxa"/>
            <w:vAlign w:val="center"/>
          </w:tcPr>
          <w:p w14:paraId="31BEEA89">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r>
      <w:tr w14:paraId="6CE5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BD2A590">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7653" w:type="dxa"/>
            <w:vAlign w:val="center"/>
          </w:tcPr>
          <w:p w14:paraId="6A89CBA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须在“信用中国”（www.creditchina.gov.cn）和中国政府采购网（www.ccgp.gov.cn）上未被列入失信被执行人、重大税收违法案件当事人名单、未被列入政府采购严重违法失信行为记录名单里（以采购代理机构现场查询为准）；</w:t>
            </w:r>
          </w:p>
        </w:tc>
        <w:tc>
          <w:tcPr>
            <w:tcW w:w="1313" w:type="dxa"/>
            <w:vAlign w:val="center"/>
          </w:tcPr>
          <w:p w14:paraId="5C40EAAB">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c>
          <w:tcPr>
            <w:tcW w:w="498" w:type="dxa"/>
            <w:vAlign w:val="center"/>
          </w:tcPr>
          <w:p w14:paraId="12DBD7E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r>
      <w:tr w14:paraId="2F612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01EDA53E">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7653" w:type="dxa"/>
            <w:vAlign w:val="center"/>
          </w:tcPr>
          <w:p w14:paraId="693A7A1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供应商具有履行合同所必需的设备和专业技术能力：提供完成本项目必需的设备清单及本项目组织实施人员或承诺函；</w:t>
            </w:r>
          </w:p>
        </w:tc>
        <w:tc>
          <w:tcPr>
            <w:tcW w:w="1313" w:type="dxa"/>
            <w:vAlign w:val="center"/>
          </w:tcPr>
          <w:p w14:paraId="2027F3E9">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c>
          <w:tcPr>
            <w:tcW w:w="498" w:type="dxa"/>
            <w:vAlign w:val="center"/>
          </w:tcPr>
          <w:p w14:paraId="26B09F4B">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r>
      <w:tr w14:paraId="68E84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13184615">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7653" w:type="dxa"/>
            <w:vAlign w:val="center"/>
          </w:tcPr>
          <w:p w14:paraId="0082A03D">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社会保障资金缴纳证明：供应商提供近半年内已缴存的至少一个月的社会保障资金缴存单据或社保机构开具的社会保险参保缴费情况证明，依法不需要缴纳社会保障资金的供应商应提供相关文件证明；</w:t>
            </w:r>
          </w:p>
        </w:tc>
        <w:tc>
          <w:tcPr>
            <w:tcW w:w="1313" w:type="dxa"/>
            <w:vAlign w:val="center"/>
          </w:tcPr>
          <w:p w14:paraId="305D6927">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c>
          <w:tcPr>
            <w:tcW w:w="498" w:type="dxa"/>
            <w:vAlign w:val="center"/>
          </w:tcPr>
          <w:p w14:paraId="07980197">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r>
      <w:tr w14:paraId="0729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B58527C">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7653" w:type="dxa"/>
            <w:vAlign w:val="center"/>
          </w:tcPr>
          <w:p w14:paraId="697D6FF2">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税收缴纳证明：供应商提供近半年内已缴纳的至少一个月的纳税证明或完税证明，纳税证明或完税证明上应有代收机构或税务机关的公章，依法免税的供应商应提供相关文件证明；</w:t>
            </w:r>
          </w:p>
        </w:tc>
        <w:tc>
          <w:tcPr>
            <w:tcW w:w="1313" w:type="dxa"/>
            <w:vAlign w:val="center"/>
          </w:tcPr>
          <w:p w14:paraId="49F24698">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c>
          <w:tcPr>
            <w:tcW w:w="498" w:type="dxa"/>
            <w:vAlign w:val="center"/>
          </w:tcPr>
          <w:p w14:paraId="0A738C2D">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r>
      <w:tr w14:paraId="3917D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23A3588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7653" w:type="dxa"/>
            <w:vAlign w:val="center"/>
          </w:tcPr>
          <w:p w14:paraId="175034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财务状况报告：供应商须提供本单位上一年度由会计师事务所出具的财务审计报告（当上一年度审计报告未出来时，可提供前一年度审计报告）或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注：财务报表需加盖本单位公章，资信证明需加盖出具机关印章，资信证明内容须包含商业信誉良好的相关内容。出具的资信证明及基本存款账户开户许可证或基本存款账户信息；</w:t>
            </w:r>
          </w:p>
        </w:tc>
        <w:tc>
          <w:tcPr>
            <w:tcW w:w="1313" w:type="dxa"/>
            <w:vAlign w:val="center"/>
          </w:tcPr>
          <w:p w14:paraId="0F2C915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c>
          <w:tcPr>
            <w:tcW w:w="498" w:type="dxa"/>
            <w:vAlign w:val="center"/>
          </w:tcPr>
          <w:p w14:paraId="008076CC">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r>
      <w:tr w14:paraId="7B429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3A638072">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8</w:t>
            </w:r>
          </w:p>
        </w:tc>
        <w:tc>
          <w:tcPr>
            <w:tcW w:w="7653" w:type="dxa"/>
            <w:vAlign w:val="center"/>
          </w:tcPr>
          <w:p w14:paraId="7D14123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供应商应具备良好的商业信誉，提供参加政府采购活动前 3 年内在经营活动中没有重大违法记录的书面声明；</w:t>
            </w:r>
          </w:p>
        </w:tc>
        <w:tc>
          <w:tcPr>
            <w:tcW w:w="1313" w:type="dxa"/>
            <w:vAlign w:val="center"/>
          </w:tcPr>
          <w:p w14:paraId="4192A55D">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c>
          <w:tcPr>
            <w:tcW w:w="498" w:type="dxa"/>
            <w:vAlign w:val="center"/>
          </w:tcPr>
          <w:p w14:paraId="0ACBA31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r>
      <w:tr w14:paraId="5EA8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543A956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w:t>
            </w:r>
          </w:p>
        </w:tc>
        <w:tc>
          <w:tcPr>
            <w:tcW w:w="7653" w:type="dxa"/>
            <w:vAlign w:val="center"/>
          </w:tcPr>
          <w:p w14:paraId="649F6F7C">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落实政府采购政策的资格要求（中小企业政策）：本项目专门面向中小企业采购，服务全部由符合政策要求的中小企业承接，提供相应的《中小企业声明函》；</w:t>
            </w:r>
          </w:p>
        </w:tc>
        <w:tc>
          <w:tcPr>
            <w:tcW w:w="1313" w:type="dxa"/>
            <w:vAlign w:val="center"/>
          </w:tcPr>
          <w:p w14:paraId="32832790">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c>
          <w:tcPr>
            <w:tcW w:w="498" w:type="dxa"/>
            <w:vAlign w:val="center"/>
          </w:tcPr>
          <w:p w14:paraId="32FF1FE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r>
      <w:tr w14:paraId="11738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8" w:type="dxa"/>
            <w:vAlign w:val="center"/>
          </w:tcPr>
          <w:p w14:paraId="7987A843">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10</w:t>
            </w:r>
          </w:p>
        </w:tc>
        <w:tc>
          <w:tcPr>
            <w:tcW w:w="7653" w:type="dxa"/>
            <w:vAlign w:val="center"/>
          </w:tcPr>
          <w:p w14:paraId="046F0E69">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shd w:val="clear" w:color="auto" w:fill="auto"/>
                <w:lang w:val="en-US" w:eastAsia="zh-CN"/>
              </w:rPr>
              <w:t>单位负责人为同一人或者存在直接控股、管理关系的不同供应商，不得参加同一合同项下的政府采购活动；为采购项目提供整体设计、规范编制或者项目管理、监理、检测等服务后不得再参加该采购项目的其他采购活动。（提供承诺函）</w:t>
            </w:r>
          </w:p>
        </w:tc>
        <w:tc>
          <w:tcPr>
            <w:tcW w:w="1313" w:type="dxa"/>
            <w:vAlign w:val="center"/>
          </w:tcPr>
          <w:p w14:paraId="14BAAF37">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c>
          <w:tcPr>
            <w:tcW w:w="498" w:type="dxa"/>
            <w:vAlign w:val="center"/>
          </w:tcPr>
          <w:p w14:paraId="5ED9E483">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p>
        </w:tc>
      </w:tr>
      <w:tr w14:paraId="1689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62" w:type="dxa"/>
            <w:gridSpan w:val="4"/>
            <w:vAlign w:val="center"/>
          </w:tcPr>
          <w:p w14:paraId="4EA3BEA3">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资格审查指标通过标准：供应商必须通过资格审查表中的全部评审指标。</w:t>
            </w:r>
          </w:p>
          <w:p w14:paraId="70093C49">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注：如有一项不合格，作废标处理。</w:t>
            </w:r>
          </w:p>
        </w:tc>
      </w:tr>
    </w:tbl>
    <w:p w14:paraId="42854807">
      <w:pPr>
        <w:rPr>
          <w:rFonts w:hint="default" w:ascii="宋体" w:hAnsi="宋体" w:eastAsia="宋体" w:cs="宋体"/>
          <w:color w:val="auto"/>
          <w:kern w:val="0"/>
          <w:sz w:val="32"/>
          <w:szCs w:val="32"/>
          <w:highlight w:val="none"/>
          <w:lang w:val="en-US" w:eastAsia="zh-CN" w:bidi="ar"/>
        </w:rPr>
      </w:pPr>
      <w:r>
        <w:rPr>
          <w:rFonts w:hint="default" w:ascii="宋体" w:hAnsi="宋体" w:eastAsia="宋体" w:cs="宋体"/>
          <w:color w:val="auto"/>
          <w:kern w:val="0"/>
          <w:sz w:val="32"/>
          <w:szCs w:val="32"/>
          <w:highlight w:val="none"/>
          <w:lang w:val="en-US" w:eastAsia="zh-CN" w:bidi="ar"/>
        </w:rPr>
        <w:br w:type="page"/>
      </w:r>
    </w:p>
    <w:p w14:paraId="0E2C506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kern w:val="0"/>
          <w:sz w:val="32"/>
          <w:szCs w:val="32"/>
          <w:highlight w:val="none"/>
          <w:lang w:val="en-US" w:eastAsia="zh-CN" w:bidi="ar"/>
        </w:rPr>
      </w:pPr>
      <w:r>
        <w:rPr>
          <w:rFonts w:hint="default" w:ascii="宋体" w:hAnsi="宋体" w:eastAsia="宋体" w:cs="宋体"/>
          <w:color w:val="auto"/>
          <w:kern w:val="0"/>
          <w:sz w:val="32"/>
          <w:szCs w:val="32"/>
          <w:highlight w:val="none"/>
          <w:lang w:val="en-US" w:eastAsia="zh-CN" w:bidi="ar"/>
        </w:rPr>
        <w:t xml:space="preserve">附件 </w:t>
      </w:r>
      <w:r>
        <w:rPr>
          <w:rFonts w:hint="eastAsia" w:ascii="宋体" w:hAnsi="宋体" w:eastAsia="宋体" w:cs="宋体"/>
          <w:color w:val="auto"/>
          <w:kern w:val="0"/>
          <w:sz w:val="32"/>
          <w:szCs w:val="32"/>
          <w:highlight w:val="none"/>
          <w:lang w:val="en-US" w:eastAsia="zh-CN" w:bidi="ar"/>
        </w:rPr>
        <w:t>2</w:t>
      </w:r>
      <w:r>
        <w:rPr>
          <w:rFonts w:hint="default" w:ascii="宋体" w:hAnsi="宋体" w:eastAsia="宋体" w:cs="宋体"/>
          <w:color w:val="auto"/>
          <w:kern w:val="0"/>
          <w:sz w:val="32"/>
          <w:szCs w:val="32"/>
          <w:highlight w:val="none"/>
          <w:lang w:val="en-US" w:eastAsia="zh-CN" w:bidi="ar"/>
        </w:rPr>
        <w:t>：</w:t>
      </w:r>
    </w:p>
    <w:p w14:paraId="183909D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32"/>
          <w:szCs w:val="32"/>
          <w:highlight w:val="none"/>
          <w:lang w:val="en-US" w:eastAsia="zh-CN" w:bidi="ar"/>
        </w:rPr>
        <w:t>符合性审查表</w:t>
      </w:r>
    </w:p>
    <w:p w14:paraId="281A5B9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磋商小组对供应商的响应文件进行初审，以确定其是否满足磋商文件的实质性要求。初审表如下：</w:t>
      </w:r>
    </w:p>
    <w:tbl>
      <w:tblPr>
        <w:tblStyle w:val="15"/>
        <w:tblW w:w="9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2078"/>
        <w:gridCol w:w="4668"/>
        <w:gridCol w:w="2097"/>
      </w:tblGrid>
      <w:tr w14:paraId="4DD4D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456" w:type="dxa"/>
            <w:vAlign w:val="center"/>
          </w:tcPr>
          <w:p w14:paraId="5E732752">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序号</w:t>
            </w:r>
          </w:p>
        </w:tc>
        <w:tc>
          <w:tcPr>
            <w:tcW w:w="2078" w:type="dxa"/>
            <w:vAlign w:val="center"/>
          </w:tcPr>
          <w:p w14:paraId="49A6D66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评审指标</w:t>
            </w:r>
          </w:p>
        </w:tc>
        <w:tc>
          <w:tcPr>
            <w:tcW w:w="4668" w:type="dxa"/>
            <w:vAlign w:val="center"/>
          </w:tcPr>
          <w:p w14:paraId="3473B5D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评审标准</w:t>
            </w:r>
          </w:p>
        </w:tc>
        <w:tc>
          <w:tcPr>
            <w:tcW w:w="2097" w:type="dxa"/>
            <w:vAlign w:val="center"/>
          </w:tcPr>
          <w:p w14:paraId="40D9A62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格式及材料要求</w:t>
            </w:r>
          </w:p>
        </w:tc>
      </w:tr>
      <w:tr w14:paraId="3D6EB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456" w:type="dxa"/>
            <w:vAlign w:val="center"/>
          </w:tcPr>
          <w:p w14:paraId="0C3BCA2E">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2078" w:type="dxa"/>
            <w:vAlign w:val="center"/>
          </w:tcPr>
          <w:p w14:paraId="0C65A2A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报价一览表</w:t>
            </w:r>
          </w:p>
        </w:tc>
        <w:tc>
          <w:tcPr>
            <w:tcW w:w="4668" w:type="dxa"/>
            <w:vAlign w:val="center"/>
          </w:tcPr>
          <w:p w14:paraId="4964CE0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格式、填写要求符合详见竞争性磋商文件格式规定并加盖供应商电子签章、法定代表人或委托代理人（签字或盖章）；</w:t>
            </w:r>
          </w:p>
        </w:tc>
        <w:tc>
          <w:tcPr>
            <w:tcW w:w="2097" w:type="dxa"/>
            <w:vAlign w:val="center"/>
          </w:tcPr>
          <w:p w14:paraId="0F1281D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详见竞争性磋商文件格式</w:t>
            </w:r>
          </w:p>
        </w:tc>
      </w:tr>
      <w:tr w14:paraId="18AE2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456" w:type="dxa"/>
            <w:vAlign w:val="center"/>
          </w:tcPr>
          <w:p w14:paraId="6D242BA8">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2078" w:type="dxa"/>
            <w:vAlign w:val="center"/>
          </w:tcPr>
          <w:p w14:paraId="25A8C09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响应函</w:t>
            </w:r>
          </w:p>
        </w:tc>
        <w:tc>
          <w:tcPr>
            <w:tcW w:w="4668" w:type="dxa"/>
            <w:vAlign w:val="center"/>
          </w:tcPr>
          <w:p w14:paraId="70FA016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格式、填写要求符合详见竞争性磋商文件格式规定并加盖供应商电子签章、法定代表人或委托代理人（签字或盖章）；</w:t>
            </w:r>
          </w:p>
        </w:tc>
        <w:tc>
          <w:tcPr>
            <w:tcW w:w="2097" w:type="dxa"/>
            <w:vAlign w:val="center"/>
          </w:tcPr>
          <w:p w14:paraId="5821E4F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详见竞争性磋商文件格式</w:t>
            </w:r>
          </w:p>
        </w:tc>
      </w:tr>
      <w:tr w14:paraId="1BE2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jc w:val="center"/>
        </w:trPr>
        <w:tc>
          <w:tcPr>
            <w:tcW w:w="456" w:type="dxa"/>
            <w:vAlign w:val="center"/>
          </w:tcPr>
          <w:p w14:paraId="3E037BB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2078" w:type="dxa"/>
            <w:vAlign w:val="center"/>
          </w:tcPr>
          <w:p w14:paraId="7190B46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磋商报价</w:t>
            </w:r>
          </w:p>
        </w:tc>
        <w:tc>
          <w:tcPr>
            <w:tcW w:w="4668" w:type="dxa"/>
            <w:vAlign w:val="center"/>
          </w:tcPr>
          <w:p w14:paraId="6EF2A74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磋商报价是否固定或磋商报价是否唯一、且未超出最高限价；</w:t>
            </w:r>
          </w:p>
          <w:p w14:paraId="360EBDA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本项目不接受选择性报价，对于出现的政采云平台开标环节经供应商确认的磋商报价与响应文件中报价一览表的报价不一致的现象，视作选择性报价，将被作为无效投标处理。</w:t>
            </w:r>
          </w:p>
        </w:tc>
        <w:tc>
          <w:tcPr>
            <w:tcW w:w="2097" w:type="dxa"/>
            <w:vAlign w:val="center"/>
          </w:tcPr>
          <w:p w14:paraId="4B62D26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详见竞争性磋商文件格式</w:t>
            </w:r>
          </w:p>
        </w:tc>
      </w:tr>
      <w:tr w14:paraId="757A9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8" w:hRule="atLeast"/>
          <w:jc w:val="center"/>
        </w:trPr>
        <w:tc>
          <w:tcPr>
            <w:tcW w:w="456" w:type="dxa"/>
            <w:vAlign w:val="center"/>
          </w:tcPr>
          <w:p w14:paraId="0E56134D">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2078" w:type="dxa"/>
            <w:vAlign w:val="center"/>
          </w:tcPr>
          <w:p w14:paraId="1C49345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磋商保证金</w:t>
            </w:r>
          </w:p>
        </w:tc>
        <w:tc>
          <w:tcPr>
            <w:tcW w:w="4668" w:type="dxa"/>
            <w:vAlign w:val="center"/>
          </w:tcPr>
          <w:p w14:paraId="2A4B641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符合详见竞争性磋商文件格式供应商须知要求</w:t>
            </w:r>
          </w:p>
        </w:tc>
        <w:tc>
          <w:tcPr>
            <w:tcW w:w="2097" w:type="dxa"/>
            <w:vAlign w:val="center"/>
          </w:tcPr>
          <w:p w14:paraId="64C1062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1.采用转账/电汇的，附转账凭证； </w:t>
            </w:r>
          </w:p>
          <w:p w14:paraId="2F89103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2.采用其他方式的，在响应文件中提供相关证明材料扫描件。</w:t>
            </w:r>
          </w:p>
        </w:tc>
      </w:tr>
      <w:tr w14:paraId="27EC2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456" w:type="dxa"/>
            <w:vAlign w:val="center"/>
          </w:tcPr>
          <w:p w14:paraId="5DF00F58">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2078" w:type="dxa"/>
            <w:vAlign w:val="center"/>
          </w:tcPr>
          <w:p w14:paraId="500ADEC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商务技术响应情况</w:t>
            </w:r>
          </w:p>
        </w:tc>
        <w:tc>
          <w:tcPr>
            <w:tcW w:w="4668" w:type="dxa"/>
            <w:vAlign w:val="center"/>
          </w:tcPr>
          <w:p w14:paraId="2F32F0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符合竞争性磋商文件采购需求中要求的实质性指标（标记▲号）</w:t>
            </w:r>
          </w:p>
        </w:tc>
        <w:tc>
          <w:tcPr>
            <w:tcW w:w="2097" w:type="dxa"/>
            <w:vAlign w:val="center"/>
          </w:tcPr>
          <w:p w14:paraId="697D238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详见响应文件格式</w:t>
            </w:r>
          </w:p>
        </w:tc>
      </w:tr>
      <w:tr w14:paraId="1509A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456" w:type="dxa"/>
            <w:vAlign w:val="center"/>
          </w:tcPr>
          <w:p w14:paraId="3A2D7184">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6</w:t>
            </w:r>
          </w:p>
        </w:tc>
        <w:tc>
          <w:tcPr>
            <w:tcW w:w="2078" w:type="dxa"/>
            <w:vAlign w:val="center"/>
          </w:tcPr>
          <w:p w14:paraId="50A3EE0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磋商有效期</w:t>
            </w:r>
          </w:p>
        </w:tc>
        <w:tc>
          <w:tcPr>
            <w:tcW w:w="4668" w:type="dxa"/>
            <w:vAlign w:val="center"/>
          </w:tcPr>
          <w:p w14:paraId="40C5200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符合竞争性磋商文件中的要求</w:t>
            </w:r>
          </w:p>
        </w:tc>
        <w:tc>
          <w:tcPr>
            <w:tcW w:w="2097" w:type="dxa"/>
            <w:vAlign w:val="center"/>
          </w:tcPr>
          <w:p w14:paraId="7B95D22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详见响应文件格式</w:t>
            </w:r>
          </w:p>
        </w:tc>
      </w:tr>
      <w:tr w14:paraId="1B2C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456" w:type="dxa"/>
            <w:vAlign w:val="center"/>
          </w:tcPr>
          <w:p w14:paraId="63779256">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7</w:t>
            </w:r>
          </w:p>
        </w:tc>
        <w:tc>
          <w:tcPr>
            <w:tcW w:w="2078" w:type="dxa"/>
            <w:vAlign w:val="center"/>
          </w:tcPr>
          <w:p w14:paraId="5496B27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其他要求</w:t>
            </w:r>
          </w:p>
        </w:tc>
        <w:tc>
          <w:tcPr>
            <w:tcW w:w="4668" w:type="dxa"/>
            <w:vAlign w:val="center"/>
          </w:tcPr>
          <w:p w14:paraId="03B424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格式、填写要求符合竞争性磋商文件规定并加盖供应商电子签章</w:t>
            </w:r>
          </w:p>
        </w:tc>
        <w:tc>
          <w:tcPr>
            <w:tcW w:w="2097" w:type="dxa"/>
            <w:vAlign w:val="center"/>
          </w:tcPr>
          <w:p w14:paraId="0C41C50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详见响应文件格式</w:t>
            </w:r>
          </w:p>
        </w:tc>
      </w:tr>
      <w:tr w14:paraId="3285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299" w:type="dxa"/>
            <w:gridSpan w:val="4"/>
            <w:vAlign w:val="center"/>
          </w:tcPr>
          <w:p w14:paraId="42534EA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符合性审查指标通过标准：供应商必须通过符合性审查表中的全部评审指标。</w:t>
            </w:r>
          </w:p>
        </w:tc>
      </w:tr>
    </w:tbl>
    <w:p w14:paraId="4371F730">
      <w:p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br w:type="page"/>
      </w:r>
    </w:p>
    <w:p w14:paraId="74E6E8C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kern w:val="0"/>
          <w:sz w:val="32"/>
          <w:szCs w:val="32"/>
          <w:highlight w:val="none"/>
          <w:lang w:val="en-US" w:eastAsia="zh-CN" w:bidi="ar"/>
        </w:rPr>
      </w:pPr>
      <w:r>
        <w:rPr>
          <w:rFonts w:hint="default" w:ascii="宋体" w:hAnsi="宋体" w:eastAsia="宋体" w:cs="宋体"/>
          <w:color w:val="auto"/>
          <w:kern w:val="0"/>
          <w:sz w:val="32"/>
          <w:szCs w:val="32"/>
          <w:highlight w:val="none"/>
          <w:lang w:val="en-US" w:eastAsia="zh-CN" w:bidi="ar"/>
        </w:rPr>
        <w:t xml:space="preserve">附件 </w:t>
      </w:r>
      <w:r>
        <w:rPr>
          <w:rFonts w:hint="eastAsia" w:ascii="宋体" w:hAnsi="宋体" w:eastAsia="宋体" w:cs="宋体"/>
          <w:color w:val="auto"/>
          <w:kern w:val="0"/>
          <w:sz w:val="32"/>
          <w:szCs w:val="32"/>
          <w:highlight w:val="none"/>
          <w:lang w:val="en-US" w:eastAsia="zh-CN" w:bidi="ar"/>
        </w:rPr>
        <w:t>3</w:t>
      </w:r>
      <w:r>
        <w:rPr>
          <w:rFonts w:hint="default" w:ascii="宋体" w:hAnsi="宋体" w:eastAsia="宋体" w:cs="宋体"/>
          <w:color w:val="auto"/>
          <w:kern w:val="0"/>
          <w:sz w:val="32"/>
          <w:szCs w:val="32"/>
          <w:highlight w:val="none"/>
          <w:lang w:val="en-US" w:eastAsia="zh-CN" w:bidi="ar"/>
        </w:rPr>
        <w:t>：</w:t>
      </w:r>
    </w:p>
    <w:p w14:paraId="77BF9A8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磋商小组对供应商的响应文件进行评审，以确定其是否满足磋商文件的实质性要求。评审表如下：</w:t>
      </w:r>
    </w:p>
    <w:p w14:paraId="077CF61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color w:val="auto"/>
          <w:kern w:val="0"/>
          <w:sz w:val="32"/>
          <w:szCs w:val="32"/>
          <w:highlight w:val="none"/>
          <w:lang w:val="en-US" w:eastAsia="zh-CN" w:bidi="ar"/>
        </w:rPr>
      </w:pPr>
      <w:r>
        <w:rPr>
          <w:rFonts w:hint="default" w:ascii="宋体" w:hAnsi="宋体" w:eastAsia="宋体" w:cs="宋体"/>
          <w:color w:val="auto"/>
          <w:kern w:val="0"/>
          <w:sz w:val="32"/>
          <w:szCs w:val="32"/>
          <w:highlight w:val="none"/>
          <w:lang w:val="en-US" w:eastAsia="zh-CN" w:bidi="ar"/>
        </w:rPr>
        <w:t>详细审查表</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182"/>
        <w:gridCol w:w="975"/>
        <w:gridCol w:w="7006"/>
      </w:tblGrid>
      <w:tr w14:paraId="14C6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1B5F89E">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序号</w:t>
            </w:r>
          </w:p>
        </w:tc>
        <w:tc>
          <w:tcPr>
            <w:tcW w:w="1182" w:type="dxa"/>
            <w:vAlign w:val="center"/>
          </w:tcPr>
          <w:p w14:paraId="343C6FBE">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评审因素</w:t>
            </w:r>
          </w:p>
        </w:tc>
        <w:tc>
          <w:tcPr>
            <w:tcW w:w="975" w:type="dxa"/>
            <w:vAlign w:val="center"/>
          </w:tcPr>
          <w:p w14:paraId="4C1C2245">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分值</w:t>
            </w:r>
          </w:p>
        </w:tc>
        <w:tc>
          <w:tcPr>
            <w:tcW w:w="7006" w:type="dxa"/>
            <w:vAlign w:val="center"/>
          </w:tcPr>
          <w:p w14:paraId="641B784B">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评审标准</w:t>
            </w:r>
          </w:p>
        </w:tc>
      </w:tr>
      <w:tr w14:paraId="62E7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78AAB444">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w:t>
            </w:r>
          </w:p>
        </w:tc>
        <w:tc>
          <w:tcPr>
            <w:tcW w:w="1182" w:type="dxa"/>
            <w:vAlign w:val="center"/>
          </w:tcPr>
          <w:p w14:paraId="5462D6B4">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投标报价</w:t>
            </w:r>
          </w:p>
        </w:tc>
        <w:tc>
          <w:tcPr>
            <w:tcW w:w="975" w:type="dxa"/>
            <w:vAlign w:val="center"/>
          </w:tcPr>
          <w:p w14:paraId="24E34350">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10分</w:t>
            </w:r>
          </w:p>
        </w:tc>
        <w:tc>
          <w:tcPr>
            <w:tcW w:w="7006" w:type="dxa"/>
            <w:vAlign w:val="center"/>
          </w:tcPr>
          <w:p w14:paraId="1300CE48">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有效最后报价的最低价作为评审基准价，其最低报价为满分；按［最后报价得分=（评审基准价/最后报价）*10］的计算公式计算。</w:t>
            </w:r>
          </w:p>
          <w:p w14:paraId="15EB8882">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评审过程中，不得去掉报价中的最高报价和最低报价。</w:t>
            </w:r>
          </w:p>
        </w:tc>
      </w:tr>
      <w:tr w14:paraId="58882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4AB0DA44">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2</w:t>
            </w:r>
          </w:p>
        </w:tc>
        <w:tc>
          <w:tcPr>
            <w:tcW w:w="1182" w:type="dxa"/>
            <w:vAlign w:val="center"/>
          </w:tcPr>
          <w:p w14:paraId="17C4821B">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认证证书</w:t>
            </w:r>
          </w:p>
        </w:tc>
        <w:tc>
          <w:tcPr>
            <w:tcW w:w="975" w:type="dxa"/>
            <w:vAlign w:val="center"/>
          </w:tcPr>
          <w:p w14:paraId="348EC4D4">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3分</w:t>
            </w:r>
          </w:p>
        </w:tc>
        <w:tc>
          <w:tcPr>
            <w:tcW w:w="7006" w:type="dxa"/>
            <w:vAlign w:val="center"/>
          </w:tcPr>
          <w:p w14:paraId="33B659BD">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供应商具有质量管理体系认证证书、环境管理体系认证证书、职业健康管理体系认证认证证书，每有1项有效证书得1分，最多得3分。须提供以上证书复印件，加盖公章，否则不得分。</w:t>
            </w:r>
          </w:p>
        </w:tc>
      </w:tr>
      <w:tr w14:paraId="5795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65A53D27">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3</w:t>
            </w:r>
          </w:p>
        </w:tc>
        <w:tc>
          <w:tcPr>
            <w:tcW w:w="1182" w:type="dxa"/>
            <w:vAlign w:val="center"/>
          </w:tcPr>
          <w:p w14:paraId="0B8795E7">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项目负责人</w:t>
            </w:r>
          </w:p>
        </w:tc>
        <w:tc>
          <w:tcPr>
            <w:tcW w:w="975" w:type="dxa"/>
            <w:vAlign w:val="center"/>
          </w:tcPr>
          <w:p w14:paraId="3AA9A20C">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10分</w:t>
            </w:r>
          </w:p>
        </w:tc>
        <w:tc>
          <w:tcPr>
            <w:tcW w:w="7006" w:type="dxa"/>
            <w:vAlign w:val="center"/>
          </w:tcPr>
          <w:p w14:paraId="3697CA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具备注册会计师或高级经济师或高级会计师专业技术资格证书的得5分，不满足得0分；</w:t>
            </w:r>
          </w:p>
          <w:p w14:paraId="2754002C">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项目负责人除满足采购需求基本条件外，同时具备造价类或法律类相关专业的高级职称（含正高、副高）的得5分，</w:t>
            </w:r>
            <w:bookmarkStart w:id="25" w:name="OLE_LINK1"/>
            <w:r>
              <w:rPr>
                <w:rFonts w:hint="eastAsia" w:ascii="宋体" w:hAnsi="宋体" w:eastAsia="宋体" w:cs="宋体"/>
                <w:color w:val="auto"/>
                <w:kern w:val="2"/>
                <w:sz w:val="24"/>
                <w:szCs w:val="24"/>
                <w:highlight w:val="none"/>
                <w:vertAlign w:val="baseline"/>
                <w:lang w:val="en-US" w:eastAsia="zh-CN" w:bidi="ar-SA"/>
              </w:rPr>
              <w:t>不满足得0分</w:t>
            </w:r>
            <w:bookmarkEnd w:id="25"/>
            <w:r>
              <w:rPr>
                <w:rFonts w:hint="eastAsia" w:ascii="宋体" w:hAnsi="宋体" w:eastAsia="宋体" w:cs="宋体"/>
                <w:color w:val="auto"/>
                <w:kern w:val="2"/>
                <w:sz w:val="24"/>
                <w:szCs w:val="24"/>
                <w:highlight w:val="none"/>
                <w:vertAlign w:val="baseline"/>
                <w:lang w:val="en-US" w:eastAsia="zh-CN" w:bidi="ar-SA"/>
              </w:rPr>
              <w:t>；</w:t>
            </w:r>
          </w:p>
          <w:p w14:paraId="48A2BFAD">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项目负责人必须为供应商正式员工，需提供人员身份证复印件、毕业证、职称证、资质证书和近三个月（2026年1月-3月）社保（接受总公司、分公司人员社保，不接受退休人员社保）作为证明材料。</w:t>
            </w:r>
          </w:p>
        </w:tc>
      </w:tr>
      <w:tr w14:paraId="367C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7B1A278E">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4</w:t>
            </w:r>
          </w:p>
        </w:tc>
        <w:tc>
          <w:tcPr>
            <w:tcW w:w="1182" w:type="dxa"/>
            <w:vAlign w:val="center"/>
          </w:tcPr>
          <w:p w14:paraId="44BB75BB">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项目组成员</w:t>
            </w:r>
          </w:p>
        </w:tc>
        <w:tc>
          <w:tcPr>
            <w:tcW w:w="975" w:type="dxa"/>
            <w:vAlign w:val="center"/>
          </w:tcPr>
          <w:p w14:paraId="7C62A0C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16分</w:t>
            </w:r>
          </w:p>
        </w:tc>
        <w:tc>
          <w:tcPr>
            <w:tcW w:w="7006" w:type="dxa"/>
            <w:vAlign w:val="center"/>
          </w:tcPr>
          <w:p w14:paraId="4ED5862C">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具备审计师或经济师或会计师等经济类、财会类、审计类中级及以上（含中级）职称，每提供一个有效人员（不含项目负责人）得2分，满分16分。</w:t>
            </w:r>
          </w:p>
          <w:p w14:paraId="48B5C536">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项目组成员必须为供应商正式员工，需提供人员身份证复印件、毕业证、职称证、资质证书（如有）和近三个月（2026年1月-3月）社保（接受总公司、分公司人员社保，不接受退休人员社保）作为证明材料。</w:t>
            </w:r>
          </w:p>
        </w:tc>
      </w:tr>
      <w:tr w14:paraId="3EF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1E97ED0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5</w:t>
            </w:r>
          </w:p>
        </w:tc>
        <w:tc>
          <w:tcPr>
            <w:tcW w:w="1182" w:type="dxa"/>
            <w:vAlign w:val="center"/>
          </w:tcPr>
          <w:p w14:paraId="765BA64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类似项目业绩</w:t>
            </w:r>
          </w:p>
        </w:tc>
        <w:tc>
          <w:tcPr>
            <w:tcW w:w="975" w:type="dxa"/>
            <w:vAlign w:val="center"/>
          </w:tcPr>
          <w:p w14:paraId="5921F3D7">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15分</w:t>
            </w:r>
          </w:p>
        </w:tc>
        <w:tc>
          <w:tcPr>
            <w:tcW w:w="7006" w:type="dxa"/>
            <w:vAlign w:val="center"/>
          </w:tcPr>
          <w:p w14:paraId="26CF1A1D">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提供近三年（2023年1月1日至今，以合同签订日期为准）预算评审或项目入库评审、三级项目实质性审核、绩效监控、绩效自评等类似服务合同，每提供一份合同得3分，满分15分。</w:t>
            </w:r>
          </w:p>
          <w:p w14:paraId="1D2B744A">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须提供合同复印件作为证明材料，可以包括单一项目委托合同也可以包括协议框架等，合同不得有任何遮挡涂黑。</w:t>
            </w:r>
          </w:p>
        </w:tc>
      </w:tr>
      <w:tr w14:paraId="0176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0EDA6B28">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6</w:t>
            </w:r>
          </w:p>
        </w:tc>
        <w:tc>
          <w:tcPr>
            <w:tcW w:w="1182" w:type="dxa"/>
            <w:vAlign w:val="center"/>
          </w:tcPr>
          <w:p w14:paraId="1ECC4207">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人工智能、大数据等能力</w:t>
            </w:r>
          </w:p>
        </w:tc>
        <w:tc>
          <w:tcPr>
            <w:tcW w:w="975" w:type="dxa"/>
            <w:vAlign w:val="center"/>
          </w:tcPr>
          <w:p w14:paraId="24F625E5">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7分</w:t>
            </w:r>
          </w:p>
        </w:tc>
        <w:tc>
          <w:tcPr>
            <w:tcW w:w="7006" w:type="dxa"/>
            <w:vAlign w:val="center"/>
          </w:tcPr>
          <w:p w14:paraId="35BFD82C">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供应商能够积极使用人工智能、大数据、AI辅助等手段对项目文本开展规范性审核的得2分（提供承诺函）；</w:t>
            </w:r>
          </w:p>
          <w:p w14:paraId="5999D41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已有相关系统、模型的，并投入运行的，得5分。（已有相关系统、模型的，须提供系统或模型的截图（包含首页、运行页面和结果页面），知识产权证书或行业证书或合同等证明材料。）</w:t>
            </w:r>
          </w:p>
        </w:tc>
      </w:tr>
      <w:tr w14:paraId="28BE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1509B9B">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7</w:t>
            </w:r>
          </w:p>
        </w:tc>
        <w:tc>
          <w:tcPr>
            <w:tcW w:w="1182" w:type="dxa"/>
            <w:vAlign w:val="center"/>
          </w:tcPr>
          <w:p w14:paraId="36084F8A">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服务实施</w:t>
            </w:r>
          </w:p>
          <w:p w14:paraId="139FA14E">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方案</w:t>
            </w:r>
          </w:p>
        </w:tc>
        <w:tc>
          <w:tcPr>
            <w:tcW w:w="975" w:type="dxa"/>
            <w:vAlign w:val="center"/>
          </w:tcPr>
          <w:p w14:paraId="26DC63F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14分</w:t>
            </w:r>
          </w:p>
        </w:tc>
        <w:tc>
          <w:tcPr>
            <w:tcW w:w="7006" w:type="dxa"/>
            <w:vAlign w:val="center"/>
          </w:tcPr>
          <w:p w14:paraId="4BA5E779">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供应商针对本项目提供的服务实施方案内容：</w:t>
            </w:r>
          </w:p>
          <w:p w14:paraId="0D45C315">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①项目工作的总体思路、构想；</w:t>
            </w:r>
          </w:p>
          <w:p w14:paraId="329C562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②项目组织机构设置；</w:t>
            </w:r>
          </w:p>
          <w:p w14:paraId="0E9AF804">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③项目组织协调及管理模式；</w:t>
            </w:r>
          </w:p>
          <w:p w14:paraId="347E2174">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④工作制度；</w:t>
            </w:r>
          </w:p>
          <w:p w14:paraId="15F00B6C">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⑤项目重点、难点分析方案；</w:t>
            </w:r>
          </w:p>
          <w:p w14:paraId="1CFFF342">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⑥质量保障措施；</w:t>
            </w:r>
          </w:p>
          <w:p w14:paraId="6CB7FF34">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⑦进度保障措施；</w:t>
            </w:r>
          </w:p>
          <w:p w14:paraId="65CC10EC">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提供方案完整可行得 14分，每缺一项扣 2 分，每有一项内容存在缺陷扣 1 分，扣完为止。</w:t>
            </w:r>
          </w:p>
        </w:tc>
      </w:tr>
      <w:tr w14:paraId="6C4C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269F51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8</w:t>
            </w:r>
          </w:p>
        </w:tc>
        <w:tc>
          <w:tcPr>
            <w:tcW w:w="1182" w:type="dxa"/>
            <w:vAlign w:val="center"/>
          </w:tcPr>
          <w:p w14:paraId="1B1B5B6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服务承诺措施</w:t>
            </w:r>
          </w:p>
        </w:tc>
        <w:tc>
          <w:tcPr>
            <w:tcW w:w="975" w:type="dxa"/>
            <w:vAlign w:val="center"/>
          </w:tcPr>
          <w:p w14:paraId="5DB3624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bidi="ar"/>
              </w:rPr>
              <w:t>4</w:t>
            </w:r>
            <w:r>
              <w:rPr>
                <w:rFonts w:hint="eastAsia" w:ascii="宋体" w:hAnsi="宋体" w:eastAsia="宋体" w:cs="宋体"/>
                <w:color w:val="auto"/>
                <w:sz w:val="24"/>
                <w:szCs w:val="24"/>
                <w:highlight w:val="none"/>
                <w:lang w:bidi="ar"/>
              </w:rPr>
              <w:t>分</w:t>
            </w:r>
          </w:p>
        </w:tc>
        <w:tc>
          <w:tcPr>
            <w:tcW w:w="7006" w:type="dxa"/>
            <w:vAlign w:val="center"/>
          </w:tcPr>
          <w:p w14:paraId="08450FE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供应商需针对本项目采购需求，明确作出服务承诺：</w:t>
            </w:r>
          </w:p>
          <w:p w14:paraId="57065160">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①项目进度安排承诺；</w:t>
            </w:r>
            <w:r>
              <w:rPr>
                <w:rFonts w:hint="eastAsia" w:ascii="宋体" w:hAnsi="宋体" w:eastAsia="宋体" w:cs="宋体"/>
                <w:b w:val="0"/>
                <w:bCs w:val="0"/>
                <w:color w:val="auto"/>
                <w:kern w:val="2"/>
                <w:sz w:val="24"/>
                <w:szCs w:val="24"/>
                <w:highlight w:val="none"/>
                <w:vertAlign w:val="baseline"/>
                <w:lang w:val="en-US" w:eastAsia="zh-CN" w:bidi="ar-SA"/>
              </w:rPr>
              <w:t>②</w:t>
            </w:r>
            <w:r>
              <w:rPr>
                <w:rFonts w:hint="eastAsia" w:ascii="宋体" w:hAnsi="宋体" w:eastAsia="宋体" w:cs="宋体"/>
                <w:b w:val="0"/>
                <w:bCs w:val="0"/>
                <w:color w:val="auto"/>
                <w:kern w:val="2"/>
                <w:sz w:val="24"/>
                <w:szCs w:val="24"/>
                <w:highlight w:val="none"/>
                <w:lang w:val="en-US" w:eastAsia="zh-CN" w:bidi="ar-SA"/>
              </w:rPr>
              <w:t>服务要求承诺；</w:t>
            </w:r>
            <w:r>
              <w:rPr>
                <w:rFonts w:hint="eastAsia" w:ascii="宋体" w:hAnsi="宋体" w:eastAsia="宋体" w:cs="宋体"/>
                <w:color w:val="auto"/>
                <w:kern w:val="2"/>
                <w:sz w:val="24"/>
                <w:szCs w:val="24"/>
                <w:highlight w:val="none"/>
                <w:vertAlign w:val="baseline"/>
                <w:lang w:val="en-US" w:eastAsia="zh-CN" w:bidi="ar-SA"/>
              </w:rPr>
              <w:t>③售后服务承诺；④服务时间响应承诺</w:t>
            </w:r>
          </w:p>
          <w:p w14:paraId="06E733C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每明确提供一项符合要求的承诺得 1 分，满分 4 分；承诺内容模糊、未明确具体要求的，不计分。</w:t>
            </w:r>
          </w:p>
        </w:tc>
      </w:tr>
      <w:tr w14:paraId="352FC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0A753813">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w:t>
            </w:r>
          </w:p>
        </w:tc>
        <w:tc>
          <w:tcPr>
            <w:tcW w:w="1182" w:type="dxa"/>
            <w:vAlign w:val="center"/>
          </w:tcPr>
          <w:p w14:paraId="2BD835AB">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三级复核机制</w:t>
            </w:r>
          </w:p>
        </w:tc>
        <w:tc>
          <w:tcPr>
            <w:tcW w:w="975" w:type="dxa"/>
            <w:vAlign w:val="center"/>
          </w:tcPr>
          <w:p w14:paraId="1815DA7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9分</w:t>
            </w:r>
          </w:p>
        </w:tc>
        <w:tc>
          <w:tcPr>
            <w:tcW w:w="7006" w:type="dxa"/>
            <w:vAlign w:val="center"/>
          </w:tcPr>
          <w:p w14:paraId="78C3E9FF">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供应商针对本项目提供三级复核方案内容：①复核方案；②复核流程；③风险防控；提供方案完整可行得 9 分，每缺一项扣 3 分，每有一项内容存在缺陷扣 1 分，扣完为止。</w:t>
            </w:r>
          </w:p>
        </w:tc>
      </w:tr>
      <w:tr w14:paraId="0BD6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14:paraId="5235245D">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10</w:t>
            </w:r>
          </w:p>
        </w:tc>
        <w:tc>
          <w:tcPr>
            <w:tcW w:w="1182" w:type="dxa"/>
            <w:vAlign w:val="center"/>
          </w:tcPr>
          <w:p w14:paraId="5D866C3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成果管理及保密措施</w:t>
            </w:r>
          </w:p>
        </w:tc>
        <w:tc>
          <w:tcPr>
            <w:tcW w:w="975" w:type="dxa"/>
            <w:vAlign w:val="center"/>
          </w:tcPr>
          <w:p w14:paraId="70F5A51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12分</w:t>
            </w:r>
          </w:p>
        </w:tc>
        <w:tc>
          <w:tcPr>
            <w:tcW w:w="7006" w:type="dxa"/>
            <w:vAlign w:val="center"/>
          </w:tcPr>
          <w:p w14:paraId="14DF26D2">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供应商针对本项目提供成果管理及保密措施方案内容：①对绩效评价报告、监控数据的管理方案；②项目档案等成果的收集、审核、归档、移交全流程管控方案；③对国家秘密、商业秘密及工作信息有分级保密管理方案；④防护措施及责任追究方案。提供方案完整可行得 12 分，每缺一项扣 3 分，每有一项内容存在缺陷扣 1 分，扣完为止。</w:t>
            </w:r>
          </w:p>
        </w:tc>
      </w:tr>
      <w:tr w14:paraId="3960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6" w:type="dxa"/>
            <w:gridSpan w:val="3"/>
            <w:vAlign w:val="center"/>
          </w:tcPr>
          <w:p w14:paraId="2E3ADE5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备注</w:t>
            </w:r>
          </w:p>
        </w:tc>
        <w:tc>
          <w:tcPr>
            <w:tcW w:w="7006" w:type="dxa"/>
            <w:vAlign w:val="center"/>
          </w:tcPr>
          <w:p w14:paraId="08F028F4">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kern w:val="2"/>
                <w:sz w:val="24"/>
                <w:szCs w:val="24"/>
                <w:highlight w:val="none"/>
                <w:vertAlign w:val="baseline"/>
                <w:lang w:val="en-US" w:eastAsia="zh-CN" w:bidi="ar-SA"/>
              </w:rPr>
              <w:t>内容存在缺陷是指：①该项内容描述前后不一致；②该项内容所阐述的项目信息与本项目实际信息不一致；③该项内容引用的规定、规范错误；④该项内容阐述的方式方法明显不符合本项目实际情况；⑤该项内容描述与本项目实际情况不符；⑥该项内容套用其他项目内容</w:t>
            </w:r>
          </w:p>
        </w:tc>
      </w:tr>
    </w:tbl>
    <w:p w14:paraId="4CC0DC3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lang w:val="en-US" w:eastAsia="zh-CN"/>
        </w:rPr>
      </w:pPr>
    </w:p>
    <w:p w14:paraId="67CBC181">
      <w:p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br w:type="page"/>
      </w:r>
    </w:p>
    <w:p w14:paraId="3FC977DA">
      <w:pPr>
        <w:numPr>
          <w:ilvl w:val="0"/>
          <w:numId w:val="0"/>
        </w:numPr>
        <w:bidi w:val="0"/>
        <w:jc w:val="center"/>
        <w:outlineLvl w:val="0"/>
        <w:rPr>
          <w:rFonts w:hint="eastAsia" w:ascii="宋体" w:hAnsi="宋体" w:eastAsia="宋体" w:cstheme="minorBidi"/>
          <w:color w:val="auto"/>
          <w:kern w:val="2"/>
          <w:sz w:val="36"/>
          <w:szCs w:val="24"/>
          <w:highlight w:val="none"/>
          <w:lang w:val="en-US" w:eastAsia="zh-CN" w:bidi="ar-SA"/>
        </w:rPr>
      </w:pPr>
      <w:bookmarkStart w:id="26" w:name="_Toc26822"/>
      <w:r>
        <w:rPr>
          <w:rFonts w:hint="eastAsia" w:ascii="宋体" w:hAnsi="宋体" w:eastAsia="宋体" w:cstheme="minorBidi"/>
          <w:color w:val="auto"/>
          <w:kern w:val="2"/>
          <w:sz w:val="36"/>
          <w:szCs w:val="24"/>
          <w:highlight w:val="none"/>
          <w:lang w:val="en-US" w:eastAsia="zh-CN" w:bidi="ar-SA"/>
        </w:rPr>
        <w:t>第六部分 拟签订的合同文本</w:t>
      </w:r>
      <w:bookmarkEnd w:id="26"/>
    </w:p>
    <w:p w14:paraId="7D2E84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 w:val="24"/>
          <w:szCs w:val="24"/>
          <w:highlight w:val="none"/>
          <w:lang w:val="en-US" w:eastAsia="zh-CN"/>
        </w:rPr>
      </w:pPr>
    </w:p>
    <w:p w14:paraId="0C14F1F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（本合同具体以实际签订为准）</w:t>
      </w:r>
    </w:p>
    <w:p w14:paraId="5567A3D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6C7439A">
      <w:pPr>
        <w:keepNext w:val="0"/>
        <w:keepLines w:val="0"/>
        <w:widowControl/>
        <w:suppressLineNumbers w:val="0"/>
        <w:jc w:val="left"/>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合同编号：</w:t>
      </w:r>
      <w:r>
        <w:rPr>
          <w:rFonts w:hint="eastAsia" w:ascii="宋体" w:hAnsi="宋体" w:eastAsia="宋体" w:cs="宋体"/>
          <w:color w:val="auto"/>
          <w:kern w:val="0"/>
          <w:sz w:val="24"/>
          <w:szCs w:val="24"/>
          <w:highlight w:val="none"/>
          <w:u w:val="single"/>
          <w:lang w:val="en-US" w:eastAsia="zh-CN" w:bidi="ar"/>
        </w:rPr>
        <w:t xml:space="preserve">                 </w:t>
      </w:r>
    </w:p>
    <w:p w14:paraId="4B3D79A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lang w:val="en-US" w:eastAsia="zh-CN"/>
        </w:rPr>
      </w:pPr>
    </w:p>
    <w:p w14:paraId="7D42712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lang w:val="en-US" w:eastAsia="zh-CN"/>
        </w:rPr>
      </w:pPr>
    </w:p>
    <w:p w14:paraId="533EB9EC">
      <w:pPr>
        <w:keepNext w:val="0"/>
        <w:keepLines w:val="0"/>
        <w:widowControl/>
        <w:suppressLineNumbers w:val="0"/>
        <w:jc w:val="center"/>
        <w:rPr>
          <w:color w:val="auto"/>
          <w:highlight w:val="none"/>
        </w:rPr>
      </w:pPr>
      <w:r>
        <w:rPr>
          <w:rFonts w:hint="eastAsia" w:ascii="宋体" w:hAnsi="宋体" w:eastAsia="宋体" w:cs="宋体"/>
          <w:b/>
          <w:bCs/>
          <w:color w:val="auto"/>
          <w:kern w:val="0"/>
          <w:sz w:val="36"/>
          <w:szCs w:val="36"/>
          <w:highlight w:val="none"/>
          <w:lang w:val="en-US" w:eastAsia="zh-CN" w:bidi="ar"/>
        </w:rPr>
        <w:t>政府采购合同书</w:t>
      </w:r>
    </w:p>
    <w:p w14:paraId="2D00888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0CEFA1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F1FF05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B03D0C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432E6C3">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3F118C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47E083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119B5C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13F7B2B6">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2371730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6D1D87A">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5BDFCD2">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482F53B6">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项目名称：</w:t>
      </w:r>
      <w:r>
        <w:rPr>
          <w:rFonts w:hint="eastAsia" w:ascii="宋体" w:hAnsi="宋体" w:eastAsia="宋体" w:cs="宋体"/>
          <w:color w:val="auto"/>
          <w:kern w:val="0"/>
          <w:sz w:val="24"/>
          <w:szCs w:val="24"/>
          <w:highlight w:val="none"/>
          <w:u w:val="single"/>
          <w:lang w:val="en-US" w:eastAsia="zh-CN" w:bidi="ar"/>
        </w:rPr>
        <w:t>中华人民共和国新疆出入境边防检查总站全过程预算绩效管理服务采购项目</w:t>
      </w:r>
    </w:p>
    <w:p w14:paraId="77CF848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lang w:val="en-US" w:eastAsia="zh-CN"/>
        </w:rPr>
      </w:pPr>
    </w:p>
    <w:p w14:paraId="4CD23447">
      <w:pPr>
        <w:keepNext w:val="0"/>
        <w:keepLines w:val="0"/>
        <w:widowControl/>
        <w:suppressLineNumbers w:val="0"/>
        <w:jc w:val="left"/>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甲方：</w:t>
      </w:r>
      <w:r>
        <w:rPr>
          <w:rFonts w:hint="eastAsia" w:ascii="宋体" w:hAnsi="宋体" w:eastAsia="宋体" w:cs="宋体"/>
          <w:color w:val="auto"/>
          <w:kern w:val="0"/>
          <w:sz w:val="24"/>
          <w:szCs w:val="24"/>
          <w:highlight w:val="none"/>
          <w:u w:val="single"/>
          <w:lang w:val="en-US" w:eastAsia="zh-CN" w:bidi="ar"/>
        </w:rPr>
        <w:t xml:space="preserve"> 中华人民共和国新疆出入境边防检查总站  </w:t>
      </w:r>
    </w:p>
    <w:p w14:paraId="055C1F7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lang w:val="en-US" w:eastAsia="zh-CN"/>
        </w:rPr>
      </w:pPr>
    </w:p>
    <w:p w14:paraId="55E01D92">
      <w:pPr>
        <w:keepNext w:val="0"/>
        <w:keepLines w:val="0"/>
        <w:widowControl/>
        <w:suppressLineNumbers w:val="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乙方：</w:t>
      </w:r>
      <w:r>
        <w:rPr>
          <w:rFonts w:hint="eastAsia" w:ascii="宋体" w:hAnsi="宋体" w:eastAsia="宋体" w:cs="宋体"/>
          <w:color w:val="auto"/>
          <w:kern w:val="0"/>
          <w:sz w:val="24"/>
          <w:szCs w:val="24"/>
          <w:highlight w:val="none"/>
          <w:u w:val="single"/>
          <w:lang w:val="en-US" w:eastAsia="zh-CN" w:bidi="ar"/>
        </w:rPr>
        <w:t xml:space="preserve">                 </w:t>
      </w:r>
    </w:p>
    <w:p w14:paraId="277331A9">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14212B9">
      <w:pPr>
        <w:keepNext w:val="0"/>
        <w:keepLines w:val="0"/>
        <w:widowControl/>
        <w:suppressLineNumbers w:val="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签订地：</w:t>
      </w:r>
      <w:r>
        <w:rPr>
          <w:rFonts w:hint="eastAsia" w:ascii="宋体" w:hAnsi="宋体" w:eastAsia="宋体" w:cs="宋体"/>
          <w:color w:val="auto"/>
          <w:kern w:val="0"/>
          <w:sz w:val="24"/>
          <w:szCs w:val="24"/>
          <w:highlight w:val="none"/>
          <w:u w:val="single"/>
          <w:lang w:val="en-US" w:eastAsia="zh-CN" w:bidi="ar"/>
        </w:rPr>
        <w:t xml:space="preserve">                 </w:t>
      </w:r>
    </w:p>
    <w:p w14:paraId="2073575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lang w:val="en-US" w:eastAsia="zh-CN"/>
        </w:rPr>
      </w:pPr>
    </w:p>
    <w:p w14:paraId="27900F6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签订日期：2026年    月       日</w:t>
      </w:r>
    </w:p>
    <w:p w14:paraId="17952403">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br w:type="page"/>
      </w:r>
    </w:p>
    <w:p w14:paraId="4AD22A32">
      <w:pPr>
        <w:keepNext w:val="0"/>
        <w:keepLines w:val="0"/>
        <w:widowControl/>
        <w:suppressLineNumbers w:val="0"/>
        <w:spacing w:line="360" w:lineRule="auto"/>
        <w:jc w:val="center"/>
        <w:outlineLvl w:val="1"/>
        <w:rPr>
          <w:rFonts w:hint="eastAsia" w:ascii="宋体" w:hAnsi="宋体" w:eastAsia="宋体" w:cs="宋体"/>
          <w:b/>
          <w:bCs/>
          <w:color w:val="auto"/>
          <w:kern w:val="0"/>
          <w:sz w:val="24"/>
          <w:szCs w:val="24"/>
          <w:highlight w:val="none"/>
          <w:lang w:val="en-US" w:eastAsia="zh-CN" w:bidi="ar"/>
        </w:rPr>
      </w:pPr>
      <w:bookmarkStart w:id="27" w:name="_Toc17252"/>
      <w:r>
        <w:rPr>
          <w:rFonts w:hint="eastAsia" w:ascii="宋体" w:hAnsi="宋体" w:eastAsia="宋体" w:cs="宋体"/>
          <w:b/>
          <w:bCs/>
          <w:color w:val="auto"/>
          <w:kern w:val="0"/>
          <w:sz w:val="24"/>
          <w:szCs w:val="24"/>
          <w:highlight w:val="none"/>
          <w:lang w:val="en-US" w:eastAsia="zh-CN" w:bidi="ar"/>
        </w:rPr>
        <w:t>第一部分 政府采购合同协议书</w:t>
      </w:r>
      <w:bookmarkEnd w:id="27"/>
    </w:p>
    <w:p w14:paraId="102D49B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single"/>
          <w:lang w:val="en-US" w:eastAsia="zh-CN" w:bidi="ar"/>
        </w:rPr>
        <w:t xml:space="preserve"> 2026 </w:t>
      </w:r>
      <w:r>
        <w:rPr>
          <w:rFonts w:hint="eastAsia" w:ascii="宋体" w:hAnsi="宋体" w:eastAsia="宋体" w:cs="宋体"/>
          <w:color w:val="auto"/>
          <w:kern w:val="0"/>
          <w:sz w:val="24"/>
          <w:szCs w:val="24"/>
          <w:highlight w:val="none"/>
          <w:u w:val="none"/>
          <w:lang w:val="en-US" w:eastAsia="zh-CN" w:bidi="ar"/>
        </w:rPr>
        <w:t>年</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月</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日，</w:t>
      </w:r>
      <w:r>
        <w:rPr>
          <w:rFonts w:hint="eastAsia" w:ascii="宋体" w:hAnsi="宋体" w:eastAsia="宋体" w:cs="宋体"/>
          <w:color w:val="auto"/>
          <w:kern w:val="0"/>
          <w:sz w:val="24"/>
          <w:szCs w:val="24"/>
          <w:highlight w:val="none"/>
          <w:u w:val="single"/>
          <w:lang w:val="en-US" w:eastAsia="zh-CN" w:bidi="ar"/>
        </w:rPr>
        <w:t>中华人民共和国新疆出入境边防检查总站</w:t>
      </w:r>
      <w:r>
        <w:rPr>
          <w:rFonts w:hint="eastAsia" w:ascii="宋体" w:hAnsi="宋体" w:eastAsia="宋体" w:cs="宋体"/>
          <w:color w:val="auto"/>
          <w:kern w:val="0"/>
          <w:sz w:val="24"/>
          <w:szCs w:val="24"/>
          <w:highlight w:val="none"/>
          <w:u w:val="none"/>
          <w:lang w:val="en-US" w:eastAsia="zh-CN" w:bidi="ar"/>
        </w:rPr>
        <w:t>以</w:t>
      </w:r>
      <w:r>
        <w:rPr>
          <w:rFonts w:hint="eastAsia" w:ascii="宋体" w:hAnsi="宋体" w:eastAsia="宋体" w:cs="宋体"/>
          <w:color w:val="auto"/>
          <w:kern w:val="0"/>
          <w:sz w:val="24"/>
          <w:szCs w:val="24"/>
          <w:highlight w:val="none"/>
          <w:u w:val="single"/>
          <w:lang w:val="en-US" w:eastAsia="zh-CN" w:bidi="ar"/>
        </w:rPr>
        <w:t>竞争性磋商</w:t>
      </w:r>
      <w:r>
        <w:rPr>
          <w:rFonts w:hint="eastAsia" w:ascii="宋体" w:hAnsi="宋体" w:eastAsia="宋体" w:cs="宋体"/>
          <w:color w:val="auto"/>
          <w:kern w:val="0"/>
          <w:sz w:val="24"/>
          <w:szCs w:val="24"/>
          <w:highlight w:val="none"/>
          <w:u w:val="none"/>
          <w:lang w:val="en-US" w:eastAsia="zh-CN" w:bidi="ar"/>
        </w:rPr>
        <w:t>的方式对</w:t>
      </w:r>
      <w:r>
        <w:rPr>
          <w:rFonts w:hint="eastAsia" w:ascii="宋体" w:hAnsi="宋体" w:eastAsia="宋体" w:cs="宋体"/>
          <w:color w:val="auto"/>
          <w:kern w:val="0"/>
          <w:sz w:val="24"/>
          <w:szCs w:val="24"/>
          <w:highlight w:val="none"/>
          <w:u w:val="single"/>
          <w:lang w:val="en-US" w:eastAsia="zh-CN" w:bidi="ar"/>
        </w:rPr>
        <w:t>中华人民共和国新疆出入境边防检查总站全过程预算绩效管理服务采购项目</w:t>
      </w:r>
      <w:r>
        <w:rPr>
          <w:rFonts w:hint="eastAsia" w:ascii="宋体" w:hAnsi="宋体" w:eastAsia="宋体" w:cs="宋体"/>
          <w:color w:val="auto"/>
          <w:kern w:val="0"/>
          <w:sz w:val="24"/>
          <w:szCs w:val="24"/>
          <w:highlight w:val="none"/>
          <w:u w:val="none"/>
          <w:lang w:val="en-US" w:eastAsia="zh-CN" w:bidi="ar"/>
        </w:rPr>
        <w:t>进行了采购，经</w:t>
      </w:r>
      <w:r>
        <w:rPr>
          <w:rFonts w:hint="eastAsia" w:ascii="宋体" w:hAnsi="宋体" w:eastAsia="宋体" w:cs="宋体"/>
          <w:color w:val="auto"/>
          <w:kern w:val="0"/>
          <w:sz w:val="24"/>
          <w:szCs w:val="24"/>
          <w:highlight w:val="none"/>
          <w:u w:val="single"/>
          <w:lang w:val="en-US" w:eastAsia="zh-CN" w:bidi="ar"/>
        </w:rPr>
        <w:t>磋商评审小组</w:t>
      </w:r>
      <w:r>
        <w:rPr>
          <w:rFonts w:hint="eastAsia" w:ascii="宋体" w:hAnsi="宋体" w:eastAsia="宋体" w:cs="宋体"/>
          <w:color w:val="auto"/>
          <w:kern w:val="0"/>
          <w:sz w:val="24"/>
          <w:szCs w:val="24"/>
          <w:highlight w:val="none"/>
          <w:u w:val="none"/>
          <w:lang w:val="en-US" w:eastAsia="zh-CN" w:bidi="ar"/>
        </w:rPr>
        <w:t>评定</w:t>
      </w:r>
      <w:r>
        <w:rPr>
          <w:rFonts w:hint="eastAsia" w:ascii="宋体" w:hAnsi="宋体" w:eastAsia="宋体" w:cs="宋体"/>
          <w:color w:val="auto"/>
          <w:kern w:val="0"/>
          <w:sz w:val="24"/>
          <w:szCs w:val="24"/>
          <w:highlight w:val="none"/>
          <w:u w:val="single"/>
          <w:lang w:val="en-US" w:eastAsia="zh-CN" w:bidi="ar"/>
        </w:rPr>
        <w:t xml:space="preserve">              （成交供应商名称）为</w:t>
      </w:r>
      <w:r>
        <w:rPr>
          <w:rFonts w:hint="eastAsia" w:ascii="宋体" w:hAnsi="宋体" w:eastAsia="宋体" w:cs="宋体"/>
          <w:color w:val="auto"/>
          <w:kern w:val="0"/>
          <w:sz w:val="24"/>
          <w:szCs w:val="24"/>
          <w:highlight w:val="none"/>
          <w:u w:val="none"/>
          <w:lang w:val="en-US" w:eastAsia="zh-CN" w:bidi="ar"/>
        </w:rPr>
        <w:t>该项目成交供应商，现于成交通知书发出之日起30个工作日内，按照采购文件确定的事项签订本合同。</w:t>
      </w:r>
    </w:p>
    <w:p w14:paraId="7B43B0A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根据《中华人民共和国民法典》《中华人民共和国政府采购法》等相关法律法规之规定，按照平等、自愿、公平和诚实信用的原则，经</w:t>
      </w:r>
      <w:r>
        <w:rPr>
          <w:rFonts w:hint="eastAsia" w:ascii="宋体" w:hAnsi="宋体" w:eastAsia="宋体" w:cs="宋体"/>
          <w:color w:val="auto"/>
          <w:kern w:val="0"/>
          <w:sz w:val="24"/>
          <w:szCs w:val="24"/>
          <w:highlight w:val="none"/>
          <w:u w:val="single"/>
          <w:lang w:val="en-US" w:eastAsia="zh-CN" w:bidi="ar"/>
        </w:rPr>
        <w:t>中华人民共和国新疆出入境边防检查总站</w:t>
      </w:r>
      <w:r>
        <w:rPr>
          <w:rFonts w:hint="eastAsia" w:ascii="宋体" w:hAnsi="宋体" w:eastAsia="宋体" w:cs="宋体"/>
          <w:color w:val="auto"/>
          <w:kern w:val="0"/>
          <w:sz w:val="24"/>
          <w:szCs w:val="24"/>
          <w:highlight w:val="none"/>
          <w:u w:val="none"/>
          <w:lang w:val="en-US" w:eastAsia="zh-CN" w:bidi="ar"/>
        </w:rPr>
        <w:t>（以下简称：甲方）和</w:t>
      </w:r>
      <w:r>
        <w:rPr>
          <w:rFonts w:hint="eastAsia" w:ascii="宋体" w:hAnsi="宋体" w:eastAsia="宋体" w:cs="宋体"/>
          <w:color w:val="auto"/>
          <w:kern w:val="0"/>
          <w:sz w:val="24"/>
          <w:szCs w:val="24"/>
          <w:highlight w:val="none"/>
          <w:u w:val="single"/>
          <w:lang w:val="en-US" w:eastAsia="zh-CN" w:bidi="ar"/>
        </w:rPr>
        <w:t xml:space="preserve">              （成交供应商名称）</w:t>
      </w:r>
      <w:r>
        <w:rPr>
          <w:rFonts w:hint="eastAsia" w:ascii="宋体" w:hAnsi="宋体" w:eastAsia="宋体" w:cs="宋体"/>
          <w:color w:val="auto"/>
          <w:kern w:val="0"/>
          <w:sz w:val="24"/>
          <w:szCs w:val="24"/>
          <w:highlight w:val="none"/>
          <w:u w:val="none"/>
          <w:lang w:val="en-US" w:eastAsia="zh-CN" w:bidi="ar"/>
        </w:rPr>
        <w:t>（以下简称：乙方）协商一致，约定以下合同条款，以兹共同遵守、全面履行。</w:t>
      </w:r>
    </w:p>
    <w:p w14:paraId="047A5C9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u w:val="none"/>
          <w:lang w:val="en-US" w:eastAsia="zh-CN" w:bidi="ar"/>
        </w:rPr>
        <w:t>1.1 合同组成部分</w:t>
      </w:r>
      <w:r>
        <w:rPr>
          <w:rFonts w:hint="eastAsia" w:ascii="宋体" w:hAnsi="宋体" w:eastAsia="宋体" w:cs="宋体"/>
          <w:color w:val="auto"/>
          <w:kern w:val="0"/>
          <w:sz w:val="24"/>
          <w:szCs w:val="24"/>
          <w:highlight w:val="none"/>
          <w:u w:val="none"/>
          <w:lang w:val="en-US" w:eastAsia="zh-CN" w:bidi="ar"/>
        </w:rPr>
        <w:t xml:space="preserve"> </w:t>
      </w:r>
    </w:p>
    <w:p w14:paraId="61320BB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F3696C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1.1.1 本合同及其补充合同、变更协议；</w:t>
      </w:r>
    </w:p>
    <w:p w14:paraId="4E401FC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1.1.2 成交通知书；</w:t>
      </w:r>
    </w:p>
    <w:p w14:paraId="5BA81A4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1.1.3 响应文件（含澄清或者说明文件）；</w:t>
      </w:r>
    </w:p>
    <w:p w14:paraId="28FAB30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1.1.4 采购文件（含澄清或者修改文件）；</w:t>
      </w:r>
    </w:p>
    <w:p w14:paraId="24C9110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 w:val="0"/>
          <w:bCs w:val="0"/>
          <w:color w:val="auto"/>
          <w:kern w:val="0"/>
          <w:sz w:val="24"/>
          <w:szCs w:val="24"/>
          <w:highlight w:val="none"/>
          <w:u w:val="none"/>
          <w:lang w:val="en-US" w:eastAsia="zh-CN" w:bidi="ar"/>
        </w:rPr>
      </w:pPr>
      <w:r>
        <w:rPr>
          <w:rFonts w:hint="eastAsia" w:ascii="宋体" w:hAnsi="宋体" w:eastAsia="宋体" w:cs="宋体"/>
          <w:b w:val="0"/>
          <w:bCs w:val="0"/>
          <w:color w:val="auto"/>
          <w:kern w:val="0"/>
          <w:sz w:val="24"/>
          <w:szCs w:val="24"/>
          <w:highlight w:val="none"/>
          <w:u w:val="none"/>
          <w:lang w:val="en-US" w:eastAsia="zh-CN" w:bidi="ar"/>
        </w:rPr>
        <w:t>1.1.5 其他相关采购文件。</w:t>
      </w:r>
    </w:p>
    <w:p w14:paraId="1D86AE5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eastAsia" w:ascii="宋体" w:hAnsi="宋体" w:eastAsia="宋体" w:cs="宋体"/>
          <w:b/>
          <w:bCs/>
          <w:color w:val="auto"/>
          <w:kern w:val="0"/>
          <w:sz w:val="24"/>
          <w:szCs w:val="24"/>
          <w:highlight w:val="none"/>
          <w:u w:val="none"/>
          <w:lang w:val="en-US" w:eastAsia="zh-CN" w:bidi="ar"/>
        </w:rPr>
      </w:pPr>
      <w:r>
        <w:rPr>
          <w:rFonts w:hint="eastAsia" w:ascii="宋体" w:hAnsi="宋体" w:eastAsia="宋体" w:cs="宋体"/>
          <w:b/>
          <w:bCs/>
          <w:color w:val="auto"/>
          <w:kern w:val="0"/>
          <w:sz w:val="24"/>
          <w:szCs w:val="24"/>
          <w:highlight w:val="none"/>
          <w:u w:val="none"/>
          <w:lang w:val="en-US" w:eastAsia="zh-CN" w:bidi="ar"/>
        </w:rPr>
        <w:t>1.2 标的</w:t>
      </w:r>
    </w:p>
    <w:p w14:paraId="2E8051C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1.2.1 服务内容：</w:t>
      </w:r>
      <w:r>
        <w:rPr>
          <w:rFonts w:hint="eastAsia" w:ascii="宋体" w:hAnsi="宋体" w:eastAsia="宋体" w:cs="宋体"/>
          <w:color w:val="auto"/>
          <w:kern w:val="0"/>
          <w:sz w:val="24"/>
          <w:szCs w:val="24"/>
          <w:highlight w:val="none"/>
          <w:u w:val="single"/>
          <w:lang w:val="en-US" w:eastAsia="zh-CN" w:bidi="ar"/>
        </w:rPr>
        <w:t>为落实全面预算绩效管理工作，提高财政资金使用效益，总站计划开展年度全过程预算绩效管理工作，主要包括</w:t>
      </w:r>
      <w:r>
        <w:rPr>
          <w:rFonts w:hint="eastAsia" w:ascii="宋体" w:hAnsi="宋体" w:eastAsia="宋体" w:cs="宋体"/>
          <w:color w:val="auto"/>
          <w:kern w:val="0"/>
          <w:sz w:val="24"/>
          <w:szCs w:val="24"/>
          <w:highlight w:val="none"/>
          <w:shd w:val="clear" w:color="auto" w:fill="auto"/>
          <w:lang w:val="en-US" w:eastAsia="zh-CN" w:bidi="ar-SA"/>
        </w:rPr>
        <w:t>项目入库评审、绩效监控复核、绩效自评复核等</w:t>
      </w:r>
      <w:r>
        <w:rPr>
          <w:rFonts w:hint="eastAsia" w:ascii="宋体" w:hAnsi="宋体" w:eastAsia="宋体" w:cs="宋体"/>
          <w:color w:val="auto"/>
          <w:kern w:val="0"/>
          <w:sz w:val="24"/>
          <w:szCs w:val="24"/>
          <w:highlight w:val="none"/>
          <w:u w:val="single"/>
          <w:lang w:val="en-US" w:eastAsia="zh-CN" w:bidi="ar"/>
        </w:rPr>
        <w:t>。</w:t>
      </w:r>
      <w:r>
        <w:rPr>
          <w:rFonts w:hint="eastAsia" w:ascii="宋体" w:hAnsi="宋体" w:eastAsia="宋体" w:cs="宋体"/>
          <w:color w:val="auto"/>
          <w:kern w:val="0"/>
          <w:sz w:val="24"/>
          <w:szCs w:val="24"/>
          <w:highlight w:val="none"/>
          <w:u w:val="none"/>
          <w:lang w:val="en-US" w:eastAsia="zh-CN" w:bidi="ar"/>
        </w:rPr>
        <w:t xml:space="preserve"> </w:t>
      </w:r>
    </w:p>
    <w:p w14:paraId="0747422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1.2.2 服务标准：</w:t>
      </w:r>
      <w:r>
        <w:rPr>
          <w:rFonts w:hint="eastAsia" w:ascii="宋体" w:hAnsi="宋体" w:eastAsia="宋体" w:cs="宋体"/>
          <w:color w:val="auto"/>
          <w:kern w:val="0"/>
          <w:sz w:val="24"/>
          <w:szCs w:val="24"/>
          <w:highlight w:val="none"/>
          <w:u w:val="single"/>
          <w:lang w:val="en-US" w:eastAsia="zh-CN" w:bidi="ar"/>
        </w:rPr>
        <w:t xml:space="preserve"> 满足磋商文件要求及国家规定的相关标准。</w:t>
      </w:r>
      <w:r>
        <w:rPr>
          <w:rFonts w:hint="eastAsia" w:ascii="宋体" w:hAnsi="宋体" w:eastAsia="宋体" w:cs="宋体"/>
          <w:color w:val="auto"/>
          <w:kern w:val="0"/>
          <w:sz w:val="24"/>
          <w:szCs w:val="24"/>
          <w:highlight w:val="none"/>
          <w:u w:val="none"/>
          <w:lang w:val="en-US" w:eastAsia="zh-CN" w:bidi="ar"/>
        </w:rPr>
        <w:t xml:space="preserve"> </w:t>
      </w:r>
    </w:p>
    <w:p w14:paraId="7F97706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1.2.3 技术保障：</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 xml:space="preserve"> </w:t>
      </w:r>
    </w:p>
    <w:p w14:paraId="24D001D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1.2.4 服务人员组成：</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none"/>
          <w:lang w:val="en-US" w:eastAsia="zh-CN" w:bidi="ar"/>
        </w:rPr>
        <w:t xml:space="preserve"> </w:t>
      </w:r>
    </w:p>
    <w:p w14:paraId="75C3FC2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u w:val="none"/>
          <w:lang w:val="en-US" w:eastAsia="zh-CN" w:bidi="ar"/>
        </w:rPr>
        <w:t>1.2.5 合同</w:t>
      </w:r>
      <w:r>
        <w:rPr>
          <w:rFonts w:hint="eastAsia" w:ascii="宋体" w:hAnsi="宋体" w:eastAsia="宋体" w:cs="宋体"/>
          <w:color w:val="auto"/>
          <w:kern w:val="0"/>
          <w:sz w:val="24"/>
          <w:szCs w:val="24"/>
          <w:highlight w:val="none"/>
          <w:u w:val="single"/>
          <w:lang w:val="en-US" w:eastAsia="zh-CN" w:bidi="ar"/>
        </w:rPr>
        <w:t xml:space="preserve"> 否  </w:t>
      </w:r>
      <w:r>
        <w:rPr>
          <w:rFonts w:hint="eastAsia" w:ascii="宋体" w:hAnsi="宋体" w:eastAsia="宋体" w:cs="宋体"/>
          <w:color w:val="auto"/>
          <w:kern w:val="0"/>
          <w:sz w:val="24"/>
          <w:szCs w:val="24"/>
          <w:highlight w:val="none"/>
          <w:u w:val="none"/>
          <w:lang w:val="en-US" w:eastAsia="zh-CN" w:bidi="ar"/>
        </w:rPr>
        <w:t>（是/否）涉及货物。</w:t>
      </w:r>
    </w:p>
    <w:p w14:paraId="592224B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1.3 价款</w:t>
      </w:r>
    </w:p>
    <w:p w14:paraId="660AE4B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本项目采用以下第</w:t>
      </w:r>
      <w:r>
        <w:rPr>
          <w:rFonts w:hint="eastAsia" w:ascii="宋体" w:hAnsi="宋体" w:eastAsia="宋体" w:cs="宋体"/>
          <w:color w:val="auto"/>
          <w:kern w:val="0"/>
          <w:sz w:val="24"/>
          <w:szCs w:val="24"/>
          <w:highlight w:val="none"/>
          <w:u w:val="single"/>
          <w:lang w:val="en-US" w:eastAsia="zh-CN" w:bidi="ar"/>
        </w:rPr>
        <w:t xml:space="preserve"> 1.3.1  </w:t>
      </w:r>
      <w:r>
        <w:rPr>
          <w:rFonts w:hint="default" w:ascii="宋体" w:hAnsi="宋体" w:eastAsia="宋体" w:cs="宋体"/>
          <w:color w:val="auto"/>
          <w:sz w:val="24"/>
          <w:szCs w:val="24"/>
          <w:highlight w:val="none"/>
          <w:lang w:val="en-US" w:eastAsia="zh-CN"/>
        </w:rPr>
        <w:t>条款规定的计价方式计价。</w:t>
      </w:r>
    </w:p>
    <w:p w14:paraId="2902AA7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1.3.1 总价合同，本合同总价（含税）为：￥</w:t>
      </w:r>
      <w:r>
        <w:rPr>
          <w:rFonts w:hint="eastAsia" w:ascii="宋体" w:hAnsi="宋体" w:eastAsia="宋体" w:cs="宋体"/>
          <w:color w:val="auto"/>
          <w:kern w:val="0"/>
          <w:sz w:val="24"/>
          <w:szCs w:val="24"/>
          <w:highlight w:val="none"/>
          <w:u w:val="single"/>
          <w:lang w:val="en-US" w:eastAsia="zh-CN" w:bidi="ar"/>
        </w:rPr>
        <w:t xml:space="preserve">            </w:t>
      </w:r>
      <w:r>
        <w:rPr>
          <w:rFonts w:hint="default" w:ascii="宋体" w:hAnsi="宋体" w:eastAsia="宋体" w:cs="宋体"/>
          <w:color w:val="auto"/>
          <w:sz w:val="24"/>
          <w:szCs w:val="24"/>
          <w:highlight w:val="none"/>
          <w:lang w:val="en-US" w:eastAsia="zh-CN"/>
        </w:rPr>
        <w:t>元（大写：</w:t>
      </w:r>
      <w:r>
        <w:rPr>
          <w:rFonts w:hint="eastAsia" w:ascii="宋体" w:hAnsi="宋体" w:eastAsia="宋体" w:cs="宋体"/>
          <w:color w:val="auto"/>
          <w:kern w:val="0"/>
          <w:sz w:val="24"/>
          <w:szCs w:val="24"/>
          <w:highlight w:val="none"/>
          <w:u w:val="single"/>
          <w:lang w:val="en-US" w:eastAsia="zh-CN" w:bidi="ar"/>
        </w:rPr>
        <w:t xml:space="preserve">       </w:t>
      </w:r>
      <w:r>
        <w:rPr>
          <w:rFonts w:hint="default" w:ascii="宋体" w:hAnsi="宋体" w:eastAsia="宋体" w:cs="宋体"/>
          <w:color w:val="auto"/>
          <w:sz w:val="24"/>
          <w:szCs w:val="24"/>
          <w:highlight w:val="none"/>
          <w:lang w:val="en-US" w:eastAsia="zh-CN"/>
        </w:rPr>
        <w:t>元人民币）。</w:t>
      </w:r>
    </w:p>
    <w:p w14:paraId="7AB233E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1.3.2 单价合同，本合同单价（含税）标准为：</w:t>
      </w:r>
      <w:r>
        <w:rPr>
          <w:rFonts w:hint="eastAsia" w:ascii="宋体" w:hAnsi="宋体" w:eastAsia="宋体" w:cs="宋体"/>
          <w:color w:val="auto"/>
          <w:kern w:val="0"/>
          <w:sz w:val="24"/>
          <w:szCs w:val="24"/>
          <w:highlight w:val="none"/>
          <w:u w:val="single"/>
          <w:lang w:val="en-US" w:eastAsia="zh-CN" w:bidi="ar"/>
        </w:rPr>
        <w:t xml:space="preserve"> / </w:t>
      </w:r>
      <w:r>
        <w:rPr>
          <w:rFonts w:hint="default" w:ascii="宋体" w:hAnsi="宋体" w:eastAsia="宋体" w:cs="宋体"/>
          <w:color w:val="auto"/>
          <w:sz w:val="24"/>
          <w:szCs w:val="24"/>
          <w:highlight w:val="none"/>
          <w:lang w:val="en-US" w:eastAsia="zh-CN"/>
        </w:rPr>
        <w:t>。服务工作量的计量方式为：</w:t>
      </w:r>
      <w:r>
        <w:rPr>
          <w:rFonts w:hint="eastAsia" w:ascii="宋体" w:hAnsi="宋体" w:eastAsia="宋体" w:cs="宋体"/>
          <w:color w:val="auto"/>
          <w:kern w:val="0"/>
          <w:sz w:val="24"/>
          <w:szCs w:val="24"/>
          <w:highlight w:val="none"/>
          <w:u w:val="single"/>
          <w:lang w:val="en-US" w:eastAsia="zh-CN" w:bidi="ar"/>
        </w:rPr>
        <w:t xml:space="preserve"> / </w:t>
      </w:r>
      <w:r>
        <w:rPr>
          <w:rFonts w:hint="default" w:ascii="宋体" w:hAnsi="宋体" w:eastAsia="宋体" w:cs="宋体"/>
          <w:color w:val="auto"/>
          <w:sz w:val="24"/>
          <w:szCs w:val="24"/>
          <w:highlight w:val="none"/>
          <w:lang w:val="en-US" w:eastAsia="zh-CN"/>
        </w:rPr>
        <w:t>。单价合同，在合同履行期间内，根据实际完成的工作量据实结算，但结算总价上限不得超过预算金额或者双方确定的金额￥</w:t>
      </w:r>
      <w:r>
        <w:rPr>
          <w:rFonts w:hint="eastAsia" w:ascii="宋体" w:hAnsi="宋体" w:eastAsia="宋体" w:cs="宋体"/>
          <w:color w:val="auto"/>
          <w:kern w:val="0"/>
          <w:sz w:val="24"/>
          <w:szCs w:val="24"/>
          <w:highlight w:val="none"/>
          <w:u w:val="single"/>
          <w:lang w:val="en-US" w:eastAsia="zh-CN" w:bidi="ar"/>
        </w:rPr>
        <w:t xml:space="preserve"> / </w:t>
      </w:r>
      <w:r>
        <w:rPr>
          <w:rFonts w:hint="default" w:ascii="宋体" w:hAnsi="宋体" w:eastAsia="宋体" w:cs="宋体"/>
          <w:color w:val="auto"/>
          <w:sz w:val="24"/>
          <w:szCs w:val="24"/>
          <w:highlight w:val="none"/>
          <w:lang w:val="en-US" w:eastAsia="zh-CN"/>
        </w:rPr>
        <w:t>元（大写：</w:t>
      </w:r>
      <w:r>
        <w:rPr>
          <w:rFonts w:hint="eastAsia" w:ascii="宋体" w:hAnsi="宋体" w:eastAsia="宋体" w:cs="宋体"/>
          <w:color w:val="auto"/>
          <w:kern w:val="0"/>
          <w:sz w:val="24"/>
          <w:szCs w:val="24"/>
          <w:highlight w:val="none"/>
          <w:u w:val="single"/>
          <w:lang w:val="en-US" w:eastAsia="zh-CN" w:bidi="ar"/>
        </w:rPr>
        <w:t xml:space="preserve"> / </w:t>
      </w:r>
      <w:r>
        <w:rPr>
          <w:rFonts w:hint="default" w:ascii="宋体" w:hAnsi="宋体" w:eastAsia="宋体" w:cs="宋体"/>
          <w:color w:val="auto"/>
          <w:sz w:val="24"/>
          <w:szCs w:val="24"/>
          <w:highlight w:val="none"/>
          <w:lang w:val="en-US" w:eastAsia="zh-CN"/>
        </w:rPr>
        <w:t>元人民币）。</w:t>
      </w:r>
    </w:p>
    <w:p w14:paraId="766453F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1.3.3 其他计价方式：</w:t>
      </w:r>
      <w:r>
        <w:rPr>
          <w:rFonts w:hint="eastAsia" w:ascii="宋体" w:hAnsi="宋体" w:eastAsia="宋体" w:cs="宋体"/>
          <w:color w:val="auto"/>
          <w:kern w:val="0"/>
          <w:sz w:val="24"/>
          <w:szCs w:val="24"/>
          <w:highlight w:val="none"/>
          <w:u w:val="single"/>
          <w:lang w:val="en-US" w:eastAsia="zh-CN" w:bidi="ar"/>
        </w:rPr>
        <w:t xml:space="preserve"> / </w:t>
      </w:r>
    </w:p>
    <w:p w14:paraId="3DEFEFA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1.4 履约保证金</w:t>
      </w:r>
    </w:p>
    <w:p w14:paraId="4295965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乙方</w:t>
      </w:r>
      <w:r>
        <w:rPr>
          <w:rFonts w:hint="default" w:ascii="宋体" w:hAnsi="宋体" w:eastAsia="宋体" w:cs="宋体"/>
          <w:color w:val="auto"/>
          <w:sz w:val="24"/>
          <w:szCs w:val="24"/>
          <w:highlight w:val="none"/>
          <w:u w:val="single"/>
          <w:lang w:val="en-US" w:eastAsia="zh-CN"/>
        </w:rPr>
        <w:t xml:space="preserve"> 否 </w:t>
      </w:r>
      <w:r>
        <w:rPr>
          <w:rFonts w:hint="default" w:ascii="宋体" w:hAnsi="宋体" w:eastAsia="宋体" w:cs="宋体"/>
          <w:color w:val="auto"/>
          <w:sz w:val="24"/>
          <w:szCs w:val="24"/>
          <w:highlight w:val="none"/>
          <w:lang w:val="en-US" w:eastAsia="zh-CN"/>
        </w:rPr>
        <w:t>（是/否）需要支付履约保证金。若需要支付履约保证金的，则：</w:t>
      </w:r>
    </w:p>
    <w:p w14:paraId="3EAA4C2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1.4.1 履约保证金的比例为合同金额的</w:t>
      </w:r>
      <w:r>
        <w:rPr>
          <w:rFonts w:hint="eastAsia" w:ascii="宋体" w:hAnsi="宋体" w:eastAsia="宋体" w:cs="宋体"/>
          <w:color w:val="auto"/>
          <w:kern w:val="0"/>
          <w:sz w:val="24"/>
          <w:szCs w:val="24"/>
          <w:highlight w:val="none"/>
          <w:u w:val="single"/>
          <w:lang w:val="en-US" w:eastAsia="zh-CN" w:bidi="ar"/>
        </w:rPr>
        <w:t xml:space="preserve"> / </w:t>
      </w:r>
      <w:r>
        <w:rPr>
          <w:rFonts w:hint="default" w:ascii="宋体" w:hAnsi="宋体" w:eastAsia="宋体" w:cs="宋体"/>
          <w:color w:val="auto"/>
          <w:sz w:val="24"/>
          <w:szCs w:val="24"/>
          <w:highlight w:val="none"/>
          <w:lang w:val="en-US" w:eastAsia="zh-CN"/>
        </w:rPr>
        <w:t>%；</w:t>
      </w:r>
    </w:p>
    <w:p w14:paraId="5CF0C99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1.5 预付款</w:t>
      </w:r>
    </w:p>
    <w:p w14:paraId="50B4D28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甲方</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否</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（是/否）需要支付预付款。若需要支付预付款的，则：</w:t>
      </w:r>
    </w:p>
    <w:p w14:paraId="252E0C3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1.5.1 预付款比例、支付方式、时间详见</w:t>
      </w:r>
      <w:r>
        <w:rPr>
          <w:rFonts w:hint="default" w:ascii="宋体" w:hAnsi="宋体" w:eastAsia="宋体" w:cs="宋体"/>
          <w:i/>
          <w:iCs/>
          <w:color w:val="auto"/>
          <w:sz w:val="24"/>
          <w:szCs w:val="24"/>
          <w:highlight w:val="none"/>
          <w:u w:val="single"/>
          <w:lang w:val="en-US" w:eastAsia="zh-CN"/>
        </w:rPr>
        <w:t xml:space="preserve"> 合同专用条款 </w:t>
      </w:r>
      <w:r>
        <w:rPr>
          <w:rFonts w:hint="default" w:ascii="宋体" w:hAnsi="宋体" w:eastAsia="宋体" w:cs="宋体"/>
          <w:color w:val="auto"/>
          <w:sz w:val="24"/>
          <w:szCs w:val="24"/>
          <w:highlight w:val="none"/>
          <w:lang w:val="en-US" w:eastAsia="zh-CN"/>
        </w:rPr>
        <w:t>；</w:t>
      </w:r>
    </w:p>
    <w:p w14:paraId="4E10BF0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1.5.2 预付款的扣回方式详见</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w:t>
      </w:r>
    </w:p>
    <w:p w14:paraId="53096FD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1.5.3 预付款的担保措施详见</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w:t>
      </w:r>
    </w:p>
    <w:p w14:paraId="1FB7879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1.6 资金支付</w:t>
      </w:r>
    </w:p>
    <w:p w14:paraId="3146100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1.6.1 甲方应严格履行合同，及时组织验收，验收合格后及时将合同款支付完毕。对于满足合同约定支付条件的，甲方自收到发票后 </w:t>
      </w:r>
      <w:r>
        <w:rPr>
          <w:rFonts w:hint="eastAsia" w:ascii="宋体" w:hAnsi="宋体" w:eastAsia="宋体" w:cs="宋体"/>
          <w:color w:val="auto"/>
          <w:sz w:val="24"/>
          <w:szCs w:val="24"/>
          <w:highlight w:val="none"/>
          <w:lang w:val="en-US" w:eastAsia="zh-CN"/>
        </w:rPr>
        <w:t>30个日历日</w:t>
      </w:r>
      <w:r>
        <w:rPr>
          <w:rFonts w:hint="default" w:ascii="宋体" w:hAnsi="宋体" w:eastAsia="宋体" w:cs="宋体"/>
          <w:color w:val="auto"/>
          <w:sz w:val="24"/>
          <w:szCs w:val="24"/>
          <w:highlight w:val="none"/>
          <w:lang w:val="en-US" w:eastAsia="zh-CN"/>
        </w:rPr>
        <w:t>内将资金支付到合同约定的乙方账户，有条件的甲方可以即时支付。甲方不得以机构变动、人员更替、政策调整、单位放假等为由延迟付款。</w:t>
      </w:r>
    </w:p>
    <w:p w14:paraId="666CC30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1.6.2 资金支付的方式、时间和条件详见</w:t>
      </w:r>
      <w:r>
        <w:rPr>
          <w:rFonts w:hint="default" w:ascii="宋体" w:hAnsi="宋体" w:eastAsia="宋体" w:cs="宋体"/>
          <w:i/>
          <w:iCs/>
          <w:color w:val="auto"/>
          <w:sz w:val="24"/>
          <w:szCs w:val="24"/>
          <w:highlight w:val="none"/>
          <w:u w:val="single"/>
          <w:lang w:val="en-US" w:eastAsia="zh-CN"/>
        </w:rPr>
        <w:t>合同专用条款</w:t>
      </w:r>
      <w:r>
        <w:rPr>
          <w:rFonts w:hint="eastAsia" w:ascii="宋体" w:hAnsi="宋体" w:eastAsia="宋体" w:cs="宋体"/>
          <w:color w:val="auto"/>
          <w:sz w:val="24"/>
          <w:szCs w:val="24"/>
          <w:highlight w:val="none"/>
          <w:lang w:val="en-US" w:eastAsia="zh-CN"/>
        </w:rPr>
        <w:t>。</w:t>
      </w:r>
    </w:p>
    <w:p w14:paraId="3D3B0B8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1.7 履行期限、地点和方式</w:t>
      </w:r>
    </w:p>
    <w:p w14:paraId="379453C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1.7.1 服务交付（实施）的时间（期限）：</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w:t>
      </w:r>
    </w:p>
    <w:p w14:paraId="1205E5F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1.7.2 服务交付（实施）的地点（地域范围）：</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w:t>
      </w:r>
    </w:p>
    <w:p w14:paraId="0C4E4EF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1.7.3 服务交付（实施）的方式：</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w:t>
      </w:r>
    </w:p>
    <w:p w14:paraId="5C1B9A4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1.8 违约责任</w:t>
      </w:r>
    </w:p>
    <w:p w14:paraId="64B4C7A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3</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%计算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rPr>
        <w:t>延迟履行超过【</w:t>
      </w:r>
      <w:r>
        <w:rPr>
          <w:rFonts w:hint="eastAsia" w:ascii="宋体" w:hAnsi="宋体" w:eastAsia="宋体" w:cs="宋体"/>
          <w:color w:val="auto"/>
          <w:sz w:val="24"/>
          <w:lang w:val="en-US" w:eastAsia="zh-CN"/>
        </w:rPr>
        <w:t>7</w:t>
      </w:r>
      <w:r>
        <w:rPr>
          <w:rFonts w:hint="eastAsia" w:ascii="宋体" w:hAnsi="宋体" w:eastAsia="宋体" w:cs="宋体"/>
          <w:color w:val="auto"/>
          <w:sz w:val="24"/>
        </w:rPr>
        <w:t>】日的，甲方有权在要求乙方支付违约金的同时，书面通知乙方解除本合同，</w:t>
      </w:r>
      <w:r>
        <w:rPr>
          <w:rFonts w:ascii="宋体" w:hAnsi="宋体" w:eastAsia="宋体" w:cs="宋体"/>
          <w:color w:val="auto"/>
          <w:sz w:val="24"/>
        </w:rPr>
        <w:t>乙方应当返还甲方已支付的全部款项。乙方逾期返还的，每逾期一日，乙方应按合同价款</w:t>
      </w:r>
      <w:r>
        <w:rPr>
          <w:rFonts w:hint="eastAsia" w:ascii="宋体" w:hAnsi="宋体" w:eastAsia="宋体" w:cs="宋体"/>
          <w:color w:val="auto"/>
          <w:sz w:val="24"/>
        </w:rPr>
        <w:t>【</w:t>
      </w:r>
      <w:r>
        <w:rPr>
          <w:rFonts w:hint="eastAsia" w:ascii="宋体" w:hAnsi="宋体" w:eastAsia="宋体" w:cs="宋体"/>
          <w:color w:val="auto"/>
          <w:sz w:val="24"/>
          <w:lang w:val="en-US" w:eastAsia="zh-CN"/>
        </w:rPr>
        <w:t>20</w:t>
      </w:r>
      <w:r>
        <w:rPr>
          <w:rFonts w:hint="eastAsia" w:ascii="宋体" w:hAnsi="宋体" w:eastAsia="宋体" w:cs="宋体"/>
          <w:color w:val="auto"/>
          <w:sz w:val="24"/>
        </w:rPr>
        <w:t>】</w:t>
      </w:r>
      <w:r>
        <w:rPr>
          <w:rFonts w:ascii="宋体" w:hAnsi="宋体" w:eastAsia="宋体" w:cs="宋体"/>
          <w:color w:val="auto"/>
          <w:sz w:val="24"/>
        </w:rPr>
        <w:t>%承担违约金。</w:t>
      </w:r>
    </w:p>
    <w:p w14:paraId="6A5F7B4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 xml:space="preserve"> 除不可抗力外，如果甲方没有按照本合同约定的付款方式付款，那么乙方可要求甲方支付违约金，违约金按每迟延付款一日的应付而未付款的</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3</w:t>
      </w:r>
      <w:r>
        <w:rPr>
          <w:rFonts w:hint="default" w:ascii="宋体" w:hAnsi="宋体" w:eastAsia="宋体" w:cs="宋体"/>
          <w:color w:val="auto"/>
          <w:sz w:val="24"/>
          <w:szCs w:val="24"/>
          <w:highlight w:val="none"/>
          <w:u w:val="single"/>
          <w:lang w:val="en-US" w:eastAsia="zh-CN"/>
        </w:rPr>
        <w:t xml:space="preserve"> </w:t>
      </w:r>
      <w:r>
        <w:rPr>
          <w:rFonts w:hint="default" w:ascii="宋体" w:hAnsi="宋体" w:eastAsia="宋体" w:cs="宋体"/>
          <w:color w:val="auto"/>
          <w:sz w:val="24"/>
          <w:szCs w:val="24"/>
          <w:highlight w:val="none"/>
          <w:lang w:val="en-US" w:eastAsia="zh-CN"/>
        </w:rPr>
        <w:t>%计算，最高限额为本合同总价的</w:t>
      </w:r>
      <w:r>
        <w:rPr>
          <w:rFonts w:hint="default" w:ascii="宋体" w:hAnsi="宋体" w:eastAsia="宋体" w:cs="宋体"/>
          <w:color w:val="auto"/>
          <w:sz w:val="24"/>
          <w:szCs w:val="24"/>
          <w:highlight w:val="none"/>
          <w:u w:val="single"/>
          <w:lang w:val="en-US" w:eastAsia="zh-CN"/>
        </w:rPr>
        <w:t xml:space="preserve"> 20 </w:t>
      </w:r>
      <w:r>
        <w:rPr>
          <w:rFonts w:hint="default" w:ascii="宋体" w:hAnsi="宋体" w:eastAsia="宋体" w:cs="宋体"/>
          <w:color w:val="auto"/>
          <w:sz w:val="24"/>
          <w:szCs w:val="24"/>
          <w:highlight w:val="none"/>
          <w:lang w:val="en-US" w:eastAsia="zh-CN"/>
        </w:rPr>
        <w:t>%；迟延付款的违约金计算数额达到前述最高限额之日起，乙方有权在要求甲方支付违约金的同时，书面通知甲方解除本合同；</w:t>
      </w:r>
    </w:p>
    <w:p w14:paraId="4740909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 xml:space="preserve">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CF7C2F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 xml:space="preserve">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48AD73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 xml:space="preserve"> 如果出现政府采购监督管理部门在处理投诉事项期间，书面通知甲方暂停采购活动的情形，或者询问或质疑事项可能影响中标或者成交结果的，导致甲方中止履行合同的情形，均不视为甲方违约。</w:t>
      </w:r>
    </w:p>
    <w:p w14:paraId="3B4B177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1.8.7 违约责任</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另有约定的，从其约定。</w:t>
      </w:r>
    </w:p>
    <w:p w14:paraId="7E0F7E2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 xml:space="preserve">1.9 合同争议的解决 </w:t>
      </w:r>
    </w:p>
    <w:p w14:paraId="0B5FDA8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本合同履行过程中发生的任何争议，双方当事人均可通过和解或者调解解决；不愿和解、调解或者和解、调解不成的，可以选择以下第</w:t>
      </w:r>
      <w:r>
        <w:rPr>
          <w:rFonts w:hint="default"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1.9.2 </w:t>
      </w:r>
      <w:r>
        <w:rPr>
          <w:rFonts w:hint="default" w:ascii="宋体" w:hAnsi="宋体" w:eastAsia="宋体" w:cs="宋体"/>
          <w:color w:val="auto"/>
          <w:sz w:val="24"/>
          <w:szCs w:val="24"/>
          <w:highlight w:val="none"/>
          <w:lang w:val="en-US" w:eastAsia="zh-CN"/>
        </w:rPr>
        <w:t xml:space="preserve">条款规定的方式解决： </w:t>
      </w:r>
    </w:p>
    <w:p w14:paraId="185E121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1.9.1 将争议提交</w:t>
      </w:r>
      <w:r>
        <w:rPr>
          <w:rFonts w:hint="eastAsia" w:ascii="宋体" w:hAnsi="宋体" w:eastAsia="宋体" w:cs="宋体"/>
          <w:i w:val="0"/>
          <w:iCs w:val="0"/>
          <w:color w:val="auto"/>
          <w:sz w:val="24"/>
          <w:szCs w:val="24"/>
          <w:highlight w:val="none"/>
          <w:u w:val="single"/>
          <w:lang w:val="en-US" w:eastAsia="zh-CN"/>
        </w:rPr>
        <w:t xml:space="preserve"> /  </w:t>
      </w:r>
      <w:r>
        <w:rPr>
          <w:rFonts w:hint="default" w:ascii="宋体" w:hAnsi="宋体" w:eastAsia="宋体" w:cs="宋体"/>
          <w:color w:val="auto"/>
          <w:sz w:val="24"/>
          <w:szCs w:val="24"/>
          <w:highlight w:val="none"/>
          <w:lang w:val="en-US" w:eastAsia="zh-CN"/>
        </w:rPr>
        <w:t xml:space="preserve">仲裁委员会依申请仲裁时其现行有效的仲裁规则裁决； </w:t>
      </w:r>
    </w:p>
    <w:p w14:paraId="41F4AE1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1.9.2 向</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 xml:space="preserve">人民法院起诉。 </w:t>
      </w:r>
    </w:p>
    <w:p w14:paraId="65D9E32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 xml:space="preserve">2.0 合同生效 </w:t>
      </w:r>
    </w:p>
    <w:p w14:paraId="438DE44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本合同自双方</w:t>
      </w:r>
      <w:r>
        <w:rPr>
          <w:rFonts w:hint="eastAsia" w:ascii="宋体" w:hAnsi="宋体" w:eastAsia="宋体" w:cs="宋体"/>
          <w:color w:val="auto"/>
          <w:sz w:val="24"/>
        </w:rPr>
        <w:t>法定代表人或授权代表</w:t>
      </w:r>
      <w:r>
        <w:rPr>
          <w:rFonts w:hint="default" w:ascii="宋体" w:hAnsi="宋体" w:eastAsia="宋体" w:cs="宋体"/>
          <w:color w:val="auto"/>
          <w:sz w:val="24"/>
          <w:szCs w:val="24"/>
          <w:highlight w:val="none"/>
          <w:lang w:val="en-US" w:eastAsia="zh-CN"/>
        </w:rPr>
        <w:t>盖章签字时生效。</w:t>
      </w:r>
    </w:p>
    <w:p w14:paraId="3004FCD7">
      <w:p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br w:type="page"/>
      </w:r>
    </w:p>
    <w:tbl>
      <w:tblPr>
        <w:tblStyle w:val="14"/>
        <w:tblW w:w="9837" w:type="dxa"/>
        <w:tblInd w:w="0" w:type="dxa"/>
        <w:tblLayout w:type="fixed"/>
        <w:tblCellMar>
          <w:top w:w="0" w:type="dxa"/>
          <w:left w:w="108" w:type="dxa"/>
          <w:bottom w:w="0" w:type="dxa"/>
          <w:right w:w="108" w:type="dxa"/>
        </w:tblCellMar>
      </w:tblPr>
      <w:tblGrid>
        <w:gridCol w:w="2584"/>
        <w:gridCol w:w="2568"/>
        <w:gridCol w:w="1953"/>
        <w:gridCol w:w="2732"/>
      </w:tblGrid>
      <w:tr w14:paraId="33FD94A6">
        <w:tblPrEx>
          <w:tblCellMar>
            <w:top w:w="0" w:type="dxa"/>
            <w:left w:w="108" w:type="dxa"/>
            <w:bottom w:w="0" w:type="dxa"/>
            <w:right w:w="108" w:type="dxa"/>
          </w:tblCellMar>
        </w:tblPrEx>
        <w:trPr>
          <w:trHeight w:val="850" w:hRule="atLeast"/>
        </w:trPr>
        <w:tc>
          <w:tcPr>
            <w:tcW w:w="2584" w:type="dxa"/>
            <w:tcBorders>
              <w:top w:val="nil"/>
              <w:left w:val="nil"/>
              <w:bottom w:val="nil"/>
              <w:right w:val="nil"/>
            </w:tcBorders>
            <w:tcMar>
              <w:top w:w="0" w:type="dxa"/>
              <w:left w:w="108" w:type="dxa"/>
              <w:bottom w:w="0" w:type="dxa"/>
              <w:right w:w="567" w:type="dxa"/>
            </w:tcMar>
            <w:vAlign w:val="center"/>
          </w:tcPr>
          <w:p w14:paraId="4BC1C1E4">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lang w:val="en-US" w:eastAsia="zh-CN"/>
              </w:rPr>
              <w:t>甲方</w:t>
            </w:r>
            <w:r>
              <w:rPr>
                <w:rStyle w:val="34"/>
                <w:rFonts w:hint="eastAsia" w:ascii="宋体" w:hAnsi="宋体" w:eastAsia="宋体" w:cs="宋体"/>
                <w:color w:val="auto"/>
                <w:sz w:val="24"/>
                <w:szCs w:val="24"/>
                <w:highlight w:val="none"/>
              </w:rPr>
              <w:t>：</w:t>
            </w:r>
          </w:p>
        </w:tc>
        <w:tc>
          <w:tcPr>
            <w:tcW w:w="2568" w:type="dxa"/>
            <w:tcBorders>
              <w:top w:val="nil"/>
              <w:left w:val="nil"/>
              <w:bottom w:val="nil"/>
              <w:right w:val="nil"/>
            </w:tcBorders>
            <w:tcMar>
              <w:top w:w="0" w:type="dxa"/>
              <w:left w:w="108" w:type="dxa"/>
              <w:bottom w:w="0" w:type="dxa"/>
              <w:right w:w="567" w:type="dxa"/>
            </w:tcMar>
            <w:vAlign w:val="center"/>
          </w:tcPr>
          <w:p w14:paraId="4B95B08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中华人民共和国新疆出入境边防检查总站</w:t>
            </w:r>
          </w:p>
        </w:tc>
        <w:tc>
          <w:tcPr>
            <w:tcW w:w="1953" w:type="dxa"/>
            <w:tcBorders>
              <w:top w:val="nil"/>
              <w:left w:val="nil"/>
              <w:bottom w:val="nil"/>
              <w:right w:val="nil"/>
            </w:tcBorders>
            <w:tcMar>
              <w:top w:w="0" w:type="dxa"/>
              <w:left w:w="108" w:type="dxa"/>
              <w:bottom w:w="0" w:type="dxa"/>
              <w:right w:w="567" w:type="dxa"/>
            </w:tcMar>
            <w:vAlign w:val="center"/>
          </w:tcPr>
          <w:p w14:paraId="7926C108">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lang w:val="en-US" w:eastAsia="zh-CN"/>
              </w:rPr>
              <w:t>乙方</w:t>
            </w:r>
            <w:r>
              <w:rPr>
                <w:rStyle w:val="34"/>
                <w:rFonts w:hint="eastAsia" w:ascii="宋体" w:hAnsi="宋体" w:eastAsia="宋体" w:cs="宋体"/>
                <w:color w:val="auto"/>
                <w:sz w:val="24"/>
                <w:szCs w:val="24"/>
                <w:highlight w:val="none"/>
              </w:rPr>
              <w:t>：</w:t>
            </w:r>
          </w:p>
        </w:tc>
        <w:tc>
          <w:tcPr>
            <w:tcW w:w="2732" w:type="dxa"/>
            <w:tcBorders>
              <w:top w:val="nil"/>
              <w:left w:val="nil"/>
              <w:bottom w:val="nil"/>
              <w:right w:val="nil"/>
            </w:tcBorders>
            <w:tcMar>
              <w:top w:w="0" w:type="dxa"/>
              <w:left w:w="108" w:type="dxa"/>
              <w:bottom w:w="0" w:type="dxa"/>
              <w:right w:w="567" w:type="dxa"/>
            </w:tcMar>
            <w:vAlign w:val="center"/>
          </w:tcPr>
          <w:p w14:paraId="55D1CE4E">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r>
      <w:tr w14:paraId="2940717A">
        <w:tblPrEx>
          <w:tblCellMar>
            <w:top w:w="0" w:type="dxa"/>
            <w:left w:w="108" w:type="dxa"/>
            <w:bottom w:w="0" w:type="dxa"/>
            <w:right w:w="108" w:type="dxa"/>
          </w:tblCellMar>
        </w:tblPrEx>
        <w:trPr>
          <w:trHeight w:val="835" w:hRule="atLeast"/>
        </w:trPr>
        <w:tc>
          <w:tcPr>
            <w:tcW w:w="5152" w:type="dxa"/>
            <w:gridSpan w:val="2"/>
            <w:tcBorders>
              <w:top w:val="nil"/>
              <w:left w:val="nil"/>
              <w:bottom w:val="nil"/>
              <w:right w:val="nil"/>
            </w:tcBorders>
            <w:tcMar>
              <w:top w:w="0" w:type="dxa"/>
              <w:left w:w="108" w:type="dxa"/>
              <w:bottom w:w="0" w:type="dxa"/>
              <w:right w:w="567" w:type="dxa"/>
            </w:tcMar>
            <w:vAlign w:val="center"/>
          </w:tcPr>
          <w:p w14:paraId="0FD406F2">
            <w:pPr>
              <w:pStyle w:val="33"/>
              <w:keepNext w:val="0"/>
              <w:keepLines w:val="0"/>
              <w:pageBreakBefore w:val="0"/>
              <w:widowControl w:val="0"/>
              <w:kinsoku/>
              <w:wordWrap/>
              <w:overflowPunct/>
              <w:topLinePunct w:val="0"/>
              <w:autoSpaceDE/>
              <w:autoSpaceDN/>
              <w:bidi w:val="0"/>
              <w:adjustRightInd/>
              <w:snapToGrid/>
              <w:spacing w:line="240" w:lineRule="auto"/>
              <w:ind w:firstLine="120" w:firstLineChars="50"/>
              <w:jc w:val="left"/>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法定代表人或其委托代理人：</w:t>
            </w:r>
          </w:p>
          <w:p w14:paraId="0116CB70">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34"/>
                <w:rFonts w:hint="eastAsia" w:ascii="宋体" w:hAnsi="宋体" w:eastAsia="宋体" w:cs="宋体"/>
                <w:color w:val="auto"/>
                <w:kern w:val="0"/>
                <w:sz w:val="24"/>
                <w:szCs w:val="24"/>
                <w:highlight w:val="none"/>
              </w:rPr>
            </w:pPr>
            <w:r>
              <w:rPr>
                <w:rStyle w:val="34"/>
                <w:rFonts w:hint="eastAsia" w:ascii="宋体" w:hAnsi="宋体" w:eastAsia="宋体" w:cs="宋体"/>
                <w:color w:val="auto"/>
                <w:sz w:val="24"/>
                <w:szCs w:val="24"/>
                <w:highlight w:val="none"/>
              </w:rPr>
              <w:t>（签字）</w:t>
            </w:r>
          </w:p>
        </w:tc>
        <w:tc>
          <w:tcPr>
            <w:tcW w:w="4685" w:type="dxa"/>
            <w:gridSpan w:val="2"/>
            <w:tcBorders>
              <w:top w:val="nil"/>
              <w:left w:val="nil"/>
              <w:bottom w:val="nil"/>
              <w:right w:val="nil"/>
            </w:tcBorders>
            <w:tcMar>
              <w:top w:w="0" w:type="dxa"/>
              <w:left w:w="108" w:type="dxa"/>
              <w:bottom w:w="0" w:type="dxa"/>
              <w:right w:w="567" w:type="dxa"/>
            </w:tcMar>
            <w:vAlign w:val="center"/>
          </w:tcPr>
          <w:p w14:paraId="0B0A96B0">
            <w:pPr>
              <w:pStyle w:val="33"/>
              <w:keepNext w:val="0"/>
              <w:keepLines w:val="0"/>
              <w:pageBreakBefore w:val="0"/>
              <w:widowControl w:val="0"/>
              <w:kinsoku/>
              <w:wordWrap/>
              <w:overflowPunct/>
              <w:topLinePunct w:val="0"/>
              <w:autoSpaceDE/>
              <w:autoSpaceDN/>
              <w:bidi w:val="0"/>
              <w:adjustRightInd/>
              <w:snapToGrid/>
              <w:spacing w:line="240" w:lineRule="auto"/>
              <w:ind w:firstLine="120" w:firstLineChars="50"/>
              <w:jc w:val="left"/>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法定代表人或其委托代理人：</w:t>
            </w:r>
          </w:p>
          <w:p w14:paraId="72ADB5B6">
            <w:pPr>
              <w:pStyle w:val="10"/>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34"/>
                <w:rFonts w:hint="eastAsia" w:ascii="宋体" w:hAnsi="宋体" w:eastAsia="宋体" w:cs="宋体"/>
                <w:color w:val="auto"/>
                <w:kern w:val="0"/>
                <w:sz w:val="24"/>
                <w:szCs w:val="24"/>
                <w:highlight w:val="none"/>
              </w:rPr>
            </w:pPr>
            <w:r>
              <w:rPr>
                <w:rStyle w:val="34"/>
                <w:rFonts w:hint="eastAsia" w:ascii="宋体" w:hAnsi="宋体" w:eastAsia="宋体" w:cs="宋体"/>
                <w:color w:val="auto"/>
                <w:sz w:val="24"/>
                <w:szCs w:val="24"/>
                <w:highlight w:val="none"/>
              </w:rPr>
              <w:t>（签字）</w:t>
            </w:r>
          </w:p>
        </w:tc>
      </w:tr>
      <w:tr w14:paraId="31A43EE0">
        <w:tblPrEx>
          <w:tblCellMar>
            <w:top w:w="0" w:type="dxa"/>
            <w:left w:w="108" w:type="dxa"/>
            <w:bottom w:w="0" w:type="dxa"/>
            <w:right w:w="108" w:type="dxa"/>
          </w:tblCellMar>
        </w:tblPrEx>
        <w:trPr>
          <w:trHeight w:val="850" w:hRule="atLeast"/>
        </w:trPr>
        <w:tc>
          <w:tcPr>
            <w:tcW w:w="2584" w:type="dxa"/>
            <w:tcBorders>
              <w:top w:val="nil"/>
              <w:left w:val="nil"/>
              <w:bottom w:val="nil"/>
              <w:right w:val="nil"/>
            </w:tcBorders>
            <w:tcMar>
              <w:top w:w="0" w:type="dxa"/>
              <w:left w:w="108" w:type="dxa"/>
              <w:bottom w:w="0" w:type="dxa"/>
              <w:right w:w="567" w:type="dxa"/>
            </w:tcMar>
            <w:vAlign w:val="center"/>
          </w:tcPr>
          <w:p w14:paraId="6898EB15">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组织机构代码：</w:t>
            </w:r>
          </w:p>
        </w:tc>
        <w:tc>
          <w:tcPr>
            <w:tcW w:w="2568" w:type="dxa"/>
            <w:tcBorders>
              <w:top w:val="nil"/>
              <w:left w:val="nil"/>
              <w:bottom w:val="nil"/>
              <w:right w:val="nil"/>
            </w:tcBorders>
            <w:tcMar>
              <w:top w:w="0" w:type="dxa"/>
              <w:left w:w="108" w:type="dxa"/>
              <w:bottom w:w="0" w:type="dxa"/>
              <w:right w:w="567" w:type="dxa"/>
            </w:tcMar>
            <w:vAlign w:val="center"/>
          </w:tcPr>
          <w:p w14:paraId="08A96708">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c>
          <w:tcPr>
            <w:tcW w:w="1953" w:type="dxa"/>
            <w:tcBorders>
              <w:top w:val="nil"/>
              <w:left w:val="nil"/>
              <w:bottom w:val="nil"/>
              <w:right w:val="nil"/>
            </w:tcBorders>
            <w:tcMar>
              <w:top w:w="0" w:type="dxa"/>
              <w:left w:w="108" w:type="dxa"/>
              <w:bottom w:w="0" w:type="dxa"/>
              <w:right w:w="567" w:type="dxa"/>
            </w:tcMar>
            <w:vAlign w:val="center"/>
          </w:tcPr>
          <w:p w14:paraId="3284ECE6">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组织机构代码：</w:t>
            </w:r>
          </w:p>
        </w:tc>
        <w:tc>
          <w:tcPr>
            <w:tcW w:w="2732" w:type="dxa"/>
            <w:tcBorders>
              <w:top w:val="nil"/>
              <w:left w:val="nil"/>
              <w:bottom w:val="nil"/>
              <w:right w:val="nil"/>
            </w:tcBorders>
            <w:tcMar>
              <w:top w:w="0" w:type="dxa"/>
              <w:left w:w="108" w:type="dxa"/>
              <w:bottom w:w="0" w:type="dxa"/>
              <w:right w:w="567" w:type="dxa"/>
            </w:tcMar>
            <w:vAlign w:val="center"/>
          </w:tcPr>
          <w:p w14:paraId="66AFD388">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r>
      <w:tr w14:paraId="52347234">
        <w:tblPrEx>
          <w:tblCellMar>
            <w:top w:w="0" w:type="dxa"/>
            <w:left w:w="108" w:type="dxa"/>
            <w:bottom w:w="0" w:type="dxa"/>
            <w:right w:w="108" w:type="dxa"/>
          </w:tblCellMar>
        </w:tblPrEx>
        <w:trPr>
          <w:trHeight w:val="1553" w:hRule="atLeast"/>
        </w:trPr>
        <w:tc>
          <w:tcPr>
            <w:tcW w:w="2584" w:type="dxa"/>
            <w:tcBorders>
              <w:top w:val="nil"/>
              <w:left w:val="nil"/>
              <w:bottom w:val="nil"/>
              <w:right w:val="nil"/>
            </w:tcBorders>
            <w:tcMar>
              <w:top w:w="0" w:type="dxa"/>
              <w:left w:w="108" w:type="dxa"/>
              <w:bottom w:w="0" w:type="dxa"/>
              <w:right w:w="567" w:type="dxa"/>
            </w:tcMar>
            <w:vAlign w:val="center"/>
          </w:tcPr>
          <w:p w14:paraId="5EF9F55F">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地  址：</w:t>
            </w:r>
          </w:p>
        </w:tc>
        <w:tc>
          <w:tcPr>
            <w:tcW w:w="2568" w:type="dxa"/>
            <w:tcBorders>
              <w:top w:val="nil"/>
              <w:left w:val="nil"/>
              <w:bottom w:val="nil"/>
              <w:right w:val="nil"/>
            </w:tcBorders>
            <w:tcMar>
              <w:top w:w="0" w:type="dxa"/>
              <w:left w:w="108" w:type="dxa"/>
              <w:bottom w:w="0" w:type="dxa"/>
              <w:right w:w="567" w:type="dxa"/>
            </w:tcMar>
            <w:vAlign w:val="center"/>
          </w:tcPr>
          <w:p w14:paraId="69626663">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乌鲁木齐团结路1551号（中华人民共和国新疆出入境边防检查总站）</w:t>
            </w:r>
          </w:p>
        </w:tc>
        <w:tc>
          <w:tcPr>
            <w:tcW w:w="1953" w:type="dxa"/>
            <w:tcBorders>
              <w:top w:val="nil"/>
              <w:left w:val="nil"/>
              <w:bottom w:val="nil"/>
              <w:right w:val="nil"/>
            </w:tcBorders>
            <w:tcMar>
              <w:top w:w="0" w:type="dxa"/>
              <w:left w:w="108" w:type="dxa"/>
              <w:bottom w:w="0" w:type="dxa"/>
              <w:right w:w="567" w:type="dxa"/>
            </w:tcMar>
            <w:vAlign w:val="center"/>
          </w:tcPr>
          <w:p w14:paraId="63697521">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地  址：</w:t>
            </w:r>
          </w:p>
        </w:tc>
        <w:tc>
          <w:tcPr>
            <w:tcW w:w="2732" w:type="dxa"/>
            <w:tcBorders>
              <w:top w:val="nil"/>
              <w:left w:val="nil"/>
              <w:bottom w:val="nil"/>
              <w:right w:val="nil"/>
            </w:tcBorders>
            <w:tcMar>
              <w:top w:w="0" w:type="dxa"/>
              <w:left w:w="108" w:type="dxa"/>
              <w:bottom w:w="0" w:type="dxa"/>
              <w:right w:w="567" w:type="dxa"/>
            </w:tcMar>
            <w:vAlign w:val="center"/>
          </w:tcPr>
          <w:p w14:paraId="7EAFD8EE">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r>
      <w:tr w14:paraId="6850CC0A">
        <w:tblPrEx>
          <w:tblCellMar>
            <w:top w:w="0" w:type="dxa"/>
            <w:left w:w="108" w:type="dxa"/>
            <w:bottom w:w="0" w:type="dxa"/>
            <w:right w:w="108" w:type="dxa"/>
          </w:tblCellMar>
        </w:tblPrEx>
        <w:trPr>
          <w:trHeight w:val="850" w:hRule="atLeast"/>
        </w:trPr>
        <w:tc>
          <w:tcPr>
            <w:tcW w:w="2584" w:type="dxa"/>
            <w:tcBorders>
              <w:top w:val="nil"/>
              <w:left w:val="nil"/>
              <w:bottom w:val="nil"/>
              <w:right w:val="nil"/>
            </w:tcBorders>
            <w:tcMar>
              <w:top w:w="0" w:type="dxa"/>
              <w:left w:w="108" w:type="dxa"/>
              <w:bottom w:w="0" w:type="dxa"/>
              <w:right w:w="567" w:type="dxa"/>
            </w:tcMar>
            <w:vAlign w:val="center"/>
          </w:tcPr>
          <w:p w14:paraId="317F599E">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邮政编码：</w:t>
            </w:r>
          </w:p>
        </w:tc>
        <w:tc>
          <w:tcPr>
            <w:tcW w:w="2568" w:type="dxa"/>
            <w:tcBorders>
              <w:top w:val="nil"/>
              <w:left w:val="nil"/>
              <w:bottom w:val="nil"/>
              <w:right w:val="nil"/>
            </w:tcBorders>
            <w:tcMar>
              <w:top w:w="0" w:type="dxa"/>
              <w:left w:w="108" w:type="dxa"/>
              <w:bottom w:w="0" w:type="dxa"/>
              <w:right w:w="567" w:type="dxa"/>
            </w:tcMar>
            <w:vAlign w:val="center"/>
          </w:tcPr>
          <w:p w14:paraId="7BF3BBF7">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830000</w:t>
            </w:r>
          </w:p>
        </w:tc>
        <w:tc>
          <w:tcPr>
            <w:tcW w:w="1953" w:type="dxa"/>
            <w:tcBorders>
              <w:top w:val="nil"/>
              <w:left w:val="nil"/>
              <w:bottom w:val="nil"/>
              <w:right w:val="nil"/>
            </w:tcBorders>
            <w:tcMar>
              <w:top w:w="0" w:type="dxa"/>
              <w:left w:w="108" w:type="dxa"/>
              <w:bottom w:w="0" w:type="dxa"/>
              <w:right w:w="567" w:type="dxa"/>
            </w:tcMar>
            <w:vAlign w:val="center"/>
          </w:tcPr>
          <w:p w14:paraId="74461FF5">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邮政编码：</w:t>
            </w:r>
          </w:p>
        </w:tc>
        <w:tc>
          <w:tcPr>
            <w:tcW w:w="2732" w:type="dxa"/>
            <w:tcBorders>
              <w:top w:val="nil"/>
              <w:left w:val="nil"/>
              <w:bottom w:val="nil"/>
              <w:right w:val="nil"/>
            </w:tcBorders>
            <w:tcMar>
              <w:top w:w="0" w:type="dxa"/>
              <w:left w:w="108" w:type="dxa"/>
              <w:bottom w:w="0" w:type="dxa"/>
              <w:right w:w="567" w:type="dxa"/>
            </w:tcMar>
            <w:vAlign w:val="center"/>
          </w:tcPr>
          <w:p w14:paraId="28D5C288">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r>
      <w:tr w14:paraId="27333780">
        <w:tblPrEx>
          <w:tblCellMar>
            <w:top w:w="0" w:type="dxa"/>
            <w:left w:w="108" w:type="dxa"/>
            <w:bottom w:w="0" w:type="dxa"/>
            <w:right w:w="108" w:type="dxa"/>
          </w:tblCellMar>
        </w:tblPrEx>
        <w:trPr>
          <w:trHeight w:val="850" w:hRule="atLeast"/>
        </w:trPr>
        <w:tc>
          <w:tcPr>
            <w:tcW w:w="2584" w:type="dxa"/>
            <w:tcBorders>
              <w:top w:val="nil"/>
              <w:left w:val="nil"/>
              <w:bottom w:val="nil"/>
              <w:right w:val="nil"/>
            </w:tcBorders>
            <w:tcMar>
              <w:top w:w="0" w:type="dxa"/>
              <w:left w:w="108" w:type="dxa"/>
              <w:bottom w:w="0" w:type="dxa"/>
              <w:right w:w="567" w:type="dxa"/>
            </w:tcMar>
            <w:vAlign w:val="center"/>
          </w:tcPr>
          <w:p w14:paraId="29E422A9">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法定代表人或</w:t>
            </w:r>
          </w:p>
        </w:tc>
        <w:tc>
          <w:tcPr>
            <w:tcW w:w="2568" w:type="dxa"/>
            <w:tcBorders>
              <w:top w:val="nil"/>
              <w:left w:val="nil"/>
              <w:bottom w:val="nil"/>
              <w:right w:val="nil"/>
            </w:tcBorders>
            <w:tcMar>
              <w:top w:w="0" w:type="dxa"/>
              <w:left w:w="108" w:type="dxa"/>
              <w:bottom w:w="0" w:type="dxa"/>
              <w:right w:w="567" w:type="dxa"/>
            </w:tcMar>
            <w:vAlign w:val="center"/>
          </w:tcPr>
          <w:p w14:paraId="0DCD9782">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c>
          <w:tcPr>
            <w:tcW w:w="1953" w:type="dxa"/>
            <w:tcBorders>
              <w:top w:val="nil"/>
              <w:left w:val="nil"/>
              <w:bottom w:val="nil"/>
              <w:right w:val="nil"/>
            </w:tcBorders>
            <w:tcMar>
              <w:top w:w="0" w:type="dxa"/>
              <w:left w:w="108" w:type="dxa"/>
              <w:bottom w:w="0" w:type="dxa"/>
              <w:right w:w="567" w:type="dxa"/>
            </w:tcMar>
            <w:vAlign w:val="center"/>
          </w:tcPr>
          <w:p w14:paraId="41B940EA">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法定代表人：</w:t>
            </w:r>
          </w:p>
        </w:tc>
        <w:tc>
          <w:tcPr>
            <w:tcW w:w="2732" w:type="dxa"/>
            <w:tcBorders>
              <w:top w:val="nil"/>
              <w:left w:val="nil"/>
              <w:bottom w:val="nil"/>
              <w:right w:val="nil"/>
            </w:tcBorders>
            <w:tcMar>
              <w:top w:w="0" w:type="dxa"/>
              <w:left w:w="108" w:type="dxa"/>
              <w:bottom w:w="0" w:type="dxa"/>
              <w:right w:w="567" w:type="dxa"/>
            </w:tcMar>
            <w:vAlign w:val="center"/>
          </w:tcPr>
          <w:p w14:paraId="3F363C62">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r>
      <w:tr w14:paraId="79FF8371">
        <w:tblPrEx>
          <w:tblCellMar>
            <w:top w:w="0" w:type="dxa"/>
            <w:left w:w="108" w:type="dxa"/>
            <w:bottom w:w="0" w:type="dxa"/>
            <w:right w:w="108" w:type="dxa"/>
          </w:tblCellMar>
        </w:tblPrEx>
        <w:trPr>
          <w:trHeight w:val="850" w:hRule="atLeast"/>
        </w:trPr>
        <w:tc>
          <w:tcPr>
            <w:tcW w:w="2584" w:type="dxa"/>
            <w:tcBorders>
              <w:top w:val="nil"/>
              <w:left w:val="nil"/>
              <w:bottom w:val="nil"/>
              <w:right w:val="nil"/>
            </w:tcBorders>
            <w:tcMar>
              <w:top w:w="0" w:type="dxa"/>
              <w:left w:w="108" w:type="dxa"/>
              <w:bottom w:w="0" w:type="dxa"/>
              <w:right w:w="567" w:type="dxa"/>
            </w:tcMar>
            <w:vAlign w:val="center"/>
          </w:tcPr>
          <w:p w14:paraId="38A732EA">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委托代理人：</w:t>
            </w:r>
          </w:p>
        </w:tc>
        <w:tc>
          <w:tcPr>
            <w:tcW w:w="2568" w:type="dxa"/>
            <w:tcBorders>
              <w:top w:val="nil"/>
              <w:left w:val="nil"/>
              <w:bottom w:val="nil"/>
              <w:right w:val="nil"/>
            </w:tcBorders>
            <w:tcMar>
              <w:top w:w="0" w:type="dxa"/>
              <w:left w:w="108" w:type="dxa"/>
              <w:bottom w:w="0" w:type="dxa"/>
              <w:right w:w="567" w:type="dxa"/>
            </w:tcMar>
            <w:vAlign w:val="center"/>
          </w:tcPr>
          <w:p w14:paraId="04490AAF">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c>
          <w:tcPr>
            <w:tcW w:w="1953" w:type="dxa"/>
            <w:tcBorders>
              <w:top w:val="nil"/>
              <w:left w:val="nil"/>
              <w:bottom w:val="nil"/>
              <w:right w:val="nil"/>
            </w:tcBorders>
            <w:tcMar>
              <w:top w:w="0" w:type="dxa"/>
              <w:left w:w="108" w:type="dxa"/>
              <w:bottom w:w="0" w:type="dxa"/>
              <w:right w:w="567" w:type="dxa"/>
            </w:tcMar>
            <w:vAlign w:val="center"/>
          </w:tcPr>
          <w:p w14:paraId="42EA783C">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委托代理人：</w:t>
            </w:r>
          </w:p>
        </w:tc>
        <w:tc>
          <w:tcPr>
            <w:tcW w:w="2732" w:type="dxa"/>
            <w:tcBorders>
              <w:top w:val="nil"/>
              <w:left w:val="nil"/>
              <w:bottom w:val="nil"/>
              <w:right w:val="nil"/>
            </w:tcBorders>
            <w:tcMar>
              <w:top w:w="0" w:type="dxa"/>
              <w:left w:w="108" w:type="dxa"/>
              <w:bottom w:w="0" w:type="dxa"/>
              <w:right w:w="567" w:type="dxa"/>
            </w:tcMar>
            <w:vAlign w:val="center"/>
          </w:tcPr>
          <w:p w14:paraId="00598033">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r>
      <w:tr w14:paraId="7C8ED004">
        <w:tblPrEx>
          <w:tblCellMar>
            <w:top w:w="0" w:type="dxa"/>
            <w:left w:w="108" w:type="dxa"/>
            <w:bottom w:w="0" w:type="dxa"/>
            <w:right w:w="108" w:type="dxa"/>
          </w:tblCellMar>
        </w:tblPrEx>
        <w:trPr>
          <w:trHeight w:val="850" w:hRule="atLeast"/>
        </w:trPr>
        <w:tc>
          <w:tcPr>
            <w:tcW w:w="2584" w:type="dxa"/>
            <w:tcBorders>
              <w:top w:val="nil"/>
              <w:left w:val="nil"/>
              <w:bottom w:val="nil"/>
              <w:right w:val="nil"/>
            </w:tcBorders>
            <w:tcMar>
              <w:top w:w="0" w:type="dxa"/>
              <w:left w:w="108" w:type="dxa"/>
              <w:bottom w:w="0" w:type="dxa"/>
              <w:right w:w="567" w:type="dxa"/>
            </w:tcMar>
            <w:vAlign w:val="center"/>
          </w:tcPr>
          <w:p w14:paraId="3818F19E">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电  话：</w:t>
            </w:r>
          </w:p>
        </w:tc>
        <w:tc>
          <w:tcPr>
            <w:tcW w:w="2568" w:type="dxa"/>
            <w:tcBorders>
              <w:top w:val="nil"/>
              <w:left w:val="nil"/>
              <w:bottom w:val="nil"/>
              <w:right w:val="nil"/>
            </w:tcBorders>
            <w:tcMar>
              <w:top w:w="0" w:type="dxa"/>
              <w:left w:w="108" w:type="dxa"/>
              <w:bottom w:w="0" w:type="dxa"/>
              <w:right w:w="567" w:type="dxa"/>
            </w:tcMar>
            <w:vAlign w:val="center"/>
          </w:tcPr>
          <w:p w14:paraId="7EBF8540">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lang w:val="en-US" w:eastAsia="zh-CN"/>
              </w:rPr>
            </w:pPr>
            <w:r>
              <w:rPr>
                <w:rStyle w:val="34"/>
                <w:rFonts w:hint="eastAsia" w:ascii="宋体" w:hAnsi="宋体" w:eastAsia="宋体" w:cs="宋体"/>
                <w:color w:val="auto"/>
                <w:sz w:val="24"/>
                <w:szCs w:val="24"/>
                <w:highlight w:val="none"/>
                <w:lang w:val="en-US" w:eastAsia="zh-CN"/>
              </w:rPr>
              <w:t>0994-2261331</w:t>
            </w:r>
          </w:p>
        </w:tc>
        <w:tc>
          <w:tcPr>
            <w:tcW w:w="1953" w:type="dxa"/>
            <w:tcBorders>
              <w:top w:val="nil"/>
              <w:left w:val="nil"/>
              <w:bottom w:val="nil"/>
              <w:right w:val="nil"/>
            </w:tcBorders>
            <w:tcMar>
              <w:top w:w="0" w:type="dxa"/>
              <w:left w:w="108" w:type="dxa"/>
              <w:bottom w:w="0" w:type="dxa"/>
              <w:right w:w="567" w:type="dxa"/>
            </w:tcMar>
            <w:vAlign w:val="center"/>
          </w:tcPr>
          <w:p w14:paraId="34C8CD60">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电  话：</w:t>
            </w:r>
          </w:p>
        </w:tc>
        <w:tc>
          <w:tcPr>
            <w:tcW w:w="2732" w:type="dxa"/>
            <w:tcBorders>
              <w:top w:val="nil"/>
              <w:left w:val="nil"/>
              <w:bottom w:val="nil"/>
              <w:right w:val="nil"/>
            </w:tcBorders>
            <w:tcMar>
              <w:top w:w="0" w:type="dxa"/>
              <w:left w:w="108" w:type="dxa"/>
              <w:bottom w:w="0" w:type="dxa"/>
              <w:right w:w="567" w:type="dxa"/>
            </w:tcMar>
            <w:vAlign w:val="center"/>
          </w:tcPr>
          <w:p w14:paraId="678D20B7">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r>
      <w:tr w14:paraId="490083E3">
        <w:tblPrEx>
          <w:tblCellMar>
            <w:top w:w="0" w:type="dxa"/>
            <w:left w:w="108" w:type="dxa"/>
            <w:bottom w:w="0" w:type="dxa"/>
            <w:right w:w="108" w:type="dxa"/>
          </w:tblCellMar>
        </w:tblPrEx>
        <w:trPr>
          <w:trHeight w:val="850" w:hRule="atLeast"/>
        </w:trPr>
        <w:tc>
          <w:tcPr>
            <w:tcW w:w="2584" w:type="dxa"/>
            <w:tcBorders>
              <w:top w:val="nil"/>
              <w:left w:val="nil"/>
              <w:bottom w:val="nil"/>
              <w:right w:val="nil"/>
            </w:tcBorders>
            <w:tcMar>
              <w:top w:w="0" w:type="dxa"/>
              <w:left w:w="108" w:type="dxa"/>
              <w:bottom w:w="0" w:type="dxa"/>
              <w:right w:w="567" w:type="dxa"/>
            </w:tcMar>
            <w:vAlign w:val="center"/>
          </w:tcPr>
          <w:p w14:paraId="06FC6106">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传  真：</w:t>
            </w:r>
          </w:p>
        </w:tc>
        <w:tc>
          <w:tcPr>
            <w:tcW w:w="2568" w:type="dxa"/>
            <w:tcBorders>
              <w:top w:val="nil"/>
              <w:left w:val="nil"/>
              <w:bottom w:val="nil"/>
              <w:right w:val="nil"/>
            </w:tcBorders>
            <w:tcMar>
              <w:top w:w="0" w:type="dxa"/>
              <w:left w:w="108" w:type="dxa"/>
              <w:bottom w:w="0" w:type="dxa"/>
              <w:right w:w="567" w:type="dxa"/>
            </w:tcMar>
            <w:vAlign w:val="center"/>
          </w:tcPr>
          <w:p w14:paraId="73A4068B">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c>
          <w:tcPr>
            <w:tcW w:w="1953" w:type="dxa"/>
            <w:tcBorders>
              <w:top w:val="nil"/>
              <w:left w:val="nil"/>
              <w:bottom w:val="nil"/>
              <w:right w:val="nil"/>
            </w:tcBorders>
            <w:tcMar>
              <w:top w:w="0" w:type="dxa"/>
              <w:left w:w="108" w:type="dxa"/>
              <w:bottom w:w="0" w:type="dxa"/>
              <w:right w:w="567" w:type="dxa"/>
            </w:tcMar>
            <w:vAlign w:val="center"/>
          </w:tcPr>
          <w:p w14:paraId="1AB46422">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传  真：</w:t>
            </w:r>
          </w:p>
        </w:tc>
        <w:tc>
          <w:tcPr>
            <w:tcW w:w="2732" w:type="dxa"/>
            <w:tcBorders>
              <w:top w:val="nil"/>
              <w:left w:val="nil"/>
              <w:bottom w:val="nil"/>
              <w:right w:val="nil"/>
            </w:tcBorders>
            <w:tcMar>
              <w:top w:w="0" w:type="dxa"/>
              <w:left w:w="108" w:type="dxa"/>
              <w:bottom w:w="0" w:type="dxa"/>
              <w:right w:w="567" w:type="dxa"/>
            </w:tcMar>
            <w:vAlign w:val="center"/>
          </w:tcPr>
          <w:p w14:paraId="3AA8F642">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r>
      <w:tr w14:paraId="7E1248D8">
        <w:tblPrEx>
          <w:tblCellMar>
            <w:top w:w="0" w:type="dxa"/>
            <w:left w:w="108" w:type="dxa"/>
            <w:bottom w:w="0" w:type="dxa"/>
            <w:right w:w="108" w:type="dxa"/>
          </w:tblCellMar>
        </w:tblPrEx>
        <w:trPr>
          <w:trHeight w:val="850" w:hRule="atLeast"/>
        </w:trPr>
        <w:tc>
          <w:tcPr>
            <w:tcW w:w="2584" w:type="dxa"/>
            <w:tcBorders>
              <w:top w:val="nil"/>
              <w:left w:val="nil"/>
              <w:bottom w:val="nil"/>
              <w:right w:val="nil"/>
            </w:tcBorders>
            <w:tcMar>
              <w:top w:w="0" w:type="dxa"/>
              <w:left w:w="108" w:type="dxa"/>
              <w:bottom w:w="0" w:type="dxa"/>
              <w:right w:w="567" w:type="dxa"/>
            </w:tcMar>
            <w:vAlign w:val="center"/>
          </w:tcPr>
          <w:p w14:paraId="1F1AE14F">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电子信箱：</w:t>
            </w:r>
          </w:p>
        </w:tc>
        <w:tc>
          <w:tcPr>
            <w:tcW w:w="2568" w:type="dxa"/>
            <w:tcBorders>
              <w:top w:val="nil"/>
              <w:left w:val="nil"/>
              <w:bottom w:val="nil"/>
              <w:right w:val="nil"/>
            </w:tcBorders>
            <w:tcMar>
              <w:top w:w="0" w:type="dxa"/>
              <w:left w:w="108" w:type="dxa"/>
              <w:bottom w:w="0" w:type="dxa"/>
              <w:right w:w="567" w:type="dxa"/>
            </w:tcMar>
            <w:vAlign w:val="center"/>
          </w:tcPr>
          <w:p w14:paraId="1952AF7F">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c>
          <w:tcPr>
            <w:tcW w:w="1953" w:type="dxa"/>
            <w:tcBorders>
              <w:top w:val="nil"/>
              <w:left w:val="nil"/>
              <w:bottom w:val="nil"/>
              <w:right w:val="nil"/>
            </w:tcBorders>
            <w:tcMar>
              <w:top w:w="0" w:type="dxa"/>
              <w:left w:w="108" w:type="dxa"/>
              <w:bottom w:w="0" w:type="dxa"/>
              <w:right w:w="567" w:type="dxa"/>
            </w:tcMar>
            <w:vAlign w:val="center"/>
          </w:tcPr>
          <w:p w14:paraId="0AE18002">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电子信箱：</w:t>
            </w:r>
          </w:p>
        </w:tc>
        <w:tc>
          <w:tcPr>
            <w:tcW w:w="2732" w:type="dxa"/>
            <w:tcBorders>
              <w:top w:val="nil"/>
              <w:left w:val="nil"/>
              <w:bottom w:val="nil"/>
              <w:right w:val="nil"/>
            </w:tcBorders>
            <w:tcMar>
              <w:top w:w="0" w:type="dxa"/>
              <w:left w:w="108" w:type="dxa"/>
              <w:bottom w:w="0" w:type="dxa"/>
              <w:right w:w="567" w:type="dxa"/>
            </w:tcMar>
            <w:vAlign w:val="center"/>
          </w:tcPr>
          <w:p w14:paraId="38B7B68B">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r>
      <w:tr w14:paraId="707D1E2A">
        <w:tblPrEx>
          <w:tblCellMar>
            <w:top w:w="0" w:type="dxa"/>
            <w:left w:w="108" w:type="dxa"/>
            <w:bottom w:w="0" w:type="dxa"/>
            <w:right w:w="108" w:type="dxa"/>
          </w:tblCellMar>
        </w:tblPrEx>
        <w:trPr>
          <w:trHeight w:val="850" w:hRule="atLeast"/>
        </w:trPr>
        <w:tc>
          <w:tcPr>
            <w:tcW w:w="2584" w:type="dxa"/>
            <w:tcBorders>
              <w:top w:val="nil"/>
              <w:left w:val="nil"/>
              <w:bottom w:val="nil"/>
              <w:right w:val="nil"/>
            </w:tcBorders>
            <w:tcMar>
              <w:top w:w="0" w:type="dxa"/>
              <w:left w:w="108" w:type="dxa"/>
              <w:bottom w:w="0" w:type="dxa"/>
              <w:right w:w="567" w:type="dxa"/>
            </w:tcMar>
            <w:vAlign w:val="center"/>
          </w:tcPr>
          <w:p w14:paraId="05F71F0C">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开户银行：</w:t>
            </w:r>
          </w:p>
        </w:tc>
        <w:tc>
          <w:tcPr>
            <w:tcW w:w="2568" w:type="dxa"/>
            <w:tcBorders>
              <w:top w:val="nil"/>
              <w:left w:val="nil"/>
              <w:bottom w:val="nil"/>
              <w:right w:val="nil"/>
            </w:tcBorders>
            <w:tcMar>
              <w:top w:w="0" w:type="dxa"/>
              <w:left w:w="108" w:type="dxa"/>
              <w:bottom w:w="0" w:type="dxa"/>
              <w:right w:w="567" w:type="dxa"/>
            </w:tcMar>
            <w:vAlign w:val="center"/>
          </w:tcPr>
          <w:p w14:paraId="1DDF3EB3">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c>
          <w:tcPr>
            <w:tcW w:w="1953" w:type="dxa"/>
            <w:tcBorders>
              <w:top w:val="nil"/>
              <w:left w:val="nil"/>
              <w:bottom w:val="nil"/>
              <w:right w:val="nil"/>
            </w:tcBorders>
            <w:tcMar>
              <w:top w:w="0" w:type="dxa"/>
              <w:left w:w="108" w:type="dxa"/>
              <w:bottom w:w="0" w:type="dxa"/>
              <w:right w:w="567" w:type="dxa"/>
            </w:tcMar>
            <w:vAlign w:val="center"/>
          </w:tcPr>
          <w:p w14:paraId="5C0AA750">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开户银行：</w:t>
            </w:r>
          </w:p>
        </w:tc>
        <w:tc>
          <w:tcPr>
            <w:tcW w:w="2732" w:type="dxa"/>
            <w:tcBorders>
              <w:top w:val="nil"/>
              <w:left w:val="nil"/>
              <w:bottom w:val="nil"/>
              <w:right w:val="nil"/>
            </w:tcBorders>
            <w:tcMar>
              <w:top w:w="0" w:type="dxa"/>
              <w:left w:w="108" w:type="dxa"/>
              <w:bottom w:w="0" w:type="dxa"/>
              <w:right w:w="567" w:type="dxa"/>
            </w:tcMar>
            <w:vAlign w:val="center"/>
          </w:tcPr>
          <w:p w14:paraId="31D98BC7">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r>
      <w:tr w14:paraId="15137AFD">
        <w:tblPrEx>
          <w:tblCellMar>
            <w:top w:w="0" w:type="dxa"/>
            <w:left w:w="108" w:type="dxa"/>
            <w:bottom w:w="0" w:type="dxa"/>
            <w:right w:w="108" w:type="dxa"/>
          </w:tblCellMar>
        </w:tblPrEx>
        <w:trPr>
          <w:trHeight w:val="850" w:hRule="atLeast"/>
        </w:trPr>
        <w:tc>
          <w:tcPr>
            <w:tcW w:w="2584" w:type="dxa"/>
            <w:tcBorders>
              <w:top w:val="nil"/>
              <w:left w:val="nil"/>
              <w:bottom w:val="nil"/>
              <w:right w:val="nil"/>
            </w:tcBorders>
            <w:tcMar>
              <w:top w:w="0" w:type="dxa"/>
              <w:left w:w="108" w:type="dxa"/>
              <w:bottom w:w="0" w:type="dxa"/>
              <w:right w:w="567" w:type="dxa"/>
            </w:tcMar>
            <w:vAlign w:val="center"/>
          </w:tcPr>
          <w:p w14:paraId="27AAA99A">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账  号：</w:t>
            </w:r>
          </w:p>
        </w:tc>
        <w:tc>
          <w:tcPr>
            <w:tcW w:w="2568" w:type="dxa"/>
            <w:tcBorders>
              <w:top w:val="nil"/>
              <w:left w:val="nil"/>
              <w:bottom w:val="nil"/>
              <w:right w:val="nil"/>
            </w:tcBorders>
            <w:tcMar>
              <w:top w:w="0" w:type="dxa"/>
              <w:left w:w="108" w:type="dxa"/>
              <w:bottom w:w="0" w:type="dxa"/>
              <w:right w:w="567" w:type="dxa"/>
            </w:tcMar>
            <w:vAlign w:val="center"/>
          </w:tcPr>
          <w:p w14:paraId="79149B1C">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c>
          <w:tcPr>
            <w:tcW w:w="1953" w:type="dxa"/>
            <w:tcBorders>
              <w:top w:val="nil"/>
              <w:left w:val="nil"/>
              <w:bottom w:val="nil"/>
              <w:right w:val="nil"/>
            </w:tcBorders>
            <w:tcMar>
              <w:top w:w="0" w:type="dxa"/>
              <w:left w:w="108" w:type="dxa"/>
              <w:bottom w:w="0" w:type="dxa"/>
              <w:right w:w="567" w:type="dxa"/>
            </w:tcMar>
            <w:vAlign w:val="center"/>
          </w:tcPr>
          <w:p w14:paraId="49348F63">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r>
              <w:rPr>
                <w:rStyle w:val="34"/>
                <w:rFonts w:hint="eastAsia" w:ascii="宋体" w:hAnsi="宋体" w:eastAsia="宋体" w:cs="宋体"/>
                <w:color w:val="auto"/>
                <w:sz w:val="24"/>
                <w:szCs w:val="24"/>
                <w:highlight w:val="none"/>
              </w:rPr>
              <w:t>账  号：</w:t>
            </w:r>
          </w:p>
        </w:tc>
        <w:tc>
          <w:tcPr>
            <w:tcW w:w="2732" w:type="dxa"/>
            <w:tcBorders>
              <w:top w:val="nil"/>
              <w:left w:val="nil"/>
              <w:bottom w:val="nil"/>
              <w:right w:val="nil"/>
            </w:tcBorders>
            <w:tcMar>
              <w:top w:w="0" w:type="dxa"/>
              <w:left w:w="108" w:type="dxa"/>
              <w:bottom w:w="0" w:type="dxa"/>
              <w:right w:w="567" w:type="dxa"/>
            </w:tcMar>
            <w:vAlign w:val="center"/>
          </w:tcPr>
          <w:p w14:paraId="5C9DA753">
            <w:pPr>
              <w:pStyle w:val="33"/>
              <w:keepNext w:val="0"/>
              <w:keepLines w:val="0"/>
              <w:pageBreakBefore w:val="0"/>
              <w:widowControl w:val="0"/>
              <w:kinsoku/>
              <w:wordWrap/>
              <w:overflowPunct/>
              <w:topLinePunct w:val="0"/>
              <w:autoSpaceDE/>
              <w:autoSpaceDN/>
              <w:bidi w:val="0"/>
              <w:adjustRightInd/>
              <w:snapToGrid/>
              <w:spacing w:line="240" w:lineRule="auto"/>
              <w:jc w:val="both"/>
              <w:textAlignment w:val="auto"/>
              <w:rPr>
                <w:rStyle w:val="34"/>
                <w:rFonts w:hint="eastAsia" w:ascii="宋体" w:hAnsi="宋体" w:eastAsia="宋体" w:cs="宋体"/>
                <w:color w:val="auto"/>
                <w:sz w:val="24"/>
                <w:szCs w:val="24"/>
                <w:highlight w:val="none"/>
              </w:rPr>
            </w:pPr>
          </w:p>
        </w:tc>
      </w:tr>
    </w:tbl>
    <w:p w14:paraId="1EB774DE">
      <w:p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br w:type="page"/>
      </w:r>
    </w:p>
    <w:p w14:paraId="691066C9">
      <w:pPr>
        <w:keepNext w:val="0"/>
        <w:keepLines w:val="0"/>
        <w:widowControl/>
        <w:suppressLineNumbers w:val="0"/>
        <w:jc w:val="center"/>
        <w:outlineLvl w:val="1"/>
        <w:rPr>
          <w:color w:val="auto"/>
          <w:highlight w:val="none"/>
        </w:rPr>
      </w:pPr>
      <w:bookmarkStart w:id="28" w:name="_Toc12486"/>
      <w:r>
        <w:rPr>
          <w:rFonts w:hint="eastAsia" w:ascii="宋体" w:hAnsi="宋体" w:eastAsia="宋体" w:cs="宋体"/>
          <w:b/>
          <w:bCs/>
          <w:color w:val="auto"/>
          <w:kern w:val="0"/>
          <w:sz w:val="24"/>
          <w:szCs w:val="24"/>
          <w:highlight w:val="none"/>
          <w:lang w:val="en-US" w:eastAsia="zh-CN" w:bidi="ar"/>
        </w:rPr>
        <w:t>第二部分 合同一般条款</w:t>
      </w:r>
      <w:bookmarkEnd w:id="28"/>
    </w:p>
    <w:p w14:paraId="7EC6398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2.1 定义</w:t>
      </w:r>
    </w:p>
    <w:p w14:paraId="5B5B10D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本合同中的下列词语应按以下内容进行解释：</w:t>
      </w:r>
    </w:p>
    <w:p w14:paraId="52134F4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2.1.1 “合同”系指采购人和成交供应商签订的载明双方当事人所达成的协议，并包括所有的附件、附录和构成合同的其他文件。</w:t>
      </w:r>
    </w:p>
    <w:p w14:paraId="14771F8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2.1.2 “合同价”系指根据合同约定，成交供应商在完全履行合同义务后，采购人应支付给成交供应商的价格。</w:t>
      </w:r>
    </w:p>
    <w:p w14:paraId="78DEE7D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2.1.3 “服务”系指成交供应商根据合同约定应向采购人履行的除货物和工程以外的其他政府采购对象，包括采购人自身需要的服务和向社会公众提供的公共服务。</w:t>
      </w:r>
    </w:p>
    <w:p w14:paraId="6BF53F8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2.1.4 “甲方”系指与成交供应商签署合同的采购人；采购人委托采购代理机构代表其与乙方签订合同的，采购人的授权委托书作为合同附件。</w:t>
      </w:r>
    </w:p>
    <w:p w14:paraId="71F3C9F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2.1.5 “乙方”系指根据合同约定提供服务的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11CA208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2.1.6 “现场”系指合同约定提供服务的地点。</w:t>
      </w:r>
    </w:p>
    <w:p w14:paraId="2A48BBD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2.2 技术规范</w:t>
      </w:r>
    </w:p>
    <w:p w14:paraId="1565E1E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val="en-US" w:eastAsia="zh-CN"/>
        </w:rPr>
        <w:t>所</w:t>
      </w:r>
      <w:r>
        <w:rPr>
          <w:rFonts w:hint="default" w:ascii="宋体" w:hAnsi="宋体" w:eastAsia="宋体" w:cs="宋体"/>
          <w:color w:val="auto"/>
          <w:sz w:val="24"/>
          <w:szCs w:val="24"/>
          <w:highlight w:val="none"/>
          <w:lang w:val="en-US" w:eastAsia="zh-CN"/>
        </w:rPr>
        <w:t>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4B1CED4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2.3 知识产权</w:t>
      </w:r>
    </w:p>
    <w:p w14:paraId="6DC2A39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1928A8F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2.3.2 合同涉及技术成果的归属和收益的分成办法的，详见</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w:t>
      </w:r>
    </w:p>
    <w:p w14:paraId="2EB0CBA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2.4 履约检查和问题反馈</w:t>
      </w:r>
    </w:p>
    <w:p w14:paraId="6D99E02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2.4.1 甲方有权在其认为必要时，对乙方是否能够按照合同约定提供服务进行履约检查，以确保乙方所提供的服务能够依约满足甲方之项目需求，但不得因履约检查妨碍乙方的正常工作，乙方应予积极配合；</w:t>
      </w:r>
    </w:p>
    <w:p w14:paraId="55031C9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2.4.2 合同履行期间，甲方有权将履行过程中出现的问题反馈给乙方，双方当事人应以书面形式约定需要完善和改进的内容。</w:t>
      </w:r>
    </w:p>
    <w:p w14:paraId="10720C4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2.5 结算方式和付款条件</w:t>
      </w:r>
    </w:p>
    <w:p w14:paraId="34498E8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详见</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w:t>
      </w:r>
    </w:p>
    <w:p w14:paraId="26276BA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2.6 技术资料和保密义务</w:t>
      </w:r>
    </w:p>
    <w:p w14:paraId="5B791B1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2.6.1 乙方有权依据合同约定和项目需要，向甲方了解有关情况，调阅有关资料等，甲方应予积极配合；</w:t>
      </w:r>
    </w:p>
    <w:p w14:paraId="78EC083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2.6.2 乙方有义务妥善保管和保护由甲方提供的前款信息和资料等；</w:t>
      </w:r>
    </w:p>
    <w:p w14:paraId="15A2C56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07CD447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2.7 质量保证</w:t>
      </w:r>
    </w:p>
    <w:p w14:paraId="75114EA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2.7.1 乙方应建立和完善履行合同的内部质量保证体系，并提供相关内部规章制度给甲方，以便甲方进行监督检查；</w:t>
      </w:r>
    </w:p>
    <w:p w14:paraId="3543811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2.7.2 乙方应保证履行合同的人员数量和素质、软件和硬件设备的配置、场地、环境和设施等满足全面履行合同的要求，并应接受甲方的监督检查。</w:t>
      </w:r>
    </w:p>
    <w:p w14:paraId="25059AF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2.8 延迟履行</w:t>
      </w:r>
    </w:p>
    <w:p w14:paraId="693D96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40AA5C9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2.9 合同变更</w:t>
      </w:r>
    </w:p>
    <w:p w14:paraId="3C4AEC2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合同继续履行将损害国家利益和社会公共利益的，双方当事人应当以书面形式变更合同。有过错的一方应当承担赔偿责任，双方当事人都有过错的，各自承担相应的责任。</w:t>
      </w:r>
    </w:p>
    <w:p w14:paraId="05595CD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2.10 合同转让和分包</w:t>
      </w:r>
    </w:p>
    <w:p w14:paraId="1942AED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2CED56D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2.11 不可抗力</w:t>
      </w:r>
    </w:p>
    <w:p w14:paraId="65BDA60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2.11.1 如果任何一方遭遇法律规定的不可抗力，致使合同履行受阻时，履行合同的期限应予延长，延长的期限应相当于不可抗力所影响的时间；</w:t>
      </w:r>
    </w:p>
    <w:p w14:paraId="0828F93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2.11.2 因不可抗力致使不能实现合同目的的，当事人可以解除合同；</w:t>
      </w:r>
    </w:p>
    <w:p w14:paraId="779B44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2.11.3 因不可抗力致使合同有变更必要的，双方当事人应在</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约定时间内以书面形式变更合同；</w:t>
      </w:r>
    </w:p>
    <w:p w14:paraId="7A72A00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2.11.4 受不可抗力影响的一方在不可抗力发生后，应在</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约定时间内以书面形式通知对方当事人，并在</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约定时间内，将有关部门出具的证明文件送达对方当事人。</w:t>
      </w:r>
    </w:p>
    <w:p w14:paraId="1AA25E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2.12 税费</w:t>
      </w:r>
    </w:p>
    <w:p w14:paraId="194B01E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与合同有关的一切税费，均按照中华人民共和国法律的相关规定缴纳。</w:t>
      </w:r>
    </w:p>
    <w:p w14:paraId="19575EF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2.13 乙方破产</w:t>
      </w:r>
    </w:p>
    <w:p w14:paraId="284A470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0A7FE7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2.14 合同中止、终止</w:t>
      </w:r>
    </w:p>
    <w:p w14:paraId="0B6BDA3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2.14.1 双方当事人不得擅自中止或者终止合同；</w:t>
      </w:r>
    </w:p>
    <w:p w14:paraId="205C735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2.14.2 合同继续履行将损害国家利益和社会公共利益的，双方当事人应当中止或者终止合同。有过错的一方应当承担赔偿责任，双方当事人都有过错的，各自承担相应的责任。</w:t>
      </w:r>
    </w:p>
    <w:p w14:paraId="6EF5472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2.15 检验和验收</w:t>
      </w:r>
    </w:p>
    <w:p w14:paraId="55CBAF8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2.15.1 乙方按照</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的约定，定期提交服务报告，甲方按照</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的约定进行定期验收；</w:t>
      </w:r>
    </w:p>
    <w:p w14:paraId="144C87E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31D421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2.15.3 检验和验收标准、程序等具体内容以及前述验收书的效力详见</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w:t>
      </w:r>
    </w:p>
    <w:p w14:paraId="3516B4B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2.16 通知和送达</w:t>
      </w:r>
    </w:p>
    <w:p w14:paraId="5899645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2.17.1 任何一方因履行合同而以合同第一部分尾部所列明的传真或电子邮件发出的所有通知、文件、材料，均视为已向对方当事人送达；任何一方变更上述送达方式或者地址的，应于 3 个工作日内书面通知对方当事人，在对方当事人收到有关变更通知之前，变更前的约定送达方式或者地址仍视为有效。</w:t>
      </w:r>
    </w:p>
    <w:p w14:paraId="3DB46EE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2.17.2 以当面交付方式送达的，交付之时视为送达；以电子邮件方式送达的，发出电子邮件之时视为送达；以传真方式送达的，发出传真之时视为送达；以邮寄方式送达的，邮件挂号寄出或者交邮之日之次日视为送达。</w:t>
      </w:r>
    </w:p>
    <w:p w14:paraId="0CB7ABF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2.17 合同使用的文字和适用的法律</w:t>
      </w:r>
    </w:p>
    <w:p w14:paraId="708D468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2.17.1 合同使用汉语</w:t>
      </w:r>
      <w:r>
        <w:rPr>
          <w:rFonts w:hint="eastAsia" w:ascii="宋体" w:hAnsi="宋体" w:eastAsia="宋体" w:cs="宋体"/>
          <w:color w:val="auto"/>
          <w:sz w:val="24"/>
          <w:szCs w:val="24"/>
          <w:highlight w:val="none"/>
          <w:lang w:val="en-US" w:eastAsia="zh-CN"/>
        </w:rPr>
        <w:t>书写</w:t>
      </w:r>
      <w:r>
        <w:rPr>
          <w:rFonts w:hint="default" w:ascii="宋体" w:hAnsi="宋体" w:eastAsia="宋体" w:cs="宋体"/>
          <w:color w:val="auto"/>
          <w:sz w:val="24"/>
          <w:szCs w:val="24"/>
          <w:highlight w:val="none"/>
          <w:lang w:val="en-US" w:eastAsia="zh-CN"/>
        </w:rPr>
        <w:t>、变更和解释；</w:t>
      </w:r>
    </w:p>
    <w:p w14:paraId="4090902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2.17.2 合同适用中华人民共和国法律</w:t>
      </w:r>
    </w:p>
    <w:p w14:paraId="49806D9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2.18 计量单位</w:t>
      </w:r>
    </w:p>
    <w:p w14:paraId="1C2DB3F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除技术规范中另有规定外</w:t>
      </w:r>
      <w:r>
        <w:rPr>
          <w:rFonts w:hint="eastAsia" w:ascii="宋体" w:hAnsi="宋体" w:eastAsia="宋体"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合同的计量单位均使用国家法定计量单位。</w:t>
      </w:r>
    </w:p>
    <w:p w14:paraId="67AD9C0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2" w:firstLineChars="200"/>
        <w:jc w:val="left"/>
        <w:textAlignment w:val="auto"/>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2.19 合同份数</w:t>
      </w:r>
    </w:p>
    <w:p w14:paraId="6EF5D53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合同份数按</w:t>
      </w:r>
      <w:r>
        <w:rPr>
          <w:rFonts w:hint="default" w:ascii="宋体" w:hAnsi="宋体" w:eastAsia="宋体" w:cs="宋体"/>
          <w:i/>
          <w:iCs/>
          <w:color w:val="auto"/>
          <w:sz w:val="24"/>
          <w:szCs w:val="24"/>
          <w:highlight w:val="none"/>
          <w:u w:val="single"/>
          <w:lang w:val="en-US" w:eastAsia="zh-CN"/>
        </w:rPr>
        <w:t>合同专用条款</w:t>
      </w:r>
      <w:r>
        <w:rPr>
          <w:rFonts w:hint="default" w:ascii="宋体" w:hAnsi="宋体" w:eastAsia="宋体" w:cs="宋体"/>
          <w:color w:val="auto"/>
          <w:sz w:val="24"/>
          <w:szCs w:val="24"/>
          <w:highlight w:val="none"/>
          <w:lang w:val="en-US" w:eastAsia="zh-CN"/>
        </w:rPr>
        <w:t>规定，每份均具有同等法律效力。</w:t>
      </w:r>
    </w:p>
    <w:p w14:paraId="6E121AC3">
      <w:p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br w:type="page"/>
      </w:r>
    </w:p>
    <w:p w14:paraId="76FF4549">
      <w:pPr>
        <w:keepNext w:val="0"/>
        <w:keepLines w:val="0"/>
        <w:widowControl/>
        <w:suppressLineNumbers w:val="0"/>
        <w:jc w:val="center"/>
        <w:outlineLvl w:val="1"/>
        <w:rPr>
          <w:rFonts w:hint="default" w:ascii="宋体" w:hAnsi="宋体" w:eastAsia="宋体" w:cs="宋体"/>
          <w:b/>
          <w:bCs/>
          <w:color w:val="auto"/>
          <w:kern w:val="0"/>
          <w:sz w:val="24"/>
          <w:szCs w:val="24"/>
          <w:highlight w:val="none"/>
          <w:lang w:val="en-US" w:eastAsia="zh-CN" w:bidi="ar"/>
        </w:rPr>
      </w:pPr>
      <w:bookmarkStart w:id="29" w:name="_Toc18139"/>
      <w:r>
        <w:rPr>
          <w:rFonts w:hint="default" w:ascii="宋体" w:hAnsi="宋体" w:eastAsia="宋体" w:cs="宋体"/>
          <w:b/>
          <w:bCs/>
          <w:color w:val="auto"/>
          <w:kern w:val="0"/>
          <w:sz w:val="24"/>
          <w:szCs w:val="24"/>
          <w:highlight w:val="none"/>
          <w:lang w:val="en-US" w:eastAsia="zh-CN" w:bidi="ar"/>
        </w:rPr>
        <w:t>第三部分 合同专用条款</w:t>
      </w:r>
      <w:bookmarkEnd w:id="29"/>
    </w:p>
    <w:p w14:paraId="261583E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9011"/>
      </w:tblGrid>
      <w:tr w14:paraId="216A5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2B334C1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条款号</w:t>
            </w:r>
          </w:p>
        </w:tc>
        <w:tc>
          <w:tcPr>
            <w:tcW w:w="9011" w:type="dxa"/>
          </w:tcPr>
          <w:p w14:paraId="357432A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约定内容</w:t>
            </w:r>
          </w:p>
        </w:tc>
      </w:tr>
      <w:tr w14:paraId="229F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2CCD298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1.5.1</w:t>
            </w:r>
          </w:p>
        </w:tc>
        <w:tc>
          <w:tcPr>
            <w:tcW w:w="9011" w:type="dxa"/>
          </w:tcPr>
          <w:p w14:paraId="63B3924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预付款比例、支付方式、时间</w:t>
            </w:r>
            <w:r>
              <w:rPr>
                <w:rFonts w:hint="eastAsia" w:ascii="宋体" w:hAnsi="宋体" w:eastAsia="宋体" w:cs="宋体"/>
                <w:color w:val="auto"/>
                <w:sz w:val="24"/>
                <w:szCs w:val="24"/>
                <w:highlight w:val="none"/>
                <w:lang w:val="en-US" w:eastAsia="zh-CN"/>
              </w:rPr>
              <w:t>：无</w:t>
            </w:r>
          </w:p>
        </w:tc>
      </w:tr>
      <w:tr w14:paraId="5306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350C99F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1.5.2</w:t>
            </w:r>
          </w:p>
        </w:tc>
        <w:tc>
          <w:tcPr>
            <w:tcW w:w="9011" w:type="dxa"/>
          </w:tcPr>
          <w:p w14:paraId="21BFB5E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预付款的扣回方式</w:t>
            </w:r>
            <w:r>
              <w:rPr>
                <w:rFonts w:hint="eastAsia" w:ascii="宋体" w:hAnsi="宋体" w:eastAsia="宋体" w:cs="宋体"/>
                <w:color w:val="auto"/>
                <w:sz w:val="24"/>
                <w:szCs w:val="24"/>
                <w:highlight w:val="none"/>
                <w:lang w:val="en-US" w:eastAsia="zh-CN"/>
              </w:rPr>
              <w:t>：无</w:t>
            </w:r>
          </w:p>
        </w:tc>
      </w:tr>
      <w:tr w14:paraId="4DE8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59BD47F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1.5.3</w:t>
            </w:r>
          </w:p>
        </w:tc>
        <w:tc>
          <w:tcPr>
            <w:tcW w:w="9011" w:type="dxa"/>
          </w:tcPr>
          <w:p w14:paraId="455EAE4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预付款的担保措施</w:t>
            </w:r>
            <w:r>
              <w:rPr>
                <w:rFonts w:hint="eastAsia" w:ascii="宋体" w:hAnsi="宋体" w:eastAsia="宋体" w:cs="宋体"/>
                <w:color w:val="auto"/>
                <w:sz w:val="24"/>
                <w:szCs w:val="24"/>
                <w:highlight w:val="none"/>
                <w:lang w:val="en-US" w:eastAsia="zh-CN"/>
              </w:rPr>
              <w:t>：无</w:t>
            </w:r>
          </w:p>
        </w:tc>
      </w:tr>
      <w:tr w14:paraId="4A153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4D1BFB1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1.6.2</w:t>
            </w:r>
          </w:p>
        </w:tc>
        <w:tc>
          <w:tcPr>
            <w:tcW w:w="9011" w:type="dxa"/>
          </w:tcPr>
          <w:p w14:paraId="5BC127F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lang w:val="en-US" w:eastAsia="zh-CN"/>
              </w:rPr>
              <w:t>资金支付的方式、时间和条件：完成项目入库评审30日内支付70%进度款，完成绩效监控复核和绩效自评复核，经验收合格后30日内支付30%尾款。</w:t>
            </w:r>
          </w:p>
        </w:tc>
      </w:tr>
      <w:tr w14:paraId="5072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3659F7D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1.7.1</w:t>
            </w:r>
          </w:p>
        </w:tc>
        <w:tc>
          <w:tcPr>
            <w:tcW w:w="9011" w:type="dxa"/>
          </w:tcPr>
          <w:p w14:paraId="53BD1EA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服务交付（实施）的时间（期限）：</w:t>
            </w:r>
            <w:r>
              <w:rPr>
                <w:rFonts w:hint="eastAsia" w:ascii="宋体" w:hAnsi="宋体" w:eastAsia="宋体" w:cs="宋体"/>
                <w:color w:val="auto"/>
                <w:sz w:val="24"/>
                <w:szCs w:val="24"/>
                <w:highlight w:val="none"/>
                <w:lang w:val="en-US" w:eastAsia="zh-CN"/>
              </w:rPr>
              <w:t>自合同签订之日起1年。</w:t>
            </w:r>
          </w:p>
        </w:tc>
      </w:tr>
      <w:tr w14:paraId="10939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709C0E7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1.7.2</w:t>
            </w:r>
          </w:p>
        </w:tc>
        <w:tc>
          <w:tcPr>
            <w:tcW w:w="9011" w:type="dxa"/>
          </w:tcPr>
          <w:p w14:paraId="11A7FFB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服务交付（实施）的地点（地域范围）：乌鲁木齐市团结路1551号新疆出入境边防检查总站</w:t>
            </w:r>
            <w:r>
              <w:rPr>
                <w:rFonts w:hint="eastAsia" w:ascii="宋体" w:hAnsi="宋体" w:eastAsia="宋体" w:cs="宋体"/>
                <w:color w:val="auto"/>
                <w:sz w:val="24"/>
                <w:szCs w:val="24"/>
                <w:highlight w:val="none"/>
                <w:lang w:val="en-US" w:eastAsia="zh-CN"/>
              </w:rPr>
              <w:t>。</w:t>
            </w:r>
          </w:p>
        </w:tc>
      </w:tr>
      <w:tr w14:paraId="050D2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119C1D4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1.7.3</w:t>
            </w:r>
          </w:p>
        </w:tc>
        <w:tc>
          <w:tcPr>
            <w:tcW w:w="9011" w:type="dxa"/>
          </w:tcPr>
          <w:p w14:paraId="10B7B10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服务交付（实施）的方式：（1）项目入库评审：2026年5月31日前完成预算评审、绩效目标审核等工作，并提交相关成果报告（具体完成时间按照财政部要求相应调整）。</w:t>
            </w:r>
          </w:p>
          <w:p w14:paraId="5C76788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（2）绩效监控复核：2026年8月31日前完成绩效监控复核工作，并提交相关成果资料（具体完成时间按照财政部要求相应调整）。</w:t>
            </w:r>
          </w:p>
          <w:p w14:paraId="2572667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（3）绩效自评复核。2027年3月31日前完成自评资料复核工作，并提交相关成果报告（具体完成时间按照财政部要求相应调整）。</w:t>
            </w:r>
          </w:p>
          <w:p w14:paraId="0159DED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（4）其他咨询工作：结合我总站预算绩效管理实际需求，提供AI在预算编报审核、绩效管理及其他相关功能支持提供至合同履行结束。</w:t>
            </w:r>
          </w:p>
        </w:tc>
      </w:tr>
      <w:tr w14:paraId="3457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700479C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1.8.7</w:t>
            </w:r>
          </w:p>
        </w:tc>
        <w:tc>
          <w:tcPr>
            <w:tcW w:w="9011" w:type="dxa"/>
          </w:tcPr>
          <w:p w14:paraId="0000301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违约责任</w:t>
            </w:r>
            <w:r>
              <w:rPr>
                <w:rFonts w:hint="eastAsia" w:ascii="宋体" w:hAnsi="宋体" w:eastAsia="宋体" w:cs="宋体"/>
                <w:color w:val="auto"/>
                <w:sz w:val="24"/>
                <w:szCs w:val="24"/>
                <w:highlight w:val="none"/>
                <w:lang w:val="en-US" w:eastAsia="zh-CN"/>
              </w:rPr>
              <w:t>：如在采购活动中乙方出现损害国家利益和社会公共利益的情形，应当终止合同和履约程序，由过错方承担相关责任。</w:t>
            </w:r>
            <w:r>
              <w:rPr>
                <w:rFonts w:hint="eastAsia" w:ascii="宋体" w:hAnsi="宋体" w:eastAsia="宋体" w:cs="宋体"/>
                <w:color w:val="auto"/>
                <w:sz w:val="24"/>
                <w:u w:val="none"/>
              </w:rPr>
              <w:t>①</w:t>
            </w:r>
            <w:r>
              <w:rPr>
                <w:rFonts w:hint="eastAsia" w:ascii="宋体" w:hAnsi="宋体" w:eastAsia="宋体" w:cs="宋体"/>
                <w:color w:val="auto"/>
                <w:spacing w:val="-4"/>
                <w:sz w:val="24"/>
                <w:szCs w:val="20"/>
                <w:u w:val="none"/>
              </w:rPr>
              <w:t>乙方提供的服务不符合合同约定、甲方要求的，乙方应当在甲方要求的期限内进行整改，乙方逾期完成整改或整改后仍不符合要求的，乙方应当向甲方支付</w:t>
            </w:r>
            <w:r>
              <w:rPr>
                <w:rFonts w:hint="eastAsia" w:ascii="宋体" w:hAnsi="宋体" w:eastAsia="宋体" w:cs="宋体"/>
                <w:color w:val="auto"/>
                <w:spacing w:val="-4"/>
                <w:sz w:val="24"/>
                <w:szCs w:val="20"/>
                <w:u w:val="none"/>
                <w:lang w:val="en-US" w:eastAsia="zh-CN"/>
              </w:rPr>
              <w:t>合同金额20%</w:t>
            </w:r>
            <w:r>
              <w:rPr>
                <w:rFonts w:hint="eastAsia" w:ascii="宋体" w:hAnsi="宋体" w:eastAsia="宋体" w:cs="宋体"/>
                <w:color w:val="auto"/>
                <w:spacing w:val="-4"/>
                <w:sz w:val="24"/>
                <w:szCs w:val="20"/>
                <w:u w:val="none"/>
              </w:rPr>
              <w:t>违约金，同时，甲方有权解除本合同，乙方应当返还甲方已支付的全部款项</w:t>
            </w:r>
            <w:r>
              <w:rPr>
                <w:rFonts w:hint="eastAsia" w:ascii="宋体" w:hAnsi="宋体" w:eastAsia="宋体" w:cs="宋体"/>
                <w:color w:val="auto"/>
                <w:sz w:val="24"/>
                <w:u w:val="none"/>
              </w:rPr>
              <w:t>。②</w:t>
            </w:r>
            <w:r>
              <w:rPr>
                <w:rFonts w:hint="eastAsia" w:ascii="宋体" w:hAnsi="宋体" w:eastAsia="宋体" w:cs="宋体"/>
                <w:color w:val="auto"/>
                <w:spacing w:val="-4"/>
                <w:sz w:val="24"/>
                <w:szCs w:val="20"/>
                <w:u w:val="none"/>
              </w:rPr>
              <w:t>乙方违反本合同约定，给甲方造成损失的，应当赔偿甲方的全部损失。本条所称损失包括但不限于：直接损失，间接损失，甲方因此受到的处罚以及因此受到的损失，甲方向第三方承担的违约责任、赔偿责任，实现债权的全部费用（包括但不限于：诉讼费、仲裁费、财产保全费、律师费、鉴定费、公证费、公告费、执行费、拍卖费、保全担保费、住宿费、差旅费等费用）。</w:t>
            </w:r>
          </w:p>
        </w:tc>
      </w:tr>
      <w:tr w14:paraId="16B0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295CBF6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1.9.2</w:t>
            </w:r>
          </w:p>
        </w:tc>
        <w:tc>
          <w:tcPr>
            <w:tcW w:w="9011" w:type="dxa"/>
          </w:tcPr>
          <w:p w14:paraId="7462D21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vertAlign w:val="baseline"/>
                <w:lang w:val="en-US" w:eastAsia="zh-CN"/>
              </w:rPr>
            </w:pPr>
            <w:r>
              <w:rPr>
                <w:rFonts w:hint="default" w:ascii="宋体" w:hAnsi="宋体" w:eastAsia="宋体" w:cs="宋体"/>
                <w:color w:val="auto"/>
                <w:sz w:val="24"/>
                <w:szCs w:val="24"/>
                <w:highlight w:val="none"/>
                <w:lang w:val="en-US" w:eastAsia="zh-CN"/>
              </w:rPr>
              <w:t>向</w:t>
            </w:r>
            <w:r>
              <w:rPr>
                <w:rFonts w:hint="eastAsia" w:ascii="宋体" w:hAnsi="宋体" w:eastAsia="宋体" w:cs="宋体"/>
                <w:i w:val="0"/>
                <w:iCs w:val="0"/>
                <w:color w:val="auto"/>
                <w:sz w:val="24"/>
                <w:szCs w:val="24"/>
                <w:highlight w:val="none"/>
                <w:u w:val="none"/>
                <w:lang w:val="en-US" w:eastAsia="zh-CN"/>
              </w:rPr>
              <w:t>甲方</w:t>
            </w:r>
            <w:r>
              <w:rPr>
                <w:rFonts w:hint="eastAsia" w:ascii="宋体" w:hAnsi="宋体" w:eastAsia="宋体" w:cs="宋体"/>
                <w:color w:val="auto"/>
                <w:sz w:val="24"/>
              </w:rPr>
              <w:t>所在地有管辖权的</w:t>
            </w:r>
            <w:r>
              <w:rPr>
                <w:rFonts w:hint="default" w:ascii="宋体" w:hAnsi="宋体" w:eastAsia="宋体" w:cs="宋体"/>
                <w:color w:val="auto"/>
                <w:sz w:val="24"/>
                <w:szCs w:val="24"/>
                <w:highlight w:val="none"/>
                <w:lang w:val="en-US" w:eastAsia="zh-CN"/>
              </w:rPr>
              <w:t>人民法院起诉。</w:t>
            </w:r>
          </w:p>
        </w:tc>
      </w:tr>
      <w:tr w14:paraId="5417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top"/>
          </w:tcPr>
          <w:p w14:paraId="42D4695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2.3.2</w:t>
            </w:r>
          </w:p>
        </w:tc>
        <w:tc>
          <w:tcPr>
            <w:tcW w:w="9011" w:type="dxa"/>
            <w:shd w:val="clear" w:color="auto" w:fill="auto"/>
            <w:vAlign w:val="top"/>
          </w:tcPr>
          <w:p w14:paraId="16F5DF8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本</w:t>
            </w:r>
            <w:r>
              <w:rPr>
                <w:rFonts w:hint="default" w:ascii="宋体" w:hAnsi="宋体" w:eastAsia="宋体" w:cs="宋体"/>
                <w:color w:val="auto"/>
                <w:sz w:val="24"/>
                <w:szCs w:val="24"/>
                <w:highlight w:val="none"/>
                <w:vertAlign w:val="baseline"/>
                <w:lang w:val="en-US" w:eastAsia="zh-CN"/>
              </w:rPr>
              <w:t>合同</w:t>
            </w:r>
            <w:r>
              <w:rPr>
                <w:rFonts w:hint="eastAsia" w:ascii="宋体" w:hAnsi="宋体" w:eastAsia="宋体" w:cs="宋体"/>
                <w:color w:val="auto"/>
                <w:sz w:val="24"/>
                <w:szCs w:val="24"/>
                <w:highlight w:val="none"/>
                <w:vertAlign w:val="baseline"/>
                <w:lang w:val="en-US" w:eastAsia="zh-CN"/>
              </w:rPr>
              <w:t>不</w:t>
            </w:r>
            <w:r>
              <w:rPr>
                <w:rFonts w:hint="default" w:ascii="宋体" w:hAnsi="宋体" w:eastAsia="宋体" w:cs="宋体"/>
                <w:color w:val="auto"/>
                <w:sz w:val="24"/>
                <w:szCs w:val="24"/>
                <w:highlight w:val="none"/>
                <w:vertAlign w:val="baseline"/>
                <w:lang w:val="en-US" w:eastAsia="zh-CN"/>
              </w:rPr>
              <w:t>涉及技术成果的归属和收益的分成</w:t>
            </w:r>
            <w:r>
              <w:rPr>
                <w:rFonts w:hint="eastAsia" w:ascii="宋体" w:hAnsi="宋体" w:eastAsia="宋体" w:cs="宋体"/>
                <w:color w:val="auto"/>
                <w:sz w:val="24"/>
                <w:szCs w:val="24"/>
                <w:highlight w:val="none"/>
                <w:vertAlign w:val="baseline"/>
                <w:lang w:val="en-US" w:eastAsia="zh-CN"/>
              </w:rPr>
              <w:t>。</w:t>
            </w:r>
          </w:p>
        </w:tc>
      </w:tr>
      <w:tr w14:paraId="1B8D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top"/>
          </w:tcPr>
          <w:p w14:paraId="0422179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2.5</w:t>
            </w:r>
          </w:p>
        </w:tc>
        <w:tc>
          <w:tcPr>
            <w:tcW w:w="9011" w:type="dxa"/>
            <w:shd w:val="clear" w:color="auto" w:fill="auto"/>
            <w:vAlign w:val="top"/>
          </w:tcPr>
          <w:p w14:paraId="7626523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sz w:val="24"/>
                <w:szCs w:val="24"/>
                <w:highlight w:val="none"/>
                <w:vertAlign w:val="baseline"/>
                <w:lang w:val="en-US" w:eastAsia="zh-CN"/>
              </w:rPr>
              <w:t>结算方式和付款条件</w:t>
            </w:r>
            <w:r>
              <w:rPr>
                <w:rFonts w:hint="eastAsia"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lang w:val="en-US" w:eastAsia="zh-CN"/>
              </w:rPr>
              <w:t>完成项目入库评审30日内支付70%进度款，完成绩效监控复核和绩效自评复核，经验收合格后30日内支付30%尾款。</w:t>
            </w:r>
          </w:p>
        </w:tc>
      </w:tr>
      <w:tr w14:paraId="7114A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top"/>
          </w:tcPr>
          <w:p w14:paraId="194FFF1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2.11.3</w:t>
            </w:r>
          </w:p>
        </w:tc>
        <w:tc>
          <w:tcPr>
            <w:tcW w:w="9011" w:type="dxa"/>
            <w:shd w:val="clear" w:color="auto" w:fill="auto"/>
            <w:vAlign w:val="top"/>
          </w:tcPr>
          <w:p w14:paraId="48CE1E2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因不可抗力致使合同有变更必要的，双方当事人应在</w:t>
            </w:r>
            <w:r>
              <w:rPr>
                <w:rFonts w:hint="eastAsia" w:ascii="宋体" w:hAnsi="宋体" w:eastAsia="宋体" w:cs="宋体"/>
                <w:color w:val="auto"/>
                <w:kern w:val="2"/>
                <w:sz w:val="24"/>
                <w:szCs w:val="24"/>
                <w:highlight w:val="none"/>
                <w:vertAlign w:val="baseline"/>
                <w:lang w:val="en-US" w:eastAsia="zh-CN" w:bidi="ar-SA"/>
              </w:rPr>
              <w:t>30日</w:t>
            </w:r>
            <w:r>
              <w:rPr>
                <w:rFonts w:hint="default" w:ascii="宋体" w:hAnsi="宋体" w:eastAsia="宋体" w:cs="宋体"/>
                <w:color w:val="auto"/>
                <w:kern w:val="2"/>
                <w:sz w:val="24"/>
                <w:szCs w:val="24"/>
                <w:highlight w:val="none"/>
                <w:vertAlign w:val="baseline"/>
                <w:lang w:val="en-US" w:eastAsia="zh-CN" w:bidi="ar-SA"/>
              </w:rPr>
              <w:t>内以书面形式变更合同；</w:t>
            </w:r>
          </w:p>
        </w:tc>
      </w:tr>
      <w:tr w14:paraId="5445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top"/>
          </w:tcPr>
          <w:p w14:paraId="4BC9831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2.11.4</w:t>
            </w:r>
          </w:p>
        </w:tc>
        <w:tc>
          <w:tcPr>
            <w:tcW w:w="9011" w:type="dxa"/>
            <w:shd w:val="clear" w:color="auto" w:fill="auto"/>
            <w:vAlign w:val="top"/>
          </w:tcPr>
          <w:p w14:paraId="7DA07FA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受不可抗力影响的一方在不可抗力发生后，应及时将事件情况以书面形式通知对方当事人，并在事件发生后及时将有关部门出具的证明文件送达对方当事人。</w:t>
            </w:r>
          </w:p>
        </w:tc>
      </w:tr>
      <w:tr w14:paraId="468E6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top"/>
          </w:tcPr>
          <w:p w14:paraId="66E8244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2.15.1</w:t>
            </w:r>
          </w:p>
        </w:tc>
        <w:tc>
          <w:tcPr>
            <w:tcW w:w="9011" w:type="dxa"/>
            <w:shd w:val="clear" w:color="auto" w:fill="auto"/>
            <w:vAlign w:val="top"/>
          </w:tcPr>
          <w:p w14:paraId="723DEDF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kern w:val="2"/>
                <w:sz w:val="24"/>
                <w:szCs w:val="24"/>
                <w:highlight w:val="none"/>
                <w:vertAlign w:val="baseline"/>
                <w:lang w:val="en-US" w:eastAsia="zh-CN" w:bidi="ar-SA"/>
              </w:rPr>
              <w:t>乙方按照履约验收内容及标准，定期提交服务报告，甲方按照履约验收流程进行定期验收；</w:t>
            </w:r>
          </w:p>
        </w:tc>
      </w:tr>
      <w:tr w14:paraId="4E18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top"/>
          </w:tcPr>
          <w:p w14:paraId="6291919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2.15.3</w:t>
            </w:r>
          </w:p>
        </w:tc>
        <w:tc>
          <w:tcPr>
            <w:tcW w:w="9011" w:type="dxa"/>
            <w:shd w:val="clear" w:color="auto" w:fill="auto"/>
            <w:vAlign w:val="top"/>
          </w:tcPr>
          <w:p w14:paraId="30AA172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检验和验收标准</w:t>
            </w:r>
            <w:r>
              <w:rPr>
                <w:rFonts w:hint="eastAsia" w:ascii="宋体" w:hAnsi="宋体" w:eastAsia="宋体" w:cs="宋体"/>
                <w:color w:val="auto"/>
                <w:sz w:val="24"/>
                <w:szCs w:val="24"/>
                <w:highlight w:val="none"/>
                <w:lang w:val="en-US" w:eastAsia="zh-CN"/>
              </w:rPr>
              <w:t>：</w:t>
            </w:r>
          </w:p>
          <w:p w14:paraId="1E63C82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5月31日前完成项目入库评审并出具项目评审工作报告、8月31日前完成绩效监控复核并出具工作报告及复核的原始资料、 2027年3月31日前完成总站绩效自评复核并出具工作报告及复核的原始资料，上述工作出具的成果性文件需符合财政部、国家移民管理局关于预算绩效管理的年度工作计划和相关工作要求，经总站验收小组评估后，予以通过验收。</w:t>
            </w:r>
          </w:p>
          <w:p w14:paraId="0BE122B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程序</w:t>
            </w:r>
            <w:r>
              <w:rPr>
                <w:rFonts w:hint="eastAsia" w:ascii="宋体" w:hAnsi="宋体" w:eastAsia="宋体" w:cs="宋体"/>
                <w:color w:val="auto"/>
                <w:sz w:val="24"/>
                <w:szCs w:val="24"/>
                <w:highlight w:val="none"/>
                <w:lang w:val="en-US" w:eastAsia="zh-CN"/>
              </w:rPr>
              <w:t>：</w:t>
            </w:r>
          </w:p>
          <w:p w14:paraId="2C8ECFA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（1）启动验收，制定验收方案。供应商按甲方要求完成服务后，由供应商向采购需求部门发送项目验收申请，由后勤保障处制定验收方案，呈批验收请示。</w:t>
            </w:r>
          </w:p>
          <w:p w14:paraId="64D1D09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（2）供应商提供验收所需资料。主要包括相关绩效评审报告及其相关资料。</w:t>
            </w:r>
          </w:p>
          <w:p w14:paraId="785BB1C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（3）成立验收小组。由后勤保障处牵头成立验收小组，验收小组应当由3人以上单数组成，验收小组按照合同约定的内容开展项目验收工作。</w:t>
            </w:r>
          </w:p>
          <w:p w14:paraId="4068666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（4）验收结束后，验收小组出具初步验收报告。验收小组成员根据验收报告明确验收意见，并盖章确认。</w:t>
            </w:r>
          </w:p>
          <w:p w14:paraId="5A38CAF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（5）验收不合格的处理。履约验收不合格的，后勤保障处向供应商发出整改通知书，整改结束后由供应商对接验收组织主体重新验收。</w:t>
            </w:r>
          </w:p>
          <w:p w14:paraId="1B9A71C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lang w:val="en-US" w:eastAsia="zh-CN"/>
              </w:rPr>
              <w:t>（6）验收档案收集及保存。履约验收完成后，由后勤保障处统一收集各单位验收报告留存备查。</w:t>
            </w:r>
          </w:p>
        </w:tc>
      </w:tr>
      <w:tr w14:paraId="027C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shd w:val="clear" w:color="auto" w:fill="auto"/>
            <w:vAlign w:val="top"/>
          </w:tcPr>
          <w:p w14:paraId="66863DE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eastAsia" w:ascii="宋体" w:hAnsi="宋体" w:eastAsia="宋体" w:cs="宋体"/>
                <w:color w:val="auto"/>
                <w:kern w:val="2"/>
                <w:sz w:val="24"/>
                <w:szCs w:val="24"/>
                <w:highlight w:val="none"/>
                <w:vertAlign w:val="baseline"/>
                <w:lang w:val="en-US" w:eastAsia="zh-CN" w:bidi="ar-SA"/>
              </w:rPr>
            </w:pPr>
            <w:r>
              <w:rPr>
                <w:rFonts w:hint="eastAsia" w:ascii="宋体" w:hAnsi="宋体" w:eastAsia="宋体" w:cs="宋体"/>
                <w:color w:val="auto"/>
                <w:sz w:val="24"/>
                <w:szCs w:val="24"/>
                <w:highlight w:val="none"/>
                <w:vertAlign w:val="baseline"/>
                <w:lang w:val="en-US" w:eastAsia="zh-CN"/>
              </w:rPr>
              <w:t>2.19</w:t>
            </w:r>
          </w:p>
        </w:tc>
        <w:tc>
          <w:tcPr>
            <w:tcW w:w="9011" w:type="dxa"/>
            <w:shd w:val="clear" w:color="auto" w:fill="auto"/>
            <w:vAlign w:val="top"/>
          </w:tcPr>
          <w:p w14:paraId="575E25F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left"/>
              <w:textAlignment w:val="auto"/>
              <w:rPr>
                <w:rFonts w:hint="default" w:ascii="宋体" w:hAnsi="宋体" w:eastAsia="宋体" w:cs="宋体"/>
                <w:color w:val="auto"/>
                <w:kern w:val="2"/>
                <w:sz w:val="24"/>
                <w:szCs w:val="24"/>
                <w:highlight w:val="none"/>
                <w:vertAlign w:val="baseline"/>
                <w:lang w:val="en-US" w:eastAsia="zh-CN" w:bidi="ar-SA"/>
              </w:rPr>
            </w:pPr>
            <w:r>
              <w:rPr>
                <w:rFonts w:hint="default" w:ascii="宋体" w:hAnsi="宋体" w:eastAsia="宋体" w:cs="宋体"/>
                <w:color w:val="auto"/>
                <w:sz w:val="24"/>
                <w:szCs w:val="24"/>
                <w:highlight w:val="none"/>
                <w:lang w:val="en-US" w:eastAsia="zh-CN"/>
              </w:rPr>
              <w:t>合同份数</w:t>
            </w:r>
            <w:r>
              <w:rPr>
                <w:rFonts w:hint="eastAsia" w:ascii="宋体" w:hAnsi="宋体" w:eastAsia="宋体" w:cs="宋体"/>
                <w:color w:val="auto"/>
                <w:sz w:val="24"/>
                <w:szCs w:val="24"/>
                <w:highlight w:val="none"/>
                <w:lang w:val="en-US" w:eastAsia="zh-CN"/>
              </w:rPr>
              <w:t>：一式4份，甲方执3份，乙方执1 份</w:t>
            </w:r>
            <w:r>
              <w:rPr>
                <w:rFonts w:hint="default" w:ascii="宋体" w:hAnsi="宋体" w:eastAsia="宋体" w:cs="宋体"/>
                <w:color w:val="auto"/>
                <w:sz w:val="24"/>
                <w:szCs w:val="24"/>
                <w:highlight w:val="none"/>
                <w:lang w:val="en-US" w:eastAsia="zh-CN"/>
              </w:rPr>
              <w:t>，每份均具有同等法律效力。</w:t>
            </w:r>
          </w:p>
        </w:tc>
      </w:tr>
    </w:tbl>
    <w:p w14:paraId="2BC7238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sz w:val="24"/>
          <w:szCs w:val="24"/>
          <w:highlight w:val="none"/>
          <w:lang w:val="en-US" w:eastAsia="zh-CN"/>
        </w:rPr>
      </w:pPr>
    </w:p>
    <w:p w14:paraId="2683EA7D">
      <w:p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br w:type="page"/>
      </w:r>
    </w:p>
    <w:p w14:paraId="15C1196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w:t>
      </w:r>
    </w:p>
    <w:tbl>
      <w:tblPr>
        <w:tblStyle w:val="14"/>
        <w:tblW w:w="9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801"/>
        <w:gridCol w:w="4767"/>
        <w:gridCol w:w="1130"/>
        <w:gridCol w:w="1034"/>
        <w:gridCol w:w="1040"/>
      </w:tblGrid>
      <w:tr w14:paraId="3E4D9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0" w:hRule="atLeast"/>
          <w:jc w:val="center"/>
        </w:trPr>
        <w:tc>
          <w:tcPr>
            <w:tcW w:w="1801" w:type="dxa"/>
            <w:tcBorders>
              <w:top w:val="single" w:color="000000" w:sz="4" w:space="0"/>
              <w:left w:val="single" w:color="000000" w:sz="4" w:space="0"/>
              <w:bottom w:val="single" w:color="000000" w:sz="4" w:space="0"/>
              <w:right w:val="single" w:color="000000" w:sz="4" w:space="0"/>
            </w:tcBorders>
            <w:shd w:val="clear" w:color="auto" w:fill="F2F3F5"/>
            <w:tcMar>
              <w:top w:w="15" w:type="dxa"/>
              <w:left w:w="15" w:type="dxa"/>
              <w:right w:w="15" w:type="dxa"/>
            </w:tcMar>
            <w:vAlign w:val="center"/>
          </w:tcPr>
          <w:p w14:paraId="6700DA40">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Style w:val="29"/>
                <w:rFonts w:hint="eastAsia" w:ascii="宋体" w:hAnsi="宋体" w:eastAsia="宋体" w:cs="宋体"/>
                <w:color w:val="auto"/>
                <w:sz w:val="21"/>
                <w:szCs w:val="21"/>
                <w:highlight w:val="none"/>
                <w:lang w:val="en-US" w:eastAsia="zh-CN" w:bidi="ar"/>
              </w:rPr>
              <w:t>考核维度</w:t>
            </w:r>
          </w:p>
        </w:tc>
        <w:tc>
          <w:tcPr>
            <w:tcW w:w="4767" w:type="dxa"/>
            <w:tcBorders>
              <w:top w:val="single" w:color="000000" w:sz="4" w:space="0"/>
              <w:left w:val="single" w:color="000000" w:sz="4" w:space="0"/>
              <w:bottom w:val="single" w:color="000000" w:sz="4" w:space="0"/>
              <w:right w:val="single" w:color="000000" w:sz="4" w:space="0"/>
            </w:tcBorders>
            <w:shd w:val="clear" w:color="auto" w:fill="F2F3F5"/>
            <w:tcMar>
              <w:top w:w="15" w:type="dxa"/>
              <w:left w:w="15" w:type="dxa"/>
              <w:right w:w="15" w:type="dxa"/>
            </w:tcMar>
            <w:vAlign w:val="center"/>
          </w:tcPr>
          <w:p w14:paraId="08CE1D00">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Style w:val="29"/>
                <w:rFonts w:hint="eastAsia" w:ascii="宋体" w:hAnsi="宋体" w:eastAsia="宋体" w:cs="宋体"/>
                <w:color w:val="auto"/>
                <w:sz w:val="21"/>
                <w:szCs w:val="21"/>
                <w:highlight w:val="none"/>
                <w:lang w:val="en-US" w:eastAsia="zh-CN" w:bidi="ar"/>
              </w:rPr>
              <w:t>考核内容及评分标准</w:t>
            </w:r>
          </w:p>
        </w:tc>
        <w:tc>
          <w:tcPr>
            <w:tcW w:w="1130" w:type="dxa"/>
            <w:tcBorders>
              <w:top w:val="single" w:color="000000" w:sz="4" w:space="0"/>
              <w:left w:val="single" w:color="000000" w:sz="4" w:space="0"/>
              <w:bottom w:val="single" w:color="000000" w:sz="4" w:space="0"/>
              <w:right w:val="single" w:color="000000" w:sz="4" w:space="0"/>
            </w:tcBorders>
            <w:shd w:val="clear" w:color="auto" w:fill="F2F3F5"/>
            <w:tcMar>
              <w:top w:w="15" w:type="dxa"/>
              <w:left w:w="15" w:type="dxa"/>
              <w:right w:w="15" w:type="dxa"/>
            </w:tcMar>
            <w:vAlign w:val="center"/>
          </w:tcPr>
          <w:p w14:paraId="3CA2EE98">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Style w:val="29"/>
                <w:rFonts w:hint="eastAsia" w:ascii="宋体" w:hAnsi="宋体" w:eastAsia="宋体" w:cs="宋体"/>
                <w:color w:val="auto"/>
                <w:sz w:val="21"/>
                <w:szCs w:val="21"/>
                <w:highlight w:val="none"/>
                <w:lang w:val="en-US" w:eastAsia="zh-CN" w:bidi="ar"/>
              </w:rPr>
              <w:t>分值</w:t>
            </w:r>
          </w:p>
        </w:tc>
        <w:tc>
          <w:tcPr>
            <w:tcW w:w="1034" w:type="dxa"/>
            <w:tcBorders>
              <w:top w:val="single" w:color="000000" w:sz="4" w:space="0"/>
              <w:left w:val="single" w:color="000000" w:sz="4" w:space="0"/>
              <w:bottom w:val="single" w:color="000000" w:sz="4" w:space="0"/>
              <w:right w:val="single" w:color="000000" w:sz="4" w:space="0"/>
            </w:tcBorders>
            <w:shd w:val="clear" w:color="auto" w:fill="F2F3F5"/>
            <w:tcMar>
              <w:top w:w="15" w:type="dxa"/>
              <w:left w:w="15" w:type="dxa"/>
              <w:right w:w="15" w:type="dxa"/>
            </w:tcMar>
            <w:vAlign w:val="center"/>
          </w:tcPr>
          <w:p w14:paraId="069BC454">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Style w:val="29"/>
                <w:rFonts w:hint="eastAsia" w:ascii="宋体" w:hAnsi="宋体" w:eastAsia="宋体" w:cs="宋体"/>
                <w:color w:val="auto"/>
                <w:sz w:val="21"/>
                <w:szCs w:val="21"/>
                <w:highlight w:val="none"/>
                <w:lang w:val="en-US" w:eastAsia="zh-CN" w:bidi="ar"/>
              </w:rPr>
              <w:t>得分</w:t>
            </w:r>
          </w:p>
        </w:tc>
        <w:tc>
          <w:tcPr>
            <w:tcW w:w="1040" w:type="dxa"/>
            <w:tcBorders>
              <w:top w:val="single" w:color="000000" w:sz="4" w:space="0"/>
              <w:left w:val="single" w:color="000000" w:sz="4" w:space="0"/>
              <w:bottom w:val="single" w:color="000000" w:sz="4" w:space="0"/>
              <w:right w:val="single" w:color="000000" w:sz="4" w:space="0"/>
            </w:tcBorders>
            <w:shd w:val="clear" w:color="auto" w:fill="F2F3F5"/>
            <w:tcMar>
              <w:top w:w="15" w:type="dxa"/>
              <w:left w:w="15" w:type="dxa"/>
              <w:right w:w="15" w:type="dxa"/>
            </w:tcMar>
            <w:vAlign w:val="center"/>
          </w:tcPr>
          <w:p w14:paraId="52945388">
            <w:pPr>
              <w:keepNext w:val="0"/>
              <w:keepLines w:val="0"/>
              <w:widowControl/>
              <w:suppressLineNumbers w:val="0"/>
              <w:jc w:val="center"/>
              <w:textAlignment w:val="center"/>
              <w:rPr>
                <w:rFonts w:hint="eastAsia" w:ascii="宋体" w:hAnsi="宋体" w:eastAsia="宋体" w:cs="宋体"/>
                <w:b/>
                <w:i w:val="0"/>
                <w:color w:val="auto"/>
                <w:sz w:val="21"/>
                <w:szCs w:val="21"/>
                <w:highlight w:val="none"/>
                <w:u w:val="none"/>
              </w:rPr>
            </w:pPr>
            <w:r>
              <w:rPr>
                <w:rStyle w:val="29"/>
                <w:rFonts w:hint="eastAsia" w:ascii="宋体" w:hAnsi="宋体" w:eastAsia="宋体" w:cs="宋体"/>
                <w:color w:val="auto"/>
                <w:sz w:val="21"/>
                <w:szCs w:val="21"/>
                <w:highlight w:val="none"/>
                <w:lang w:val="en-US" w:eastAsia="zh-CN" w:bidi="ar"/>
              </w:rPr>
              <w:t>扣分原因</w:t>
            </w:r>
          </w:p>
        </w:tc>
      </w:tr>
      <w:tr w14:paraId="5CCE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A381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0"/>
                <w:rFonts w:hint="eastAsia" w:ascii="宋体" w:hAnsi="宋体" w:eastAsia="宋体" w:cs="宋体"/>
                <w:color w:val="auto"/>
                <w:sz w:val="21"/>
                <w:szCs w:val="21"/>
                <w:highlight w:val="none"/>
                <w:lang w:val="en-US" w:eastAsia="zh-CN" w:bidi="ar"/>
              </w:rPr>
              <w:t>一、工作完成度（</w:t>
            </w:r>
            <w:r>
              <w:rPr>
                <w:rStyle w:val="31"/>
                <w:rFonts w:hint="eastAsia" w:ascii="宋体" w:hAnsi="宋体" w:eastAsia="宋体" w:cs="宋体"/>
                <w:color w:val="auto"/>
                <w:sz w:val="21"/>
                <w:szCs w:val="21"/>
                <w:highlight w:val="none"/>
                <w:lang w:val="en-US" w:eastAsia="zh-CN" w:bidi="ar"/>
              </w:rPr>
              <w:t>30</w:t>
            </w:r>
            <w:r>
              <w:rPr>
                <w:rStyle w:val="30"/>
                <w:rFonts w:hint="eastAsia" w:ascii="宋体" w:hAnsi="宋体" w:eastAsia="宋体" w:cs="宋体"/>
                <w:color w:val="auto"/>
                <w:sz w:val="21"/>
                <w:szCs w:val="21"/>
                <w:highlight w:val="none"/>
                <w:lang w:val="en-US" w:eastAsia="zh-CN" w:bidi="ar"/>
              </w:rPr>
              <w:t>分）</w:t>
            </w: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E3E57">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1. </w:t>
            </w:r>
            <w:r>
              <w:rPr>
                <w:rStyle w:val="30"/>
                <w:rFonts w:hint="eastAsia" w:ascii="宋体" w:hAnsi="宋体" w:eastAsia="宋体" w:cs="宋体"/>
                <w:color w:val="auto"/>
                <w:sz w:val="21"/>
                <w:szCs w:val="21"/>
                <w:highlight w:val="none"/>
                <w:lang w:val="en-US" w:eastAsia="zh-CN" w:bidi="ar"/>
              </w:rPr>
              <w:t>严格按照双方约定的服务方案、时间节点完成全部服务内容，无遗漏、无拖延（</w:t>
            </w:r>
            <w:r>
              <w:rPr>
                <w:rStyle w:val="31"/>
                <w:rFonts w:hint="eastAsia" w:ascii="宋体" w:hAnsi="宋体" w:eastAsia="宋体" w:cs="宋体"/>
                <w:color w:val="auto"/>
                <w:sz w:val="21"/>
                <w:szCs w:val="21"/>
                <w:highlight w:val="none"/>
                <w:lang w:val="en-US" w:eastAsia="zh-CN" w:bidi="ar"/>
              </w:rPr>
              <w:t>10</w:t>
            </w:r>
            <w:r>
              <w:rPr>
                <w:rStyle w:val="30"/>
                <w:rFonts w:hint="eastAsia" w:ascii="宋体" w:hAnsi="宋体" w:eastAsia="宋体" w:cs="宋体"/>
                <w:color w:val="auto"/>
                <w:sz w:val="21"/>
                <w:szCs w:val="21"/>
                <w:highlight w:val="none"/>
                <w:lang w:val="en-US" w:eastAsia="zh-CN" w:bidi="ar"/>
              </w:rPr>
              <w:t>分）；每逾期</w:t>
            </w:r>
            <w:r>
              <w:rPr>
                <w:rStyle w:val="31"/>
                <w:rFonts w:hint="eastAsia" w:ascii="宋体" w:hAnsi="宋体" w:eastAsia="宋体" w:cs="宋体"/>
                <w:color w:val="auto"/>
                <w:sz w:val="21"/>
                <w:szCs w:val="21"/>
                <w:highlight w:val="none"/>
                <w:lang w:val="en-US" w:eastAsia="zh-CN" w:bidi="ar"/>
              </w:rPr>
              <w:t>1</w:t>
            </w:r>
            <w:r>
              <w:rPr>
                <w:rStyle w:val="30"/>
                <w:rFonts w:hint="eastAsia" w:ascii="宋体" w:hAnsi="宋体" w:eastAsia="宋体" w:cs="宋体"/>
                <w:color w:val="auto"/>
                <w:sz w:val="21"/>
                <w:szCs w:val="21"/>
                <w:highlight w:val="none"/>
                <w:lang w:val="en-US" w:eastAsia="zh-CN" w:bidi="ar"/>
              </w:rPr>
              <w:t>个工作日扣</w:t>
            </w:r>
            <w:r>
              <w:rPr>
                <w:rStyle w:val="31"/>
                <w:rFonts w:hint="eastAsia" w:ascii="宋体" w:hAnsi="宋体" w:eastAsia="宋体" w:cs="宋体"/>
                <w:color w:val="auto"/>
                <w:sz w:val="21"/>
                <w:szCs w:val="21"/>
                <w:highlight w:val="none"/>
                <w:lang w:val="en-US" w:eastAsia="zh-CN" w:bidi="ar"/>
              </w:rPr>
              <w:t>2</w:t>
            </w:r>
            <w:r>
              <w:rPr>
                <w:rStyle w:val="30"/>
                <w:rFonts w:hint="eastAsia" w:ascii="宋体" w:hAnsi="宋体" w:eastAsia="宋体" w:cs="宋体"/>
                <w:color w:val="auto"/>
                <w:sz w:val="21"/>
                <w:szCs w:val="21"/>
                <w:highlight w:val="none"/>
                <w:lang w:val="en-US" w:eastAsia="zh-CN" w:bidi="ar"/>
              </w:rPr>
              <w:t>分，逾期超过</w:t>
            </w:r>
            <w:r>
              <w:rPr>
                <w:rStyle w:val="31"/>
                <w:rFonts w:hint="eastAsia" w:ascii="宋体" w:hAnsi="宋体" w:eastAsia="宋体" w:cs="宋体"/>
                <w:color w:val="auto"/>
                <w:sz w:val="21"/>
                <w:szCs w:val="21"/>
                <w:highlight w:val="none"/>
                <w:lang w:val="en-US" w:eastAsia="zh-CN" w:bidi="ar"/>
              </w:rPr>
              <w:t>5</w:t>
            </w:r>
            <w:r>
              <w:rPr>
                <w:rStyle w:val="30"/>
                <w:rFonts w:hint="eastAsia" w:ascii="宋体" w:hAnsi="宋体" w:eastAsia="宋体" w:cs="宋体"/>
                <w:color w:val="auto"/>
                <w:sz w:val="21"/>
                <w:szCs w:val="21"/>
                <w:highlight w:val="none"/>
                <w:lang w:val="en-US" w:eastAsia="zh-CN" w:bidi="ar"/>
              </w:rPr>
              <w:t>个工作日此项不得分；遗漏</w:t>
            </w:r>
            <w:r>
              <w:rPr>
                <w:rStyle w:val="31"/>
                <w:rFonts w:hint="eastAsia" w:ascii="宋体" w:hAnsi="宋体" w:eastAsia="宋体" w:cs="宋体"/>
                <w:color w:val="auto"/>
                <w:sz w:val="21"/>
                <w:szCs w:val="21"/>
                <w:highlight w:val="none"/>
                <w:lang w:val="en-US" w:eastAsia="zh-CN" w:bidi="ar"/>
              </w:rPr>
              <w:t>1</w:t>
            </w:r>
            <w:r>
              <w:rPr>
                <w:rStyle w:val="30"/>
                <w:rFonts w:hint="eastAsia" w:ascii="宋体" w:hAnsi="宋体" w:eastAsia="宋体" w:cs="宋体"/>
                <w:color w:val="auto"/>
                <w:sz w:val="21"/>
                <w:szCs w:val="21"/>
                <w:highlight w:val="none"/>
                <w:lang w:val="en-US" w:eastAsia="zh-CN" w:bidi="ar"/>
              </w:rPr>
              <w:t>项核心服务内容扣</w:t>
            </w:r>
            <w:r>
              <w:rPr>
                <w:rStyle w:val="31"/>
                <w:rFonts w:hint="eastAsia" w:ascii="宋体" w:hAnsi="宋体" w:eastAsia="宋体" w:cs="宋体"/>
                <w:color w:val="auto"/>
                <w:sz w:val="21"/>
                <w:szCs w:val="21"/>
                <w:highlight w:val="none"/>
                <w:lang w:val="en-US" w:eastAsia="zh-CN" w:bidi="ar"/>
              </w:rPr>
              <w:t>5</w:t>
            </w:r>
            <w:r>
              <w:rPr>
                <w:rStyle w:val="30"/>
                <w:rFonts w:hint="eastAsia" w:ascii="宋体" w:hAnsi="宋体" w:eastAsia="宋体" w:cs="宋体"/>
                <w:color w:val="auto"/>
                <w:sz w:val="21"/>
                <w:szCs w:val="21"/>
                <w:highlight w:val="none"/>
                <w:lang w:val="en-US" w:eastAsia="zh-CN" w:bidi="ar"/>
              </w:rPr>
              <w:t>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36FC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E0E98">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1255">
            <w:pPr>
              <w:jc w:val="center"/>
              <w:rPr>
                <w:rFonts w:hint="eastAsia" w:ascii="宋体" w:hAnsi="宋体" w:eastAsia="宋体" w:cs="宋体"/>
                <w:i w:val="0"/>
                <w:color w:val="auto"/>
                <w:sz w:val="21"/>
                <w:szCs w:val="21"/>
                <w:highlight w:val="none"/>
                <w:u w:val="none"/>
              </w:rPr>
            </w:pPr>
          </w:p>
        </w:tc>
      </w:tr>
      <w:tr w14:paraId="0B0A1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7C222">
            <w:pPr>
              <w:jc w:val="center"/>
              <w:rPr>
                <w:rFonts w:hint="eastAsia" w:ascii="宋体" w:hAnsi="宋体" w:eastAsia="宋体" w:cs="宋体"/>
                <w:i w:val="0"/>
                <w:color w:val="auto"/>
                <w:sz w:val="21"/>
                <w:szCs w:val="21"/>
                <w:highlight w:val="none"/>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41C56">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2. </w:t>
            </w:r>
            <w:r>
              <w:rPr>
                <w:rStyle w:val="30"/>
                <w:rFonts w:hint="eastAsia" w:ascii="宋体" w:hAnsi="宋体" w:eastAsia="宋体" w:cs="宋体"/>
                <w:color w:val="auto"/>
                <w:sz w:val="21"/>
                <w:szCs w:val="21"/>
                <w:highlight w:val="none"/>
                <w:lang w:val="en-US" w:eastAsia="zh-CN" w:bidi="ar"/>
              </w:rPr>
              <w:t>按要求提交报告等相关成果，提交及时、完整（</w:t>
            </w:r>
            <w:r>
              <w:rPr>
                <w:rStyle w:val="31"/>
                <w:rFonts w:hint="eastAsia" w:ascii="宋体" w:hAnsi="宋体" w:eastAsia="宋体" w:cs="宋体"/>
                <w:color w:val="auto"/>
                <w:sz w:val="21"/>
                <w:szCs w:val="21"/>
                <w:highlight w:val="none"/>
                <w:lang w:val="en-US" w:eastAsia="zh-CN" w:bidi="ar"/>
              </w:rPr>
              <w:t>8</w:t>
            </w:r>
            <w:r>
              <w:rPr>
                <w:rStyle w:val="30"/>
                <w:rFonts w:hint="eastAsia" w:ascii="宋体" w:hAnsi="宋体" w:eastAsia="宋体" w:cs="宋体"/>
                <w:color w:val="auto"/>
                <w:sz w:val="21"/>
                <w:szCs w:val="21"/>
                <w:highlight w:val="none"/>
                <w:lang w:val="en-US" w:eastAsia="zh-CN" w:bidi="ar"/>
              </w:rPr>
              <w:t>分）；提交不及时每次扣</w:t>
            </w:r>
            <w:r>
              <w:rPr>
                <w:rStyle w:val="31"/>
                <w:rFonts w:hint="eastAsia" w:ascii="宋体" w:hAnsi="宋体" w:eastAsia="宋体" w:cs="宋体"/>
                <w:color w:val="auto"/>
                <w:sz w:val="21"/>
                <w:szCs w:val="21"/>
                <w:highlight w:val="none"/>
                <w:lang w:val="en-US" w:eastAsia="zh-CN" w:bidi="ar"/>
              </w:rPr>
              <w:t>2</w:t>
            </w:r>
            <w:r>
              <w:rPr>
                <w:rStyle w:val="30"/>
                <w:rFonts w:hint="eastAsia" w:ascii="宋体" w:hAnsi="宋体" w:eastAsia="宋体" w:cs="宋体"/>
                <w:color w:val="auto"/>
                <w:sz w:val="21"/>
                <w:szCs w:val="21"/>
                <w:highlight w:val="none"/>
                <w:lang w:val="en-US" w:eastAsia="zh-CN" w:bidi="ar"/>
              </w:rPr>
              <w:t>分，成果缺失</w:t>
            </w:r>
            <w:r>
              <w:rPr>
                <w:rStyle w:val="31"/>
                <w:rFonts w:hint="eastAsia" w:ascii="宋体" w:hAnsi="宋体" w:eastAsia="宋体" w:cs="宋体"/>
                <w:color w:val="auto"/>
                <w:sz w:val="21"/>
                <w:szCs w:val="21"/>
                <w:highlight w:val="none"/>
                <w:lang w:val="en-US" w:eastAsia="zh-CN" w:bidi="ar"/>
              </w:rPr>
              <w:t>1</w:t>
            </w:r>
            <w:r>
              <w:rPr>
                <w:rStyle w:val="30"/>
                <w:rFonts w:hint="eastAsia" w:ascii="宋体" w:hAnsi="宋体" w:eastAsia="宋体" w:cs="宋体"/>
                <w:color w:val="auto"/>
                <w:sz w:val="21"/>
                <w:szCs w:val="21"/>
                <w:highlight w:val="none"/>
                <w:lang w:val="en-US" w:eastAsia="zh-CN" w:bidi="ar"/>
              </w:rPr>
              <w:t>项扣</w:t>
            </w:r>
            <w:r>
              <w:rPr>
                <w:rStyle w:val="31"/>
                <w:rFonts w:hint="eastAsia" w:ascii="宋体" w:hAnsi="宋体" w:eastAsia="宋体" w:cs="宋体"/>
                <w:color w:val="auto"/>
                <w:sz w:val="21"/>
                <w:szCs w:val="21"/>
                <w:highlight w:val="none"/>
                <w:lang w:val="en-US" w:eastAsia="zh-CN" w:bidi="ar"/>
              </w:rPr>
              <w:t>3</w:t>
            </w:r>
            <w:r>
              <w:rPr>
                <w:rStyle w:val="30"/>
                <w:rFonts w:hint="eastAsia" w:ascii="宋体" w:hAnsi="宋体" w:eastAsia="宋体" w:cs="宋体"/>
                <w:color w:val="auto"/>
                <w:sz w:val="21"/>
                <w:szCs w:val="21"/>
                <w:highlight w:val="none"/>
                <w:lang w:val="en-US" w:eastAsia="zh-CN" w:bidi="ar"/>
              </w:rPr>
              <w:t>分，扣完为止。</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E0D9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B930B">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5B42">
            <w:pPr>
              <w:jc w:val="center"/>
              <w:rPr>
                <w:rFonts w:hint="eastAsia" w:ascii="宋体" w:hAnsi="宋体" w:eastAsia="宋体" w:cs="宋体"/>
                <w:i w:val="0"/>
                <w:color w:val="auto"/>
                <w:sz w:val="21"/>
                <w:szCs w:val="21"/>
                <w:highlight w:val="none"/>
                <w:u w:val="none"/>
              </w:rPr>
            </w:pPr>
          </w:p>
        </w:tc>
      </w:tr>
      <w:tr w14:paraId="7E960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8856B">
            <w:pPr>
              <w:jc w:val="center"/>
              <w:rPr>
                <w:rFonts w:hint="eastAsia" w:ascii="宋体" w:hAnsi="宋体" w:eastAsia="宋体" w:cs="宋体"/>
                <w:i w:val="0"/>
                <w:color w:val="auto"/>
                <w:sz w:val="21"/>
                <w:szCs w:val="21"/>
                <w:highlight w:val="none"/>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1887A">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3. </w:t>
            </w:r>
            <w:r>
              <w:rPr>
                <w:rStyle w:val="30"/>
                <w:rFonts w:hint="eastAsia" w:ascii="宋体" w:hAnsi="宋体" w:eastAsia="宋体" w:cs="宋体"/>
                <w:color w:val="auto"/>
                <w:sz w:val="21"/>
                <w:szCs w:val="21"/>
                <w:highlight w:val="none"/>
                <w:lang w:val="en-US" w:eastAsia="zh-CN" w:bidi="ar"/>
              </w:rPr>
              <w:t>积极配合甲方开展其他预算绩效管理等相关辅助工作，响应甲方合理工作安排（</w:t>
            </w:r>
            <w:r>
              <w:rPr>
                <w:rStyle w:val="31"/>
                <w:rFonts w:hint="eastAsia" w:ascii="宋体" w:hAnsi="宋体" w:eastAsia="宋体" w:cs="宋体"/>
                <w:color w:val="auto"/>
                <w:sz w:val="21"/>
                <w:szCs w:val="21"/>
                <w:highlight w:val="none"/>
                <w:lang w:val="en-US" w:eastAsia="zh-CN" w:bidi="ar"/>
              </w:rPr>
              <w:t>6</w:t>
            </w:r>
            <w:r>
              <w:rPr>
                <w:rStyle w:val="30"/>
                <w:rFonts w:hint="eastAsia" w:ascii="宋体" w:hAnsi="宋体" w:eastAsia="宋体" w:cs="宋体"/>
                <w:color w:val="auto"/>
                <w:sz w:val="21"/>
                <w:szCs w:val="21"/>
                <w:highlight w:val="none"/>
                <w:lang w:val="en-US" w:eastAsia="zh-CN" w:bidi="ar"/>
              </w:rPr>
              <w:t>分）；不配合、推诿扯皮每次扣</w:t>
            </w:r>
            <w:r>
              <w:rPr>
                <w:rStyle w:val="31"/>
                <w:rFonts w:hint="eastAsia" w:ascii="宋体" w:hAnsi="宋体" w:eastAsia="宋体" w:cs="宋体"/>
                <w:color w:val="auto"/>
                <w:sz w:val="21"/>
                <w:szCs w:val="21"/>
                <w:highlight w:val="none"/>
                <w:lang w:val="en-US" w:eastAsia="zh-CN" w:bidi="ar"/>
              </w:rPr>
              <w:t>3</w:t>
            </w:r>
            <w:r>
              <w:rPr>
                <w:rStyle w:val="30"/>
                <w:rFonts w:hint="eastAsia" w:ascii="宋体" w:hAnsi="宋体" w:eastAsia="宋体" w:cs="宋体"/>
                <w:color w:val="auto"/>
                <w:sz w:val="21"/>
                <w:szCs w:val="21"/>
                <w:highlight w:val="none"/>
                <w:lang w:val="en-US" w:eastAsia="zh-CN" w:bidi="ar"/>
              </w:rPr>
              <w:t>分，扣完为止。</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68D2A">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7EEEE">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707C0">
            <w:pPr>
              <w:jc w:val="center"/>
              <w:rPr>
                <w:rFonts w:hint="eastAsia" w:ascii="宋体" w:hAnsi="宋体" w:eastAsia="宋体" w:cs="宋体"/>
                <w:i w:val="0"/>
                <w:color w:val="auto"/>
                <w:sz w:val="21"/>
                <w:szCs w:val="21"/>
                <w:highlight w:val="none"/>
                <w:u w:val="none"/>
              </w:rPr>
            </w:pPr>
          </w:p>
        </w:tc>
      </w:tr>
      <w:tr w14:paraId="5D812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98B0">
            <w:pPr>
              <w:jc w:val="center"/>
              <w:rPr>
                <w:rFonts w:hint="eastAsia" w:ascii="宋体" w:hAnsi="宋体" w:eastAsia="宋体" w:cs="宋体"/>
                <w:i w:val="0"/>
                <w:color w:val="auto"/>
                <w:sz w:val="21"/>
                <w:szCs w:val="21"/>
                <w:highlight w:val="none"/>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6ED60">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4. </w:t>
            </w:r>
            <w:r>
              <w:rPr>
                <w:rStyle w:val="30"/>
                <w:rFonts w:hint="eastAsia" w:ascii="宋体" w:hAnsi="宋体" w:eastAsia="宋体" w:cs="宋体"/>
                <w:color w:val="auto"/>
                <w:sz w:val="21"/>
                <w:szCs w:val="21"/>
                <w:highlight w:val="none"/>
                <w:lang w:val="en-US" w:eastAsia="zh-CN" w:bidi="ar"/>
              </w:rPr>
              <w:t>完成服务过程中，主动对接甲方确认工作进度，及时反馈工作难点及推进情况（</w:t>
            </w:r>
            <w:r>
              <w:rPr>
                <w:rStyle w:val="31"/>
                <w:rFonts w:hint="eastAsia" w:ascii="宋体" w:hAnsi="宋体" w:eastAsia="宋体" w:cs="宋体"/>
                <w:color w:val="auto"/>
                <w:sz w:val="21"/>
                <w:szCs w:val="21"/>
                <w:highlight w:val="none"/>
                <w:lang w:val="en-US" w:eastAsia="zh-CN" w:bidi="ar"/>
              </w:rPr>
              <w:t>6</w:t>
            </w:r>
            <w:r>
              <w:rPr>
                <w:rStyle w:val="30"/>
                <w:rFonts w:hint="eastAsia" w:ascii="宋体" w:hAnsi="宋体" w:eastAsia="宋体" w:cs="宋体"/>
                <w:color w:val="auto"/>
                <w:sz w:val="21"/>
                <w:szCs w:val="21"/>
                <w:highlight w:val="none"/>
                <w:lang w:val="en-US" w:eastAsia="zh-CN" w:bidi="ar"/>
              </w:rPr>
              <w:t>分）；未主动对接、未及时反馈每次扣</w:t>
            </w:r>
            <w:r>
              <w:rPr>
                <w:rStyle w:val="31"/>
                <w:rFonts w:hint="eastAsia" w:ascii="宋体" w:hAnsi="宋体" w:eastAsia="宋体" w:cs="宋体"/>
                <w:color w:val="auto"/>
                <w:sz w:val="21"/>
                <w:szCs w:val="21"/>
                <w:highlight w:val="none"/>
                <w:lang w:val="en-US" w:eastAsia="zh-CN" w:bidi="ar"/>
              </w:rPr>
              <w:t>2</w:t>
            </w:r>
            <w:r>
              <w:rPr>
                <w:rStyle w:val="30"/>
                <w:rFonts w:hint="eastAsia" w:ascii="宋体" w:hAnsi="宋体" w:eastAsia="宋体" w:cs="宋体"/>
                <w:color w:val="auto"/>
                <w:sz w:val="21"/>
                <w:szCs w:val="21"/>
                <w:highlight w:val="none"/>
                <w:lang w:val="en-US" w:eastAsia="zh-CN" w:bidi="ar"/>
              </w:rPr>
              <w:t>分，扣完为止。</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5A6A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0834">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89293">
            <w:pPr>
              <w:jc w:val="center"/>
              <w:rPr>
                <w:rFonts w:hint="eastAsia" w:ascii="宋体" w:hAnsi="宋体" w:eastAsia="宋体" w:cs="宋体"/>
                <w:i w:val="0"/>
                <w:color w:val="auto"/>
                <w:sz w:val="21"/>
                <w:szCs w:val="21"/>
                <w:highlight w:val="none"/>
                <w:u w:val="none"/>
              </w:rPr>
            </w:pPr>
          </w:p>
        </w:tc>
      </w:tr>
      <w:tr w14:paraId="09991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86FB8">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0"/>
                <w:rFonts w:hint="eastAsia" w:ascii="宋体" w:hAnsi="宋体" w:eastAsia="宋体" w:cs="宋体"/>
                <w:color w:val="auto"/>
                <w:sz w:val="21"/>
                <w:szCs w:val="21"/>
                <w:highlight w:val="none"/>
                <w:lang w:val="en-US" w:eastAsia="zh-CN" w:bidi="ar"/>
              </w:rPr>
              <w:t>二、工作完成质量（</w:t>
            </w:r>
            <w:r>
              <w:rPr>
                <w:rStyle w:val="31"/>
                <w:rFonts w:hint="eastAsia" w:ascii="宋体" w:hAnsi="宋体" w:eastAsia="宋体" w:cs="宋体"/>
                <w:color w:val="auto"/>
                <w:sz w:val="21"/>
                <w:szCs w:val="21"/>
                <w:highlight w:val="none"/>
                <w:lang w:val="en-US" w:eastAsia="zh-CN" w:bidi="ar"/>
              </w:rPr>
              <w:t>40</w:t>
            </w:r>
            <w:r>
              <w:rPr>
                <w:rStyle w:val="30"/>
                <w:rFonts w:hint="eastAsia" w:ascii="宋体" w:hAnsi="宋体" w:eastAsia="宋体" w:cs="宋体"/>
                <w:color w:val="auto"/>
                <w:sz w:val="21"/>
                <w:szCs w:val="21"/>
                <w:highlight w:val="none"/>
                <w:lang w:val="en-US" w:eastAsia="zh-CN" w:bidi="ar"/>
              </w:rPr>
              <w:t>分）</w:t>
            </w: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ED898">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1. </w:t>
            </w:r>
            <w:r>
              <w:rPr>
                <w:rStyle w:val="30"/>
                <w:rFonts w:hint="eastAsia" w:ascii="宋体" w:hAnsi="宋体" w:eastAsia="宋体" w:cs="宋体"/>
                <w:color w:val="auto"/>
                <w:sz w:val="21"/>
                <w:szCs w:val="21"/>
                <w:highlight w:val="none"/>
                <w:lang w:val="en-US" w:eastAsia="zh-CN" w:bidi="ar"/>
              </w:rPr>
              <w:t>成果（报告、方案等）符合财政部、国家移民管理局等相关政策要求，贴合甲方实际需求（</w:t>
            </w:r>
            <w:r>
              <w:rPr>
                <w:rStyle w:val="31"/>
                <w:rFonts w:hint="eastAsia" w:ascii="宋体" w:hAnsi="宋体" w:eastAsia="宋体" w:cs="宋体"/>
                <w:color w:val="auto"/>
                <w:sz w:val="21"/>
                <w:szCs w:val="21"/>
                <w:highlight w:val="none"/>
                <w:lang w:val="en-US" w:eastAsia="zh-CN" w:bidi="ar"/>
              </w:rPr>
              <w:t>12</w:t>
            </w:r>
            <w:r>
              <w:rPr>
                <w:rStyle w:val="30"/>
                <w:rFonts w:hint="eastAsia" w:ascii="宋体" w:hAnsi="宋体" w:eastAsia="宋体" w:cs="宋体"/>
                <w:color w:val="auto"/>
                <w:sz w:val="21"/>
                <w:szCs w:val="21"/>
                <w:highlight w:val="none"/>
                <w:lang w:val="en-US" w:eastAsia="zh-CN" w:bidi="ar"/>
              </w:rPr>
              <w:t>分）；不符合政策要求扣</w:t>
            </w:r>
            <w:r>
              <w:rPr>
                <w:rStyle w:val="31"/>
                <w:rFonts w:hint="eastAsia" w:ascii="宋体" w:hAnsi="宋体" w:eastAsia="宋体" w:cs="宋体"/>
                <w:color w:val="auto"/>
                <w:sz w:val="21"/>
                <w:szCs w:val="21"/>
                <w:highlight w:val="none"/>
                <w:lang w:val="en-US" w:eastAsia="zh-CN" w:bidi="ar"/>
              </w:rPr>
              <w:t>6-12</w:t>
            </w:r>
            <w:r>
              <w:rPr>
                <w:rStyle w:val="30"/>
                <w:rFonts w:hint="eastAsia" w:ascii="宋体" w:hAnsi="宋体" w:eastAsia="宋体" w:cs="宋体"/>
                <w:color w:val="auto"/>
                <w:sz w:val="21"/>
                <w:szCs w:val="21"/>
                <w:highlight w:val="none"/>
                <w:lang w:val="en-US" w:eastAsia="zh-CN" w:bidi="ar"/>
              </w:rPr>
              <w:t>分，与甲方需求脱节扣</w:t>
            </w:r>
            <w:r>
              <w:rPr>
                <w:rStyle w:val="31"/>
                <w:rFonts w:hint="eastAsia" w:ascii="宋体" w:hAnsi="宋体" w:eastAsia="宋体" w:cs="宋体"/>
                <w:color w:val="auto"/>
                <w:sz w:val="21"/>
                <w:szCs w:val="21"/>
                <w:highlight w:val="none"/>
                <w:lang w:val="en-US" w:eastAsia="zh-CN" w:bidi="ar"/>
              </w:rPr>
              <w:t>5-10</w:t>
            </w:r>
            <w:r>
              <w:rPr>
                <w:rStyle w:val="30"/>
                <w:rFonts w:hint="eastAsia" w:ascii="宋体" w:hAnsi="宋体" w:eastAsia="宋体" w:cs="宋体"/>
                <w:color w:val="auto"/>
                <w:sz w:val="21"/>
                <w:szCs w:val="21"/>
                <w:highlight w:val="none"/>
                <w:lang w:val="en-US" w:eastAsia="zh-CN" w:bidi="ar"/>
              </w:rPr>
              <w:t>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85982">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FBDE0">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51AE6">
            <w:pPr>
              <w:jc w:val="center"/>
              <w:rPr>
                <w:rFonts w:hint="eastAsia" w:ascii="宋体" w:hAnsi="宋体" w:eastAsia="宋体" w:cs="宋体"/>
                <w:i w:val="0"/>
                <w:color w:val="auto"/>
                <w:sz w:val="21"/>
                <w:szCs w:val="21"/>
                <w:highlight w:val="none"/>
                <w:u w:val="none"/>
              </w:rPr>
            </w:pPr>
          </w:p>
        </w:tc>
      </w:tr>
      <w:tr w14:paraId="2E147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3F954">
            <w:pPr>
              <w:jc w:val="center"/>
              <w:rPr>
                <w:rFonts w:hint="eastAsia" w:ascii="宋体" w:hAnsi="宋体" w:eastAsia="宋体" w:cs="宋体"/>
                <w:i w:val="0"/>
                <w:color w:val="auto"/>
                <w:sz w:val="21"/>
                <w:szCs w:val="21"/>
                <w:highlight w:val="none"/>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5EF3A">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2. </w:t>
            </w:r>
            <w:r>
              <w:rPr>
                <w:rStyle w:val="30"/>
                <w:rFonts w:hint="eastAsia" w:ascii="宋体" w:hAnsi="宋体" w:eastAsia="宋体" w:cs="宋体"/>
                <w:color w:val="auto"/>
                <w:sz w:val="21"/>
                <w:szCs w:val="21"/>
                <w:highlight w:val="none"/>
                <w:lang w:val="en-US" w:eastAsia="zh-CN" w:bidi="ar"/>
              </w:rPr>
              <w:t>成果报告内容专业、逻辑清晰，数据真实准确，分析深入到位，提出的建议具有可操作性和针对性（</w:t>
            </w:r>
            <w:r>
              <w:rPr>
                <w:rStyle w:val="31"/>
                <w:rFonts w:hint="eastAsia" w:ascii="宋体" w:hAnsi="宋体" w:eastAsia="宋体" w:cs="宋体"/>
                <w:color w:val="auto"/>
                <w:sz w:val="21"/>
                <w:szCs w:val="21"/>
                <w:highlight w:val="none"/>
                <w:lang w:val="en-US" w:eastAsia="zh-CN" w:bidi="ar"/>
              </w:rPr>
              <w:t>12</w:t>
            </w:r>
            <w:r>
              <w:rPr>
                <w:rStyle w:val="30"/>
                <w:rFonts w:hint="eastAsia" w:ascii="宋体" w:hAnsi="宋体" w:eastAsia="宋体" w:cs="宋体"/>
                <w:color w:val="auto"/>
                <w:sz w:val="21"/>
                <w:szCs w:val="21"/>
                <w:highlight w:val="none"/>
                <w:lang w:val="en-US" w:eastAsia="zh-CN" w:bidi="ar"/>
              </w:rPr>
              <w:t>分）；数据错误</w:t>
            </w:r>
            <w:r>
              <w:rPr>
                <w:rStyle w:val="31"/>
                <w:rFonts w:hint="eastAsia" w:ascii="宋体" w:hAnsi="宋体" w:eastAsia="宋体" w:cs="宋体"/>
                <w:color w:val="auto"/>
                <w:sz w:val="21"/>
                <w:szCs w:val="21"/>
                <w:highlight w:val="none"/>
                <w:lang w:val="en-US" w:eastAsia="zh-CN" w:bidi="ar"/>
              </w:rPr>
              <w:t>1</w:t>
            </w:r>
            <w:r>
              <w:rPr>
                <w:rStyle w:val="30"/>
                <w:rFonts w:hint="eastAsia" w:ascii="宋体" w:hAnsi="宋体" w:eastAsia="宋体" w:cs="宋体"/>
                <w:color w:val="auto"/>
                <w:sz w:val="21"/>
                <w:szCs w:val="21"/>
                <w:highlight w:val="none"/>
                <w:lang w:val="en-US" w:eastAsia="zh-CN" w:bidi="ar"/>
              </w:rPr>
              <w:t>处扣</w:t>
            </w:r>
            <w:r>
              <w:rPr>
                <w:rStyle w:val="31"/>
                <w:rFonts w:hint="eastAsia" w:ascii="宋体" w:hAnsi="宋体" w:eastAsia="宋体" w:cs="宋体"/>
                <w:color w:val="auto"/>
                <w:sz w:val="21"/>
                <w:szCs w:val="21"/>
                <w:highlight w:val="none"/>
                <w:lang w:val="en-US" w:eastAsia="zh-CN" w:bidi="ar"/>
              </w:rPr>
              <w:t>3</w:t>
            </w:r>
            <w:r>
              <w:rPr>
                <w:rStyle w:val="30"/>
                <w:rFonts w:hint="eastAsia" w:ascii="宋体" w:hAnsi="宋体" w:eastAsia="宋体" w:cs="宋体"/>
                <w:color w:val="auto"/>
                <w:sz w:val="21"/>
                <w:szCs w:val="21"/>
                <w:highlight w:val="none"/>
                <w:lang w:val="en-US" w:eastAsia="zh-CN" w:bidi="ar"/>
              </w:rPr>
              <w:t>分，逻辑混乱扣</w:t>
            </w:r>
            <w:r>
              <w:rPr>
                <w:rStyle w:val="31"/>
                <w:rFonts w:hint="eastAsia" w:ascii="宋体" w:hAnsi="宋体" w:eastAsia="宋体" w:cs="宋体"/>
                <w:color w:val="auto"/>
                <w:sz w:val="21"/>
                <w:szCs w:val="21"/>
                <w:highlight w:val="none"/>
                <w:lang w:val="en-US" w:eastAsia="zh-CN" w:bidi="ar"/>
              </w:rPr>
              <w:t>4-8</w:t>
            </w:r>
            <w:r>
              <w:rPr>
                <w:rStyle w:val="30"/>
                <w:rFonts w:hint="eastAsia" w:ascii="宋体" w:hAnsi="宋体" w:eastAsia="宋体" w:cs="宋体"/>
                <w:color w:val="auto"/>
                <w:sz w:val="21"/>
                <w:szCs w:val="21"/>
                <w:highlight w:val="none"/>
                <w:lang w:val="en-US" w:eastAsia="zh-CN" w:bidi="ar"/>
              </w:rPr>
              <w:t>分，建议缺乏可操作性扣</w:t>
            </w:r>
            <w:r>
              <w:rPr>
                <w:rStyle w:val="31"/>
                <w:rFonts w:hint="eastAsia" w:ascii="宋体" w:hAnsi="宋体" w:eastAsia="宋体" w:cs="宋体"/>
                <w:color w:val="auto"/>
                <w:sz w:val="21"/>
                <w:szCs w:val="21"/>
                <w:highlight w:val="none"/>
                <w:lang w:val="en-US" w:eastAsia="zh-CN" w:bidi="ar"/>
              </w:rPr>
              <w:t>5-10</w:t>
            </w:r>
            <w:r>
              <w:rPr>
                <w:rStyle w:val="30"/>
                <w:rFonts w:hint="eastAsia" w:ascii="宋体" w:hAnsi="宋体" w:eastAsia="宋体" w:cs="宋体"/>
                <w:color w:val="auto"/>
                <w:sz w:val="21"/>
                <w:szCs w:val="21"/>
                <w:highlight w:val="none"/>
                <w:lang w:val="en-US" w:eastAsia="zh-CN" w:bidi="ar"/>
              </w:rPr>
              <w:t>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6EAD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12</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BC73B">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21FDE">
            <w:pPr>
              <w:jc w:val="center"/>
              <w:rPr>
                <w:rFonts w:hint="eastAsia" w:ascii="宋体" w:hAnsi="宋体" w:eastAsia="宋体" w:cs="宋体"/>
                <w:i w:val="0"/>
                <w:color w:val="auto"/>
                <w:sz w:val="21"/>
                <w:szCs w:val="21"/>
                <w:highlight w:val="none"/>
                <w:u w:val="none"/>
              </w:rPr>
            </w:pPr>
          </w:p>
        </w:tc>
      </w:tr>
      <w:tr w14:paraId="057AB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3B9EF">
            <w:pPr>
              <w:jc w:val="center"/>
              <w:rPr>
                <w:rFonts w:hint="eastAsia" w:ascii="宋体" w:hAnsi="宋体" w:eastAsia="宋体" w:cs="宋体"/>
                <w:i w:val="0"/>
                <w:color w:val="auto"/>
                <w:sz w:val="21"/>
                <w:szCs w:val="21"/>
                <w:highlight w:val="none"/>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72308">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3. </w:t>
            </w:r>
            <w:r>
              <w:rPr>
                <w:rStyle w:val="30"/>
                <w:rFonts w:hint="eastAsia" w:ascii="宋体" w:hAnsi="宋体" w:eastAsia="宋体" w:cs="宋体"/>
                <w:color w:val="auto"/>
                <w:sz w:val="21"/>
                <w:szCs w:val="21"/>
                <w:highlight w:val="none"/>
                <w:lang w:val="en-US" w:eastAsia="zh-CN" w:bidi="ar"/>
              </w:rPr>
              <w:t>成果文本规范，无错别字、语病，格式符合双方约定，附件齐全（</w:t>
            </w:r>
            <w:r>
              <w:rPr>
                <w:rStyle w:val="31"/>
                <w:rFonts w:hint="eastAsia" w:ascii="宋体" w:hAnsi="宋体" w:eastAsia="宋体" w:cs="宋体"/>
                <w:color w:val="auto"/>
                <w:sz w:val="21"/>
                <w:szCs w:val="21"/>
                <w:highlight w:val="none"/>
                <w:lang w:val="en-US" w:eastAsia="zh-CN" w:bidi="ar"/>
              </w:rPr>
              <w:t>8</w:t>
            </w:r>
            <w:r>
              <w:rPr>
                <w:rStyle w:val="30"/>
                <w:rFonts w:hint="eastAsia" w:ascii="宋体" w:hAnsi="宋体" w:eastAsia="宋体" w:cs="宋体"/>
                <w:color w:val="auto"/>
                <w:sz w:val="21"/>
                <w:szCs w:val="21"/>
                <w:highlight w:val="none"/>
                <w:lang w:val="en-US" w:eastAsia="zh-CN" w:bidi="ar"/>
              </w:rPr>
              <w:t>分）；错别字、语病每处扣</w:t>
            </w:r>
            <w:r>
              <w:rPr>
                <w:rStyle w:val="31"/>
                <w:rFonts w:hint="eastAsia" w:ascii="宋体" w:hAnsi="宋体" w:eastAsia="宋体" w:cs="宋体"/>
                <w:color w:val="auto"/>
                <w:sz w:val="21"/>
                <w:szCs w:val="21"/>
                <w:highlight w:val="none"/>
                <w:lang w:val="en-US" w:eastAsia="zh-CN" w:bidi="ar"/>
              </w:rPr>
              <w:t>1</w:t>
            </w:r>
            <w:r>
              <w:rPr>
                <w:rStyle w:val="30"/>
                <w:rFonts w:hint="eastAsia" w:ascii="宋体" w:hAnsi="宋体" w:eastAsia="宋体" w:cs="宋体"/>
                <w:color w:val="auto"/>
                <w:sz w:val="21"/>
                <w:szCs w:val="21"/>
                <w:highlight w:val="none"/>
                <w:lang w:val="en-US" w:eastAsia="zh-CN" w:bidi="ar"/>
              </w:rPr>
              <w:t>分，格式不规范扣</w:t>
            </w:r>
            <w:r>
              <w:rPr>
                <w:rStyle w:val="31"/>
                <w:rFonts w:hint="eastAsia" w:ascii="宋体" w:hAnsi="宋体" w:eastAsia="宋体" w:cs="宋体"/>
                <w:color w:val="auto"/>
                <w:sz w:val="21"/>
                <w:szCs w:val="21"/>
                <w:highlight w:val="none"/>
                <w:lang w:val="en-US" w:eastAsia="zh-CN" w:bidi="ar"/>
              </w:rPr>
              <w:t>3-5</w:t>
            </w:r>
            <w:r>
              <w:rPr>
                <w:rStyle w:val="30"/>
                <w:rFonts w:hint="eastAsia" w:ascii="宋体" w:hAnsi="宋体" w:eastAsia="宋体" w:cs="宋体"/>
                <w:color w:val="auto"/>
                <w:sz w:val="21"/>
                <w:szCs w:val="21"/>
                <w:highlight w:val="none"/>
                <w:lang w:val="en-US" w:eastAsia="zh-CN" w:bidi="ar"/>
              </w:rPr>
              <w:t>分，附件缺失</w:t>
            </w:r>
            <w:r>
              <w:rPr>
                <w:rStyle w:val="31"/>
                <w:rFonts w:hint="eastAsia" w:ascii="宋体" w:hAnsi="宋体" w:eastAsia="宋体" w:cs="宋体"/>
                <w:color w:val="auto"/>
                <w:sz w:val="21"/>
                <w:szCs w:val="21"/>
                <w:highlight w:val="none"/>
                <w:lang w:val="en-US" w:eastAsia="zh-CN" w:bidi="ar"/>
              </w:rPr>
              <w:t>1</w:t>
            </w:r>
            <w:r>
              <w:rPr>
                <w:rStyle w:val="30"/>
                <w:rFonts w:hint="eastAsia" w:ascii="宋体" w:hAnsi="宋体" w:eastAsia="宋体" w:cs="宋体"/>
                <w:color w:val="auto"/>
                <w:sz w:val="21"/>
                <w:szCs w:val="21"/>
                <w:highlight w:val="none"/>
                <w:lang w:val="en-US" w:eastAsia="zh-CN" w:bidi="ar"/>
              </w:rPr>
              <w:t>项扣</w:t>
            </w:r>
            <w:r>
              <w:rPr>
                <w:rStyle w:val="31"/>
                <w:rFonts w:hint="eastAsia" w:ascii="宋体" w:hAnsi="宋体" w:eastAsia="宋体" w:cs="宋体"/>
                <w:color w:val="auto"/>
                <w:sz w:val="21"/>
                <w:szCs w:val="21"/>
                <w:highlight w:val="none"/>
                <w:lang w:val="en-US" w:eastAsia="zh-CN" w:bidi="ar"/>
              </w:rPr>
              <w:t>2</w:t>
            </w:r>
            <w:r>
              <w:rPr>
                <w:rStyle w:val="30"/>
                <w:rFonts w:hint="eastAsia" w:ascii="宋体" w:hAnsi="宋体" w:eastAsia="宋体" w:cs="宋体"/>
                <w:color w:val="auto"/>
                <w:sz w:val="21"/>
                <w:szCs w:val="21"/>
                <w:highlight w:val="none"/>
                <w:lang w:val="en-US" w:eastAsia="zh-CN" w:bidi="ar"/>
              </w:rPr>
              <w:t>分，扣完为止。</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0D6C4">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66D21">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2D5EC">
            <w:pPr>
              <w:jc w:val="center"/>
              <w:rPr>
                <w:rFonts w:hint="eastAsia" w:ascii="宋体" w:hAnsi="宋体" w:eastAsia="宋体" w:cs="宋体"/>
                <w:i w:val="0"/>
                <w:color w:val="auto"/>
                <w:sz w:val="21"/>
                <w:szCs w:val="21"/>
                <w:highlight w:val="none"/>
                <w:u w:val="none"/>
              </w:rPr>
            </w:pPr>
          </w:p>
        </w:tc>
      </w:tr>
      <w:tr w14:paraId="56C6F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59701">
            <w:pPr>
              <w:jc w:val="center"/>
              <w:rPr>
                <w:rFonts w:hint="eastAsia" w:ascii="宋体" w:hAnsi="宋体" w:eastAsia="宋体" w:cs="宋体"/>
                <w:i w:val="0"/>
                <w:color w:val="auto"/>
                <w:sz w:val="21"/>
                <w:szCs w:val="21"/>
                <w:highlight w:val="none"/>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6264E">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4. </w:t>
            </w:r>
            <w:r>
              <w:rPr>
                <w:rStyle w:val="30"/>
                <w:rFonts w:hint="eastAsia" w:ascii="宋体" w:hAnsi="宋体" w:eastAsia="宋体" w:cs="宋体"/>
                <w:color w:val="auto"/>
                <w:sz w:val="21"/>
                <w:szCs w:val="21"/>
                <w:highlight w:val="none"/>
                <w:lang w:val="en-US" w:eastAsia="zh-CN" w:bidi="ar"/>
              </w:rPr>
              <w:t>对甲方提出的成果修改意见，响应及时、修改到位，无敷衍、拖延（</w:t>
            </w:r>
            <w:r>
              <w:rPr>
                <w:rStyle w:val="31"/>
                <w:rFonts w:hint="eastAsia" w:ascii="宋体" w:hAnsi="宋体" w:eastAsia="宋体" w:cs="宋体"/>
                <w:color w:val="auto"/>
                <w:sz w:val="21"/>
                <w:szCs w:val="21"/>
                <w:highlight w:val="none"/>
                <w:lang w:val="en-US" w:eastAsia="zh-CN" w:bidi="ar"/>
              </w:rPr>
              <w:t>8</w:t>
            </w:r>
            <w:r>
              <w:rPr>
                <w:rStyle w:val="30"/>
                <w:rFonts w:hint="eastAsia" w:ascii="宋体" w:hAnsi="宋体" w:eastAsia="宋体" w:cs="宋体"/>
                <w:color w:val="auto"/>
                <w:sz w:val="21"/>
                <w:szCs w:val="21"/>
                <w:highlight w:val="none"/>
                <w:lang w:val="en-US" w:eastAsia="zh-CN" w:bidi="ar"/>
              </w:rPr>
              <w:t>分）；修改不及时每次扣</w:t>
            </w:r>
            <w:r>
              <w:rPr>
                <w:rStyle w:val="31"/>
                <w:rFonts w:hint="eastAsia" w:ascii="宋体" w:hAnsi="宋体" w:eastAsia="宋体" w:cs="宋体"/>
                <w:color w:val="auto"/>
                <w:sz w:val="21"/>
                <w:szCs w:val="21"/>
                <w:highlight w:val="none"/>
                <w:lang w:val="en-US" w:eastAsia="zh-CN" w:bidi="ar"/>
              </w:rPr>
              <w:t>2</w:t>
            </w:r>
            <w:r>
              <w:rPr>
                <w:rStyle w:val="30"/>
                <w:rFonts w:hint="eastAsia" w:ascii="宋体" w:hAnsi="宋体" w:eastAsia="宋体" w:cs="宋体"/>
                <w:color w:val="auto"/>
                <w:sz w:val="21"/>
                <w:szCs w:val="21"/>
                <w:highlight w:val="none"/>
                <w:lang w:val="en-US" w:eastAsia="zh-CN" w:bidi="ar"/>
              </w:rPr>
              <w:t>分，修改不到位每次扣</w:t>
            </w:r>
            <w:r>
              <w:rPr>
                <w:rStyle w:val="31"/>
                <w:rFonts w:hint="eastAsia" w:ascii="宋体" w:hAnsi="宋体" w:eastAsia="宋体" w:cs="宋体"/>
                <w:color w:val="auto"/>
                <w:sz w:val="21"/>
                <w:szCs w:val="21"/>
                <w:highlight w:val="none"/>
                <w:lang w:val="en-US" w:eastAsia="zh-CN" w:bidi="ar"/>
              </w:rPr>
              <w:t>3</w:t>
            </w:r>
            <w:r>
              <w:rPr>
                <w:rStyle w:val="30"/>
                <w:rFonts w:hint="eastAsia" w:ascii="宋体" w:hAnsi="宋体" w:eastAsia="宋体" w:cs="宋体"/>
                <w:color w:val="auto"/>
                <w:sz w:val="21"/>
                <w:szCs w:val="21"/>
                <w:highlight w:val="none"/>
                <w:lang w:val="en-US" w:eastAsia="zh-CN" w:bidi="ar"/>
              </w:rPr>
              <w:t>分，拒绝合理修改此项不得分。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A4FD1">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3D704">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C87E3">
            <w:pPr>
              <w:jc w:val="center"/>
              <w:rPr>
                <w:rFonts w:hint="eastAsia" w:ascii="宋体" w:hAnsi="宋体" w:eastAsia="宋体" w:cs="宋体"/>
                <w:i w:val="0"/>
                <w:color w:val="auto"/>
                <w:sz w:val="21"/>
                <w:szCs w:val="21"/>
                <w:highlight w:val="none"/>
                <w:u w:val="none"/>
              </w:rPr>
            </w:pPr>
          </w:p>
        </w:tc>
      </w:tr>
      <w:tr w14:paraId="6B2C8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5B2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0"/>
                <w:rFonts w:hint="eastAsia" w:ascii="宋体" w:hAnsi="宋体" w:eastAsia="宋体" w:cs="宋体"/>
                <w:color w:val="auto"/>
                <w:sz w:val="21"/>
                <w:szCs w:val="21"/>
                <w:highlight w:val="none"/>
                <w:lang w:val="en-US" w:eastAsia="zh-CN" w:bidi="ar"/>
              </w:rPr>
              <w:t>三、服务态度（</w:t>
            </w:r>
            <w:r>
              <w:rPr>
                <w:rStyle w:val="31"/>
                <w:rFonts w:hint="eastAsia" w:ascii="宋体" w:hAnsi="宋体" w:eastAsia="宋体" w:cs="宋体"/>
                <w:color w:val="auto"/>
                <w:sz w:val="21"/>
                <w:szCs w:val="21"/>
                <w:highlight w:val="none"/>
                <w:lang w:val="en-US" w:eastAsia="zh-CN" w:bidi="ar"/>
              </w:rPr>
              <w:t>15</w:t>
            </w:r>
            <w:r>
              <w:rPr>
                <w:rStyle w:val="30"/>
                <w:rFonts w:hint="eastAsia" w:ascii="宋体" w:hAnsi="宋体" w:eastAsia="宋体" w:cs="宋体"/>
                <w:color w:val="auto"/>
                <w:sz w:val="21"/>
                <w:szCs w:val="21"/>
                <w:highlight w:val="none"/>
                <w:lang w:val="en-US" w:eastAsia="zh-CN" w:bidi="ar"/>
              </w:rPr>
              <w:t>分）</w:t>
            </w: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A69A5">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1. </w:t>
            </w:r>
            <w:r>
              <w:rPr>
                <w:rStyle w:val="30"/>
                <w:rFonts w:hint="eastAsia" w:ascii="宋体" w:hAnsi="宋体" w:eastAsia="宋体" w:cs="宋体"/>
                <w:color w:val="auto"/>
                <w:sz w:val="21"/>
                <w:szCs w:val="21"/>
                <w:highlight w:val="none"/>
                <w:lang w:val="en-US" w:eastAsia="zh-CN" w:bidi="ar"/>
              </w:rPr>
              <w:t>服务热情、主动，对待甲方咨询、诉求耐心解答，无敷衍、推诿行为（</w:t>
            </w:r>
            <w:r>
              <w:rPr>
                <w:rStyle w:val="31"/>
                <w:rFonts w:hint="eastAsia" w:ascii="宋体" w:hAnsi="宋体" w:eastAsia="宋体" w:cs="宋体"/>
                <w:color w:val="auto"/>
                <w:sz w:val="21"/>
                <w:szCs w:val="21"/>
                <w:highlight w:val="none"/>
                <w:lang w:val="en-US" w:eastAsia="zh-CN" w:bidi="ar"/>
              </w:rPr>
              <w:t>8</w:t>
            </w:r>
            <w:r>
              <w:rPr>
                <w:rStyle w:val="30"/>
                <w:rFonts w:hint="eastAsia" w:ascii="宋体" w:hAnsi="宋体" w:eastAsia="宋体" w:cs="宋体"/>
                <w:color w:val="auto"/>
                <w:sz w:val="21"/>
                <w:szCs w:val="21"/>
                <w:highlight w:val="none"/>
                <w:lang w:val="en-US" w:eastAsia="zh-CN" w:bidi="ar"/>
              </w:rPr>
              <w:t>分）；态度生硬、敷衍每次扣</w:t>
            </w:r>
            <w:r>
              <w:rPr>
                <w:rStyle w:val="31"/>
                <w:rFonts w:hint="eastAsia" w:ascii="宋体" w:hAnsi="宋体" w:eastAsia="宋体" w:cs="宋体"/>
                <w:color w:val="auto"/>
                <w:sz w:val="21"/>
                <w:szCs w:val="21"/>
                <w:highlight w:val="none"/>
                <w:lang w:val="en-US" w:eastAsia="zh-CN" w:bidi="ar"/>
              </w:rPr>
              <w:t>3</w:t>
            </w:r>
            <w:r>
              <w:rPr>
                <w:rStyle w:val="30"/>
                <w:rFonts w:hint="eastAsia" w:ascii="宋体" w:hAnsi="宋体" w:eastAsia="宋体" w:cs="宋体"/>
                <w:color w:val="auto"/>
                <w:sz w:val="21"/>
                <w:szCs w:val="21"/>
                <w:highlight w:val="none"/>
                <w:lang w:val="en-US" w:eastAsia="zh-CN" w:bidi="ar"/>
              </w:rPr>
              <w:t>分，推诿扯皮每次扣</w:t>
            </w:r>
            <w:r>
              <w:rPr>
                <w:rStyle w:val="31"/>
                <w:rFonts w:hint="eastAsia" w:ascii="宋体" w:hAnsi="宋体" w:eastAsia="宋体" w:cs="宋体"/>
                <w:color w:val="auto"/>
                <w:sz w:val="21"/>
                <w:szCs w:val="21"/>
                <w:highlight w:val="none"/>
                <w:lang w:val="en-US" w:eastAsia="zh-CN" w:bidi="ar"/>
              </w:rPr>
              <w:t>4</w:t>
            </w:r>
            <w:r>
              <w:rPr>
                <w:rStyle w:val="30"/>
                <w:rFonts w:hint="eastAsia" w:ascii="宋体" w:hAnsi="宋体" w:eastAsia="宋体" w:cs="宋体"/>
                <w:color w:val="auto"/>
                <w:sz w:val="21"/>
                <w:szCs w:val="21"/>
                <w:highlight w:val="none"/>
                <w:lang w:val="en-US" w:eastAsia="zh-CN" w:bidi="ar"/>
              </w:rPr>
              <w:t>分，扣完为止。</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984AD">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1E8F">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C0AE7">
            <w:pPr>
              <w:jc w:val="center"/>
              <w:rPr>
                <w:rFonts w:hint="eastAsia" w:ascii="宋体" w:hAnsi="宋体" w:eastAsia="宋体" w:cs="宋体"/>
                <w:i w:val="0"/>
                <w:color w:val="auto"/>
                <w:sz w:val="21"/>
                <w:szCs w:val="21"/>
                <w:highlight w:val="none"/>
                <w:u w:val="none"/>
              </w:rPr>
            </w:pPr>
          </w:p>
        </w:tc>
      </w:tr>
      <w:tr w14:paraId="5AD7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C51C">
            <w:pPr>
              <w:jc w:val="center"/>
              <w:rPr>
                <w:rFonts w:hint="eastAsia" w:ascii="宋体" w:hAnsi="宋体" w:eastAsia="宋体" w:cs="宋体"/>
                <w:i w:val="0"/>
                <w:color w:val="auto"/>
                <w:sz w:val="21"/>
                <w:szCs w:val="21"/>
                <w:highlight w:val="none"/>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385A5">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2. </w:t>
            </w:r>
            <w:r>
              <w:rPr>
                <w:rStyle w:val="30"/>
                <w:rFonts w:hint="eastAsia" w:ascii="宋体" w:hAnsi="宋体" w:eastAsia="宋体" w:cs="宋体"/>
                <w:color w:val="auto"/>
                <w:sz w:val="21"/>
                <w:szCs w:val="21"/>
                <w:highlight w:val="none"/>
                <w:lang w:val="en-US" w:eastAsia="zh-CN" w:bidi="ar"/>
              </w:rPr>
              <w:t>严格遵守甲方相关规章制度，尊重甲方工作流程，保守甲方商业秘密及相关敏感信息（</w:t>
            </w:r>
            <w:r>
              <w:rPr>
                <w:rStyle w:val="31"/>
                <w:rFonts w:hint="eastAsia" w:ascii="宋体" w:hAnsi="宋体" w:eastAsia="宋体" w:cs="宋体"/>
                <w:color w:val="auto"/>
                <w:sz w:val="21"/>
                <w:szCs w:val="21"/>
                <w:highlight w:val="none"/>
                <w:lang w:val="en-US" w:eastAsia="zh-CN" w:bidi="ar"/>
              </w:rPr>
              <w:t>7</w:t>
            </w:r>
            <w:r>
              <w:rPr>
                <w:rStyle w:val="30"/>
                <w:rFonts w:hint="eastAsia" w:ascii="宋体" w:hAnsi="宋体" w:eastAsia="宋体" w:cs="宋体"/>
                <w:color w:val="auto"/>
                <w:sz w:val="21"/>
                <w:szCs w:val="21"/>
                <w:highlight w:val="none"/>
                <w:lang w:val="en-US" w:eastAsia="zh-CN" w:bidi="ar"/>
              </w:rPr>
              <w:t>分）；违反甲方规章制度每次扣</w:t>
            </w:r>
            <w:r>
              <w:rPr>
                <w:rStyle w:val="31"/>
                <w:rFonts w:hint="eastAsia" w:ascii="宋体" w:hAnsi="宋体" w:eastAsia="宋体" w:cs="宋体"/>
                <w:color w:val="auto"/>
                <w:sz w:val="21"/>
                <w:szCs w:val="21"/>
                <w:highlight w:val="none"/>
                <w:lang w:val="en-US" w:eastAsia="zh-CN" w:bidi="ar"/>
              </w:rPr>
              <w:t>3</w:t>
            </w:r>
            <w:r>
              <w:rPr>
                <w:rStyle w:val="30"/>
                <w:rFonts w:hint="eastAsia" w:ascii="宋体" w:hAnsi="宋体" w:eastAsia="宋体" w:cs="宋体"/>
                <w:color w:val="auto"/>
                <w:sz w:val="21"/>
                <w:szCs w:val="21"/>
                <w:highlight w:val="none"/>
                <w:lang w:val="en-US" w:eastAsia="zh-CN" w:bidi="ar"/>
              </w:rPr>
              <w:t>分，泄露敏感信息此项不得分，并追究相关责任。</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D410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49DB7">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3B774">
            <w:pPr>
              <w:jc w:val="center"/>
              <w:rPr>
                <w:rFonts w:hint="eastAsia" w:ascii="宋体" w:hAnsi="宋体" w:eastAsia="宋体" w:cs="宋体"/>
                <w:i w:val="0"/>
                <w:color w:val="auto"/>
                <w:sz w:val="21"/>
                <w:szCs w:val="21"/>
                <w:highlight w:val="none"/>
                <w:u w:val="none"/>
              </w:rPr>
            </w:pPr>
          </w:p>
        </w:tc>
      </w:tr>
      <w:tr w14:paraId="115A1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42F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0"/>
                <w:rFonts w:hint="eastAsia" w:ascii="宋体" w:hAnsi="宋体" w:eastAsia="宋体" w:cs="宋体"/>
                <w:color w:val="auto"/>
                <w:sz w:val="21"/>
                <w:szCs w:val="21"/>
                <w:highlight w:val="none"/>
                <w:lang w:val="en-US" w:eastAsia="zh-CN" w:bidi="ar"/>
              </w:rPr>
              <w:t>四、沟通效率（</w:t>
            </w:r>
            <w:r>
              <w:rPr>
                <w:rStyle w:val="31"/>
                <w:rFonts w:hint="eastAsia" w:ascii="宋体" w:hAnsi="宋体" w:eastAsia="宋体" w:cs="宋体"/>
                <w:color w:val="auto"/>
                <w:sz w:val="21"/>
                <w:szCs w:val="21"/>
                <w:highlight w:val="none"/>
                <w:lang w:val="en-US" w:eastAsia="zh-CN" w:bidi="ar"/>
              </w:rPr>
              <w:t>15</w:t>
            </w:r>
            <w:r>
              <w:rPr>
                <w:rStyle w:val="30"/>
                <w:rFonts w:hint="eastAsia" w:ascii="宋体" w:hAnsi="宋体" w:eastAsia="宋体" w:cs="宋体"/>
                <w:color w:val="auto"/>
                <w:sz w:val="21"/>
                <w:szCs w:val="21"/>
                <w:highlight w:val="none"/>
                <w:lang w:val="en-US" w:eastAsia="zh-CN" w:bidi="ar"/>
              </w:rPr>
              <w:t>分）</w:t>
            </w: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FD2E2">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1. </w:t>
            </w:r>
            <w:r>
              <w:rPr>
                <w:rStyle w:val="30"/>
                <w:rFonts w:hint="eastAsia" w:ascii="宋体" w:hAnsi="宋体" w:eastAsia="宋体" w:cs="宋体"/>
                <w:color w:val="auto"/>
                <w:sz w:val="21"/>
                <w:szCs w:val="21"/>
                <w:highlight w:val="none"/>
                <w:lang w:val="en-US" w:eastAsia="zh-CN" w:bidi="ar"/>
              </w:rPr>
              <w:t>对甲方的电话、微信、邮件等沟通需求，工作时间内</w:t>
            </w:r>
            <w:r>
              <w:rPr>
                <w:rStyle w:val="31"/>
                <w:rFonts w:hint="eastAsia" w:ascii="宋体" w:hAnsi="宋体" w:eastAsia="宋体" w:cs="宋体"/>
                <w:color w:val="auto"/>
                <w:sz w:val="21"/>
                <w:szCs w:val="21"/>
                <w:highlight w:val="none"/>
                <w:lang w:val="en-US" w:eastAsia="zh-CN" w:bidi="ar"/>
              </w:rPr>
              <w:t>2</w:t>
            </w:r>
            <w:r>
              <w:rPr>
                <w:rStyle w:val="30"/>
                <w:rFonts w:hint="eastAsia" w:ascii="宋体" w:hAnsi="宋体" w:eastAsia="宋体" w:cs="宋体"/>
                <w:color w:val="auto"/>
                <w:sz w:val="21"/>
                <w:szCs w:val="21"/>
                <w:highlight w:val="none"/>
                <w:lang w:val="en-US" w:eastAsia="zh-CN" w:bidi="ar"/>
              </w:rPr>
              <w:t>小时内响应，非工作时间</w:t>
            </w:r>
            <w:r>
              <w:rPr>
                <w:rStyle w:val="31"/>
                <w:rFonts w:hint="eastAsia" w:ascii="宋体" w:hAnsi="宋体" w:eastAsia="宋体" w:cs="宋体"/>
                <w:color w:val="auto"/>
                <w:sz w:val="21"/>
                <w:szCs w:val="21"/>
                <w:highlight w:val="none"/>
                <w:lang w:val="en-US" w:eastAsia="zh-CN" w:bidi="ar"/>
              </w:rPr>
              <w:t>24</w:t>
            </w:r>
            <w:r>
              <w:rPr>
                <w:rStyle w:val="30"/>
                <w:rFonts w:hint="eastAsia" w:ascii="宋体" w:hAnsi="宋体" w:eastAsia="宋体" w:cs="宋体"/>
                <w:color w:val="auto"/>
                <w:sz w:val="21"/>
                <w:szCs w:val="21"/>
                <w:highlight w:val="none"/>
                <w:lang w:val="en-US" w:eastAsia="zh-CN" w:bidi="ar"/>
              </w:rPr>
              <w:t>小时内响应（</w:t>
            </w:r>
            <w:r>
              <w:rPr>
                <w:rStyle w:val="31"/>
                <w:rFonts w:hint="eastAsia" w:ascii="宋体" w:hAnsi="宋体" w:eastAsia="宋体" w:cs="宋体"/>
                <w:color w:val="auto"/>
                <w:sz w:val="21"/>
                <w:szCs w:val="21"/>
                <w:highlight w:val="none"/>
                <w:lang w:val="en-US" w:eastAsia="zh-CN" w:bidi="ar"/>
              </w:rPr>
              <w:t>8</w:t>
            </w:r>
            <w:r>
              <w:rPr>
                <w:rStyle w:val="30"/>
                <w:rFonts w:hint="eastAsia" w:ascii="宋体" w:hAnsi="宋体" w:eastAsia="宋体" w:cs="宋体"/>
                <w:color w:val="auto"/>
                <w:sz w:val="21"/>
                <w:szCs w:val="21"/>
                <w:highlight w:val="none"/>
                <w:lang w:val="en-US" w:eastAsia="zh-CN" w:bidi="ar"/>
              </w:rPr>
              <w:t>分）；未按时响应每次扣</w:t>
            </w:r>
            <w:r>
              <w:rPr>
                <w:rStyle w:val="31"/>
                <w:rFonts w:hint="eastAsia" w:ascii="宋体" w:hAnsi="宋体" w:eastAsia="宋体" w:cs="宋体"/>
                <w:color w:val="auto"/>
                <w:sz w:val="21"/>
                <w:szCs w:val="21"/>
                <w:highlight w:val="none"/>
                <w:lang w:val="en-US" w:eastAsia="zh-CN" w:bidi="ar"/>
              </w:rPr>
              <w:t>2</w:t>
            </w:r>
            <w:r>
              <w:rPr>
                <w:rStyle w:val="30"/>
                <w:rFonts w:hint="eastAsia" w:ascii="宋体" w:hAnsi="宋体" w:eastAsia="宋体" w:cs="宋体"/>
                <w:color w:val="auto"/>
                <w:sz w:val="21"/>
                <w:szCs w:val="21"/>
                <w:highlight w:val="none"/>
                <w:lang w:val="en-US" w:eastAsia="zh-CN" w:bidi="ar"/>
              </w:rPr>
              <w:t>分，逾期超过</w:t>
            </w:r>
            <w:r>
              <w:rPr>
                <w:rStyle w:val="31"/>
                <w:rFonts w:hint="eastAsia" w:ascii="宋体" w:hAnsi="宋体" w:eastAsia="宋体" w:cs="宋体"/>
                <w:color w:val="auto"/>
                <w:sz w:val="21"/>
                <w:szCs w:val="21"/>
                <w:highlight w:val="none"/>
                <w:lang w:val="en-US" w:eastAsia="zh-CN" w:bidi="ar"/>
              </w:rPr>
              <w:t>48</w:t>
            </w:r>
            <w:r>
              <w:rPr>
                <w:rStyle w:val="30"/>
                <w:rFonts w:hint="eastAsia" w:ascii="宋体" w:hAnsi="宋体" w:eastAsia="宋体" w:cs="宋体"/>
                <w:color w:val="auto"/>
                <w:sz w:val="21"/>
                <w:szCs w:val="21"/>
                <w:highlight w:val="none"/>
                <w:lang w:val="en-US" w:eastAsia="zh-CN" w:bidi="ar"/>
              </w:rPr>
              <w:t>小时每次扣</w:t>
            </w:r>
            <w:r>
              <w:rPr>
                <w:rStyle w:val="31"/>
                <w:rFonts w:hint="eastAsia" w:ascii="宋体" w:hAnsi="宋体" w:eastAsia="宋体" w:cs="宋体"/>
                <w:color w:val="auto"/>
                <w:sz w:val="21"/>
                <w:szCs w:val="21"/>
                <w:highlight w:val="none"/>
                <w:lang w:val="en-US" w:eastAsia="zh-CN" w:bidi="ar"/>
              </w:rPr>
              <w:t>4</w:t>
            </w:r>
            <w:r>
              <w:rPr>
                <w:rStyle w:val="30"/>
                <w:rFonts w:hint="eastAsia" w:ascii="宋体" w:hAnsi="宋体" w:eastAsia="宋体" w:cs="宋体"/>
                <w:color w:val="auto"/>
                <w:sz w:val="21"/>
                <w:szCs w:val="21"/>
                <w:highlight w:val="none"/>
                <w:lang w:val="en-US" w:eastAsia="zh-CN" w:bidi="ar"/>
              </w:rPr>
              <w:t>分，扣完为止。</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9D573">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8</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2333">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6F9E3">
            <w:pPr>
              <w:jc w:val="center"/>
              <w:rPr>
                <w:rFonts w:hint="eastAsia" w:ascii="宋体" w:hAnsi="宋体" w:eastAsia="宋体" w:cs="宋体"/>
                <w:i w:val="0"/>
                <w:color w:val="auto"/>
                <w:sz w:val="21"/>
                <w:szCs w:val="21"/>
                <w:highlight w:val="none"/>
                <w:u w:val="none"/>
              </w:rPr>
            </w:pPr>
          </w:p>
        </w:tc>
      </w:tr>
      <w:tr w14:paraId="7AA12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722B0">
            <w:pPr>
              <w:jc w:val="center"/>
              <w:rPr>
                <w:rFonts w:hint="eastAsia" w:ascii="宋体" w:hAnsi="宋体" w:eastAsia="宋体" w:cs="宋体"/>
                <w:i w:val="0"/>
                <w:color w:val="auto"/>
                <w:sz w:val="21"/>
                <w:szCs w:val="21"/>
                <w:highlight w:val="none"/>
                <w:u w:val="none"/>
              </w:rPr>
            </w:pPr>
          </w:p>
        </w:tc>
        <w:tc>
          <w:tcPr>
            <w:tcW w:w="47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128C">
            <w:pPr>
              <w:keepNext w:val="0"/>
              <w:keepLines w:val="0"/>
              <w:widowControl/>
              <w:suppressLineNumbers w:val="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2. </w:t>
            </w:r>
            <w:r>
              <w:rPr>
                <w:rStyle w:val="30"/>
                <w:rFonts w:hint="eastAsia" w:ascii="宋体" w:hAnsi="宋体" w:eastAsia="宋体" w:cs="宋体"/>
                <w:color w:val="auto"/>
                <w:sz w:val="21"/>
                <w:szCs w:val="21"/>
                <w:highlight w:val="none"/>
                <w:lang w:val="en-US" w:eastAsia="zh-CN" w:bidi="ar"/>
              </w:rPr>
              <w:t>沟通内容清晰、准确，能准确理解甲方需求并传达工作意图，无误解、遗漏（</w:t>
            </w:r>
            <w:r>
              <w:rPr>
                <w:rStyle w:val="31"/>
                <w:rFonts w:hint="eastAsia" w:ascii="宋体" w:hAnsi="宋体" w:eastAsia="宋体" w:cs="宋体"/>
                <w:color w:val="auto"/>
                <w:sz w:val="21"/>
                <w:szCs w:val="21"/>
                <w:highlight w:val="none"/>
                <w:lang w:val="en-US" w:eastAsia="zh-CN" w:bidi="ar"/>
              </w:rPr>
              <w:t>7</w:t>
            </w:r>
            <w:r>
              <w:rPr>
                <w:rStyle w:val="30"/>
                <w:rFonts w:hint="eastAsia" w:ascii="宋体" w:hAnsi="宋体" w:eastAsia="宋体" w:cs="宋体"/>
                <w:color w:val="auto"/>
                <w:sz w:val="21"/>
                <w:szCs w:val="21"/>
                <w:highlight w:val="none"/>
                <w:lang w:val="en-US" w:eastAsia="zh-CN" w:bidi="ar"/>
              </w:rPr>
              <w:t>分）；因沟通不当导致工作失误</w:t>
            </w:r>
            <w:r>
              <w:rPr>
                <w:rStyle w:val="31"/>
                <w:rFonts w:hint="eastAsia" w:ascii="宋体" w:hAnsi="宋体" w:eastAsia="宋体" w:cs="宋体"/>
                <w:color w:val="auto"/>
                <w:sz w:val="21"/>
                <w:szCs w:val="21"/>
                <w:highlight w:val="none"/>
                <w:lang w:val="en-US" w:eastAsia="zh-CN" w:bidi="ar"/>
              </w:rPr>
              <w:t>1</w:t>
            </w:r>
            <w:r>
              <w:rPr>
                <w:rStyle w:val="30"/>
                <w:rFonts w:hint="eastAsia" w:ascii="宋体" w:hAnsi="宋体" w:eastAsia="宋体" w:cs="宋体"/>
                <w:color w:val="auto"/>
                <w:sz w:val="21"/>
                <w:szCs w:val="21"/>
                <w:highlight w:val="none"/>
                <w:lang w:val="en-US" w:eastAsia="zh-CN" w:bidi="ar"/>
              </w:rPr>
              <w:t>次扣</w:t>
            </w:r>
            <w:r>
              <w:rPr>
                <w:rStyle w:val="31"/>
                <w:rFonts w:hint="eastAsia" w:ascii="宋体" w:hAnsi="宋体" w:eastAsia="宋体" w:cs="宋体"/>
                <w:color w:val="auto"/>
                <w:sz w:val="21"/>
                <w:szCs w:val="21"/>
                <w:highlight w:val="none"/>
                <w:lang w:val="en-US" w:eastAsia="zh-CN" w:bidi="ar"/>
              </w:rPr>
              <w:t>3</w:t>
            </w:r>
            <w:r>
              <w:rPr>
                <w:rStyle w:val="30"/>
                <w:rFonts w:hint="eastAsia" w:ascii="宋体" w:hAnsi="宋体" w:eastAsia="宋体" w:cs="宋体"/>
                <w:color w:val="auto"/>
                <w:sz w:val="21"/>
                <w:szCs w:val="21"/>
                <w:highlight w:val="none"/>
                <w:lang w:val="en-US" w:eastAsia="zh-CN" w:bidi="ar"/>
              </w:rPr>
              <w:t>分，误解甲方需求导致工作返工扣</w:t>
            </w:r>
            <w:r>
              <w:rPr>
                <w:rStyle w:val="31"/>
                <w:rFonts w:hint="eastAsia" w:ascii="宋体" w:hAnsi="宋体" w:eastAsia="宋体" w:cs="宋体"/>
                <w:color w:val="auto"/>
                <w:sz w:val="21"/>
                <w:szCs w:val="21"/>
                <w:highlight w:val="none"/>
                <w:lang w:val="en-US" w:eastAsia="zh-CN" w:bidi="ar"/>
              </w:rPr>
              <w:t>5-7</w:t>
            </w:r>
            <w:r>
              <w:rPr>
                <w:rStyle w:val="30"/>
                <w:rFonts w:hint="eastAsia" w:ascii="宋体" w:hAnsi="宋体" w:eastAsia="宋体" w:cs="宋体"/>
                <w:color w:val="auto"/>
                <w:sz w:val="21"/>
                <w:szCs w:val="21"/>
                <w:highlight w:val="none"/>
                <w:lang w:val="en-US" w:eastAsia="zh-CN" w:bidi="ar"/>
              </w:rPr>
              <w:t>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E3460">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754FD">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8D8A8">
            <w:pPr>
              <w:jc w:val="center"/>
              <w:rPr>
                <w:rFonts w:hint="eastAsia" w:ascii="宋体" w:hAnsi="宋体" w:eastAsia="宋体" w:cs="宋体"/>
                <w:i w:val="0"/>
                <w:color w:val="auto"/>
                <w:sz w:val="21"/>
                <w:szCs w:val="21"/>
                <w:highlight w:val="none"/>
                <w:u w:val="none"/>
              </w:rPr>
            </w:pPr>
          </w:p>
        </w:tc>
      </w:tr>
      <w:tr w14:paraId="3BD60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6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67AF5">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0"/>
                <w:rFonts w:hint="eastAsia" w:ascii="宋体" w:hAnsi="宋体" w:eastAsia="宋体" w:cs="宋体"/>
                <w:color w:val="auto"/>
                <w:sz w:val="21"/>
                <w:szCs w:val="21"/>
                <w:highlight w:val="none"/>
                <w:lang w:val="en-US" w:eastAsia="zh-CN" w:bidi="ar"/>
              </w:rPr>
              <w:t>合计得分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BC14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100</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ED74D">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7C052">
            <w:pPr>
              <w:jc w:val="center"/>
              <w:rPr>
                <w:rFonts w:hint="eastAsia" w:ascii="宋体" w:hAnsi="宋体" w:eastAsia="宋体" w:cs="宋体"/>
                <w:i w:val="0"/>
                <w:color w:val="auto"/>
                <w:sz w:val="21"/>
                <w:szCs w:val="21"/>
                <w:highlight w:val="none"/>
                <w:u w:val="none"/>
              </w:rPr>
            </w:pPr>
          </w:p>
        </w:tc>
      </w:tr>
      <w:tr w14:paraId="2C539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6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34636">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0"/>
                <w:rFonts w:hint="eastAsia" w:ascii="宋体" w:hAnsi="宋体" w:eastAsia="宋体" w:cs="宋体"/>
                <w:color w:val="auto"/>
                <w:sz w:val="21"/>
                <w:szCs w:val="21"/>
                <w:highlight w:val="none"/>
                <w:lang w:val="en-US" w:eastAsia="zh-CN" w:bidi="ar"/>
              </w:rPr>
              <w:t>加分项（最高加</w:t>
            </w:r>
            <w:r>
              <w:rPr>
                <w:rStyle w:val="31"/>
                <w:rFonts w:hint="eastAsia" w:ascii="宋体" w:hAnsi="宋体" w:eastAsia="宋体" w:cs="宋体"/>
                <w:color w:val="auto"/>
                <w:sz w:val="21"/>
                <w:szCs w:val="21"/>
                <w:highlight w:val="none"/>
                <w:lang w:val="en-US" w:eastAsia="zh-CN" w:bidi="ar"/>
              </w:rPr>
              <w:t>5</w:t>
            </w:r>
            <w:r>
              <w:rPr>
                <w:rStyle w:val="30"/>
                <w:rFonts w:hint="eastAsia" w:ascii="宋体" w:hAnsi="宋体" w:eastAsia="宋体" w:cs="宋体"/>
                <w:color w:val="auto"/>
                <w:sz w:val="21"/>
                <w:szCs w:val="21"/>
                <w:highlight w:val="none"/>
                <w:lang w:val="en-US" w:eastAsia="zh-CN" w:bidi="ar"/>
              </w:rPr>
              <w:t>分，不累计超过</w:t>
            </w:r>
            <w:r>
              <w:rPr>
                <w:rStyle w:val="31"/>
                <w:rFonts w:hint="eastAsia" w:ascii="宋体" w:hAnsi="宋体" w:eastAsia="宋体" w:cs="宋体"/>
                <w:color w:val="auto"/>
                <w:sz w:val="21"/>
                <w:szCs w:val="21"/>
                <w:highlight w:val="none"/>
                <w:lang w:val="en-US" w:eastAsia="zh-CN" w:bidi="ar"/>
              </w:rPr>
              <w:t>100</w:t>
            </w:r>
            <w:r>
              <w:rPr>
                <w:rStyle w:val="30"/>
                <w:rFonts w:hint="eastAsia" w:ascii="宋体" w:hAnsi="宋体" w:eastAsia="宋体" w:cs="宋体"/>
                <w:color w:val="auto"/>
                <w:sz w:val="21"/>
                <w:szCs w:val="21"/>
                <w:highlight w:val="none"/>
                <w:lang w:val="en-US" w:eastAsia="zh-CN" w:bidi="ar"/>
              </w:rPr>
              <w:t>分）：</w:t>
            </w:r>
            <w:r>
              <w:rPr>
                <w:rStyle w:val="31"/>
                <w:rFonts w:hint="eastAsia" w:ascii="宋体" w:hAnsi="宋体" w:eastAsia="宋体" w:cs="宋体"/>
                <w:color w:val="auto"/>
                <w:sz w:val="21"/>
                <w:szCs w:val="21"/>
                <w:highlight w:val="none"/>
                <w:lang w:val="en-US" w:eastAsia="zh-CN" w:bidi="ar"/>
              </w:rPr>
              <w:t xml:space="preserve">1. </w:t>
            </w:r>
            <w:r>
              <w:rPr>
                <w:rStyle w:val="30"/>
                <w:rFonts w:hint="eastAsia" w:ascii="宋体" w:hAnsi="宋体" w:eastAsia="宋体" w:cs="宋体"/>
                <w:color w:val="auto"/>
                <w:sz w:val="21"/>
                <w:szCs w:val="21"/>
                <w:highlight w:val="none"/>
                <w:lang w:val="en-US" w:eastAsia="zh-CN" w:bidi="ar"/>
              </w:rPr>
              <w:t>提前完成服务任务且质量优良，加</w:t>
            </w:r>
            <w:r>
              <w:rPr>
                <w:rStyle w:val="31"/>
                <w:rFonts w:hint="eastAsia" w:ascii="宋体" w:hAnsi="宋体" w:eastAsia="宋体" w:cs="宋体"/>
                <w:color w:val="auto"/>
                <w:sz w:val="21"/>
                <w:szCs w:val="21"/>
                <w:highlight w:val="none"/>
                <w:lang w:val="en-US" w:eastAsia="zh-CN" w:bidi="ar"/>
              </w:rPr>
              <w:t>2-3</w:t>
            </w:r>
            <w:r>
              <w:rPr>
                <w:rStyle w:val="30"/>
                <w:rFonts w:hint="eastAsia" w:ascii="宋体" w:hAnsi="宋体" w:eastAsia="宋体" w:cs="宋体"/>
                <w:color w:val="auto"/>
                <w:sz w:val="21"/>
                <w:szCs w:val="21"/>
                <w:highlight w:val="none"/>
                <w:lang w:val="en-US" w:eastAsia="zh-CN" w:bidi="ar"/>
              </w:rPr>
              <w:t>分；</w:t>
            </w:r>
            <w:r>
              <w:rPr>
                <w:rStyle w:val="31"/>
                <w:rFonts w:hint="eastAsia" w:ascii="宋体" w:hAnsi="宋体" w:eastAsia="宋体" w:cs="宋体"/>
                <w:color w:val="auto"/>
                <w:sz w:val="21"/>
                <w:szCs w:val="21"/>
                <w:highlight w:val="none"/>
                <w:lang w:val="en-US" w:eastAsia="zh-CN" w:bidi="ar"/>
              </w:rPr>
              <w:t xml:space="preserve">2. </w:t>
            </w:r>
            <w:r>
              <w:rPr>
                <w:rStyle w:val="30"/>
                <w:rFonts w:hint="eastAsia" w:ascii="宋体" w:hAnsi="宋体" w:eastAsia="宋体" w:cs="宋体"/>
                <w:color w:val="auto"/>
                <w:sz w:val="21"/>
                <w:szCs w:val="21"/>
                <w:highlight w:val="none"/>
                <w:lang w:val="en-US" w:eastAsia="zh-CN" w:bidi="ar"/>
              </w:rPr>
              <w:t>提出的优化建议被甲方采纳并产生良好效果，加</w:t>
            </w:r>
            <w:r>
              <w:rPr>
                <w:rStyle w:val="31"/>
                <w:rFonts w:hint="eastAsia" w:ascii="宋体" w:hAnsi="宋体" w:eastAsia="宋体" w:cs="宋体"/>
                <w:color w:val="auto"/>
                <w:sz w:val="21"/>
                <w:szCs w:val="21"/>
                <w:highlight w:val="none"/>
                <w:lang w:val="en-US" w:eastAsia="zh-CN" w:bidi="ar"/>
              </w:rPr>
              <w:t>2-3</w:t>
            </w:r>
            <w:r>
              <w:rPr>
                <w:rStyle w:val="30"/>
                <w:rFonts w:hint="eastAsia" w:ascii="宋体" w:hAnsi="宋体" w:eastAsia="宋体" w:cs="宋体"/>
                <w:color w:val="auto"/>
                <w:sz w:val="21"/>
                <w:szCs w:val="21"/>
                <w:highlight w:val="none"/>
                <w:lang w:val="en-US" w:eastAsia="zh-CN" w:bidi="ar"/>
              </w:rPr>
              <w:t>分；</w:t>
            </w:r>
            <w:r>
              <w:rPr>
                <w:rStyle w:val="31"/>
                <w:rFonts w:hint="eastAsia" w:ascii="宋体" w:hAnsi="宋体" w:eastAsia="宋体" w:cs="宋体"/>
                <w:color w:val="auto"/>
                <w:sz w:val="21"/>
                <w:szCs w:val="21"/>
                <w:highlight w:val="none"/>
                <w:lang w:val="en-US" w:eastAsia="zh-CN" w:bidi="ar"/>
              </w:rPr>
              <w:t xml:space="preserve">3. </w:t>
            </w:r>
            <w:r>
              <w:rPr>
                <w:rStyle w:val="30"/>
                <w:rFonts w:hint="eastAsia" w:ascii="宋体" w:hAnsi="宋体" w:eastAsia="宋体" w:cs="宋体"/>
                <w:color w:val="auto"/>
                <w:sz w:val="21"/>
                <w:szCs w:val="21"/>
                <w:highlight w:val="none"/>
                <w:lang w:val="en-US" w:eastAsia="zh-CN" w:bidi="ar"/>
              </w:rPr>
              <w:t>服务过程中表现突出，获得甲方相关部门书面认可，加</w:t>
            </w:r>
            <w:r>
              <w:rPr>
                <w:rStyle w:val="31"/>
                <w:rFonts w:hint="eastAsia" w:ascii="宋体" w:hAnsi="宋体" w:eastAsia="宋体" w:cs="宋体"/>
                <w:color w:val="auto"/>
                <w:sz w:val="21"/>
                <w:szCs w:val="21"/>
                <w:highlight w:val="none"/>
                <w:lang w:val="en-US" w:eastAsia="zh-CN" w:bidi="ar"/>
              </w:rPr>
              <w:t>1-2</w:t>
            </w:r>
            <w:r>
              <w:rPr>
                <w:rStyle w:val="30"/>
                <w:rFonts w:hint="eastAsia" w:ascii="宋体" w:hAnsi="宋体" w:eastAsia="宋体" w:cs="宋体"/>
                <w:color w:val="auto"/>
                <w:sz w:val="21"/>
                <w:szCs w:val="21"/>
                <w:highlight w:val="none"/>
                <w:lang w:val="en-US" w:eastAsia="zh-CN" w:bidi="ar"/>
              </w:rPr>
              <w:t>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CE9E4">
            <w:pPr>
              <w:jc w:val="center"/>
              <w:rPr>
                <w:rFonts w:hint="eastAsia" w:ascii="宋体" w:hAnsi="宋体" w:eastAsia="宋体" w:cs="宋体"/>
                <w:i w:val="0"/>
                <w:color w:val="auto"/>
                <w:sz w:val="21"/>
                <w:szCs w:val="21"/>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25576">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3A29">
            <w:pPr>
              <w:jc w:val="center"/>
              <w:rPr>
                <w:rFonts w:hint="eastAsia" w:ascii="宋体" w:hAnsi="宋体" w:eastAsia="宋体" w:cs="宋体"/>
                <w:i w:val="0"/>
                <w:color w:val="auto"/>
                <w:sz w:val="21"/>
                <w:szCs w:val="21"/>
                <w:highlight w:val="none"/>
                <w:u w:val="none"/>
              </w:rPr>
            </w:pPr>
          </w:p>
        </w:tc>
      </w:tr>
      <w:tr w14:paraId="62D6D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65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C029">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Style w:val="30"/>
                <w:rFonts w:hint="eastAsia" w:ascii="宋体" w:hAnsi="宋体" w:eastAsia="宋体" w:cs="宋体"/>
                <w:color w:val="auto"/>
                <w:sz w:val="21"/>
                <w:szCs w:val="21"/>
                <w:highlight w:val="none"/>
                <w:lang w:val="en-US" w:eastAsia="zh-CN" w:bidi="ar"/>
              </w:rPr>
              <w:t>减分项（可累计扣分，不设下限）：</w:t>
            </w:r>
            <w:r>
              <w:rPr>
                <w:rStyle w:val="31"/>
                <w:rFonts w:hint="eastAsia" w:ascii="宋体" w:hAnsi="宋体" w:eastAsia="宋体" w:cs="宋体"/>
                <w:color w:val="auto"/>
                <w:sz w:val="21"/>
                <w:szCs w:val="21"/>
                <w:highlight w:val="none"/>
                <w:lang w:val="en-US" w:eastAsia="zh-CN" w:bidi="ar"/>
              </w:rPr>
              <w:t xml:space="preserve">1. </w:t>
            </w:r>
            <w:r>
              <w:rPr>
                <w:rStyle w:val="30"/>
                <w:rFonts w:hint="eastAsia" w:ascii="宋体" w:hAnsi="宋体" w:eastAsia="宋体" w:cs="宋体"/>
                <w:color w:val="auto"/>
                <w:sz w:val="21"/>
                <w:szCs w:val="21"/>
                <w:highlight w:val="none"/>
                <w:lang w:val="en-US" w:eastAsia="zh-CN" w:bidi="ar"/>
              </w:rPr>
              <w:t>因乙方原因导致工作返工，每次扣</w:t>
            </w:r>
            <w:r>
              <w:rPr>
                <w:rStyle w:val="31"/>
                <w:rFonts w:hint="eastAsia" w:ascii="宋体" w:hAnsi="宋体" w:eastAsia="宋体" w:cs="宋体"/>
                <w:color w:val="auto"/>
                <w:sz w:val="21"/>
                <w:szCs w:val="21"/>
                <w:highlight w:val="none"/>
                <w:lang w:val="en-US" w:eastAsia="zh-CN" w:bidi="ar"/>
              </w:rPr>
              <w:t>5</w:t>
            </w:r>
            <w:r>
              <w:rPr>
                <w:rStyle w:val="30"/>
                <w:rFonts w:hint="eastAsia" w:ascii="宋体" w:hAnsi="宋体" w:eastAsia="宋体" w:cs="宋体"/>
                <w:color w:val="auto"/>
                <w:sz w:val="21"/>
                <w:szCs w:val="21"/>
                <w:highlight w:val="none"/>
                <w:lang w:val="en-US" w:eastAsia="zh-CN" w:bidi="ar"/>
              </w:rPr>
              <w:t>分；</w:t>
            </w:r>
            <w:r>
              <w:rPr>
                <w:rStyle w:val="31"/>
                <w:rFonts w:hint="eastAsia" w:ascii="宋体" w:hAnsi="宋体" w:eastAsia="宋体" w:cs="宋体"/>
                <w:color w:val="auto"/>
                <w:sz w:val="21"/>
                <w:szCs w:val="21"/>
                <w:highlight w:val="none"/>
                <w:lang w:val="en-US" w:eastAsia="zh-CN" w:bidi="ar"/>
              </w:rPr>
              <w:t xml:space="preserve">2. </w:t>
            </w:r>
            <w:r>
              <w:rPr>
                <w:rStyle w:val="30"/>
                <w:rFonts w:hint="eastAsia" w:ascii="宋体" w:hAnsi="宋体" w:eastAsia="宋体" w:cs="宋体"/>
                <w:color w:val="auto"/>
                <w:sz w:val="21"/>
                <w:szCs w:val="21"/>
                <w:highlight w:val="none"/>
                <w:lang w:val="en-US" w:eastAsia="zh-CN" w:bidi="ar"/>
              </w:rPr>
              <w:t>提供虚假数据、虚假报告，每次扣</w:t>
            </w:r>
            <w:r>
              <w:rPr>
                <w:rStyle w:val="31"/>
                <w:rFonts w:hint="eastAsia" w:ascii="宋体" w:hAnsi="宋体" w:eastAsia="宋体" w:cs="宋体"/>
                <w:color w:val="auto"/>
                <w:sz w:val="21"/>
                <w:szCs w:val="21"/>
                <w:highlight w:val="none"/>
                <w:lang w:val="en-US" w:eastAsia="zh-CN" w:bidi="ar"/>
              </w:rPr>
              <w:t>10</w:t>
            </w:r>
            <w:r>
              <w:rPr>
                <w:rStyle w:val="30"/>
                <w:rFonts w:hint="eastAsia" w:ascii="宋体" w:hAnsi="宋体" w:eastAsia="宋体" w:cs="宋体"/>
                <w:color w:val="auto"/>
                <w:sz w:val="21"/>
                <w:szCs w:val="21"/>
                <w:highlight w:val="none"/>
                <w:lang w:val="en-US" w:eastAsia="zh-CN" w:bidi="ar"/>
              </w:rPr>
              <w:t>分；</w:t>
            </w:r>
            <w:r>
              <w:rPr>
                <w:rStyle w:val="31"/>
                <w:rFonts w:hint="eastAsia" w:ascii="宋体" w:hAnsi="宋体" w:eastAsia="宋体" w:cs="宋体"/>
                <w:color w:val="auto"/>
                <w:sz w:val="21"/>
                <w:szCs w:val="21"/>
                <w:highlight w:val="none"/>
                <w:lang w:val="en-US" w:eastAsia="zh-CN" w:bidi="ar"/>
              </w:rPr>
              <w:t xml:space="preserve">3. </w:t>
            </w:r>
            <w:r>
              <w:rPr>
                <w:rStyle w:val="30"/>
                <w:rFonts w:hint="eastAsia" w:ascii="宋体" w:hAnsi="宋体" w:eastAsia="宋体" w:cs="宋体"/>
                <w:color w:val="auto"/>
                <w:sz w:val="21"/>
                <w:szCs w:val="21"/>
                <w:highlight w:val="none"/>
                <w:lang w:val="en-US" w:eastAsia="zh-CN" w:bidi="ar"/>
              </w:rPr>
              <w:t>无故缺席双方约定的沟通会、推进会，每次扣</w:t>
            </w:r>
            <w:r>
              <w:rPr>
                <w:rStyle w:val="31"/>
                <w:rFonts w:hint="eastAsia" w:ascii="宋体" w:hAnsi="宋体" w:eastAsia="宋体" w:cs="宋体"/>
                <w:color w:val="auto"/>
                <w:sz w:val="21"/>
                <w:szCs w:val="21"/>
                <w:highlight w:val="none"/>
                <w:lang w:val="en-US" w:eastAsia="zh-CN" w:bidi="ar"/>
              </w:rPr>
              <w:t>3</w:t>
            </w:r>
            <w:r>
              <w:rPr>
                <w:rStyle w:val="30"/>
                <w:rFonts w:hint="eastAsia" w:ascii="宋体" w:hAnsi="宋体" w:eastAsia="宋体" w:cs="宋体"/>
                <w:color w:val="auto"/>
                <w:sz w:val="21"/>
                <w:szCs w:val="21"/>
                <w:highlight w:val="none"/>
                <w:lang w:val="en-US" w:eastAsia="zh-CN" w:bidi="ar"/>
              </w:rPr>
              <w:t>分。</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3AB5C">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w:t>
            </w:r>
          </w:p>
        </w:tc>
        <w:tc>
          <w:tcPr>
            <w:tcW w:w="1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DC2D3">
            <w:pPr>
              <w:jc w:val="center"/>
              <w:rPr>
                <w:rFonts w:hint="eastAsia" w:ascii="宋体" w:hAnsi="宋体" w:eastAsia="宋体" w:cs="宋体"/>
                <w:i w:val="0"/>
                <w:color w:val="auto"/>
                <w:sz w:val="21"/>
                <w:szCs w:val="21"/>
                <w:highlight w:val="none"/>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555FB">
            <w:pPr>
              <w:jc w:val="center"/>
              <w:rPr>
                <w:rFonts w:hint="eastAsia" w:ascii="宋体" w:hAnsi="宋体" w:eastAsia="宋体" w:cs="宋体"/>
                <w:i w:val="0"/>
                <w:color w:val="auto"/>
                <w:sz w:val="21"/>
                <w:szCs w:val="21"/>
                <w:highlight w:val="none"/>
                <w:u w:val="none"/>
              </w:rPr>
            </w:pPr>
          </w:p>
        </w:tc>
      </w:tr>
      <w:tr w14:paraId="70F05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1801" w:type="dxa"/>
            <w:tcBorders>
              <w:top w:val="nil"/>
              <w:left w:val="nil"/>
              <w:bottom w:val="nil"/>
              <w:right w:val="nil"/>
            </w:tcBorders>
            <w:shd w:val="clear" w:color="auto" w:fill="auto"/>
            <w:noWrap/>
            <w:tcMar>
              <w:top w:w="15" w:type="dxa"/>
              <w:left w:w="15" w:type="dxa"/>
              <w:right w:w="15" w:type="dxa"/>
            </w:tcMar>
            <w:vAlign w:val="center"/>
          </w:tcPr>
          <w:p w14:paraId="4D3C4285">
            <w:pPr>
              <w:jc w:val="center"/>
              <w:rPr>
                <w:rFonts w:hint="eastAsia" w:ascii="宋体" w:hAnsi="宋体" w:eastAsia="宋体" w:cs="宋体"/>
                <w:i w:val="0"/>
                <w:color w:val="auto"/>
                <w:sz w:val="21"/>
                <w:szCs w:val="21"/>
                <w:highlight w:val="none"/>
                <w:u w:val="none"/>
              </w:rPr>
            </w:pPr>
          </w:p>
        </w:tc>
        <w:tc>
          <w:tcPr>
            <w:tcW w:w="4767" w:type="dxa"/>
            <w:tcBorders>
              <w:top w:val="nil"/>
              <w:left w:val="nil"/>
              <w:bottom w:val="nil"/>
              <w:right w:val="nil"/>
            </w:tcBorders>
            <w:shd w:val="clear" w:color="auto" w:fill="auto"/>
            <w:noWrap/>
            <w:tcMar>
              <w:top w:w="15" w:type="dxa"/>
              <w:left w:w="15" w:type="dxa"/>
              <w:right w:w="15" w:type="dxa"/>
            </w:tcMar>
            <w:vAlign w:val="center"/>
          </w:tcPr>
          <w:p w14:paraId="5DE592AD">
            <w:pPr>
              <w:jc w:val="center"/>
              <w:rPr>
                <w:rFonts w:hint="eastAsia" w:ascii="宋体" w:hAnsi="宋体" w:eastAsia="宋体" w:cs="宋体"/>
                <w:i w:val="0"/>
                <w:color w:val="auto"/>
                <w:sz w:val="21"/>
                <w:szCs w:val="21"/>
                <w:highlight w:val="none"/>
                <w:u w:val="none"/>
              </w:rPr>
            </w:pPr>
          </w:p>
        </w:tc>
        <w:tc>
          <w:tcPr>
            <w:tcW w:w="1130" w:type="dxa"/>
            <w:tcBorders>
              <w:top w:val="nil"/>
              <w:left w:val="nil"/>
              <w:bottom w:val="nil"/>
              <w:right w:val="nil"/>
            </w:tcBorders>
            <w:shd w:val="clear" w:color="auto" w:fill="auto"/>
            <w:noWrap/>
            <w:tcMar>
              <w:top w:w="15" w:type="dxa"/>
              <w:left w:w="15" w:type="dxa"/>
              <w:right w:w="15" w:type="dxa"/>
            </w:tcMar>
            <w:vAlign w:val="center"/>
          </w:tcPr>
          <w:p w14:paraId="559E489C">
            <w:pPr>
              <w:jc w:val="center"/>
              <w:rPr>
                <w:rFonts w:hint="eastAsia" w:ascii="宋体" w:hAnsi="宋体" w:eastAsia="宋体" w:cs="宋体"/>
                <w:i w:val="0"/>
                <w:color w:val="auto"/>
                <w:sz w:val="21"/>
                <w:szCs w:val="21"/>
                <w:highlight w:val="none"/>
                <w:u w:val="none"/>
              </w:rPr>
            </w:pPr>
          </w:p>
        </w:tc>
        <w:tc>
          <w:tcPr>
            <w:tcW w:w="1034" w:type="dxa"/>
            <w:tcBorders>
              <w:top w:val="nil"/>
              <w:left w:val="nil"/>
              <w:bottom w:val="nil"/>
              <w:right w:val="nil"/>
            </w:tcBorders>
            <w:shd w:val="clear" w:color="auto" w:fill="auto"/>
            <w:noWrap/>
            <w:tcMar>
              <w:top w:w="15" w:type="dxa"/>
              <w:left w:w="15" w:type="dxa"/>
              <w:right w:w="15" w:type="dxa"/>
            </w:tcMar>
            <w:vAlign w:val="center"/>
          </w:tcPr>
          <w:p w14:paraId="509E3EDC">
            <w:pPr>
              <w:jc w:val="center"/>
              <w:rPr>
                <w:rFonts w:hint="eastAsia" w:ascii="宋体" w:hAnsi="宋体" w:eastAsia="宋体" w:cs="宋体"/>
                <w:i w:val="0"/>
                <w:color w:val="auto"/>
                <w:sz w:val="21"/>
                <w:szCs w:val="21"/>
                <w:highlight w:val="none"/>
                <w:u w:val="none"/>
              </w:rPr>
            </w:pPr>
          </w:p>
        </w:tc>
        <w:tc>
          <w:tcPr>
            <w:tcW w:w="1040" w:type="dxa"/>
            <w:tcBorders>
              <w:top w:val="nil"/>
              <w:left w:val="nil"/>
              <w:bottom w:val="nil"/>
              <w:right w:val="nil"/>
            </w:tcBorders>
            <w:shd w:val="clear" w:color="auto" w:fill="auto"/>
            <w:noWrap/>
            <w:tcMar>
              <w:top w:w="15" w:type="dxa"/>
              <w:left w:w="15" w:type="dxa"/>
              <w:right w:w="15" w:type="dxa"/>
            </w:tcMar>
            <w:vAlign w:val="center"/>
          </w:tcPr>
          <w:p w14:paraId="653170B8">
            <w:pPr>
              <w:jc w:val="center"/>
              <w:rPr>
                <w:rFonts w:hint="eastAsia" w:ascii="宋体" w:hAnsi="宋体" w:eastAsia="宋体" w:cs="宋体"/>
                <w:i w:val="0"/>
                <w:color w:val="auto"/>
                <w:sz w:val="21"/>
                <w:szCs w:val="21"/>
                <w:highlight w:val="none"/>
                <w:u w:val="none"/>
              </w:rPr>
            </w:pPr>
          </w:p>
        </w:tc>
      </w:tr>
      <w:tr w14:paraId="6890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772" w:type="dxa"/>
            <w:gridSpan w:val="5"/>
            <w:tcBorders>
              <w:top w:val="nil"/>
              <w:left w:val="single" w:color="DEE0E3" w:sz="8" w:space="0"/>
              <w:bottom w:val="single" w:color="DEE0E3" w:sz="8" w:space="0"/>
              <w:right w:val="single" w:color="DEE0E3" w:sz="8" w:space="0"/>
            </w:tcBorders>
            <w:shd w:val="clear" w:color="auto" w:fill="auto"/>
            <w:tcMar>
              <w:top w:w="15" w:type="dxa"/>
              <w:left w:w="15" w:type="dxa"/>
              <w:right w:w="15" w:type="dxa"/>
            </w:tcMar>
            <w:vAlign w:val="center"/>
          </w:tcPr>
          <w:p w14:paraId="222B848E">
            <w:pPr>
              <w:keepNext w:val="0"/>
              <w:keepLines w:val="0"/>
              <w:widowControl/>
              <w:suppressLineNumbers w:val="0"/>
              <w:jc w:val="both"/>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考核结论：□优秀 □良好 □合格 □不合格</w:t>
            </w:r>
          </w:p>
        </w:tc>
      </w:tr>
      <w:tr w14:paraId="1F442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772" w:type="dxa"/>
            <w:gridSpan w:val="5"/>
            <w:tcBorders>
              <w:top w:val="nil"/>
              <w:left w:val="single" w:color="DEE0E3" w:sz="8" w:space="0"/>
              <w:bottom w:val="nil"/>
              <w:right w:val="single" w:color="DEE0E3" w:sz="8" w:space="0"/>
            </w:tcBorders>
            <w:shd w:val="clear" w:color="auto" w:fill="auto"/>
            <w:tcMar>
              <w:top w:w="15" w:type="dxa"/>
              <w:left w:w="15" w:type="dxa"/>
              <w:right w:w="15" w:type="dxa"/>
            </w:tcMar>
            <w:vAlign w:val="center"/>
          </w:tcPr>
          <w:p w14:paraId="3492209B">
            <w:pPr>
              <w:keepNext w:val="0"/>
              <w:keepLines w:val="0"/>
              <w:widowControl/>
              <w:suppressLineNumbers w:val="0"/>
              <w:jc w:val="both"/>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备注：</w:t>
            </w:r>
          </w:p>
        </w:tc>
      </w:tr>
      <w:tr w14:paraId="7F76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772" w:type="dxa"/>
            <w:gridSpan w:val="5"/>
            <w:tcBorders>
              <w:top w:val="nil"/>
              <w:left w:val="single" w:color="DEE0E3" w:sz="8" w:space="0"/>
              <w:bottom w:val="single" w:color="DEE0E3" w:sz="8" w:space="0"/>
              <w:right w:val="single" w:color="DEE0E3" w:sz="8" w:space="0"/>
            </w:tcBorders>
            <w:shd w:val="clear" w:color="auto" w:fill="auto"/>
            <w:tcMar>
              <w:top w:w="15" w:type="dxa"/>
              <w:left w:w="15" w:type="dxa"/>
              <w:right w:w="15" w:type="dxa"/>
            </w:tcMar>
            <w:vAlign w:val="center"/>
          </w:tcPr>
          <w:p w14:paraId="11034339">
            <w:pPr>
              <w:keepNext w:val="0"/>
              <w:keepLines w:val="0"/>
              <w:widowControl/>
              <w:suppressLineNumbers w:val="0"/>
              <w:jc w:val="both"/>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 本评分表考核结果将作为乙方服务费用结算、后续合作资格评定的重要依据；2. 乙方对考核结果有异议的，可在3个工作日内向甲方提出复核申请。</w:t>
            </w:r>
          </w:p>
        </w:tc>
      </w:tr>
      <w:tr w14:paraId="35019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jc w:val="center"/>
        </w:trPr>
        <w:tc>
          <w:tcPr>
            <w:tcW w:w="9772" w:type="dxa"/>
            <w:gridSpan w:val="5"/>
            <w:tcBorders>
              <w:top w:val="nil"/>
              <w:left w:val="single" w:color="DEE0E3" w:sz="8" w:space="0"/>
              <w:bottom w:val="single" w:color="DEE0E3" w:sz="8" w:space="0"/>
              <w:right w:val="single" w:color="DEE0E3" w:sz="8" w:space="0"/>
            </w:tcBorders>
            <w:shd w:val="clear" w:color="auto" w:fill="auto"/>
            <w:tcMar>
              <w:top w:w="15" w:type="dxa"/>
              <w:left w:w="15" w:type="dxa"/>
              <w:right w:w="15" w:type="dxa"/>
            </w:tcMar>
            <w:vAlign w:val="center"/>
          </w:tcPr>
          <w:p w14:paraId="45F4F058">
            <w:pPr>
              <w:keepNext w:val="0"/>
              <w:keepLines w:val="0"/>
              <w:widowControl/>
              <w:suppressLineNumbers w:val="0"/>
              <w:jc w:val="both"/>
              <w:textAlignment w:val="top"/>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甲方签字（盖章）：__________ 乙方确认签字（盖章）：__________</w:t>
            </w:r>
          </w:p>
        </w:tc>
      </w:tr>
    </w:tbl>
    <w:p w14:paraId="026994F2">
      <w:pPr>
        <w:rPr>
          <w:rFonts w:hint="default" w:ascii="宋体" w:hAnsi="宋体" w:eastAsia="宋体" w:cs="宋体"/>
          <w:color w:val="auto"/>
          <w:sz w:val="24"/>
          <w:szCs w:val="24"/>
          <w:highlight w:val="none"/>
          <w:lang w:val="en-US" w:eastAsia="zh-CN"/>
        </w:rPr>
      </w:pPr>
    </w:p>
    <w:p w14:paraId="2B4F3949">
      <w:pPr>
        <w:rPr>
          <w:rFonts w:hint="default" w:ascii="宋体" w:hAnsi="宋体" w:eastAsia="宋体" w:cs="宋体"/>
          <w:color w:val="auto"/>
          <w:sz w:val="24"/>
          <w:szCs w:val="24"/>
          <w:highlight w:val="none"/>
          <w:lang w:val="en-US" w:eastAsia="zh-CN"/>
        </w:rPr>
      </w:pPr>
    </w:p>
    <w:p w14:paraId="3FB7D10F">
      <w:p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br w:type="page"/>
      </w:r>
    </w:p>
    <w:p w14:paraId="79FD135B">
      <w:pPr>
        <w:numPr>
          <w:ilvl w:val="0"/>
          <w:numId w:val="0"/>
        </w:numPr>
        <w:bidi w:val="0"/>
        <w:jc w:val="center"/>
        <w:outlineLvl w:val="0"/>
        <w:rPr>
          <w:rFonts w:hint="eastAsia" w:ascii="宋体" w:hAnsi="宋体" w:eastAsia="宋体" w:cstheme="minorBidi"/>
          <w:color w:val="auto"/>
          <w:kern w:val="2"/>
          <w:sz w:val="36"/>
          <w:szCs w:val="24"/>
          <w:highlight w:val="none"/>
          <w:lang w:val="en-US" w:eastAsia="zh-CN" w:bidi="ar-SA"/>
        </w:rPr>
      </w:pPr>
      <w:bookmarkStart w:id="30" w:name="_Toc10272"/>
      <w:r>
        <w:rPr>
          <w:rFonts w:hint="eastAsia" w:ascii="宋体" w:hAnsi="宋体" w:eastAsia="宋体" w:cstheme="minorBidi"/>
          <w:color w:val="auto"/>
          <w:kern w:val="2"/>
          <w:sz w:val="36"/>
          <w:szCs w:val="24"/>
          <w:highlight w:val="none"/>
          <w:lang w:val="en-US" w:eastAsia="zh-CN" w:bidi="ar-SA"/>
        </w:rPr>
        <w:t>第七部分 应提交的有关格式范例</w:t>
      </w:r>
      <w:bookmarkEnd w:id="30"/>
    </w:p>
    <w:p w14:paraId="47A1C7D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宋体" w:hAnsi="宋体" w:eastAsia="宋体" w:cs="宋体"/>
          <w:color w:val="auto"/>
          <w:sz w:val="24"/>
          <w:szCs w:val="24"/>
          <w:highlight w:val="none"/>
          <w:lang w:val="en-US" w:eastAsia="zh-CN"/>
        </w:rPr>
      </w:pPr>
    </w:p>
    <w:p w14:paraId="1F2626A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供应商按照以下格式编制响应文件。</w:t>
      </w:r>
    </w:p>
    <w:p w14:paraId="5F761DD4">
      <w:pP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br w:type="page"/>
      </w:r>
    </w:p>
    <w:p w14:paraId="3520B9D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ascii="宋体" w:hAnsi="宋体" w:eastAsia="宋体" w:cs="宋体"/>
          <w:color w:val="auto"/>
          <w:sz w:val="24"/>
          <w:szCs w:val="24"/>
          <w:highlight w:val="none"/>
          <w:lang w:val="en-US" w:eastAsia="zh-CN"/>
        </w:rPr>
      </w:pPr>
    </w:p>
    <w:p w14:paraId="4A19452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 w:val="44"/>
          <w:szCs w:val="44"/>
          <w:highlight w:val="none"/>
          <w:shd w:val="clear" w:color="auto" w:fill="auto"/>
        </w:rPr>
      </w:pPr>
      <w:r>
        <w:rPr>
          <w:rFonts w:hint="eastAsia" w:ascii="宋体" w:hAnsi="宋体" w:eastAsia="宋体" w:cs="宋体"/>
          <w:color w:val="auto"/>
          <w:sz w:val="44"/>
          <w:szCs w:val="44"/>
          <w:highlight w:val="none"/>
          <w:shd w:val="clear" w:color="auto" w:fill="auto"/>
        </w:rPr>
        <w:t>中华人民共和国新疆出入境边防检查总站全过程预算绩效管理服务采购项目</w:t>
      </w:r>
    </w:p>
    <w:p w14:paraId="33F3724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 w:val="44"/>
          <w:szCs w:val="44"/>
          <w:highlight w:val="none"/>
          <w:shd w:val="clear" w:color="auto" w:fill="auto"/>
        </w:rPr>
      </w:pPr>
    </w:p>
    <w:p w14:paraId="43B1341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 w:val="44"/>
          <w:szCs w:val="44"/>
          <w:highlight w:val="none"/>
          <w:shd w:val="clear" w:color="auto" w:fill="auto"/>
        </w:rPr>
      </w:pPr>
    </w:p>
    <w:p w14:paraId="1F76626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color w:val="auto"/>
          <w:sz w:val="44"/>
          <w:szCs w:val="44"/>
          <w:highlight w:val="none"/>
          <w:shd w:val="clear" w:color="auto" w:fill="auto"/>
        </w:rPr>
      </w:pPr>
    </w:p>
    <w:p w14:paraId="06AC646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color w:val="auto"/>
          <w:sz w:val="36"/>
          <w:szCs w:val="36"/>
          <w:highlight w:val="none"/>
        </w:rPr>
      </w:pPr>
      <w:r>
        <w:rPr>
          <w:rFonts w:hint="eastAsia"/>
          <w:color w:val="auto"/>
          <w:sz w:val="36"/>
          <w:szCs w:val="36"/>
          <w:highlight w:val="none"/>
        </w:rPr>
        <w:t>项目编号</w:t>
      </w:r>
      <w:r>
        <w:rPr>
          <w:rFonts w:hint="eastAsia"/>
          <w:color w:val="auto"/>
          <w:sz w:val="36"/>
          <w:szCs w:val="36"/>
          <w:highlight w:val="none"/>
          <w:lang w:eastAsia="zh-CN"/>
        </w:rPr>
        <w:t>：</w:t>
      </w:r>
      <w:r>
        <w:rPr>
          <w:rFonts w:hint="eastAsia"/>
          <w:color w:val="auto"/>
          <w:sz w:val="36"/>
          <w:szCs w:val="36"/>
          <w:highlight w:val="none"/>
        </w:rPr>
        <w:t>2026（JKJ）188</w:t>
      </w:r>
    </w:p>
    <w:p w14:paraId="56F4BA6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color w:val="auto"/>
          <w:sz w:val="40"/>
          <w:szCs w:val="48"/>
          <w:highlight w:val="none"/>
        </w:rPr>
      </w:pPr>
    </w:p>
    <w:p w14:paraId="2400BB6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eastAsia"/>
          <w:color w:val="auto"/>
          <w:sz w:val="40"/>
          <w:szCs w:val="48"/>
          <w:highlight w:val="none"/>
        </w:rPr>
      </w:pPr>
    </w:p>
    <w:p w14:paraId="43221C45">
      <w:pPr>
        <w:keepNext w:val="0"/>
        <w:keepLines w:val="0"/>
        <w:widowControl/>
        <w:suppressLineNumbers w:val="0"/>
        <w:jc w:val="center"/>
        <w:rPr>
          <w:color w:val="auto"/>
          <w:highlight w:val="none"/>
        </w:rPr>
      </w:pPr>
      <w:r>
        <w:rPr>
          <w:rFonts w:hint="eastAsia" w:ascii="宋体" w:hAnsi="宋体" w:eastAsia="宋体" w:cs="宋体"/>
          <w:color w:val="auto"/>
          <w:kern w:val="0"/>
          <w:sz w:val="72"/>
          <w:szCs w:val="72"/>
          <w:highlight w:val="none"/>
          <w:lang w:val="en-US" w:eastAsia="zh-CN" w:bidi="ar"/>
        </w:rPr>
        <w:t>响应文件</w:t>
      </w:r>
    </w:p>
    <w:p w14:paraId="2990C32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color w:val="auto"/>
          <w:sz w:val="40"/>
          <w:szCs w:val="48"/>
          <w:highlight w:val="none"/>
          <w:lang w:val="en-US" w:eastAsia="zh-CN"/>
        </w:rPr>
      </w:pPr>
    </w:p>
    <w:p w14:paraId="78DCC78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color w:val="auto"/>
          <w:sz w:val="40"/>
          <w:szCs w:val="48"/>
          <w:highlight w:val="none"/>
          <w:lang w:val="en-US" w:eastAsia="zh-CN"/>
        </w:rPr>
      </w:pPr>
    </w:p>
    <w:p w14:paraId="0F7103AD">
      <w:pPr>
        <w:keepNext w:val="0"/>
        <w:keepLines w:val="0"/>
        <w:widowControl/>
        <w:suppressLineNumbers w:val="0"/>
        <w:spacing w:line="480" w:lineRule="auto"/>
        <w:jc w:val="left"/>
        <w:rPr>
          <w:rFonts w:hint="eastAsia" w:ascii="宋体" w:hAnsi="宋体" w:eastAsia="宋体" w:cs="宋体"/>
          <w:b w:val="0"/>
          <w:bCs w:val="0"/>
          <w:color w:val="auto"/>
          <w:kern w:val="0"/>
          <w:sz w:val="28"/>
          <w:szCs w:val="28"/>
          <w:highlight w:val="none"/>
          <w:lang w:val="en-US" w:eastAsia="zh-CN" w:bidi="ar"/>
        </w:rPr>
      </w:pPr>
    </w:p>
    <w:p w14:paraId="57BECC5D">
      <w:pPr>
        <w:keepNext w:val="0"/>
        <w:keepLines w:val="0"/>
        <w:widowControl/>
        <w:suppressLineNumbers w:val="0"/>
        <w:spacing w:line="480" w:lineRule="auto"/>
        <w:jc w:val="left"/>
        <w:rPr>
          <w:rFonts w:hint="eastAsia" w:ascii="宋体" w:hAnsi="宋体" w:eastAsia="宋体" w:cs="宋体"/>
          <w:b w:val="0"/>
          <w:bCs w:val="0"/>
          <w:color w:val="auto"/>
          <w:kern w:val="0"/>
          <w:sz w:val="28"/>
          <w:szCs w:val="28"/>
          <w:highlight w:val="none"/>
          <w:lang w:val="en-US" w:eastAsia="zh-CN" w:bidi="ar"/>
        </w:rPr>
      </w:pPr>
    </w:p>
    <w:p w14:paraId="10B3CF36">
      <w:pPr>
        <w:keepNext w:val="0"/>
        <w:keepLines w:val="0"/>
        <w:widowControl/>
        <w:suppressLineNumbers w:val="0"/>
        <w:spacing w:line="480" w:lineRule="auto"/>
        <w:jc w:val="left"/>
        <w:rPr>
          <w:b w:val="0"/>
          <w:bCs w:val="0"/>
          <w:color w:val="auto"/>
          <w:highlight w:val="none"/>
        </w:rPr>
      </w:pPr>
      <w:r>
        <w:rPr>
          <w:rFonts w:hint="eastAsia" w:ascii="宋体" w:hAnsi="宋体" w:eastAsia="宋体" w:cs="宋体"/>
          <w:b w:val="0"/>
          <w:bCs w:val="0"/>
          <w:color w:val="auto"/>
          <w:kern w:val="0"/>
          <w:sz w:val="28"/>
          <w:szCs w:val="28"/>
          <w:highlight w:val="none"/>
          <w:lang w:val="en-US" w:eastAsia="zh-CN" w:bidi="ar"/>
        </w:rPr>
        <w:t>供应商名称：</w:t>
      </w:r>
      <w:r>
        <w:rPr>
          <w:rFonts w:hint="eastAsia" w:ascii="宋体" w:hAnsi="宋体" w:eastAsia="宋体" w:cs="宋体"/>
          <w:b w:val="0"/>
          <w:bCs w:val="0"/>
          <w:color w:val="auto"/>
          <w:kern w:val="0"/>
          <w:sz w:val="28"/>
          <w:szCs w:val="28"/>
          <w:highlight w:val="none"/>
          <w:u w:val="single"/>
          <w:lang w:val="en-US" w:eastAsia="zh-CN" w:bidi="ar"/>
        </w:rPr>
        <w:t xml:space="preserve">                    </w:t>
      </w:r>
      <w:r>
        <w:rPr>
          <w:rFonts w:hint="eastAsia" w:ascii="宋体" w:hAnsi="宋体" w:eastAsia="宋体" w:cs="宋体"/>
          <w:b w:val="0"/>
          <w:bCs w:val="0"/>
          <w:color w:val="auto"/>
          <w:kern w:val="0"/>
          <w:sz w:val="28"/>
          <w:szCs w:val="28"/>
          <w:highlight w:val="none"/>
          <w:lang w:val="en-US" w:eastAsia="zh-CN" w:bidi="ar"/>
        </w:rPr>
        <w:t xml:space="preserve">（盖单位章） </w:t>
      </w:r>
    </w:p>
    <w:p w14:paraId="21A3756F">
      <w:pPr>
        <w:keepNext w:val="0"/>
        <w:keepLines w:val="0"/>
        <w:widowControl/>
        <w:suppressLineNumbers w:val="0"/>
        <w:spacing w:line="480" w:lineRule="auto"/>
        <w:jc w:val="left"/>
        <w:rPr>
          <w:b w:val="0"/>
          <w:bCs w:val="0"/>
          <w:color w:val="auto"/>
          <w:highlight w:val="none"/>
        </w:rPr>
      </w:pPr>
      <w:r>
        <w:rPr>
          <w:rFonts w:hint="eastAsia" w:ascii="宋体" w:hAnsi="宋体" w:eastAsia="宋体" w:cs="宋体"/>
          <w:b w:val="0"/>
          <w:bCs w:val="0"/>
          <w:color w:val="auto"/>
          <w:kern w:val="0"/>
          <w:sz w:val="28"/>
          <w:szCs w:val="28"/>
          <w:highlight w:val="none"/>
          <w:lang w:val="en-US" w:eastAsia="zh-CN" w:bidi="ar"/>
        </w:rPr>
        <w:t>法定代表人或其委托代理人：</w:t>
      </w:r>
      <w:r>
        <w:rPr>
          <w:rFonts w:hint="eastAsia" w:ascii="宋体" w:hAnsi="宋体" w:eastAsia="宋体" w:cs="宋体"/>
          <w:b w:val="0"/>
          <w:bCs w:val="0"/>
          <w:color w:val="auto"/>
          <w:kern w:val="0"/>
          <w:sz w:val="28"/>
          <w:szCs w:val="28"/>
          <w:highlight w:val="none"/>
          <w:u w:val="single"/>
          <w:lang w:val="en-US" w:eastAsia="zh-CN" w:bidi="ar"/>
        </w:rPr>
        <w:t xml:space="preserve">                       </w:t>
      </w:r>
      <w:r>
        <w:rPr>
          <w:rFonts w:hint="eastAsia" w:ascii="宋体" w:hAnsi="宋体" w:eastAsia="宋体" w:cs="宋体"/>
          <w:b w:val="0"/>
          <w:bCs w:val="0"/>
          <w:color w:val="auto"/>
          <w:kern w:val="0"/>
          <w:sz w:val="28"/>
          <w:szCs w:val="28"/>
          <w:highlight w:val="none"/>
          <w:lang w:val="en-US" w:eastAsia="zh-CN" w:bidi="ar"/>
        </w:rPr>
        <w:t>（签字）</w:t>
      </w:r>
    </w:p>
    <w:p w14:paraId="3FC10CFC">
      <w:pPr>
        <w:keepNext w:val="0"/>
        <w:keepLines w:val="0"/>
        <w:widowControl/>
        <w:suppressLineNumbers w:val="0"/>
        <w:spacing w:line="480" w:lineRule="auto"/>
        <w:jc w:val="left"/>
        <w:rPr>
          <w:rFonts w:hint="eastAsia" w:ascii="宋体" w:hAnsi="宋体" w:eastAsia="宋体" w:cs="宋体"/>
          <w:color w:val="auto"/>
          <w:kern w:val="0"/>
          <w:sz w:val="28"/>
          <w:szCs w:val="28"/>
          <w:highlight w:val="none"/>
          <w:lang w:val="en-US" w:eastAsia="zh-CN" w:bidi="ar"/>
        </w:rPr>
      </w:pPr>
    </w:p>
    <w:p w14:paraId="12B5460E">
      <w:pPr>
        <w:keepNext w:val="0"/>
        <w:keepLines w:val="0"/>
        <w:widowControl/>
        <w:suppressLineNumbers w:val="0"/>
        <w:spacing w:line="480" w:lineRule="auto"/>
        <w:jc w:val="left"/>
        <w:rPr>
          <w:rFonts w:hint="eastAsia" w:ascii="宋体" w:hAnsi="宋体" w:eastAsia="宋体" w:cs="宋体"/>
          <w:color w:val="auto"/>
          <w:kern w:val="0"/>
          <w:sz w:val="28"/>
          <w:szCs w:val="28"/>
          <w:highlight w:val="none"/>
          <w:lang w:val="en-US" w:eastAsia="zh-CN" w:bidi="ar"/>
        </w:rPr>
      </w:pPr>
    </w:p>
    <w:p w14:paraId="33405840">
      <w:pPr>
        <w:keepNext w:val="0"/>
        <w:keepLines w:val="0"/>
        <w:widowControl/>
        <w:suppressLineNumbers w:val="0"/>
        <w:spacing w:line="480" w:lineRule="auto"/>
        <w:jc w:val="center"/>
        <w:rPr>
          <w:color w:val="auto"/>
          <w:highlight w:val="none"/>
        </w:rPr>
      </w:pPr>
      <w:r>
        <w:rPr>
          <w:rFonts w:hint="eastAsia" w:ascii="宋体" w:hAnsi="宋体" w:eastAsia="宋体" w:cs="宋体"/>
          <w:color w:val="auto"/>
          <w:kern w:val="0"/>
          <w:sz w:val="28"/>
          <w:szCs w:val="28"/>
          <w:highlight w:val="none"/>
          <w:lang w:val="en-US" w:eastAsia="zh-CN" w:bidi="ar"/>
        </w:rPr>
        <w:t>年 月 日</w:t>
      </w:r>
    </w:p>
    <w:p w14:paraId="7F4FBB62">
      <w:pPr>
        <w:rPr>
          <w:rFonts w:hint="default"/>
          <w:color w:val="auto"/>
          <w:sz w:val="40"/>
          <w:szCs w:val="48"/>
          <w:highlight w:val="none"/>
          <w:lang w:val="en-US" w:eastAsia="zh-CN"/>
        </w:rPr>
      </w:pPr>
      <w:r>
        <w:rPr>
          <w:rFonts w:hint="default"/>
          <w:color w:val="auto"/>
          <w:sz w:val="40"/>
          <w:szCs w:val="48"/>
          <w:highlight w:val="none"/>
          <w:lang w:val="en-US" w:eastAsia="zh-CN"/>
        </w:rPr>
        <w:br w:type="page"/>
      </w:r>
    </w:p>
    <w:p w14:paraId="761BC9E8">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center"/>
        <w:textAlignment w:val="auto"/>
        <w:rPr>
          <w:rFonts w:hint="default"/>
          <w:color w:val="auto"/>
          <w:sz w:val="40"/>
          <w:szCs w:val="48"/>
          <w:highlight w:val="none"/>
          <w:lang w:val="en-US" w:eastAsia="zh-CN"/>
        </w:rPr>
      </w:pPr>
      <w:r>
        <w:rPr>
          <w:rFonts w:hint="default"/>
          <w:color w:val="auto"/>
          <w:sz w:val="40"/>
          <w:szCs w:val="48"/>
          <w:highlight w:val="none"/>
          <w:lang w:val="en-US" w:eastAsia="zh-CN"/>
        </w:rPr>
        <w:t>资格文件部分目录</w:t>
      </w:r>
    </w:p>
    <w:p w14:paraId="68C3C56E">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（1）符合参加政府采购活动应当具备的一般条件的承诺函及附件..........（页码） </w:t>
      </w:r>
    </w:p>
    <w:p w14:paraId="2727DB71">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（2）落实政府采购政策需满足的资格要求..............................（页码） </w:t>
      </w:r>
    </w:p>
    <w:p w14:paraId="7616B3B5">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（3）本项目的特定资格要求..........................................（页码）</w:t>
      </w:r>
    </w:p>
    <w:p w14:paraId="70BD4D00">
      <w:pPr>
        <w:keepNext w:val="0"/>
        <w:keepLines w:val="0"/>
        <w:widowControl/>
        <w:suppressLineNumbers w:val="0"/>
        <w:spacing w:line="480" w:lineRule="auto"/>
        <w:jc w:val="center"/>
        <w:rPr>
          <w:rFonts w:hint="default" w:asciiTheme="minorHAnsi" w:hAnsiTheme="minorHAnsi" w:eastAsiaTheme="minorEastAsia" w:cstheme="minorBidi"/>
          <w:color w:val="auto"/>
          <w:kern w:val="2"/>
          <w:sz w:val="40"/>
          <w:szCs w:val="48"/>
          <w:highlight w:val="none"/>
          <w:lang w:val="en-US" w:eastAsia="zh-CN" w:bidi="ar-SA"/>
        </w:rPr>
      </w:pPr>
      <w:r>
        <w:rPr>
          <w:rFonts w:hint="eastAsia" w:asciiTheme="minorHAnsi" w:hAnsiTheme="minorHAnsi" w:eastAsiaTheme="minorEastAsia" w:cstheme="minorBidi"/>
          <w:color w:val="auto"/>
          <w:kern w:val="2"/>
          <w:sz w:val="40"/>
          <w:szCs w:val="48"/>
          <w:highlight w:val="none"/>
          <w:lang w:val="en-US" w:eastAsia="zh-CN" w:bidi="ar-SA"/>
        </w:rPr>
        <w:t>商务技术文件部分目录</w:t>
      </w:r>
    </w:p>
    <w:p w14:paraId="1C67D781">
      <w:pPr>
        <w:keepNext w:val="0"/>
        <w:keepLines w:val="0"/>
        <w:widowControl/>
        <w:suppressLineNumbers w:val="0"/>
        <w:spacing w:line="48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 响应函.........................................................（页码） </w:t>
      </w:r>
    </w:p>
    <w:p w14:paraId="7784B19B">
      <w:pPr>
        <w:keepNext w:val="0"/>
        <w:keepLines w:val="0"/>
        <w:widowControl/>
        <w:suppressLineNumbers w:val="0"/>
        <w:spacing w:line="48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 评标标准相应的商务资料.........................................（页码） </w:t>
      </w:r>
    </w:p>
    <w:p w14:paraId="4BFA9E3D">
      <w:pPr>
        <w:keepNext w:val="0"/>
        <w:keepLines w:val="0"/>
        <w:widowControl/>
        <w:suppressLineNumbers w:val="0"/>
        <w:spacing w:line="48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(3) 评标标准相应的技术资料.........................................（页码） </w:t>
      </w:r>
    </w:p>
    <w:p w14:paraId="31C0541A">
      <w:pPr>
        <w:keepNext w:val="0"/>
        <w:keepLines w:val="0"/>
        <w:widowControl/>
        <w:suppressLineNumbers w:val="0"/>
        <w:spacing w:line="48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(4) 商务技术偏离表.................................................（页码） </w:t>
      </w:r>
    </w:p>
    <w:p w14:paraId="550C9733">
      <w:pPr>
        <w:keepNext w:val="0"/>
        <w:keepLines w:val="0"/>
        <w:widowControl/>
        <w:suppressLineNumbers w:val="0"/>
        <w:spacing w:line="48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(5) 政府采购供应商廉洁自律承诺书....................................（页码） </w:t>
      </w:r>
    </w:p>
    <w:p w14:paraId="019186EF">
      <w:pPr>
        <w:keepNext w:val="0"/>
        <w:keepLines w:val="0"/>
        <w:widowControl/>
        <w:suppressLineNumbers w:val="0"/>
        <w:spacing w:line="48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(6) 其他相关证明材料................................................（页码） </w:t>
      </w:r>
    </w:p>
    <w:p w14:paraId="29ED0AEE">
      <w:pPr>
        <w:keepNext w:val="0"/>
        <w:keepLines w:val="0"/>
        <w:widowControl/>
        <w:suppressLineNumbers w:val="0"/>
        <w:spacing w:line="480" w:lineRule="auto"/>
        <w:jc w:val="center"/>
        <w:rPr>
          <w:rFonts w:hint="eastAsia" w:asciiTheme="minorHAnsi" w:hAnsiTheme="minorHAnsi" w:eastAsiaTheme="minorEastAsia" w:cstheme="minorBidi"/>
          <w:color w:val="auto"/>
          <w:kern w:val="2"/>
          <w:sz w:val="40"/>
          <w:szCs w:val="48"/>
          <w:highlight w:val="none"/>
          <w:lang w:val="en-US" w:eastAsia="zh-CN" w:bidi="ar-SA"/>
        </w:rPr>
      </w:pPr>
      <w:r>
        <w:rPr>
          <w:rFonts w:hint="eastAsia" w:asciiTheme="minorHAnsi" w:hAnsiTheme="minorHAnsi" w:eastAsiaTheme="minorEastAsia" w:cstheme="minorBidi"/>
          <w:color w:val="auto"/>
          <w:kern w:val="2"/>
          <w:sz w:val="40"/>
          <w:szCs w:val="48"/>
          <w:highlight w:val="none"/>
          <w:lang w:val="en-US" w:eastAsia="zh-CN" w:bidi="ar-SA"/>
        </w:rPr>
        <w:t>报价文件部分目录</w:t>
      </w:r>
    </w:p>
    <w:p w14:paraId="78D12C27">
      <w:pPr>
        <w:keepNext w:val="0"/>
        <w:keepLines w:val="0"/>
        <w:widowControl/>
        <w:suppressLineNumbers w:val="0"/>
        <w:spacing w:line="48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（1）报价一览表...................................................（页码） </w:t>
      </w:r>
    </w:p>
    <w:p w14:paraId="16AC74ED">
      <w:pPr>
        <w:keepNext w:val="0"/>
        <w:keepLines w:val="0"/>
        <w:widowControl/>
        <w:suppressLineNumbers w:val="0"/>
        <w:spacing w:line="48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（2）分项报价明细表...............................................（页码） </w:t>
      </w:r>
    </w:p>
    <w:p w14:paraId="4991AF34">
      <w:pPr>
        <w:rPr>
          <w:rFonts w:hint="default"/>
          <w:color w:val="auto"/>
          <w:sz w:val="40"/>
          <w:szCs w:val="48"/>
          <w:highlight w:val="none"/>
          <w:lang w:val="en-US" w:eastAsia="zh-CN"/>
        </w:rPr>
      </w:pPr>
      <w:r>
        <w:rPr>
          <w:rFonts w:hint="default"/>
          <w:color w:val="auto"/>
          <w:sz w:val="40"/>
          <w:szCs w:val="48"/>
          <w:highlight w:val="none"/>
          <w:lang w:val="en-US" w:eastAsia="zh-CN"/>
        </w:rPr>
        <w:br w:type="page"/>
      </w:r>
    </w:p>
    <w:p w14:paraId="3ED9BEAE">
      <w:pPr>
        <w:jc w:val="center"/>
        <w:rPr>
          <w:rFonts w:hint="default"/>
          <w:color w:val="auto"/>
          <w:sz w:val="40"/>
          <w:szCs w:val="48"/>
          <w:highlight w:val="none"/>
          <w:lang w:val="en-US" w:eastAsia="zh-CN"/>
        </w:rPr>
      </w:pPr>
    </w:p>
    <w:p w14:paraId="44313AD6">
      <w:pPr>
        <w:jc w:val="center"/>
        <w:rPr>
          <w:rFonts w:hint="default"/>
          <w:color w:val="auto"/>
          <w:sz w:val="40"/>
          <w:szCs w:val="48"/>
          <w:highlight w:val="none"/>
          <w:lang w:val="en-US" w:eastAsia="zh-CN"/>
        </w:rPr>
      </w:pPr>
    </w:p>
    <w:p w14:paraId="5A754B99">
      <w:pPr>
        <w:jc w:val="center"/>
        <w:rPr>
          <w:rFonts w:hint="default"/>
          <w:color w:val="auto"/>
          <w:sz w:val="40"/>
          <w:szCs w:val="48"/>
          <w:highlight w:val="none"/>
          <w:lang w:val="en-US" w:eastAsia="zh-CN"/>
        </w:rPr>
      </w:pPr>
    </w:p>
    <w:p w14:paraId="7D8BC3D3">
      <w:pPr>
        <w:jc w:val="center"/>
        <w:rPr>
          <w:rFonts w:hint="default"/>
          <w:color w:val="auto"/>
          <w:sz w:val="40"/>
          <w:szCs w:val="48"/>
          <w:highlight w:val="none"/>
          <w:lang w:val="en-US" w:eastAsia="zh-CN"/>
        </w:rPr>
      </w:pPr>
    </w:p>
    <w:p w14:paraId="2746C29F">
      <w:pPr>
        <w:jc w:val="center"/>
        <w:rPr>
          <w:rFonts w:hint="default"/>
          <w:color w:val="auto"/>
          <w:sz w:val="40"/>
          <w:szCs w:val="48"/>
          <w:highlight w:val="none"/>
          <w:lang w:val="en-US" w:eastAsia="zh-CN"/>
        </w:rPr>
      </w:pPr>
    </w:p>
    <w:p w14:paraId="179939C7">
      <w:pPr>
        <w:jc w:val="center"/>
        <w:rPr>
          <w:rFonts w:hint="default"/>
          <w:color w:val="auto"/>
          <w:sz w:val="40"/>
          <w:szCs w:val="48"/>
          <w:highlight w:val="none"/>
          <w:lang w:val="en-US" w:eastAsia="zh-CN"/>
        </w:rPr>
      </w:pPr>
    </w:p>
    <w:p w14:paraId="4E2CD6F2">
      <w:pPr>
        <w:jc w:val="center"/>
        <w:rPr>
          <w:rFonts w:hint="default"/>
          <w:color w:val="auto"/>
          <w:sz w:val="40"/>
          <w:szCs w:val="48"/>
          <w:highlight w:val="none"/>
          <w:lang w:val="en-US" w:eastAsia="zh-CN"/>
        </w:rPr>
      </w:pPr>
    </w:p>
    <w:p w14:paraId="2E8F411A">
      <w:pPr>
        <w:jc w:val="center"/>
        <w:rPr>
          <w:rFonts w:hint="default"/>
          <w:color w:val="auto"/>
          <w:sz w:val="40"/>
          <w:szCs w:val="48"/>
          <w:highlight w:val="none"/>
          <w:lang w:val="en-US" w:eastAsia="zh-CN"/>
        </w:rPr>
      </w:pPr>
    </w:p>
    <w:p w14:paraId="39E60845">
      <w:pPr>
        <w:jc w:val="center"/>
        <w:rPr>
          <w:rFonts w:hint="default"/>
          <w:color w:val="auto"/>
          <w:sz w:val="40"/>
          <w:szCs w:val="48"/>
          <w:highlight w:val="none"/>
          <w:lang w:val="en-US" w:eastAsia="zh-CN"/>
        </w:rPr>
      </w:pPr>
      <w:r>
        <w:rPr>
          <w:rFonts w:hint="default"/>
          <w:color w:val="auto"/>
          <w:sz w:val="40"/>
          <w:szCs w:val="48"/>
          <w:highlight w:val="none"/>
          <w:lang w:val="en-US" w:eastAsia="zh-CN"/>
        </w:rPr>
        <w:t>资格文件部分</w:t>
      </w:r>
    </w:p>
    <w:p w14:paraId="0C85FBCF">
      <w:pPr>
        <w:jc w:val="center"/>
        <w:rPr>
          <w:rFonts w:hint="default" w:ascii="宋体" w:hAnsi="宋体" w:eastAsia="宋体" w:cs="宋体"/>
          <w:b/>
          <w:bCs/>
          <w:color w:val="auto"/>
          <w:kern w:val="2"/>
          <w:sz w:val="32"/>
          <w:szCs w:val="32"/>
          <w:highlight w:val="none"/>
          <w:lang w:val="en-US" w:eastAsia="zh-CN" w:bidi="ar-SA"/>
        </w:rPr>
      </w:pPr>
      <w:r>
        <w:rPr>
          <w:rFonts w:hint="default" w:ascii="宋体" w:hAnsi="宋体" w:eastAsia="宋体" w:cs="宋体"/>
          <w:b/>
          <w:bCs/>
          <w:color w:val="auto"/>
          <w:kern w:val="2"/>
          <w:sz w:val="32"/>
          <w:szCs w:val="32"/>
          <w:highlight w:val="none"/>
          <w:lang w:val="en-US" w:eastAsia="zh-CN" w:bidi="ar-SA"/>
        </w:rPr>
        <w:br w:type="page"/>
      </w:r>
    </w:p>
    <w:p w14:paraId="47D2D95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outlineLvl w:val="1"/>
        <w:rPr>
          <w:rFonts w:hint="default" w:ascii="宋体" w:hAnsi="宋体" w:eastAsia="宋体" w:cs="宋体"/>
          <w:b/>
          <w:bCs/>
          <w:color w:val="auto"/>
          <w:kern w:val="2"/>
          <w:sz w:val="32"/>
          <w:szCs w:val="32"/>
          <w:highlight w:val="none"/>
          <w:lang w:val="en-US" w:eastAsia="zh-CN" w:bidi="ar-SA"/>
        </w:rPr>
      </w:pPr>
      <w:bookmarkStart w:id="31" w:name="_Toc7992"/>
      <w:r>
        <w:rPr>
          <w:rFonts w:hint="default" w:ascii="宋体" w:hAnsi="宋体" w:eastAsia="宋体" w:cs="宋体"/>
          <w:b/>
          <w:bCs/>
          <w:color w:val="auto"/>
          <w:kern w:val="2"/>
          <w:sz w:val="32"/>
          <w:szCs w:val="32"/>
          <w:highlight w:val="none"/>
          <w:lang w:val="en-US" w:eastAsia="zh-CN" w:bidi="ar-SA"/>
        </w:rPr>
        <w:t>一、符合参加政府采购活动应当具备的一般条件的</w:t>
      </w:r>
      <w:bookmarkEnd w:id="31"/>
      <w:r>
        <w:rPr>
          <w:rFonts w:hint="default" w:ascii="宋体" w:hAnsi="宋体" w:eastAsia="宋体" w:cs="宋体"/>
          <w:b/>
          <w:bCs/>
          <w:color w:val="auto"/>
          <w:kern w:val="2"/>
          <w:sz w:val="32"/>
          <w:szCs w:val="32"/>
          <w:highlight w:val="none"/>
          <w:lang w:val="en-US" w:eastAsia="zh-CN" w:bidi="ar-SA"/>
        </w:rPr>
        <w:t xml:space="preserve"> </w:t>
      </w:r>
    </w:p>
    <w:p w14:paraId="643A6CD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w:t>
      </w:r>
      <w:r>
        <w:rPr>
          <w:rFonts w:hint="default" w:ascii="宋体" w:hAnsi="宋体" w:eastAsia="宋体" w:cs="宋体"/>
          <w:b/>
          <w:bCs/>
          <w:color w:val="auto"/>
          <w:kern w:val="2"/>
          <w:sz w:val="28"/>
          <w:szCs w:val="28"/>
          <w:highlight w:val="none"/>
          <w:lang w:val="en-US" w:eastAsia="zh-CN" w:bidi="ar-SA"/>
        </w:rPr>
        <w:t>承诺函及附件</w:t>
      </w:r>
    </w:p>
    <w:p w14:paraId="4FBEC0D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u w:val="single"/>
          <w:lang w:val="en-US" w:eastAsia="zh-CN" w:bidi="ar-SA"/>
        </w:rPr>
        <w:t>（采购人）、（采购代理机构）</w:t>
      </w:r>
      <w:r>
        <w:rPr>
          <w:rFonts w:hint="default" w:ascii="宋体" w:hAnsi="宋体" w:eastAsia="宋体" w:cs="宋体"/>
          <w:color w:val="auto"/>
          <w:kern w:val="2"/>
          <w:sz w:val="24"/>
          <w:szCs w:val="24"/>
          <w:highlight w:val="none"/>
          <w:lang w:val="en-US" w:eastAsia="zh-CN" w:bidi="ar-SA"/>
        </w:rPr>
        <w:t xml:space="preserve">： </w:t>
      </w:r>
    </w:p>
    <w:p w14:paraId="2897FA4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我方参与</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（项目名称）【项目编号：</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】政府采购活动，郑重承诺： </w:t>
      </w:r>
    </w:p>
    <w:p w14:paraId="47153D4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（一）具备《中华人民共和国政府采购法》第二十二条第一款规定的条件： </w:t>
      </w:r>
    </w:p>
    <w:p w14:paraId="7271D11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1、具有独立承担民事责任的能力； </w:t>
      </w:r>
    </w:p>
    <w:p w14:paraId="0F08359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2、具有良好的商业信誉和健全的财务会计制度； </w:t>
      </w:r>
    </w:p>
    <w:p w14:paraId="4BA17D9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3、具有履行合同所必需的设备和专业技术能力； </w:t>
      </w:r>
    </w:p>
    <w:p w14:paraId="76F7D3D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4、有依法缴纳税收和社会保障资金的良好记录； </w:t>
      </w:r>
    </w:p>
    <w:p w14:paraId="5793FBE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5、参加政府采购活动前三年内，在经营活动中没有重大违法记录； </w:t>
      </w:r>
    </w:p>
    <w:p w14:paraId="36FF1EB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6、具有法律、行政法规规定的其他条件。 </w:t>
      </w:r>
    </w:p>
    <w:p w14:paraId="069F302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（二） 未 被 信 用 中 国 （ www.creditchina.gov.cn) 、 中国政府采购网（www.ccgp.gov.cn）列入失信被执行人、重大税收违法案件当事人名单、政府采购严重违法失信行为记录名单。</w:t>
      </w:r>
    </w:p>
    <w:p w14:paraId="3865DE7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 xml:space="preserve">（三）不存在以下情况： </w:t>
      </w:r>
    </w:p>
    <w:p w14:paraId="6448A61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1、单位负责人为同一人或者存在直接控股、管理关系的不同供应商参加同一合同项下的政府采购活动的；</w:t>
      </w:r>
    </w:p>
    <w:p w14:paraId="6D4F668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2、为采购项目提供整体设计、规范编制或者项目管理、监理、检测等服务后再参加该采购项目的其他采购活动的。</w:t>
      </w:r>
    </w:p>
    <w:p w14:paraId="202E648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p>
    <w:p w14:paraId="7DE6ED0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5E20C88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p>
    <w:p w14:paraId="00E12D6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10110C00">
      <w:pP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br w:type="page"/>
      </w:r>
    </w:p>
    <w:p w14:paraId="52BDC0F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2、供应商基本情况表</w:t>
      </w:r>
    </w:p>
    <w:tbl>
      <w:tblPr>
        <w:tblStyle w:val="14"/>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14"/>
        <w:gridCol w:w="2341"/>
        <w:gridCol w:w="2684"/>
        <w:gridCol w:w="1921"/>
      </w:tblGrid>
      <w:tr w14:paraId="65DBD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6C49E9F5">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单位名称</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4DD60C56">
            <w:pPr>
              <w:jc w:val="center"/>
              <w:rPr>
                <w:rFonts w:hint="eastAsia" w:ascii="宋体" w:hAnsi="宋体" w:eastAsia="宋体" w:cs="宋体"/>
                <w:color w:val="auto"/>
                <w:kern w:val="2"/>
                <w:sz w:val="24"/>
                <w:szCs w:val="24"/>
                <w:highlight w:val="none"/>
                <w:lang w:val="en-US" w:eastAsia="zh-CN" w:bidi="ar-SA"/>
              </w:rPr>
            </w:pPr>
          </w:p>
        </w:tc>
      </w:tr>
      <w:tr w14:paraId="31DDD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1C902F7E">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资质名称与资质等级</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0499C712">
            <w:pPr>
              <w:jc w:val="center"/>
              <w:rPr>
                <w:rFonts w:hint="eastAsia" w:ascii="宋体" w:hAnsi="宋体" w:eastAsia="宋体" w:cs="宋体"/>
                <w:color w:val="auto"/>
                <w:kern w:val="2"/>
                <w:sz w:val="24"/>
                <w:szCs w:val="24"/>
                <w:highlight w:val="none"/>
                <w:lang w:val="en-US" w:eastAsia="zh-CN" w:bidi="ar-SA"/>
              </w:rPr>
            </w:pPr>
          </w:p>
        </w:tc>
      </w:tr>
      <w:tr w14:paraId="5A5E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3CB310B6">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营业范围</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3DDD12C9">
            <w:pPr>
              <w:jc w:val="center"/>
              <w:rPr>
                <w:rFonts w:hint="eastAsia" w:ascii="宋体" w:hAnsi="宋体" w:eastAsia="宋体" w:cs="宋体"/>
                <w:color w:val="auto"/>
                <w:kern w:val="2"/>
                <w:sz w:val="24"/>
                <w:szCs w:val="24"/>
                <w:highlight w:val="none"/>
                <w:lang w:val="en-US" w:eastAsia="zh-CN" w:bidi="ar-SA"/>
              </w:rPr>
            </w:pPr>
          </w:p>
        </w:tc>
      </w:tr>
      <w:tr w14:paraId="568D5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3D4D98C7">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单位地址</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25FFEBBA">
            <w:pPr>
              <w:jc w:val="center"/>
              <w:rPr>
                <w:rFonts w:hint="eastAsia" w:ascii="宋体" w:hAnsi="宋体" w:eastAsia="宋体" w:cs="宋体"/>
                <w:color w:val="auto"/>
                <w:kern w:val="2"/>
                <w:sz w:val="24"/>
                <w:szCs w:val="24"/>
                <w:highlight w:val="none"/>
                <w:lang w:val="en-US" w:eastAsia="zh-CN" w:bidi="ar-SA"/>
              </w:rPr>
            </w:pPr>
          </w:p>
        </w:tc>
      </w:tr>
      <w:tr w14:paraId="0883E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1153E5FF">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671DB3C3">
            <w:pPr>
              <w:jc w:val="center"/>
              <w:rPr>
                <w:rFonts w:hint="eastAsia" w:ascii="宋体" w:hAnsi="宋体" w:eastAsia="宋体" w:cs="宋体"/>
                <w:color w:val="auto"/>
                <w:kern w:val="2"/>
                <w:sz w:val="24"/>
                <w:szCs w:val="24"/>
                <w:highlight w:val="none"/>
                <w:lang w:val="en-US" w:eastAsia="zh-CN" w:bidi="ar-SA"/>
              </w:rPr>
            </w:pPr>
          </w:p>
        </w:tc>
      </w:tr>
      <w:tr w14:paraId="5650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2672E10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经济类型</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01C6EA91">
            <w:pPr>
              <w:jc w:val="center"/>
              <w:rPr>
                <w:rFonts w:hint="eastAsia" w:ascii="宋体" w:hAnsi="宋体" w:eastAsia="宋体" w:cs="宋体"/>
                <w:color w:val="auto"/>
                <w:kern w:val="2"/>
                <w:sz w:val="24"/>
                <w:szCs w:val="24"/>
                <w:highlight w:val="none"/>
                <w:lang w:val="en-US" w:eastAsia="zh-CN" w:bidi="ar-SA"/>
              </w:rPr>
            </w:pPr>
          </w:p>
        </w:tc>
      </w:tr>
      <w:tr w14:paraId="3A497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3CF1949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工商登记号</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0A07B174">
            <w:pPr>
              <w:jc w:val="center"/>
              <w:rPr>
                <w:rFonts w:hint="eastAsia" w:ascii="宋体" w:hAnsi="宋体" w:eastAsia="宋体" w:cs="宋体"/>
                <w:color w:val="auto"/>
                <w:kern w:val="2"/>
                <w:sz w:val="24"/>
                <w:szCs w:val="24"/>
                <w:highlight w:val="none"/>
                <w:lang w:val="en-US" w:eastAsia="zh-CN" w:bidi="ar-SA"/>
              </w:rPr>
            </w:pPr>
          </w:p>
        </w:tc>
      </w:tr>
      <w:tr w14:paraId="2A011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62AD1C91">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税务登记号</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4BE40360">
            <w:pPr>
              <w:jc w:val="center"/>
              <w:rPr>
                <w:rFonts w:hint="eastAsia" w:ascii="宋体" w:hAnsi="宋体" w:eastAsia="宋体" w:cs="宋体"/>
                <w:color w:val="auto"/>
                <w:kern w:val="2"/>
                <w:sz w:val="24"/>
                <w:szCs w:val="24"/>
                <w:highlight w:val="none"/>
                <w:lang w:val="en-US" w:eastAsia="zh-CN" w:bidi="ar-SA"/>
              </w:rPr>
            </w:pPr>
          </w:p>
        </w:tc>
      </w:tr>
      <w:tr w14:paraId="5060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36C0F5AD">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开户银行及账号</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6C758282">
            <w:pPr>
              <w:jc w:val="center"/>
              <w:rPr>
                <w:rFonts w:hint="eastAsia" w:ascii="宋体" w:hAnsi="宋体" w:eastAsia="宋体" w:cs="宋体"/>
                <w:color w:val="auto"/>
                <w:kern w:val="2"/>
                <w:sz w:val="24"/>
                <w:szCs w:val="24"/>
                <w:highlight w:val="none"/>
                <w:lang w:val="en-US" w:eastAsia="zh-CN" w:bidi="ar-SA"/>
              </w:rPr>
            </w:pPr>
          </w:p>
        </w:tc>
      </w:tr>
      <w:tr w14:paraId="6BDAE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67C89A59">
            <w:pPr>
              <w:ind w:left="-105" w:leftChars="-50" w:right="-105" w:rightChars="-5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单位信用等级</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0441E9E9">
            <w:pPr>
              <w:jc w:val="center"/>
              <w:rPr>
                <w:rFonts w:hint="eastAsia" w:ascii="宋体" w:hAnsi="宋体" w:eastAsia="宋体" w:cs="宋体"/>
                <w:color w:val="auto"/>
                <w:kern w:val="2"/>
                <w:sz w:val="24"/>
                <w:szCs w:val="24"/>
                <w:highlight w:val="none"/>
                <w:lang w:val="en-US" w:eastAsia="zh-CN" w:bidi="ar-SA"/>
              </w:rPr>
            </w:pPr>
          </w:p>
        </w:tc>
      </w:tr>
      <w:tr w14:paraId="7FEA2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579E84E0">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联系人</w:t>
            </w:r>
          </w:p>
        </w:tc>
        <w:tc>
          <w:tcPr>
            <w:tcW w:w="2341" w:type="dxa"/>
            <w:tcBorders>
              <w:top w:val="single" w:color="auto" w:sz="4" w:space="0"/>
              <w:left w:val="single" w:color="auto" w:sz="4" w:space="0"/>
              <w:bottom w:val="single" w:color="auto" w:sz="4" w:space="0"/>
              <w:right w:val="single" w:color="auto" w:sz="4" w:space="0"/>
            </w:tcBorders>
            <w:vAlign w:val="center"/>
          </w:tcPr>
          <w:p w14:paraId="069C9A87">
            <w:pPr>
              <w:jc w:val="center"/>
              <w:rPr>
                <w:rFonts w:hint="eastAsia" w:ascii="宋体" w:hAnsi="宋体" w:eastAsia="宋体" w:cs="宋体"/>
                <w:color w:val="auto"/>
                <w:kern w:val="2"/>
                <w:sz w:val="24"/>
                <w:szCs w:val="24"/>
                <w:highlight w:val="none"/>
                <w:lang w:val="en-US" w:eastAsia="zh-CN" w:bidi="ar-SA"/>
              </w:rPr>
            </w:pPr>
          </w:p>
        </w:tc>
        <w:tc>
          <w:tcPr>
            <w:tcW w:w="2684" w:type="dxa"/>
            <w:tcBorders>
              <w:top w:val="single" w:color="auto" w:sz="4" w:space="0"/>
              <w:left w:val="single" w:color="auto" w:sz="4" w:space="0"/>
              <w:bottom w:val="single" w:color="auto" w:sz="4" w:space="0"/>
              <w:right w:val="single" w:color="auto" w:sz="4" w:space="0"/>
            </w:tcBorders>
            <w:vAlign w:val="center"/>
          </w:tcPr>
          <w:p w14:paraId="27B5E6C9">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tc>
        <w:tc>
          <w:tcPr>
            <w:tcW w:w="1921" w:type="dxa"/>
            <w:tcBorders>
              <w:top w:val="single" w:color="auto" w:sz="4" w:space="0"/>
              <w:left w:val="single" w:color="auto" w:sz="4" w:space="0"/>
              <w:bottom w:val="single" w:color="auto" w:sz="4" w:space="0"/>
              <w:right w:val="single" w:color="auto" w:sz="4" w:space="0"/>
            </w:tcBorders>
            <w:vAlign w:val="center"/>
          </w:tcPr>
          <w:p w14:paraId="1DEAC6A6">
            <w:pPr>
              <w:jc w:val="center"/>
              <w:rPr>
                <w:rFonts w:hint="eastAsia" w:ascii="宋体" w:hAnsi="宋体" w:eastAsia="宋体" w:cs="宋体"/>
                <w:color w:val="auto"/>
                <w:kern w:val="2"/>
                <w:sz w:val="24"/>
                <w:szCs w:val="24"/>
                <w:highlight w:val="none"/>
                <w:lang w:val="en-US" w:eastAsia="zh-CN" w:bidi="ar-SA"/>
              </w:rPr>
            </w:pPr>
          </w:p>
        </w:tc>
      </w:tr>
      <w:tr w14:paraId="67478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3014" w:type="dxa"/>
            <w:tcBorders>
              <w:top w:val="single" w:color="auto" w:sz="4" w:space="0"/>
              <w:left w:val="single" w:color="auto" w:sz="4" w:space="0"/>
              <w:bottom w:val="single" w:color="auto" w:sz="4" w:space="0"/>
              <w:right w:val="single" w:color="auto" w:sz="4" w:space="0"/>
            </w:tcBorders>
            <w:vAlign w:val="center"/>
          </w:tcPr>
          <w:p w14:paraId="353D372C">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传真号</w:t>
            </w:r>
          </w:p>
        </w:tc>
        <w:tc>
          <w:tcPr>
            <w:tcW w:w="2341" w:type="dxa"/>
            <w:tcBorders>
              <w:top w:val="single" w:color="auto" w:sz="4" w:space="0"/>
              <w:left w:val="single" w:color="auto" w:sz="4" w:space="0"/>
              <w:bottom w:val="single" w:color="auto" w:sz="4" w:space="0"/>
              <w:right w:val="single" w:color="auto" w:sz="4" w:space="0"/>
            </w:tcBorders>
            <w:vAlign w:val="center"/>
          </w:tcPr>
          <w:p w14:paraId="18308155">
            <w:pPr>
              <w:jc w:val="center"/>
              <w:rPr>
                <w:rFonts w:hint="eastAsia" w:ascii="宋体" w:hAnsi="宋体" w:eastAsia="宋体" w:cs="宋体"/>
                <w:color w:val="auto"/>
                <w:kern w:val="2"/>
                <w:sz w:val="24"/>
                <w:szCs w:val="24"/>
                <w:highlight w:val="none"/>
                <w:lang w:val="en-US" w:eastAsia="zh-CN" w:bidi="ar-SA"/>
              </w:rPr>
            </w:pPr>
          </w:p>
        </w:tc>
        <w:tc>
          <w:tcPr>
            <w:tcW w:w="2684" w:type="dxa"/>
            <w:tcBorders>
              <w:top w:val="single" w:color="auto" w:sz="4" w:space="0"/>
              <w:left w:val="single" w:color="auto" w:sz="4" w:space="0"/>
              <w:bottom w:val="single" w:color="auto" w:sz="4" w:space="0"/>
              <w:right w:val="single" w:color="auto" w:sz="4" w:space="0"/>
            </w:tcBorders>
            <w:vAlign w:val="center"/>
          </w:tcPr>
          <w:p w14:paraId="58FAAF39">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电子邮箱</w:t>
            </w:r>
          </w:p>
        </w:tc>
        <w:tc>
          <w:tcPr>
            <w:tcW w:w="1921" w:type="dxa"/>
            <w:tcBorders>
              <w:top w:val="single" w:color="auto" w:sz="4" w:space="0"/>
              <w:left w:val="single" w:color="auto" w:sz="4" w:space="0"/>
              <w:bottom w:val="single" w:color="auto" w:sz="4" w:space="0"/>
              <w:right w:val="single" w:color="auto" w:sz="4" w:space="0"/>
            </w:tcBorders>
            <w:vAlign w:val="center"/>
          </w:tcPr>
          <w:p w14:paraId="61148DCF">
            <w:pPr>
              <w:jc w:val="center"/>
              <w:rPr>
                <w:rFonts w:hint="eastAsia" w:ascii="宋体" w:hAnsi="宋体" w:eastAsia="宋体" w:cs="宋体"/>
                <w:color w:val="auto"/>
                <w:kern w:val="2"/>
                <w:sz w:val="24"/>
                <w:szCs w:val="24"/>
                <w:highlight w:val="none"/>
                <w:lang w:val="en-US" w:eastAsia="zh-CN" w:bidi="ar-SA"/>
              </w:rPr>
            </w:pPr>
          </w:p>
        </w:tc>
      </w:tr>
      <w:tr w14:paraId="69253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014" w:type="dxa"/>
            <w:tcBorders>
              <w:top w:val="single" w:color="auto" w:sz="4" w:space="0"/>
              <w:left w:val="single" w:color="auto" w:sz="4" w:space="0"/>
              <w:bottom w:val="single" w:color="auto" w:sz="4" w:space="0"/>
              <w:right w:val="single" w:color="auto" w:sz="4" w:space="0"/>
            </w:tcBorders>
            <w:vAlign w:val="center"/>
          </w:tcPr>
          <w:p w14:paraId="70D6FF3F">
            <w:pP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说明</w:t>
            </w:r>
          </w:p>
        </w:tc>
        <w:tc>
          <w:tcPr>
            <w:tcW w:w="6946" w:type="dxa"/>
            <w:gridSpan w:val="3"/>
            <w:tcBorders>
              <w:top w:val="single" w:color="auto" w:sz="4" w:space="0"/>
              <w:left w:val="single" w:color="auto" w:sz="4" w:space="0"/>
              <w:bottom w:val="single" w:color="auto" w:sz="4" w:space="0"/>
              <w:right w:val="single" w:color="auto" w:sz="4" w:space="0"/>
            </w:tcBorders>
            <w:vAlign w:val="center"/>
          </w:tcPr>
          <w:p w14:paraId="0D66B245">
            <w:pPr>
              <w:jc w:val="center"/>
              <w:rPr>
                <w:rFonts w:hint="eastAsia" w:ascii="宋体" w:hAnsi="宋体" w:eastAsia="宋体" w:cs="宋体"/>
                <w:color w:val="auto"/>
                <w:kern w:val="2"/>
                <w:sz w:val="24"/>
                <w:szCs w:val="24"/>
                <w:highlight w:val="none"/>
                <w:lang w:val="en-US" w:eastAsia="zh-CN" w:bidi="ar-SA"/>
              </w:rPr>
            </w:pPr>
          </w:p>
          <w:p w14:paraId="16A70823">
            <w:pPr>
              <w:jc w:val="center"/>
              <w:rPr>
                <w:rFonts w:hint="eastAsia" w:ascii="宋体" w:hAnsi="宋体" w:eastAsia="宋体" w:cs="宋体"/>
                <w:color w:val="auto"/>
                <w:kern w:val="2"/>
                <w:sz w:val="24"/>
                <w:szCs w:val="24"/>
                <w:highlight w:val="none"/>
                <w:lang w:val="en-US" w:eastAsia="zh-CN" w:bidi="ar-SA"/>
              </w:rPr>
            </w:pPr>
          </w:p>
          <w:p w14:paraId="19C754CF">
            <w:pPr>
              <w:jc w:val="center"/>
              <w:rPr>
                <w:rFonts w:hint="eastAsia" w:ascii="宋体" w:hAnsi="宋体" w:eastAsia="宋体" w:cs="宋体"/>
                <w:color w:val="auto"/>
                <w:kern w:val="2"/>
                <w:sz w:val="24"/>
                <w:szCs w:val="24"/>
                <w:highlight w:val="none"/>
                <w:lang w:val="en-US" w:eastAsia="zh-CN" w:bidi="ar-SA"/>
              </w:rPr>
            </w:pPr>
          </w:p>
          <w:p w14:paraId="41183236">
            <w:pPr>
              <w:jc w:val="center"/>
              <w:rPr>
                <w:rFonts w:hint="eastAsia" w:ascii="宋体" w:hAnsi="宋体" w:eastAsia="宋体" w:cs="宋体"/>
                <w:color w:val="auto"/>
                <w:kern w:val="2"/>
                <w:sz w:val="24"/>
                <w:szCs w:val="24"/>
                <w:highlight w:val="none"/>
                <w:lang w:val="en-US" w:eastAsia="zh-CN" w:bidi="ar-SA"/>
              </w:rPr>
            </w:pPr>
          </w:p>
          <w:p w14:paraId="6695F0AF">
            <w:pPr>
              <w:rPr>
                <w:rFonts w:hint="eastAsia" w:ascii="宋体" w:hAnsi="宋体" w:eastAsia="宋体" w:cs="宋体"/>
                <w:color w:val="auto"/>
                <w:kern w:val="2"/>
                <w:sz w:val="24"/>
                <w:szCs w:val="24"/>
                <w:highlight w:val="none"/>
                <w:lang w:val="en-US" w:eastAsia="zh-CN" w:bidi="ar-SA"/>
              </w:rPr>
            </w:pPr>
          </w:p>
        </w:tc>
      </w:tr>
    </w:tbl>
    <w:p w14:paraId="7CF80C26">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p>
    <w:p w14:paraId="78E53DEB">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50FE18E5">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法定代表人或委托代理人（签字或盖章）：</w:t>
      </w:r>
      <w:r>
        <w:rPr>
          <w:rFonts w:hint="eastAsia" w:ascii="宋体" w:hAnsi="宋体" w:eastAsia="宋体" w:cs="宋体"/>
          <w:color w:val="auto"/>
          <w:kern w:val="2"/>
          <w:sz w:val="24"/>
          <w:szCs w:val="24"/>
          <w:highlight w:val="none"/>
          <w:u w:val="single"/>
          <w:lang w:val="en-US" w:eastAsia="zh-CN" w:bidi="ar-SA"/>
        </w:rPr>
        <w:t xml:space="preserve">                     </w:t>
      </w:r>
    </w:p>
    <w:p w14:paraId="524DD2EF">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186BE003">
      <w:pP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br w:type="page"/>
      </w:r>
    </w:p>
    <w:p w14:paraId="2D359F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3、授权委托书或法定代表人（单位负责人、自然人本人）身份证明</w:t>
      </w:r>
    </w:p>
    <w:p w14:paraId="6DB25ED3">
      <w:pPr>
        <w:pStyle w:val="35"/>
        <w:tabs>
          <w:tab w:val="left" w:pos="3570"/>
        </w:tabs>
        <w:adjustRightInd w:val="0"/>
        <w:snapToGrid w:val="0"/>
        <w:spacing w:line="360" w:lineRule="auto"/>
        <w:jc w:val="center"/>
        <w:rPr>
          <w:rFonts w:hint="eastAsia" w:ascii="宋体" w:hAnsi="宋体" w:cs="宋体"/>
          <w:color w:val="auto"/>
          <w:sz w:val="24"/>
          <w:szCs w:val="24"/>
          <w:highlight w:val="none"/>
        </w:rPr>
      </w:pPr>
    </w:p>
    <w:p w14:paraId="70C22DBF">
      <w:pPr>
        <w:pStyle w:val="35"/>
        <w:tabs>
          <w:tab w:val="left" w:pos="3570"/>
        </w:tabs>
        <w:adjustRightInd w:val="0"/>
        <w:snapToGri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法定代表人（单位负责人）身份证明</w:t>
      </w:r>
    </w:p>
    <w:p w14:paraId="526D1DF3">
      <w:pPr>
        <w:pStyle w:val="35"/>
        <w:tabs>
          <w:tab w:val="left" w:pos="3570"/>
        </w:tabs>
        <w:adjustRightInd w:val="0"/>
        <w:snapToGrid w:val="0"/>
        <w:spacing w:line="360" w:lineRule="auto"/>
        <w:jc w:val="center"/>
        <w:rPr>
          <w:rFonts w:ascii="宋体" w:hAnsi="宋体" w:cs="宋体"/>
          <w:color w:val="auto"/>
          <w:sz w:val="24"/>
          <w:szCs w:val="24"/>
          <w:highlight w:val="none"/>
        </w:rPr>
      </w:pPr>
    </w:p>
    <w:p w14:paraId="7029BCE0">
      <w:pPr>
        <w:pStyle w:val="35"/>
        <w:tabs>
          <w:tab w:val="left" w:pos="3570"/>
        </w:tabs>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（代理机构名称</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094272B8">
      <w:pPr>
        <w:pStyle w:val="35"/>
        <w:tabs>
          <w:tab w:val="left" w:pos="3570"/>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兹有</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公司法定代表人，代表我公司办理一切社会公务事宜，具有法律效力。 </w:t>
      </w:r>
    </w:p>
    <w:p w14:paraId="4C69FB1C">
      <w:pPr>
        <w:pStyle w:val="35"/>
        <w:tabs>
          <w:tab w:val="left" w:pos="3570"/>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附法定代表人基本情况： </w:t>
      </w:r>
    </w:p>
    <w:p w14:paraId="07095597">
      <w:pPr>
        <w:pStyle w:val="35"/>
        <w:tabs>
          <w:tab w:val="left" w:pos="3570"/>
        </w:tabs>
        <w:adjustRightInd w:val="0"/>
        <w:snapToGri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姓名：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性别：</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p>
    <w:p w14:paraId="5DEBBC94">
      <w:pPr>
        <w:pStyle w:val="35"/>
        <w:tabs>
          <w:tab w:val="left" w:pos="3570"/>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1F1E3014">
      <w:pPr>
        <w:pStyle w:val="35"/>
        <w:tabs>
          <w:tab w:val="left" w:pos="3570"/>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通讯地址：</w:t>
      </w:r>
      <w:r>
        <w:rPr>
          <w:rFonts w:hint="eastAsia" w:ascii="宋体" w:hAnsi="宋体" w:cs="宋体"/>
          <w:color w:val="auto"/>
          <w:sz w:val="24"/>
          <w:szCs w:val="24"/>
          <w:highlight w:val="none"/>
          <w:u w:val="single"/>
        </w:rPr>
        <w:t xml:space="preserve">                       </w:t>
      </w:r>
    </w:p>
    <w:p w14:paraId="1BDF68E9">
      <w:pPr>
        <w:pStyle w:val="35"/>
        <w:tabs>
          <w:tab w:val="left" w:pos="3570"/>
        </w:tabs>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电话号码：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p>
    <w:p w14:paraId="1575451F">
      <w:pPr>
        <w:pStyle w:val="35"/>
        <w:tabs>
          <w:tab w:val="left" w:pos="3570"/>
        </w:tabs>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63CFF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trPr>
        <w:tc>
          <w:tcPr>
            <w:tcW w:w="9962" w:type="dxa"/>
            <w:tcBorders>
              <w:top w:val="single" w:color="auto" w:sz="4" w:space="0"/>
              <w:left w:val="single" w:color="auto" w:sz="4" w:space="0"/>
              <w:bottom w:val="single" w:color="auto" w:sz="4" w:space="0"/>
              <w:right w:val="single" w:color="auto" w:sz="4" w:space="0"/>
            </w:tcBorders>
          </w:tcPr>
          <w:p w14:paraId="41CA066E">
            <w:pPr>
              <w:pStyle w:val="35"/>
              <w:tabs>
                <w:tab w:val="left" w:pos="3570"/>
              </w:tabs>
              <w:adjustRightInd w:val="0"/>
              <w:snapToGrid w:val="0"/>
              <w:spacing w:line="360" w:lineRule="auto"/>
              <w:jc w:val="center"/>
              <w:rPr>
                <w:rFonts w:ascii="宋体" w:hAnsi="宋体" w:cs="宋体"/>
                <w:color w:val="auto"/>
                <w:sz w:val="24"/>
                <w:szCs w:val="24"/>
                <w:highlight w:val="none"/>
              </w:rPr>
            </w:pPr>
          </w:p>
          <w:p w14:paraId="6650B101">
            <w:pPr>
              <w:pStyle w:val="35"/>
              <w:tabs>
                <w:tab w:val="left" w:pos="3570"/>
              </w:tabs>
              <w:adjustRightInd w:val="0"/>
              <w:snapToGrid w:val="0"/>
              <w:spacing w:line="360" w:lineRule="auto"/>
              <w:jc w:val="center"/>
              <w:rPr>
                <w:rFonts w:ascii="宋体" w:hAnsi="宋体" w:cs="宋体"/>
                <w:color w:val="auto"/>
                <w:sz w:val="24"/>
                <w:szCs w:val="24"/>
                <w:highlight w:val="none"/>
              </w:rPr>
            </w:pPr>
          </w:p>
          <w:p w14:paraId="21FA1BDA">
            <w:pPr>
              <w:pStyle w:val="35"/>
              <w:tabs>
                <w:tab w:val="left" w:pos="3570"/>
              </w:tabs>
              <w:adjustRightInd w:val="0"/>
              <w:snapToGrid w:val="0"/>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法定代表人《居民身份证》扫描件</w:t>
            </w:r>
          </w:p>
        </w:tc>
      </w:tr>
    </w:tbl>
    <w:p w14:paraId="689CAD78">
      <w:pPr>
        <w:pStyle w:val="35"/>
        <w:tabs>
          <w:tab w:val="left" w:pos="3570"/>
        </w:tabs>
        <w:adjustRightInd w:val="0"/>
        <w:snapToGrid w:val="0"/>
        <w:spacing w:line="360" w:lineRule="auto"/>
        <w:rPr>
          <w:rFonts w:ascii="宋体" w:hAnsi="宋体" w:cs="宋体"/>
          <w:color w:val="auto"/>
          <w:sz w:val="24"/>
          <w:szCs w:val="24"/>
          <w:highlight w:val="none"/>
        </w:rPr>
      </w:pPr>
    </w:p>
    <w:p w14:paraId="102F541E">
      <w:pPr>
        <w:pStyle w:val="35"/>
        <w:tabs>
          <w:tab w:val="left" w:pos="3570"/>
        </w:tabs>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14:paraId="65FD9159">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3352D379">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760BC715">
      <w:pPr>
        <w:rPr>
          <w:rFonts w:cs="宋体"/>
          <w:color w:val="auto"/>
          <w:highlight w:val="none"/>
        </w:rPr>
      </w:pPr>
      <w:r>
        <w:rPr>
          <w:rFonts w:cs="宋体"/>
          <w:color w:val="auto"/>
          <w:highlight w:val="none"/>
        </w:rPr>
        <w:br w:type="page"/>
      </w:r>
    </w:p>
    <w:p w14:paraId="5090471E">
      <w:pPr>
        <w:pStyle w:val="35"/>
        <w:tabs>
          <w:tab w:val="left" w:pos="3570"/>
        </w:tabs>
        <w:adjustRightInd w:val="0"/>
        <w:snapToGrid w:val="0"/>
        <w:spacing w:line="360" w:lineRule="auto"/>
        <w:jc w:val="center"/>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法定代表人授权书</w:t>
      </w:r>
    </w:p>
    <w:p w14:paraId="67B8939D">
      <w:pPr>
        <w:pStyle w:val="35"/>
        <w:tabs>
          <w:tab w:val="left" w:pos="357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（代理机构名称）</w:t>
      </w:r>
      <w:r>
        <w:rPr>
          <w:rFonts w:hint="eastAsia" w:ascii="宋体" w:hAnsi="宋体" w:cs="宋体"/>
          <w:color w:val="auto"/>
          <w:sz w:val="24"/>
          <w:szCs w:val="24"/>
          <w:highlight w:val="none"/>
        </w:rPr>
        <w:t>：</w:t>
      </w:r>
    </w:p>
    <w:p w14:paraId="6D51AA53">
      <w:pPr>
        <w:pStyle w:val="35"/>
        <w:tabs>
          <w:tab w:val="left" w:pos="3570"/>
        </w:tabs>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兹授权</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同志为我公司参加贵单位组织的编号为</w:t>
      </w:r>
      <w:r>
        <w:rPr>
          <w:rFonts w:hint="eastAsia" w:ascii="宋体" w:hAnsi="宋体" w:cs="宋体"/>
          <w:color w:val="auto"/>
          <w:sz w:val="24"/>
          <w:szCs w:val="24"/>
          <w:highlight w:val="none"/>
          <w:u w:val="single"/>
        </w:rPr>
        <w:t>（项目编号）</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 目 名 称）</w:t>
      </w:r>
      <w:r>
        <w:rPr>
          <w:rFonts w:hint="eastAsia" w:ascii="宋体" w:hAnsi="宋体" w:cs="宋体"/>
          <w:color w:val="auto"/>
          <w:sz w:val="24"/>
          <w:szCs w:val="24"/>
          <w:highlight w:val="none"/>
        </w:rPr>
        <w:t>采购活动的投标代表人，全权代表我公司处理在该项目采购活动中的一切事宜。代理期限从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日起至</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日止。 </w:t>
      </w:r>
    </w:p>
    <w:p w14:paraId="16A532B1">
      <w:pPr>
        <w:pStyle w:val="35"/>
        <w:tabs>
          <w:tab w:val="left" w:pos="3570"/>
        </w:tabs>
        <w:spacing w:line="360" w:lineRule="auto"/>
        <w:rPr>
          <w:rFonts w:ascii="宋体" w:hAnsi="宋体" w:cs="宋体"/>
          <w:color w:val="auto"/>
          <w:sz w:val="24"/>
          <w:szCs w:val="24"/>
          <w:highlight w:val="none"/>
        </w:rPr>
      </w:pPr>
    </w:p>
    <w:p w14:paraId="5298E4E5">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30478D8C">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法定代表人（签字或盖章）：</w:t>
      </w:r>
      <w:r>
        <w:rPr>
          <w:rFonts w:hint="eastAsia" w:ascii="宋体" w:hAnsi="宋体" w:eastAsia="宋体" w:cs="宋体"/>
          <w:color w:val="auto"/>
          <w:kern w:val="2"/>
          <w:sz w:val="24"/>
          <w:szCs w:val="24"/>
          <w:highlight w:val="none"/>
          <w:u w:val="single"/>
          <w:lang w:val="en-US" w:eastAsia="zh-CN" w:bidi="ar-SA"/>
        </w:rPr>
        <w:t xml:space="preserve">                     </w:t>
      </w:r>
    </w:p>
    <w:p w14:paraId="004118BA">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11EE75F5">
      <w:pPr>
        <w:pStyle w:val="35"/>
        <w:tabs>
          <w:tab w:val="left" w:pos="3570"/>
        </w:tabs>
        <w:spacing w:line="360" w:lineRule="auto"/>
        <w:rPr>
          <w:rFonts w:ascii="宋体" w:hAnsi="宋体" w:cs="宋体"/>
          <w:color w:val="auto"/>
          <w:sz w:val="24"/>
          <w:szCs w:val="24"/>
          <w:highlight w:val="none"/>
        </w:rPr>
      </w:pPr>
    </w:p>
    <w:p w14:paraId="3046C07E">
      <w:pPr>
        <w:pStyle w:val="35"/>
        <w:tabs>
          <w:tab w:val="left" w:pos="357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附：</w:t>
      </w:r>
    </w:p>
    <w:p w14:paraId="16381D8C">
      <w:pPr>
        <w:pStyle w:val="35"/>
        <w:tabs>
          <w:tab w:val="left" w:pos="357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代理人工作单位：</w:t>
      </w:r>
      <w:r>
        <w:rPr>
          <w:rFonts w:hint="eastAsia" w:ascii="宋体" w:hAnsi="宋体" w:cs="宋体"/>
          <w:color w:val="auto"/>
          <w:sz w:val="24"/>
          <w:szCs w:val="24"/>
          <w:highlight w:val="none"/>
          <w:u w:val="single"/>
        </w:rPr>
        <w:t xml:space="preserve">                          </w:t>
      </w:r>
    </w:p>
    <w:p w14:paraId="55B5CF32">
      <w:pPr>
        <w:pStyle w:val="35"/>
        <w:tabs>
          <w:tab w:val="left" w:pos="357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职务：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性别：</w:t>
      </w:r>
      <w:r>
        <w:rPr>
          <w:rFonts w:hint="eastAsia" w:ascii="宋体" w:hAnsi="宋体" w:cs="宋体"/>
          <w:color w:val="auto"/>
          <w:sz w:val="24"/>
          <w:szCs w:val="24"/>
          <w:highlight w:val="none"/>
          <w:u w:val="single"/>
        </w:rPr>
        <w:t xml:space="preserve">      </w:t>
      </w:r>
    </w:p>
    <w:p w14:paraId="57F30602">
      <w:pPr>
        <w:pStyle w:val="35"/>
        <w:tabs>
          <w:tab w:val="left" w:pos="3570"/>
        </w:tabs>
        <w:adjustRightInd w:val="0"/>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身份证号码：</w:t>
      </w:r>
      <w:r>
        <w:rPr>
          <w:rFonts w:hint="eastAsia" w:ascii="宋体" w:hAnsi="宋体" w:cs="宋体"/>
          <w:color w:val="auto"/>
          <w:sz w:val="24"/>
          <w:szCs w:val="24"/>
          <w:highlight w:val="none"/>
          <w:u w:val="single"/>
        </w:rPr>
        <w:t xml:space="preserve">                              </w:t>
      </w:r>
    </w:p>
    <w:p w14:paraId="692745CC">
      <w:pPr>
        <w:pStyle w:val="35"/>
        <w:tabs>
          <w:tab w:val="left" w:pos="3570"/>
        </w:tabs>
        <w:adjustRightInd w:val="0"/>
        <w:snapToGrid w:val="0"/>
        <w:spacing w:line="360" w:lineRule="auto"/>
        <w:ind w:left="-88" w:leftChars="-42" w:firstLine="600" w:firstLineChars="250"/>
        <w:rPr>
          <w:rFonts w:ascii="宋体" w:hAnsi="宋体" w:cs="宋体"/>
          <w:color w:val="auto"/>
          <w:sz w:val="24"/>
          <w:szCs w:val="24"/>
          <w:highlight w:val="none"/>
          <w:u w:val="single"/>
        </w:rPr>
      </w:pP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6C8F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9962" w:type="dxa"/>
            <w:tcBorders>
              <w:top w:val="single" w:color="auto" w:sz="4" w:space="0"/>
              <w:left w:val="single" w:color="auto" w:sz="4" w:space="0"/>
              <w:bottom w:val="single" w:color="auto" w:sz="4" w:space="0"/>
              <w:right w:val="single" w:color="auto" w:sz="4" w:space="0"/>
            </w:tcBorders>
          </w:tcPr>
          <w:p w14:paraId="4A49C85A">
            <w:pPr>
              <w:pStyle w:val="35"/>
              <w:tabs>
                <w:tab w:val="left" w:pos="357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法定代表人《居民身份证》扫描件</w:t>
            </w:r>
          </w:p>
          <w:p w14:paraId="0B0BD853">
            <w:pPr>
              <w:pStyle w:val="35"/>
              <w:tabs>
                <w:tab w:val="left" w:pos="3570"/>
              </w:tabs>
              <w:spacing w:line="360" w:lineRule="auto"/>
              <w:rPr>
                <w:rFonts w:ascii="宋体" w:hAnsi="宋体" w:cs="宋体"/>
                <w:color w:val="auto"/>
                <w:sz w:val="24"/>
                <w:szCs w:val="24"/>
                <w:highlight w:val="none"/>
              </w:rPr>
            </w:pPr>
          </w:p>
        </w:tc>
      </w:tr>
    </w:tbl>
    <w:p w14:paraId="5D8F76E4">
      <w:pPr>
        <w:pStyle w:val="37"/>
        <w:tabs>
          <w:tab w:val="left" w:pos="3570"/>
        </w:tabs>
        <w:spacing w:line="360" w:lineRule="auto"/>
        <w:rPr>
          <w:rFonts w:ascii="宋体" w:hAnsi="宋体" w:eastAsia="宋体" w:cs="宋体"/>
          <w:color w:val="auto"/>
          <w:highlight w:val="none"/>
        </w:rPr>
      </w:pPr>
    </w:p>
    <w:tbl>
      <w:tblPr>
        <w:tblStyle w:val="1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272F8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9962" w:type="dxa"/>
            <w:tcBorders>
              <w:top w:val="single" w:color="auto" w:sz="4" w:space="0"/>
              <w:left w:val="single" w:color="auto" w:sz="4" w:space="0"/>
              <w:bottom w:val="single" w:color="auto" w:sz="4" w:space="0"/>
              <w:right w:val="single" w:color="auto" w:sz="4" w:space="0"/>
            </w:tcBorders>
          </w:tcPr>
          <w:p w14:paraId="4BA3B823">
            <w:pPr>
              <w:pStyle w:val="35"/>
              <w:tabs>
                <w:tab w:val="left" w:pos="3570"/>
              </w:tabs>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被授权人《居民身份证》扫描件</w:t>
            </w:r>
          </w:p>
        </w:tc>
      </w:tr>
    </w:tbl>
    <w:p w14:paraId="64D3E237">
      <w:pP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br w:type="page"/>
      </w:r>
    </w:p>
    <w:p w14:paraId="413AA53A">
      <w:pPr>
        <w:keepNext w:val="0"/>
        <w:keepLines w:val="0"/>
        <w:widowControl/>
        <w:suppressLineNumbers w:val="0"/>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4、供应商的营业执照等证明文件</w:t>
      </w:r>
    </w:p>
    <w:p w14:paraId="24E7004C">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eastAsia" w:ascii="仿宋" w:hAnsi="仿宋" w:eastAsia="仿宋" w:cs="仿宋"/>
          <w:color w:val="auto"/>
          <w:kern w:val="2"/>
          <w:sz w:val="21"/>
          <w:szCs w:val="21"/>
          <w:highlight w:val="none"/>
          <w:lang w:val="en-US" w:eastAsia="zh-CN" w:bidi="ar-SA"/>
        </w:rPr>
      </w:pPr>
    </w:p>
    <w:p w14:paraId="51310531">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说明： 供应商为企业法人应提供合法有效的标识有统一社会信用代码的营业执照；事业法人应提供事业单位法人证书；其他组织应提供合法登记证明文件，并加盖供应商单位公章。</w:t>
      </w:r>
    </w:p>
    <w:p w14:paraId="7FA88C11">
      <w:pP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br w:type="page"/>
      </w:r>
    </w:p>
    <w:p w14:paraId="36B5951B">
      <w:pPr>
        <w:keepNext w:val="0"/>
        <w:keepLines w:val="0"/>
        <w:widowControl/>
        <w:suppressLineNumbers w:val="0"/>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5、具有履行合同所必需的设备和专业技术能力</w:t>
      </w:r>
    </w:p>
    <w:p w14:paraId="7DB99A89">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eastAsia" w:ascii="仿宋" w:hAnsi="仿宋" w:eastAsia="仿宋" w:cs="仿宋"/>
          <w:color w:val="auto"/>
          <w:kern w:val="2"/>
          <w:sz w:val="21"/>
          <w:szCs w:val="21"/>
          <w:highlight w:val="none"/>
          <w:lang w:val="en-US" w:eastAsia="zh-CN" w:bidi="ar-SA"/>
        </w:rPr>
      </w:pPr>
    </w:p>
    <w:p w14:paraId="58FF6502">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说明： 提供完成本项目必需的设备清单及本项目组织实施人员或承诺函。</w:t>
      </w:r>
    </w:p>
    <w:p w14:paraId="16157675">
      <w:pP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br w:type="page"/>
      </w:r>
    </w:p>
    <w:p w14:paraId="49E0CE6F">
      <w:pPr>
        <w:keepNext w:val="0"/>
        <w:keepLines w:val="0"/>
        <w:widowControl/>
        <w:suppressLineNumbers w:val="0"/>
        <w:jc w:val="center"/>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6、社会保障资金缴纳证明</w:t>
      </w:r>
    </w:p>
    <w:p w14:paraId="38C4A18C">
      <w:pPr>
        <w:rPr>
          <w:rFonts w:hint="default" w:ascii="宋体" w:hAnsi="宋体" w:eastAsia="宋体" w:cs="宋体"/>
          <w:color w:val="auto"/>
          <w:kern w:val="2"/>
          <w:sz w:val="24"/>
          <w:szCs w:val="24"/>
          <w:highlight w:val="none"/>
          <w:lang w:val="en-US" w:eastAsia="zh-CN" w:bidi="ar-SA"/>
        </w:rPr>
      </w:pPr>
    </w:p>
    <w:p w14:paraId="2A3BBCC4">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说明：供应商提供近半年内已缴存的至少一个月的社会保障资金缴存单据或社保机构开具的社会保险参保缴费情况证明，依法不需要缴纳社会保障资金的供应商应提供相关文件证明；</w:t>
      </w:r>
    </w:p>
    <w:p w14:paraId="3CBA7377">
      <w:pPr>
        <w:rPr>
          <w:rFonts w:hint="default" w:ascii="宋体" w:hAnsi="宋体" w:eastAsia="宋体" w:cs="宋体"/>
          <w:color w:val="auto"/>
          <w:kern w:val="2"/>
          <w:sz w:val="24"/>
          <w:szCs w:val="24"/>
          <w:highlight w:val="none"/>
          <w:lang w:val="en-US" w:eastAsia="zh-CN" w:bidi="ar-SA"/>
        </w:rPr>
      </w:pPr>
    </w:p>
    <w:p w14:paraId="7F526236">
      <w:pP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br w:type="page"/>
      </w:r>
    </w:p>
    <w:p w14:paraId="050353E7">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center"/>
        <w:textAlignment w:val="auto"/>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7、税收缴纳证明</w:t>
      </w:r>
    </w:p>
    <w:p w14:paraId="1FBA0EBA">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说明：供应商提供近半年内已缴纳的至少一个月的纳税证明或完税证明，纳税证明或完税证明上应有代收机构或税务机关的公章，依法免税的供应商应提供相关文件证明；</w:t>
      </w:r>
    </w:p>
    <w:p w14:paraId="3701BC54">
      <w:pP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br w:type="page"/>
      </w:r>
    </w:p>
    <w:p w14:paraId="3F7D5F75">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center"/>
        <w:textAlignment w:val="auto"/>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8、财务状况报告</w:t>
      </w:r>
    </w:p>
    <w:p w14:paraId="02BF93CA">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说明：供应商须提供本单位上一年度由会计师事务所出具的财务审计报告（当上一年度审计报告未出来时，可提供前一年度审计报告）或财务报表，审计报告须包括资产负债表、利润表、现金流量表、所有者权益变动（如有）及其附注（复印件并加盖本单位公章）。如供应商无法提供上年度审计报告或财务报表，则需提供响应截止日前三个月内银行出具的资信证明。银行资信证明可提供原件，也可提供复印件加盖公章。注：财务报表需加盖本单位公章，资信证明需加盖出具机关印章，资信证明内容须包含商业信誉良好的相关内容。出具的资信证明及基本存款账户开户许可证或基本存款账户信息；</w:t>
      </w:r>
    </w:p>
    <w:p w14:paraId="2569C8D2">
      <w:pP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br w:type="page"/>
      </w:r>
    </w:p>
    <w:p w14:paraId="21B8C7E4">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center"/>
        <w:textAlignment w:val="auto"/>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9、磋商声明书</w:t>
      </w:r>
    </w:p>
    <w:p w14:paraId="5878938A">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color w:val="auto"/>
          <w:kern w:val="2"/>
          <w:sz w:val="28"/>
          <w:szCs w:val="28"/>
          <w:highlight w:val="none"/>
          <w:lang w:val="en-US" w:eastAsia="zh-CN" w:bidi="ar-SA"/>
        </w:rPr>
      </w:pPr>
    </w:p>
    <w:p w14:paraId="227FF40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u w:val="single"/>
          <w:lang w:val="en-US" w:eastAsia="zh-CN" w:bidi="ar-SA"/>
        </w:rPr>
        <w:t>（采购人）、（采购代理机构）</w:t>
      </w:r>
      <w:r>
        <w:rPr>
          <w:rFonts w:hint="default" w:ascii="宋体" w:hAnsi="宋体" w:eastAsia="宋体" w:cs="宋体"/>
          <w:color w:val="auto"/>
          <w:kern w:val="2"/>
          <w:sz w:val="24"/>
          <w:szCs w:val="24"/>
          <w:highlight w:val="none"/>
          <w:lang w:val="en-US" w:eastAsia="zh-CN" w:bidi="ar-SA"/>
        </w:rPr>
        <w:t xml:space="preserve">： </w:t>
      </w:r>
    </w:p>
    <w:p w14:paraId="3BF2153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（供应商），就参加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采购项目（采购项目编号：</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）磋商事宜，在此郑重声明： </w:t>
      </w:r>
    </w:p>
    <w:p w14:paraId="6AD660C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1.我方所提交的响应文件全部真实有效； </w:t>
      </w:r>
    </w:p>
    <w:p w14:paraId="02FB19F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2.我方近 3 年来无因安全事故、质量事故、投标违规等不良记录被政府有关部门处罚或仍在处罚期限内的情形存在； </w:t>
      </w:r>
    </w:p>
    <w:p w14:paraId="597B89E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3.我方近 3 年来无违规违法经营受到责令停产(或停止经营)、吊销生产许可证（或经营许可证）、较大数额罚款（举行听证会）等行政处罚的情形存在；</w:t>
      </w:r>
    </w:p>
    <w:p w14:paraId="0FB87A6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4.我方无企业财产被查封、冻结或处于破产状态或严重亏损状态等情形存在；</w:t>
      </w:r>
    </w:p>
    <w:p w14:paraId="1B36FC2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5.我方承诺在磋商过程中，保证不与其他单位围标、串标，不出让投标资格，不采取不正当手段诋毁、排挤其他供应商，不向采购人、采购代理机构、评标委员会成员行贿；</w:t>
      </w:r>
    </w:p>
    <w:p w14:paraId="0C0E24A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6.我方参加本次政府采购活动近 3 年内，在经营活动中没有重大违法记录；</w:t>
      </w:r>
    </w:p>
    <w:p w14:paraId="144C0B6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7.我方在磋商时未列入政府采购严重违法失信行为记录名单、失信被执行人、重大税收违法案件当事人名单。</w:t>
      </w:r>
    </w:p>
    <w:p w14:paraId="116219E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以上声明若有违反，一经查实，我方愿意接受政府有关部门的相应处罚，并愿意承担由此带来的法律后果。 </w:t>
      </w:r>
    </w:p>
    <w:p w14:paraId="7C7160D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特此声明！</w:t>
      </w:r>
    </w:p>
    <w:p w14:paraId="10A6C780">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both"/>
        <w:textAlignment w:val="auto"/>
        <w:rPr>
          <w:rFonts w:hint="eastAsia" w:ascii="宋体" w:hAnsi="宋体" w:eastAsia="宋体" w:cs="宋体"/>
          <w:b/>
          <w:bCs/>
          <w:color w:val="auto"/>
          <w:kern w:val="2"/>
          <w:sz w:val="28"/>
          <w:szCs w:val="28"/>
          <w:highlight w:val="none"/>
          <w:lang w:val="en-US" w:eastAsia="zh-CN" w:bidi="ar-SA"/>
        </w:rPr>
      </w:pPr>
    </w:p>
    <w:p w14:paraId="410DFBF3">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6CA1ECF0">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法定代表人或委托代理人（签字或盖章）：</w:t>
      </w:r>
      <w:r>
        <w:rPr>
          <w:rFonts w:hint="eastAsia" w:ascii="宋体" w:hAnsi="宋体" w:eastAsia="宋体" w:cs="宋体"/>
          <w:color w:val="auto"/>
          <w:kern w:val="2"/>
          <w:sz w:val="24"/>
          <w:szCs w:val="24"/>
          <w:highlight w:val="none"/>
          <w:u w:val="single"/>
          <w:lang w:val="en-US" w:eastAsia="zh-CN" w:bidi="ar-SA"/>
        </w:rPr>
        <w:t xml:space="preserve">                     </w:t>
      </w:r>
    </w:p>
    <w:p w14:paraId="6F4A054D">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6478ACFB">
      <w:pP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br w:type="page"/>
      </w:r>
    </w:p>
    <w:p w14:paraId="631342F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1"/>
        <w:rPr>
          <w:rFonts w:hint="default" w:ascii="宋体" w:hAnsi="宋体" w:eastAsia="宋体" w:cs="宋体"/>
          <w:b/>
          <w:bCs/>
          <w:color w:val="auto"/>
          <w:kern w:val="2"/>
          <w:sz w:val="32"/>
          <w:szCs w:val="32"/>
          <w:highlight w:val="none"/>
          <w:lang w:val="en-US" w:eastAsia="zh-CN" w:bidi="ar-SA"/>
        </w:rPr>
      </w:pPr>
      <w:bookmarkStart w:id="32" w:name="_Toc6375"/>
      <w:r>
        <w:rPr>
          <w:rFonts w:hint="eastAsia" w:ascii="宋体" w:hAnsi="宋体" w:eastAsia="宋体" w:cs="宋体"/>
          <w:b/>
          <w:bCs/>
          <w:color w:val="auto"/>
          <w:kern w:val="2"/>
          <w:sz w:val="32"/>
          <w:szCs w:val="32"/>
          <w:highlight w:val="none"/>
          <w:lang w:val="en-US" w:eastAsia="zh-CN" w:bidi="ar-SA"/>
        </w:rPr>
        <w:t>二、落实政府采购政策需满足的资格要求</w:t>
      </w:r>
      <w:bookmarkEnd w:id="32"/>
    </w:p>
    <w:p w14:paraId="7112C975">
      <w:pPr>
        <w:keepNext w:val="0"/>
        <w:keepLines w:val="0"/>
        <w:widowControl/>
        <w:suppressLineNumbers w:val="0"/>
        <w:jc w:val="center"/>
        <w:rPr>
          <w:rFonts w:hint="eastAsia" w:ascii="宋体" w:hAnsi="宋体" w:eastAsia="宋体" w:cs="宋体"/>
          <w:b/>
          <w:bCs/>
          <w:color w:val="auto"/>
          <w:kern w:val="0"/>
          <w:sz w:val="36"/>
          <w:szCs w:val="36"/>
          <w:highlight w:val="none"/>
          <w:lang w:val="en-US" w:eastAsia="zh-CN" w:bidi="ar"/>
        </w:rPr>
      </w:pPr>
    </w:p>
    <w:p w14:paraId="20884819">
      <w:pPr>
        <w:keepNext w:val="0"/>
        <w:keepLines w:val="0"/>
        <w:widowControl/>
        <w:suppressLineNumbers w:val="0"/>
        <w:jc w:val="center"/>
        <w:rPr>
          <w:color w:val="auto"/>
          <w:sz w:val="24"/>
          <w:szCs w:val="24"/>
          <w:highlight w:val="none"/>
        </w:rPr>
      </w:pPr>
      <w:r>
        <w:rPr>
          <w:rFonts w:hint="eastAsia" w:ascii="宋体" w:hAnsi="宋体" w:eastAsia="宋体" w:cs="宋体"/>
          <w:b/>
          <w:bCs/>
          <w:color w:val="auto"/>
          <w:kern w:val="0"/>
          <w:sz w:val="24"/>
          <w:szCs w:val="24"/>
          <w:highlight w:val="none"/>
          <w:lang w:val="en-US" w:eastAsia="zh-CN" w:bidi="ar"/>
        </w:rPr>
        <w:t>中小企业声明函（服务）</w:t>
      </w:r>
    </w:p>
    <w:p w14:paraId="601BD70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p>
    <w:p w14:paraId="42CD111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本公司（联合体）郑重声明，根据《政府采购促进中小企业发展管理办法》（财库﹝2020﹞46 号）的规定，本公司（联合体）参加</w:t>
      </w:r>
      <w:r>
        <w:rPr>
          <w:rFonts w:hint="eastAsia" w:ascii="宋体" w:hAnsi="宋体" w:eastAsia="宋体" w:cs="宋体"/>
          <w:color w:val="auto"/>
          <w:kern w:val="2"/>
          <w:sz w:val="24"/>
          <w:szCs w:val="24"/>
          <w:highlight w:val="none"/>
          <w:u w:val="single"/>
          <w:lang w:val="en-US" w:eastAsia="zh-CN" w:bidi="ar-SA"/>
        </w:rPr>
        <w:t xml:space="preserve"> （采购人）</w:t>
      </w:r>
      <w:r>
        <w:rPr>
          <w:rFonts w:hint="eastAsia" w:ascii="宋体" w:hAnsi="宋体" w:eastAsia="宋体" w:cs="宋体"/>
          <w:b/>
          <w:bCs w:val="0"/>
          <w:color w:val="auto"/>
          <w:kern w:val="2"/>
          <w:sz w:val="24"/>
          <w:szCs w:val="24"/>
          <w:highlight w:val="none"/>
          <w:u w:val="single"/>
          <w:shd w:val="clear" w:color="auto" w:fill="auto"/>
          <w:lang w:val="en-US" w:eastAsia="zh-CN" w:bidi="ar-SA"/>
        </w:rPr>
        <w:t>中华人民共和国新疆出入境边防检查总站</w:t>
      </w:r>
      <w:r>
        <w:rPr>
          <w:rFonts w:hint="eastAsia" w:ascii="宋体" w:hAnsi="宋体" w:eastAsia="宋体" w:cs="宋体"/>
          <w:b/>
          <w:bCs w:val="0"/>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u w:val="single"/>
          <w:lang w:val="en-US" w:eastAsia="zh-CN" w:bidi="ar-SA"/>
        </w:rPr>
        <w:t xml:space="preserve"> （项目名称）</w:t>
      </w:r>
      <w:r>
        <w:rPr>
          <w:rFonts w:hint="eastAsia" w:ascii="宋体" w:hAnsi="宋体" w:eastAsia="宋体" w:cs="宋体"/>
          <w:b/>
          <w:bCs w:val="0"/>
          <w:color w:val="auto"/>
          <w:kern w:val="2"/>
          <w:sz w:val="24"/>
          <w:szCs w:val="24"/>
          <w:highlight w:val="none"/>
          <w:u w:val="single"/>
          <w:shd w:val="clear" w:color="auto" w:fill="auto"/>
          <w:lang w:val="en-US" w:eastAsia="zh-CN" w:bidi="ar-SA"/>
        </w:rPr>
        <w:t>中华人民共和国新疆出入境边防检查总站全过程预算绩效管理服务采购项目</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采购活动，工程的施工单位全部为符合政策要求的中小企业（或者：服务全部由符合政策要求的中小企业承接）。相关企业（含联合体中的中小企业、签订分包意向协议的中小企业）的具体情况如下：</w:t>
      </w:r>
    </w:p>
    <w:p w14:paraId="63E8F780">
      <w:pPr>
        <w:numPr>
          <w:ilvl w:val="0"/>
          <w:numId w:val="0"/>
        </w:numPr>
        <w:spacing w:line="460" w:lineRule="exact"/>
        <w:ind w:firstLine="540" w:firstLineChars="225"/>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fill="auto"/>
          <w:lang w:val="en-US" w:eastAsia="zh-CN" w:bidi="ar-SA"/>
        </w:rPr>
        <w:t>1.</w:t>
      </w:r>
      <w:r>
        <w:rPr>
          <w:rFonts w:hint="eastAsia" w:ascii="宋体" w:hAnsi="宋体" w:eastAsia="宋体" w:cs="宋体"/>
          <w:bCs/>
          <w:color w:val="auto"/>
          <w:kern w:val="2"/>
          <w:sz w:val="24"/>
          <w:szCs w:val="24"/>
          <w:highlight w:val="none"/>
          <w:u w:val="single"/>
          <w:shd w:val="clear" w:color="auto" w:fill="auto"/>
          <w:lang w:val="en-US" w:eastAsia="zh-CN" w:bidi="ar-SA"/>
        </w:rPr>
        <w:t>（</w:t>
      </w:r>
      <w:r>
        <w:rPr>
          <w:rFonts w:hint="eastAsia" w:ascii="宋体" w:hAnsi="宋体" w:cs="宋体"/>
          <w:bCs/>
          <w:color w:val="auto"/>
          <w:kern w:val="2"/>
          <w:sz w:val="24"/>
          <w:szCs w:val="24"/>
          <w:highlight w:val="none"/>
          <w:u w:val="single"/>
          <w:shd w:val="clear" w:color="auto" w:fill="auto"/>
          <w:lang w:val="en-US" w:eastAsia="zh-CN" w:bidi="ar-SA"/>
        </w:rPr>
        <w:t>项目</w:t>
      </w:r>
      <w:r>
        <w:rPr>
          <w:rFonts w:hint="eastAsia" w:ascii="宋体" w:hAnsi="宋体" w:eastAsia="宋体" w:cs="宋体"/>
          <w:bCs/>
          <w:color w:val="auto"/>
          <w:kern w:val="2"/>
          <w:sz w:val="24"/>
          <w:szCs w:val="24"/>
          <w:highlight w:val="none"/>
          <w:u w:val="single"/>
          <w:shd w:val="clear" w:color="auto" w:fill="auto"/>
          <w:lang w:val="en-US" w:eastAsia="zh-CN" w:bidi="ar-SA"/>
        </w:rPr>
        <w:t>名称）</w:t>
      </w:r>
      <w:r>
        <w:rPr>
          <w:rFonts w:hint="eastAsia" w:ascii="宋体" w:hAnsi="宋体" w:eastAsia="宋体" w:cs="宋体"/>
          <w:b/>
          <w:bCs w:val="0"/>
          <w:color w:val="auto"/>
          <w:kern w:val="2"/>
          <w:sz w:val="24"/>
          <w:szCs w:val="24"/>
          <w:highlight w:val="none"/>
          <w:u w:val="single"/>
          <w:shd w:val="clear" w:color="auto" w:fill="auto"/>
          <w:lang w:val="en-US" w:eastAsia="zh-CN" w:bidi="ar-SA"/>
        </w:rPr>
        <w:t>中华人民共和国新疆出入境边防检查总站全过程预算绩效管理服务采购项目</w:t>
      </w:r>
      <w:r>
        <w:rPr>
          <w:rFonts w:hint="eastAsia" w:ascii="宋体" w:hAnsi="宋体" w:eastAsia="宋体" w:cs="宋体"/>
          <w:bCs/>
          <w:color w:val="auto"/>
          <w:kern w:val="2"/>
          <w:sz w:val="24"/>
          <w:szCs w:val="24"/>
          <w:highlight w:val="none"/>
          <w:shd w:val="clear" w:color="auto" w:fill="auto"/>
          <w:lang w:val="en-US" w:eastAsia="zh-CN" w:bidi="ar-SA"/>
        </w:rPr>
        <w:t xml:space="preserve"> ，属于 </w:t>
      </w:r>
      <w:r>
        <w:rPr>
          <w:rFonts w:hint="eastAsia" w:ascii="宋体" w:hAnsi="宋体" w:eastAsia="宋体" w:cs="宋体"/>
          <w:bCs/>
          <w:color w:val="auto"/>
          <w:kern w:val="2"/>
          <w:sz w:val="24"/>
          <w:szCs w:val="24"/>
          <w:highlight w:val="none"/>
          <w:u w:val="single"/>
          <w:shd w:val="clear" w:color="auto" w:fill="auto"/>
          <w:lang w:val="en-US" w:eastAsia="zh-CN" w:bidi="ar-SA"/>
        </w:rPr>
        <w:t>（采购文件中明确的所属行业 ）</w:t>
      </w:r>
      <w:r>
        <w:rPr>
          <w:rFonts w:hint="eastAsia" w:ascii="宋体" w:hAnsi="宋体" w:eastAsia="宋体" w:cs="宋体"/>
          <w:b/>
          <w:bCs w:val="0"/>
          <w:color w:val="auto"/>
          <w:kern w:val="2"/>
          <w:sz w:val="24"/>
          <w:szCs w:val="24"/>
          <w:highlight w:val="none"/>
          <w:u w:val="single"/>
          <w:shd w:val="clear" w:color="auto" w:fill="auto"/>
          <w:lang w:val="en-US" w:eastAsia="zh-CN" w:bidi="ar-SA"/>
        </w:rPr>
        <w:t>其他未列明行业</w:t>
      </w:r>
      <w:r>
        <w:rPr>
          <w:rFonts w:hint="eastAsia" w:ascii="宋体" w:hAnsi="宋体" w:eastAsia="宋体" w:cs="宋体"/>
          <w:bCs/>
          <w:color w:val="auto"/>
          <w:kern w:val="2"/>
          <w:sz w:val="24"/>
          <w:szCs w:val="24"/>
          <w:highlight w:val="none"/>
          <w:u w:val="single"/>
          <w:shd w:val="clear" w:color="auto" w:fill="auto"/>
          <w:lang w:val="en-US" w:eastAsia="zh-CN" w:bidi="ar-SA"/>
        </w:rPr>
        <w:t xml:space="preserve"> </w:t>
      </w:r>
      <w:r>
        <w:rPr>
          <w:rFonts w:hint="eastAsia" w:ascii="宋体" w:hAnsi="宋体" w:eastAsia="宋体" w:cs="宋体"/>
          <w:bCs/>
          <w:color w:val="auto"/>
          <w:kern w:val="2"/>
          <w:sz w:val="24"/>
          <w:szCs w:val="24"/>
          <w:highlight w:val="none"/>
          <w:shd w:val="clear" w:color="auto" w:fill="auto"/>
          <w:lang w:val="en-US" w:eastAsia="zh-CN" w:bidi="ar-SA"/>
        </w:rPr>
        <w:t>；承接企业为</w:t>
      </w:r>
      <w:r>
        <w:rPr>
          <w:rFonts w:hint="eastAsia" w:ascii="宋体" w:hAnsi="宋体" w:eastAsia="宋体" w:cs="宋体"/>
          <w:bCs/>
          <w:color w:val="auto"/>
          <w:kern w:val="2"/>
          <w:sz w:val="24"/>
          <w:szCs w:val="24"/>
          <w:highlight w:val="none"/>
          <w:u w:val="single"/>
          <w:shd w:val="clear" w:color="auto" w:fill="auto"/>
          <w:lang w:val="en-US" w:eastAsia="zh-CN" w:bidi="ar-SA"/>
        </w:rPr>
        <w:t>（企业名称）</w:t>
      </w:r>
      <w:r>
        <w:rPr>
          <w:rFonts w:hint="eastAsia" w:ascii="宋体" w:hAnsi="宋体" w:cs="宋体"/>
          <w:bCs/>
          <w:color w:val="auto"/>
          <w:kern w:val="2"/>
          <w:sz w:val="24"/>
          <w:szCs w:val="24"/>
          <w:highlight w:val="none"/>
          <w:u w:val="single"/>
          <w:shd w:val="clear" w:color="auto" w:fill="auto"/>
          <w:lang w:val="en-US" w:eastAsia="zh-CN" w:bidi="ar-SA"/>
        </w:rPr>
        <w:t xml:space="preserve">  </w:t>
      </w:r>
      <w:r>
        <w:rPr>
          <w:rFonts w:hint="eastAsia" w:ascii="宋体" w:hAnsi="宋体" w:eastAsia="宋体" w:cs="宋体"/>
          <w:bCs/>
          <w:color w:val="auto"/>
          <w:kern w:val="2"/>
          <w:sz w:val="24"/>
          <w:szCs w:val="24"/>
          <w:highlight w:val="none"/>
          <w:u w:val="single"/>
          <w:shd w:val="clear" w:color="auto" w:fill="auto"/>
          <w:lang w:val="en-US" w:eastAsia="zh-CN" w:bidi="ar-SA"/>
        </w:rPr>
        <w:t xml:space="preserve">   </w:t>
      </w:r>
      <w:r>
        <w:rPr>
          <w:rFonts w:hint="eastAsia" w:ascii="宋体" w:hAnsi="宋体" w:eastAsia="宋体" w:cs="宋体"/>
          <w:bCs/>
          <w:color w:val="auto"/>
          <w:kern w:val="2"/>
          <w:sz w:val="24"/>
          <w:szCs w:val="24"/>
          <w:highlight w:val="none"/>
          <w:shd w:val="clear" w:color="auto" w:fill="auto"/>
          <w:lang w:val="en-US" w:eastAsia="zh-CN" w:bidi="ar-SA"/>
        </w:rPr>
        <w:t>，从业人员</w:t>
      </w:r>
      <w:r>
        <w:rPr>
          <w:rFonts w:hint="eastAsia" w:ascii="宋体" w:hAnsi="宋体" w:eastAsia="宋体" w:cs="宋体"/>
          <w:bCs/>
          <w:color w:val="auto"/>
          <w:kern w:val="2"/>
          <w:sz w:val="24"/>
          <w:szCs w:val="24"/>
          <w:highlight w:val="none"/>
          <w:u w:val="single"/>
          <w:shd w:val="clear" w:color="auto" w:fill="auto"/>
          <w:lang w:val="en-US" w:eastAsia="zh-CN" w:bidi="ar-SA"/>
        </w:rPr>
        <w:t xml:space="preserve">       </w:t>
      </w:r>
      <w:r>
        <w:rPr>
          <w:rFonts w:hint="eastAsia" w:ascii="宋体" w:hAnsi="宋体" w:eastAsia="宋体" w:cs="宋体"/>
          <w:bCs/>
          <w:color w:val="auto"/>
          <w:kern w:val="2"/>
          <w:sz w:val="24"/>
          <w:szCs w:val="24"/>
          <w:highlight w:val="none"/>
          <w:shd w:val="clear" w:color="auto" w:fill="auto"/>
          <w:lang w:val="en-US" w:eastAsia="zh-CN" w:bidi="ar-SA"/>
        </w:rPr>
        <w:t xml:space="preserve">人，营业收入为 </w:t>
      </w:r>
      <w:r>
        <w:rPr>
          <w:rFonts w:hint="eastAsia" w:ascii="宋体" w:hAnsi="宋体" w:eastAsia="宋体" w:cs="宋体"/>
          <w:bCs/>
          <w:color w:val="auto"/>
          <w:kern w:val="2"/>
          <w:sz w:val="24"/>
          <w:szCs w:val="24"/>
          <w:highlight w:val="none"/>
          <w:u w:val="single"/>
          <w:shd w:val="clear" w:color="auto" w:fill="auto"/>
          <w:lang w:val="en-US" w:eastAsia="zh-CN" w:bidi="ar-SA"/>
        </w:rPr>
        <w:t xml:space="preserve">        </w:t>
      </w:r>
      <w:r>
        <w:rPr>
          <w:rFonts w:hint="eastAsia" w:ascii="宋体" w:hAnsi="宋体" w:eastAsia="宋体" w:cs="宋体"/>
          <w:bCs/>
          <w:color w:val="auto"/>
          <w:kern w:val="2"/>
          <w:sz w:val="24"/>
          <w:szCs w:val="24"/>
          <w:highlight w:val="none"/>
          <w:shd w:val="clear" w:color="auto" w:fill="auto"/>
          <w:lang w:val="en-US" w:eastAsia="zh-CN" w:bidi="ar-SA"/>
        </w:rPr>
        <w:t>万元，资产总额为</w:t>
      </w:r>
      <w:r>
        <w:rPr>
          <w:rFonts w:hint="eastAsia" w:ascii="宋体" w:hAnsi="宋体" w:eastAsia="宋体" w:cs="宋体"/>
          <w:bCs/>
          <w:color w:val="auto"/>
          <w:kern w:val="2"/>
          <w:sz w:val="24"/>
          <w:szCs w:val="24"/>
          <w:highlight w:val="none"/>
          <w:u w:val="single"/>
          <w:shd w:val="clear" w:color="auto" w:fill="auto"/>
          <w:lang w:val="en-US" w:eastAsia="zh-CN" w:bidi="ar-SA"/>
        </w:rPr>
        <w:t xml:space="preserve">        </w:t>
      </w:r>
      <w:r>
        <w:rPr>
          <w:rFonts w:hint="eastAsia" w:ascii="宋体" w:hAnsi="宋体" w:eastAsia="宋体" w:cs="宋体"/>
          <w:bCs/>
          <w:color w:val="auto"/>
          <w:kern w:val="2"/>
          <w:sz w:val="24"/>
          <w:szCs w:val="24"/>
          <w:highlight w:val="none"/>
          <w:shd w:val="clear" w:color="auto" w:fill="auto"/>
          <w:lang w:val="en-US" w:eastAsia="zh-CN" w:bidi="ar-SA"/>
        </w:rPr>
        <w:t>万元，属于</w:t>
      </w:r>
      <w:r>
        <w:rPr>
          <w:rFonts w:hint="eastAsia" w:ascii="宋体" w:hAnsi="宋体" w:eastAsia="宋体" w:cs="宋体"/>
          <w:bCs/>
          <w:color w:val="auto"/>
          <w:kern w:val="2"/>
          <w:sz w:val="24"/>
          <w:szCs w:val="24"/>
          <w:highlight w:val="none"/>
          <w:u w:val="single"/>
          <w:shd w:val="clear" w:color="auto" w:fill="auto"/>
          <w:lang w:val="en-US" w:eastAsia="zh-CN" w:bidi="ar-SA"/>
        </w:rPr>
        <w:t xml:space="preserve">      </w:t>
      </w:r>
      <w:r>
        <w:rPr>
          <w:rFonts w:hint="eastAsia" w:ascii="宋体" w:hAnsi="宋体" w:eastAsia="宋体" w:cs="宋体"/>
          <w:bCs/>
          <w:color w:val="auto"/>
          <w:kern w:val="2"/>
          <w:sz w:val="24"/>
          <w:szCs w:val="24"/>
          <w:highlight w:val="none"/>
          <w:shd w:val="clear" w:color="auto" w:fill="auto"/>
          <w:lang w:val="en-US" w:eastAsia="zh-CN" w:bidi="ar-SA"/>
        </w:rPr>
        <w:t>（中型企业、小型企业、微型企业）；</w:t>
      </w:r>
    </w:p>
    <w:p w14:paraId="413169BE">
      <w:pPr>
        <w:spacing w:line="460" w:lineRule="exact"/>
        <w:ind w:firstLine="540" w:firstLineChars="225"/>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w:t>
      </w:r>
    </w:p>
    <w:p w14:paraId="1E551E7A">
      <w:pPr>
        <w:spacing w:line="460" w:lineRule="exact"/>
        <w:ind w:firstLine="540" w:firstLineChars="225"/>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以上企业，不属于大企业的分支机构，不存在控股股东为大企业的情形，也不存在与大企业的负责人为同一人的情形。</w:t>
      </w:r>
    </w:p>
    <w:p w14:paraId="4CC1360D">
      <w:pPr>
        <w:spacing w:line="460" w:lineRule="exact"/>
        <w:ind w:firstLine="540" w:firstLineChars="225"/>
        <w:rPr>
          <w:rFonts w:hint="eastAsia" w:ascii="宋体" w:hAnsi="宋体" w:eastAsia="宋体" w:cs="宋体"/>
          <w:bCs/>
          <w:color w:val="auto"/>
          <w:kern w:val="2"/>
          <w:sz w:val="24"/>
          <w:szCs w:val="24"/>
          <w:highlight w:val="none"/>
          <w:shd w:val="clear" w:color="auto" w:fill="auto"/>
          <w:lang w:val="en-US" w:eastAsia="zh-CN" w:bidi="ar-SA"/>
        </w:rPr>
      </w:pPr>
      <w:r>
        <w:rPr>
          <w:rFonts w:hint="eastAsia" w:ascii="宋体" w:hAnsi="宋体" w:eastAsia="宋体" w:cs="宋体"/>
          <w:bCs/>
          <w:color w:val="auto"/>
          <w:kern w:val="2"/>
          <w:sz w:val="24"/>
          <w:szCs w:val="24"/>
          <w:highlight w:val="none"/>
          <w:shd w:val="clear" w:color="auto" w:fill="auto"/>
          <w:lang w:val="en-US" w:eastAsia="zh-CN" w:bidi="ar-SA"/>
        </w:rPr>
        <w:t>本企业对上述声明内容的真实性负责。如有虚假，将依法承担相应责任。</w:t>
      </w:r>
    </w:p>
    <w:p w14:paraId="41507C6C">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p>
    <w:p w14:paraId="0BD7E864">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p>
    <w:p w14:paraId="27D653F3">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2620FE6A">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7FBA7561">
      <w:pPr>
        <w:spacing w:line="460" w:lineRule="exact"/>
        <w:ind w:firstLine="540" w:firstLineChars="225"/>
        <w:rPr>
          <w:rFonts w:hint="default" w:ascii="宋体" w:hAnsi="宋体" w:eastAsia="宋体" w:cs="宋体"/>
          <w:bCs/>
          <w:color w:val="auto"/>
          <w:kern w:val="2"/>
          <w:sz w:val="24"/>
          <w:szCs w:val="24"/>
          <w:highlight w:val="none"/>
          <w:shd w:val="clear" w:color="auto" w:fill="auto"/>
          <w:lang w:val="en-US" w:eastAsia="zh-CN" w:bidi="ar-SA"/>
        </w:rPr>
      </w:pPr>
      <w:r>
        <w:rPr>
          <w:rFonts w:hint="default" w:ascii="宋体" w:hAnsi="宋体" w:eastAsia="宋体" w:cs="宋体"/>
          <w:bCs/>
          <w:color w:val="auto"/>
          <w:kern w:val="2"/>
          <w:sz w:val="24"/>
          <w:szCs w:val="24"/>
          <w:highlight w:val="none"/>
          <w:shd w:val="clear" w:color="auto" w:fill="auto"/>
          <w:lang w:val="en-US" w:eastAsia="zh-CN" w:bidi="ar-SA"/>
        </w:rPr>
        <w:t>注：①从业人员、营业收入、资产总额填报上一年度数据、无上一年度数据的新成立企业可不填报。②《中小企业声明函》中的“标的名称”、“采购文件中明确的所属行业”依据招标文件第</w:t>
      </w:r>
      <w:r>
        <w:rPr>
          <w:rFonts w:hint="eastAsia" w:ascii="宋体" w:hAnsi="宋体" w:eastAsia="宋体" w:cs="宋体"/>
          <w:bCs/>
          <w:color w:val="auto"/>
          <w:kern w:val="2"/>
          <w:sz w:val="24"/>
          <w:szCs w:val="24"/>
          <w:highlight w:val="none"/>
          <w:shd w:val="clear" w:color="auto" w:fill="auto"/>
          <w:lang w:val="en-US" w:eastAsia="zh-CN" w:bidi="ar-SA"/>
        </w:rPr>
        <w:t>三</w:t>
      </w:r>
      <w:r>
        <w:rPr>
          <w:rFonts w:hint="default" w:ascii="宋体" w:hAnsi="宋体" w:eastAsia="宋体" w:cs="宋体"/>
          <w:bCs/>
          <w:color w:val="auto"/>
          <w:kern w:val="2"/>
          <w:sz w:val="24"/>
          <w:szCs w:val="24"/>
          <w:highlight w:val="none"/>
          <w:shd w:val="clear" w:color="auto" w:fill="auto"/>
          <w:lang w:val="en-US" w:eastAsia="zh-CN" w:bidi="ar-SA"/>
        </w:rPr>
        <w:t>部分</w:t>
      </w:r>
      <w:r>
        <w:rPr>
          <w:rFonts w:hint="eastAsia" w:ascii="宋体" w:hAnsi="宋体" w:eastAsia="宋体" w:cs="宋体"/>
          <w:bCs/>
          <w:color w:val="auto"/>
          <w:kern w:val="2"/>
          <w:sz w:val="24"/>
          <w:szCs w:val="24"/>
          <w:highlight w:val="none"/>
          <w:shd w:val="clear" w:color="auto" w:fill="auto"/>
          <w:lang w:val="en-US" w:eastAsia="zh-CN" w:bidi="ar-SA"/>
        </w:rPr>
        <w:t>供应商</w:t>
      </w:r>
      <w:r>
        <w:rPr>
          <w:rFonts w:hint="default" w:ascii="宋体" w:hAnsi="宋体" w:eastAsia="宋体" w:cs="宋体"/>
          <w:bCs/>
          <w:color w:val="auto"/>
          <w:kern w:val="2"/>
          <w:sz w:val="24"/>
          <w:szCs w:val="24"/>
          <w:highlight w:val="none"/>
          <w:shd w:val="clear" w:color="auto" w:fill="auto"/>
          <w:lang w:val="en-US" w:eastAsia="zh-CN" w:bidi="ar-SA"/>
        </w:rPr>
        <w:t>须知中“采购标的及其对应的中小企业划分标准所属行业”的指引，逐一填写，不得缺漏。</w:t>
      </w:r>
    </w:p>
    <w:p w14:paraId="4BC0D882">
      <w:pP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br w:type="page"/>
      </w:r>
    </w:p>
    <w:p w14:paraId="7CE05B12">
      <w:pPr>
        <w:pStyle w:val="6"/>
        <w:spacing w:line="480" w:lineRule="exact"/>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残疾人福利性单位声明函（符合本声明函填写）</w:t>
      </w:r>
    </w:p>
    <w:p w14:paraId="53D068CD">
      <w:pPr>
        <w:pStyle w:val="6"/>
        <w:spacing w:line="480" w:lineRule="exact"/>
        <w:ind w:firstLine="480" w:firstLineChars="200"/>
        <w:rPr>
          <w:rFonts w:hint="eastAsia" w:ascii="宋体" w:hAnsi="宋体" w:eastAsia="宋体" w:cs="宋体"/>
          <w:color w:val="auto"/>
          <w:kern w:val="2"/>
          <w:sz w:val="24"/>
          <w:szCs w:val="24"/>
          <w:highlight w:val="none"/>
          <w:lang w:val="en-US" w:eastAsia="zh-CN" w:bidi="ar-SA"/>
        </w:rPr>
      </w:pPr>
    </w:p>
    <w:p w14:paraId="13AC45EC">
      <w:pPr>
        <w:pStyle w:val="6"/>
        <w:spacing w:line="480" w:lineRule="exact"/>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本单位郑重声明，根据《财政部 民政部 中国残疾人联合会关于促进残疾人就业政府采购政策的通知》（财库〔2017〕141 号）的规定，本单位为符合条件的残疾人福利性单位，且本单位参加</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单位的</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项目采购活动提供本单位制造的货物（由本单位承担工程/提供服务及供货），或者提供其他残疾人福利性单位制造的货物（不包括使用非残疾人福利性单位注册商标的货物）。 本单位对上述声明的真实性负责，如有虚假，将依法承担相应责任。</w:t>
      </w:r>
    </w:p>
    <w:p w14:paraId="74017C2C">
      <w:pPr>
        <w:pStyle w:val="6"/>
        <w:spacing w:line="480" w:lineRule="exact"/>
        <w:ind w:firstLine="480" w:firstLineChars="200"/>
        <w:rPr>
          <w:rFonts w:hint="eastAsia" w:ascii="宋体" w:hAnsi="宋体" w:eastAsia="宋体" w:cs="宋体"/>
          <w:bCs/>
          <w:color w:val="auto"/>
          <w:sz w:val="24"/>
          <w:highlight w:val="none"/>
          <w:shd w:val="clear" w:color="auto" w:fill="auto"/>
        </w:rPr>
      </w:pPr>
    </w:p>
    <w:p w14:paraId="73DDA807">
      <w:pPr>
        <w:pStyle w:val="6"/>
        <w:spacing w:line="480" w:lineRule="exact"/>
        <w:ind w:firstLine="480" w:firstLineChars="200"/>
        <w:rPr>
          <w:rFonts w:hint="eastAsia" w:ascii="宋体" w:hAnsi="宋体" w:eastAsia="宋体" w:cs="宋体"/>
          <w:bCs/>
          <w:color w:val="auto"/>
          <w:sz w:val="24"/>
          <w:highlight w:val="none"/>
          <w:shd w:val="clear" w:color="auto" w:fill="auto"/>
        </w:rPr>
      </w:pPr>
    </w:p>
    <w:p w14:paraId="5C1AF14C">
      <w:pPr>
        <w:pStyle w:val="6"/>
        <w:spacing w:line="480" w:lineRule="exact"/>
        <w:ind w:firstLine="480" w:firstLineChars="200"/>
        <w:rPr>
          <w:rFonts w:hint="eastAsia" w:ascii="宋体" w:hAnsi="宋体" w:eastAsia="宋体" w:cs="宋体"/>
          <w:bCs/>
          <w:color w:val="auto"/>
          <w:sz w:val="24"/>
          <w:highlight w:val="none"/>
          <w:shd w:val="clear" w:color="auto" w:fill="auto"/>
        </w:rPr>
      </w:pPr>
    </w:p>
    <w:p w14:paraId="5DDE4526">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277D22B2">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0788C473">
      <w:pPr>
        <w:pStyle w:val="6"/>
        <w:spacing w:line="480" w:lineRule="exact"/>
        <w:ind w:firstLine="480" w:firstLineChars="200"/>
        <w:rPr>
          <w:rFonts w:hint="eastAsia" w:ascii="宋体" w:hAnsi="宋体" w:eastAsia="宋体" w:cs="宋体"/>
          <w:bCs/>
          <w:color w:val="auto"/>
          <w:sz w:val="24"/>
          <w:highlight w:val="none"/>
          <w:shd w:val="clear" w:color="auto" w:fill="auto"/>
        </w:rPr>
      </w:pPr>
    </w:p>
    <w:p w14:paraId="593A4E60">
      <w:pPr>
        <w:pStyle w:val="6"/>
        <w:spacing w:line="480" w:lineRule="exact"/>
        <w:ind w:firstLine="480" w:firstLineChars="200"/>
        <w:rPr>
          <w:rFonts w:hint="eastAsia" w:ascii="宋体" w:hAnsi="宋体" w:eastAsia="宋体" w:cs="宋体"/>
          <w:bCs/>
          <w:color w:val="auto"/>
          <w:sz w:val="24"/>
          <w:highlight w:val="none"/>
          <w:shd w:val="clear" w:color="auto" w:fill="auto"/>
        </w:rPr>
      </w:pPr>
    </w:p>
    <w:p w14:paraId="29782A3A">
      <w:pPr>
        <w:pStyle w:val="6"/>
        <w:spacing w:line="480" w:lineRule="exact"/>
        <w:ind w:firstLine="480" w:firstLineChars="200"/>
        <w:rPr>
          <w:rFonts w:hint="eastAsia" w:ascii="宋体" w:hAnsi="宋体" w:eastAsia="宋体" w:cs="宋体"/>
          <w:bCs/>
          <w:color w:val="auto"/>
          <w:sz w:val="24"/>
          <w:highlight w:val="none"/>
          <w:shd w:val="clear" w:color="auto" w:fill="auto"/>
        </w:rPr>
      </w:pPr>
    </w:p>
    <w:p w14:paraId="777860C7">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说明：1.填写前请认真阅读《财政部 民政部 中国残疾人联合会关于促进残疾人就业政府采购政策的通知》（财库〔2017〕141 号）相关规定。</w:t>
      </w:r>
    </w:p>
    <w:p w14:paraId="000D2373">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2.残疾人福利性单位应在本声明函后提供相关证明材料。</w:t>
      </w:r>
    </w:p>
    <w:p w14:paraId="32024FC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rPr>
        <w:t>3.未按上述要求提供、填写的，评审时不</w:t>
      </w:r>
      <w:r>
        <w:rPr>
          <w:rFonts w:hint="eastAsia" w:ascii="宋体" w:hAnsi="宋体" w:eastAsia="宋体" w:cs="宋体"/>
          <w:bCs/>
          <w:color w:val="auto"/>
          <w:sz w:val="24"/>
          <w:highlight w:val="none"/>
          <w:shd w:val="clear" w:color="auto" w:fill="auto"/>
          <w:lang w:eastAsia="zh-CN"/>
        </w:rPr>
        <w:t>予考虑</w:t>
      </w:r>
      <w:r>
        <w:rPr>
          <w:rFonts w:hint="eastAsia" w:ascii="宋体" w:hAnsi="宋体" w:eastAsia="宋体" w:cs="宋体"/>
          <w:bCs/>
          <w:color w:val="auto"/>
          <w:sz w:val="24"/>
          <w:highlight w:val="none"/>
          <w:shd w:val="clear" w:color="auto" w:fill="auto"/>
        </w:rPr>
        <w:t>。</w:t>
      </w:r>
    </w:p>
    <w:p w14:paraId="2A302C1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Cs/>
          <w:color w:val="auto"/>
          <w:sz w:val="24"/>
          <w:highlight w:val="none"/>
          <w:shd w:val="clear" w:color="auto" w:fill="auto"/>
          <w:lang w:val="en-US" w:eastAsia="zh-CN"/>
        </w:rPr>
      </w:pPr>
      <w:r>
        <w:rPr>
          <w:rFonts w:hint="eastAsia" w:ascii="宋体" w:hAnsi="宋体" w:eastAsia="宋体" w:cs="宋体"/>
          <w:bCs/>
          <w:color w:val="auto"/>
          <w:sz w:val="24"/>
          <w:highlight w:val="none"/>
          <w:shd w:val="clear" w:color="auto" w:fill="auto"/>
          <w:lang w:val="en-US" w:eastAsia="zh-CN"/>
        </w:rPr>
        <w:t>4.不属于残疾人福利性单位的，本声明函无需填写，可空白提供；</w:t>
      </w:r>
    </w:p>
    <w:p w14:paraId="07861F3B">
      <w:pPr>
        <w:rPr>
          <w:rFonts w:hint="eastAsia" w:ascii="宋体" w:hAnsi="宋体" w:eastAsia="宋体" w:cs="宋体"/>
          <w:bCs/>
          <w:color w:val="auto"/>
          <w:sz w:val="24"/>
          <w:highlight w:val="none"/>
          <w:shd w:val="clear" w:color="auto" w:fill="auto"/>
          <w:lang w:val="en-US" w:eastAsia="zh-CN"/>
        </w:rPr>
      </w:pPr>
      <w:r>
        <w:rPr>
          <w:rFonts w:hint="eastAsia" w:ascii="宋体" w:hAnsi="宋体" w:eastAsia="宋体" w:cs="宋体"/>
          <w:bCs/>
          <w:color w:val="auto"/>
          <w:sz w:val="24"/>
          <w:highlight w:val="none"/>
          <w:shd w:val="clear" w:color="auto" w:fill="auto"/>
          <w:lang w:val="en-US" w:eastAsia="zh-CN"/>
        </w:rPr>
        <w:br w:type="page"/>
      </w:r>
    </w:p>
    <w:p w14:paraId="64B3A59E">
      <w:pPr>
        <w:spacing w:line="360" w:lineRule="auto"/>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供应商监狱企业声明函</w:t>
      </w:r>
    </w:p>
    <w:p w14:paraId="2607396E">
      <w:pPr>
        <w:spacing w:line="360" w:lineRule="auto"/>
        <w:ind w:left="1080" w:leftChars="257" w:hanging="540"/>
        <w:jc w:val="center"/>
        <w:rPr>
          <w:rFonts w:ascii="宋体" w:hAnsi="宋体"/>
          <w:b/>
          <w:color w:val="auto"/>
          <w:kern w:val="0"/>
          <w:sz w:val="24"/>
          <w:szCs w:val="20"/>
          <w:highlight w:val="none"/>
        </w:rPr>
      </w:pPr>
    </w:p>
    <w:p w14:paraId="6EBEEBAE">
      <w:pPr>
        <w:widowControl/>
        <w:spacing w:before="100" w:beforeAutospacing="1" w:after="100" w:afterAutospacing="1"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本</w:t>
      </w:r>
      <w:r>
        <w:rPr>
          <w:rFonts w:hint="eastAsia" w:ascii="宋体" w:hAnsi="宋体" w:cs="宋体"/>
          <w:color w:val="auto"/>
          <w:kern w:val="0"/>
          <w:sz w:val="24"/>
          <w:highlight w:val="none"/>
        </w:rPr>
        <w:t>企业</w:t>
      </w:r>
      <w:r>
        <w:rPr>
          <w:rFonts w:ascii="宋体" w:hAnsi="宋体" w:cs="宋体"/>
          <w:color w:val="auto"/>
          <w:kern w:val="0"/>
          <w:sz w:val="24"/>
          <w:highlight w:val="none"/>
        </w:rPr>
        <w:t>（</w:t>
      </w:r>
      <w:r>
        <w:rPr>
          <w:rFonts w:hint="eastAsia" w:ascii="宋体" w:hAnsi="宋体" w:cs="宋体"/>
          <w:color w:val="auto"/>
          <w:kern w:val="0"/>
          <w:sz w:val="24"/>
          <w:highlight w:val="none"/>
        </w:rPr>
        <w:t>单位</w:t>
      </w:r>
      <w:r>
        <w:rPr>
          <w:rFonts w:ascii="宋体" w:hAnsi="宋体" w:cs="宋体"/>
          <w:color w:val="auto"/>
          <w:kern w:val="0"/>
          <w:sz w:val="24"/>
          <w:highlight w:val="none"/>
        </w:rPr>
        <w:t>）郑重声明下</w:t>
      </w:r>
      <w:r>
        <w:rPr>
          <w:rFonts w:hint="eastAsia" w:ascii="宋体" w:hAnsi="宋体" w:cs="宋体"/>
          <w:color w:val="auto"/>
          <w:kern w:val="0"/>
          <w:sz w:val="24"/>
          <w:highlight w:val="none"/>
        </w:rPr>
        <w:t>列事项（按照</w:t>
      </w:r>
      <w:r>
        <w:rPr>
          <w:rFonts w:ascii="宋体" w:hAnsi="宋体" w:cs="宋体"/>
          <w:color w:val="auto"/>
          <w:kern w:val="0"/>
          <w:sz w:val="24"/>
          <w:highlight w:val="none"/>
        </w:rPr>
        <w:t>实际情况勾选或</w:t>
      </w:r>
      <w:r>
        <w:rPr>
          <w:rFonts w:hint="eastAsia" w:ascii="宋体" w:hAnsi="宋体" w:cs="宋体"/>
          <w:color w:val="auto"/>
          <w:kern w:val="0"/>
          <w:sz w:val="24"/>
          <w:highlight w:val="none"/>
        </w:rPr>
        <w:t>填空）：</w:t>
      </w:r>
    </w:p>
    <w:p w14:paraId="74C3AACE">
      <w:pPr>
        <w:widowControl/>
        <w:spacing w:before="100" w:beforeAutospacing="1" w:after="100" w:afterAutospacing="1"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本</w:t>
      </w:r>
      <w:r>
        <w:rPr>
          <w:rFonts w:hint="eastAsia" w:ascii="宋体" w:hAnsi="宋体" w:cs="宋体"/>
          <w:color w:val="auto"/>
          <w:kern w:val="0"/>
          <w:sz w:val="24"/>
          <w:highlight w:val="none"/>
        </w:rPr>
        <w:t>企业（单位）为直接</w:t>
      </w:r>
      <w:r>
        <w:rPr>
          <w:rFonts w:hint="eastAsia" w:ascii="宋体" w:hAnsi="宋体" w:cs="宋体"/>
          <w:color w:val="auto"/>
          <w:kern w:val="0"/>
          <w:sz w:val="24"/>
          <w:highlight w:val="none"/>
          <w:lang w:val="en-US" w:eastAsia="zh-CN"/>
        </w:rPr>
        <w:t>供应商</w:t>
      </w:r>
      <w:r>
        <w:rPr>
          <w:rFonts w:ascii="宋体" w:hAnsi="宋体" w:cs="宋体"/>
          <w:color w:val="auto"/>
          <w:kern w:val="0"/>
          <w:sz w:val="24"/>
          <w:highlight w:val="none"/>
        </w:rPr>
        <w:t>提供本企业</w:t>
      </w:r>
      <w:r>
        <w:rPr>
          <w:rFonts w:hint="eastAsia" w:ascii="宋体" w:hAnsi="宋体" w:cs="宋体"/>
          <w:color w:val="auto"/>
          <w:kern w:val="0"/>
          <w:sz w:val="24"/>
          <w:highlight w:val="none"/>
        </w:rPr>
        <w:t>（单位）</w:t>
      </w:r>
      <w:r>
        <w:rPr>
          <w:rFonts w:ascii="宋体" w:hAnsi="宋体" w:cs="宋体"/>
          <w:color w:val="auto"/>
          <w:kern w:val="0"/>
          <w:sz w:val="24"/>
          <w:highlight w:val="none"/>
        </w:rPr>
        <w:t>制造的货物</w:t>
      </w:r>
      <w:r>
        <w:rPr>
          <w:rFonts w:hint="eastAsia" w:ascii="宋体" w:hAnsi="宋体" w:cs="宋体"/>
          <w:color w:val="auto"/>
          <w:kern w:val="0"/>
          <w:sz w:val="24"/>
          <w:highlight w:val="none"/>
        </w:rPr>
        <w:t>。</w:t>
      </w:r>
    </w:p>
    <w:p w14:paraId="6ACDE505">
      <w:pPr>
        <w:widowControl/>
        <w:spacing w:before="100" w:beforeAutospacing="1" w:after="100" w:afterAutospacing="1" w:line="360" w:lineRule="auto"/>
        <w:ind w:firstLine="360" w:firstLineChars="15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ascii="宋体" w:hAnsi="宋体" w:cs="宋体"/>
          <w:color w:val="auto"/>
          <w:kern w:val="0"/>
          <w:sz w:val="24"/>
          <w:highlight w:val="none"/>
        </w:rPr>
        <w:t>本</w:t>
      </w:r>
      <w:r>
        <w:rPr>
          <w:rFonts w:hint="eastAsia" w:ascii="宋体" w:hAnsi="宋体" w:cs="宋体"/>
          <w:color w:val="auto"/>
          <w:kern w:val="0"/>
          <w:sz w:val="24"/>
          <w:highlight w:val="none"/>
        </w:rPr>
        <w:t>企业（单位）</w:t>
      </w:r>
      <w:r>
        <w:rPr>
          <w:rFonts w:hint="eastAsia" w:ascii="宋体" w:hAnsi="宋体" w:cs="宋体"/>
          <w:color w:val="auto"/>
          <w:kern w:val="0"/>
          <w:sz w:val="24"/>
          <w:highlight w:val="none"/>
          <w:u w:val="single"/>
        </w:rPr>
        <w:t xml:space="preserve">        </w:t>
      </w:r>
      <w:r>
        <w:rPr>
          <w:rFonts w:ascii="宋体" w:hAnsi="宋体" w:cs="宋体"/>
          <w:color w:val="auto"/>
          <w:kern w:val="0"/>
          <w:sz w:val="24"/>
          <w:highlight w:val="none"/>
        </w:rPr>
        <w:t>（请填写：</w:t>
      </w:r>
      <w:r>
        <w:rPr>
          <w:rFonts w:hint="eastAsia" w:ascii="宋体" w:hAnsi="宋体" w:cs="宋体"/>
          <w:color w:val="auto"/>
          <w:kern w:val="0"/>
          <w:sz w:val="24"/>
          <w:highlight w:val="none"/>
        </w:rPr>
        <w:t>是、不是</w:t>
      </w:r>
      <w:r>
        <w:rPr>
          <w:rFonts w:ascii="宋体" w:hAnsi="宋体" w:cs="宋体"/>
          <w:color w:val="auto"/>
          <w:kern w:val="0"/>
          <w:sz w:val="24"/>
          <w:highlight w:val="none"/>
        </w:rPr>
        <w:t>）监狱企业。</w:t>
      </w:r>
      <w:r>
        <w:rPr>
          <w:rFonts w:hint="eastAsia" w:ascii="宋体" w:hAnsi="宋体" w:cs="宋体"/>
          <w:color w:val="auto"/>
          <w:kern w:val="0"/>
          <w:sz w:val="24"/>
          <w:highlight w:val="none"/>
        </w:rPr>
        <w:t>后附省级以上监狱管理局、戒毒管理局（含新疆生产建设兵团）出具的属于监狱企业的证明文件。</w:t>
      </w:r>
    </w:p>
    <w:p w14:paraId="2F993364">
      <w:pPr>
        <w:widowControl/>
        <w:spacing w:before="100" w:beforeAutospacing="1" w:after="100" w:afterAutospacing="1" w:line="360" w:lineRule="auto"/>
        <w:jc w:val="left"/>
        <w:rPr>
          <w:rFonts w:ascii="宋体" w:hAnsi="宋体" w:cs="宋体"/>
          <w:color w:val="auto"/>
          <w:kern w:val="0"/>
          <w:sz w:val="24"/>
          <w:highlight w:val="none"/>
        </w:rPr>
      </w:pPr>
      <w:r>
        <w:rPr>
          <w:rFonts w:ascii="宋体" w:hAnsi="宋体" w:cs="宋体"/>
          <w:color w:val="auto"/>
          <w:kern w:val="0"/>
          <w:sz w:val="24"/>
          <w:highlight w:val="none"/>
        </w:rPr>
        <w:t>　　本</w:t>
      </w:r>
      <w:r>
        <w:rPr>
          <w:rFonts w:hint="eastAsia" w:ascii="宋体" w:hAnsi="宋体" w:cs="宋体"/>
          <w:color w:val="auto"/>
          <w:kern w:val="0"/>
          <w:sz w:val="24"/>
          <w:highlight w:val="none"/>
        </w:rPr>
        <w:t>企业</w:t>
      </w:r>
      <w:r>
        <w:rPr>
          <w:rFonts w:ascii="宋体" w:hAnsi="宋体" w:cs="宋体"/>
          <w:color w:val="auto"/>
          <w:kern w:val="0"/>
          <w:sz w:val="24"/>
          <w:highlight w:val="none"/>
        </w:rPr>
        <w:t>（</w:t>
      </w:r>
      <w:r>
        <w:rPr>
          <w:rFonts w:hint="eastAsia" w:ascii="宋体" w:hAnsi="宋体" w:cs="宋体"/>
          <w:color w:val="auto"/>
          <w:kern w:val="0"/>
          <w:sz w:val="24"/>
          <w:highlight w:val="none"/>
        </w:rPr>
        <w:t>单位</w:t>
      </w:r>
      <w:r>
        <w:rPr>
          <w:rFonts w:ascii="宋体" w:hAnsi="宋体" w:cs="宋体"/>
          <w:color w:val="auto"/>
          <w:kern w:val="0"/>
          <w:sz w:val="24"/>
          <w:highlight w:val="none"/>
        </w:rPr>
        <w:t>）对上述声明的真实性负责。如有虚假，将依法承担相应责任。</w:t>
      </w:r>
    </w:p>
    <w:p w14:paraId="52D045C7">
      <w:pPr>
        <w:widowControl/>
        <w:spacing w:before="100" w:beforeAutospacing="1" w:after="100" w:afterAutospacing="1" w:line="360" w:lineRule="auto"/>
        <w:jc w:val="left"/>
        <w:rPr>
          <w:rFonts w:ascii="宋体" w:hAnsi="宋体" w:cs="宋体"/>
          <w:color w:val="auto"/>
          <w:kern w:val="0"/>
          <w:sz w:val="24"/>
          <w:highlight w:val="none"/>
        </w:rPr>
      </w:pPr>
      <w:r>
        <w:rPr>
          <w:rFonts w:ascii="宋体" w:hAnsi="宋体" w:cs="宋体"/>
          <w:color w:val="auto"/>
          <w:kern w:val="0"/>
          <w:sz w:val="24"/>
          <w:highlight w:val="none"/>
        </w:rPr>
        <w:t>　　</w:t>
      </w:r>
    </w:p>
    <w:p w14:paraId="57FD6FA6">
      <w:pPr>
        <w:widowControl/>
        <w:spacing w:before="100" w:beforeAutospacing="1" w:after="100" w:afterAutospacing="1" w:line="360" w:lineRule="auto"/>
        <w:jc w:val="left"/>
        <w:rPr>
          <w:rFonts w:ascii="宋体" w:hAnsi="宋体" w:cs="宋体"/>
          <w:color w:val="auto"/>
          <w:kern w:val="0"/>
          <w:sz w:val="24"/>
          <w:highlight w:val="none"/>
        </w:rPr>
      </w:pPr>
    </w:p>
    <w:p w14:paraId="1CE52563">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7E1F61F6">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223F3248">
      <w:pPr>
        <w:pStyle w:val="39"/>
        <w:spacing w:line="360" w:lineRule="auto"/>
        <w:ind w:firstLine="442" w:firstLineChars="200"/>
        <w:rPr>
          <w:rFonts w:ascii="宋体" w:hAnsi="宋体" w:cs="宋体"/>
          <w:b/>
          <w:bCs/>
          <w:color w:val="auto"/>
          <w:kern w:val="0"/>
          <w:sz w:val="22"/>
          <w:highlight w:val="none"/>
        </w:rPr>
      </w:pPr>
    </w:p>
    <w:p w14:paraId="4C033401">
      <w:pPr>
        <w:pStyle w:val="39"/>
        <w:spacing w:line="360" w:lineRule="auto"/>
        <w:rPr>
          <w:rFonts w:hint="eastAsia" w:ascii="宋体" w:hAnsi="宋体" w:cs="宋体"/>
          <w:b w:val="0"/>
          <w:bCs w:val="0"/>
          <w:color w:val="auto"/>
          <w:kern w:val="0"/>
          <w:sz w:val="22"/>
          <w:highlight w:val="none"/>
        </w:rPr>
      </w:pPr>
      <w:r>
        <w:rPr>
          <w:rFonts w:hint="eastAsia" w:ascii="宋体" w:hAnsi="宋体" w:cs="宋体"/>
          <w:b w:val="0"/>
          <w:bCs w:val="0"/>
          <w:color w:val="auto"/>
          <w:kern w:val="0"/>
          <w:sz w:val="22"/>
          <w:highlight w:val="none"/>
        </w:rPr>
        <w:t>注：</w:t>
      </w:r>
      <w:r>
        <w:rPr>
          <w:rFonts w:hint="eastAsia" w:ascii="宋体" w:hAnsi="宋体" w:cs="宋体"/>
          <w:b w:val="0"/>
          <w:bCs w:val="0"/>
          <w:color w:val="auto"/>
          <w:kern w:val="0"/>
          <w:sz w:val="22"/>
          <w:highlight w:val="none"/>
          <w:lang w:val="en-US" w:eastAsia="zh-CN"/>
        </w:rPr>
        <w:t>1.</w:t>
      </w:r>
      <w:r>
        <w:rPr>
          <w:rFonts w:hint="eastAsia" w:ascii="宋体" w:hAnsi="宋体" w:cs="宋体"/>
          <w:b w:val="0"/>
          <w:bCs w:val="0"/>
          <w:color w:val="auto"/>
          <w:kern w:val="0"/>
          <w:sz w:val="22"/>
          <w:highlight w:val="none"/>
        </w:rPr>
        <w:t>如</w:t>
      </w:r>
      <w:r>
        <w:rPr>
          <w:rFonts w:hint="eastAsia" w:ascii="宋体" w:hAnsi="宋体" w:cs="宋体"/>
          <w:b w:val="0"/>
          <w:bCs w:val="0"/>
          <w:color w:val="auto"/>
          <w:kern w:val="0"/>
          <w:sz w:val="22"/>
          <w:highlight w:val="none"/>
          <w:lang w:val="en-US" w:eastAsia="zh-CN"/>
        </w:rPr>
        <w:t>供应商</w:t>
      </w:r>
      <w:r>
        <w:rPr>
          <w:rFonts w:hint="eastAsia" w:ascii="宋体" w:hAnsi="宋体" w:cs="宋体"/>
          <w:b w:val="0"/>
          <w:bCs w:val="0"/>
          <w:color w:val="auto"/>
          <w:kern w:val="0"/>
          <w:sz w:val="22"/>
          <w:highlight w:val="none"/>
        </w:rPr>
        <w:t>为监狱企业，须提供省级以上监狱管理局、戒毒管理局（含新疆生产建设兵团）出具的属于监狱企业证明文件的，视同为小型和微型企业。</w:t>
      </w:r>
    </w:p>
    <w:p w14:paraId="26A508E7">
      <w:pPr>
        <w:pStyle w:val="39"/>
        <w:spacing w:line="360" w:lineRule="auto"/>
        <w:rPr>
          <w:rFonts w:hint="eastAsia" w:ascii="宋体" w:hAnsi="宋体" w:cs="宋体"/>
          <w:b w:val="0"/>
          <w:bCs w:val="0"/>
          <w:color w:val="auto"/>
          <w:kern w:val="0"/>
          <w:sz w:val="22"/>
          <w:highlight w:val="none"/>
          <w:lang w:val="en-US" w:eastAsia="zh-CN"/>
        </w:rPr>
      </w:pPr>
      <w:r>
        <w:rPr>
          <w:rFonts w:hint="eastAsia" w:ascii="宋体" w:hAnsi="宋体" w:cs="宋体"/>
          <w:b w:val="0"/>
          <w:bCs w:val="0"/>
          <w:color w:val="auto"/>
          <w:kern w:val="0"/>
          <w:sz w:val="22"/>
          <w:highlight w:val="none"/>
          <w:lang w:val="en-US" w:eastAsia="zh-CN"/>
        </w:rPr>
        <w:t>2.供应商不属于</w:t>
      </w:r>
      <w:r>
        <w:rPr>
          <w:rFonts w:hint="eastAsia" w:ascii="宋体" w:hAnsi="宋体" w:cs="宋体"/>
          <w:b w:val="0"/>
          <w:bCs w:val="0"/>
          <w:color w:val="auto"/>
          <w:kern w:val="0"/>
          <w:sz w:val="22"/>
          <w:highlight w:val="none"/>
        </w:rPr>
        <w:t>监狱企业</w:t>
      </w:r>
      <w:r>
        <w:rPr>
          <w:rFonts w:hint="eastAsia" w:ascii="宋体" w:hAnsi="宋体" w:cs="宋体"/>
          <w:b w:val="0"/>
          <w:bCs w:val="0"/>
          <w:color w:val="auto"/>
          <w:kern w:val="0"/>
          <w:sz w:val="22"/>
          <w:highlight w:val="none"/>
          <w:lang w:val="en-US" w:eastAsia="zh-CN"/>
        </w:rPr>
        <w:t>的，本声明函无需填写，可空白提供；</w:t>
      </w:r>
    </w:p>
    <w:p w14:paraId="039F3ABC">
      <w:pPr>
        <w:pStyle w:val="39"/>
        <w:spacing w:line="360" w:lineRule="auto"/>
        <w:rPr>
          <w:rFonts w:hint="default" w:ascii="宋体" w:hAnsi="宋体" w:eastAsia="宋体" w:cs="宋体"/>
          <w:b w:val="0"/>
          <w:bCs w:val="0"/>
          <w:color w:val="auto"/>
          <w:kern w:val="0"/>
          <w:sz w:val="22"/>
          <w:highlight w:val="none"/>
          <w:lang w:val="en-US" w:eastAsia="zh-CN"/>
        </w:rPr>
      </w:pPr>
    </w:p>
    <w:p w14:paraId="56F7FE7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eastAsia" w:ascii="宋体" w:hAnsi="宋体" w:eastAsia="宋体" w:cs="宋体"/>
          <w:bCs/>
          <w:color w:val="auto"/>
          <w:sz w:val="24"/>
          <w:highlight w:val="none"/>
          <w:shd w:val="clear" w:color="auto" w:fill="auto"/>
          <w:lang w:val="en-US" w:eastAsia="zh-CN"/>
        </w:rPr>
      </w:pPr>
    </w:p>
    <w:p w14:paraId="50DEC1FE">
      <w:pPr>
        <w:rPr>
          <w:rFonts w:hint="eastAsia" w:ascii="宋体" w:hAnsi="宋体" w:eastAsia="宋体" w:cs="宋体"/>
          <w:bCs/>
          <w:color w:val="auto"/>
          <w:sz w:val="24"/>
          <w:highlight w:val="none"/>
          <w:shd w:val="clear" w:color="auto" w:fill="auto"/>
          <w:lang w:val="en-US" w:eastAsia="zh-CN"/>
        </w:rPr>
      </w:pPr>
      <w:r>
        <w:rPr>
          <w:rFonts w:hint="eastAsia" w:ascii="宋体" w:hAnsi="宋体" w:eastAsia="宋体" w:cs="宋体"/>
          <w:bCs/>
          <w:color w:val="auto"/>
          <w:sz w:val="24"/>
          <w:highlight w:val="none"/>
          <w:shd w:val="clear" w:color="auto" w:fill="auto"/>
          <w:lang w:val="en-US" w:eastAsia="zh-CN"/>
        </w:rPr>
        <w:br w:type="page"/>
      </w:r>
    </w:p>
    <w:p w14:paraId="64F8794C">
      <w:pPr>
        <w:keepNext w:val="0"/>
        <w:keepLines w:val="0"/>
        <w:widowControl/>
        <w:suppressLineNumbers w:val="0"/>
        <w:jc w:val="center"/>
        <w:outlineLvl w:val="1"/>
        <w:rPr>
          <w:rFonts w:hint="eastAsia" w:ascii="宋体" w:hAnsi="宋体" w:eastAsia="宋体" w:cs="宋体"/>
          <w:b/>
          <w:bCs/>
          <w:color w:val="auto"/>
          <w:kern w:val="2"/>
          <w:sz w:val="32"/>
          <w:szCs w:val="32"/>
          <w:highlight w:val="none"/>
          <w:lang w:val="en-US" w:eastAsia="zh-CN" w:bidi="ar-SA"/>
        </w:rPr>
      </w:pPr>
      <w:bookmarkStart w:id="33" w:name="_Toc16355"/>
      <w:r>
        <w:rPr>
          <w:rFonts w:hint="eastAsia" w:ascii="宋体" w:hAnsi="宋体" w:eastAsia="宋体" w:cs="宋体"/>
          <w:b/>
          <w:bCs/>
          <w:color w:val="auto"/>
          <w:kern w:val="2"/>
          <w:sz w:val="32"/>
          <w:szCs w:val="32"/>
          <w:highlight w:val="none"/>
          <w:lang w:val="en-US" w:eastAsia="zh-CN" w:bidi="ar-SA"/>
        </w:rPr>
        <w:t>三、符合特定资格条件要求的资质文件</w:t>
      </w:r>
      <w:bookmarkEnd w:id="33"/>
    </w:p>
    <w:p w14:paraId="304B089A">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仿宋" w:hAnsi="仿宋" w:eastAsia="仿宋" w:cs="仿宋"/>
          <w:color w:val="auto"/>
          <w:kern w:val="2"/>
          <w:sz w:val="21"/>
          <w:szCs w:val="21"/>
          <w:highlight w:val="none"/>
          <w:lang w:val="en-US" w:eastAsia="zh-CN" w:bidi="ar-SA"/>
        </w:rPr>
      </w:pPr>
      <w:r>
        <w:rPr>
          <w:rFonts w:hint="default" w:ascii="仿宋" w:hAnsi="仿宋" w:eastAsia="仿宋" w:cs="仿宋"/>
          <w:color w:val="auto"/>
          <w:kern w:val="2"/>
          <w:sz w:val="21"/>
          <w:szCs w:val="21"/>
          <w:highlight w:val="none"/>
          <w:lang w:val="en-US" w:eastAsia="zh-CN" w:bidi="ar-SA"/>
        </w:rPr>
        <w:t>（由供应商根据“磋商文件第一部分”中“本项目的特定资格要求”编制；如果本项目没有设置特定资格条件，则不需要提供）</w:t>
      </w:r>
    </w:p>
    <w:p w14:paraId="728AA0DF">
      <w:pPr>
        <w:rPr>
          <w:rFonts w:hint="default" w:ascii="宋体" w:hAnsi="宋体" w:eastAsia="宋体" w:cs="宋体"/>
          <w:bCs/>
          <w:color w:val="auto"/>
          <w:sz w:val="24"/>
          <w:highlight w:val="none"/>
          <w:shd w:val="clear" w:color="auto" w:fill="auto"/>
          <w:lang w:val="en-US" w:eastAsia="zh-CN"/>
        </w:rPr>
      </w:pPr>
      <w:r>
        <w:rPr>
          <w:rFonts w:hint="default" w:ascii="宋体" w:hAnsi="宋体" w:eastAsia="宋体" w:cs="宋体"/>
          <w:bCs/>
          <w:color w:val="auto"/>
          <w:sz w:val="24"/>
          <w:highlight w:val="none"/>
          <w:shd w:val="clear" w:color="auto" w:fill="auto"/>
          <w:lang w:val="en-US" w:eastAsia="zh-CN"/>
        </w:rPr>
        <w:br w:type="page"/>
      </w:r>
    </w:p>
    <w:p w14:paraId="21DA85E3">
      <w:pPr>
        <w:jc w:val="center"/>
        <w:rPr>
          <w:rFonts w:hint="default"/>
          <w:color w:val="auto"/>
          <w:sz w:val="40"/>
          <w:szCs w:val="48"/>
          <w:highlight w:val="none"/>
          <w:lang w:val="en-US" w:eastAsia="zh-CN"/>
        </w:rPr>
      </w:pPr>
    </w:p>
    <w:p w14:paraId="51585794">
      <w:pPr>
        <w:jc w:val="center"/>
        <w:rPr>
          <w:rFonts w:hint="default"/>
          <w:color w:val="auto"/>
          <w:sz w:val="40"/>
          <w:szCs w:val="48"/>
          <w:highlight w:val="none"/>
          <w:lang w:val="en-US" w:eastAsia="zh-CN"/>
        </w:rPr>
      </w:pPr>
    </w:p>
    <w:p w14:paraId="7B0C7D91">
      <w:pPr>
        <w:jc w:val="center"/>
        <w:rPr>
          <w:rFonts w:hint="default"/>
          <w:color w:val="auto"/>
          <w:sz w:val="40"/>
          <w:szCs w:val="48"/>
          <w:highlight w:val="none"/>
          <w:lang w:val="en-US" w:eastAsia="zh-CN"/>
        </w:rPr>
      </w:pPr>
    </w:p>
    <w:p w14:paraId="691F2482">
      <w:pPr>
        <w:jc w:val="center"/>
        <w:rPr>
          <w:rFonts w:hint="default"/>
          <w:color w:val="auto"/>
          <w:sz w:val="40"/>
          <w:szCs w:val="48"/>
          <w:highlight w:val="none"/>
          <w:lang w:val="en-US" w:eastAsia="zh-CN"/>
        </w:rPr>
      </w:pPr>
    </w:p>
    <w:p w14:paraId="5DDB84F5">
      <w:pPr>
        <w:jc w:val="center"/>
        <w:rPr>
          <w:rFonts w:hint="default"/>
          <w:color w:val="auto"/>
          <w:sz w:val="40"/>
          <w:szCs w:val="48"/>
          <w:highlight w:val="none"/>
          <w:lang w:val="en-US" w:eastAsia="zh-CN"/>
        </w:rPr>
      </w:pPr>
    </w:p>
    <w:p w14:paraId="026BD5E2">
      <w:pPr>
        <w:jc w:val="center"/>
        <w:rPr>
          <w:rFonts w:hint="default"/>
          <w:color w:val="auto"/>
          <w:sz w:val="40"/>
          <w:szCs w:val="48"/>
          <w:highlight w:val="none"/>
          <w:lang w:val="en-US" w:eastAsia="zh-CN"/>
        </w:rPr>
      </w:pPr>
    </w:p>
    <w:p w14:paraId="23213379">
      <w:pPr>
        <w:jc w:val="center"/>
        <w:rPr>
          <w:rFonts w:hint="default"/>
          <w:color w:val="auto"/>
          <w:sz w:val="40"/>
          <w:szCs w:val="48"/>
          <w:highlight w:val="none"/>
          <w:lang w:val="en-US" w:eastAsia="zh-CN"/>
        </w:rPr>
      </w:pPr>
    </w:p>
    <w:p w14:paraId="79FB529D">
      <w:pPr>
        <w:jc w:val="center"/>
        <w:rPr>
          <w:rFonts w:hint="default"/>
          <w:color w:val="auto"/>
          <w:sz w:val="40"/>
          <w:szCs w:val="48"/>
          <w:highlight w:val="none"/>
          <w:lang w:val="en-US" w:eastAsia="zh-CN"/>
        </w:rPr>
      </w:pPr>
    </w:p>
    <w:p w14:paraId="225E2FDF">
      <w:pPr>
        <w:jc w:val="center"/>
        <w:rPr>
          <w:rFonts w:hint="default"/>
          <w:color w:val="auto"/>
          <w:sz w:val="40"/>
          <w:szCs w:val="48"/>
          <w:highlight w:val="none"/>
          <w:lang w:val="en-US" w:eastAsia="zh-CN"/>
        </w:rPr>
      </w:pPr>
      <w:r>
        <w:rPr>
          <w:rFonts w:hint="eastAsia"/>
          <w:color w:val="auto"/>
          <w:sz w:val="40"/>
          <w:szCs w:val="48"/>
          <w:highlight w:val="none"/>
          <w:lang w:val="en-US" w:eastAsia="zh-CN"/>
        </w:rPr>
        <w:t>商务技术文件</w:t>
      </w:r>
      <w:r>
        <w:rPr>
          <w:rFonts w:hint="default"/>
          <w:color w:val="auto"/>
          <w:sz w:val="40"/>
          <w:szCs w:val="48"/>
          <w:highlight w:val="none"/>
          <w:lang w:val="en-US" w:eastAsia="zh-CN"/>
        </w:rPr>
        <w:t>部分</w:t>
      </w:r>
    </w:p>
    <w:p w14:paraId="6E12F108">
      <w:pPr>
        <w:rPr>
          <w:rFonts w:hint="default"/>
          <w:color w:val="auto"/>
          <w:sz w:val="40"/>
          <w:szCs w:val="48"/>
          <w:highlight w:val="none"/>
          <w:lang w:val="en-US" w:eastAsia="zh-CN"/>
        </w:rPr>
      </w:pPr>
      <w:r>
        <w:rPr>
          <w:rFonts w:hint="default"/>
          <w:color w:val="auto"/>
          <w:sz w:val="40"/>
          <w:szCs w:val="48"/>
          <w:highlight w:val="none"/>
          <w:lang w:val="en-US" w:eastAsia="zh-CN"/>
        </w:rPr>
        <w:br w:type="page"/>
      </w:r>
    </w:p>
    <w:p w14:paraId="1DFB9C2D">
      <w:pPr>
        <w:keepNext w:val="0"/>
        <w:keepLines w:val="0"/>
        <w:widowControl/>
        <w:suppressLineNumbers w:val="0"/>
        <w:jc w:val="center"/>
        <w:outlineLvl w:val="1"/>
        <w:rPr>
          <w:rFonts w:hint="default" w:ascii="宋体" w:hAnsi="宋体" w:eastAsia="宋体" w:cs="宋体"/>
          <w:b/>
          <w:bCs/>
          <w:color w:val="auto"/>
          <w:kern w:val="2"/>
          <w:sz w:val="32"/>
          <w:szCs w:val="32"/>
          <w:highlight w:val="none"/>
          <w:lang w:val="en-US" w:eastAsia="zh-CN" w:bidi="ar-SA"/>
        </w:rPr>
      </w:pPr>
      <w:bookmarkStart w:id="34" w:name="_Toc15365"/>
      <w:r>
        <w:rPr>
          <w:rFonts w:hint="eastAsia" w:ascii="宋体" w:hAnsi="宋体" w:eastAsia="宋体" w:cs="宋体"/>
          <w:b/>
          <w:bCs/>
          <w:color w:val="auto"/>
          <w:kern w:val="2"/>
          <w:sz w:val="32"/>
          <w:szCs w:val="32"/>
          <w:highlight w:val="none"/>
          <w:lang w:val="en-US" w:eastAsia="zh-CN" w:bidi="ar-SA"/>
        </w:rPr>
        <w:t>一、响应函</w:t>
      </w:r>
      <w:bookmarkEnd w:id="34"/>
    </w:p>
    <w:p w14:paraId="49A7DD2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u w:val="single"/>
          <w:lang w:val="en-US" w:eastAsia="zh-CN" w:bidi="ar-SA"/>
        </w:rPr>
        <w:t>（采购人）、（采购代理机构）</w:t>
      </w:r>
      <w:r>
        <w:rPr>
          <w:rFonts w:hint="default" w:ascii="宋体" w:hAnsi="宋体" w:eastAsia="宋体" w:cs="宋体"/>
          <w:color w:val="auto"/>
          <w:kern w:val="2"/>
          <w:sz w:val="24"/>
          <w:szCs w:val="24"/>
          <w:highlight w:val="none"/>
          <w:lang w:val="en-US" w:eastAsia="zh-CN" w:bidi="ar-SA"/>
        </w:rPr>
        <w:t xml:space="preserve">： </w:t>
      </w:r>
    </w:p>
    <w:p w14:paraId="682AC9E5">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u w:val="single"/>
          <w:shd w:val="clear" w:color="auto" w:fill="auto"/>
          <w:lang w:val="en-US" w:eastAsia="zh-CN"/>
        </w:rPr>
        <w:t xml:space="preserve">(供应商全称)             </w:t>
      </w:r>
      <w:r>
        <w:rPr>
          <w:rFonts w:hint="eastAsia" w:ascii="宋体" w:hAnsi="宋体" w:eastAsia="宋体" w:cs="宋体"/>
          <w:bCs/>
          <w:color w:val="auto"/>
          <w:sz w:val="24"/>
          <w:highlight w:val="none"/>
          <w:shd w:val="clear" w:color="auto" w:fill="auto"/>
          <w:lang w:val="en-US" w:eastAsia="zh-CN"/>
        </w:rPr>
        <w:t>授权</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lang w:val="en-US" w:eastAsia="zh-CN"/>
        </w:rPr>
        <w:t>(全权代表姓名)</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lang w:val="en-US" w:eastAsia="zh-CN"/>
        </w:rPr>
        <w:t>(职务、职称)为全权代表，参加贵方组织的</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lang w:val="en-US" w:eastAsia="zh-CN"/>
        </w:rPr>
        <w:t>（项目名称）【项目编号：</w:t>
      </w:r>
      <w:r>
        <w:rPr>
          <w:rFonts w:hint="eastAsia" w:ascii="宋体" w:hAnsi="宋体" w:eastAsia="宋体" w:cs="宋体"/>
          <w:bCs/>
          <w:color w:val="auto"/>
          <w:sz w:val="24"/>
          <w:highlight w:val="none"/>
          <w:u w:val="single"/>
          <w:shd w:val="clear" w:color="auto" w:fill="auto"/>
          <w:lang w:val="en-US" w:eastAsia="zh-CN"/>
        </w:rPr>
        <w:t xml:space="preserve">             </w:t>
      </w:r>
      <w:r>
        <w:rPr>
          <w:rFonts w:hint="eastAsia" w:ascii="宋体" w:hAnsi="宋体" w:eastAsia="宋体" w:cs="宋体"/>
          <w:bCs/>
          <w:color w:val="auto"/>
          <w:sz w:val="24"/>
          <w:highlight w:val="none"/>
          <w:shd w:val="clear" w:color="auto" w:fill="auto"/>
          <w:lang w:val="en-US" w:eastAsia="zh-CN"/>
        </w:rPr>
        <w:t xml:space="preserve">】的有关活动，并对此项目进行响应。为此： </w:t>
      </w:r>
    </w:p>
    <w:p w14:paraId="25E9085E">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1、我方承诺响应有效期从提交响应文件的截止之日起</w:t>
      </w:r>
      <w:r>
        <w:rPr>
          <w:rFonts w:hint="eastAsia" w:ascii="宋体" w:hAnsi="宋体" w:eastAsia="宋体" w:cs="宋体"/>
          <w:bCs/>
          <w:color w:val="auto"/>
          <w:sz w:val="24"/>
          <w:highlight w:val="none"/>
          <w:u w:val="single"/>
          <w:shd w:val="clear" w:color="auto" w:fill="auto"/>
          <w:lang w:val="en-US" w:eastAsia="zh-CN"/>
        </w:rPr>
        <w:t>90日历日</w:t>
      </w:r>
      <w:r>
        <w:rPr>
          <w:rFonts w:hint="eastAsia" w:ascii="宋体" w:hAnsi="宋体" w:eastAsia="宋体" w:cs="宋体"/>
          <w:bCs/>
          <w:color w:val="auto"/>
          <w:sz w:val="24"/>
          <w:highlight w:val="none"/>
          <w:shd w:val="clear" w:color="auto" w:fill="auto"/>
          <w:lang w:val="en-US" w:eastAsia="zh-CN"/>
        </w:rPr>
        <w:t xml:space="preserve">，本响应文件在响应有效期满之前均具有约束力。 </w:t>
      </w:r>
    </w:p>
    <w:p w14:paraId="476DF4E3">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 xml:space="preserve">2、提供磋商文件中规定的全部响应文件。 </w:t>
      </w:r>
    </w:p>
    <w:p w14:paraId="45BDA504">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 xml:space="preserve">3、我方承诺除响应文件列出的偏离外，我方响应磋商文件的全部要求。 </w:t>
      </w:r>
    </w:p>
    <w:p w14:paraId="175937F1">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 xml:space="preserve">4、保证遵守磋商文件中的其他有关规定。 </w:t>
      </w:r>
    </w:p>
    <w:p w14:paraId="4634ECAC">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 xml:space="preserve">5、我方愿意向贵方提供任何与该项目响应有关的数据、情况和技术资料。若贵方需要，我方愿意提供我方作出的一切承诺的证明材料。 </w:t>
      </w:r>
    </w:p>
    <w:p w14:paraId="41117729">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 xml:space="preserve">6、我方已详细阅读全部磋商文件，包括磋商文件“更正（延期）公告”（如果有）、参考资料及有关附件，确认无误。 </w:t>
      </w:r>
    </w:p>
    <w:p w14:paraId="34CC133F">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 xml:space="preserve">7、如我方成交，我方承诺： </w:t>
      </w:r>
    </w:p>
    <w:p w14:paraId="6E5043CB">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 xml:space="preserve">7.1 在收到成交通知书后，在成交通知书规定的期限内与你方签订合同； </w:t>
      </w:r>
    </w:p>
    <w:p w14:paraId="762B52DF">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 xml:space="preserve">7.2 在签订合同时不向你方提出附加条件； </w:t>
      </w:r>
    </w:p>
    <w:p w14:paraId="3106E40E">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 xml:space="preserve">7.3 按照磋商文件要求提交履约保证金（如有）； </w:t>
      </w:r>
    </w:p>
    <w:p w14:paraId="20EBBC33">
      <w:pPr>
        <w:pStyle w:val="6"/>
        <w:spacing w:line="480" w:lineRule="exact"/>
        <w:ind w:firstLine="480" w:firstLineChars="200"/>
        <w:rPr>
          <w:rFonts w:hint="eastAsia" w:ascii="宋体" w:hAnsi="宋体" w:eastAsia="宋体" w:cs="宋体"/>
          <w:bCs/>
          <w:color w:val="auto"/>
          <w:sz w:val="24"/>
          <w:highlight w:val="none"/>
          <w:shd w:val="clear" w:color="auto" w:fill="auto"/>
        </w:rPr>
      </w:pPr>
      <w:r>
        <w:rPr>
          <w:rFonts w:hint="eastAsia" w:ascii="宋体" w:hAnsi="宋体" w:eastAsia="宋体" w:cs="宋体"/>
          <w:bCs/>
          <w:color w:val="auto"/>
          <w:sz w:val="24"/>
          <w:highlight w:val="none"/>
          <w:shd w:val="clear" w:color="auto" w:fill="auto"/>
          <w:lang w:val="en-US" w:eastAsia="zh-CN"/>
        </w:rPr>
        <w:t xml:space="preserve">7.4 在合同约定的期限内完成合同规定的全部义务。 </w:t>
      </w:r>
    </w:p>
    <w:p w14:paraId="3BE5AE94">
      <w:pPr>
        <w:pStyle w:val="6"/>
        <w:spacing w:line="480" w:lineRule="exact"/>
        <w:ind w:firstLine="480" w:firstLineChars="200"/>
        <w:rPr>
          <w:rFonts w:hint="default" w:ascii="宋体" w:hAnsi="宋体" w:eastAsia="宋体" w:cs="宋体"/>
          <w:bCs/>
          <w:color w:val="auto"/>
          <w:sz w:val="24"/>
          <w:highlight w:val="none"/>
          <w:shd w:val="clear" w:color="auto" w:fill="auto"/>
          <w:lang w:val="en-US"/>
        </w:rPr>
      </w:pPr>
      <w:r>
        <w:rPr>
          <w:rFonts w:hint="eastAsia" w:ascii="宋体" w:hAnsi="宋体" w:eastAsia="宋体" w:cs="宋体"/>
          <w:bCs/>
          <w:color w:val="auto"/>
          <w:sz w:val="24"/>
          <w:highlight w:val="none"/>
          <w:shd w:val="clear" w:color="auto" w:fill="auto"/>
          <w:lang w:val="en-US" w:eastAsia="zh-CN"/>
        </w:rPr>
        <w:t>8、其他补充说明：</w:t>
      </w:r>
      <w:r>
        <w:rPr>
          <w:rFonts w:hint="eastAsia" w:ascii="宋体" w:hAnsi="宋体" w:eastAsia="宋体" w:cs="宋体"/>
          <w:bCs/>
          <w:color w:val="auto"/>
          <w:sz w:val="24"/>
          <w:highlight w:val="none"/>
          <w:u w:val="single"/>
          <w:shd w:val="clear" w:color="auto" w:fill="auto"/>
          <w:lang w:val="en-US" w:eastAsia="zh-CN"/>
        </w:rPr>
        <w:t xml:space="preserve">                       </w:t>
      </w:r>
    </w:p>
    <w:p w14:paraId="1AA43E8F">
      <w:pPr>
        <w:rPr>
          <w:rFonts w:hint="default"/>
          <w:color w:val="auto"/>
          <w:highlight w:val="none"/>
          <w:lang w:val="en-US" w:eastAsia="zh-CN"/>
        </w:rPr>
      </w:pPr>
    </w:p>
    <w:p w14:paraId="660D5672">
      <w:pPr>
        <w:rPr>
          <w:rFonts w:hint="default"/>
          <w:color w:val="auto"/>
          <w:highlight w:val="none"/>
          <w:lang w:val="en-US" w:eastAsia="zh-CN"/>
        </w:rPr>
      </w:pPr>
    </w:p>
    <w:p w14:paraId="2FEF41F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31FFC3C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p>
    <w:p w14:paraId="0D093EB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405516DA">
      <w:pPr>
        <w:rPr>
          <w:rFonts w:hint="default"/>
          <w:color w:val="auto"/>
          <w:highlight w:val="none"/>
          <w:lang w:val="en-US" w:eastAsia="zh-CN"/>
        </w:rPr>
      </w:pPr>
    </w:p>
    <w:p w14:paraId="6289DDF8">
      <w:pPr>
        <w:keepNext w:val="0"/>
        <w:keepLines w:val="0"/>
        <w:widowControl/>
        <w:suppressLineNumbers w:val="0"/>
        <w:jc w:val="left"/>
        <w:rPr>
          <w:rFonts w:hint="eastAsia" w:ascii="宋体" w:hAnsi="宋体" w:eastAsia="宋体" w:cs="宋体"/>
          <w:color w:val="auto"/>
          <w:kern w:val="0"/>
          <w:sz w:val="22"/>
          <w:szCs w:val="22"/>
          <w:highlight w:val="none"/>
          <w:lang w:val="en-US" w:eastAsia="zh-CN" w:bidi="ar"/>
        </w:rPr>
      </w:pPr>
    </w:p>
    <w:p w14:paraId="075EC480">
      <w:pPr>
        <w:keepNext w:val="0"/>
        <w:keepLines w:val="0"/>
        <w:widowControl/>
        <w:suppressLineNumbers w:val="0"/>
        <w:jc w:val="left"/>
        <w:rPr>
          <w:color w:val="auto"/>
          <w:sz w:val="20"/>
          <w:szCs w:val="22"/>
          <w:highlight w:val="none"/>
        </w:rPr>
      </w:pPr>
      <w:r>
        <w:rPr>
          <w:rFonts w:hint="eastAsia" w:ascii="宋体" w:hAnsi="宋体" w:eastAsia="宋体" w:cs="宋体"/>
          <w:color w:val="auto"/>
          <w:kern w:val="0"/>
          <w:sz w:val="22"/>
          <w:szCs w:val="22"/>
          <w:highlight w:val="none"/>
          <w:lang w:val="en-US" w:eastAsia="zh-CN" w:bidi="ar"/>
        </w:rPr>
        <w:t>注：按本格式和要求提供。</w:t>
      </w:r>
    </w:p>
    <w:p w14:paraId="2C04B5E5">
      <w:pPr>
        <w:rPr>
          <w:rFonts w:hint="default"/>
          <w:color w:val="auto"/>
          <w:highlight w:val="none"/>
          <w:lang w:val="en-US" w:eastAsia="zh-CN"/>
        </w:rPr>
      </w:pPr>
      <w:r>
        <w:rPr>
          <w:rFonts w:hint="default"/>
          <w:color w:val="auto"/>
          <w:highlight w:val="none"/>
          <w:lang w:val="en-US" w:eastAsia="zh-CN"/>
        </w:rPr>
        <w:br w:type="page"/>
      </w:r>
    </w:p>
    <w:p w14:paraId="2DD7C9B9">
      <w:pPr>
        <w:keepNext w:val="0"/>
        <w:keepLines w:val="0"/>
        <w:widowControl/>
        <w:suppressLineNumbers w:val="0"/>
        <w:jc w:val="center"/>
        <w:outlineLvl w:val="1"/>
        <w:rPr>
          <w:rFonts w:hint="eastAsia" w:ascii="宋体" w:hAnsi="宋体" w:eastAsia="宋体" w:cs="宋体"/>
          <w:b/>
          <w:bCs/>
          <w:color w:val="auto"/>
          <w:kern w:val="2"/>
          <w:sz w:val="32"/>
          <w:szCs w:val="32"/>
          <w:highlight w:val="none"/>
          <w:lang w:val="en-US" w:eastAsia="zh-CN" w:bidi="ar-SA"/>
        </w:rPr>
      </w:pPr>
      <w:bookmarkStart w:id="35" w:name="_Toc11476"/>
      <w:r>
        <w:rPr>
          <w:rFonts w:hint="eastAsia" w:ascii="宋体" w:hAnsi="宋体" w:eastAsia="宋体" w:cs="宋体"/>
          <w:b/>
          <w:bCs/>
          <w:color w:val="auto"/>
          <w:kern w:val="2"/>
          <w:sz w:val="32"/>
          <w:szCs w:val="32"/>
          <w:highlight w:val="none"/>
          <w:lang w:val="en-US" w:eastAsia="zh-CN" w:bidi="ar-SA"/>
        </w:rPr>
        <w:t>二、评审标准相应的商务资料</w:t>
      </w:r>
      <w:bookmarkEnd w:id="35"/>
    </w:p>
    <w:p w14:paraId="3986DF4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1、本项目组织实施人员</w:t>
      </w:r>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784"/>
        <w:gridCol w:w="816"/>
        <w:gridCol w:w="884"/>
        <w:gridCol w:w="1150"/>
        <w:gridCol w:w="850"/>
        <w:gridCol w:w="1716"/>
        <w:gridCol w:w="1717"/>
        <w:gridCol w:w="1313"/>
      </w:tblGrid>
      <w:tr w14:paraId="58DC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Borders>
              <w:top w:val="double" w:color="000000" w:sz="4" w:space="0"/>
              <w:left w:val="double" w:color="000000" w:sz="4" w:space="0"/>
              <w:bottom w:val="single" w:color="000000" w:sz="4" w:space="0"/>
              <w:right w:val="single" w:color="000000" w:sz="4" w:space="0"/>
              <w:tl2br w:val="nil"/>
            </w:tcBorders>
            <w:shd w:val="clear" w:color="auto" w:fill="FFFFFF"/>
          </w:tcPr>
          <w:p w14:paraId="5317D60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2"/>
              <w:rPr>
                <w:rFonts w:hint="eastAsia" w:ascii="宋体" w:hAnsi="宋体" w:eastAsia="宋体" w:cs="宋体"/>
                <w:b w:val="0"/>
                <w:bCs/>
                <w:color w:val="auto"/>
                <w:kern w:val="2"/>
                <w:sz w:val="28"/>
                <w:szCs w:val="28"/>
                <w:highlight w:val="none"/>
                <w:vertAlign w:val="baseline"/>
                <w:lang w:val="en-US" w:eastAsia="zh-CN" w:bidi="ar-SA"/>
              </w:rPr>
            </w:pPr>
            <w:r>
              <w:rPr>
                <w:rFonts w:hint="eastAsia" w:ascii="宋体" w:hAnsi="宋体" w:eastAsia="宋体" w:cs="宋体"/>
                <w:b w:val="0"/>
                <w:bCs/>
                <w:color w:val="auto"/>
                <w:kern w:val="2"/>
                <w:sz w:val="28"/>
                <w:szCs w:val="28"/>
                <w:highlight w:val="none"/>
                <w:vertAlign w:val="baseline"/>
                <w:lang w:val="en-US" w:eastAsia="zh-CN" w:bidi="ar-SA"/>
              </w:rPr>
              <w:t>1、项目负责人</w:t>
            </w:r>
          </w:p>
        </w:tc>
      </w:tr>
      <w:tr w14:paraId="28AA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000000" w:sz="4" w:space="0"/>
              <w:left w:val="double" w:color="000000" w:sz="4" w:space="0"/>
              <w:bottom w:val="single" w:color="000000" w:sz="4" w:space="0"/>
              <w:right w:val="single" w:color="000000" w:sz="4" w:space="0"/>
            </w:tcBorders>
            <w:shd w:val="clear" w:color="auto" w:fill="FFFFFF"/>
          </w:tcPr>
          <w:p w14:paraId="4634F51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姓名</w:t>
            </w:r>
          </w:p>
        </w:tc>
        <w:tc>
          <w:tcPr>
            <w:tcW w:w="784" w:type="dxa"/>
            <w:tcBorders>
              <w:top w:val="single" w:color="000000" w:sz="4" w:space="0"/>
              <w:left w:val="single" w:color="000000" w:sz="4" w:space="0"/>
              <w:bottom w:val="single" w:color="000000" w:sz="4" w:space="0"/>
              <w:right w:val="single" w:color="000000" w:sz="4" w:space="0"/>
            </w:tcBorders>
            <w:shd w:val="clear" w:color="auto" w:fill="FFFFFF"/>
          </w:tcPr>
          <w:p w14:paraId="6D84821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性别</w:t>
            </w:r>
          </w:p>
        </w:tc>
        <w:tc>
          <w:tcPr>
            <w:tcW w:w="816" w:type="dxa"/>
            <w:tcBorders>
              <w:top w:val="single" w:color="000000" w:sz="4" w:space="0"/>
              <w:left w:val="single" w:color="000000" w:sz="4" w:space="0"/>
              <w:bottom w:val="single" w:color="000000" w:sz="4" w:space="0"/>
              <w:right w:val="single" w:color="000000" w:sz="4" w:space="0"/>
            </w:tcBorders>
            <w:shd w:val="clear" w:color="auto" w:fill="FFFFFF"/>
          </w:tcPr>
          <w:p w14:paraId="2EE7B51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年龄</w:t>
            </w:r>
          </w:p>
        </w:tc>
        <w:tc>
          <w:tcPr>
            <w:tcW w:w="884" w:type="dxa"/>
            <w:tcBorders>
              <w:top w:val="single" w:color="000000" w:sz="4" w:space="0"/>
              <w:left w:val="single" w:color="000000" w:sz="4" w:space="0"/>
              <w:bottom w:val="single" w:color="000000" w:sz="4" w:space="0"/>
              <w:right w:val="single" w:color="000000" w:sz="4" w:space="0"/>
            </w:tcBorders>
            <w:shd w:val="clear" w:color="auto" w:fill="FFFFFF"/>
          </w:tcPr>
          <w:p w14:paraId="54EBFE5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职务</w:t>
            </w:r>
          </w:p>
        </w:tc>
        <w:tc>
          <w:tcPr>
            <w:tcW w:w="1150" w:type="dxa"/>
            <w:tcBorders>
              <w:top w:val="single" w:color="000000" w:sz="4" w:space="0"/>
              <w:left w:val="single" w:color="000000" w:sz="4" w:space="0"/>
              <w:bottom w:val="single" w:color="000000" w:sz="4" w:space="0"/>
              <w:right w:val="single" w:color="000000" w:sz="4" w:space="0"/>
            </w:tcBorders>
            <w:shd w:val="clear" w:color="auto" w:fill="FFFFFF"/>
          </w:tcPr>
          <w:p w14:paraId="6EEFF5D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学历</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0FF7A9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专业</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60D480C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资格/职称</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717A721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在本行业从业工作年限</w:t>
            </w:r>
          </w:p>
        </w:tc>
        <w:tc>
          <w:tcPr>
            <w:tcW w:w="1313" w:type="dxa"/>
            <w:tcBorders>
              <w:top w:val="single" w:color="000000" w:sz="4" w:space="0"/>
              <w:left w:val="single" w:color="000000" w:sz="4" w:space="0"/>
              <w:bottom w:val="single" w:color="000000" w:sz="4" w:space="0"/>
              <w:right w:val="double" w:color="000000" w:sz="4" w:space="0"/>
            </w:tcBorders>
            <w:shd w:val="clear" w:color="auto" w:fill="FFFFFF"/>
            <w:vAlign w:val="top"/>
          </w:tcPr>
          <w:p w14:paraId="249701E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主要工作业绩</w:t>
            </w:r>
          </w:p>
        </w:tc>
      </w:tr>
      <w:tr w14:paraId="49047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000000" w:sz="4" w:space="0"/>
              <w:left w:val="double" w:color="000000" w:sz="4" w:space="0"/>
              <w:bottom w:val="single" w:color="000000" w:sz="4" w:space="0"/>
              <w:right w:val="single" w:color="000000" w:sz="4" w:space="0"/>
            </w:tcBorders>
            <w:shd w:val="clear" w:color="auto" w:fill="FFFFFF"/>
          </w:tcPr>
          <w:p w14:paraId="4CE2814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tcPr>
          <w:p w14:paraId="2D08FE4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tcPr>
          <w:p w14:paraId="730E5AE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tcPr>
          <w:p w14:paraId="6C86DCD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tcPr>
          <w:p w14:paraId="4E13066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6196FB7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cPr>
          <w:p w14:paraId="3761CB6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tcPr>
          <w:p w14:paraId="5E9C581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313" w:type="dxa"/>
            <w:tcBorders>
              <w:top w:val="single" w:color="000000" w:sz="4" w:space="0"/>
              <w:left w:val="single" w:color="000000" w:sz="4" w:space="0"/>
              <w:bottom w:val="single" w:color="000000" w:sz="4" w:space="0"/>
              <w:right w:val="double" w:color="000000" w:sz="4" w:space="0"/>
            </w:tcBorders>
            <w:shd w:val="clear" w:color="auto" w:fill="FFFFFF"/>
          </w:tcPr>
          <w:p w14:paraId="36D40F4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r>
      <w:tr w14:paraId="2F47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000000" w:sz="4" w:space="0"/>
              <w:left w:val="double" w:color="000000" w:sz="4" w:space="0"/>
              <w:bottom w:val="single" w:color="000000" w:sz="4" w:space="0"/>
              <w:right w:val="single" w:color="000000" w:sz="4" w:space="0"/>
            </w:tcBorders>
            <w:shd w:val="clear" w:color="auto" w:fill="FFFFFF"/>
          </w:tcPr>
          <w:p w14:paraId="1437F66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tcPr>
          <w:p w14:paraId="01F634B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tcPr>
          <w:p w14:paraId="3CB09EA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tcPr>
          <w:p w14:paraId="66FEC5E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tcPr>
          <w:p w14:paraId="731AF42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3B4E163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cPr>
          <w:p w14:paraId="125AE22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tcPr>
          <w:p w14:paraId="152EEEC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313" w:type="dxa"/>
            <w:tcBorders>
              <w:top w:val="single" w:color="000000" w:sz="4" w:space="0"/>
              <w:left w:val="single" w:color="000000" w:sz="4" w:space="0"/>
              <w:bottom w:val="single" w:color="000000" w:sz="4" w:space="0"/>
              <w:right w:val="double" w:color="000000" w:sz="4" w:space="0"/>
            </w:tcBorders>
            <w:shd w:val="clear" w:color="auto" w:fill="FFFFFF"/>
          </w:tcPr>
          <w:p w14:paraId="4F83C8D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r>
      <w:tr w14:paraId="75AE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9"/>
            <w:tcBorders>
              <w:top w:val="single" w:color="000000" w:sz="4" w:space="0"/>
              <w:left w:val="double" w:color="000000" w:sz="4" w:space="0"/>
              <w:bottom w:val="single" w:color="000000" w:sz="4" w:space="0"/>
              <w:right w:val="single" w:color="000000" w:sz="4" w:space="0"/>
            </w:tcBorders>
            <w:shd w:val="clear" w:color="auto" w:fill="FFFFFF"/>
          </w:tcPr>
          <w:p w14:paraId="3FBAD58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r>
              <w:rPr>
                <w:rFonts w:hint="eastAsia" w:ascii="宋体" w:hAnsi="宋体" w:eastAsia="宋体" w:cs="宋体"/>
                <w:b w:val="0"/>
                <w:bCs/>
                <w:color w:val="auto"/>
                <w:kern w:val="2"/>
                <w:sz w:val="28"/>
                <w:szCs w:val="28"/>
                <w:highlight w:val="none"/>
                <w:vertAlign w:val="baseline"/>
                <w:lang w:val="en-US" w:eastAsia="zh-CN" w:bidi="ar-SA"/>
              </w:rPr>
              <w:t>2、项目组成员</w:t>
            </w:r>
          </w:p>
        </w:tc>
      </w:tr>
      <w:tr w14:paraId="606F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000000" w:sz="4" w:space="0"/>
              <w:left w:val="double" w:color="000000" w:sz="4" w:space="0"/>
              <w:bottom w:val="single" w:color="000000" w:sz="4" w:space="0"/>
              <w:right w:val="single" w:color="000000" w:sz="4" w:space="0"/>
            </w:tcBorders>
            <w:shd w:val="clear" w:color="auto" w:fill="FFFFFF"/>
            <w:vAlign w:val="top"/>
          </w:tcPr>
          <w:p w14:paraId="1C1103A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姓名</w:t>
            </w:r>
          </w:p>
        </w:tc>
        <w:tc>
          <w:tcPr>
            <w:tcW w:w="784" w:type="dxa"/>
            <w:tcBorders>
              <w:top w:val="single" w:color="000000" w:sz="4" w:space="0"/>
              <w:left w:val="single" w:color="000000" w:sz="4" w:space="0"/>
              <w:bottom w:val="single" w:color="000000" w:sz="4" w:space="0"/>
              <w:right w:val="single" w:color="000000" w:sz="4" w:space="0"/>
            </w:tcBorders>
            <w:shd w:val="clear" w:color="auto" w:fill="FFFFFF"/>
            <w:vAlign w:val="top"/>
          </w:tcPr>
          <w:p w14:paraId="083605C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性别</w:t>
            </w:r>
          </w:p>
        </w:tc>
        <w:tc>
          <w:tcPr>
            <w:tcW w:w="8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4A25BE6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年龄</w:t>
            </w:r>
          </w:p>
        </w:tc>
        <w:tc>
          <w:tcPr>
            <w:tcW w:w="88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DC56B8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职务</w:t>
            </w:r>
          </w:p>
        </w:tc>
        <w:tc>
          <w:tcPr>
            <w:tcW w:w="11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24C39D6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学历</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top"/>
          </w:tcPr>
          <w:p w14:paraId="6B2C352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专业</w:t>
            </w:r>
          </w:p>
        </w:tc>
        <w:tc>
          <w:tcPr>
            <w:tcW w:w="1716" w:type="dxa"/>
            <w:tcBorders>
              <w:top w:val="single" w:color="000000" w:sz="4" w:space="0"/>
              <w:left w:val="single" w:color="000000" w:sz="4" w:space="0"/>
              <w:bottom w:val="single" w:color="000000" w:sz="4" w:space="0"/>
              <w:right w:val="single" w:color="000000" w:sz="4" w:space="0"/>
            </w:tcBorders>
            <w:shd w:val="clear" w:color="auto" w:fill="FFFFFF"/>
            <w:vAlign w:val="top"/>
          </w:tcPr>
          <w:p w14:paraId="0D11ADC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资格/职称</w:t>
            </w:r>
          </w:p>
        </w:tc>
        <w:tc>
          <w:tcPr>
            <w:tcW w:w="1717" w:type="dxa"/>
            <w:tcBorders>
              <w:top w:val="single" w:color="000000" w:sz="4" w:space="0"/>
              <w:left w:val="single" w:color="000000" w:sz="4" w:space="0"/>
              <w:bottom w:val="single" w:color="000000" w:sz="4" w:space="0"/>
              <w:right w:val="single" w:color="000000" w:sz="4" w:space="0"/>
            </w:tcBorders>
            <w:shd w:val="clear" w:color="auto" w:fill="FFFFFF"/>
            <w:vAlign w:val="top"/>
          </w:tcPr>
          <w:p w14:paraId="5B0EF49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在本行业从业工作年限</w:t>
            </w:r>
          </w:p>
        </w:tc>
        <w:tc>
          <w:tcPr>
            <w:tcW w:w="1313" w:type="dxa"/>
            <w:tcBorders>
              <w:top w:val="single" w:color="000000" w:sz="4" w:space="0"/>
              <w:left w:val="single" w:color="000000" w:sz="4" w:space="0"/>
              <w:bottom w:val="single" w:color="000000" w:sz="4" w:space="0"/>
              <w:right w:val="double" w:color="000000" w:sz="4" w:space="0"/>
            </w:tcBorders>
            <w:shd w:val="clear" w:color="auto" w:fill="FFFFFF"/>
            <w:vAlign w:val="top"/>
          </w:tcPr>
          <w:p w14:paraId="2F588E7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0" w:firstLineChars="0"/>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当前分工</w:t>
            </w:r>
          </w:p>
        </w:tc>
      </w:tr>
      <w:tr w14:paraId="7062B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000000" w:sz="4" w:space="0"/>
              <w:left w:val="double" w:color="000000" w:sz="4" w:space="0"/>
              <w:bottom w:val="single" w:color="000000" w:sz="4" w:space="0"/>
              <w:right w:val="single" w:color="000000" w:sz="4" w:space="0"/>
            </w:tcBorders>
            <w:shd w:val="clear" w:color="auto" w:fill="FFFFFF"/>
          </w:tcPr>
          <w:p w14:paraId="19AA3A5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tcPr>
          <w:p w14:paraId="02B15CB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tcPr>
          <w:p w14:paraId="7C30E2B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tcPr>
          <w:p w14:paraId="06A46DA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tcPr>
          <w:p w14:paraId="5F26D5D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0AA388E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cPr>
          <w:p w14:paraId="1E2650E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tcPr>
          <w:p w14:paraId="0A942E1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313" w:type="dxa"/>
            <w:tcBorders>
              <w:top w:val="single" w:color="000000" w:sz="4" w:space="0"/>
              <w:left w:val="single" w:color="000000" w:sz="4" w:space="0"/>
              <w:bottom w:val="single" w:color="000000" w:sz="4" w:space="0"/>
              <w:right w:val="double" w:color="000000" w:sz="4" w:space="0"/>
            </w:tcBorders>
            <w:shd w:val="clear" w:color="auto" w:fill="FFFFFF"/>
          </w:tcPr>
          <w:p w14:paraId="3BF195D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r>
      <w:tr w14:paraId="3F41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000000" w:sz="4" w:space="0"/>
              <w:left w:val="double" w:color="000000" w:sz="4" w:space="0"/>
              <w:bottom w:val="single" w:color="000000" w:sz="4" w:space="0"/>
              <w:right w:val="single" w:color="000000" w:sz="4" w:space="0"/>
            </w:tcBorders>
            <w:shd w:val="clear" w:color="auto" w:fill="FFFFFF"/>
          </w:tcPr>
          <w:p w14:paraId="4A1098E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tcPr>
          <w:p w14:paraId="0469D0D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tcPr>
          <w:p w14:paraId="779EFE0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tcPr>
          <w:p w14:paraId="5194190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tcPr>
          <w:p w14:paraId="67E98A7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3DA434D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cPr>
          <w:p w14:paraId="5488151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tcPr>
          <w:p w14:paraId="59FF966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313" w:type="dxa"/>
            <w:tcBorders>
              <w:top w:val="single" w:color="000000" w:sz="4" w:space="0"/>
              <w:left w:val="single" w:color="000000" w:sz="4" w:space="0"/>
              <w:bottom w:val="single" w:color="000000" w:sz="4" w:space="0"/>
              <w:right w:val="double" w:color="000000" w:sz="4" w:space="0"/>
            </w:tcBorders>
            <w:shd w:val="clear" w:color="auto" w:fill="FFFFFF"/>
          </w:tcPr>
          <w:p w14:paraId="75656DD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r>
      <w:tr w14:paraId="6FFE9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000000" w:sz="4" w:space="0"/>
              <w:left w:val="double" w:color="000000" w:sz="4" w:space="0"/>
              <w:bottom w:val="single" w:color="000000" w:sz="4" w:space="0"/>
              <w:right w:val="single" w:color="000000" w:sz="4" w:space="0"/>
            </w:tcBorders>
            <w:shd w:val="clear" w:color="auto" w:fill="FFFFFF"/>
          </w:tcPr>
          <w:p w14:paraId="36EA9E9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tcPr>
          <w:p w14:paraId="47A392D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tcPr>
          <w:p w14:paraId="78C25BF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tcPr>
          <w:p w14:paraId="683C1B3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tcPr>
          <w:p w14:paraId="42FDEB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4BD1EAA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cPr>
          <w:p w14:paraId="34235D5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tcPr>
          <w:p w14:paraId="3C0C39B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313" w:type="dxa"/>
            <w:tcBorders>
              <w:top w:val="single" w:color="000000" w:sz="4" w:space="0"/>
              <w:left w:val="single" w:color="000000" w:sz="4" w:space="0"/>
              <w:bottom w:val="single" w:color="000000" w:sz="4" w:space="0"/>
              <w:right w:val="double" w:color="000000" w:sz="4" w:space="0"/>
            </w:tcBorders>
            <w:shd w:val="clear" w:color="auto" w:fill="FFFFFF"/>
          </w:tcPr>
          <w:p w14:paraId="39875C7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r>
      <w:tr w14:paraId="3E52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000000" w:sz="4" w:space="0"/>
              <w:left w:val="double" w:color="000000" w:sz="4" w:space="0"/>
              <w:bottom w:val="single" w:color="000000" w:sz="4" w:space="0"/>
              <w:right w:val="single" w:color="000000" w:sz="4" w:space="0"/>
            </w:tcBorders>
            <w:shd w:val="clear" w:color="auto" w:fill="FFFFFF"/>
          </w:tcPr>
          <w:p w14:paraId="453D126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tcPr>
          <w:p w14:paraId="61377D8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tcPr>
          <w:p w14:paraId="1B0C09EB">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tcPr>
          <w:p w14:paraId="21FFFC9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tcPr>
          <w:p w14:paraId="2D92264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5611283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cPr>
          <w:p w14:paraId="7EF3C69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tcPr>
          <w:p w14:paraId="523EF09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313" w:type="dxa"/>
            <w:tcBorders>
              <w:top w:val="single" w:color="000000" w:sz="4" w:space="0"/>
              <w:left w:val="single" w:color="000000" w:sz="4" w:space="0"/>
              <w:bottom w:val="single" w:color="000000" w:sz="4" w:space="0"/>
              <w:right w:val="double" w:color="000000" w:sz="4" w:space="0"/>
            </w:tcBorders>
            <w:shd w:val="clear" w:color="auto" w:fill="FFFFFF"/>
          </w:tcPr>
          <w:p w14:paraId="421FC28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r>
      <w:tr w14:paraId="2B6C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2" w:type="dxa"/>
            <w:tcBorders>
              <w:top w:val="single" w:color="000000" w:sz="4" w:space="0"/>
              <w:left w:val="double" w:color="000000" w:sz="4" w:space="0"/>
              <w:bottom w:val="single" w:color="000000" w:sz="4" w:space="0"/>
              <w:right w:val="single" w:color="000000" w:sz="4" w:space="0"/>
            </w:tcBorders>
            <w:shd w:val="clear" w:color="auto" w:fill="FFFFFF"/>
          </w:tcPr>
          <w:p w14:paraId="1397DA1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784" w:type="dxa"/>
            <w:tcBorders>
              <w:top w:val="single" w:color="000000" w:sz="4" w:space="0"/>
              <w:left w:val="single" w:color="000000" w:sz="4" w:space="0"/>
              <w:bottom w:val="single" w:color="000000" w:sz="4" w:space="0"/>
              <w:right w:val="single" w:color="000000" w:sz="4" w:space="0"/>
            </w:tcBorders>
            <w:shd w:val="clear" w:color="auto" w:fill="FFFFFF"/>
          </w:tcPr>
          <w:p w14:paraId="735F5DF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16" w:type="dxa"/>
            <w:tcBorders>
              <w:top w:val="single" w:color="000000" w:sz="4" w:space="0"/>
              <w:left w:val="single" w:color="000000" w:sz="4" w:space="0"/>
              <w:bottom w:val="single" w:color="000000" w:sz="4" w:space="0"/>
              <w:right w:val="single" w:color="000000" w:sz="4" w:space="0"/>
            </w:tcBorders>
            <w:shd w:val="clear" w:color="auto" w:fill="FFFFFF"/>
          </w:tcPr>
          <w:p w14:paraId="1C13922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84" w:type="dxa"/>
            <w:tcBorders>
              <w:top w:val="single" w:color="000000" w:sz="4" w:space="0"/>
              <w:left w:val="single" w:color="000000" w:sz="4" w:space="0"/>
              <w:bottom w:val="single" w:color="000000" w:sz="4" w:space="0"/>
              <w:right w:val="single" w:color="000000" w:sz="4" w:space="0"/>
            </w:tcBorders>
            <w:shd w:val="clear" w:color="auto" w:fill="FFFFFF"/>
          </w:tcPr>
          <w:p w14:paraId="14EF4A6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tcPr>
          <w:p w14:paraId="76ADF5E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tcPr>
          <w:p w14:paraId="174A918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6" w:type="dxa"/>
            <w:tcBorders>
              <w:top w:val="single" w:color="000000" w:sz="4" w:space="0"/>
              <w:left w:val="single" w:color="000000" w:sz="4" w:space="0"/>
              <w:bottom w:val="single" w:color="000000" w:sz="4" w:space="0"/>
              <w:right w:val="single" w:color="000000" w:sz="4" w:space="0"/>
            </w:tcBorders>
            <w:shd w:val="clear" w:color="auto" w:fill="FFFFFF"/>
          </w:tcPr>
          <w:p w14:paraId="55BD275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717" w:type="dxa"/>
            <w:tcBorders>
              <w:top w:val="single" w:color="000000" w:sz="4" w:space="0"/>
              <w:left w:val="single" w:color="000000" w:sz="4" w:space="0"/>
              <w:bottom w:val="single" w:color="000000" w:sz="4" w:space="0"/>
              <w:right w:val="single" w:color="000000" w:sz="4" w:space="0"/>
            </w:tcBorders>
            <w:shd w:val="clear" w:color="auto" w:fill="FFFFFF"/>
          </w:tcPr>
          <w:p w14:paraId="70BC3789">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c>
          <w:tcPr>
            <w:tcW w:w="1313" w:type="dxa"/>
            <w:tcBorders>
              <w:top w:val="single" w:color="000000" w:sz="4" w:space="0"/>
              <w:left w:val="single" w:color="000000" w:sz="4" w:space="0"/>
              <w:bottom w:val="single" w:color="000000" w:sz="4" w:space="0"/>
              <w:right w:val="double" w:color="000000" w:sz="4" w:space="0"/>
            </w:tcBorders>
            <w:shd w:val="clear" w:color="auto" w:fill="FFFFFF"/>
          </w:tcPr>
          <w:p w14:paraId="61962E8A">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val="0"/>
                <w:bCs/>
                <w:color w:val="auto"/>
                <w:kern w:val="2"/>
                <w:sz w:val="28"/>
                <w:szCs w:val="28"/>
                <w:highlight w:val="none"/>
                <w:vertAlign w:val="baseline"/>
                <w:lang w:val="en-US" w:eastAsia="zh-CN" w:bidi="ar-SA"/>
              </w:rPr>
            </w:pPr>
          </w:p>
        </w:tc>
      </w:tr>
    </w:tbl>
    <w:p w14:paraId="7304917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注：1.项目负责人必须为供应商正式员工，需提供人员身份证复印件、毕业证、职称证、资质证书和近三个月（2026年1月-3月）社保（接受总公司、分公司人员社保，不接受退休人员社保）作为证明材料。</w:t>
      </w:r>
    </w:p>
    <w:p w14:paraId="563B711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2.项目组成员必须为供应商正式员工，需提供人员身份证复印件、毕业证、职称证、资质证书（如有）和近三个月（2026年1月-3月）社保（接受总公司、分公司人员社保，不接受退休人员社保）作为证明材料。</w:t>
      </w:r>
    </w:p>
    <w:p w14:paraId="336BE698">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outlineLvl w:val="9"/>
        <w:rPr>
          <w:rFonts w:hint="default" w:ascii="宋体" w:hAnsi="宋体" w:eastAsia="宋体" w:cs="宋体"/>
          <w:color w:val="auto"/>
          <w:kern w:val="2"/>
          <w:sz w:val="24"/>
          <w:szCs w:val="24"/>
          <w:highlight w:val="none"/>
          <w:lang w:val="en-US" w:eastAsia="zh-CN" w:bidi="ar-SA"/>
        </w:rPr>
      </w:pPr>
    </w:p>
    <w:p w14:paraId="5A9A7116">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42BF715D">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法定代表人或委托代理人（签字或盖章）：</w:t>
      </w:r>
      <w:r>
        <w:rPr>
          <w:rFonts w:hint="eastAsia" w:ascii="宋体" w:hAnsi="宋体" w:eastAsia="宋体" w:cs="宋体"/>
          <w:color w:val="auto"/>
          <w:kern w:val="2"/>
          <w:sz w:val="24"/>
          <w:szCs w:val="24"/>
          <w:highlight w:val="none"/>
          <w:u w:val="single"/>
          <w:lang w:val="en-US" w:eastAsia="zh-CN" w:bidi="ar-SA"/>
        </w:rPr>
        <w:t xml:space="preserve">                     </w:t>
      </w:r>
    </w:p>
    <w:p w14:paraId="65E5B756">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3562769A">
      <w:pPr>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br w:type="page"/>
      </w:r>
    </w:p>
    <w:p w14:paraId="2C70090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2、项目业绩一览表</w:t>
      </w:r>
    </w:p>
    <w:tbl>
      <w:tblPr>
        <w:tblStyle w:val="14"/>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7874"/>
      </w:tblGrid>
      <w:tr w14:paraId="626E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2086" w:type="dxa"/>
            <w:vAlign w:val="center"/>
          </w:tcPr>
          <w:p w14:paraId="1C5C1770">
            <w:pPr>
              <w:pStyle w:val="40"/>
              <w:tabs>
                <w:tab w:val="left" w:pos="357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项目名称</w:t>
            </w:r>
          </w:p>
        </w:tc>
        <w:tc>
          <w:tcPr>
            <w:tcW w:w="7874" w:type="dxa"/>
          </w:tcPr>
          <w:p w14:paraId="33CE0451">
            <w:pPr>
              <w:pStyle w:val="40"/>
              <w:tabs>
                <w:tab w:val="left" w:pos="2265"/>
                <w:tab w:val="left" w:pos="3570"/>
              </w:tabs>
              <w:spacing w:line="360" w:lineRule="auto"/>
              <w:rPr>
                <w:rFonts w:ascii="宋体" w:hAnsi="宋体" w:cs="宋体"/>
                <w:color w:val="auto"/>
                <w:sz w:val="24"/>
                <w:szCs w:val="24"/>
                <w:highlight w:val="none"/>
              </w:rPr>
            </w:pPr>
          </w:p>
        </w:tc>
      </w:tr>
      <w:tr w14:paraId="1E84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86" w:type="dxa"/>
            <w:vAlign w:val="center"/>
          </w:tcPr>
          <w:p w14:paraId="6E6218A1">
            <w:pPr>
              <w:pStyle w:val="40"/>
              <w:tabs>
                <w:tab w:val="left" w:pos="357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项目单位名称</w:t>
            </w:r>
          </w:p>
        </w:tc>
        <w:tc>
          <w:tcPr>
            <w:tcW w:w="7874" w:type="dxa"/>
          </w:tcPr>
          <w:p w14:paraId="622F1783">
            <w:pPr>
              <w:pStyle w:val="40"/>
              <w:tabs>
                <w:tab w:val="left" w:pos="3570"/>
              </w:tabs>
              <w:spacing w:line="360" w:lineRule="auto"/>
              <w:jc w:val="center"/>
              <w:rPr>
                <w:rFonts w:ascii="宋体" w:hAnsi="宋体" w:cs="宋体"/>
                <w:color w:val="auto"/>
                <w:sz w:val="24"/>
                <w:szCs w:val="24"/>
                <w:highlight w:val="none"/>
              </w:rPr>
            </w:pPr>
          </w:p>
        </w:tc>
      </w:tr>
      <w:tr w14:paraId="0A8C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2086" w:type="dxa"/>
            <w:vAlign w:val="center"/>
          </w:tcPr>
          <w:p w14:paraId="286F6F02">
            <w:pPr>
              <w:pStyle w:val="40"/>
              <w:tabs>
                <w:tab w:val="left" w:pos="357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项目单位联系人姓名及联系方式</w:t>
            </w:r>
          </w:p>
        </w:tc>
        <w:tc>
          <w:tcPr>
            <w:tcW w:w="7874" w:type="dxa"/>
          </w:tcPr>
          <w:p w14:paraId="1168D330">
            <w:pPr>
              <w:pStyle w:val="40"/>
              <w:tabs>
                <w:tab w:val="left" w:pos="3570"/>
              </w:tabs>
              <w:spacing w:line="360" w:lineRule="auto"/>
              <w:jc w:val="center"/>
              <w:rPr>
                <w:rFonts w:ascii="宋体" w:hAnsi="宋体" w:cs="宋体"/>
                <w:color w:val="auto"/>
                <w:sz w:val="24"/>
                <w:szCs w:val="24"/>
                <w:highlight w:val="none"/>
              </w:rPr>
            </w:pPr>
          </w:p>
        </w:tc>
      </w:tr>
      <w:tr w14:paraId="2C29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086" w:type="dxa"/>
            <w:vAlign w:val="center"/>
          </w:tcPr>
          <w:p w14:paraId="625DC10D">
            <w:pPr>
              <w:pStyle w:val="40"/>
              <w:tabs>
                <w:tab w:val="left" w:pos="357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合同金额</w:t>
            </w:r>
          </w:p>
        </w:tc>
        <w:tc>
          <w:tcPr>
            <w:tcW w:w="7874" w:type="dxa"/>
          </w:tcPr>
          <w:p w14:paraId="4A003C1C">
            <w:pPr>
              <w:pStyle w:val="40"/>
              <w:tabs>
                <w:tab w:val="left" w:pos="3570"/>
              </w:tabs>
              <w:spacing w:line="360" w:lineRule="auto"/>
              <w:jc w:val="center"/>
              <w:rPr>
                <w:rFonts w:ascii="宋体" w:hAnsi="宋体" w:cs="宋体"/>
                <w:color w:val="auto"/>
                <w:sz w:val="24"/>
                <w:szCs w:val="24"/>
                <w:highlight w:val="none"/>
              </w:rPr>
            </w:pPr>
          </w:p>
        </w:tc>
      </w:tr>
      <w:tr w14:paraId="5F4A7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86" w:type="dxa"/>
            <w:vAlign w:val="center"/>
          </w:tcPr>
          <w:p w14:paraId="2AA4CFF0">
            <w:pPr>
              <w:pStyle w:val="40"/>
              <w:tabs>
                <w:tab w:val="left" w:pos="357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项目负责人姓名</w:t>
            </w:r>
          </w:p>
        </w:tc>
        <w:tc>
          <w:tcPr>
            <w:tcW w:w="7874" w:type="dxa"/>
          </w:tcPr>
          <w:p w14:paraId="12A55595">
            <w:pPr>
              <w:pStyle w:val="40"/>
              <w:tabs>
                <w:tab w:val="left" w:pos="3570"/>
              </w:tabs>
              <w:spacing w:line="360" w:lineRule="auto"/>
              <w:jc w:val="center"/>
              <w:rPr>
                <w:rFonts w:ascii="宋体" w:hAnsi="宋体" w:cs="宋体"/>
                <w:color w:val="auto"/>
                <w:sz w:val="24"/>
                <w:szCs w:val="24"/>
                <w:highlight w:val="none"/>
              </w:rPr>
            </w:pPr>
          </w:p>
        </w:tc>
      </w:tr>
      <w:tr w14:paraId="657F2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086" w:type="dxa"/>
            <w:vAlign w:val="center"/>
          </w:tcPr>
          <w:p w14:paraId="0813D7D6">
            <w:pPr>
              <w:pStyle w:val="40"/>
              <w:tabs>
                <w:tab w:val="left" w:pos="357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项目实施时间</w:t>
            </w:r>
          </w:p>
        </w:tc>
        <w:tc>
          <w:tcPr>
            <w:tcW w:w="7874" w:type="dxa"/>
          </w:tcPr>
          <w:p w14:paraId="35F9BDE3">
            <w:pPr>
              <w:pStyle w:val="40"/>
              <w:tabs>
                <w:tab w:val="left" w:pos="3570"/>
              </w:tabs>
              <w:spacing w:line="360" w:lineRule="auto"/>
              <w:jc w:val="center"/>
              <w:rPr>
                <w:rFonts w:ascii="宋体" w:hAnsi="宋体" w:cs="宋体"/>
                <w:color w:val="auto"/>
                <w:sz w:val="24"/>
                <w:szCs w:val="24"/>
                <w:highlight w:val="none"/>
              </w:rPr>
            </w:pPr>
          </w:p>
        </w:tc>
      </w:tr>
      <w:tr w14:paraId="36C42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2086" w:type="dxa"/>
            <w:vAlign w:val="center"/>
          </w:tcPr>
          <w:p w14:paraId="2CB2024F">
            <w:pPr>
              <w:pStyle w:val="40"/>
              <w:tabs>
                <w:tab w:val="left" w:pos="3570"/>
              </w:tabs>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项目内容说明</w:t>
            </w:r>
          </w:p>
        </w:tc>
        <w:tc>
          <w:tcPr>
            <w:tcW w:w="7874" w:type="dxa"/>
          </w:tcPr>
          <w:p w14:paraId="36BF0FFC">
            <w:pPr>
              <w:pStyle w:val="40"/>
              <w:tabs>
                <w:tab w:val="left" w:pos="3570"/>
              </w:tabs>
              <w:spacing w:line="360" w:lineRule="auto"/>
              <w:jc w:val="center"/>
              <w:rPr>
                <w:rFonts w:ascii="宋体" w:hAnsi="宋体" w:cs="宋体"/>
                <w:color w:val="auto"/>
                <w:sz w:val="24"/>
                <w:szCs w:val="24"/>
                <w:highlight w:val="none"/>
              </w:rPr>
            </w:pPr>
          </w:p>
        </w:tc>
      </w:tr>
    </w:tbl>
    <w:p w14:paraId="2AFCFFF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9"/>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说明：1．每个合同须单独附表，并附上相关证明材料，否则专家在评审时将不予采信；</w:t>
      </w:r>
    </w:p>
    <w:p w14:paraId="20F8D561">
      <w:pPr>
        <w:rPr>
          <w:rFonts w:hint="default"/>
          <w:color w:val="auto"/>
          <w:highlight w:val="none"/>
          <w:lang w:val="en-US" w:eastAsia="zh-CN"/>
        </w:rPr>
      </w:pPr>
    </w:p>
    <w:p w14:paraId="34A771B4">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615CA840">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法定代表人或委托代理人（签字或盖章）：</w:t>
      </w:r>
      <w:r>
        <w:rPr>
          <w:rFonts w:hint="eastAsia" w:ascii="宋体" w:hAnsi="宋体" w:eastAsia="宋体" w:cs="宋体"/>
          <w:color w:val="auto"/>
          <w:kern w:val="2"/>
          <w:sz w:val="24"/>
          <w:szCs w:val="24"/>
          <w:highlight w:val="none"/>
          <w:u w:val="single"/>
          <w:lang w:val="en-US" w:eastAsia="zh-CN" w:bidi="ar-SA"/>
        </w:rPr>
        <w:t xml:space="preserve">                     </w:t>
      </w:r>
    </w:p>
    <w:p w14:paraId="3A533D52">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734CBF98">
      <w:pPr>
        <w:rPr>
          <w:rFonts w:hint="default"/>
          <w:color w:val="auto"/>
          <w:highlight w:val="none"/>
          <w:lang w:val="en-US" w:eastAsia="zh-CN"/>
        </w:rPr>
      </w:pPr>
      <w:r>
        <w:rPr>
          <w:rFonts w:hint="default"/>
          <w:color w:val="auto"/>
          <w:highlight w:val="none"/>
          <w:lang w:val="en-US" w:eastAsia="zh-CN"/>
        </w:rPr>
        <w:br w:type="page"/>
      </w:r>
    </w:p>
    <w:p w14:paraId="336A0E8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outlineLvl w:val="2"/>
        <w:rPr>
          <w:rFonts w:hint="default"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3、人工智能、大数据等能力</w:t>
      </w:r>
    </w:p>
    <w:p w14:paraId="1D5DB774">
      <w:pPr>
        <w:rPr>
          <w:rFonts w:hint="default"/>
          <w:color w:val="auto"/>
          <w:highlight w:val="none"/>
          <w:lang w:val="en-US" w:eastAsia="zh-CN"/>
        </w:rPr>
      </w:pPr>
      <w:r>
        <w:rPr>
          <w:rFonts w:hint="eastAsia"/>
          <w:color w:val="auto"/>
          <w:highlight w:val="none"/>
          <w:lang w:val="en-US" w:eastAsia="zh-CN"/>
        </w:rPr>
        <w:t>（格式自拟）</w:t>
      </w:r>
    </w:p>
    <w:p w14:paraId="7C5CD7A9">
      <w:pPr>
        <w:rPr>
          <w:rFonts w:hint="default"/>
          <w:color w:val="auto"/>
          <w:highlight w:val="none"/>
          <w:lang w:val="en-US" w:eastAsia="zh-CN"/>
        </w:rPr>
      </w:pPr>
      <w:r>
        <w:rPr>
          <w:rFonts w:hint="default"/>
          <w:color w:val="auto"/>
          <w:highlight w:val="none"/>
          <w:lang w:val="en-US" w:eastAsia="zh-CN"/>
        </w:rPr>
        <w:br w:type="page"/>
      </w:r>
    </w:p>
    <w:p w14:paraId="009F5850">
      <w:pPr>
        <w:keepNext w:val="0"/>
        <w:keepLines w:val="0"/>
        <w:widowControl/>
        <w:suppressLineNumbers w:val="0"/>
        <w:jc w:val="center"/>
        <w:outlineLvl w:val="1"/>
        <w:rPr>
          <w:rFonts w:hint="eastAsia" w:ascii="宋体" w:hAnsi="宋体" w:eastAsia="宋体" w:cs="宋体"/>
          <w:b/>
          <w:bCs/>
          <w:color w:val="auto"/>
          <w:kern w:val="2"/>
          <w:sz w:val="32"/>
          <w:szCs w:val="32"/>
          <w:highlight w:val="none"/>
          <w:lang w:val="en-US" w:eastAsia="zh-CN" w:bidi="ar-SA"/>
        </w:rPr>
      </w:pPr>
      <w:bookmarkStart w:id="36" w:name="_Toc16756"/>
      <w:r>
        <w:rPr>
          <w:rFonts w:hint="eastAsia" w:ascii="宋体" w:hAnsi="宋体" w:eastAsia="宋体" w:cs="宋体"/>
          <w:b/>
          <w:bCs/>
          <w:color w:val="auto"/>
          <w:kern w:val="2"/>
          <w:sz w:val="32"/>
          <w:szCs w:val="32"/>
          <w:highlight w:val="none"/>
          <w:lang w:val="en-US" w:eastAsia="zh-CN" w:bidi="ar-SA"/>
        </w:rPr>
        <w:t>三、评审标准相应的技术资料（格式自拟）</w:t>
      </w:r>
      <w:bookmarkEnd w:id="36"/>
    </w:p>
    <w:p w14:paraId="684767C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1、服务实施方案</w:t>
      </w:r>
    </w:p>
    <w:p w14:paraId="0953DF0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2、服务承诺措施</w:t>
      </w:r>
    </w:p>
    <w:p w14:paraId="3E5D412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3、三级复核机制</w:t>
      </w:r>
    </w:p>
    <w:p w14:paraId="36FBB03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2"/>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4、成果管理及保密措施</w:t>
      </w:r>
    </w:p>
    <w:p w14:paraId="1F39D63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9"/>
        <w:rPr>
          <w:rFonts w:hint="eastAsia" w:ascii="宋体" w:hAnsi="宋体" w:eastAsia="宋体" w:cs="宋体"/>
          <w:b/>
          <w:bCs/>
          <w:color w:val="auto"/>
          <w:kern w:val="2"/>
          <w:sz w:val="28"/>
          <w:szCs w:val="28"/>
          <w:highlight w:val="none"/>
          <w:lang w:val="en-US" w:eastAsia="zh-CN" w:bidi="ar-SA"/>
        </w:rPr>
      </w:pPr>
    </w:p>
    <w:p w14:paraId="3B82926C">
      <w:pPr>
        <w:rPr>
          <w:rFonts w:hint="eastAsia" w:ascii="宋体" w:hAnsi="宋体" w:eastAsia="宋体" w:cs="宋体"/>
          <w:b/>
          <w:bCs/>
          <w:color w:val="auto"/>
          <w:kern w:val="2"/>
          <w:sz w:val="28"/>
          <w:szCs w:val="28"/>
          <w:highlight w:val="none"/>
          <w:lang w:val="en-US" w:eastAsia="zh-CN" w:bidi="ar-SA"/>
        </w:rPr>
        <w:sectPr>
          <w:footerReference r:id="rId3" w:type="default"/>
          <w:pgSz w:w="11906" w:h="16838"/>
          <w:pgMar w:top="1440" w:right="1080" w:bottom="1440" w:left="1080" w:header="851" w:footer="992" w:gutter="0"/>
          <w:pgNumType w:fmt="decimal" w:start="1"/>
          <w:cols w:space="425" w:num="1"/>
          <w:docGrid w:type="lines" w:linePitch="312" w:charSpace="0"/>
        </w:sectPr>
      </w:pPr>
    </w:p>
    <w:p w14:paraId="0F9F0921">
      <w:pPr>
        <w:keepNext w:val="0"/>
        <w:keepLines w:val="0"/>
        <w:widowControl/>
        <w:suppressLineNumbers w:val="0"/>
        <w:jc w:val="center"/>
        <w:outlineLvl w:val="1"/>
        <w:rPr>
          <w:rFonts w:hint="eastAsia" w:ascii="宋体" w:hAnsi="宋体" w:eastAsia="宋体" w:cs="宋体"/>
          <w:b/>
          <w:bCs/>
          <w:color w:val="auto"/>
          <w:kern w:val="2"/>
          <w:sz w:val="32"/>
          <w:szCs w:val="32"/>
          <w:highlight w:val="none"/>
          <w:lang w:val="en-US" w:eastAsia="zh-CN" w:bidi="ar-SA"/>
        </w:rPr>
      </w:pPr>
      <w:bookmarkStart w:id="37" w:name="_Toc19035"/>
      <w:r>
        <w:rPr>
          <w:rFonts w:hint="eastAsia" w:ascii="宋体" w:hAnsi="宋体" w:eastAsia="宋体" w:cs="宋体"/>
          <w:b/>
          <w:bCs/>
          <w:color w:val="auto"/>
          <w:kern w:val="2"/>
          <w:sz w:val="32"/>
          <w:szCs w:val="32"/>
          <w:highlight w:val="none"/>
          <w:lang w:val="en-US" w:eastAsia="zh-CN" w:bidi="ar-SA"/>
        </w:rPr>
        <w:t>四、商务技术偏离表</w:t>
      </w:r>
      <w:bookmarkEnd w:id="37"/>
    </w:p>
    <w:tbl>
      <w:tblPr>
        <w:tblStyle w:val="15"/>
        <w:tblW w:w="14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0771"/>
        <w:gridCol w:w="1349"/>
        <w:gridCol w:w="1080"/>
      </w:tblGrid>
      <w:tr w14:paraId="27450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6BBDB4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序号</w:t>
            </w:r>
          </w:p>
        </w:tc>
        <w:tc>
          <w:tcPr>
            <w:tcW w:w="10771" w:type="dxa"/>
            <w:vAlign w:val="center"/>
          </w:tcPr>
          <w:p w14:paraId="1A1947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竞争性磋商文件要求</w:t>
            </w:r>
          </w:p>
        </w:tc>
        <w:tc>
          <w:tcPr>
            <w:tcW w:w="1349" w:type="dxa"/>
            <w:vAlign w:val="center"/>
          </w:tcPr>
          <w:p w14:paraId="21EC30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lang w:val="en-US" w:eastAsia="zh-CN" w:bidi="ar"/>
              </w:rPr>
              <w:t>供应商承诺</w:t>
            </w:r>
          </w:p>
        </w:tc>
        <w:tc>
          <w:tcPr>
            <w:tcW w:w="1080" w:type="dxa"/>
            <w:vAlign w:val="center"/>
          </w:tcPr>
          <w:p w14:paraId="785C37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lang w:val="en-US" w:eastAsia="zh-CN" w:bidi="ar"/>
              </w:rPr>
              <w:t>偏离情况</w:t>
            </w:r>
          </w:p>
        </w:tc>
      </w:tr>
      <w:tr w14:paraId="4FFD8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29B902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w:t>
            </w:r>
          </w:p>
        </w:tc>
        <w:tc>
          <w:tcPr>
            <w:tcW w:w="10771" w:type="dxa"/>
            <w:vAlign w:val="center"/>
          </w:tcPr>
          <w:p w14:paraId="1311B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lang w:val="en-US" w:eastAsia="zh-CN"/>
              </w:rPr>
              <w:t>▲付款方式：完成项目入库评审30日内支付70%进度款，完成绩效监控复核和绩效自评复核，经验收合格后30日内支付30%尾款。</w:t>
            </w:r>
          </w:p>
        </w:tc>
        <w:tc>
          <w:tcPr>
            <w:tcW w:w="1349" w:type="dxa"/>
            <w:vAlign w:val="center"/>
          </w:tcPr>
          <w:p w14:paraId="7B848BD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3669A8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1169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353808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2</w:t>
            </w:r>
          </w:p>
        </w:tc>
        <w:tc>
          <w:tcPr>
            <w:tcW w:w="10771" w:type="dxa"/>
            <w:vAlign w:val="center"/>
          </w:tcPr>
          <w:p w14:paraId="5D7923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lang w:val="en-US" w:eastAsia="zh-CN"/>
              </w:rPr>
              <w:t>▲合同履约期限（</w:t>
            </w:r>
            <w:r>
              <w:rPr>
                <w:rFonts w:hint="default" w:ascii="宋体" w:hAnsi="宋体" w:eastAsia="宋体" w:cs="宋体"/>
                <w:b w:val="0"/>
                <w:bCs w:val="0"/>
                <w:color w:val="auto"/>
                <w:sz w:val="24"/>
                <w:szCs w:val="24"/>
                <w:highlight w:val="none"/>
                <w:lang w:val="en-US" w:eastAsia="zh-CN"/>
              </w:rPr>
              <w:t>项目交付时间</w:t>
            </w:r>
            <w:r>
              <w:rPr>
                <w:rFonts w:hint="eastAsia" w:ascii="宋体" w:hAnsi="宋体" w:eastAsia="宋体" w:cs="宋体"/>
                <w:b w:val="0"/>
                <w:bCs w:val="0"/>
                <w:color w:val="auto"/>
                <w:sz w:val="24"/>
                <w:szCs w:val="24"/>
                <w:highlight w:val="none"/>
                <w:lang w:val="en-US" w:eastAsia="zh-CN"/>
              </w:rPr>
              <w:t>）：自合同签订之日起1年。</w:t>
            </w:r>
          </w:p>
        </w:tc>
        <w:tc>
          <w:tcPr>
            <w:tcW w:w="1349" w:type="dxa"/>
            <w:vAlign w:val="center"/>
          </w:tcPr>
          <w:p w14:paraId="0FFF90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344AFD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41EC4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51B01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3</w:t>
            </w:r>
          </w:p>
        </w:tc>
        <w:tc>
          <w:tcPr>
            <w:tcW w:w="10771" w:type="dxa"/>
            <w:vAlign w:val="center"/>
          </w:tcPr>
          <w:p w14:paraId="6E2BA74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sz w:val="24"/>
                <w:szCs w:val="24"/>
                <w:highlight w:val="none"/>
                <w:lang w:val="en-US" w:eastAsia="zh-CN"/>
              </w:rPr>
              <w:t>合同履行地点：乌鲁木齐市团结路1551号新疆出入境边防检查总站。</w:t>
            </w:r>
          </w:p>
        </w:tc>
        <w:tc>
          <w:tcPr>
            <w:tcW w:w="1349" w:type="dxa"/>
            <w:vAlign w:val="center"/>
          </w:tcPr>
          <w:p w14:paraId="31732F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700106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3278A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19D9CA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4</w:t>
            </w:r>
          </w:p>
        </w:tc>
        <w:tc>
          <w:tcPr>
            <w:tcW w:w="10771" w:type="dxa"/>
            <w:vAlign w:val="center"/>
          </w:tcPr>
          <w:p w14:paraId="6CF1F2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sz w:val="24"/>
                <w:szCs w:val="24"/>
                <w:highlight w:val="none"/>
                <w:lang w:val="en-US" w:eastAsia="zh-CN"/>
              </w:rPr>
              <w:t>服务期限：服务期为3年，合同一年一签，采购人对乙方的工作情况及工作质量随时进行检查，并在每一年度合同执行末期对乙方全年工作情况考核评价，并根据乙方的审计工作质量情况决定是否续签合同。</w:t>
            </w:r>
          </w:p>
        </w:tc>
        <w:tc>
          <w:tcPr>
            <w:tcW w:w="1349" w:type="dxa"/>
            <w:vAlign w:val="center"/>
          </w:tcPr>
          <w:p w14:paraId="363066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4742A5E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02B99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2D2FFC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5</w:t>
            </w:r>
          </w:p>
        </w:tc>
        <w:tc>
          <w:tcPr>
            <w:tcW w:w="10771" w:type="dxa"/>
            <w:vAlign w:val="center"/>
          </w:tcPr>
          <w:p w14:paraId="04C43F9E">
            <w:pPr>
              <w:pStyle w:val="18"/>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履约保证金：本项目不收取履约保证金。</w:t>
            </w:r>
          </w:p>
        </w:tc>
        <w:tc>
          <w:tcPr>
            <w:tcW w:w="1349" w:type="dxa"/>
            <w:vAlign w:val="center"/>
          </w:tcPr>
          <w:p w14:paraId="328FF8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5C4EFE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716F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35B34C8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6</w:t>
            </w:r>
          </w:p>
        </w:tc>
        <w:tc>
          <w:tcPr>
            <w:tcW w:w="10771" w:type="dxa"/>
            <w:vAlign w:val="center"/>
          </w:tcPr>
          <w:p w14:paraId="21641230">
            <w:pPr>
              <w:pStyle w:val="18"/>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▲报价组成：有关本项目实施所需的所有费用（含税费）等均计入最后报价。</w:t>
            </w:r>
          </w:p>
        </w:tc>
        <w:tc>
          <w:tcPr>
            <w:tcW w:w="1349" w:type="dxa"/>
            <w:vAlign w:val="center"/>
          </w:tcPr>
          <w:p w14:paraId="26F2AD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35EDE4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49F1D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603018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7</w:t>
            </w:r>
          </w:p>
        </w:tc>
        <w:tc>
          <w:tcPr>
            <w:tcW w:w="10771" w:type="dxa"/>
            <w:vAlign w:val="center"/>
          </w:tcPr>
          <w:p w14:paraId="3B72CB1A">
            <w:pPr>
              <w:pStyle w:val="18"/>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▲最高限价：430000.00元/年（肆拾叁万元整）</w:t>
            </w:r>
          </w:p>
        </w:tc>
        <w:tc>
          <w:tcPr>
            <w:tcW w:w="1349" w:type="dxa"/>
            <w:vAlign w:val="center"/>
          </w:tcPr>
          <w:p w14:paraId="119F81A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514F91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2EF7C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3CCE53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8</w:t>
            </w:r>
          </w:p>
        </w:tc>
        <w:tc>
          <w:tcPr>
            <w:tcW w:w="10771" w:type="dxa"/>
            <w:vAlign w:val="center"/>
          </w:tcPr>
          <w:p w14:paraId="749C7C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1、项目概况</w:t>
            </w:r>
          </w:p>
          <w:p w14:paraId="52EC65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通过采购全过程预算绩效管理服务，开展绩效自评复核、绩效监控复核、项目入库评审、其他咨询工作，落实新疆边检总站全面预算绩效管理工作，提高财政资金使用效益。</w:t>
            </w:r>
          </w:p>
        </w:tc>
        <w:tc>
          <w:tcPr>
            <w:tcW w:w="1349" w:type="dxa"/>
            <w:vAlign w:val="center"/>
          </w:tcPr>
          <w:p w14:paraId="532160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45A510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333F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6A584FF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9</w:t>
            </w:r>
          </w:p>
        </w:tc>
        <w:tc>
          <w:tcPr>
            <w:tcW w:w="10771" w:type="dxa"/>
            <w:vAlign w:val="center"/>
          </w:tcPr>
          <w:p w14:paraId="44BCB5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2、采购标的需实现的功能或者目标</w:t>
            </w:r>
          </w:p>
          <w:p w14:paraId="3F68BC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w:t>
            </w:r>
            <w:r>
              <w:rPr>
                <w:rFonts w:hint="default" w:ascii="宋体" w:hAnsi="宋体" w:eastAsia="宋体" w:cs="宋体"/>
                <w:b w:val="0"/>
                <w:bCs w:val="0"/>
                <w:color w:val="auto"/>
                <w:kern w:val="2"/>
                <w:sz w:val="24"/>
                <w:szCs w:val="24"/>
                <w:highlight w:val="none"/>
                <w:lang w:val="en-US" w:eastAsia="zh-CN" w:bidi="ar-SA"/>
              </w:rPr>
              <w:t>采购标的需实现的功能</w:t>
            </w:r>
          </w:p>
          <w:p w14:paraId="1D17850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 xml:space="preserve">为全面提高总站预算绩效管理水平，建立从绩效指标管理、绩效监控管理、绩效自评管理、结果应用管理等环节的预算绩效“全过程”管理体系。 </w:t>
            </w:r>
          </w:p>
          <w:p w14:paraId="6888E9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w:t>
            </w:r>
            <w:r>
              <w:rPr>
                <w:rFonts w:hint="default" w:ascii="宋体" w:hAnsi="宋体" w:eastAsia="宋体" w:cs="宋体"/>
                <w:b w:val="0"/>
                <w:bCs w:val="0"/>
                <w:color w:val="auto"/>
                <w:kern w:val="2"/>
                <w:sz w:val="24"/>
                <w:szCs w:val="24"/>
                <w:highlight w:val="none"/>
                <w:lang w:val="en-US" w:eastAsia="zh-CN" w:bidi="ar-SA"/>
              </w:rPr>
              <w:t>采购标的需实现的目标</w:t>
            </w:r>
          </w:p>
          <w:p w14:paraId="2298E6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kern w:val="2"/>
                <w:sz w:val="24"/>
                <w:szCs w:val="24"/>
                <w:highlight w:val="none"/>
                <w:lang w:val="en-US" w:eastAsia="zh-CN" w:bidi="ar-SA"/>
              </w:rPr>
              <w:t>为落实全面预算绩效管理工作，提高财政资金使用效益，总站计划开展年度全过程预算绩效管理工作，主要包括</w:t>
            </w:r>
            <w:r>
              <w:rPr>
                <w:rFonts w:hint="eastAsia" w:ascii="宋体" w:hAnsi="宋体" w:eastAsia="宋体" w:cs="宋体"/>
                <w:color w:val="auto"/>
                <w:kern w:val="0"/>
                <w:sz w:val="24"/>
                <w:szCs w:val="24"/>
                <w:highlight w:val="none"/>
                <w:shd w:val="clear" w:color="auto" w:fill="auto"/>
                <w:lang w:val="en-US" w:eastAsia="zh-CN" w:bidi="ar-SA"/>
              </w:rPr>
              <w:t>项目入库评审、绩效监控复核、绩效自评复核等</w:t>
            </w:r>
            <w:r>
              <w:rPr>
                <w:rFonts w:hint="default" w:ascii="宋体" w:hAnsi="宋体" w:eastAsia="宋体" w:cs="宋体"/>
                <w:b w:val="0"/>
                <w:bCs w:val="0"/>
                <w:color w:val="auto"/>
                <w:kern w:val="2"/>
                <w:sz w:val="24"/>
                <w:szCs w:val="24"/>
                <w:highlight w:val="none"/>
                <w:lang w:val="en-US" w:eastAsia="zh-CN" w:bidi="ar-SA"/>
              </w:rPr>
              <w:t>。</w:t>
            </w:r>
          </w:p>
        </w:tc>
        <w:tc>
          <w:tcPr>
            <w:tcW w:w="1349" w:type="dxa"/>
            <w:vAlign w:val="center"/>
          </w:tcPr>
          <w:p w14:paraId="314D18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7C95ED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0F53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251E4A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10</w:t>
            </w:r>
          </w:p>
        </w:tc>
        <w:tc>
          <w:tcPr>
            <w:tcW w:w="10771" w:type="dxa"/>
            <w:vAlign w:val="center"/>
          </w:tcPr>
          <w:p w14:paraId="71D63933">
            <w:pPr>
              <w:pStyle w:val="18"/>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2"/>
                <w:sz w:val="24"/>
                <w:szCs w:val="24"/>
                <w:highlight w:val="none"/>
                <w:lang w:val="en-US" w:eastAsia="zh-CN" w:bidi="ar-SA"/>
              </w:rPr>
              <w:t>项目进度安排</w:t>
            </w:r>
          </w:p>
          <w:p w14:paraId="3F9F54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（1）项目入库评审：2026年5月31日前完成预算评审、绩效目标审核等工作，并提交相关成果报告（具体完成时间按照财政部要求相应调整）。</w:t>
            </w:r>
          </w:p>
          <w:p w14:paraId="7267EC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（2）绩效监控复核：2026年8月31日前完成绩效监控复核工作，并提交相关成果资料（具体完成时间按照财政部要求相应调整）。</w:t>
            </w:r>
          </w:p>
          <w:p w14:paraId="22650C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（3）绩效自评复核。2027年3月31日前完成自评资料复核工作，并提交相关成果报告（具体完成时间按照财政部要求相应调整）。</w:t>
            </w:r>
          </w:p>
          <w:p w14:paraId="37E015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default" w:ascii="宋体" w:hAnsi="宋体" w:eastAsia="宋体" w:cs="宋体"/>
                <w:b w:val="0"/>
                <w:bCs w:val="0"/>
                <w:color w:val="auto"/>
                <w:kern w:val="2"/>
                <w:sz w:val="24"/>
                <w:szCs w:val="24"/>
                <w:highlight w:val="none"/>
                <w:lang w:val="en-US" w:eastAsia="zh-CN" w:bidi="ar-SA"/>
              </w:rPr>
              <w:t>（4）其他咨询工作：结合我总站预算绩效管理实际需求，提供AI在预算编报审核、绩效管理及其他相关功能支持提供至合同履行结束</w:t>
            </w:r>
            <w:r>
              <w:rPr>
                <w:rFonts w:hint="eastAsia" w:ascii="宋体" w:hAnsi="宋体" w:eastAsia="宋体" w:cs="宋体"/>
                <w:b w:val="0"/>
                <w:bCs w:val="0"/>
                <w:color w:val="auto"/>
                <w:kern w:val="2"/>
                <w:sz w:val="24"/>
                <w:szCs w:val="24"/>
                <w:highlight w:val="none"/>
                <w:lang w:val="en-US" w:eastAsia="zh-CN" w:bidi="ar-SA"/>
              </w:rPr>
              <w:t>。</w:t>
            </w:r>
          </w:p>
        </w:tc>
        <w:tc>
          <w:tcPr>
            <w:tcW w:w="1349" w:type="dxa"/>
            <w:vAlign w:val="center"/>
          </w:tcPr>
          <w:p w14:paraId="3F2BB63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235709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483E5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615D07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11</w:t>
            </w:r>
          </w:p>
        </w:tc>
        <w:tc>
          <w:tcPr>
            <w:tcW w:w="10771" w:type="dxa"/>
            <w:vAlign w:val="center"/>
          </w:tcPr>
          <w:p w14:paraId="1BABA071">
            <w:pPr>
              <w:pStyle w:val="18"/>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val="0"/>
                <w:bCs w:val="0"/>
                <w:color w:val="auto"/>
                <w:kern w:val="2"/>
                <w:sz w:val="24"/>
                <w:szCs w:val="24"/>
                <w:highlight w:val="none"/>
                <w:lang w:val="en-US" w:eastAsia="zh-CN" w:bidi="ar-SA"/>
              </w:rPr>
              <w:t>服务内容</w:t>
            </w:r>
          </w:p>
          <w:p w14:paraId="587F08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项目入库评审。按照《关于印发&lt;国家移民管理机构预算项目储备管理办法（试行）&gt;的通知》（国移民后〔2021〕252号）等文件要求，指派不少于3名行业专家（具有相关行业高级或相当职称）、1名预算绩效管理专家（具有相关行业中级或相当职称）、1名财务领域专家（具有相关行业中级或相当职称）对总站所有申报入库的三级项目，在总站机关（乌鲁木齐市团结路1535号）开展现场评审工作（评审期间食宿自理），项目评审工作执行专家专业对口硬性要求，评审专家的专业领域必须与评审项目类型完全匹配，如信息化项目评审，评审组必须包含至少3名信息化专业高级评审专家；基建类项目评审，评审专家必须为基建类对应专业的评审专家，评审过后出具实质性审查报告，形成专项档案。评审工作量按照往年申报的项目数量测算，预计涉及三级项目440余个、资金规模约8亿元。</w:t>
            </w:r>
          </w:p>
          <w:p w14:paraId="369877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绩效监控复核。结合财政部《中央部门预算绩效运行监控管理暂行办法》（财预〔2019〕136号）要求，对总站本级和所属站级单位绩效监控工作开展复核检查，出具工作总结，形成专项工作档案。复核工作量按照往年项目测算，预计涉及二级项目230余个、资金规模约9亿元。</w:t>
            </w:r>
          </w:p>
          <w:p w14:paraId="2F8F4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（3）绩效自评复核。根据《中共中央 国务院关于全面实施预算绩效管理的意见》（中发〔2018〕34号）、《关于贯彻落实&lt;中共中央国务院关于全面实施预算绩效管理的意见&gt;的通知》（财预〔2018〕167号）等政策文件要求，对总站本级和所属单位绩效自评工作开展复核检查，出具总站本级和总站整体绩效自评报告，形成专项工作档案。复核工作量按照往年项目测算，预计涉及二级项目230余个、资金规模约9亿元。</w:t>
            </w:r>
          </w:p>
          <w:p w14:paraId="1B0AAF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（4）结合我总站预算绩效管理实际需求，提供AI在预算编报审核、绩效管理及其他相关功能支持，提供至合同履行结束。</w:t>
            </w:r>
          </w:p>
          <w:p w14:paraId="4E57C8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bidi="ar-SA"/>
              </w:rPr>
              <w:t>（5）人工智能、大数据、AI服务能力：供应商积极使用人工智能、大数据、AI辅助服务在项目评审关键环节，如：能够对项目文本开展规范性审核、对项目预算如设备等价格开展审核，提高工作效率和工作质量供应商能够在预算、绩效等方面为甲方提供人工智能、大数据、AI辅助服务咨询、培训等内容。供应商对项目实施中涉及的相关数据、资料文档等具有保密的义务，并按照相应保密规定执行。本项目所形成的数据成果归采购人所有。未经采购人同意，供应商不得以商业目的使用该资料或者开发和生产其他产品。</w:t>
            </w:r>
          </w:p>
        </w:tc>
        <w:tc>
          <w:tcPr>
            <w:tcW w:w="1349" w:type="dxa"/>
            <w:vAlign w:val="center"/>
          </w:tcPr>
          <w:p w14:paraId="4C3BC4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5C3E71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19BE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3F13B7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12</w:t>
            </w:r>
          </w:p>
        </w:tc>
        <w:tc>
          <w:tcPr>
            <w:tcW w:w="10771" w:type="dxa"/>
            <w:vAlign w:val="center"/>
          </w:tcPr>
          <w:p w14:paraId="1FAE272B">
            <w:pPr>
              <w:pStyle w:val="18"/>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b w:val="0"/>
                <w:bCs w:val="0"/>
                <w:color w:val="auto"/>
                <w:kern w:val="2"/>
                <w:sz w:val="24"/>
                <w:szCs w:val="24"/>
                <w:highlight w:val="none"/>
                <w:lang w:val="en-US" w:eastAsia="zh-CN" w:bidi="ar-SA"/>
              </w:rPr>
              <w:t>服务要求</w:t>
            </w:r>
          </w:p>
          <w:p w14:paraId="54C93B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应遵照有关法律法规秉公考核，坚持原则，严格按照程序工作，确保绩效工作依据充分、评价结果公正准确，对工作情况的真实性、准确性负责。严禁弄虚作假、徇私舞弊，对违背规定造成工作结果严重失真、失实的，新疆总站有权追究供应商的责任。</w:t>
            </w:r>
          </w:p>
          <w:p w14:paraId="5F621F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供应商派出的项目工作人员应遵守职业道德规范，具备完成绩效评价项目的专业胜任能力，具有从事同类绩效评价项目的工作经验。项目工作人员不能胜任工作的或与被评价单位存在利益关系的，新疆总站有权要求供应商调换工作人员。</w:t>
            </w:r>
          </w:p>
          <w:p w14:paraId="28A7F6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（1）供应商应保证项目组稳定性，原则上不得更换项目经理。如有特殊原因确需更换，必须书面写明更换理由，报新疆总站同意。</w:t>
            </w:r>
          </w:p>
          <w:p w14:paraId="52AB1A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（3）供应商派出的项目组必须服从项目工作安排，按时按质完成任务。为了保证绩效评价工作总体进度，项目组在绩效评价工作过程中遇到的重大问题，应及时将问题反馈报告新疆总站。</w:t>
            </w:r>
          </w:p>
          <w:p w14:paraId="5DF1BC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（4）项目工作人员不得向被评价单位收取或变相收取任何费用。</w:t>
            </w:r>
          </w:p>
          <w:p w14:paraId="450D310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（5）工作人员违反有关法律、法规或新疆总站制定的工作纪律或被有效投诉的，总站除相应扣减要支付给供应商的费用外，情节严重的可解除与供应商的服务协议。</w:t>
            </w:r>
          </w:p>
          <w:p w14:paraId="75A893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（6）供应商需及时跟进中央、财政部、国家移民管理局等关于预算绩效管理的要求，结合我总站预算绩效管理实际需求，提供其他预算绩效管理咨询服务。</w:t>
            </w:r>
          </w:p>
          <w:p w14:paraId="03FE58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（7）供应商须提供能满足工作要求的团队配备，其中项目负责人须具有经济或管理类相关专业的高级职称（含正高、副高），项目经理须具有中级职称，项目助理须具有全日制本科及以上学历。</w:t>
            </w:r>
          </w:p>
        </w:tc>
        <w:tc>
          <w:tcPr>
            <w:tcW w:w="1349" w:type="dxa"/>
            <w:vAlign w:val="center"/>
          </w:tcPr>
          <w:p w14:paraId="2E3C11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77A389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10D1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322673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13</w:t>
            </w:r>
          </w:p>
        </w:tc>
        <w:tc>
          <w:tcPr>
            <w:tcW w:w="10771" w:type="dxa"/>
            <w:vAlign w:val="center"/>
          </w:tcPr>
          <w:p w14:paraId="700E43BD">
            <w:pPr>
              <w:pStyle w:val="18"/>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0"/>
                <w:sz w:val="24"/>
                <w:szCs w:val="24"/>
                <w:highlight w:val="none"/>
                <w:lang w:val="en-US" w:eastAsia="zh-CN" w:bidi="ar"/>
              </w:rPr>
              <w:t>▲</w:t>
            </w:r>
            <w:r>
              <w:rPr>
                <w:rFonts w:hint="default" w:ascii="宋体" w:hAnsi="宋体" w:eastAsia="宋体" w:cs="宋体"/>
                <w:b w:val="0"/>
                <w:bCs w:val="0"/>
                <w:color w:val="auto"/>
                <w:kern w:val="2"/>
                <w:sz w:val="24"/>
                <w:szCs w:val="24"/>
                <w:highlight w:val="none"/>
                <w:lang w:val="en-US" w:eastAsia="zh-CN" w:bidi="ar-SA"/>
              </w:rPr>
              <w:t>售后服务标准要求</w:t>
            </w:r>
          </w:p>
          <w:p w14:paraId="1E7FA0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提交相应成果文件需符合财政部、国家移民管理局年度预算绩效管理相关要求，并经总站验收小组审议通过如审议不通过，需按照要求整改，7日内整改完毕，10日内重新出具成果文件。</w:t>
            </w:r>
          </w:p>
        </w:tc>
        <w:tc>
          <w:tcPr>
            <w:tcW w:w="1349" w:type="dxa"/>
            <w:vAlign w:val="center"/>
          </w:tcPr>
          <w:p w14:paraId="3B7480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7CAAB4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6E8B2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3A70A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14</w:t>
            </w:r>
          </w:p>
        </w:tc>
        <w:tc>
          <w:tcPr>
            <w:tcW w:w="10771" w:type="dxa"/>
            <w:vAlign w:val="center"/>
          </w:tcPr>
          <w:p w14:paraId="6208DABC">
            <w:pPr>
              <w:pStyle w:val="18"/>
              <w:keepNext w:val="0"/>
              <w:keepLines w:val="0"/>
              <w:pageBreakBefore w:val="0"/>
              <w:kinsoku/>
              <w:wordWrap/>
              <w:overflowPunct/>
              <w:topLinePunct w:val="0"/>
              <w:autoSpaceDE/>
              <w:autoSpaceDN/>
              <w:bidi w:val="0"/>
              <w:adjustRightInd/>
              <w:snapToGrid/>
              <w:spacing w:after="0"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7、</w:t>
            </w:r>
            <w:r>
              <w:rPr>
                <w:rFonts w:hint="eastAsia" w:ascii="宋体" w:hAnsi="宋体" w:eastAsia="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2"/>
                <w:sz w:val="24"/>
                <w:szCs w:val="24"/>
                <w:highlight w:val="none"/>
                <w:lang w:val="en-US" w:eastAsia="zh-CN" w:bidi="ar-SA"/>
              </w:rPr>
              <w:t>服务时间响应</w:t>
            </w:r>
          </w:p>
          <w:p w14:paraId="5960C4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各项工作需按照财政部、国家移民管理局要求时间开展，并在规定时间节点前完成，遇临</w:t>
            </w:r>
            <w:r>
              <w:rPr>
                <w:rFonts w:hint="eastAsia" w:ascii="宋体" w:hAnsi="宋体" w:eastAsia="宋体" w:cs="宋体"/>
                <w:b w:val="0"/>
                <w:bCs w:val="0"/>
                <w:color w:val="auto"/>
                <w:kern w:val="2"/>
                <w:sz w:val="24"/>
                <w:szCs w:val="24"/>
                <w:highlight w:val="none"/>
                <w:lang w:val="en-US" w:eastAsia="zh-CN" w:bidi="ar-SA"/>
              </w:rPr>
              <w:t>时工作任务，电话响应1小时内反馈，3个工作日时间解决问题。</w:t>
            </w:r>
          </w:p>
        </w:tc>
        <w:tc>
          <w:tcPr>
            <w:tcW w:w="1349" w:type="dxa"/>
            <w:vAlign w:val="center"/>
          </w:tcPr>
          <w:p w14:paraId="67D878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06383B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3B5DD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2EC7C60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15</w:t>
            </w:r>
          </w:p>
        </w:tc>
        <w:tc>
          <w:tcPr>
            <w:tcW w:w="10771" w:type="dxa"/>
            <w:vAlign w:val="center"/>
          </w:tcPr>
          <w:p w14:paraId="7A4266C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8、采购标的需执行的相关标准</w:t>
            </w:r>
          </w:p>
          <w:p w14:paraId="3F8C8DF3">
            <w:pPr>
              <w:pStyle w:val="18"/>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《中共中央 国务院关于全面实施预算绩效管理的意见》（中发〔2018〕34号）、《关于贯彻落实&lt;中共中央国务院关于全面实施预算绩效管理的意见&gt;的通知》（财预〔2018〕167号）、《中央部门预算绩效运行监控管理暂行办法》（财预〔2019〕136号）、《关于印发&lt;国家移民管理机构预算项目储备管理办法（试行）&gt;的通知》（国移民后〔2021〕252号）、《项目支出绩效评价管理办法》（财预〔2020〕10号）</w:t>
            </w:r>
            <w:r>
              <w:rPr>
                <w:rFonts w:hint="default" w:ascii="宋体" w:hAnsi="宋体" w:eastAsia="宋体" w:cs="宋体"/>
                <w:b w:val="0"/>
                <w:bCs w:val="0"/>
                <w:color w:val="auto"/>
                <w:kern w:val="2"/>
                <w:sz w:val="24"/>
                <w:szCs w:val="24"/>
                <w:highlight w:val="none"/>
                <w:lang w:val="en-US" w:eastAsia="zh-CN" w:bidi="ar-SA"/>
              </w:rPr>
              <w:t xml:space="preserve"> </w:t>
            </w:r>
          </w:p>
        </w:tc>
        <w:tc>
          <w:tcPr>
            <w:tcW w:w="1349" w:type="dxa"/>
            <w:vAlign w:val="center"/>
          </w:tcPr>
          <w:p w14:paraId="4DFF2EE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36EB0F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109D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757F3C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16</w:t>
            </w:r>
          </w:p>
        </w:tc>
        <w:tc>
          <w:tcPr>
            <w:tcW w:w="10771" w:type="dxa"/>
            <w:vAlign w:val="center"/>
          </w:tcPr>
          <w:p w14:paraId="65AE53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9、履约验收内容及标准</w:t>
            </w:r>
          </w:p>
          <w:p w14:paraId="1E7807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技术履约内容：完成总站绩效自评复核并出具工作报告及复核的原始资料、完成绩效监控复核并出具工作报告及复核的原始资料、完成项目入库评审并出具项目评审工作报告，上述工作出具的成果性文件需符合财政部、国家移民管理局关于预算绩效管理的年度工作计划和相关工作要求。</w:t>
            </w:r>
          </w:p>
          <w:p w14:paraId="3E5F8E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商务履约内容：主要针对履约期限，售后服务及质保响应等内容进行验收比对。</w:t>
            </w:r>
          </w:p>
          <w:p w14:paraId="369B21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b w:val="0"/>
                <w:bCs w:val="0"/>
                <w:color w:val="auto"/>
                <w:kern w:val="2"/>
                <w:sz w:val="24"/>
                <w:szCs w:val="24"/>
                <w:highlight w:val="none"/>
                <w:lang w:val="en-US" w:eastAsia="zh-CN" w:bidi="ar-SA"/>
              </w:rPr>
              <w:t>履约验收标准：5月31日前完成项目入库评审并出具项目评审工作报告、8月31日前完成绩效监控复核并出具工作报告及复核的原始资料、 2027年3月31日前完成总站绩效自评复核并出具工作报告及复核的原始资料，上述工作出具的成果性文件需符合财政部、国家移民管理局关于预算绩效管理的年度工作计划和相关工作要求，经总站验收小组评估后，予以通过验收。</w:t>
            </w:r>
          </w:p>
        </w:tc>
        <w:tc>
          <w:tcPr>
            <w:tcW w:w="1349" w:type="dxa"/>
            <w:vAlign w:val="center"/>
          </w:tcPr>
          <w:p w14:paraId="0C76C5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6C447E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3D84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shd w:val="clear" w:color="auto" w:fill="auto"/>
            <w:vAlign w:val="center"/>
          </w:tcPr>
          <w:p w14:paraId="53817B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17</w:t>
            </w:r>
          </w:p>
        </w:tc>
        <w:tc>
          <w:tcPr>
            <w:tcW w:w="10771" w:type="dxa"/>
            <w:vAlign w:val="center"/>
          </w:tcPr>
          <w:p w14:paraId="028822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10、履约验收流程</w:t>
            </w:r>
          </w:p>
          <w:p w14:paraId="73F2D02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（1）启动验收，制定验收方案。供应商按甲方要求完成服务后，由供应商向采购需求部门发送项目验收申请，由后勤保障处制定验收方案，呈批验收请示。</w:t>
            </w:r>
          </w:p>
          <w:p w14:paraId="7F4D5F1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（2）供应商提供验收所需资料。主要包括相关绩效评审报告及其相关资料。</w:t>
            </w:r>
          </w:p>
          <w:p w14:paraId="3E7401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（3）成立验收小组。由后勤保障处牵头成立验收小组，验收小组应当由3人以上单数组成，验收小组按照合同约定的内容开展项目验收工作。</w:t>
            </w:r>
          </w:p>
          <w:p w14:paraId="3D89D1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（4）验收结束后，验收小组出具初步验收报告。验收小组成员根据验收报告明确验收意见，并盖章确认。</w:t>
            </w:r>
          </w:p>
          <w:p w14:paraId="49E625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（5）验收不合格的处理。履约验收不合格的，后勤保障处向供应商发出整改通知书，整改结束后由供应商对接验收组织主体重新验收。</w:t>
            </w:r>
          </w:p>
          <w:p w14:paraId="1E91FDB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（6）验收档案收集及保存。履约验收完成后，由后勤保障处统一收集各单位验收报告留存备查。</w:t>
            </w:r>
          </w:p>
        </w:tc>
        <w:tc>
          <w:tcPr>
            <w:tcW w:w="1349" w:type="dxa"/>
            <w:vAlign w:val="center"/>
          </w:tcPr>
          <w:p w14:paraId="600F06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634A3A7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041D5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3324106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18</w:t>
            </w:r>
          </w:p>
        </w:tc>
        <w:tc>
          <w:tcPr>
            <w:tcW w:w="10771" w:type="dxa"/>
            <w:vAlign w:val="center"/>
          </w:tcPr>
          <w:p w14:paraId="1A2536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政府采购合同书中要求的违约条款</w:t>
            </w:r>
          </w:p>
        </w:tc>
        <w:tc>
          <w:tcPr>
            <w:tcW w:w="1349" w:type="dxa"/>
            <w:vAlign w:val="center"/>
          </w:tcPr>
          <w:p w14:paraId="40E10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54E6A69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r w14:paraId="2E0D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 w:type="dxa"/>
            <w:vAlign w:val="center"/>
          </w:tcPr>
          <w:p w14:paraId="01E2D9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default" w:ascii="宋体" w:hAnsi="宋体" w:eastAsia="宋体" w:cs="宋体"/>
                <w:b w:val="0"/>
                <w:bCs w:val="0"/>
                <w:color w:val="auto"/>
                <w:kern w:val="2"/>
                <w:sz w:val="24"/>
                <w:szCs w:val="24"/>
                <w:highlight w:val="none"/>
                <w:vertAlign w:val="baseline"/>
                <w:lang w:val="en-US" w:eastAsia="zh-CN" w:bidi="ar-SA"/>
              </w:rPr>
            </w:pPr>
            <w:r>
              <w:rPr>
                <w:rFonts w:hint="eastAsia" w:ascii="宋体" w:hAnsi="宋体" w:eastAsia="宋体" w:cs="宋体"/>
                <w:b w:val="0"/>
                <w:bCs w:val="0"/>
                <w:color w:val="auto"/>
                <w:kern w:val="2"/>
                <w:sz w:val="24"/>
                <w:szCs w:val="24"/>
                <w:highlight w:val="none"/>
                <w:vertAlign w:val="baseline"/>
                <w:lang w:val="en-US" w:eastAsia="zh-CN" w:bidi="ar-SA"/>
              </w:rPr>
              <w:t>19</w:t>
            </w:r>
          </w:p>
        </w:tc>
        <w:tc>
          <w:tcPr>
            <w:tcW w:w="10771" w:type="dxa"/>
            <w:vAlign w:val="center"/>
          </w:tcPr>
          <w:p w14:paraId="5F29E7D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磋商有效期：</w:t>
            </w:r>
            <w:r>
              <w:rPr>
                <w:rFonts w:hint="eastAsia" w:ascii="宋体" w:hAnsi="宋体" w:eastAsia="宋体" w:cs="宋体"/>
                <w:color w:val="auto"/>
                <w:sz w:val="24"/>
                <w:szCs w:val="24"/>
                <w:highlight w:val="none"/>
                <w:lang w:val="en-US" w:eastAsia="zh-CN"/>
              </w:rPr>
              <w:t>90日历日</w:t>
            </w:r>
          </w:p>
        </w:tc>
        <w:tc>
          <w:tcPr>
            <w:tcW w:w="1349" w:type="dxa"/>
            <w:vAlign w:val="center"/>
          </w:tcPr>
          <w:p w14:paraId="6B17D5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c>
          <w:tcPr>
            <w:tcW w:w="1080" w:type="dxa"/>
            <w:vAlign w:val="center"/>
          </w:tcPr>
          <w:p w14:paraId="6A1EA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outlineLvl w:val="9"/>
              <w:rPr>
                <w:rFonts w:hint="eastAsia" w:ascii="宋体" w:hAnsi="宋体" w:eastAsia="宋体" w:cs="宋体"/>
                <w:b w:val="0"/>
                <w:bCs w:val="0"/>
                <w:color w:val="auto"/>
                <w:kern w:val="2"/>
                <w:sz w:val="24"/>
                <w:szCs w:val="24"/>
                <w:highlight w:val="none"/>
                <w:vertAlign w:val="baseline"/>
                <w:lang w:val="en-US" w:eastAsia="zh-CN" w:bidi="ar-SA"/>
              </w:rPr>
            </w:pPr>
          </w:p>
        </w:tc>
      </w:tr>
    </w:tbl>
    <w:p w14:paraId="4B98AB62">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 xml:space="preserve">备注：1、商务技术响应表按照《采购需求》中的要求，对带▲号的条款和指标必须逐条对应填写。 </w:t>
      </w:r>
    </w:p>
    <w:p w14:paraId="689F033E">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2、“偏离情况”列应据实填写“正偏离”、“负偏离”或“无偏离”。</w:t>
      </w:r>
    </w:p>
    <w:p w14:paraId="54CE0471">
      <w:pPr>
        <w:pStyle w:val="18"/>
        <w:keepNext w:val="0"/>
        <w:keepLines w:val="0"/>
        <w:pageBreakBefore w:val="0"/>
        <w:widowControl w:val="0"/>
        <w:numPr>
          <w:ilvl w:val="0"/>
          <w:numId w:val="0"/>
        </w:numPr>
        <w:kinsoku/>
        <w:wordWrap/>
        <w:overflowPunct/>
        <w:topLinePunct w:val="0"/>
        <w:autoSpaceDE/>
        <w:autoSpaceDN/>
        <w:bidi w:val="0"/>
        <w:adjustRightInd/>
        <w:snapToGrid/>
        <w:spacing w:after="0" w:line="240" w:lineRule="auto"/>
        <w:jc w:val="both"/>
        <w:textAlignment w:val="auto"/>
        <w:outlineLvl w:val="9"/>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3、供应商需要补充的可自行添加；</w:t>
      </w:r>
    </w:p>
    <w:p w14:paraId="40CD16F4">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3873874B">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法定代表人或委托代理人（签字或盖章）：</w:t>
      </w:r>
      <w:r>
        <w:rPr>
          <w:rFonts w:hint="eastAsia" w:ascii="宋体" w:hAnsi="宋体" w:eastAsia="宋体" w:cs="宋体"/>
          <w:color w:val="auto"/>
          <w:kern w:val="2"/>
          <w:sz w:val="24"/>
          <w:szCs w:val="24"/>
          <w:highlight w:val="none"/>
          <w:u w:val="single"/>
          <w:lang w:val="en-US" w:eastAsia="zh-CN" w:bidi="ar-SA"/>
        </w:rPr>
        <w:t xml:space="preserve">                     </w:t>
      </w:r>
    </w:p>
    <w:p w14:paraId="70BBA5E6">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b/>
          <w:bCs/>
          <w:color w:val="auto"/>
          <w:kern w:val="2"/>
          <w:sz w:val="28"/>
          <w:szCs w:val="28"/>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7BA655D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9"/>
        <w:rPr>
          <w:rFonts w:hint="default" w:ascii="宋体" w:hAnsi="宋体" w:eastAsia="宋体" w:cs="宋体"/>
          <w:b/>
          <w:bCs/>
          <w:color w:val="auto"/>
          <w:kern w:val="2"/>
          <w:sz w:val="28"/>
          <w:szCs w:val="28"/>
          <w:highlight w:val="none"/>
          <w:lang w:val="en-US" w:eastAsia="zh-CN" w:bidi="ar-SA"/>
        </w:rPr>
        <w:sectPr>
          <w:pgSz w:w="16838" w:h="11906" w:orient="landscape"/>
          <w:pgMar w:top="1080" w:right="1440" w:bottom="1080" w:left="1440" w:header="851" w:footer="992" w:gutter="0"/>
          <w:pgNumType w:fmt="decimal"/>
          <w:cols w:space="425" w:num="1"/>
          <w:docGrid w:type="lines" w:linePitch="312" w:charSpace="0"/>
        </w:sectPr>
      </w:pPr>
    </w:p>
    <w:p w14:paraId="6DD48E05">
      <w:pPr>
        <w:keepNext w:val="0"/>
        <w:keepLines w:val="0"/>
        <w:widowControl/>
        <w:suppressLineNumbers w:val="0"/>
        <w:jc w:val="center"/>
        <w:outlineLvl w:val="1"/>
        <w:rPr>
          <w:rFonts w:hint="eastAsia" w:ascii="宋体" w:hAnsi="宋体" w:eastAsia="宋体" w:cs="宋体"/>
          <w:b/>
          <w:bCs/>
          <w:color w:val="auto"/>
          <w:kern w:val="2"/>
          <w:sz w:val="32"/>
          <w:szCs w:val="32"/>
          <w:highlight w:val="none"/>
          <w:lang w:val="en-US" w:eastAsia="zh-CN" w:bidi="ar-SA"/>
        </w:rPr>
      </w:pPr>
      <w:bookmarkStart w:id="38" w:name="_Toc10118"/>
      <w:r>
        <w:rPr>
          <w:rFonts w:hint="eastAsia" w:ascii="宋体" w:hAnsi="宋体" w:eastAsia="宋体" w:cs="宋体"/>
          <w:b/>
          <w:bCs/>
          <w:color w:val="auto"/>
          <w:kern w:val="2"/>
          <w:sz w:val="32"/>
          <w:szCs w:val="32"/>
          <w:highlight w:val="none"/>
          <w:lang w:val="en-US" w:eastAsia="zh-CN" w:bidi="ar-SA"/>
        </w:rPr>
        <w:t>五、政府采购供应商廉洁自律承诺书</w:t>
      </w:r>
      <w:bookmarkEnd w:id="38"/>
    </w:p>
    <w:p w14:paraId="309E29A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kern w:val="2"/>
          <w:sz w:val="24"/>
          <w:szCs w:val="24"/>
          <w:highlight w:val="none"/>
          <w:u w:val="single"/>
          <w:lang w:val="en-US" w:eastAsia="zh-CN" w:bidi="ar-SA"/>
        </w:rPr>
      </w:pPr>
    </w:p>
    <w:p w14:paraId="4F56842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u w:val="single"/>
          <w:lang w:val="en-US" w:eastAsia="zh-CN" w:bidi="ar-SA"/>
        </w:rPr>
        <w:t>（采购人）、（采购代理机构）</w:t>
      </w:r>
      <w:r>
        <w:rPr>
          <w:rFonts w:hint="default" w:ascii="宋体" w:hAnsi="宋体" w:eastAsia="宋体" w:cs="宋体"/>
          <w:color w:val="auto"/>
          <w:kern w:val="2"/>
          <w:sz w:val="24"/>
          <w:szCs w:val="24"/>
          <w:highlight w:val="none"/>
          <w:lang w:val="en-US" w:eastAsia="zh-CN" w:bidi="ar-SA"/>
        </w:rPr>
        <w:t xml:space="preserve">： </w:t>
      </w:r>
    </w:p>
    <w:p w14:paraId="0046087C">
      <w:pPr>
        <w:pStyle w:val="6"/>
        <w:spacing w:line="480" w:lineRule="exact"/>
        <w:ind w:firstLine="480" w:firstLineChars="200"/>
        <w:rPr>
          <w:rFonts w:hint="eastAsia" w:ascii="宋体" w:hAnsi="宋体" w:eastAsia="宋体" w:cs="宋体"/>
          <w:bCs/>
          <w:color w:val="auto"/>
          <w:sz w:val="24"/>
          <w:highlight w:val="none"/>
          <w:shd w:val="clear" w:color="auto" w:fill="auto"/>
          <w:lang w:val="en-US" w:eastAsia="zh-CN"/>
        </w:rPr>
      </w:pPr>
      <w:r>
        <w:rPr>
          <w:rFonts w:hint="eastAsia" w:ascii="宋体" w:hAnsi="宋体" w:eastAsia="宋体" w:cs="宋体"/>
          <w:bCs/>
          <w:color w:val="auto"/>
          <w:sz w:val="24"/>
          <w:highlight w:val="none"/>
          <w:shd w:val="clear" w:color="auto" w:fill="auto"/>
          <w:lang w:val="en-US" w:eastAsia="zh-CN"/>
        </w:rPr>
        <w:t xml:space="preserve"> 我单位响应你单位项目磋商要求参加响应。在这次磋商过程中和成交后，我们将严格遵守国家法律法规要求，并郑重承诺： </w:t>
      </w:r>
    </w:p>
    <w:p w14:paraId="35CED7F8">
      <w:pPr>
        <w:pStyle w:val="6"/>
        <w:spacing w:line="480" w:lineRule="exact"/>
        <w:ind w:firstLine="480" w:firstLineChars="200"/>
        <w:jc w:val="left"/>
        <w:rPr>
          <w:rFonts w:hint="eastAsia" w:ascii="宋体" w:hAnsi="宋体" w:eastAsia="宋体" w:cs="宋体"/>
          <w:bCs/>
          <w:color w:val="auto"/>
          <w:sz w:val="24"/>
          <w:highlight w:val="none"/>
          <w:shd w:val="clear" w:color="auto" w:fill="auto"/>
          <w:lang w:val="en-US" w:eastAsia="zh-CN"/>
        </w:rPr>
      </w:pPr>
      <w:r>
        <w:rPr>
          <w:rFonts w:hint="eastAsia" w:ascii="宋体" w:hAnsi="宋体" w:eastAsia="宋体" w:cs="宋体"/>
          <w:bCs/>
          <w:color w:val="auto"/>
          <w:sz w:val="24"/>
          <w:highlight w:val="none"/>
          <w:shd w:val="clear" w:color="auto" w:fill="auto"/>
          <w:lang w:val="en-US" w:eastAsia="zh-CN"/>
        </w:rPr>
        <w:t xml:space="preserve">一、不向项目有关人员及部门赠送礼金礼物、有价证券、回扣以及中介费、介绍费、咨询费等好处费； </w:t>
      </w:r>
    </w:p>
    <w:p w14:paraId="013CBFAF">
      <w:pPr>
        <w:pStyle w:val="6"/>
        <w:spacing w:line="480" w:lineRule="exact"/>
        <w:ind w:firstLine="480" w:firstLineChars="200"/>
        <w:jc w:val="left"/>
        <w:rPr>
          <w:rFonts w:hint="eastAsia" w:ascii="宋体" w:hAnsi="宋体" w:eastAsia="宋体" w:cs="宋体"/>
          <w:bCs/>
          <w:color w:val="auto"/>
          <w:sz w:val="24"/>
          <w:highlight w:val="none"/>
          <w:shd w:val="clear" w:color="auto" w:fill="auto"/>
          <w:lang w:val="en-US" w:eastAsia="zh-CN"/>
        </w:rPr>
      </w:pPr>
      <w:r>
        <w:rPr>
          <w:rFonts w:hint="eastAsia" w:ascii="宋体" w:hAnsi="宋体" w:eastAsia="宋体" w:cs="宋体"/>
          <w:bCs/>
          <w:color w:val="auto"/>
          <w:sz w:val="24"/>
          <w:highlight w:val="none"/>
          <w:shd w:val="clear" w:color="auto" w:fill="auto"/>
          <w:lang w:val="en-US" w:eastAsia="zh-CN"/>
        </w:rPr>
        <w:t>二、不为项目有关人员及部门报销应由你方单位或个人支付的费用；</w:t>
      </w:r>
    </w:p>
    <w:p w14:paraId="4996396F">
      <w:pPr>
        <w:pStyle w:val="6"/>
        <w:spacing w:line="480" w:lineRule="exact"/>
        <w:ind w:firstLine="480" w:firstLineChars="200"/>
        <w:jc w:val="left"/>
        <w:rPr>
          <w:rFonts w:hint="eastAsia" w:ascii="宋体" w:hAnsi="宋体" w:eastAsia="宋体" w:cs="宋体"/>
          <w:bCs/>
          <w:color w:val="auto"/>
          <w:sz w:val="24"/>
          <w:highlight w:val="none"/>
          <w:shd w:val="clear" w:color="auto" w:fill="auto"/>
          <w:lang w:val="en-US" w:eastAsia="zh-CN"/>
        </w:rPr>
      </w:pPr>
      <w:r>
        <w:rPr>
          <w:rFonts w:hint="eastAsia" w:ascii="宋体" w:hAnsi="宋体" w:eastAsia="宋体" w:cs="宋体"/>
          <w:bCs/>
          <w:color w:val="auto"/>
          <w:sz w:val="24"/>
          <w:highlight w:val="none"/>
          <w:shd w:val="clear" w:color="auto" w:fill="auto"/>
          <w:lang w:val="en-US" w:eastAsia="zh-CN"/>
        </w:rPr>
        <w:t>三、不向项目有关人员及部门提供有可能影响公正的宴请和健身娱乐等活动；</w:t>
      </w:r>
    </w:p>
    <w:p w14:paraId="3B6FE485">
      <w:pPr>
        <w:pStyle w:val="6"/>
        <w:spacing w:line="480" w:lineRule="exact"/>
        <w:ind w:firstLine="480" w:firstLineChars="200"/>
        <w:jc w:val="left"/>
        <w:rPr>
          <w:rFonts w:hint="eastAsia" w:ascii="宋体" w:hAnsi="宋体" w:eastAsia="宋体" w:cs="宋体"/>
          <w:bCs/>
          <w:color w:val="auto"/>
          <w:sz w:val="24"/>
          <w:highlight w:val="none"/>
          <w:shd w:val="clear" w:color="auto" w:fill="auto"/>
          <w:lang w:val="en-US" w:eastAsia="zh-CN"/>
        </w:rPr>
      </w:pPr>
      <w:r>
        <w:rPr>
          <w:rFonts w:hint="eastAsia" w:ascii="宋体" w:hAnsi="宋体" w:eastAsia="宋体" w:cs="宋体"/>
          <w:bCs/>
          <w:color w:val="auto"/>
          <w:sz w:val="24"/>
          <w:highlight w:val="none"/>
          <w:shd w:val="clear" w:color="auto" w:fill="auto"/>
          <w:lang w:val="en-US" w:eastAsia="zh-CN"/>
        </w:rPr>
        <w:t xml:space="preserve">四、不为项目有关人员及部门出国（境）、旅游等提供方便； </w:t>
      </w:r>
    </w:p>
    <w:p w14:paraId="4AF2B1EB">
      <w:pPr>
        <w:pStyle w:val="6"/>
        <w:spacing w:line="480" w:lineRule="exact"/>
        <w:ind w:firstLine="480" w:firstLineChars="200"/>
        <w:jc w:val="left"/>
        <w:rPr>
          <w:rFonts w:hint="eastAsia" w:ascii="宋体" w:hAnsi="宋体" w:eastAsia="宋体" w:cs="宋体"/>
          <w:bCs/>
          <w:color w:val="auto"/>
          <w:sz w:val="24"/>
          <w:highlight w:val="none"/>
          <w:shd w:val="clear" w:color="auto" w:fill="auto"/>
          <w:lang w:val="en-US" w:eastAsia="zh-CN"/>
        </w:rPr>
      </w:pPr>
      <w:r>
        <w:rPr>
          <w:rFonts w:hint="eastAsia" w:ascii="宋体" w:hAnsi="宋体" w:eastAsia="宋体" w:cs="宋体"/>
          <w:bCs/>
          <w:color w:val="auto"/>
          <w:sz w:val="24"/>
          <w:highlight w:val="none"/>
          <w:shd w:val="clear" w:color="auto" w:fill="auto"/>
          <w:lang w:val="en-US" w:eastAsia="zh-CN"/>
        </w:rPr>
        <w:t xml:space="preserve">五、不为项目有关人员个人装修住房、婚丧嫁娶、配偶子女工作安排等提供好处； </w:t>
      </w:r>
    </w:p>
    <w:p w14:paraId="2C82FDC6">
      <w:pPr>
        <w:pStyle w:val="6"/>
        <w:spacing w:line="480" w:lineRule="exact"/>
        <w:ind w:firstLine="480" w:firstLineChars="200"/>
        <w:jc w:val="left"/>
        <w:rPr>
          <w:rFonts w:hint="eastAsia" w:ascii="宋体" w:hAnsi="宋体" w:eastAsia="宋体" w:cs="宋体"/>
          <w:bCs/>
          <w:color w:val="auto"/>
          <w:sz w:val="24"/>
          <w:highlight w:val="none"/>
          <w:shd w:val="clear" w:color="auto" w:fill="auto"/>
          <w:lang w:val="en-US" w:eastAsia="zh-CN"/>
        </w:rPr>
      </w:pPr>
      <w:r>
        <w:rPr>
          <w:rFonts w:hint="eastAsia" w:ascii="宋体" w:hAnsi="宋体" w:eastAsia="宋体" w:cs="宋体"/>
          <w:bCs/>
          <w:color w:val="auto"/>
          <w:sz w:val="24"/>
          <w:highlight w:val="none"/>
          <w:shd w:val="clear" w:color="auto" w:fill="auto"/>
          <w:lang w:val="en-US" w:eastAsia="zh-CN"/>
        </w:rPr>
        <w:t xml:space="preserve">六、严格遵守《中华人民共和国政府采购法》《中华人民共和国民法典》等法律法规，诚实守信，合法经营，坚决抵制各种违法违纪行为。 </w:t>
      </w:r>
    </w:p>
    <w:p w14:paraId="794EBA57">
      <w:pPr>
        <w:pStyle w:val="6"/>
        <w:spacing w:line="480" w:lineRule="exact"/>
        <w:ind w:firstLine="480" w:firstLineChars="200"/>
        <w:jc w:val="left"/>
        <w:rPr>
          <w:rFonts w:hint="eastAsia" w:ascii="宋体" w:hAnsi="宋体" w:eastAsia="宋体" w:cs="宋体"/>
          <w:bCs/>
          <w:color w:val="auto"/>
          <w:sz w:val="24"/>
          <w:highlight w:val="none"/>
          <w:shd w:val="clear" w:color="auto" w:fill="auto"/>
          <w:lang w:val="en-US" w:eastAsia="zh-CN"/>
        </w:rPr>
      </w:pPr>
      <w:r>
        <w:rPr>
          <w:rFonts w:hint="eastAsia" w:ascii="宋体" w:hAnsi="宋体" w:eastAsia="宋体" w:cs="宋体"/>
          <w:bCs/>
          <w:color w:val="auto"/>
          <w:sz w:val="24"/>
          <w:highlight w:val="none"/>
          <w:shd w:val="clear" w:color="auto" w:fill="auto"/>
          <w:lang w:val="en-US" w:eastAsia="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1B6A832D">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p>
    <w:p w14:paraId="2B233333">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p>
    <w:p w14:paraId="0678F5A9">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0166FEF2">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法定代表人或委托代理人（签字或盖章）：</w:t>
      </w:r>
      <w:r>
        <w:rPr>
          <w:rFonts w:hint="eastAsia" w:ascii="宋体" w:hAnsi="宋体" w:eastAsia="宋体" w:cs="宋体"/>
          <w:color w:val="auto"/>
          <w:kern w:val="2"/>
          <w:sz w:val="24"/>
          <w:szCs w:val="24"/>
          <w:highlight w:val="none"/>
          <w:u w:val="single"/>
          <w:lang w:val="en-US" w:eastAsia="zh-CN" w:bidi="ar-SA"/>
        </w:rPr>
        <w:t xml:space="preserve">                     </w:t>
      </w:r>
    </w:p>
    <w:p w14:paraId="5F4073EE">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74051444">
      <w:pPr>
        <w:rPr>
          <w:rFonts w:hint="default" w:ascii="宋体" w:hAnsi="宋体" w:eastAsia="宋体" w:cs="宋体"/>
          <w:bCs/>
          <w:color w:val="auto"/>
          <w:sz w:val="24"/>
          <w:highlight w:val="none"/>
          <w:shd w:val="clear" w:color="auto" w:fill="auto"/>
          <w:lang w:val="en-US" w:eastAsia="zh-CN"/>
        </w:rPr>
      </w:pPr>
      <w:r>
        <w:rPr>
          <w:rFonts w:hint="default" w:ascii="宋体" w:hAnsi="宋体" w:eastAsia="宋体" w:cs="宋体"/>
          <w:bCs/>
          <w:color w:val="auto"/>
          <w:sz w:val="24"/>
          <w:highlight w:val="none"/>
          <w:shd w:val="clear" w:color="auto" w:fill="auto"/>
          <w:lang w:val="en-US" w:eastAsia="zh-CN"/>
        </w:rPr>
        <w:br w:type="page"/>
      </w:r>
    </w:p>
    <w:p w14:paraId="70013435">
      <w:pPr>
        <w:keepNext w:val="0"/>
        <w:keepLines w:val="0"/>
        <w:widowControl/>
        <w:suppressLineNumbers w:val="0"/>
        <w:jc w:val="center"/>
        <w:outlineLvl w:val="1"/>
        <w:rPr>
          <w:rFonts w:hint="eastAsia" w:ascii="宋体" w:hAnsi="宋体" w:eastAsia="宋体" w:cs="宋体"/>
          <w:b/>
          <w:bCs/>
          <w:color w:val="auto"/>
          <w:kern w:val="2"/>
          <w:sz w:val="32"/>
          <w:szCs w:val="32"/>
          <w:highlight w:val="none"/>
          <w:lang w:val="en-US" w:eastAsia="zh-CN" w:bidi="ar-SA"/>
        </w:rPr>
      </w:pPr>
      <w:bookmarkStart w:id="39" w:name="_Toc979"/>
      <w:r>
        <w:rPr>
          <w:rFonts w:hint="eastAsia" w:ascii="宋体" w:hAnsi="宋体" w:eastAsia="宋体" w:cs="宋体"/>
          <w:b/>
          <w:bCs/>
          <w:color w:val="auto"/>
          <w:kern w:val="2"/>
          <w:sz w:val="32"/>
          <w:szCs w:val="32"/>
          <w:highlight w:val="none"/>
          <w:lang w:val="en-US" w:eastAsia="zh-CN" w:bidi="ar-SA"/>
        </w:rPr>
        <w:t>六、其他相关证明材料</w:t>
      </w:r>
      <w:bookmarkEnd w:id="39"/>
    </w:p>
    <w:p w14:paraId="38AFECA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9"/>
        <w:rPr>
          <w:rFonts w:hint="eastAsia" w:ascii="宋体" w:hAnsi="宋体" w:eastAsia="宋体" w:cs="宋体"/>
          <w:b w:val="0"/>
          <w:bCs w:val="0"/>
          <w:color w:val="auto"/>
          <w:kern w:val="2"/>
          <w:sz w:val="21"/>
          <w:szCs w:val="21"/>
          <w:highlight w:val="none"/>
          <w:lang w:val="en-US" w:eastAsia="zh-CN" w:bidi="ar-SA"/>
        </w:rPr>
      </w:pPr>
    </w:p>
    <w:p w14:paraId="3D223FA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outlineLvl w:val="9"/>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 xml:space="preserve">提供符合磋商邀请、采购需求及评审方法和标准规定的相关证明文件。 </w:t>
      </w:r>
    </w:p>
    <w:p w14:paraId="65A1562B">
      <w:pPr>
        <w:rPr>
          <w:rFonts w:hint="default"/>
          <w:color w:val="auto"/>
          <w:highlight w:val="none"/>
          <w:lang w:val="en-US" w:eastAsia="zh-CN"/>
        </w:rPr>
      </w:pPr>
    </w:p>
    <w:p w14:paraId="42EB0ECB">
      <w:pPr>
        <w:rPr>
          <w:rFonts w:hint="default"/>
          <w:color w:val="auto"/>
          <w:highlight w:val="none"/>
          <w:lang w:val="en-US" w:eastAsia="zh-CN"/>
        </w:rPr>
      </w:pPr>
      <w:r>
        <w:rPr>
          <w:rFonts w:hint="default"/>
          <w:color w:val="auto"/>
          <w:highlight w:val="none"/>
          <w:lang w:val="en-US" w:eastAsia="zh-CN"/>
        </w:rPr>
        <w:br w:type="page"/>
      </w:r>
    </w:p>
    <w:p w14:paraId="41DAA498">
      <w:pPr>
        <w:rPr>
          <w:rFonts w:hint="default"/>
          <w:color w:val="auto"/>
          <w:highlight w:val="none"/>
          <w:lang w:val="en-US" w:eastAsia="zh-CN"/>
        </w:rPr>
      </w:pPr>
    </w:p>
    <w:p w14:paraId="1034B1F0">
      <w:pPr>
        <w:jc w:val="center"/>
        <w:rPr>
          <w:rFonts w:hint="default"/>
          <w:color w:val="auto"/>
          <w:sz w:val="40"/>
          <w:szCs w:val="48"/>
          <w:highlight w:val="none"/>
          <w:lang w:val="en-US" w:eastAsia="zh-CN"/>
        </w:rPr>
      </w:pPr>
    </w:p>
    <w:p w14:paraId="34CB7EAE">
      <w:pPr>
        <w:jc w:val="center"/>
        <w:rPr>
          <w:rFonts w:hint="default"/>
          <w:color w:val="auto"/>
          <w:sz w:val="40"/>
          <w:szCs w:val="48"/>
          <w:highlight w:val="none"/>
          <w:lang w:val="en-US" w:eastAsia="zh-CN"/>
        </w:rPr>
      </w:pPr>
    </w:p>
    <w:p w14:paraId="62A9A840">
      <w:pPr>
        <w:jc w:val="center"/>
        <w:rPr>
          <w:rFonts w:hint="default"/>
          <w:color w:val="auto"/>
          <w:sz w:val="40"/>
          <w:szCs w:val="48"/>
          <w:highlight w:val="none"/>
          <w:lang w:val="en-US" w:eastAsia="zh-CN"/>
        </w:rPr>
      </w:pPr>
    </w:p>
    <w:p w14:paraId="09F1915D">
      <w:pPr>
        <w:jc w:val="center"/>
        <w:rPr>
          <w:rFonts w:hint="default"/>
          <w:color w:val="auto"/>
          <w:sz w:val="40"/>
          <w:szCs w:val="48"/>
          <w:highlight w:val="none"/>
          <w:lang w:val="en-US" w:eastAsia="zh-CN"/>
        </w:rPr>
      </w:pPr>
    </w:p>
    <w:p w14:paraId="0581CBE5">
      <w:pPr>
        <w:jc w:val="center"/>
        <w:rPr>
          <w:rFonts w:hint="default"/>
          <w:color w:val="auto"/>
          <w:sz w:val="40"/>
          <w:szCs w:val="48"/>
          <w:highlight w:val="none"/>
          <w:lang w:val="en-US" w:eastAsia="zh-CN"/>
        </w:rPr>
      </w:pPr>
    </w:p>
    <w:p w14:paraId="535DE84D">
      <w:pPr>
        <w:jc w:val="center"/>
        <w:rPr>
          <w:rFonts w:hint="default"/>
          <w:color w:val="auto"/>
          <w:sz w:val="40"/>
          <w:szCs w:val="48"/>
          <w:highlight w:val="none"/>
          <w:lang w:val="en-US" w:eastAsia="zh-CN"/>
        </w:rPr>
      </w:pPr>
    </w:p>
    <w:p w14:paraId="572C5871">
      <w:pPr>
        <w:pStyle w:val="6"/>
        <w:rPr>
          <w:rFonts w:hint="default"/>
          <w:color w:val="auto"/>
          <w:highlight w:val="none"/>
          <w:lang w:val="en-US" w:eastAsia="zh-CN"/>
        </w:rPr>
      </w:pPr>
    </w:p>
    <w:p w14:paraId="6183197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eastAsia" w:cstheme="minorBidi"/>
          <w:color w:val="auto"/>
          <w:kern w:val="2"/>
          <w:sz w:val="40"/>
          <w:szCs w:val="48"/>
          <w:highlight w:val="none"/>
          <w:lang w:val="en-US" w:eastAsia="zh-CN" w:bidi="ar-SA"/>
        </w:rPr>
      </w:pPr>
      <w:r>
        <w:rPr>
          <w:rFonts w:hint="eastAsia" w:asciiTheme="minorHAnsi" w:hAnsiTheme="minorHAnsi" w:eastAsiaTheme="minorEastAsia" w:cstheme="minorBidi"/>
          <w:color w:val="auto"/>
          <w:kern w:val="2"/>
          <w:sz w:val="40"/>
          <w:szCs w:val="48"/>
          <w:highlight w:val="none"/>
          <w:lang w:val="en-US" w:eastAsia="zh-CN" w:bidi="ar-SA"/>
        </w:rPr>
        <w:t>报价文件</w:t>
      </w:r>
      <w:r>
        <w:rPr>
          <w:rFonts w:hint="eastAsia" w:cstheme="minorBidi"/>
          <w:color w:val="auto"/>
          <w:kern w:val="2"/>
          <w:sz w:val="40"/>
          <w:szCs w:val="48"/>
          <w:highlight w:val="none"/>
          <w:lang w:val="en-US" w:eastAsia="zh-CN" w:bidi="ar-SA"/>
        </w:rPr>
        <w:t>部分</w:t>
      </w:r>
    </w:p>
    <w:p w14:paraId="697B9055">
      <w:pPr>
        <w:rPr>
          <w:rFonts w:hint="eastAsia" w:cstheme="minorBidi"/>
          <w:color w:val="auto"/>
          <w:kern w:val="2"/>
          <w:sz w:val="40"/>
          <w:szCs w:val="48"/>
          <w:highlight w:val="none"/>
          <w:lang w:val="en-US" w:eastAsia="zh-CN" w:bidi="ar-SA"/>
        </w:rPr>
      </w:pPr>
      <w:r>
        <w:rPr>
          <w:rFonts w:hint="eastAsia" w:cstheme="minorBidi"/>
          <w:color w:val="auto"/>
          <w:kern w:val="2"/>
          <w:sz w:val="40"/>
          <w:szCs w:val="48"/>
          <w:highlight w:val="none"/>
          <w:lang w:val="en-US" w:eastAsia="zh-CN" w:bidi="ar-SA"/>
        </w:rPr>
        <w:br w:type="page"/>
      </w:r>
    </w:p>
    <w:p w14:paraId="094B02E1">
      <w:pPr>
        <w:keepNext w:val="0"/>
        <w:keepLines w:val="0"/>
        <w:widowControl/>
        <w:suppressLineNumbers w:val="0"/>
        <w:jc w:val="center"/>
        <w:outlineLvl w:val="1"/>
        <w:rPr>
          <w:rFonts w:hint="eastAsia" w:ascii="宋体" w:hAnsi="宋体" w:eastAsia="宋体" w:cs="宋体"/>
          <w:b/>
          <w:bCs/>
          <w:color w:val="auto"/>
          <w:kern w:val="2"/>
          <w:sz w:val="32"/>
          <w:szCs w:val="32"/>
          <w:highlight w:val="none"/>
          <w:lang w:val="en-US" w:eastAsia="zh-CN" w:bidi="ar-SA"/>
        </w:rPr>
      </w:pPr>
      <w:bookmarkStart w:id="40" w:name="_Toc16685"/>
      <w:r>
        <w:rPr>
          <w:rFonts w:hint="eastAsia" w:ascii="宋体" w:hAnsi="宋体" w:eastAsia="宋体" w:cs="宋体"/>
          <w:b/>
          <w:bCs/>
          <w:color w:val="auto"/>
          <w:kern w:val="2"/>
          <w:sz w:val="32"/>
          <w:szCs w:val="32"/>
          <w:highlight w:val="none"/>
          <w:lang w:val="en-US" w:eastAsia="zh-CN" w:bidi="ar-SA"/>
        </w:rPr>
        <w:t>一、报价一览表</w:t>
      </w:r>
      <w:bookmarkEnd w:id="40"/>
    </w:p>
    <w:tbl>
      <w:tblPr>
        <w:tblStyle w:val="15"/>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5"/>
        <w:gridCol w:w="7714"/>
      </w:tblGrid>
      <w:tr w14:paraId="59A7F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045" w:type="dxa"/>
            <w:vAlign w:val="center"/>
          </w:tcPr>
          <w:p w14:paraId="69BCB539">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w:t>
            </w:r>
          </w:p>
        </w:tc>
        <w:tc>
          <w:tcPr>
            <w:tcW w:w="7714" w:type="dxa"/>
            <w:vAlign w:val="center"/>
          </w:tcPr>
          <w:p w14:paraId="44F91ECD">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p>
        </w:tc>
      </w:tr>
      <w:tr w14:paraId="4F82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045" w:type="dxa"/>
            <w:vAlign w:val="center"/>
          </w:tcPr>
          <w:p w14:paraId="424D53E3">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项目名称</w:t>
            </w:r>
          </w:p>
        </w:tc>
        <w:tc>
          <w:tcPr>
            <w:tcW w:w="7714" w:type="dxa"/>
            <w:vAlign w:val="center"/>
          </w:tcPr>
          <w:p w14:paraId="31595221">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p>
        </w:tc>
      </w:tr>
      <w:tr w14:paraId="0A53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045" w:type="dxa"/>
            <w:vAlign w:val="center"/>
          </w:tcPr>
          <w:p w14:paraId="7D9E6D43">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报价（元）</w:t>
            </w:r>
          </w:p>
        </w:tc>
        <w:tc>
          <w:tcPr>
            <w:tcW w:w="7714" w:type="dxa"/>
            <w:vAlign w:val="center"/>
          </w:tcPr>
          <w:p w14:paraId="51A4AA12">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小写：</w:t>
            </w:r>
          </w:p>
          <w:p w14:paraId="7B400526">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大写：</w:t>
            </w:r>
          </w:p>
        </w:tc>
      </w:tr>
      <w:tr w14:paraId="2A559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2045" w:type="dxa"/>
            <w:vAlign w:val="center"/>
          </w:tcPr>
          <w:p w14:paraId="60F3F60F">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合同履约期限</w:t>
            </w:r>
          </w:p>
        </w:tc>
        <w:tc>
          <w:tcPr>
            <w:tcW w:w="7714" w:type="dxa"/>
            <w:vAlign w:val="center"/>
          </w:tcPr>
          <w:p w14:paraId="75BB5757">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自合同签订之日起1年。</w:t>
            </w:r>
          </w:p>
        </w:tc>
      </w:tr>
      <w:tr w14:paraId="42D08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2045" w:type="dxa"/>
            <w:vAlign w:val="center"/>
          </w:tcPr>
          <w:p w14:paraId="37A56951">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tc>
        <w:tc>
          <w:tcPr>
            <w:tcW w:w="7714" w:type="dxa"/>
            <w:vAlign w:val="center"/>
          </w:tcPr>
          <w:p w14:paraId="5497D590">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p>
        </w:tc>
      </w:tr>
    </w:tbl>
    <w:p w14:paraId="2FF73666">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default" w:cstheme="minorBidi"/>
          <w:color w:val="auto"/>
          <w:kern w:val="2"/>
          <w:sz w:val="40"/>
          <w:szCs w:val="48"/>
          <w:highlight w:val="none"/>
          <w:lang w:val="en-US" w:eastAsia="zh-CN" w:bidi="ar-SA"/>
        </w:rPr>
      </w:pPr>
    </w:p>
    <w:p w14:paraId="250EC43C">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2E59D9F7">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法定代表人或委托代理人（签字或盖章）：</w:t>
      </w:r>
      <w:r>
        <w:rPr>
          <w:rFonts w:hint="eastAsia" w:ascii="宋体" w:hAnsi="宋体" w:eastAsia="宋体" w:cs="宋体"/>
          <w:color w:val="auto"/>
          <w:kern w:val="2"/>
          <w:sz w:val="24"/>
          <w:szCs w:val="24"/>
          <w:highlight w:val="none"/>
          <w:u w:val="single"/>
          <w:lang w:val="en-US" w:eastAsia="zh-CN" w:bidi="ar-SA"/>
        </w:rPr>
        <w:t xml:space="preserve">                     </w:t>
      </w:r>
    </w:p>
    <w:p w14:paraId="5AC6D00E">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3B084FBA">
      <w:pPr>
        <w:rPr>
          <w:rFonts w:hint="default" w:cstheme="minorBidi"/>
          <w:color w:val="auto"/>
          <w:kern w:val="2"/>
          <w:sz w:val="40"/>
          <w:szCs w:val="48"/>
          <w:highlight w:val="none"/>
          <w:lang w:val="en-US" w:eastAsia="zh-CN" w:bidi="ar-SA"/>
        </w:rPr>
      </w:pPr>
      <w:r>
        <w:rPr>
          <w:rFonts w:hint="default" w:cstheme="minorBidi"/>
          <w:color w:val="auto"/>
          <w:kern w:val="2"/>
          <w:sz w:val="40"/>
          <w:szCs w:val="48"/>
          <w:highlight w:val="none"/>
          <w:lang w:val="en-US" w:eastAsia="zh-CN" w:bidi="ar-SA"/>
        </w:rPr>
        <w:br w:type="page"/>
      </w:r>
    </w:p>
    <w:p w14:paraId="0CAF5174">
      <w:pPr>
        <w:keepNext w:val="0"/>
        <w:keepLines w:val="0"/>
        <w:widowControl/>
        <w:suppressLineNumbers w:val="0"/>
        <w:jc w:val="center"/>
        <w:outlineLvl w:val="1"/>
        <w:rPr>
          <w:rFonts w:hint="eastAsia" w:ascii="宋体" w:hAnsi="宋体" w:eastAsia="宋体" w:cs="宋体"/>
          <w:b/>
          <w:bCs/>
          <w:color w:val="auto"/>
          <w:kern w:val="2"/>
          <w:sz w:val="32"/>
          <w:szCs w:val="32"/>
          <w:highlight w:val="none"/>
          <w:lang w:val="en-US" w:eastAsia="zh-CN" w:bidi="ar-SA"/>
        </w:rPr>
      </w:pPr>
      <w:bookmarkStart w:id="41" w:name="_Toc18766"/>
      <w:r>
        <w:rPr>
          <w:rFonts w:hint="eastAsia" w:ascii="宋体" w:hAnsi="宋体" w:eastAsia="宋体" w:cs="宋体"/>
          <w:b/>
          <w:bCs/>
          <w:color w:val="auto"/>
          <w:kern w:val="2"/>
          <w:sz w:val="32"/>
          <w:szCs w:val="32"/>
          <w:highlight w:val="none"/>
          <w:lang w:val="en-US" w:eastAsia="zh-CN" w:bidi="ar-SA"/>
        </w:rPr>
        <w:t>二、分项报价明细表</w:t>
      </w:r>
      <w:bookmarkEnd w:id="41"/>
    </w:p>
    <w:tbl>
      <w:tblPr>
        <w:tblStyle w:val="15"/>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3881"/>
        <w:gridCol w:w="2491"/>
        <w:gridCol w:w="2491"/>
      </w:tblGrid>
      <w:tr w14:paraId="599CC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114C9DB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r>
              <w:rPr>
                <w:rFonts w:hint="eastAsia" w:cstheme="minorBidi"/>
                <w:color w:val="auto"/>
                <w:kern w:val="2"/>
                <w:sz w:val="24"/>
                <w:szCs w:val="24"/>
                <w:highlight w:val="none"/>
                <w:vertAlign w:val="baseline"/>
                <w:lang w:val="en-US" w:eastAsia="zh-CN" w:bidi="ar-SA"/>
              </w:rPr>
              <w:t>序号</w:t>
            </w:r>
          </w:p>
        </w:tc>
        <w:tc>
          <w:tcPr>
            <w:tcW w:w="3881" w:type="dxa"/>
            <w:vAlign w:val="center"/>
          </w:tcPr>
          <w:p w14:paraId="15A804F7">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r>
              <w:rPr>
                <w:rFonts w:hint="eastAsia" w:cstheme="minorBidi"/>
                <w:color w:val="auto"/>
                <w:kern w:val="2"/>
                <w:sz w:val="24"/>
                <w:szCs w:val="24"/>
                <w:highlight w:val="none"/>
                <w:vertAlign w:val="baseline"/>
                <w:lang w:val="en-US" w:eastAsia="zh-CN" w:bidi="ar-SA"/>
              </w:rPr>
              <w:t>服务内容</w:t>
            </w:r>
          </w:p>
        </w:tc>
        <w:tc>
          <w:tcPr>
            <w:tcW w:w="2491" w:type="dxa"/>
            <w:vAlign w:val="center"/>
          </w:tcPr>
          <w:p w14:paraId="77D7D61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r>
              <w:rPr>
                <w:rFonts w:hint="eastAsia" w:cstheme="minorBidi"/>
                <w:color w:val="auto"/>
                <w:kern w:val="2"/>
                <w:sz w:val="24"/>
                <w:szCs w:val="24"/>
                <w:highlight w:val="none"/>
                <w:vertAlign w:val="baseline"/>
                <w:lang w:val="en-US" w:eastAsia="zh-CN" w:bidi="ar-SA"/>
              </w:rPr>
              <w:t>金额</w:t>
            </w:r>
          </w:p>
        </w:tc>
        <w:tc>
          <w:tcPr>
            <w:tcW w:w="2491" w:type="dxa"/>
            <w:vAlign w:val="center"/>
          </w:tcPr>
          <w:p w14:paraId="0EBD752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r>
              <w:rPr>
                <w:rFonts w:hint="eastAsia" w:cstheme="minorBidi"/>
                <w:color w:val="auto"/>
                <w:kern w:val="2"/>
                <w:sz w:val="24"/>
                <w:szCs w:val="24"/>
                <w:highlight w:val="none"/>
                <w:vertAlign w:val="baseline"/>
                <w:lang w:val="en-US" w:eastAsia="zh-CN" w:bidi="ar-SA"/>
              </w:rPr>
              <w:t>备注</w:t>
            </w:r>
          </w:p>
        </w:tc>
      </w:tr>
      <w:tr w14:paraId="40285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2125A55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c>
          <w:tcPr>
            <w:tcW w:w="3881" w:type="dxa"/>
            <w:vAlign w:val="center"/>
          </w:tcPr>
          <w:p w14:paraId="1D2D1DC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c>
          <w:tcPr>
            <w:tcW w:w="2491" w:type="dxa"/>
            <w:vAlign w:val="center"/>
          </w:tcPr>
          <w:p w14:paraId="13B0F61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c>
          <w:tcPr>
            <w:tcW w:w="2491" w:type="dxa"/>
            <w:vAlign w:val="center"/>
          </w:tcPr>
          <w:p w14:paraId="52608961">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r>
      <w:tr w14:paraId="2219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36BB32C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c>
          <w:tcPr>
            <w:tcW w:w="3881" w:type="dxa"/>
            <w:vAlign w:val="center"/>
          </w:tcPr>
          <w:p w14:paraId="084446F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c>
          <w:tcPr>
            <w:tcW w:w="2491" w:type="dxa"/>
            <w:vAlign w:val="center"/>
          </w:tcPr>
          <w:p w14:paraId="6D61A92C">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c>
          <w:tcPr>
            <w:tcW w:w="2491" w:type="dxa"/>
            <w:vAlign w:val="center"/>
          </w:tcPr>
          <w:p w14:paraId="4F170D2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r>
      <w:tr w14:paraId="01DE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9" w:type="dxa"/>
            <w:vAlign w:val="center"/>
          </w:tcPr>
          <w:p w14:paraId="01BDBE0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c>
          <w:tcPr>
            <w:tcW w:w="3881" w:type="dxa"/>
            <w:vAlign w:val="center"/>
          </w:tcPr>
          <w:p w14:paraId="3F7ABBC0">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c>
          <w:tcPr>
            <w:tcW w:w="2491" w:type="dxa"/>
            <w:vAlign w:val="center"/>
          </w:tcPr>
          <w:p w14:paraId="5CB8C442">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c>
          <w:tcPr>
            <w:tcW w:w="2491" w:type="dxa"/>
            <w:vAlign w:val="center"/>
          </w:tcPr>
          <w:p w14:paraId="1EF264B8">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r>
      <w:tr w14:paraId="661FF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80" w:type="dxa"/>
            <w:gridSpan w:val="2"/>
            <w:vAlign w:val="center"/>
          </w:tcPr>
          <w:p w14:paraId="14565B5F">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r>
              <w:rPr>
                <w:rFonts w:hint="eastAsia" w:cstheme="minorBidi"/>
                <w:color w:val="auto"/>
                <w:kern w:val="2"/>
                <w:sz w:val="24"/>
                <w:szCs w:val="24"/>
                <w:highlight w:val="none"/>
                <w:vertAlign w:val="baseline"/>
                <w:lang w:val="en-US" w:eastAsia="zh-CN" w:bidi="ar-SA"/>
              </w:rPr>
              <w:t>合计金额（元）</w:t>
            </w:r>
          </w:p>
        </w:tc>
        <w:tc>
          <w:tcPr>
            <w:tcW w:w="4982" w:type="dxa"/>
            <w:gridSpan w:val="2"/>
            <w:vAlign w:val="center"/>
          </w:tcPr>
          <w:p w14:paraId="5A1A5A9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24"/>
                <w:szCs w:val="24"/>
                <w:highlight w:val="none"/>
                <w:vertAlign w:val="baseline"/>
                <w:lang w:val="en-US" w:eastAsia="zh-CN" w:bidi="ar-SA"/>
              </w:rPr>
            </w:pPr>
          </w:p>
        </w:tc>
      </w:tr>
    </w:tbl>
    <w:p w14:paraId="38FA887D">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default" w:cstheme="minorBidi"/>
          <w:color w:val="auto"/>
          <w:kern w:val="2"/>
          <w:sz w:val="40"/>
          <w:szCs w:val="48"/>
          <w:highlight w:val="none"/>
          <w:lang w:val="en-US" w:eastAsia="zh-CN" w:bidi="ar-SA"/>
        </w:rPr>
      </w:pPr>
    </w:p>
    <w:p w14:paraId="70590F7D">
      <w:pPr>
        <w:keepNext w:val="0"/>
        <w:keepLines w:val="0"/>
        <w:widowControl/>
        <w:suppressLineNumbers w:val="0"/>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备注：</w:t>
      </w:r>
    </w:p>
    <w:p w14:paraId="2C74CEA0">
      <w:pPr>
        <w:keepNext w:val="0"/>
        <w:keepLines w:val="0"/>
        <w:widowControl/>
        <w:suppressLineNumbers w:val="0"/>
        <w:jc w:val="left"/>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1、供应商可自行填写《分项报价明细表》内容；</w:t>
      </w:r>
    </w:p>
    <w:p w14:paraId="216E86F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2、分项报价</w:t>
      </w:r>
      <w:r>
        <w:rPr>
          <w:rFonts w:hint="eastAsia" w:ascii="宋体" w:hAnsi="宋体" w:eastAsia="宋体" w:cs="宋体"/>
          <w:b w:val="0"/>
          <w:bCs w:val="0"/>
          <w:color w:val="auto"/>
          <w:kern w:val="2"/>
          <w:sz w:val="21"/>
          <w:szCs w:val="21"/>
          <w:highlight w:val="none"/>
          <w:lang w:val="en-US" w:eastAsia="zh-CN" w:bidi="ar-SA"/>
        </w:rPr>
        <w:t>合计金额</w:t>
      </w:r>
      <w:r>
        <w:rPr>
          <w:rFonts w:hint="default" w:ascii="宋体" w:hAnsi="宋体" w:eastAsia="宋体" w:cs="宋体"/>
          <w:b w:val="0"/>
          <w:bCs w:val="0"/>
          <w:color w:val="auto"/>
          <w:kern w:val="2"/>
          <w:sz w:val="21"/>
          <w:szCs w:val="21"/>
          <w:highlight w:val="none"/>
          <w:lang w:val="en-US" w:eastAsia="zh-CN" w:bidi="ar-SA"/>
        </w:rPr>
        <w:t>必须与《报价一览表》报价一致。</w:t>
      </w:r>
    </w:p>
    <w:p w14:paraId="71E5F8C5">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default" w:ascii="宋体" w:hAnsi="宋体" w:eastAsia="宋体" w:cs="宋体"/>
          <w:b w:val="0"/>
          <w:bCs w:val="0"/>
          <w:color w:val="auto"/>
          <w:kern w:val="2"/>
          <w:sz w:val="21"/>
          <w:szCs w:val="21"/>
          <w:highlight w:val="none"/>
          <w:lang w:val="en-US" w:eastAsia="zh-CN" w:bidi="ar-SA"/>
        </w:rPr>
      </w:pPr>
      <w:r>
        <w:rPr>
          <w:rFonts w:hint="default" w:ascii="宋体" w:hAnsi="宋体" w:eastAsia="宋体" w:cs="宋体"/>
          <w:b w:val="0"/>
          <w:bCs w:val="0"/>
          <w:color w:val="auto"/>
          <w:kern w:val="2"/>
          <w:sz w:val="21"/>
          <w:szCs w:val="21"/>
          <w:highlight w:val="none"/>
          <w:lang w:val="en-US" w:eastAsia="zh-CN" w:bidi="ar-SA"/>
        </w:rPr>
        <w:t>3、</w:t>
      </w:r>
      <w:r>
        <w:rPr>
          <w:rFonts w:hint="eastAsia" w:ascii="宋体" w:hAnsi="宋体" w:eastAsia="宋体" w:cs="宋体"/>
          <w:b w:val="0"/>
          <w:bCs w:val="0"/>
          <w:color w:val="auto"/>
          <w:kern w:val="2"/>
          <w:sz w:val="21"/>
          <w:szCs w:val="21"/>
          <w:highlight w:val="none"/>
          <w:lang w:val="en-US" w:eastAsia="zh-CN" w:bidi="ar-SA"/>
        </w:rPr>
        <w:t>该报价包含本项目所有内容</w:t>
      </w:r>
      <w:r>
        <w:rPr>
          <w:rFonts w:hint="default" w:ascii="宋体" w:hAnsi="宋体" w:eastAsia="宋体" w:cs="宋体"/>
          <w:b w:val="0"/>
          <w:bCs w:val="0"/>
          <w:color w:val="auto"/>
          <w:kern w:val="2"/>
          <w:sz w:val="21"/>
          <w:szCs w:val="21"/>
          <w:highlight w:val="none"/>
          <w:lang w:val="en-US" w:eastAsia="zh-CN" w:bidi="ar-SA"/>
        </w:rPr>
        <w:t>。</w:t>
      </w:r>
    </w:p>
    <w:p w14:paraId="2203ACFE">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default" w:cstheme="minorBidi"/>
          <w:color w:val="auto"/>
          <w:kern w:val="2"/>
          <w:sz w:val="40"/>
          <w:szCs w:val="48"/>
          <w:highlight w:val="none"/>
          <w:lang w:val="en-US" w:eastAsia="zh-CN" w:bidi="ar-SA"/>
        </w:rPr>
      </w:pPr>
    </w:p>
    <w:p w14:paraId="03489723">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供应商名称(电子</w:t>
      </w:r>
      <w:r>
        <w:rPr>
          <w:rFonts w:hint="eastAsia" w:ascii="宋体" w:hAnsi="宋体" w:eastAsia="宋体" w:cs="宋体"/>
          <w:color w:val="auto"/>
          <w:kern w:val="2"/>
          <w:sz w:val="24"/>
          <w:szCs w:val="24"/>
          <w:highlight w:val="none"/>
          <w:lang w:val="en-US" w:eastAsia="zh-CN" w:bidi="ar-SA"/>
        </w:rPr>
        <w:t>签章</w:t>
      </w:r>
      <w:r>
        <w:rPr>
          <w:rFonts w:hint="default" w:ascii="宋体" w:hAnsi="宋体" w:eastAsia="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w:t>
      </w:r>
    </w:p>
    <w:p w14:paraId="11E975A8">
      <w:pPr>
        <w:keepNext w:val="0"/>
        <w:keepLines w:val="0"/>
        <w:widowControl/>
        <w:suppressLineNumbers w:val="0"/>
        <w:spacing w:line="48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法定代表人或委托代理人（签字或盖章）：</w:t>
      </w:r>
      <w:r>
        <w:rPr>
          <w:rFonts w:hint="eastAsia" w:ascii="宋体" w:hAnsi="宋体" w:eastAsia="宋体" w:cs="宋体"/>
          <w:color w:val="auto"/>
          <w:kern w:val="2"/>
          <w:sz w:val="24"/>
          <w:szCs w:val="24"/>
          <w:highlight w:val="none"/>
          <w:u w:val="single"/>
          <w:lang w:val="en-US" w:eastAsia="zh-CN" w:bidi="ar-SA"/>
        </w:rPr>
        <w:t xml:space="preserve">                     </w:t>
      </w:r>
    </w:p>
    <w:p w14:paraId="4D7381E2">
      <w:pPr>
        <w:pStyle w:val="18"/>
        <w:keepNext w:val="0"/>
        <w:keepLines w:val="0"/>
        <w:pageBreakBefore w:val="0"/>
        <w:widowControl w:val="0"/>
        <w:numPr>
          <w:ilvl w:val="0"/>
          <w:numId w:val="0"/>
        </w:numPr>
        <w:kinsoku/>
        <w:wordWrap/>
        <w:overflowPunct/>
        <w:topLinePunct w:val="0"/>
        <w:autoSpaceDE/>
        <w:autoSpaceDN/>
        <w:bidi w:val="0"/>
        <w:adjustRightInd/>
        <w:snapToGrid/>
        <w:spacing w:after="0" w:line="480" w:lineRule="auto"/>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日期：</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年 </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月</w:t>
      </w:r>
      <w:r>
        <w:rPr>
          <w:rFonts w:hint="eastAsia"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 xml:space="preserve"> 日</w:t>
      </w:r>
    </w:p>
    <w:p w14:paraId="0D80E4E4">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both"/>
        <w:textAlignment w:val="auto"/>
        <w:rPr>
          <w:rFonts w:hint="default" w:cstheme="minorBidi"/>
          <w:color w:val="auto"/>
          <w:kern w:val="2"/>
          <w:sz w:val="40"/>
          <w:szCs w:val="48"/>
          <w:highlight w:val="none"/>
          <w:lang w:val="en-US" w:eastAsia="zh-CN" w:bidi="ar-SA"/>
        </w:rPr>
      </w:pPr>
    </w:p>
    <w:p w14:paraId="2F178733">
      <w:pPr>
        <w:pStyle w:val="18"/>
        <w:keepNext w:val="0"/>
        <w:keepLines w:val="0"/>
        <w:pageBreakBefore w:val="0"/>
        <w:widowControl w:val="0"/>
        <w:numPr>
          <w:ilvl w:val="0"/>
          <w:numId w:val="0"/>
        </w:numPr>
        <w:kinsoku/>
        <w:wordWrap/>
        <w:overflowPunct/>
        <w:topLinePunct w:val="0"/>
        <w:autoSpaceDE/>
        <w:autoSpaceDN/>
        <w:bidi w:val="0"/>
        <w:adjustRightInd/>
        <w:snapToGrid/>
        <w:spacing w:after="0" w:line="360" w:lineRule="auto"/>
        <w:jc w:val="center"/>
        <w:textAlignment w:val="auto"/>
        <w:rPr>
          <w:rFonts w:hint="default" w:cstheme="minorBidi"/>
          <w:color w:val="auto"/>
          <w:kern w:val="2"/>
          <w:sz w:val="40"/>
          <w:szCs w:val="48"/>
          <w:highlight w:val="none"/>
          <w:lang w:val="en-US" w:eastAsia="zh-CN" w:bidi="ar-SA"/>
        </w:rPr>
      </w:pPr>
    </w:p>
    <w:sectPr>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5D08E8">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B0176">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70CB0176">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D20EB6"/>
    <w:multiLevelType w:val="singleLevel"/>
    <w:tmpl w:val="BFD20EB6"/>
    <w:lvl w:ilvl="0" w:tentative="0">
      <w:start w:val="1"/>
      <w:numFmt w:val="bullet"/>
      <w:lvlText w:val=""/>
      <w:lvlJc w:val="left"/>
      <w:pPr>
        <w:ind w:left="420" w:hanging="420"/>
      </w:pPr>
      <w:rPr>
        <w:rFonts w:hint="default" w:ascii="Wingdings" w:hAnsi="Wingdings"/>
      </w:rPr>
    </w:lvl>
  </w:abstractNum>
  <w:abstractNum w:abstractNumId="1">
    <w:nsid w:val="EC4F17F5"/>
    <w:multiLevelType w:val="singleLevel"/>
    <w:tmpl w:val="EC4F17F5"/>
    <w:lvl w:ilvl="0" w:tentative="0">
      <w:start w:val="1"/>
      <w:numFmt w:val="bullet"/>
      <w:lvlText w:val=""/>
      <w:lvlJc w:val="left"/>
      <w:pPr>
        <w:ind w:left="420" w:hanging="420"/>
      </w:pPr>
      <w:rPr>
        <w:rFonts w:hint="default" w:ascii="Wingdings" w:hAnsi="Wingdings"/>
      </w:rPr>
    </w:lvl>
  </w:abstractNum>
  <w:abstractNum w:abstractNumId="2">
    <w:nsid w:val="26D6C056"/>
    <w:multiLevelType w:val="singleLevel"/>
    <w:tmpl w:val="26D6C056"/>
    <w:lvl w:ilvl="0" w:tentative="0">
      <w:start w:val="1"/>
      <w:numFmt w:val="decimal"/>
      <w:suff w:val="nothing"/>
      <w:lvlText w:val="（%1）"/>
      <w:lvlJc w:val="left"/>
    </w:lvl>
  </w:abstractNum>
  <w:abstractNum w:abstractNumId="3">
    <w:nsid w:val="6ABF5FD9"/>
    <w:multiLevelType w:val="singleLevel"/>
    <w:tmpl w:val="6ABF5FD9"/>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CF6F71"/>
    <w:rsid w:val="01B10909"/>
    <w:rsid w:val="028427E2"/>
    <w:rsid w:val="034641DB"/>
    <w:rsid w:val="09CA710C"/>
    <w:rsid w:val="0C7F568F"/>
    <w:rsid w:val="0C9025F4"/>
    <w:rsid w:val="0CF22A6D"/>
    <w:rsid w:val="0F590F2E"/>
    <w:rsid w:val="1319260B"/>
    <w:rsid w:val="13A51AA9"/>
    <w:rsid w:val="15A7768E"/>
    <w:rsid w:val="1E7139C9"/>
    <w:rsid w:val="216D3965"/>
    <w:rsid w:val="22DD374F"/>
    <w:rsid w:val="29E0308D"/>
    <w:rsid w:val="2ACC2084"/>
    <w:rsid w:val="2C25300C"/>
    <w:rsid w:val="2D7B19C7"/>
    <w:rsid w:val="2E8543A0"/>
    <w:rsid w:val="31C679AA"/>
    <w:rsid w:val="34325184"/>
    <w:rsid w:val="368B560A"/>
    <w:rsid w:val="39614D85"/>
    <w:rsid w:val="3A8404D3"/>
    <w:rsid w:val="3BA37E3E"/>
    <w:rsid w:val="3BCE5A48"/>
    <w:rsid w:val="40B30F05"/>
    <w:rsid w:val="43DA22C7"/>
    <w:rsid w:val="454516CB"/>
    <w:rsid w:val="4F840831"/>
    <w:rsid w:val="4FA3461B"/>
    <w:rsid w:val="53B65865"/>
    <w:rsid w:val="5EF62023"/>
    <w:rsid w:val="5F446A72"/>
    <w:rsid w:val="61523C93"/>
    <w:rsid w:val="62F11996"/>
    <w:rsid w:val="66FB71D3"/>
    <w:rsid w:val="6A2331E9"/>
    <w:rsid w:val="72E327A8"/>
    <w:rsid w:val="73DC0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3"/>
    <w:next w:val="1"/>
    <w:qFormat/>
    <w:uiPriority w:val="0"/>
    <w:pPr>
      <w:keepNext/>
      <w:keepLines/>
      <w:spacing w:before="120" w:after="120" w:line="360" w:lineRule="auto"/>
      <w:jc w:val="center"/>
      <w:outlineLvl w:val="0"/>
    </w:pPr>
    <w:rPr>
      <w:rFonts w:eastAsia="黑体"/>
      <w:kern w:val="44"/>
      <w:sz w:val="32"/>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3">
    <w:name w:val="Title"/>
    <w:basedOn w:val="1"/>
    <w:next w:val="1"/>
    <w:qFormat/>
    <w:uiPriority w:val="0"/>
    <w:pPr>
      <w:widowControl/>
      <w:spacing w:before="240" w:after="60" w:line="351" w:lineRule="atLeast"/>
      <w:ind w:firstLine="419"/>
      <w:jc w:val="center"/>
      <w:textAlignment w:val="baseline"/>
      <w:outlineLvl w:val="0"/>
    </w:pPr>
    <w:rPr>
      <w:rFonts w:ascii="Cambria" w:hAnsi="Cambria"/>
      <w:b/>
      <w:bCs/>
      <w:color w:val="000000"/>
      <w:kern w:val="0"/>
      <w:sz w:val="32"/>
      <w:szCs w:val="32"/>
      <w:u w:val="none" w:color="000000"/>
    </w:rPr>
  </w:style>
  <w:style w:type="paragraph" w:styleId="5">
    <w:name w:val="annotation text"/>
    <w:basedOn w:val="1"/>
    <w:qFormat/>
    <w:uiPriority w:val="0"/>
    <w:pPr>
      <w:jc w:val="left"/>
    </w:pPr>
  </w:style>
  <w:style w:type="paragraph" w:styleId="6">
    <w:name w:val="Body Text"/>
    <w:basedOn w:val="1"/>
    <w:next w:val="1"/>
    <w:qFormat/>
    <w:uiPriority w:val="0"/>
    <w:pPr>
      <w:spacing w:line="60" w:lineRule="auto"/>
    </w:pPr>
    <w:rPr>
      <w:rFonts w:ascii="仿宋_GB2312" w:eastAsia="仿宋_GB2312"/>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paragraph" w:styleId="10">
    <w:name w:val="footnote text"/>
    <w:basedOn w:val="11"/>
    <w:qFormat/>
    <w:uiPriority w:val="0"/>
    <w:pPr>
      <w:snapToGrid w:val="0"/>
    </w:pPr>
    <w:rPr>
      <w:sz w:val="18"/>
    </w:rPr>
  </w:style>
  <w:style w:type="paragraph" w:customStyle="1" w:styleId="11">
    <w:name w:val="正文_1"/>
    <w:qFormat/>
    <w:uiPriority w:val="0"/>
    <w:pPr>
      <w:widowControl w:val="0"/>
      <w:jc w:val="both"/>
    </w:pPr>
    <w:rPr>
      <w:rFonts w:ascii="Calibri" w:hAnsi="Calibri" w:eastAsia="宋体" w:cs="Times New Roman"/>
      <w:kern w:val="2"/>
      <w:sz w:val="21"/>
      <w:szCs w:val="22"/>
      <w:lang w:val="en-US" w:eastAsia="zh-CN" w:bidi="ar-SA"/>
    </w:rPr>
  </w:style>
  <w:style w:type="paragraph" w:styleId="12">
    <w:name w:val="toc 2"/>
    <w:basedOn w:val="1"/>
    <w:next w:val="1"/>
    <w:qFormat/>
    <w:uiPriority w:val="0"/>
    <w:pPr>
      <w:ind w:left="420" w:leftChars="200"/>
    </w:p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22"/>
    <w:rPr>
      <w:b/>
      <w:bCs/>
    </w:rPr>
  </w:style>
  <w:style w:type="paragraph" w:customStyle="1" w:styleId="18">
    <w:name w:val="BodyText"/>
    <w:basedOn w:val="1"/>
    <w:qFormat/>
    <w:uiPriority w:val="0"/>
    <w:pPr>
      <w:spacing w:after="120"/>
    </w:p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paragraph" w:customStyle="1" w:styleId="20">
    <w:name w:val="正文_1_0"/>
    <w:basedOn w:val="21"/>
    <w:next w:val="26"/>
    <w:qFormat/>
    <w:uiPriority w:val="0"/>
    <w:rPr>
      <w:rFonts w:ascii="Times New Roman" w:hAnsi="Times New Roman"/>
      <w:szCs w:val="24"/>
    </w:rPr>
  </w:style>
  <w:style w:type="paragraph" w:customStyle="1" w:styleId="21">
    <w:name w:val="正文_1_1"/>
    <w:basedOn w:val="22"/>
    <w:qFormat/>
    <w:uiPriority w:val="0"/>
    <w:rPr>
      <w:rFonts w:ascii="Calibri" w:hAnsi="Calibri"/>
      <w:szCs w:val="22"/>
    </w:rPr>
  </w:style>
  <w:style w:type="paragraph" w:customStyle="1" w:styleId="22">
    <w:name w:val="正文_5"/>
    <w:basedOn w:val="23"/>
    <w:next w:val="2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正文_6"/>
    <w:next w:val="2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列表_1"/>
    <w:basedOn w:val="23"/>
    <w:semiHidden/>
    <w:qFormat/>
    <w:locked/>
    <w:uiPriority w:val="0"/>
    <w:pPr>
      <w:ind w:left="200" w:hanging="200" w:hangingChars="200"/>
    </w:pPr>
  </w:style>
  <w:style w:type="paragraph" w:customStyle="1" w:styleId="25">
    <w:name w:val="引文目录标题_0"/>
    <w:basedOn w:val="22"/>
    <w:next w:val="22"/>
    <w:qFormat/>
    <w:uiPriority w:val="0"/>
    <w:pPr>
      <w:spacing w:before="120"/>
    </w:pPr>
    <w:rPr>
      <w:rFonts w:ascii="Arial" w:hAnsi="Arial"/>
      <w:sz w:val="24"/>
    </w:rPr>
  </w:style>
  <w:style w:type="paragraph" w:customStyle="1" w:styleId="26">
    <w:name w:val="正文首行缩进1"/>
    <w:basedOn w:val="27"/>
    <w:unhideWhenUsed/>
    <w:qFormat/>
    <w:uiPriority w:val="99"/>
    <w:pPr>
      <w:ind w:firstLine="420" w:firstLineChars="100"/>
    </w:pPr>
    <w:rPr>
      <w:szCs w:val="22"/>
    </w:rPr>
  </w:style>
  <w:style w:type="paragraph" w:customStyle="1" w:styleId="27">
    <w:name w:val="正文文本_0_0"/>
    <w:basedOn w:val="28"/>
    <w:qFormat/>
    <w:uiPriority w:val="0"/>
    <w:pPr>
      <w:spacing w:after="120"/>
    </w:pPr>
    <w:rPr>
      <w:rFonts w:ascii="Calibri" w:hAnsi="Calibri"/>
      <w:kern w:val="0"/>
      <w:sz w:val="20"/>
    </w:rPr>
  </w:style>
  <w:style w:type="paragraph" w:customStyle="1" w:styleId="28">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font21"/>
    <w:basedOn w:val="16"/>
    <w:qFormat/>
    <w:uiPriority w:val="0"/>
    <w:rPr>
      <w:rFonts w:hint="eastAsia" w:ascii="宋体" w:hAnsi="宋体" w:eastAsia="宋体" w:cs="宋体"/>
      <w:b/>
      <w:color w:val="000000"/>
      <w:sz w:val="20"/>
      <w:szCs w:val="20"/>
      <w:u w:val="none"/>
    </w:rPr>
  </w:style>
  <w:style w:type="character" w:customStyle="1" w:styleId="30">
    <w:name w:val="font11"/>
    <w:basedOn w:val="16"/>
    <w:qFormat/>
    <w:uiPriority w:val="0"/>
    <w:rPr>
      <w:rFonts w:hint="eastAsia" w:ascii="宋体" w:hAnsi="宋体" w:eastAsia="宋体" w:cs="宋体"/>
      <w:color w:val="000000"/>
      <w:sz w:val="20"/>
      <w:szCs w:val="20"/>
      <w:u w:val="none"/>
    </w:rPr>
  </w:style>
  <w:style w:type="character" w:customStyle="1" w:styleId="31">
    <w:name w:val="font41"/>
    <w:basedOn w:val="16"/>
    <w:qFormat/>
    <w:uiPriority w:val="0"/>
    <w:rPr>
      <w:rFonts w:hint="default" w:ascii="Times New Roman" w:hAnsi="Times New Roman" w:cs="Times New Roman"/>
      <w:color w:val="000000"/>
      <w:sz w:val="20"/>
      <w:szCs w:val="20"/>
      <w:u w:val="none"/>
    </w:rPr>
  </w:style>
  <w:style w:type="paragraph" w:customStyle="1" w:styleId="32">
    <w:name w:val="段_0"/>
    <w:next w:val="22"/>
    <w:qFormat/>
    <w:uiPriority w:val="0"/>
    <w:pPr>
      <w:autoSpaceDE w:val="0"/>
      <w:autoSpaceDN w:val="0"/>
      <w:adjustRightInd w:val="0"/>
      <w:snapToGrid w:val="0"/>
      <w:spacing w:line="360" w:lineRule="auto"/>
      <w:ind w:firstLine="200" w:firstLineChars="200"/>
      <w:jc w:val="both"/>
    </w:pPr>
    <w:rPr>
      <w:rFonts w:ascii="宋体" w:hAnsi="Calibri" w:eastAsia="Calibri" w:cs="Times New Roman"/>
      <w:sz w:val="24"/>
      <w:szCs w:val="22"/>
      <w:lang w:val="en-US" w:eastAsia="zh-CN" w:bidi="ar-SA"/>
    </w:rPr>
  </w:style>
  <w:style w:type="paragraph" w:customStyle="1" w:styleId="33">
    <w:name w:val="正文_0"/>
    <w:basedOn w:val="11"/>
    <w:qFormat/>
    <w:uiPriority w:val="0"/>
    <w:pPr>
      <w:widowControl w:val="0"/>
      <w:jc w:val="both"/>
    </w:pPr>
    <w:rPr>
      <w:rFonts w:ascii="Times New Roman" w:hAnsi="Times New Roman" w:eastAsia="仿宋_GB2312" w:cs="Times New Roman"/>
      <w:kern w:val="2"/>
      <w:sz w:val="28"/>
      <w:szCs w:val="24"/>
      <w:lang w:val="en-US" w:eastAsia="zh-CN" w:bidi="ar-SA"/>
    </w:rPr>
  </w:style>
  <w:style w:type="character" w:customStyle="1" w:styleId="34">
    <w:name w:val="10"/>
    <w:qFormat/>
    <w:uiPriority w:val="0"/>
    <w:rPr>
      <w:rFonts w:hint="default" w:ascii="Calibri" w:hAnsi="Calibri"/>
    </w:rPr>
  </w:style>
  <w:style w:type="paragraph" w:customStyle="1" w:styleId="35">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36">
    <w:name w:val="标题 3_0_0"/>
    <w:basedOn w:val="35"/>
    <w:next w:val="35"/>
    <w:qFormat/>
    <w:uiPriority w:val="0"/>
    <w:pPr>
      <w:autoSpaceDE w:val="0"/>
      <w:autoSpaceDN w:val="0"/>
      <w:adjustRightInd w:val="0"/>
      <w:spacing w:line="500" w:lineRule="exact"/>
      <w:jc w:val="center"/>
      <w:outlineLvl w:val="2"/>
    </w:pPr>
    <w:rPr>
      <w:rFonts w:ascii="宋体" w:hAnsi="宋体"/>
      <w:b/>
      <w:szCs w:val="28"/>
    </w:rPr>
  </w:style>
  <w:style w:type="paragraph" w:customStyle="1" w:styleId="37">
    <w:name w:val="Normal_5"/>
    <w:qFormat/>
    <w:uiPriority w:val="0"/>
    <w:rPr>
      <w:rFonts w:ascii="黑体" w:hAnsi="黑体" w:eastAsia="黑体" w:cs="Times New Roman"/>
      <w:b/>
      <w:sz w:val="32"/>
      <w:szCs w:val="24"/>
      <w:lang w:val="en-US" w:eastAsia="zh-CN" w:bidi="ar-SA"/>
    </w:rPr>
  </w:style>
  <w:style w:type="paragraph" w:customStyle="1" w:styleId="3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正文_4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正文_0_0_1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1">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0_0_1"/>
    <w:qFormat/>
    <w:uiPriority w:val="0"/>
    <w:pPr>
      <w:widowControl w:val="0"/>
      <w:jc w:val="both"/>
    </w:pPr>
    <w:rPr>
      <w:rFonts w:ascii="Calibri" w:hAnsi="Calibri" w:eastAsia="宋体" w:cs="Times New Roman"/>
      <w:kern w:val="2"/>
      <w:sz w:val="28"/>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7eda53ae-c2f9-4f4e-bc91-b585c04857d1</errorID>
      <errorWord>[2014]68号</errorWord>
      <group>L1_Knowledge</group>
      <groupName>知识性问题</groupName>
      <ability>L2_Knowledge</ability>
      <abilityName>其他知识</abilityName>
      <candidateList>
        <item>〔2014〕68号</item>
      </candidateList>
      <explain>发文字号格式错误。</explain>
      <paraID>6047DF8B</paraID>
      <start>29</start>
      <end>38</end>
      <status>ignored</status>
      <modifiedWord/>
      <trackRevisions>false</trackRevisions>
    </reviewItem>
    <reviewItem>
      <errorID>c03f763f-2423-449d-9149-fbbc3ccda002</errorID>
      <errorWord>[2017]</errorWord>
      <group>L1_Punc</group>
      <groupName>标点问题</groupName>
      <ability>L2_Punc</ability>
      <abilityName>标点符号检查</abilityName>
      <candidateList>
        <item>〔2017〕</item>
      </candidateList>
      <explain/>
      <paraID>4EC02C5B</paraID>
      <start>33</start>
      <end>39</end>
      <status>ignored</status>
      <modifiedWord/>
      <trackRevisions>false</trackRevisions>
    </reviewItem>
    <reviewItem>
      <errorID>ab9f9ec5-bbdc-4c74-abd2-c1eb89343786</errorID>
      <errorWord>[2019]9号</errorWord>
      <group>L1_Knowledge</group>
      <groupName>知识性问题</groupName>
      <ability>L2_Knowledge</ability>
      <abilityName>其他知识</abilityName>
      <candidateList>
        <item>〔2019〕9号</item>
      </candidateList>
      <explain>发文字号格式错误。</explain>
      <paraID>7DBFF89C</paraID>
      <start>36</start>
      <end>44</end>
      <status>ignored</status>
      <modifiedWord/>
      <trackRevisions>false</trackRevisions>
    </reviewItem>
    <reviewItem>
      <errorID>96e0ae29-486b-4ca6-926b-5ae811ebbbb0</errorID>
      <errorWord>下午14:00</errorWord>
      <group>L1_Knowledge</group>
      <groupName>知识性问题</groupName>
      <ability>L2_Time</ability>
      <abilityName>日期时间</abilityName>
      <candidateList>
        <item>14:00</item>
      </candidateList>
      <explain>24小时制的时间，不需要强调“下午”。</explain>
      <paraID>7F4B7256</paraID>
      <start>53</start>
      <end>60</end>
      <status>ignored</status>
      <modifiedWord/>
      <trackRevisions>false</trackRevisions>
    </reviewItem>
    <reviewItem>
      <errorID>6d50241d-47af-46ab-ab18-02d96fc71bce</errorID>
      <errorWord>间</errorWord>
      <group>L1_Word</group>
      <groupName>字词问题</groupName>
      <ability>L2_Typo</ability>
      <abilityName>字词错误</abilityName>
      <candidateList>
        <item>间之</item>
      </candidateList>
      <explain/>
      <paraID>2F7CE18C</paraID>
      <start>55</start>
      <end>56</end>
      <status>ignored</status>
      <modifiedWord/>
      <trackRevisions>false</trackRevisions>
    </reviewItem>
    <reviewItem>
      <errorID>4db8fc50-1963-47ec-bf70-6b4fa89791e6</errorID>
      <errorWord>（</errorWord>
      <group>L1_Format</group>
      <groupName>格式问题</groupName>
      <ability>L2_HalfPunc</ability>
      <abilityName>全半角检查</abilityName>
      <candidateList>
        <item>(</item>
      </candidateList>
      <explain>文本全半角错误。</explain>
      <paraID>517252A4</paraID>
      <start>4</start>
      <end>5</end>
      <status>ignored</status>
      <modifiedWord/>
      <trackRevisions>false</trackRevisions>
    </reviewItem>
    <reviewItem>
      <errorID>bc8e3360-b0e2-473c-acdb-56f52a2eb796</errorID>
      <errorWord>）</errorWord>
      <group>L1_Format</group>
      <groupName>格式问题</groupName>
      <ability>L2_HalfPunc</ability>
      <abilityName>全半角检查</abilityName>
      <candidateList>
        <item>)</item>
      </candidateList>
      <explain>文本全半角错误。</explain>
      <paraID>517252A4</paraID>
      <start>8</start>
      <end>9</end>
      <status>ignored</status>
      <modifiedWord/>
      <trackRevisions>false</trackRevisions>
    </reviewItem>
    <reviewItem>
      <errorID>3ac7b2a6-56fb-4952-a034-b693083c98c8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4A26C529</paraID>
      <start>0</start>
      <end>2</end>
      <status>ignored</status>
      <modifiedWord/>
      <trackRevisions>false</trackRevisions>
    </reviewItem>
    <reviewItem>
      <errorID>42ad8952-deef-425a-95bf-86c796999f45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57EE882E</paraID>
      <start>97</start>
      <end>100</end>
      <status>ignored</status>
      <modifiedWord/>
      <trackRevisions>false</trackRevisions>
    </reviewItem>
    <reviewItem>
      <errorID>f0e2e2cf-e7ac-41a2-8ec9-627db87c8848</errorID>
      <errorWord>（</errorWord>
      <group>L1_Punc</group>
      <groupName>标点问题</groupName>
      <ability>L2_Punc</ability>
      <abilityName>标点符号检查</abilityName>
      <candidateList/>
      <explain>同一形式括号套用。</explain>
      <paraID>1216242E</paraID>
      <start>121</start>
      <end>122</end>
      <status>ignored</status>
      <modifiedWord/>
      <trackRevisions>false</trackRevisions>
    </reviewItem>
    <reviewItem>
      <errorID>ac014709-3f82-4948-b259-f32fdd0826d1</errorID>
      <errorWord>）</errorWord>
      <group>L1_Punc</group>
      <groupName>标点问题</groupName>
      <ability>L2_Punc</ability>
      <abilityName>标点符号检查</abilityName>
      <candidateList/>
      <explain>同一形式括号套用。</explain>
      <paraID>1216242E</paraID>
      <start>139</start>
      <end>140</end>
      <status>ignored</status>
      <modifiedWord/>
      <trackRevisions>false</trackRevisions>
    </reviewItem>
    <reviewItem>
      <errorID>89a5def4-da2c-493c-bd99-dd92d1bb8394</errorID>
      <errorWord>商</errorWord>
      <group>L1_Word</group>
      <groupName>字词问题</groupName>
      <ability>L2_Typo</ability>
      <abilityName>字词错误</abilityName>
      <candidateList>
        <item>商提</item>
      </candidateList>
      <explain/>
      <paraID>1216242E</paraID>
      <start>207</start>
      <end>209</end>
      <status>modified</status>
      <modifiedWord>商提</modifiedWord>
      <trackRevisions>false</trackRevisions>
    </reviewItem>
    <reviewItem>
      <errorID>b80b5b2b-8bd5-4830-8dd6-a46bc7a8aca8</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7C0D2C82</paraID>
      <start>67</start>
      <end>74</end>
      <status>ignored</status>
      <modifiedWord/>
      <trackRevisions>false</trackRevisions>
    </reviewItem>
    <reviewItem>
      <errorID>b83c1604-5f32-44fb-839d-3a12a540cc07</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7C0D2C82</paraID>
      <start>194</start>
      <end>199</end>
      <status>ignored</status>
      <modifiedWord/>
      <trackRevisions>false</trackRevisions>
    </reviewItem>
    <reviewItem>
      <errorID>93e01120-a284-45f1-8f4a-d5430120ef99</errorID>
      <errorWord>[2014]</errorWord>
      <group>L1_Punc</group>
      <groupName>标点问题</groupName>
      <ability>L2_Punc</ability>
      <abilityName>标点符号检查</abilityName>
      <candidateList>
        <item>〔2014〕</item>
      </candidateList>
      <explain/>
      <paraID>5173B73F</paraID>
      <start>34</start>
      <end>40</end>
      <status>ignored</status>
      <modifiedWord/>
      <trackRevisions>false</trackRevisions>
    </reviewItem>
    <reviewItem>
      <errorID>26db156e-1539-41eb-b883-abe69db5ef7d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2E96A7B6</paraID>
      <start>0</start>
      <end>2</end>
      <status>ignored</status>
      <modifiedWord/>
      <trackRevisions>false</trackRevisions>
    </reviewItem>
    <reviewItem>
      <errorID>19cd8d98-5c3e-470a-8e4f-8090d6a860dd</errorID>
      <errorWord>间</errorWord>
      <group>L1_Word</group>
      <groupName>字词问题</groupName>
      <ability>L2_Typo</ability>
      <abilityName>字词错误</abilityName>
      <candidateList>
        <item>间之</item>
      </candidateList>
      <explain/>
      <paraID>1F7E2FD8</paraID>
      <start>40</start>
      <end>41</end>
      <status>ignored</status>
      <modifiedWord/>
      <trackRevisions>false</trackRevisions>
    </reviewItem>
    <reviewItem>
      <errorID>f461213a-ce74-4b75-8bc2-9761e27a2b16</errorID>
      <errorWord>-</errorWord>
      <group>L1_Format</group>
      <groupName>格式问题</groupName>
      <ability>L2_HalfPunc</ability>
      <abilityName>全半角检查</abilityName>
      <candidateList>
        <item>－</item>
      </candidateList>
      <explain>文本全半角错误。</explain>
      <paraID> 62C795C</paraID>
      <start>55</start>
      <end>56</end>
      <status>ignored</status>
      <modifiedWord/>
      <trackRevisions>false</trackRevisions>
    </reviewItem>
    <reviewItem>
      <errorID>cf164256-8b89-41d8-ac5b-6592b7f76e34</errorID>
      <errorWord>操作合</errorWord>
      <group>L1_Word</group>
      <groupName>字词问题</groupName>
      <ability>L2_Typo</ability>
      <abilityName>字词错误</abilityName>
      <candidateList>
        <item>操作台</item>
      </candidateList>
      <explain/>
      <paraID>5C80E8E1</paraID>
      <start>9</start>
      <end>12</end>
      <status>ignored</status>
      <modifiedWord/>
      <trackRevisions>false</trackRevisions>
    </reviewItem>
    <reviewItem>
      <errorID>5f569544-cecd-4798-9a65-6bb82978651a</errorID>
      <errorWord>间</errorWord>
      <group>L1_Word</group>
      <groupName>字词问题</groupName>
      <ability>L2_Typo</ability>
      <abilityName>字词错误</abilityName>
      <candidateList>
        <item>间之</item>
      </candidateList>
      <explain/>
      <paraID>4CC43E48</paraID>
      <start>94</start>
      <end>95</end>
      <status>ignored</status>
      <modifiedWord/>
      <trackRevisions>false</trackRevisions>
    </reviewItem>
    <reviewItem>
      <errorID>e17ad384-e8b6-4507-982e-5f4086eee216</errorID>
      <errorWord>二轮</errorWord>
      <group>L1_Word</group>
      <groupName>字词问题</groupName>
      <ability>L2_Typo</ability>
      <abilityName>字词错误</abilityName>
      <candidateList>
        <item>两轮</item>
      </candidateList>
      <explain/>
      <paraID>4693C8DC</paraID>
      <start>11</start>
      <end>13</end>
      <status>ignored</status>
      <modifiedWord/>
      <trackRevisions>false</trackRevisions>
    </reviewItem>
    <reviewItem>
      <errorID>8af37227-26c3-4601-9ba9-052d545f5ccd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56EB81B1</paraID>
      <start>0</start>
      <end>2</end>
      <status>ignored</status>
      <modifiedWord/>
      <trackRevisions>false</trackRevisions>
    </reviewItem>
    <reviewItem>
      <errorID>6113a440-f819-4a37-afff-b54d59befa14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5D1D8489</paraID>
      <start>0</start>
      <end>2</end>
      <status>ignored</status>
      <modifiedWord/>
      <trackRevisions>false</trackRevisions>
    </reviewItem>
    <reviewItem>
      <errorID>8278503a-733f-4d5b-83cc-e24c4e156c7d</errorID>
      <errorWord>-</errorWord>
      <group>L1_Format</group>
      <groupName>格式问题</groupName>
      <ability>L2_HalfPunc</ability>
      <abilityName>全半角检查</abilityName>
      <candidateList>
        <item>－</item>
      </candidateList>
      <explain>文本全半角错误。</explain>
      <paraID>3EFA94DC</paraID>
      <start>11</start>
      <end>12</end>
      <status>ignored</status>
      <modifiedWord/>
      <trackRevisions>false</trackRevisions>
    </reviewItem>
    <reviewItem>
      <errorID>06440822-c494-4301-9da8-4fbc73dbab6b</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7D567603</paraID>
      <start>59</start>
      <end>66</end>
      <status>ignored</status>
      <modifiedWord/>
      <trackRevisions>false</trackRevisions>
    </reviewItem>
    <reviewItem>
      <errorID>57f2b932-3b7e-4491-9f7f-88f9166bac8a</errorID>
      <errorWord>保密的</errorWord>
      <group>L1_Word</group>
      <groupName>字词问题</groupName>
      <ability>L2_Typo</ability>
      <abilityName>字词错误</abilityName>
      <candidateList>
        <item>保密</item>
      </candidateList>
      <explain/>
      <paraID> EC824B4</paraID>
      <start>162</start>
      <end>165</end>
      <status>ignored</status>
      <modifiedWord/>
      <trackRevisions>false</trackRevisions>
    </reviewItem>
    <reviewItem>
      <errorID>0f75d0e9-595b-43c2-b9fc-e8693c2b7b6a</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3094B49E</paraID>
      <start>47</start>
      <end>54</end>
      <status>ignored</status>
      <modifiedWord/>
      <trackRevisions>false</trackRevisions>
    </reviewItem>
    <reviewItem>
      <errorID>80857a75-1a16-4225-8117-9342e8c1d28b</errorID>
      <errorWord>小组的</errorWord>
      <group>L1_Word</group>
      <groupName>字词问题</groupName>
      <ability>L2_Typo</ability>
      <abilityName>字词错误</abilityName>
      <candidateList>
        <item>小组</item>
      </candidateList>
      <explain/>
      <paraID>6F4EE4E5</paraID>
      <start>4</start>
      <end>7</end>
      <status>ignored</status>
      <modifiedWord/>
      <trackRevisions>false</trackRevisions>
    </reviewItem>
    <reviewItem>
      <errorID>2bb4c36d-70b8-4fdf-9eca-44e3bec02aba</errorID>
      <errorWord>人员的</errorWord>
      <group>L1_Word</group>
      <groupName>字词问题</groupName>
      <ability>L2_Typo</ability>
      <abilityName>字词错误</abilityName>
      <candidateList>
        <item>人员</item>
      </candidateList>
      <explain>〈名〉担任某种职务的人：机关工作～｜值班～｜～配备。</explain>
      <paraID>6F4EE4E5</paraID>
      <start>9</start>
      <end>12</end>
      <status>ignored</status>
      <modifiedWord/>
      <trackRevisions>false</trackRevisions>
    </reviewItem>
    <reviewItem>
      <errorID>bc1f3f2e-f1b4-4a29-bcb4-ad08cfdc7ed1</errorID>
      <errorWord>（</errorWord>
      <group>L1_Punc</group>
      <groupName>标点问题</groupName>
      <ability>L2_Punc</ability>
      <abilityName>标点符号检查</abilityName>
      <candidateList/>
      <explain>同一形式括号套用。</explain>
      <paraID>6A67377C</paraID>
      <start>32</start>
      <end>33</end>
      <status>ignored</status>
      <modifiedWord/>
      <trackRevisions>false</trackRevisions>
    </reviewItem>
    <reviewItem>
      <errorID>39fc108a-ad8b-461c-9f5a-ad4eb09382ae</errorID>
      <errorWord>）</errorWord>
      <group>L1_Punc</group>
      <groupName>标点问题</groupName>
      <ability>L2_Punc</ability>
      <abilityName>标点符号检查</abilityName>
      <candidateList/>
      <explain>同一形式括号套用。</explain>
      <paraID>6A67377C</paraID>
      <start>49</start>
      <end>50</end>
      <status>ignored</status>
      <modifiedWord/>
      <trackRevisions>false</trackRevisions>
    </reviewItem>
    <reviewItem>
      <errorID>8f725095-6af0-4ee2-8673-3ab7c8d0b934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74C30668</paraID>
      <start>57</start>
      <end>58</end>
      <status>ignored</status>
      <modifiedWord/>
      <trackRevisions>false</trackRevisions>
    </reviewItem>
    <reviewItem>
      <errorID>9169c8bb-419d-4561-b151-b09319e17bba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74C30668</paraID>
      <start>71</start>
      <end>72</end>
      <status>ignored</status>
      <modifiedWord/>
      <trackRevisions>false</trackRevisions>
    </reviewItem>
    <reviewItem>
      <errorID>0aef0c56-99d4-483d-b8b0-a8ce67927670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3D7EA8AD</paraID>
      <start>68</start>
      <end>69</end>
      <status>ignored</status>
      <modifiedWord/>
      <trackRevisions>false</trackRevisions>
    </reviewItem>
    <reviewItem>
      <errorID>10c0c2bd-5161-4aa0-9c71-0d85e0bd0ed7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3D7EA8AD</paraID>
      <start>82</start>
      <end>83</end>
      <status>ignored</status>
      <modifiedWord/>
      <trackRevisions>false</trackRevisions>
    </reviewItem>
    <reviewItem>
      <errorID>6c0b01c5-b3aa-40a2-9bf1-646a2e3921ce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2DA90793</paraID>
      <start>55</start>
      <end>56</end>
      <status>ignored</status>
      <modifiedWord/>
      <trackRevisions>false</trackRevisions>
    </reviewItem>
    <reviewItem>
      <errorID>ca6579b7-7c30-4671-af32-a4c0b3b69502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40D6430D</paraID>
      <start>72</start>
      <end>73</end>
      <status>ignored</status>
      <modifiedWord/>
      <trackRevisions>false</trackRevisions>
    </reviewItem>
    <reviewItem>
      <errorID>bedd3200-3344-4e05-a0c5-0092e00acb07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78ACB604</paraID>
      <start>40</start>
      <end>41</end>
      <status>ignored</status>
      <modifiedWord/>
      <trackRevisions>false</trackRevisions>
    </reviewItem>
    <reviewItem>
      <errorID>1cd79280-1ca1-498e-a1df-be7958e60476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78ACB604</paraID>
      <start>69</start>
      <end>70</end>
      <status>ignored</status>
      <modifiedWord/>
      <trackRevisions>false</trackRevisions>
    </reviewItem>
    <reviewItem>
      <errorID>5c3905ed-938f-4746-aef4-f17fdcafaadc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78ACB604</paraID>
      <start>101</start>
      <end>102</end>
      <status>ignored</status>
      <modifiedWord/>
      <trackRevisions>false</trackRevisions>
    </reviewItem>
    <reviewItem>
      <errorID>b5c0f37a-6520-4c8f-9047-4a016b7625e4</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56E9D72B</paraID>
      <start>59</start>
      <end>66</end>
      <status>ignored</status>
      <modifiedWord/>
      <trackRevisions>false</trackRevisions>
    </reviewItem>
    <reviewItem>
      <errorID>bd316fe7-9470-48bb-b1a4-c4da1b8f580f</errorID>
      <errorWord>保密的</errorWord>
      <group>L1_Word</group>
      <groupName>字词问题</groupName>
      <ability>L2_Typo</ability>
      <abilityName>字词错误</abilityName>
      <candidateList>
        <item>保密</item>
      </candidateList>
      <explain/>
      <paraID>1B24C5CE</paraID>
      <start>162</start>
      <end>165</end>
      <status>ignored</status>
      <modifiedWord/>
      <trackRevisions>false</trackRevisions>
    </reviewItem>
    <reviewItem>
      <errorID>268571a5-abd6-46e6-82a9-baf26ca8a141</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6E7A3CE7</paraID>
      <start>47</start>
      <end>54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e66333-14a0-458f-9a8b-7d0bf56baa0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20410</Words>
  <Characters>21586</Characters>
  <Lines>0</Lines>
  <Paragraphs>0</Paragraphs>
  <TotalTime>25</TotalTime>
  <ScaleCrop>false</ScaleCrop>
  <LinksUpToDate>false</LinksUpToDate>
  <CharactersWithSpaces>22122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2026-04-23T10:02:00Z</dcterms:created>
  <dc:creator>Administrator</dc:creator>
  <cp:lastModifiedBy>孔晨</cp:lastModifiedBy>
  <dcterms:modified xsi:type="dcterms:W3CDTF">2026-04-30T10:54:24Z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eyJoZGlkIjoiYmEyZGM4NDZjNDRiYTU5M2U3ZWRkMmJiNWY5NmU1ZjkiLCJ1c2VySWQiOiIxMDAwNjIzMzcwIn0=</vt:lpwstr>
  </property>
  <property fmtid="{D5CDD505-2E9C-101B-9397-08002B2CF9AE}" pid="4" name="ICV">
    <vt:lpwstr>9A4232E7423F436AB396BAAB94A06117_13</vt:lpwstr>
  </property>
  <property fmtid="{D5CDD505-2E9C-101B-9397-08002B2CF9AE}" pid="5" name="5B77E7CEEC58BC6AFAE8886BEB80DBEB">
    <vt:lpwstr>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</vt:lpwstr>
  </property>
</Properties>
</file>