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5157F"/>
    <w:p w14:paraId="214D41A9">
      <w:pPr>
        <w:jc w:val="center"/>
        <w:rPr>
          <w:b/>
          <w:sz w:val="84"/>
          <w:szCs w:val="84"/>
        </w:rPr>
      </w:pPr>
    </w:p>
    <w:p w14:paraId="6E1E830D">
      <w:pPr>
        <w:jc w:val="center"/>
        <w:rPr>
          <w:b/>
          <w:sz w:val="84"/>
          <w:szCs w:val="84"/>
        </w:rPr>
      </w:pPr>
    </w:p>
    <w:p w14:paraId="5FF32574">
      <w:pPr>
        <w:jc w:val="center"/>
        <w:rPr>
          <w:b/>
          <w:sz w:val="84"/>
          <w:szCs w:val="84"/>
        </w:rPr>
      </w:pPr>
    </w:p>
    <w:p w14:paraId="5F7628CD">
      <w:pPr>
        <w:jc w:val="center"/>
        <w:rPr>
          <w:b/>
          <w:sz w:val="120"/>
          <w:szCs w:val="120"/>
        </w:rPr>
      </w:pPr>
      <w:r>
        <w:rPr>
          <w:rFonts w:hint="eastAsia"/>
          <w:b/>
          <w:sz w:val="120"/>
          <w:szCs w:val="120"/>
        </w:rPr>
        <w:t>政府采购</w:t>
      </w:r>
    </w:p>
    <w:p w14:paraId="6E2B135B">
      <w:pPr>
        <w:jc w:val="center"/>
        <w:rPr>
          <w:b/>
          <w:sz w:val="120"/>
          <w:szCs w:val="120"/>
        </w:rPr>
      </w:pPr>
      <w:r>
        <w:rPr>
          <w:rFonts w:hint="eastAsia"/>
          <w:b/>
          <w:sz w:val="120"/>
          <w:szCs w:val="120"/>
        </w:rPr>
        <w:t>招标文件</w:t>
      </w:r>
    </w:p>
    <w:p w14:paraId="05D37EE5"/>
    <w:p w14:paraId="676F9E04"/>
    <w:p w14:paraId="762F3040"/>
    <w:p w14:paraId="616A92EC"/>
    <w:p w14:paraId="37D8F836"/>
    <w:p w14:paraId="675CA28A"/>
    <w:p w14:paraId="65367064"/>
    <w:p w14:paraId="1BB011F5"/>
    <w:p w14:paraId="5B0B2580"/>
    <w:p w14:paraId="4B95B3CD"/>
    <w:p w14:paraId="44F370B8"/>
    <w:p w14:paraId="393B8CCB"/>
    <w:p w14:paraId="7A2A3BE6">
      <w:pPr>
        <w:jc w:val="center"/>
        <w:rPr>
          <w:rFonts w:hint="eastAsia" w:eastAsia="宋体"/>
          <w:b/>
          <w:sz w:val="44"/>
          <w:szCs w:val="44"/>
          <w:lang w:eastAsia="zh-CN"/>
        </w:rPr>
      </w:pPr>
      <w:r>
        <w:rPr>
          <w:rFonts w:hint="eastAsia" w:eastAsia="宋体"/>
          <w:b/>
          <w:sz w:val="44"/>
          <w:szCs w:val="44"/>
          <w:lang w:eastAsia="zh-CN"/>
        </w:rPr>
        <w:t>喀什市招投标中心</w:t>
      </w:r>
    </w:p>
    <w:p w14:paraId="6163FFD1">
      <w:pPr>
        <w:keepNext/>
        <w:keepLines/>
        <w:spacing w:before="340" w:after="60" w:afterLines="25" w:line="578" w:lineRule="auto"/>
        <w:jc w:val="center"/>
        <w:outlineLvl w:val="0"/>
        <w:rPr>
          <w:rFonts w:hint="eastAsia" w:ascii="Arial" w:hAnsi="Arial" w:eastAsia="宋体"/>
          <w:b/>
          <w:bCs/>
          <w:kern w:val="44"/>
          <w:sz w:val="32"/>
          <w:szCs w:val="32"/>
        </w:rPr>
      </w:pPr>
    </w:p>
    <w:p w14:paraId="7C8F1CD6">
      <w:pPr>
        <w:keepNext/>
        <w:keepLines/>
        <w:spacing w:before="340" w:after="60" w:afterLines="25" w:line="578" w:lineRule="auto"/>
        <w:jc w:val="center"/>
        <w:outlineLvl w:val="0"/>
        <w:rPr>
          <w:rFonts w:hint="eastAsia" w:ascii="Arial" w:hAnsi="Arial" w:eastAsia="宋体"/>
          <w:b/>
          <w:bCs/>
          <w:kern w:val="44"/>
          <w:sz w:val="32"/>
          <w:szCs w:val="32"/>
        </w:rPr>
      </w:pPr>
    </w:p>
    <w:p w14:paraId="42CFD00C">
      <w:pPr>
        <w:keepNext/>
        <w:keepLines/>
        <w:spacing w:before="340" w:after="60" w:afterLines="25" w:line="578" w:lineRule="auto"/>
        <w:jc w:val="center"/>
        <w:outlineLvl w:val="0"/>
        <w:rPr>
          <w:rFonts w:hint="eastAsia" w:ascii="Arial" w:hAnsi="Arial" w:eastAsia="宋体"/>
          <w:b/>
          <w:bCs/>
          <w:kern w:val="44"/>
          <w:sz w:val="32"/>
          <w:szCs w:val="32"/>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0"/>
        </w:sectPr>
      </w:pPr>
    </w:p>
    <w:p w14:paraId="4A49CD3A">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14:paraId="26DD6BBF">
      <w:pPr>
        <w:outlineLvl w:val="0"/>
        <w:rPr>
          <w:b/>
        </w:rPr>
      </w:pPr>
      <w:r>
        <w:rPr>
          <w:rFonts w:hint="eastAsia"/>
          <w:b/>
        </w:rPr>
        <w:t>第一册专用条款</w:t>
      </w:r>
    </w:p>
    <w:p w14:paraId="4FD907C7">
      <w:pPr>
        <w:rPr>
          <w:b/>
        </w:rPr>
      </w:pPr>
      <w:r>
        <w:rPr>
          <w:rFonts w:hint="eastAsia"/>
          <w:b/>
        </w:rPr>
        <w:tab/>
      </w:r>
      <w:r>
        <w:rPr>
          <w:rFonts w:hint="eastAsia"/>
          <w:b/>
        </w:rPr>
        <w:t>关键信息</w:t>
      </w:r>
    </w:p>
    <w:p w14:paraId="7063FF9B">
      <w:pPr>
        <w:ind w:left="720" w:leftChars="300" w:firstLine="470" w:firstLineChars="196"/>
        <w:rPr>
          <w:rFonts w:ascii="宋体" w:hAnsi="宋体"/>
          <w:szCs w:val="21"/>
        </w:rPr>
      </w:pPr>
      <w:r>
        <w:rPr>
          <w:rFonts w:hint="eastAsia" w:ascii="宋体" w:hAnsi="宋体"/>
          <w:szCs w:val="21"/>
        </w:rPr>
        <w:t>第一章  招标公告</w:t>
      </w:r>
    </w:p>
    <w:p w14:paraId="0C92B3E1">
      <w:pPr>
        <w:ind w:left="720" w:leftChars="300" w:firstLine="470" w:firstLineChars="196"/>
        <w:rPr>
          <w:rFonts w:ascii="宋体" w:hAnsi="宋体"/>
          <w:szCs w:val="21"/>
        </w:rPr>
      </w:pPr>
      <w:r>
        <w:rPr>
          <w:rFonts w:hint="eastAsia" w:ascii="宋体" w:hAnsi="宋体"/>
          <w:szCs w:val="21"/>
        </w:rPr>
        <w:t>第二章  对通用条款的补充内容及其他关键信息</w:t>
      </w:r>
    </w:p>
    <w:p w14:paraId="372D05B3">
      <w:pPr>
        <w:ind w:left="720" w:leftChars="300" w:firstLine="470" w:firstLineChars="196"/>
        <w:rPr>
          <w:rFonts w:ascii="宋体" w:hAnsi="宋体"/>
          <w:szCs w:val="21"/>
        </w:rPr>
      </w:pPr>
      <w:r>
        <w:rPr>
          <w:rFonts w:hint="eastAsia" w:ascii="宋体" w:hAnsi="宋体"/>
          <w:szCs w:val="21"/>
        </w:rPr>
        <w:t>第三章 用户需求书</w:t>
      </w:r>
    </w:p>
    <w:p w14:paraId="1A85BB7B">
      <w:pPr>
        <w:ind w:left="720" w:leftChars="300" w:firstLine="470" w:firstLineChars="196"/>
        <w:rPr>
          <w:rFonts w:ascii="宋体" w:hAnsi="宋体"/>
          <w:szCs w:val="21"/>
        </w:rPr>
      </w:pPr>
      <w:r>
        <w:rPr>
          <w:rFonts w:hint="eastAsia" w:ascii="宋体" w:hAnsi="宋体"/>
          <w:szCs w:val="21"/>
        </w:rPr>
        <w:t>第四章 投标文件组成要求及格式</w:t>
      </w:r>
    </w:p>
    <w:p w14:paraId="759E3C35">
      <w:pPr>
        <w:ind w:left="720" w:leftChars="300" w:firstLine="470" w:firstLineChars="196"/>
        <w:rPr>
          <w:rFonts w:ascii="宋体" w:hAnsi="宋体"/>
          <w:szCs w:val="21"/>
        </w:rPr>
      </w:pPr>
      <w:r>
        <w:rPr>
          <w:rFonts w:hint="eastAsia" w:ascii="宋体" w:hAnsi="宋体"/>
          <w:szCs w:val="21"/>
        </w:rPr>
        <w:t>第五章  合同条款及格式</w:t>
      </w:r>
    </w:p>
    <w:p w14:paraId="47DE3CAA">
      <w:pPr>
        <w:rPr>
          <w:b/>
        </w:rPr>
      </w:pPr>
    </w:p>
    <w:p w14:paraId="2CAB7D3C">
      <w:pPr>
        <w:outlineLvl w:val="0"/>
        <w:rPr>
          <w:b/>
        </w:rPr>
      </w:pPr>
      <w:r>
        <w:rPr>
          <w:rFonts w:hint="eastAsia"/>
          <w:b/>
        </w:rPr>
        <w:t>第二册通用条款</w:t>
      </w:r>
    </w:p>
    <w:p w14:paraId="70B1CC13">
      <w:pPr>
        <w:ind w:left="720" w:leftChars="300" w:firstLine="470" w:firstLineChars="196"/>
        <w:rPr>
          <w:rFonts w:ascii="宋体" w:hAnsi="宋体"/>
          <w:szCs w:val="21"/>
        </w:rPr>
      </w:pPr>
      <w:r>
        <w:rPr>
          <w:rFonts w:hint="eastAsia" w:ascii="宋体" w:hAnsi="宋体"/>
          <w:szCs w:val="21"/>
        </w:rPr>
        <w:t>第一章  总则</w:t>
      </w:r>
    </w:p>
    <w:p w14:paraId="0E924516">
      <w:pPr>
        <w:ind w:left="720" w:leftChars="300" w:firstLine="470" w:firstLineChars="196"/>
        <w:rPr>
          <w:rFonts w:ascii="宋体" w:hAnsi="宋体"/>
          <w:szCs w:val="21"/>
        </w:rPr>
      </w:pPr>
      <w:r>
        <w:rPr>
          <w:rFonts w:hint="eastAsia" w:ascii="宋体" w:hAnsi="宋体"/>
          <w:szCs w:val="21"/>
        </w:rPr>
        <w:t>第二章  招标文件</w:t>
      </w:r>
    </w:p>
    <w:p w14:paraId="3B8777F4">
      <w:pPr>
        <w:ind w:left="720" w:leftChars="300" w:firstLine="470" w:firstLineChars="196"/>
        <w:rPr>
          <w:rFonts w:ascii="宋体" w:hAnsi="宋体"/>
          <w:szCs w:val="21"/>
        </w:rPr>
      </w:pPr>
      <w:r>
        <w:rPr>
          <w:rFonts w:hint="eastAsia" w:ascii="宋体" w:hAnsi="宋体"/>
          <w:szCs w:val="21"/>
        </w:rPr>
        <w:t>第三章  投标文件的编制</w:t>
      </w:r>
    </w:p>
    <w:p w14:paraId="78C9771A">
      <w:pPr>
        <w:ind w:left="720" w:leftChars="300" w:firstLine="470" w:firstLineChars="196"/>
        <w:rPr>
          <w:rFonts w:ascii="宋体" w:hAnsi="宋体"/>
          <w:szCs w:val="21"/>
        </w:rPr>
      </w:pPr>
      <w:r>
        <w:rPr>
          <w:rFonts w:hint="eastAsia" w:ascii="宋体" w:hAnsi="宋体"/>
          <w:szCs w:val="21"/>
        </w:rPr>
        <w:t>第四章  投标文件的递交</w:t>
      </w:r>
    </w:p>
    <w:p w14:paraId="69517E52">
      <w:pPr>
        <w:ind w:left="720" w:leftChars="300" w:firstLine="470" w:firstLineChars="196"/>
        <w:rPr>
          <w:rFonts w:ascii="宋体" w:hAnsi="宋体"/>
          <w:szCs w:val="21"/>
        </w:rPr>
      </w:pPr>
      <w:r>
        <w:rPr>
          <w:rFonts w:hint="eastAsia" w:ascii="宋体" w:hAnsi="宋体"/>
          <w:szCs w:val="21"/>
        </w:rPr>
        <w:t>第五章  开标</w:t>
      </w:r>
    </w:p>
    <w:p w14:paraId="61EA4046">
      <w:pPr>
        <w:ind w:left="720" w:leftChars="300" w:firstLine="470" w:firstLineChars="196"/>
        <w:rPr>
          <w:rFonts w:ascii="宋体" w:hAnsi="宋体"/>
          <w:szCs w:val="21"/>
        </w:rPr>
      </w:pPr>
      <w:r>
        <w:rPr>
          <w:rFonts w:hint="eastAsia" w:ascii="宋体" w:hAnsi="宋体"/>
          <w:szCs w:val="21"/>
        </w:rPr>
        <w:t>第六章  评审要求</w:t>
      </w:r>
    </w:p>
    <w:p w14:paraId="4F0CBD99">
      <w:pPr>
        <w:ind w:left="720" w:leftChars="300" w:firstLine="470" w:firstLineChars="196"/>
        <w:rPr>
          <w:rFonts w:ascii="宋体" w:hAnsi="宋体"/>
          <w:szCs w:val="21"/>
        </w:rPr>
      </w:pPr>
      <w:r>
        <w:rPr>
          <w:rFonts w:hint="eastAsia" w:ascii="宋体" w:hAnsi="宋体"/>
          <w:szCs w:val="21"/>
        </w:rPr>
        <w:t>第七章  评审程序及评审方法</w:t>
      </w:r>
    </w:p>
    <w:p w14:paraId="0F0B138E">
      <w:pPr>
        <w:ind w:left="720" w:leftChars="300" w:firstLine="470" w:firstLineChars="196"/>
        <w:rPr>
          <w:rFonts w:ascii="宋体" w:hAnsi="宋体"/>
          <w:szCs w:val="21"/>
        </w:rPr>
      </w:pPr>
      <w:r>
        <w:rPr>
          <w:rFonts w:hint="eastAsia" w:ascii="宋体" w:hAnsi="宋体"/>
          <w:szCs w:val="21"/>
        </w:rPr>
        <w:t>第八章  定标及公示</w:t>
      </w:r>
    </w:p>
    <w:p w14:paraId="0F367BC9">
      <w:pPr>
        <w:ind w:left="720" w:leftChars="300" w:firstLine="470" w:firstLineChars="196"/>
        <w:rPr>
          <w:rFonts w:ascii="宋体" w:hAnsi="宋体"/>
          <w:szCs w:val="21"/>
        </w:rPr>
      </w:pPr>
      <w:r>
        <w:rPr>
          <w:rFonts w:hint="eastAsia" w:ascii="宋体" w:hAnsi="宋体"/>
          <w:szCs w:val="21"/>
        </w:rPr>
        <w:t>第九章  公开招标失败的后续处理</w:t>
      </w:r>
    </w:p>
    <w:p w14:paraId="5CBCC534">
      <w:pPr>
        <w:ind w:left="720" w:leftChars="300" w:firstLine="470" w:firstLineChars="196"/>
        <w:rPr>
          <w:rFonts w:ascii="宋体" w:hAnsi="宋体"/>
          <w:szCs w:val="21"/>
        </w:rPr>
      </w:pPr>
      <w:r>
        <w:rPr>
          <w:rFonts w:hint="eastAsia" w:ascii="宋体" w:hAnsi="宋体"/>
          <w:szCs w:val="21"/>
        </w:rPr>
        <w:t>第十章  合同的授予与备案</w:t>
      </w:r>
    </w:p>
    <w:p w14:paraId="6AB11F84">
      <w:r>
        <w:rPr>
          <w:rFonts w:hint="eastAsia"/>
        </w:rPr>
        <w:t>第十一章质疑处理</w:t>
      </w:r>
    </w:p>
    <w:p w14:paraId="497ECF10"/>
    <w:p w14:paraId="0010AB58"/>
    <w:p w14:paraId="7CB42B81">
      <w:pPr>
        <w:pStyle w:val="31"/>
        <w:spacing w:after="60"/>
        <w:jc w:val="center"/>
        <w:rPr>
          <w:rFonts w:hint="eastAsia"/>
          <w:sz w:val="32"/>
          <w:szCs w:val="32"/>
        </w:rPr>
        <w:sectPr>
          <w:footerReference r:id="rId6" w:type="first"/>
          <w:footerReference r:id="rId5" w:type="default"/>
          <w:pgSz w:w="11906" w:h="16838"/>
          <w:pgMar w:top="1440" w:right="1797" w:bottom="1440" w:left="1797" w:header="851" w:footer="992" w:gutter="0"/>
          <w:pgNumType w:fmt="decimal" w:start="1"/>
          <w:cols w:space="720" w:num="1"/>
          <w:docGrid w:type="linesAndChars" w:linePitch="312" w:charSpace="0"/>
        </w:sectPr>
      </w:pPr>
    </w:p>
    <w:p w14:paraId="029EA798">
      <w:pPr>
        <w:pStyle w:val="31"/>
        <w:spacing w:after="60"/>
        <w:jc w:val="center"/>
        <w:rPr>
          <w:sz w:val="32"/>
          <w:szCs w:val="32"/>
        </w:rPr>
      </w:pPr>
      <w:r>
        <w:rPr>
          <w:rFonts w:hint="eastAsia"/>
          <w:sz w:val="32"/>
          <w:szCs w:val="32"/>
        </w:rPr>
        <w:t>第一册专用条款</w:t>
      </w:r>
    </w:p>
    <w:p w14:paraId="5B69F806">
      <w:pPr>
        <w:tabs>
          <w:tab w:val="left" w:pos="2790"/>
        </w:tabs>
        <w:snapToGrid w:val="0"/>
        <w:jc w:val="center"/>
        <w:rPr>
          <w:b/>
        </w:rPr>
      </w:pPr>
      <w:r>
        <w:rPr>
          <w:rFonts w:hint="eastAsia"/>
          <w:b/>
        </w:rPr>
        <w:t>关键信息</w:t>
      </w:r>
    </w:p>
    <w:p w14:paraId="54EC0FF8">
      <w:pPr>
        <w:tabs>
          <w:tab w:val="left" w:pos="2790"/>
        </w:tabs>
        <w:snapToGrid w:val="0"/>
        <w:rPr>
          <w:rFonts w:hint="eastAsia" w:eastAsia="宋体"/>
          <w:color w:val="auto"/>
          <w:lang w:eastAsia="zh-CN"/>
        </w:rPr>
      </w:pPr>
      <w:r>
        <w:rPr>
          <w:color w:val="auto"/>
        </w:rPr>
        <w:t>项目编号：</w:t>
      </w:r>
      <w:r>
        <w:rPr>
          <w:rFonts w:hint="eastAsia" w:eastAsia="宋体"/>
          <w:color w:val="auto"/>
          <w:lang w:eastAsia="zh-CN"/>
        </w:rPr>
        <w:t>KSS(GK)2026-009</w:t>
      </w:r>
    </w:p>
    <w:p w14:paraId="06C37E19">
      <w:pPr>
        <w:tabs>
          <w:tab w:val="left" w:pos="2790"/>
        </w:tabs>
        <w:snapToGrid w:val="0"/>
        <w:rPr>
          <w:rFonts w:hint="eastAsia" w:eastAsia="宋体"/>
          <w:color w:val="auto"/>
          <w:lang w:eastAsia="zh-CN"/>
        </w:rPr>
      </w:pPr>
      <w:r>
        <w:rPr>
          <w:color w:val="auto"/>
        </w:rPr>
        <w:t>项目名称：</w:t>
      </w:r>
      <w:r>
        <w:rPr>
          <w:rFonts w:hint="eastAsia" w:ascii="宋体" w:hAnsi="宋体" w:eastAsia="宋体" w:cs="宋体"/>
          <w:color w:val="auto"/>
          <w:lang w:eastAsia="zh-CN"/>
        </w:rPr>
        <w:t>喀什市公安局7个派出所信息化设备采购项目</w:t>
      </w:r>
    </w:p>
    <w:p w14:paraId="48BAC791">
      <w:pPr>
        <w:tabs>
          <w:tab w:val="left" w:pos="2790"/>
        </w:tabs>
        <w:snapToGrid w:val="0"/>
        <w:rPr>
          <w:rFonts w:hint="eastAsia" w:eastAsia="宋体"/>
          <w:color w:val="auto"/>
          <w:lang w:eastAsia="zh-CN"/>
        </w:rPr>
      </w:pPr>
      <w:r>
        <w:rPr>
          <w:color w:val="auto"/>
        </w:rPr>
        <w:t>采购</w:t>
      </w:r>
      <w:r>
        <w:rPr>
          <w:rFonts w:hint="eastAsia"/>
          <w:color w:val="auto"/>
        </w:rPr>
        <w:t>单位</w:t>
      </w:r>
      <w:r>
        <w:rPr>
          <w:color w:val="auto"/>
        </w:rPr>
        <w:t>：</w:t>
      </w:r>
      <w:r>
        <w:rPr>
          <w:rFonts w:hint="eastAsia" w:eastAsia="宋体"/>
          <w:color w:val="auto"/>
          <w:lang w:eastAsia="zh-CN"/>
        </w:rPr>
        <w:t>喀什市公安局</w:t>
      </w:r>
    </w:p>
    <w:p w14:paraId="78215A62">
      <w:pPr>
        <w:tabs>
          <w:tab w:val="left" w:pos="2790"/>
        </w:tabs>
        <w:snapToGrid w:val="0"/>
        <w:rPr>
          <w:color w:val="auto"/>
        </w:rPr>
      </w:pPr>
      <w:r>
        <w:rPr>
          <w:rFonts w:hint="eastAsia"/>
          <w:color w:val="auto"/>
        </w:rPr>
        <w:t>项目类型：货物类</w:t>
      </w:r>
    </w:p>
    <w:p w14:paraId="5D86F58B">
      <w:pPr>
        <w:tabs>
          <w:tab w:val="left" w:pos="2790"/>
        </w:tabs>
        <w:snapToGrid w:val="0"/>
      </w:pPr>
      <w:r>
        <w:rPr>
          <w:rFonts w:hint="eastAsia"/>
        </w:rPr>
        <w:t>评审方法：综合评分法</w:t>
      </w:r>
    </w:p>
    <w:tbl>
      <w:tblPr>
        <w:tblStyle w:val="22"/>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14:paraId="3517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11C1219A">
            <w:pPr>
              <w:jc w:val="center"/>
              <w:rPr>
                <w:rFonts w:ascii="Calibri" w:hAnsi="Calibri" w:eastAsia="宋体"/>
                <w:b/>
              </w:rPr>
            </w:pPr>
            <w:r>
              <w:rPr>
                <w:rFonts w:hint="eastAsia" w:ascii="Calibri" w:hAnsi="Calibri" w:eastAsia="宋体"/>
                <w:b/>
              </w:rPr>
              <w:t>资格性检查表</w:t>
            </w:r>
          </w:p>
        </w:tc>
      </w:tr>
      <w:tr w14:paraId="3017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1C0C153">
            <w:pPr>
              <w:rPr>
                <w:rFonts w:ascii="Calibri" w:hAnsi="Calibri" w:eastAsia="宋体"/>
              </w:rPr>
            </w:pPr>
            <w:r>
              <w:rPr>
                <w:rFonts w:ascii="Calibri" w:hAnsi="Calibri" w:eastAsia="宋体"/>
              </w:rPr>
              <w:t>1</w:t>
            </w:r>
          </w:p>
        </w:tc>
        <w:tc>
          <w:tcPr>
            <w:tcW w:w="8229" w:type="dxa"/>
          </w:tcPr>
          <w:p w14:paraId="16595E5B">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14:paraId="7938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376E7CA2">
            <w:pPr>
              <w:jc w:val="center"/>
              <w:rPr>
                <w:rFonts w:ascii="Calibri" w:hAnsi="Calibri" w:eastAsia="宋体"/>
                <w:b/>
              </w:rPr>
            </w:pPr>
            <w:r>
              <w:rPr>
                <w:rFonts w:hint="eastAsia" w:ascii="Calibri" w:hAnsi="Calibri" w:eastAsia="宋体"/>
                <w:b/>
              </w:rPr>
              <w:t>符合性检查表</w:t>
            </w:r>
          </w:p>
        </w:tc>
      </w:tr>
      <w:tr w14:paraId="4517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2BA9DEFC">
            <w:pPr>
              <w:rPr>
                <w:rFonts w:ascii="Calibri" w:hAnsi="Calibri" w:eastAsia="宋体"/>
              </w:rPr>
            </w:pPr>
            <w:r>
              <w:rPr>
                <w:rFonts w:ascii="Calibri" w:hAnsi="Calibri" w:eastAsia="宋体"/>
              </w:rPr>
              <w:t>1</w:t>
            </w:r>
          </w:p>
        </w:tc>
        <w:tc>
          <w:tcPr>
            <w:tcW w:w="8229" w:type="dxa"/>
          </w:tcPr>
          <w:p w14:paraId="39396F68">
            <w:pPr>
              <w:rPr>
                <w:rFonts w:ascii="Calibri" w:hAnsi="Calibri" w:eastAsia="宋体"/>
              </w:rPr>
            </w:pPr>
            <w:r>
              <w:rPr>
                <w:rFonts w:ascii="Calibri" w:hAnsi="Calibri" w:eastAsia="宋体"/>
              </w:rPr>
              <w:t>按要求提供法定代表人证明书及法定代表人授权书。</w:t>
            </w:r>
          </w:p>
        </w:tc>
      </w:tr>
      <w:tr w14:paraId="4D1E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60E73A94">
            <w:pPr>
              <w:rPr>
                <w:rFonts w:ascii="Calibri" w:hAnsi="Calibri" w:eastAsia="宋体"/>
              </w:rPr>
            </w:pPr>
            <w:r>
              <w:rPr>
                <w:rFonts w:ascii="Calibri" w:hAnsi="Calibri" w:eastAsia="宋体"/>
              </w:rPr>
              <w:t>2</w:t>
            </w:r>
          </w:p>
        </w:tc>
        <w:tc>
          <w:tcPr>
            <w:tcW w:w="8229" w:type="dxa"/>
          </w:tcPr>
          <w:p w14:paraId="20265BB4">
            <w:pPr>
              <w:rPr>
                <w:rFonts w:ascii="Calibri" w:hAnsi="Calibri" w:eastAsia="宋体"/>
              </w:rPr>
            </w:pPr>
            <w:r>
              <w:rPr>
                <w:rFonts w:hint="eastAsia" w:ascii="Calibri" w:hAnsi="Calibri" w:eastAsia="宋体"/>
                <w:lang w:eastAsia="zh-CN"/>
              </w:rPr>
              <w:t>按要求提供《投标函》</w:t>
            </w:r>
            <w:r>
              <w:rPr>
                <w:rFonts w:ascii="Calibri" w:hAnsi="Calibri" w:eastAsia="宋体"/>
              </w:rPr>
              <w:t>。</w:t>
            </w:r>
          </w:p>
        </w:tc>
      </w:tr>
      <w:tr w14:paraId="3CD4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97639F1">
            <w:pPr>
              <w:rPr>
                <w:rFonts w:ascii="Calibri" w:hAnsi="Calibri" w:eastAsia="宋体"/>
              </w:rPr>
            </w:pPr>
            <w:r>
              <w:rPr>
                <w:rFonts w:ascii="Calibri" w:hAnsi="Calibri" w:eastAsia="宋体"/>
              </w:rPr>
              <w:t>3</w:t>
            </w:r>
          </w:p>
        </w:tc>
        <w:tc>
          <w:tcPr>
            <w:tcW w:w="8229" w:type="dxa"/>
          </w:tcPr>
          <w:p w14:paraId="592B9F7A">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14:paraId="7E57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6117726">
            <w:pPr>
              <w:rPr>
                <w:rFonts w:ascii="Calibri" w:hAnsi="Calibri" w:eastAsia="宋体"/>
              </w:rPr>
            </w:pPr>
            <w:r>
              <w:rPr>
                <w:rFonts w:ascii="Calibri" w:hAnsi="Calibri" w:eastAsia="宋体"/>
              </w:rPr>
              <w:t>4</w:t>
            </w:r>
          </w:p>
        </w:tc>
        <w:tc>
          <w:tcPr>
            <w:tcW w:w="8229" w:type="dxa"/>
          </w:tcPr>
          <w:p w14:paraId="5E38696F">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BF6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1A34C31">
            <w:pPr>
              <w:rPr>
                <w:rFonts w:ascii="Calibri" w:hAnsi="Calibri" w:eastAsia="宋体"/>
              </w:rPr>
            </w:pPr>
            <w:r>
              <w:rPr>
                <w:rFonts w:ascii="Calibri" w:hAnsi="Calibri" w:eastAsia="宋体"/>
              </w:rPr>
              <w:t>5</w:t>
            </w:r>
          </w:p>
        </w:tc>
        <w:tc>
          <w:tcPr>
            <w:tcW w:w="8229" w:type="dxa"/>
          </w:tcPr>
          <w:p w14:paraId="4C598D61">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14:paraId="04F2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040EA7E">
            <w:pPr>
              <w:rPr>
                <w:rFonts w:ascii="Calibri" w:hAnsi="Calibri" w:eastAsia="宋体"/>
              </w:rPr>
            </w:pPr>
            <w:r>
              <w:rPr>
                <w:rFonts w:ascii="Calibri" w:hAnsi="Calibri" w:eastAsia="宋体"/>
              </w:rPr>
              <w:t>6</w:t>
            </w:r>
          </w:p>
        </w:tc>
        <w:tc>
          <w:tcPr>
            <w:tcW w:w="8229" w:type="dxa"/>
          </w:tcPr>
          <w:p w14:paraId="328BC9CC">
            <w:pPr>
              <w:rPr>
                <w:rFonts w:ascii="Calibri" w:hAnsi="Calibri" w:eastAsia="宋体"/>
              </w:rPr>
            </w:pPr>
            <w:r>
              <w:rPr>
                <w:rFonts w:ascii="Calibri" w:hAnsi="Calibri" w:eastAsia="宋体"/>
              </w:rPr>
              <w:t>可只对其中一个包或几个包内容进行投标（如有的话），但不得将一个包中的内容拆开投标。</w:t>
            </w:r>
          </w:p>
        </w:tc>
      </w:tr>
      <w:tr w14:paraId="560B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26B6BEB0">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14:paraId="6F78311D">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14:paraId="15B1AB30">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14:paraId="0096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1BCCD42">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14:paraId="47F25485">
            <w:pPr>
              <w:rPr>
                <w:rFonts w:ascii="Calibri" w:hAnsi="Calibri" w:eastAsia="宋体"/>
              </w:rPr>
            </w:pPr>
            <w:r>
              <w:rPr>
                <w:rFonts w:hint="eastAsia" w:ascii="Calibri" w:hAnsi="Calibri" w:eastAsia="宋体"/>
              </w:rPr>
              <w:t>投标文件电子文档不得携带病毒。</w:t>
            </w:r>
          </w:p>
        </w:tc>
      </w:tr>
      <w:tr w14:paraId="48F0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0E06E822">
            <w:pPr>
              <w:rPr>
                <w:rFonts w:ascii="Calibri" w:hAnsi="Calibri" w:eastAsia="宋体"/>
              </w:rPr>
            </w:pPr>
            <w:r>
              <w:rPr>
                <w:rFonts w:ascii="Calibri" w:hAnsi="Calibri" w:eastAsia="宋体"/>
              </w:rPr>
              <w:t>9</w:t>
            </w:r>
          </w:p>
        </w:tc>
        <w:tc>
          <w:tcPr>
            <w:tcW w:w="8229" w:type="dxa"/>
          </w:tcPr>
          <w:p w14:paraId="5883B4A5">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14:paraId="6DA6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6341B386">
            <w:pPr>
              <w:rPr>
                <w:rFonts w:ascii="Calibri" w:hAnsi="Calibri" w:eastAsia="宋体"/>
              </w:rPr>
            </w:pPr>
            <w:r>
              <w:rPr>
                <w:rFonts w:ascii="Calibri" w:hAnsi="Calibri" w:eastAsia="宋体"/>
              </w:rPr>
              <w:t>10</w:t>
            </w:r>
          </w:p>
        </w:tc>
        <w:tc>
          <w:tcPr>
            <w:tcW w:w="8229" w:type="dxa"/>
          </w:tcPr>
          <w:p w14:paraId="7B2DA6A0">
            <w:pPr>
              <w:rPr>
                <w:rFonts w:ascii="Calibri" w:hAnsi="Calibri" w:eastAsia="宋体"/>
              </w:rPr>
            </w:pPr>
            <w:r>
              <w:rPr>
                <w:rFonts w:ascii="Calibri" w:hAnsi="Calibri" w:eastAsia="宋体"/>
              </w:rPr>
              <w:t>无招标文件中列明导致投标无效的其他因素。</w:t>
            </w:r>
          </w:p>
        </w:tc>
      </w:tr>
      <w:tr w14:paraId="49BC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4C6EF2E4">
            <w:pPr>
              <w:rPr>
                <w:rFonts w:ascii="Calibri" w:hAnsi="Calibri" w:eastAsia="宋体"/>
              </w:rPr>
            </w:pPr>
            <w:r>
              <w:rPr>
                <w:rFonts w:ascii="Calibri" w:hAnsi="Calibri" w:eastAsia="宋体"/>
              </w:rPr>
              <w:t>11</w:t>
            </w:r>
          </w:p>
        </w:tc>
        <w:tc>
          <w:tcPr>
            <w:tcW w:w="8229" w:type="dxa"/>
          </w:tcPr>
          <w:p w14:paraId="7878EC17">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14:paraId="63F5E4DB">
      <w:pPr>
        <w:jc w:val="center"/>
        <w:rPr>
          <w:b/>
        </w:rPr>
      </w:pPr>
      <w:r>
        <w:rPr>
          <w:rFonts w:hint="eastAsia"/>
          <w:b/>
        </w:rPr>
        <w:t>评标信息</w:t>
      </w:r>
    </w:p>
    <w:p w14:paraId="680086FF">
      <w:pPr>
        <w:pStyle w:val="19"/>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14:paraId="59197E86">
      <w:pPr>
        <w:pStyle w:val="19"/>
        <w:snapToGrid w:val="0"/>
        <w:spacing w:before="0" w:beforeAutospacing="0" w:afterAutospacing="0"/>
        <w:ind w:firstLine="420"/>
        <w:rPr>
          <w:sz w:val="21"/>
          <w:szCs w:val="21"/>
        </w:rPr>
      </w:pPr>
      <w:r>
        <w:rPr>
          <w:sz w:val="21"/>
          <w:szCs w:val="21"/>
        </w:rPr>
        <w:t>价格分计算方法：</w:t>
      </w:r>
    </w:p>
    <w:p w14:paraId="0F34AFD4">
      <w:pPr>
        <w:snapToGrid w:val="0"/>
        <w:rPr>
          <w:rFonts w:hint="eastAsia" w:eastAsia="宋体"/>
          <w:szCs w:val="21"/>
          <w:lang w:eastAsia="zh-CN"/>
        </w:rPr>
      </w:pPr>
      <w:r>
        <w:rPr>
          <w:szCs w:val="21"/>
        </w:rPr>
        <w:t>采用低价优先法计算，即满足招标文件要求且投标价格最低的投标报价为评标基准价，其价格分为满分。其他投标人的价格分统一按照下列公式计算：</w:t>
      </w:r>
    </w:p>
    <w:p w14:paraId="0E4AD960">
      <w:pPr>
        <w:snapToGrid w:val="0"/>
        <w:rPr>
          <w:rFonts w:hint="eastAsia" w:eastAsia="宋体"/>
          <w:szCs w:val="21"/>
          <w:lang w:eastAsia="zh-CN"/>
        </w:rPr>
      </w:pPr>
      <w:r>
        <w:rPr>
          <w:szCs w:val="21"/>
        </w:rPr>
        <w:t xml:space="preserve">投标报价得分=(评标基准价／投标报价)×100 </w:t>
      </w:r>
    </w:p>
    <w:p w14:paraId="1BDB4506">
      <w:pPr>
        <w:snapToGrid w:val="0"/>
        <w:rPr>
          <w:rFonts w:hint="eastAsia" w:eastAsia="宋体"/>
          <w:szCs w:val="21"/>
          <w:lang w:eastAsia="zh-CN"/>
        </w:rPr>
      </w:pPr>
      <w:r>
        <w:rPr>
          <w:szCs w:val="21"/>
        </w:rPr>
        <w:t xml:space="preserve">评标总得分＝F1×A1＋F2×A2＋……＋Fn×An </w:t>
      </w:r>
    </w:p>
    <w:p w14:paraId="4A70E709">
      <w:pPr>
        <w:snapToGrid w:val="0"/>
        <w:rPr>
          <w:rFonts w:hint="eastAsia" w:eastAsia="宋体"/>
          <w:szCs w:val="21"/>
          <w:lang w:eastAsia="zh-CN"/>
        </w:rPr>
      </w:pPr>
      <w:r>
        <w:rPr>
          <w:szCs w:val="21"/>
        </w:rPr>
        <w:t>F1、F2……Fn分别为各项评审因素的得分；</w:t>
      </w:r>
    </w:p>
    <w:p w14:paraId="0C87A836">
      <w:pPr>
        <w:snapToGrid w:val="0"/>
        <w:rPr>
          <w:rFonts w:hint="eastAsia" w:eastAsia="宋体"/>
          <w:szCs w:val="21"/>
          <w:lang w:eastAsia="zh-CN"/>
        </w:rPr>
      </w:pPr>
      <w:r>
        <w:rPr>
          <w:szCs w:val="21"/>
        </w:rPr>
        <w:t>A1、A2、……An 分别为各项评审因素所占的权重(A1＋A2＋……＋An＝1)。</w:t>
      </w:r>
    </w:p>
    <w:p w14:paraId="7641E294">
      <w:pPr>
        <w:snapToGrid w:val="0"/>
        <w:rPr>
          <w:rFonts w:hint="eastAsia" w:eastAsia="宋体"/>
          <w:szCs w:val="21"/>
          <w:lang w:eastAsia="zh-CN"/>
        </w:rPr>
      </w:pPr>
      <w:r>
        <w:rPr>
          <w:szCs w:val="21"/>
        </w:rPr>
        <w:t>评标过程中，不得去掉报价中的最高报价和最低报价。</w:t>
      </w:r>
    </w:p>
    <w:p w14:paraId="4D3C4D24">
      <w:pPr>
        <w:snapToGrid w:val="0"/>
      </w:pPr>
      <w:r>
        <w:rPr>
          <w:szCs w:val="21"/>
        </w:rPr>
        <w:t>此方法适用于货物类、服务类、工程类项目。</w:t>
      </w:r>
    </w:p>
    <w:p w14:paraId="6FBBACB5">
      <w:pPr>
        <w:autoSpaceDE w:val="0"/>
        <w:autoSpaceDN w:val="0"/>
        <w:adjustRightInd w:val="0"/>
        <w:snapToGrid w:val="0"/>
        <w:spacing w:line="400" w:lineRule="exact"/>
        <w:jc w:val="center"/>
        <w:outlineLvl w:val="1"/>
        <w:rPr>
          <w:rFonts w:hint="eastAsia" w:ascii="宋体" w:cs="仿宋_GB2312"/>
          <w:b/>
          <w:bCs/>
          <w:color w:val="auto"/>
          <w:sz w:val="28"/>
          <w:szCs w:val="28"/>
          <w:lang w:val="zh-CN"/>
        </w:rPr>
      </w:pPr>
      <w:r>
        <w:rPr>
          <w:rFonts w:hint="eastAsia" w:ascii="宋体" w:cs="仿宋_GB2312"/>
          <w:b/>
          <w:color w:val="auto"/>
          <w:sz w:val="28"/>
          <w:szCs w:val="28"/>
          <w:lang w:val="zh-CN"/>
        </w:rPr>
        <w:t>评标方法：综合评分法</w:t>
      </w:r>
      <w:r>
        <w:rPr>
          <w:rFonts w:hint="eastAsia" w:ascii="宋体" w:cs="仿宋_GB2312"/>
          <w:b/>
          <w:bCs/>
          <w:color w:val="auto"/>
          <w:sz w:val="28"/>
          <w:szCs w:val="28"/>
          <w:lang w:val="zh-CN"/>
        </w:rPr>
        <w:t>（总计</w:t>
      </w:r>
      <w:r>
        <w:rPr>
          <w:rFonts w:hint="eastAsia" w:ascii="宋体" w:cs="仿宋_GB2312"/>
          <w:b/>
          <w:bCs/>
          <w:color w:val="auto"/>
          <w:sz w:val="28"/>
          <w:szCs w:val="28"/>
        </w:rPr>
        <w:t>100</w:t>
      </w:r>
      <w:r>
        <w:rPr>
          <w:rFonts w:hint="eastAsia" w:ascii="宋体" w:cs="仿宋_GB2312"/>
          <w:b/>
          <w:bCs/>
          <w:color w:val="auto"/>
          <w:sz w:val="28"/>
          <w:szCs w:val="28"/>
          <w:lang w:val="zh-CN"/>
        </w:rPr>
        <w:t>分）</w:t>
      </w:r>
    </w:p>
    <w:p w14:paraId="5096AADB">
      <w:pPr>
        <w:autoSpaceDE w:val="0"/>
        <w:autoSpaceDN w:val="0"/>
        <w:adjustRightInd w:val="0"/>
        <w:snapToGrid w:val="0"/>
        <w:spacing w:line="400" w:lineRule="exact"/>
        <w:jc w:val="left"/>
        <w:outlineLvl w:val="1"/>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i w:val="0"/>
          <w:iCs w:val="0"/>
          <w:caps w:val="0"/>
          <w:color w:val="auto"/>
          <w:spacing w:val="0"/>
          <w:kern w:val="0"/>
          <w:sz w:val="24"/>
          <w:szCs w:val="24"/>
          <w:lang w:val="en-US" w:eastAsia="zh-CN" w:bidi="ar"/>
        </w:rPr>
        <w:t>本次评标采用综合评分法。评标以招标文件规定的条件为依据。</w:t>
      </w:r>
    </w:p>
    <w:p w14:paraId="731480E9">
      <w:pPr>
        <w:tabs>
          <w:tab w:val="left" w:pos="426"/>
        </w:tabs>
        <w:autoSpaceDE w:val="0"/>
        <w:autoSpaceDN w:val="0"/>
        <w:spacing w:line="360" w:lineRule="auto"/>
        <w:jc w:val="center"/>
        <w:outlineLvl w:val="0"/>
        <w:rPr>
          <w:rFonts w:hint="eastAsia" w:ascii="宋体" w:hAnsi="宋体" w:eastAsia="宋体" w:cs="宋体"/>
          <w:b/>
          <w:bCs/>
          <w:color w:val="auto"/>
          <w:sz w:val="36"/>
          <w:szCs w:val="36"/>
          <w:highlight w:val="none"/>
          <w:lang w:eastAsia="zh-CN"/>
        </w:rPr>
      </w:pPr>
      <w:r>
        <w:rPr>
          <w:rFonts w:hint="eastAsia" w:ascii="方正仿宋_GBK" w:hAnsi="方正仿宋_GBK" w:eastAsia="方正仿宋_GBK" w:cs="方正仿宋_GBK"/>
          <w:i w:val="0"/>
          <w:iCs w:val="0"/>
          <w:caps w:val="0"/>
          <w:color w:val="auto"/>
          <w:spacing w:val="0"/>
          <w:kern w:val="0"/>
          <w:sz w:val="24"/>
          <w:szCs w:val="24"/>
          <w:lang w:val="en-US" w:eastAsia="zh-CN" w:bidi="ar"/>
        </w:rPr>
        <w:t>评分比重构成如下：</w:t>
      </w:r>
    </w:p>
    <w:p w14:paraId="37A5A75D">
      <w:pPr>
        <w:tabs>
          <w:tab w:val="left" w:pos="426"/>
        </w:tabs>
        <w:autoSpaceDE w:val="0"/>
        <w:autoSpaceDN w:val="0"/>
        <w:spacing w:line="360" w:lineRule="auto"/>
        <w:jc w:val="center"/>
        <w:outlineLvl w:val="0"/>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评标办法（综合评分法）</w:t>
      </w:r>
    </w:p>
    <w:tbl>
      <w:tblPr>
        <w:tblStyle w:val="22"/>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965"/>
        <w:gridCol w:w="7794"/>
        <w:gridCol w:w="648"/>
      </w:tblGrid>
      <w:tr w14:paraId="3EC9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6BADB140">
            <w:pPr>
              <w:rPr>
                <w:rFonts w:hint="eastAsia" w:ascii="宋体" w:hAnsi="宋体" w:eastAsia="宋体" w:cs="宋体"/>
                <w:sz w:val="24"/>
                <w:szCs w:val="32"/>
              </w:rPr>
            </w:pPr>
            <w:r>
              <w:rPr>
                <w:rFonts w:hint="eastAsia" w:ascii="宋体" w:hAnsi="宋体" w:eastAsia="宋体" w:cs="宋体"/>
                <w:sz w:val="24"/>
                <w:szCs w:val="32"/>
              </w:rPr>
              <w:t>评标项目</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7CC928FF">
            <w:pPr>
              <w:rPr>
                <w:rFonts w:hint="eastAsia" w:ascii="宋体" w:hAnsi="宋体" w:eastAsia="宋体" w:cs="宋体"/>
                <w:sz w:val="24"/>
                <w:szCs w:val="32"/>
              </w:rPr>
            </w:pPr>
            <w:r>
              <w:rPr>
                <w:rFonts w:hint="eastAsia" w:ascii="宋体" w:hAnsi="宋体" w:eastAsia="宋体" w:cs="宋体"/>
                <w:sz w:val="24"/>
                <w:szCs w:val="32"/>
              </w:rPr>
              <w:t>评标分项</w:t>
            </w:r>
          </w:p>
        </w:tc>
        <w:tc>
          <w:tcPr>
            <w:tcW w:w="7794" w:type="dxa"/>
            <w:tcBorders>
              <w:top w:val="single" w:color="auto" w:sz="4" w:space="0"/>
              <w:left w:val="single" w:color="auto" w:sz="4" w:space="0"/>
              <w:bottom w:val="single" w:color="auto" w:sz="4" w:space="0"/>
              <w:right w:val="single" w:color="auto" w:sz="4" w:space="0"/>
            </w:tcBorders>
            <w:noWrap w:val="0"/>
            <w:vAlign w:val="center"/>
          </w:tcPr>
          <w:p w14:paraId="7161E3B6">
            <w:pPr>
              <w:rPr>
                <w:rFonts w:hint="eastAsia" w:ascii="宋体" w:hAnsi="宋体" w:eastAsia="宋体" w:cs="宋体"/>
                <w:sz w:val="24"/>
                <w:szCs w:val="32"/>
              </w:rPr>
            </w:pPr>
            <w:r>
              <w:rPr>
                <w:rFonts w:hint="eastAsia" w:ascii="宋体" w:hAnsi="宋体" w:eastAsia="宋体" w:cs="宋体"/>
                <w:sz w:val="24"/>
                <w:szCs w:val="32"/>
              </w:rPr>
              <w:t>评标分项及分值</w:t>
            </w:r>
          </w:p>
        </w:tc>
        <w:tc>
          <w:tcPr>
            <w:tcW w:w="648" w:type="dxa"/>
            <w:tcBorders>
              <w:top w:val="single" w:color="auto" w:sz="4" w:space="0"/>
              <w:left w:val="single" w:color="auto" w:sz="4" w:space="0"/>
              <w:bottom w:val="single" w:color="auto" w:sz="4" w:space="0"/>
              <w:right w:val="single" w:color="auto" w:sz="4" w:space="0"/>
            </w:tcBorders>
            <w:noWrap w:val="0"/>
            <w:vAlign w:val="center"/>
          </w:tcPr>
          <w:p w14:paraId="6F26D120">
            <w:pPr>
              <w:rPr>
                <w:rFonts w:hint="eastAsia" w:ascii="宋体" w:hAnsi="宋体" w:eastAsia="宋体" w:cs="宋体"/>
                <w:sz w:val="24"/>
                <w:szCs w:val="32"/>
              </w:rPr>
            </w:pPr>
            <w:r>
              <w:rPr>
                <w:rFonts w:hint="eastAsia" w:ascii="宋体" w:hAnsi="宋体" w:eastAsia="宋体" w:cs="宋体"/>
                <w:sz w:val="24"/>
                <w:szCs w:val="32"/>
              </w:rPr>
              <w:t>分值</w:t>
            </w:r>
          </w:p>
        </w:tc>
      </w:tr>
      <w:tr w14:paraId="7B3E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936" w:type="dxa"/>
            <w:tcBorders>
              <w:top w:val="single" w:color="auto" w:sz="4" w:space="0"/>
              <w:left w:val="single" w:color="auto" w:sz="4" w:space="0"/>
              <w:bottom w:val="single" w:color="auto" w:sz="4" w:space="0"/>
              <w:right w:val="single" w:color="auto" w:sz="4" w:space="0"/>
            </w:tcBorders>
            <w:noWrap w:val="0"/>
            <w:vAlign w:val="center"/>
          </w:tcPr>
          <w:p w14:paraId="3586281F">
            <w:pPr>
              <w:jc w:val="center"/>
              <w:rPr>
                <w:rFonts w:hint="eastAsia" w:ascii="宋体" w:hAnsi="宋体" w:eastAsia="宋体" w:cs="宋体"/>
                <w:sz w:val="24"/>
                <w:szCs w:val="32"/>
              </w:rPr>
            </w:pPr>
            <w:r>
              <w:rPr>
                <w:rFonts w:hint="eastAsia" w:ascii="宋体" w:hAnsi="宋体" w:eastAsia="宋体" w:cs="宋体"/>
                <w:sz w:val="24"/>
                <w:szCs w:val="32"/>
              </w:rPr>
              <w:t>价格部分</w:t>
            </w:r>
          </w:p>
          <w:p w14:paraId="4F479BF7">
            <w:pPr>
              <w:jc w:val="center"/>
              <w:rPr>
                <w:rFonts w:hint="eastAsia" w:ascii="宋体" w:hAnsi="宋体" w:eastAsia="宋体" w:cs="宋体"/>
                <w:sz w:val="24"/>
                <w:szCs w:val="32"/>
              </w:rPr>
            </w:pPr>
            <w:r>
              <w:rPr>
                <w:rFonts w:hint="eastAsia" w:ascii="宋体" w:hAnsi="宋体" w:eastAsia="宋体" w:cs="宋体"/>
                <w:sz w:val="24"/>
                <w:szCs w:val="32"/>
              </w:rPr>
              <w:t>（30分）</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413E5F3C">
            <w:pPr>
              <w:jc w:val="center"/>
              <w:rPr>
                <w:rFonts w:hint="eastAsia" w:ascii="宋体" w:hAnsi="宋体" w:eastAsia="宋体" w:cs="宋体"/>
                <w:sz w:val="24"/>
                <w:szCs w:val="32"/>
              </w:rPr>
            </w:pPr>
            <w:r>
              <w:rPr>
                <w:rFonts w:hint="eastAsia" w:ascii="宋体" w:hAnsi="宋体" w:eastAsia="宋体" w:cs="宋体"/>
                <w:sz w:val="24"/>
                <w:szCs w:val="32"/>
              </w:rPr>
              <w:t>报价得分</w:t>
            </w:r>
          </w:p>
        </w:tc>
        <w:tc>
          <w:tcPr>
            <w:tcW w:w="7794" w:type="dxa"/>
            <w:tcBorders>
              <w:top w:val="single" w:color="auto" w:sz="4" w:space="0"/>
              <w:left w:val="single" w:color="auto" w:sz="4" w:space="0"/>
              <w:bottom w:val="single" w:color="auto" w:sz="4" w:space="0"/>
              <w:right w:val="single" w:color="auto" w:sz="4" w:space="0"/>
            </w:tcBorders>
            <w:noWrap w:val="0"/>
            <w:vAlign w:val="center"/>
          </w:tcPr>
          <w:p w14:paraId="61F3FA0F">
            <w:pPr>
              <w:rPr>
                <w:rFonts w:hint="eastAsia" w:ascii="宋体" w:hAnsi="宋体" w:eastAsia="宋体" w:cs="宋体"/>
                <w:sz w:val="24"/>
                <w:szCs w:val="32"/>
              </w:rPr>
            </w:pPr>
            <w:r>
              <w:rPr>
                <w:rFonts w:hint="eastAsia" w:ascii="宋体" w:hAnsi="宋体" w:eastAsia="宋体" w:cs="宋体"/>
                <w:kern w:val="0"/>
                <w:sz w:val="24"/>
                <w:szCs w:val="24"/>
              </w:rPr>
              <w:t>满足招标文件要求且报价最低的有效投标报价为评标基准价，投标报价等于评标基准价的得标准分。其他投标报价得分</w:t>
            </w:r>
            <w:r>
              <w:rPr>
                <w:rFonts w:hint="eastAsia" w:ascii="宋体" w:hAnsi="宋体" w:eastAsia="宋体" w:cs="宋体"/>
                <w:kern w:val="0"/>
                <w:sz w:val="24"/>
                <w:szCs w:val="24"/>
                <w:lang w:val="en-US" w:eastAsia="zh-CN"/>
              </w:rPr>
              <w:t>=（评标基准价/投标报价）×30%×100计算分值时，百分比按四舍五入原则，保留小数点后二位数）</w:t>
            </w:r>
            <w:r>
              <w:rPr>
                <w:rFonts w:hint="eastAsia" w:ascii="宋体" w:hAnsi="宋体" w:eastAsia="宋体" w:cs="宋体"/>
                <w:kern w:val="0"/>
                <w:sz w:val="24"/>
                <w:szCs w:val="24"/>
              </w:rPr>
              <w:t>有效报价：通过符合性审查并经算数修正的投标报价为有效报价。</w:t>
            </w:r>
          </w:p>
        </w:tc>
        <w:tc>
          <w:tcPr>
            <w:tcW w:w="648" w:type="dxa"/>
            <w:tcBorders>
              <w:top w:val="single" w:color="auto" w:sz="4" w:space="0"/>
              <w:left w:val="single" w:color="auto" w:sz="4" w:space="0"/>
              <w:bottom w:val="single" w:color="auto" w:sz="4" w:space="0"/>
              <w:right w:val="single" w:color="auto" w:sz="4" w:space="0"/>
            </w:tcBorders>
            <w:noWrap w:val="0"/>
            <w:vAlign w:val="center"/>
          </w:tcPr>
          <w:p w14:paraId="151C3E0C">
            <w:pPr>
              <w:jc w:val="center"/>
              <w:rPr>
                <w:rFonts w:hint="eastAsia" w:ascii="宋体" w:hAnsi="宋体" w:eastAsia="宋体" w:cs="宋体"/>
                <w:sz w:val="24"/>
                <w:szCs w:val="32"/>
              </w:rPr>
            </w:pPr>
            <w:r>
              <w:rPr>
                <w:rFonts w:hint="eastAsia" w:ascii="宋体" w:hAnsi="宋体" w:eastAsia="宋体" w:cs="宋体"/>
                <w:sz w:val="24"/>
                <w:szCs w:val="32"/>
              </w:rPr>
              <w:t>30</w:t>
            </w:r>
          </w:p>
        </w:tc>
      </w:tr>
      <w:tr w14:paraId="6C50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Borders>
              <w:top w:val="single" w:color="auto" w:sz="4" w:space="0"/>
              <w:left w:val="single" w:color="auto" w:sz="4" w:space="0"/>
              <w:right w:val="single" w:color="auto" w:sz="4" w:space="0"/>
            </w:tcBorders>
            <w:noWrap w:val="0"/>
            <w:vAlign w:val="center"/>
          </w:tcPr>
          <w:p w14:paraId="32251139">
            <w:pPr>
              <w:jc w:val="center"/>
              <w:rPr>
                <w:rFonts w:hint="eastAsia" w:ascii="宋体" w:hAnsi="宋体" w:eastAsia="宋体" w:cs="宋体"/>
                <w:sz w:val="24"/>
                <w:szCs w:val="32"/>
              </w:rPr>
            </w:pPr>
            <w:r>
              <w:rPr>
                <w:rFonts w:hint="eastAsia" w:ascii="宋体" w:hAnsi="宋体" w:eastAsia="宋体" w:cs="宋体"/>
                <w:sz w:val="24"/>
                <w:szCs w:val="32"/>
              </w:rPr>
              <w:t>技术部分</w:t>
            </w:r>
          </w:p>
          <w:p w14:paraId="1BA6AF7E">
            <w:pPr>
              <w:jc w:val="center"/>
              <w:rPr>
                <w:rFonts w:hint="eastAsia" w:ascii="宋体" w:hAnsi="宋体" w:eastAsia="宋体" w:cs="宋体"/>
                <w:sz w:val="24"/>
                <w:szCs w:val="32"/>
              </w:rPr>
            </w:pPr>
            <w:r>
              <w:rPr>
                <w:rFonts w:hint="eastAsia" w:ascii="宋体" w:hAnsi="宋体" w:eastAsia="宋体" w:cs="宋体"/>
                <w:sz w:val="24"/>
                <w:szCs w:val="32"/>
              </w:rPr>
              <w:t>（</w:t>
            </w:r>
            <w:r>
              <w:rPr>
                <w:rFonts w:hint="eastAsia" w:ascii="宋体" w:hAnsi="宋体" w:cs="宋体"/>
                <w:sz w:val="24"/>
                <w:szCs w:val="32"/>
                <w:lang w:val="en-US" w:eastAsia="zh-CN"/>
              </w:rPr>
              <w:t>40</w:t>
            </w:r>
            <w:r>
              <w:rPr>
                <w:rFonts w:hint="eastAsia" w:ascii="宋体" w:hAnsi="宋体" w:eastAsia="宋体" w:cs="宋体"/>
                <w:sz w:val="24"/>
                <w:szCs w:val="32"/>
              </w:rPr>
              <w:t>）</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4D1452C3">
            <w:pPr>
              <w:jc w:val="center"/>
              <w:rPr>
                <w:rFonts w:hint="eastAsia" w:ascii="宋体" w:hAnsi="宋体" w:eastAsia="宋体" w:cs="宋体"/>
                <w:sz w:val="24"/>
                <w:szCs w:val="32"/>
                <w:lang w:eastAsia="zh-CN"/>
              </w:rPr>
            </w:pPr>
            <w:r>
              <w:rPr>
                <w:rFonts w:hint="eastAsia" w:ascii="宋体" w:hAnsi="宋体" w:eastAsia="宋体" w:cs="宋体"/>
                <w:sz w:val="24"/>
                <w:szCs w:val="32"/>
                <w:highlight w:val="none"/>
              </w:rPr>
              <w:t>技术</w:t>
            </w:r>
            <w:r>
              <w:rPr>
                <w:rFonts w:hint="eastAsia" w:ascii="宋体" w:hAnsi="宋体" w:eastAsia="宋体" w:cs="宋体"/>
                <w:sz w:val="24"/>
                <w:szCs w:val="32"/>
                <w:highlight w:val="none"/>
                <w:lang w:val="en-US" w:eastAsia="zh-CN"/>
              </w:rPr>
              <w:t>参数</w:t>
            </w:r>
          </w:p>
        </w:tc>
        <w:tc>
          <w:tcPr>
            <w:tcW w:w="7794" w:type="dxa"/>
            <w:tcBorders>
              <w:top w:val="single" w:color="auto" w:sz="4" w:space="0"/>
              <w:left w:val="single" w:color="auto" w:sz="4" w:space="0"/>
              <w:bottom w:val="single" w:color="auto" w:sz="4" w:space="0"/>
              <w:right w:val="single" w:color="auto" w:sz="4" w:space="0"/>
            </w:tcBorders>
            <w:noWrap w:val="0"/>
            <w:vAlign w:val="top"/>
          </w:tcPr>
          <w:p w14:paraId="590531D7">
            <w:pPr>
              <w:rPr>
                <w:rFonts w:hint="eastAsia" w:ascii="宋体" w:hAnsi="宋体" w:eastAsia="宋体" w:cs="宋体"/>
                <w:sz w:val="24"/>
                <w:szCs w:val="32"/>
                <w:highlight w:val="none"/>
              </w:rPr>
            </w:pPr>
            <w:r>
              <w:rPr>
                <w:rFonts w:hint="eastAsia" w:ascii="宋体" w:hAnsi="宋体" w:eastAsia="宋体" w:cs="宋体"/>
                <w:bCs/>
                <w:sz w:val="24"/>
                <w:szCs w:val="32"/>
                <w:highlight w:val="none"/>
                <w:lang w:val="en-US" w:eastAsia="zh-CN"/>
              </w:rPr>
              <w:t>根据各投标人所投产品技术性能以及对招标文件各项基本要求（招标内容技术参数具体要求）的逐项响应承诺等方面情况由评委进行评议打分，满足招标文件基本技术参数基础分40分，一般参数一项负偏离或不满足扣0.5分，扣完为止；核心打</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eastAsia="宋体" w:cs="宋体"/>
                <w:bCs/>
                <w:sz w:val="24"/>
                <w:szCs w:val="32"/>
                <w:highlight w:val="none"/>
                <w:lang w:val="en-US" w:eastAsia="zh-CN"/>
              </w:rPr>
              <w:t>的参数</w:t>
            </w:r>
            <w:r>
              <w:rPr>
                <w:rFonts w:hint="eastAsia" w:ascii="宋体" w:hAnsi="宋体" w:cs="宋体"/>
                <w:bCs/>
                <w:sz w:val="24"/>
                <w:szCs w:val="32"/>
                <w:highlight w:val="none"/>
                <w:lang w:val="en-US" w:eastAsia="zh-CN"/>
              </w:rPr>
              <w:t>一项负偏离或不满足扣</w:t>
            </w:r>
            <w:r>
              <w:rPr>
                <w:rFonts w:hint="eastAsia" w:ascii="宋体" w:hAnsi="宋体" w:eastAsia="宋体" w:cs="宋体"/>
                <w:bCs/>
                <w:sz w:val="24"/>
                <w:szCs w:val="32"/>
                <w:highlight w:val="none"/>
                <w:lang w:val="en-US" w:eastAsia="zh-CN"/>
              </w:rPr>
              <w:t>2分，扣完为止。（参数里的内容为基础参数，打</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eastAsia="宋体" w:cs="宋体"/>
                <w:bCs/>
                <w:sz w:val="24"/>
                <w:szCs w:val="32"/>
                <w:highlight w:val="none"/>
                <w:lang w:val="en-US" w:eastAsia="zh-CN"/>
              </w:rPr>
              <w:t>的参数为核心参数</w:t>
            </w:r>
            <w:r>
              <w:rPr>
                <w:rFonts w:hint="eastAsia" w:ascii="宋体" w:hAnsi="宋体" w:cs="宋体"/>
                <w:bCs/>
                <w:sz w:val="24"/>
                <w:szCs w:val="32"/>
                <w:highlight w:val="none"/>
                <w:lang w:val="en-US" w:eastAsia="zh-CN"/>
              </w:rPr>
              <w:t>需提供佐证材料：</w:t>
            </w:r>
            <w:r>
              <w:rPr>
                <w:rFonts w:hint="eastAsia" w:ascii="宋体" w:hAnsi="宋体" w:eastAsia="宋体" w:cs="宋体"/>
                <w:bCs/>
                <w:sz w:val="24"/>
                <w:szCs w:val="32"/>
                <w:highlight w:val="none"/>
                <w:lang w:val="en-US" w:eastAsia="zh-CN"/>
              </w:rPr>
              <w:t>提供的检测报告等印证资料是完整的，有缺页的视为无效印证资料。）</w:t>
            </w:r>
          </w:p>
        </w:tc>
        <w:tc>
          <w:tcPr>
            <w:tcW w:w="648" w:type="dxa"/>
            <w:tcBorders>
              <w:top w:val="single" w:color="auto" w:sz="4" w:space="0"/>
              <w:left w:val="single" w:color="auto" w:sz="4" w:space="0"/>
              <w:bottom w:val="single" w:color="auto" w:sz="4" w:space="0"/>
              <w:right w:val="single" w:color="auto" w:sz="4" w:space="0"/>
            </w:tcBorders>
            <w:noWrap w:val="0"/>
            <w:vAlign w:val="center"/>
          </w:tcPr>
          <w:p w14:paraId="301EF150">
            <w:pPr>
              <w:jc w:val="center"/>
              <w:rPr>
                <w:rFonts w:hint="default" w:ascii="宋体" w:hAnsi="宋体" w:eastAsia="宋体" w:cs="宋体"/>
                <w:sz w:val="24"/>
                <w:szCs w:val="32"/>
                <w:highlight w:val="none"/>
                <w:lang w:val="en-US" w:eastAsia="zh-CN"/>
              </w:rPr>
            </w:pPr>
            <w:r>
              <w:rPr>
                <w:rFonts w:hint="eastAsia" w:ascii="宋体" w:hAnsi="宋体" w:cs="宋体"/>
                <w:sz w:val="24"/>
                <w:szCs w:val="32"/>
                <w:highlight w:val="none"/>
                <w:lang w:val="en-US" w:eastAsia="zh-CN"/>
              </w:rPr>
              <w:t>40</w:t>
            </w:r>
          </w:p>
        </w:tc>
      </w:tr>
      <w:tr w14:paraId="7763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936" w:type="dxa"/>
            <w:vMerge w:val="restart"/>
            <w:tcBorders>
              <w:left w:val="single" w:color="auto" w:sz="4" w:space="0"/>
              <w:right w:val="single" w:color="auto" w:sz="4" w:space="0"/>
            </w:tcBorders>
            <w:noWrap w:val="0"/>
            <w:vAlign w:val="center"/>
          </w:tcPr>
          <w:p w14:paraId="567889DE">
            <w:pPr>
              <w:rPr>
                <w:rFonts w:hint="eastAsia" w:ascii="宋体" w:hAnsi="宋体" w:eastAsia="宋体" w:cs="宋体"/>
                <w:sz w:val="24"/>
                <w:szCs w:val="32"/>
                <w:highlight w:val="yellow"/>
              </w:rPr>
            </w:pPr>
            <w:r>
              <w:rPr>
                <w:spacing w:val="-5"/>
              </w:rPr>
              <w:t>商务部</w:t>
            </w:r>
            <w:r>
              <w:t xml:space="preserve"> </w:t>
            </w:r>
            <w:r>
              <w:rPr>
                <w:spacing w:val="-5"/>
              </w:rPr>
              <w:t>分（</w:t>
            </w:r>
            <w:r>
              <w:rPr>
                <w:rFonts w:hint="eastAsia" w:eastAsia="宋体"/>
                <w:spacing w:val="-5"/>
                <w:lang w:val="en-US" w:eastAsia="zh-CN"/>
              </w:rPr>
              <w:t>30</w:t>
            </w:r>
            <w:r>
              <w:t xml:space="preserve"> </w:t>
            </w:r>
            <w:r>
              <w:rPr>
                <w:spacing w:val="-8"/>
              </w:rPr>
              <w:t>分）</w:t>
            </w:r>
          </w:p>
        </w:tc>
        <w:tc>
          <w:tcPr>
            <w:tcW w:w="9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005203">
            <w:pPr>
              <w:jc w:val="center"/>
              <w:rPr>
                <w:rFonts w:hint="eastAsia" w:ascii="宋体" w:hAnsi="宋体" w:eastAsia="宋体" w:cs="宋体"/>
                <w:sz w:val="24"/>
                <w:szCs w:val="32"/>
                <w:lang w:val="en-US" w:eastAsia="zh-CN"/>
              </w:rPr>
            </w:pPr>
            <w:r>
              <w:rPr>
                <w:rFonts w:hint="eastAsia" w:ascii="宋体" w:hAnsi="宋体" w:eastAsia="宋体" w:cs="宋体"/>
                <w:sz w:val="24"/>
                <w:szCs w:val="32"/>
              </w:rPr>
              <w:t>类似业绩</w:t>
            </w:r>
          </w:p>
        </w:tc>
        <w:tc>
          <w:tcPr>
            <w:tcW w:w="77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7FA41A">
            <w:pPr>
              <w:rPr>
                <w:rFonts w:hint="eastAsia" w:ascii="宋体" w:hAnsi="宋体" w:eastAsia="宋体" w:cs="宋体"/>
                <w:sz w:val="24"/>
                <w:szCs w:val="32"/>
                <w:lang w:val="en-US" w:eastAsia="zh-CN"/>
              </w:rPr>
            </w:pPr>
            <w:r>
              <w:rPr>
                <w:rFonts w:hint="eastAsia" w:ascii="宋体" w:hAnsi="宋体" w:eastAsia="宋体" w:cs="宋体"/>
                <w:bCs/>
                <w:sz w:val="24"/>
                <w:szCs w:val="32"/>
              </w:rPr>
              <w:t>投标人投标人提供近三年</w:t>
            </w:r>
            <w:r>
              <w:rPr>
                <w:rFonts w:hint="eastAsia" w:ascii="宋体" w:hAnsi="宋体" w:eastAsia="宋体" w:cs="宋体"/>
                <w:bCs/>
                <w:sz w:val="24"/>
                <w:szCs w:val="32"/>
                <w:lang w:eastAsia="zh-CN"/>
              </w:rPr>
              <w:t>（</w:t>
            </w:r>
            <w:r>
              <w:rPr>
                <w:rFonts w:hint="eastAsia" w:ascii="宋体" w:hAnsi="宋体" w:eastAsia="宋体" w:cs="宋体"/>
                <w:bCs/>
                <w:sz w:val="24"/>
                <w:szCs w:val="32"/>
              </w:rPr>
              <w:t>202</w:t>
            </w:r>
            <w:r>
              <w:rPr>
                <w:rFonts w:hint="eastAsia" w:ascii="宋体" w:hAnsi="宋体" w:cs="宋体"/>
                <w:bCs/>
                <w:sz w:val="24"/>
                <w:szCs w:val="32"/>
                <w:lang w:val="en-US" w:eastAsia="zh-CN"/>
              </w:rPr>
              <w:t>3</w:t>
            </w:r>
            <w:r>
              <w:rPr>
                <w:rFonts w:hint="eastAsia" w:ascii="宋体" w:hAnsi="宋体" w:eastAsia="宋体" w:cs="宋体"/>
                <w:bCs/>
                <w:sz w:val="24"/>
                <w:szCs w:val="32"/>
              </w:rPr>
              <w:t>年</w:t>
            </w:r>
            <w:r>
              <w:rPr>
                <w:rFonts w:hint="eastAsia" w:ascii="宋体" w:hAnsi="宋体" w:cs="宋体"/>
                <w:bCs/>
                <w:sz w:val="24"/>
                <w:szCs w:val="32"/>
                <w:lang w:val="en-US" w:eastAsia="zh-CN"/>
              </w:rPr>
              <w:t>4</w:t>
            </w:r>
            <w:r>
              <w:rPr>
                <w:rFonts w:hint="eastAsia" w:ascii="宋体" w:hAnsi="宋体" w:eastAsia="宋体" w:cs="宋体"/>
                <w:bCs/>
                <w:sz w:val="24"/>
                <w:szCs w:val="32"/>
              </w:rPr>
              <w:t>月</w:t>
            </w:r>
            <w:r>
              <w:rPr>
                <w:rFonts w:hint="eastAsia" w:ascii="宋体" w:hAnsi="宋体" w:eastAsia="宋体" w:cs="宋体"/>
                <w:bCs/>
                <w:sz w:val="24"/>
                <w:szCs w:val="32"/>
                <w:lang w:val="en-US" w:eastAsia="zh-CN"/>
              </w:rPr>
              <w:t>-至今</w:t>
            </w:r>
            <w:r>
              <w:rPr>
                <w:rFonts w:hint="eastAsia" w:ascii="宋体" w:hAnsi="宋体" w:eastAsia="宋体" w:cs="宋体"/>
                <w:bCs/>
                <w:sz w:val="24"/>
                <w:szCs w:val="32"/>
                <w:lang w:eastAsia="zh-CN"/>
              </w:rPr>
              <w:t>）</w:t>
            </w:r>
            <w:r>
              <w:rPr>
                <w:rFonts w:hint="eastAsia" w:ascii="宋体" w:hAnsi="宋体" w:eastAsia="宋体" w:cs="宋体"/>
                <w:bCs/>
                <w:sz w:val="24"/>
                <w:szCs w:val="32"/>
                <w:lang w:val="en-US" w:eastAsia="zh-CN"/>
              </w:rPr>
              <w:t>类似业绩证明材料</w:t>
            </w:r>
            <w:r>
              <w:rPr>
                <w:rFonts w:hint="eastAsia" w:ascii="宋体" w:hAnsi="宋体" w:eastAsia="宋体" w:cs="宋体"/>
                <w:bCs/>
                <w:sz w:val="24"/>
                <w:szCs w:val="32"/>
              </w:rPr>
              <w:t>每个得</w:t>
            </w:r>
            <w:r>
              <w:rPr>
                <w:rFonts w:hint="eastAsia" w:ascii="宋体" w:hAnsi="宋体" w:cs="宋体"/>
                <w:bCs/>
                <w:sz w:val="24"/>
                <w:szCs w:val="32"/>
                <w:lang w:val="en-US" w:eastAsia="zh-CN"/>
              </w:rPr>
              <w:t>1</w:t>
            </w:r>
            <w:r>
              <w:rPr>
                <w:rFonts w:hint="eastAsia" w:ascii="宋体" w:hAnsi="宋体" w:eastAsia="宋体" w:cs="宋体"/>
                <w:bCs/>
                <w:sz w:val="24"/>
                <w:szCs w:val="32"/>
              </w:rPr>
              <w:t>分，最高得</w:t>
            </w:r>
            <w:r>
              <w:rPr>
                <w:rFonts w:hint="eastAsia" w:ascii="宋体" w:hAnsi="宋体" w:cs="宋体"/>
                <w:bCs/>
                <w:sz w:val="24"/>
                <w:szCs w:val="32"/>
                <w:lang w:val="en-US" w:eastAsia="zh-CN"/>
              </w:rPr>
              <w:t>3</w:t>
            </w:r>
            <w:r>
              <w:rPr>
                <w:rFonts w:hint="eastAsia" w:ascii="宋体" w:hAnsi="宋体" w:eastAsia="宋体" w:cs="宋体"/>
                <w:bCs/>
                <w:sz w:val="24"/>
                <w:szCs w:val="32"/>
              </w:rPr>
              <w:t>分，需提供中标通知书</w:t>
            </w:r>
            <w:r>
              <w:rPr>
                <w:rFonts w:hint="eastAsia" w:ascii="宋体" w:hAnsi="宋体" w:eastAsia="宋体" w:cs="宋体"/>
                <w:bCs/>
                <w:sz w:val="24"/>
                <w:szCs w:val="32"/>
                <w:lang w:eastAsia="zh-CN"/>
              </w:rPr>
              <w:t>、</w:t>
            </w:r>
            <w:r>
              <w:rPr>
                <w:rFonts w:hint="eastAsia" w:ascii="宋体" w:hAnsi="宋体" w:eastAsia="宋体" w:cs="宋体"/>
                <w:bCs/>
                <w:sz w:val="24"/>
                <w:szCs w:val="32"/>
              </w:rPr>
              <w:t>合同</w:t>
            </w:r>
            <w:r>
              <w:rPr>
                <w:rFonts w:hint="eastAsia" w:ascii="宋体" w:hAnsi="宋体" w:eastAsia="宋体" w:cs="宋体"/>
                <w:bCs/>
                <w:sz w:val="24"/>
                <w:szCs w:val="32"/>
                <w:lang w:eastAsia="zh-CN"/>
              </w:rPr>
              <w:t>、</w:t>
            </w:r>
            <w:r>
              <w:rPr>
                <w:rFonts w:hint="eastAsia" w:ascii="宋体" w:hAnsi="宋体" w:eastAsia="宋体" w:cs="宋体"/>
                <w:bCs/>
                <w:sz w:val="24"/>
                <w:szCs w:val="32"/>
                <w:lang w:val="en-US" w:eastAsia="zh-CN"/>
              </w:rPr>
              <w:t>验收报告等证明材料</w:t>
            </w:r>
            <w:r>
              <w:rPr>
                <w:rFonts w:hint="eastAsia" w:ascii="宋体" w:hAnsi="宋体" w:eastAsia="宋体" w:cs="宋体"/>
                <w:bCs/>
                <w:sz w:val="24"/>
                <w:szCs w:val="32"/>
              </w:rPr>
              <w:t>，</w:t>
            </w:r>
            <w:r>
              <w:rPr>
                <w:rFonts w:hint="eastAsia" w:ascii="宋体" w:hAnsi="宋体" w:eastAsia="宋体" w:cs="宋体"/>
                <w:bCs/>
                <w:sz w:val="24"/>
                <w:szCs w:val="32"/>
                <w:lang w:val="en-US" w:eastAsia="zh-CN"/>
              </w:rPr>
              <w:t>提供不全</w:t>
            </w:r>
            <w:r>
              <w:rPr>
                <w:rFonts w:hint="eastAsia" w:ascii="宋体" w:hAnsi="宋体" w:eastAsia="宋体" w:cs="宋体"/>
                <w:bCs/>
                <w:sz w:val="24"/>
                <w:szCs w:val="32"/>
              </w:rPr>
              <w:t>不得分。</w:t>
            </w:r>
          </w:p>
        </w:tc>
        <w:tc>
          <w:tcPr>
            <w:tcW w:w="6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39E15">
            <w:pPr>
              <w:jc w:val="center"/>
              <w:rPr>
                <w:rFonts w:hint="eastAsia" w:ascii="宋体" w:hAnsi="宋体" w:eastAsia="宋体" w:cs="宋体"/>
                <w:sz w:val="24"/>
                <w:szCs w:val="32"/>
                <w:lang w:val="en-US" w:eastAsia="zh-CN"/>
              </w:rPr>
            </w:pPr>
            <w:r>
              <w:rPr>
                <w:rFonts w:hint="eastAsia" w:ascii="宋体" w:hAnsi="宋体" w:cs="宋体"/>
                <w:sz w:val="24"/>
                <w:szCs w:val="32"/>
                <w:lang w:val="en-US" w:eastAsia="zh-CN"/>
              </w:rPr>
              <w:t>3</w:t>
            </w:r>
          </w:p>
        </w:tc>
      </w:tr>
      <w:tr w14:paraId="760E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936" w:type="dxa"/>
            <w:vMerge w:val="continue"/>
            <w:tcBorders>
              <w:left w:val="single" w:color="auto" w:sz="4" w:space="0"/>
              <w:right w:val="single" w:color="auto" w:sz="4" w:space="0"/>
            </w:tcBorders>
            <w:noWrap w:val="0"/>
            <w:vAlign w:val="center"/>
          </w:tcPr>
          <w:p w14:paraId="1524DBE5">
            <w:pPr>
              <w:rPr>
                <w:rFonts w:hint="eastAsia" w:ascii="宋体" w:hAnsi="宋体" w:eastAsia="宋体" w:cs="宋体"/>
                <w:sz w:val="24"/>
                <w:szCs w:val="32"/>
                <w:highlight w:val="yellow"/>
              </w:rPr>
            </w:pPr>
          </w:p>
        </w:tc>
        <w:tc>
          <w:tcPr>
            <w:tcW w:w="9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A37349">
            <w:pPr>
              <w:jc w:val="center"/>
              <w:rPr>
                <w:rFonts w:hint="eastAsia" w:ascii="宋体" w:hAnsi="宋体" w:eastAsia="宋体" w:cs="宋体"/>
                <w:sz w:val="24"/>
                <w:szCs w:val="32"/>
                <w:lang w:val="en-US" w:eastAsia="zh-CN"/>
              </w:rPr>
            </w:pPr>
            <w:r>
              <w:rPr>
                <w:rFonts w:hint="eastAsia" w:ascii="宋体" w:hAnsi="宋体" w:eastAsia="宋体" w:cs="宋体"/>
                <w:bCs/>
                <w:sz w:val="24"/>
                <w:szCs w:val="32"/>
                <w:lang w:val="en-US" w:eastAsia="zh-CN"/>
              </w:rPr>
              <w:t>售后</w:t>
            </w:r>
          </w:p>
        </w:tc>
        <w:tc>
          <w:tcPr>
            <w:tcW w:w="779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ECE8957">
            <w:pPr>
              <w:numPr>
                <w:ilvl w:val="0"/>
                <w:numId w:val="3"/>
              </w:numPr>
              <w:rPr>
                <w:rFonts w:hint="eastAsia" w:ascii="宋体" w:hAnsi="宋体" w:eastAsia="宋体" w:cs="宋体"/>
                <w:bCs/>
                <w:sz w:val="24"/>
                <w:szCs w:val="32"/>
                <w:highlight w:val="none"/>
                <w:lang w:val="en-US" w:eastAsia="zh-CN"/>
              </w:rPr>
            </w:pPr>
            <w:r>
              <w:rPr>
                <w:rFonts w:hint="eastAsia" w:ascii="宋体" w:hAnsi="宋体" w:eastAsia="宋体" w:cs="宋体"/>
                <w:bCs/>
                <w:sz w:val="24"/>
                <w:szCs w:val="32"/>
                <w:highlight w:val="none"/>
                <w:lang w:val="en-US" w:eastAsia="zh-CN"/>
              </w:rPr>
              <w:t>根据</w:t>
            </w:r>
            <w:r>
              <w:rPr>
                <w:rFonts w:hint="eastAsia" w:ascii="宋体" w:hAnsi="宋体" w:eastAsia="宋体" w:cs="宋体"/>
                <w:bCs/>
                <w:sz w:val="24"/>
                <w:szCs w:val="32"/>
                <w:highlight w:val="none"/>
                <w:lang w:val="en-US" w:eastAsia="en-US"/>
              </w:rPr>
              <w:t>售后服务方案及措施，售后服务方案制定完善，售后服务内容、方式及其他资源保障等，后续保障措施可行性强，遇到问题时能迅速响应，并能及时解决</w:t>
            </w:r>
            <w:r>
              <w:rPr>
                <w:rFonts w:hint="eastAsia" w:ascii="宋体" w:hAnsi="宋体" w:eastAsia="宋体" w:cs="宋体"/>
                <w:bCs/>
                <w:sz w:val="24"/>
                <w:szCs w:val="32"/>
                <w:highlight w:val="none"/>
                <w:lang w:val="en-US" w:eastAsia="zh-CN"/>
              </w:rPr>
              <w:t>等内容</w:t>
            </w:r>
            <w:r>
              <w:rPr>
                <w:rFonts w:hint="eastAsia" w:ascii="宋体" w:hAnsi="宋体" w:eastAsia="宋体" w:cs="宋体"/>
                <w:bCs/>
                <w:sz w:val="24"/>
                <w:szCs w:val="32"/>
                <w:highlight w:val="none"/>
                <w:lang w:val="en-US" w:eastAsia="en-US"/>
              </w:rPr>
              <w:t>进行综合评审：内容包括①售后保障措施及承诺②售后技术支持及维护</w:t>
            </w:r>
            <w:r>
              <w:rPr>
                <w:rFonts w:hint="eastAsia" w:ascii="宋体" w:hAnsi="宋体" w:eastAsia="宋体" w:cs="宋体"/>
                <w:bCs/>
                <w:sz w:val="24"/>
                <w:szCs w:val="32"/>
                <w:highlight w:val="none"/>
                <w:lang w:val="en-US" w:eastAsia="zh-CN"/>
              </w:rPr>
              <w:t xml:space="preserve">  </w:t>
            </w:r>
            <w:r>
              <w:rPr>
                <w:rFonts w:hint="eastAsia" w:ascii="宋体" w:hAnsi="宋体" w:eastAsia="宋体" w:cs="宋体"/>
                <w:bCs/>
                <w:sz w:val="24"/>
                <w:szCs w:val="32"/>
                <w:highlight w:val="none"/>
                <w:lang w:val="en-US" w:eastAsia="en-US"/>
              </w:rPr>
              <w:t>③应急处理方案</w:t>
            </w:r>
            <w:r>
              <w:rPr>
                <w:rFonts w:hint="eastAsia" w:ascii="宋体" w:hAnsi="宋体" w:eastAsia="宋体" w:cs="宋体"/>
                <w:bCs/>
                <w:sz w:val="24"/>
                <w:szCs w:val="32"/>
                <w:highlight w:val="none"/>
                <w:lang w:val="en-US" w:eastAsia="zh-CN"/>
              </w:rPr>
              <w:t>及售后服务响应机制 ④质保期外服务方式；</w:t>
            </w:r>
          </w:p>
          <w:p w14:paraId="1E33E997">
            <w:pPr>
              <w:numPr>
                <w:ilvl w:val="0"/>
                <w:numId w:val="4"/>
              </w:numPr>
              <w:rPr>
                <w:rFonts w:hint="eastAsia" w:ascii="宋体" w:hAnsi="宋体" w:eastAsia="宋体" w:cs="宋体"/>
                <w:bCs/>
                <w:sz w:val="24"/>
                <w:szCs w:val="32"/>
                <w:highlight w:val="none"/>
                <w:lang w:val="en-US" w:eastAsia="zh-CN"/>
              </w:rPr>
            </w:pPr>
            <w:r>
              <w:rPr>
                <w:rFonts w:hint="eastAsia" w:ascii="宋体" w:hAnsi="宋体" w:eastAsia="宋体" w:cs="宋体"/>
                <w:bCs/>
                <w:sz w:val="24"/>
                <w:szCs w:val="32"/>
                <w:highlight w:val="none"/>
                <w:lang w:val="en-US" w:eastAsia="zh-CN"/>
              </w:rPr>
              <w:t>售后保障措施及承诺：需明确提供售后保障设备及物资清单</w:t>
            </w:r>
          </w:p>
          <w:p w14:paraId="7FD79898">
            <w:pPr>
              <w:numPr>
                <w:ilvl w:val="0"/>
                <w:numId w:val="4"/>
              </w:numPr>
              <w:rPr>
                <w:rFonts w:hint="eastAsia" w:ascii="宋体" w:hAnsi="宋体" w:eastAsia="宋体" w:cs="宋体"/>
                <w:bCs/>
                <w:sz w:val="24"/>
                <w:szCs w:val="32"/>
                <w:highlight w:val="none"/>
                <w:lang w:val="en-US" w:eastAsia="zh-CN"/>
              </w:rPr>
            </w:pPr>
            <w:r>
              <w:rPr>
                <w:rFonts w:hint="eastAsia" w:ascii="宋体" w:hAnsi="宋体" w:eastAsia="宋体" w:cs="宋体"/>
                <w:bCs/>
                <w:sz w:val="24"/>
                <w:szCs w:val="32"/>
                <w:highlight w:val="none"/>
                <w:lang w:val="en-US" w:eastAsia="zh-CN"/>
              </w:rPr>
              <w:t>售后技术支持及维护：需明确技术支持方式、维护周期、维护内容，以上3点全部具备，视为满足；缺少任意1点，视为不满足；</w:t>
            </w:r>
          </w:p>
          <w:p w14:paraId="0BE646A7">
            <w:pPr>
              <w:rPr>
                <w:rFonts w:hint="eastAsia" w:ascii="宋体" w:hAnsi="宋体" w:eastAsia="宋体" w:cs="宋体"/>
                <w:bCs/>
                <w:sz w:val="24"/>
                <w:szCs w:val="32"/>
                <w:highlight w:val="none"/>
                <w:lang w:val="en-US" w:eastAsia="zh-CN"/>
              </w:rPr>
            </w:pPr>
            <w:r>
              <w:rPr>
                <w:rFonts w:hint="eastAsia" w:ascii="宋体" w:hAnsi="宋体" w:eastAsia="宋体" w:cs="宋体"/>
                <w:bCs/>
                <w:sz w:val="24"/>
                <w:szCs w:val="32"/>
                <w:highlight w:val="none"/>
                <w:lang w:val="en-US" w:eastAsia="zh-CN"/>
              </w:rPr>
              <w:t>③ 应急处理方案及售后服务响应机制：需明确应急响应时限、应急处理流程、应急人员值守安排，以上3点全部具备，视为满足；缺少任意1点，视为不满足；</w:t>
            </w:r>
          </w:p>
          <w:p w14:paraId="02ED96E7">
            <w:pPr>
              <w:rPr>
                <w:rFonts w:hint="eastAsia" w:ascii="宋体" w:hAnsi="宋体" w:eastAsia="宋体" w:cs="宋体"/>
                <w:bCs/>
                <w:sz w:val="24"/>
                <w:szCs w:val="32"/>
                <w:highlight w:val="none"/>
                <w:lang w:val="en-US" w:eastAsia="zh-CN"/>
              </w:rPr>
            </w:pPr>
            <w:r>
              <w:rPr>
                <w:rFonts w:hint="eastAsia" w:ascii="宋体" w:hAnsi="宋体" w:eastAsia="宋体" w:cs="宋体"/>
                <w:bCs/>
                <w:sz w:val="24"/>
                <w:szCs w:val="32"/>
                <w:highlight w:val="none"/>
                <w:lang w:val="en-US" w:eastAsia="zh-CN"/>
              </w:rPr>
              <w:t>④ 质保期外服务方式：需明确质保期外服务、服务流程、服务保障承诺，以上3点全部具备，视为满足；缺少任意1点，视为不满足。以上全部具备，视为满足；以上4项内容完整且完全满足项目要求得8分，每缺失一项内容扣2分，每项内容中有一处内容缺陷扣0.5分(缺陷是指：存在不适用项目实际情况的情形、凭空编造、内容不完整、逻辑不清、涉及的规范及标准错误、内容遗漏、不符合采购需求等)， 扣完为止。</w:t>
            </w:r>
          </w:p>
        </w:tc>
        <w:tc>
          <w:tcPr>
            <w:tcW w:w="6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789A53">
            <w:pPr>
              <w:jc w:val="center"/>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8</w:t>
            </w:r>
          </w:p>
        </w:tc>
      </w:tr>
      <w:tr w14:paraId="795A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936" w:type="dxa"/>
            <w:vMerge w:val="continue"/>
            <w:tcBorders>
              <w:left w:val="single" w:color="auto" w:sz="4" w:space="0"/>
              <w:right w:val="single" w:color="auto" w:sz="4" w:space="0"/>
            </w:tcBorders>
          </w:tcPr>
          <w:p w14:paraId="3DA93DA1">
            <w:pPr>
              <w:rPr>
                <w:rFonts w:hint="eastAsia" w:ascii="宋体" w:hAnsi="宋体" w:eastAsia="宋体" w:cs="宋体"/>
                <w:sz w:val="24"/>
                <w:szCs w:val="32"/>
                <w:highlight w:val="yellow"/>
              </w:rPr>
            </w:pPr>
          </w:p>
        </w:tc>
        <w:tc>
          <w:tcPr>
            <w:tcW w:w="965" w:type="dxa"/>
            <w:shd w:val="clear" w:color="auto" w:fill="auto"/>
            <w:vAlign w:val="center"/>
          </w:tcPr>
          <w:p w14:paraId="77BB667F">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实施方案</w:t>
            </w:r>
          </w:p>
        </w:tc>
        <w:tc>
          <w:tcPr>
            <w:tcW w:w="7794" w:type="dxa"/>
            <w:shd w:val="clear" w:color="auto" w:fill="auto"/>
            <w:vAlign w:val="top"/>
          </w:tcPr>
          <w:p w14:paraId="2BF15C25">
            <w:pPr>
              <w:rPr>
                <w:rFonts w:hint="eastAsia" w:ascii="宋体" w:hAnsi="宋体" w:eastAsia="宋体" w:cs="宋体"/>
                <w:bCs/>
                <w:sz w:val="24"/>
                <w:szCs w:val="32"/>
                <w:highlight w:val="none"/>
                <w:lang w:val="en-US" w:eastAsia="zh-CN"/>
              </w:rPr>
            </w:pPr>
            <w:r>
              <w:rPr>
                <w:rFonts w:ascii="宋体" w:hAnsi="宋体" w:eastAsia="宋体" w:cs="宋体"/>
                <w:sz w:val="24"/>
                <w:szCs w:val="24"/>
              </w:rPr>
              <w:t>①</w:t>
            </w:r>
            <w:r>
              <w:rPr>
                <w:rFonts w:hint="eastAsia" w:ascii="宋体" w:hAnsi="宋体" w:eastAsia="宋体" w:cs="宋体"/>
                <w:bCs/>
                <w:sz w:val="24"/>
                <w:szCs w:val="32"/>
                <w:lang w:val="en-US" w:eastAsia="zh-CN"/>
              </w:rPr>
              <w:t>实施方案包含</w:t>
            </w:r>
            <w:r>
              <w:rPr>
                <w:rFonts w:ascii="宋体" w:hAnsi="宋体" w:eastAsia="宋体" w:cs="宋体"/>
                <w:sz w:val="24"/>
                <w:szCs w:val="24"/>
              </w:rPr>
              <w:t>供应商项目实施准备计划完善，科学规范，必须提供详细施工布局图</w:t>
            </w:r>
            <w:r>
              <w:rPr>
                <w:rFonts w:hint="eastAsia" w:ascii="宋体" w:hAnsi="宋体" w:eastAsia="宋体" w:cs="宋体"/>
                <w:sz w:val="24"/>
                <w:szCs w:val="24"/>
                <w:lang w:eastAsia="zh-CN"/>
              </w:rPr>
              <w:t>：</w:t>
            </w:r>
            <w:r>
              <w:rPr>
                <w:rFonts w:ascii="宋体" w:hAnsi="宋体" w:eastAsia="宋体" w:cs="宋体"/>
                <w:sz w:val="24"/>
                <w:szCs w:val="24"/>
              </w:rPr>
              <w:t>②质量目标及保证措施；</w:t>
            </w:r>
            <w:r>
              <w:rPr>
                <w:rFonts w:ascii="宋体" w:hAnsi="宋体" w:eastAsia="宋体" w:cs="宋体"/>
                <w:sz w:val="24"/>
                <w:szCs w:val="24"/>
                <w:highlight w:val="none"/>
              </w:rPr>
              <w:t xml:space="preserve"> ③项目实施人员配置方案； ④产品包装运输方案； ⑤供货及安装调试方案；</w:t>
            </w:r>
            <w:r>
              <w:rPr>
                <w:rFonts w:hint="eastAsia" w:ascii="宋体" w:hAnsi="宋体" w:eastAsia="宋体" w:cs="宋体"/>
                <w:bCs/>
                <w:sz w:val="24"/>
                <w:szCs w:val="32"/>
                <w:highlight w:val="none"/>
                <w:lang w:val="en-US" w:eastAsia="zh-CN"/>
              </w:rPr>
              <w:t>缺一项扣 2分，扣完为止；</w:t>
            </w:r>
          </w:p>
          <w:p w14:paraId="279862CF">
            <w:pPr>
              <w:rPr>
                <w:rFonts w:hint="eastAsia" w:ascii="宋体" w:hAnsi="宋体" w:eastAsia="宋体" w:cs="宋体"/>
                <w:bCs/>
                <w:sz w:val="24"/>
                <w:szCs w:val="32"/>
                <w:highlight w:val="none"/>
                <w:lang w:val="en-US" w:eastAsia="zh-CN"/>
              </w:rPr>
            </w:pPr>
            <w:r>
              <w:rPr>
                <w:rFonts w:hint="eastAsia" w:ascii="宋体" w:hAnsi="宋体" w:eastAsia="宋体" w:cs="宋体"/>
                <w:bCs/>
                <w:sz w:val="24"/>
                <w:szCs w:val="32"/>
                <w:highlight w:val="none"/>
                <w:lang w:val="en-US" w:eastAsia="zh-CN"/>
              </w:rPr>
              <w:t>质量目标及保证措施包含到货检验、安装调试、测试、验收、问题闭环；</w:t>
            </w:r>
          </w:p>
          <w:p w14:paraId="12377FB4">
            <w:pPr>
              <w:rPr>
                <w:rFonts w:hint="eastAsia" w:ascii="宋体" w:hAnsi="宋体" w:eastAsia="宋体" w:cs="宋体"/>
                <w:bCs/>
                <w:sz w:val="24"/>
                <w:szCs w:val="32"/>
                <w:highlight w:val="none"/>
                <w:lang w:val="en-US" w:eastAsia="zh-CN"/>
              </w:rPr>
            </w:pPr>
            <w:r>
              <w:rPr>
                <w:rFonts w:hint="eastAsia" w:ascii="宋体" w:hAnsi="宋体" w:eastAsia="宋体" w:cs="宋体"/>
                <w:bCs/>
                <w:sz w:val="24"/>
                <w:szCs w:val="32"/>
                <w:highlight w:val="none"/>
                <w:lang w:val="en-US" w:eastAsia="zh-CN"/>
              </w:rPr>
              <w:t>项目实施人员配置方案需明确项目组构成、岗位职责、培训等；</w:t>
            </w:r>
          </w:p>
          <w:p w14:paraId="380FB1FA">
            <w:pPr>
              <w:rPr>
                <w:rFonts w:hint="default" w:ascii="宋体" w:hAnsi="宋体" w:eastAsia="宋体" w:cs="宋体"/>
                <w:bCs/>
                <w:sz w:val="24"/>
                <w:szCs w:val="32"/>
                <w:highlight w:val="none"/>
                <w:lang w:val="en-US" w:eastAsia="zh-CN"/>
              </w:rPr>
            </w:pPr>
            <w:r>
              <w:rPr>
                <w:rFonts w:hint="eastAsia" w:ascii="宋体" w:hAnsi="宋体" w:eastAsia="宋体" w:cs="宋体"/>
                <w:bCs/>
                <w:sz w:val="24"/>
                <w:szCs w:val="32"/>
                <w:highlight w:val="none"/>
                <w:lang w:val="en-US" w:eastAsia="zh-CN"/>
              </w:rPr>
              <w:t>产品包装运输方案需体现包装合理性、运输保障能力、应急预案等</w:t>
            </w:r>
          </w:p>
          <w:p w14:paraId="30B85E44">
            <w:pPr>
              <w:rPr>
                <w:rFonts w:hint="default" w:ascii="宋体" w:hAnsi="宋体" w:eastAsia="宋体" w:cs="宋体"/>
                <w:bCs/>
                <w:sz w:val="24"/>
                <w:szCs w:val="32"/>
                <w:highlight w:val="none"/>
                <w:lang w:val="en-US" w:eastAsia="zh-CN"/>
              </w:rPr>
            </w:pPr>
            <w:r>
              <w:rPr>
                <w:rFonts w:hint="eastAsia" w:ascii="宋体" w:hAnsi="宋体" w:eastAsia="宋体" w:cs="宋体"/>
                <w:bCs/>
                <w:sz w:val="24"/>
                <w:szCs w:val="32"/>
                <w:highlight w:val="none"/>
                <w:lang w:val="en-US" w:eastAsia="zh-CN"/>
              </w:rPr>
              <w:t>供货及安装调试方案需明确供货组织及计划、质量保障、安装和调试方案等</w:t>
            </w:r>
          </w:p>
          <w:p w14:paraId="15D32C02">
            <w:pPr>
              <w:rPr>
                <w:rFonts w:hint="eastAsia" w:ascii="宋体" w:hAnsi="宋体" w:eastAsia="宋体" w:cs="宋体"/>
                <w:bCs/>
                <w:sz w:val="24"/>
                <w:szCs w:val="32"/>
                <w:lang w:val="en-US" w:eastAsia="zh-CN"/>
              </w:rPr>
            </w:pPr>
            <w:r>
              <w:rPr>
                <w:rFonts w:hint="eastAsia" w:ascii="宋体" w:hAnsi="宋体" w:eastAsia="宋体" w:cs="宋体"/>
                <w:bCs/>
                <w:sz w:val="24"/>
                <w:szCs w:val="32"/>
                <w:highlight w:val="none"/>
                <w:lang w:val="en-US" w:eastAsia="zh-CN"/>
              </w:rPr>
              <w:t>缺少任意1点，视为不满足；以上5项内容完整且完全满足项目要求得10分，每缺失一项内容扣2分，每项内容中有一处内容缺陷扣0.5分(缺陷是指：存在不适用项目实际情况的情形、凭空编造、内容不完</w:t>
            </w:r>
            <w:r>
              <w:rPr>
                <w:rFonts w:hint="eastAsia" w:ascii="宋体" w:hAnsi="宋体" w:eastAsia="宋体" w:cs="宋体"/>
                <w:bCs/>
                <w:sz w:val="24"/>
                <w:szCs w:val="32"/>
                <w:lang w:val="en-US" w:eastAsia="zh-CN"/>
              </w:rPr>
              <w:t>整、逻辑不清、涉及的规范及标准错误、内容遗漏、不符合采购需求等)， 扣完为止。</w:t>
            </w:r>
          </w:p>
        </w:tc>
        <w:tc>
          <w:tcPr>
            <w:tcW w:w="648" w:type="dxa"/>
            <w:shd w:val="clear" w:color="auto" w:fill="auto"/>
            <w:vAlign w:val="center"/>
          </w:tcPr>
          <w:p w14:paraId="70E4C98E">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10</w:t>
            </w:r>
          </w:p>
        </w:tc>
      </w:tr>
      <w:tr w14:paraId="53E9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936" w:type="dxa"/>
            <w:vMerge w:val="continue"/>
            <w:tcBorders>
              <w:left w:val="single" w:color="auto" w:sz="4" w:space="0"/>
              <w:right w:val="single" w:color="auto" w:sz="4" w:space="0"/>
            </w:tcBorders>
          </w:tcPr>
          <w:p w14:paraId="38A5EF24">
            <w:pPr>
              <w:rPr>
                <w:rFonts w:hint="eastAsia" w:ascii="宋体" w:hAnsi="宋体" w:eastAsia="宋体" w:cs="宋体"/>
                <w:sz w:val="24"/>
                <w:szCs w:val="32"/>
                <w:highlight w:val="yellow"/>
              </w:rPr>
            </w:pPr>
          </w:p>
        </w:tc>
        <w:tc>
          <w:tcPr>
            <w:tcW w:w="965" w:type="dxa"/>
            <w:shd w:val="clear" w:color="auto" w:fill="auto"/>
            <w:vAlign w:val="center"/>
          </w:tcPr>
          <w:p w14:paraId="126A3D51">
            <w:pPr>
              <w:jc w:val="center"/>
              <w:rPr>
                <w:rFonts w:hint="eastAsia" w:ascii="宋体" w:hAnsi="宋体" w:eastAsia="宋体" w:cs="宋体"/>
                <w:bCs/>
                <w:sz w:val="24"/>
                <w:szCs w:val="32"/>
                <w:highlight w:val="yellow"/>
                <w:lang w:val="en-US" w:eastAsia="zh-CN"/>
              </w:rPr>
            </w:pPr>
            <w:r>
              <w:rPr>
                <w:rFonts w:hint="eastAsia" w:ascii="宋体" w:hAnsi="宋体" w:eastAsia="宋体" w:cs="宋体"/>
                <w:bCs/>
                <w:sz w:val="24"/>
                <w:szCs w:val="32"/>
                <w:highlight w:val="none"/>
                <w:lang w:val="en-US" w:eastAsia="zh-CN"/>
              </w:rPr>
              <w:t>培训方案</w:t>
            </w:r>
          </w:p>
        </w:tc>
        <w:tc>
          <w:tcPr>
            <w:tcW w:w="7794" w:type="dxa"/>
            <w:shd w:val="clear" w:color="auto" w:fill="auto"/>
            <w:vAlign w:val="center"/>
          </w:tcPr>
          <w:p w14:paraId="44168A7D">
            <w:pPr>
              <w:rPr>
                <w:rFonts w:hint="eastAsia" w:ascii="宋体" w:hAnsi="宋体" w:eastAsia="宋体" w:cs="宋体"/>
                <w:bCs/>
                <w:sz w:val="24"/>
                <w:szCs w:val="32"/>
                <w:highlight w:val="none"/>
                <w:lang w:val="en-US" w:eastAsia="zh-CN"/>
              </w:rPr>
            </w:pPr>
            <w:r>
              <w:rPr>
                <w:rFonts w:hint="eastAsia" w:ascii="宋体" w:hAnsi="宋体" w:eastAsia="宋体" w:cs="宋体"/>
                <w:bCs/>
                <w:sz w:val="24"/>
                <w:szCs w:val="32"/>
                <w:highlight w:val="none"/>
                <w:lang w:val="en-US" w:eastAsia="zh-CN"/>
              </w:rPr>
              <w:t>提供针对本项目详细的培训方案，根据培训计划情况，详细合理的培训方案进行综合评审，至少包括：①培训内容、目标、方式、对象②培训产品基本原理③操作使用和保养维修④</w:t>
            </w:r>
            <w:r>
              <w:rPr>
                <w:rFonts w:ascii="宋体" w:hAnsi="宋体" w:eastAsia="宋体" w:cs="宋体"/>
                <w:sz w:val="24"/>
                <w:szCs w:val="24"/>
                <w:highlight w:val="none"/>
              </w:rPr>
              <w:t>培训时间与课时安排</w:t>
            </w:r>
            <w:r>
              <w:rPr>
                <w:rFonts w:hint="eastAsia" w:ascii="宋体" w:hAnsi="宋体" w:eastAsia="宋体" w:cs="宋体"/>
                <w:sz w:val="24"/>
                <w:szCs w:val="24"/>
                <w:highlight w:val="none"/>
                <w:lang w:val="en-US" w:eastAsia="zh-CN"/>
              </w:rPr>
              <w:t>⑤培训考核与效果确认</w:t>
            </w:r>
            <w:r>
              <w:rPr>
                <w:rFonts w:hint="eastAsia" w:ascii="宋体" w:hAnsi="宋体" w:eastAsia="宋体" w:cs="宋体"/>
                <w:bCs/>
                <w:sz w:val="24"/>
                <w:szCs w:val="32"/>
                <w:highlight w:val="none"/>
                <w:lang w:val="en-US" w:eastAsia="zh-CN"/>
              </w:rPr>
              <w:t>等内容。</w:t>
            </w:r>
          </w:p>
          <w:p w14:paraId="7ECD09B1">
            <w:pPr>
              <w:rPr>
                <w:rFonts w:hint="eastAsia" w:ascii="宋体" w:hAnsi="宋体" w:eastAsia="宋体" w:cs="宋体"/>
                <w:bCs/>
                <w:sz w:val="24"/>
                <w:szCs w:val="32"/>
                <w:highlight w:val="none"/>
                <w:lang w:val="en-US" w:eastAsia="zh-CN"/>
              </w:rPr>
            </w:pPr>
            <w:r>
              <w:rPr>
                <w:rFonts w:hint="eastAsia" w:ascii="宋体" w:hAnsi="宋体" w:eastAsia="宋体" w:cs="宋体"/>
                <w:bCs/>
                <w:sz w:val="24"/>
                <w:szCs w:val="32"/>
                <w:highlight w:val="none"/>
                <w:lang w:val="en-US" w:eastAsia="zh-CN"/>
              </w:rPr>
              <w:t>① 培训内容、目标、方式、对象：需明确4点核心信息——培训对象、培训目标、培训方式、培训内容（贴合本项目采购产品/服务，明确具体知识点），4点全部明确，视为满足；缺少任意1点，视为不满足；</w:t>
            </w:r>
          </w:p>
          <w:p w14:paraId="12E079F5">
            <w:pPr>
              <w:rPr>
                <w:rFonts w:hint="eastAsia" w:ascii="宋体" w:hAnsi="宋体" w:eastAsia="宋体" w:cs="宋体"/>
                <w:bCs/>
                <w:sz w:val="24"/>
                <w:szCs w:val="32"/>
                <w:highlight w:val="none"/>
                <w:lang w:val="en-US" w:eastAsia="zh-CN"/>
              </w:rPr>
            </w:pPr>
            <w:r>
              <w:rPr>
                <w:rFonts w:hint="eastAsia" w:ascii="宋体" w:hAnsi="宋体" w:eastAsia="宋体" w:cs="宋体"/>
                <w:bCs/>
                <w:sz w:val="24"/>
                <w:szCs w:val="32"/>
                <w:highlight w:val="none"/>
                <w:lang w:val="en-US" w:eastAsia="zh-CN"/>
              </w:rPr>
              <w:t>② 培训产品基本原理：需结合本项目所投产品，明确产品核心构造、工作流程、核心技术原理，内容具体且贴合产品实际，4点全部明确，视为满足；缺少任意1点，视为不满足；</w:t>
            </w:r>
          </w:p>
          <w:p w14:paraId="22B51A50">
            <w:pPr>
              <w:rPr>
                <w:rFonts w:hint="eastAsia" w:ascii="宋体" w:hAnsi="宋体" w:eastAsia="宋体" w:cs="宋体"/>
                <w:bCs/>
                <w:sz w:val="24"/>
                <w:szCs w:val="32"/>
                <w:highlight w:val="none"/>
                <w:lang w:val="en-US" w:eastAsia="zh-CN"/>
              </w:rPr>
            </w:pPr>
            <w:r>
              <w:rPr>
                <w:rFonts w:hint="eastAsia" w:ascii="宋体" w:hAnsi="宋体" w:eastAsia="宋体" w:cs="宋体"/>
                <w:bCs/>
                <w:sz w:val="24"/>
                <w:szCs w:val="32"/>
                <w:highlight w:val="none"/>
                <w:lang w:val="en-US" w:eastAsia="zh-CN"/>
              </w:rPr>
              <w:t>③ 操作使用和保养维修：需明确2类核心内容——操作使用（明确日常操作步骤及注意事项）、保养维修（明确日常保养事项、常见故障排查步骤及处理方法），2类内容均具体可落地，视为满足；缺少任意1类或内容过于笼统，视为不满足；</w:t>
            </w:r>
          </w:p>
          <w:p w14:paraId="7635BF21">
            <w:pPr>
              <w:rPr>
                <w:rFonts w:hint="eastAsia" w:ascii="宋体" w:hAnsi="宋体" w:eastAsia="宋体" w:cs="宋体"/>
                <w:bCs/>
                <w:sz w:val="24"/>
                <w:szCs w:val="32"/>
                <w:highlight w:val="none"/>
                <w:lang w:val="en-US" w:eastAsia="zh-CN"/>
              </w:rPr>
            </w:pPr>
            <w:r>
              <w:rPr>
                <w:rFonts w:hint="eastAsia" w:ascii="宋体" w:hAnsi="宋体" w:eastAsia="宋体" w:cs="宋体"/>
                <w:bCs/>
                <w:sz w:val="24"/>
                <w:szCs w:val="32"/>
                <w:highlight w:val="none"/>
                <w:lang w:val="en-US" w:eastAsia="zh-CN"/>
              </w:rPr>
              <w:t>④ 培训时间与课时安排：需明确培训总时长、分阶段课时分配、培训起止时间，时间安排合理（不与项目实施进度冲突），3点全部明确，视为满足；缺少任意1点，视为不满足；</w:t>
            </w:r>
          </w:p>
          <w:p w14:paraId="1E18479D">
            <w:pPr>
              <w:rPr>
                <w:rFonts w:hint="eastAsia" w:ascii="宋体" w:hAnsi="宋体" w:eastAsia="宋体" w:cs="宋体"/>
                <w:bCs/>
                <w:sz w:val="24"/>
                <w:szCs w:val="32"/>
                <w:highlight w:val="none"/>
                <w:lang w:val="en-US" w:eastAsia="zh-CN"/>
              </w:rPr>
            </w:pPr>
            <w:r>
              <w:rPr>
                <w:rFonts w:hint="eastAsia" w:ascii="宋体" w:hAnsi="宋体" w:eastAsia="宋体" w:cs="宋体"/>
                <w:bCs/>
                <w:sz w:val="24"/>
                <w:szCs w:val="32"/>
                <w:highlight w:val="none"/>
                <w:lang w:val="en-US" w:eastAsia="zh-CN"/>
              </w:rPr>
              <w:t>⑤ 培训考核与效果确认：需明确2点核心内容——考核方式、效果确认标准，2点全部明确，视为满足；缺少任意1点，视为不满足。</w:t>
            </w:r>
          </w:p>
          <w:p w14:paraId="398990FC">
            <w:pPr>
              <w:rPr>
                <w:rFonts w:hint="eastAsia" w:ascii="宋体" w:hAnsi="宋体" w:eastAsia="宋体" w:cs="宋体"/>
                <w:bCs/>
                <w:sz w:val="24"/>
                <w:szCs w:val="32"/>
                <w:highlight w:val="none"/>
                <w:lang w:val="en-US" w:eastAsia="zh-CN"/>
              </w:rPr>
            </w:pPr>
            <w:r>
              <w:rPr>
                <w:rFonts w:hint="eastAsia" w:ascii="宋体" w:hAnsi="宋体" w:eastAsia="宋体" w:cs="宋体"/>
                <w:bCs/>
                <w:sz w:val="24"/>
                <w:szCs w:val="32"/>
                <w:highlight w:val="none"/>
                <w:lang w:val="en-US" w:eastAsia="zh-CN"/>
              </w:rPr>
              <w:t>以上5项内容完整且完全满足项目要求得5分，每缺失一项内容扣1分，每项内容中有一处内容缺陷0.5分(缺陷是指：存在不适用项目实际情况的情形、凭空编造、内容不完整、逻辑不清、涉及的规范及标准错误、地点区域错误、内容遗漏、不符合采购需求等)</w:t>
            </w:r>
          </w:p>
        </w:tc>
        <w:tc>
          <w:tcPr>
            <w:tcW w:w="648" w:type="dxa"/>
            <w:shd w:val="clear" w:color="auto" w:fill="auto"/>
            <w:vAlign w:val="center"/>
          </w:tcPr>
          <w:p w14:paraId="45EC9C49">
            <w:pPr>
              <w:jc w:val="center"/>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5</w:t>
            </w:r>
          </w:p>
        </w:tc>
      </w:tr>
      <w:tr w14:paraId="0007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936" w:type="dxa"/>
            <w:vMerge w:val="continue"/>
            <w:tcBorders>
              <w:left w:val="single" w:color="auto" w:sz="4" w:space="0"/>
              <w:right w:val="single" w:color="auto" w:sz="4" w:space="0"/>
            </w:tcBorders>
          </w:tcPr>
          <w:p w14:paraId="0B8A6F4A">
            <w:pPr>
              <w:rPr>
                <w:rFonts w:hint="eastAsia" w:ascii="宋体" w:hAnsi="宋体" w:eastAsia="宋体" w:cs="宋体"/>
                <w:sz w:val="24"/>
                <w:szCs w:val="32"/>
                <w:highlight w:val="yellow"/>
              </w:rPr>
            </w:pPr>
          </w:p>
        </w:tc>
        <w:tc>
          <w:tcPr>
            <w:tcW w:w="965" w:type="dxa"/>
            <w:shd w:val="clear" w:color="auto" w:fill="auto"/>
            <w:vAlign w:val="center"/>
          </w:tcPr>
          <w:p w14:paraId="4353B67D">
            <w:pPr>
              <w:jc w:val="center"/>
              <w:rPr>
                <w:rFonts w:hint="eastAsia" w:ascii="宋体" w:hAnsi="宋体" w:eastAsia="宋体" w:cs="宋体"/>
                <w:bCs/>
                <w:sz w:val="24"/>
                <w:szCs w:val="32"/>
                <w:highlight w:val="none"/>
                <w:lang w:val="en-US" w:eastAsia="zh-CN"/>
              </w:rPr>
            </w:pPr>
            <w:r>
              <w:rPr>
                <w:rFonts w:hint="eastAsia" w:ascii="宋体" w:hAnsi="宋体" w:eastAsia="宋体" w:cs="宋体"/>
                <w:bCs/>
                <w:sz w:val="24"/>
                <w:szCs w:val="32"/>
                <w:highlight w:val="none"/>
                <w:lang w:val="en-US" w:eastAsia="zh-CN"/>
              </w:rPr>
              <w:t>质保期</w:t>
            </w:r>
          </w:p>
        </w:tc>
        <w:tc>
          <w:tcPr>
            <w:tcW w:w="7794" w:type="dxa"/>
            <w:shd w:val="clear" w:color="auto" w:fill="auto"/>
            <w:vAlign w:val="top"/>
          </w:tcPr>
          <w:p w14:paraId="673DAE42">
            <w:pPr>
              <w:rPr>
                <w:rFonts w:hint="default" w:ascii="宋体" w:hAnsi="宋体" w:eastAsia="宋体" w:cs="宋体"/>
                <w:bCs/>
                <w:sz w:val="24"/>
                <w:szCs w:val="32"/>
                <w:highlight w:val="none"/>
                <w:lang w:val="en-US" w:eastAsia="zh-CN"/>
              </w:rPr>
            </w:pPr>
            <w:r>
              <w:rPr>
                <w:rFonts w:hint="eastAsia" w:ascii="宋体" w:hAnsi="宋体" w:eastAsia="宋体" w:cs="宋体"/>
                <w:bCs/>
                <w:sz w:val="24"/>
                <w:szCs w:val="32"/>
                <w:highlight w:val="none"/>
                <w:lang w:val="en-US" w:eastAsia="zh-CN"/>
              </w:rPr>
              <w:t>质保期满足招标文件要求得</w:t>
            </w:r>
            <w:r>
              <w:rPr>
                <w:rFonts w:hint="eastAsia" w:ascii="宋体" w:hAnsi="宋体" w:cs="宋体"/>
                <w:bCs/>
                <w:sz w:val="24"/>
                <w:szCs w:val="32"/>
                <w:highlight w:val="none"/>
                <w:lang w:val="en-US" w:eastAsia="zh-CN"/>
              </w:rPr>
              <w:t>2</w:t>
            </w:r>
            <w:r>
              <w:rPr>
                <w:rFonts w:hint="eastAsia" w:ascii="宋体" w:hAnsi="宋体" w:eastAsia="宋体" w:cs="宋体"/>
                <w:bCs/>
                <w:sz w:val="24"/>
                <w:szCs w:val="32"/>
                <w:highlight w:val="none"/>
                <w:lang w:val="en-US" w:eastAsia="zh-CN"/>
              </w:rPr>
              <w:t>分，质保期每优于招标文件一年得2分（</w:t>
            </w:r>
            <w:r>
              <w:rPr>
                <w:rFonts w:hint="eastAsia" w:ascii="宋体" w:hAnsi="宋体" w:cs="宋体"/>
                <w:bCs/>
                <w:sz w:val="24"/>
                <w:szCs w:val="32"/>
                <w:highlight w:val="none"/>
                <w:lang w:val="en-US" w:eastAsia="zh-CN"/>
              </w:rPr>
              <w:t>（本次质保期延长要求适用于本项目采购的所有设备，不区分设备类型，统一按延长年限计算加分。延长质保期所产生的全部费用，均需计入投标总价，投标人报价时一并考虑，不额外增加采购成本）</w:t>
            </w:r>
          </w:p>
        </w:tc>
        <w:tc>
          <w:tcPr>
            <w:tcW w:w="648" w:type="dxa"/>
            <w:shd w:val="clear" w:color="auto" w:fill="auto"/>
            <w:vAlign w:val="center"/>
          </w:tcPr>
          <w:p w14:paraId="57BEA4EF">
            <w:pPr>
              <w:jc w:val="center"/>
              <w:rPr>
                <w:rFonts w:hint="eastAsia" w:ascii="宋体" w:hAnsi="宋体" w:eastAsia="宋体" w:cs="宋体"/>
                <w:sz w:val="24"/>
                <w:szCs w:val="32"/>
                <w:highlight w:val="none"/>
                <w:lang w:val="en-US" w:eastAsia="zh-CN"/>
              </w:rPr>
            </w:pPr>
            <w:r>
              <w:rPr>
                <w:rFonts w:hint="eastAsia" w:ascii="宋体" w:hAnsi="宋体" w:cs="宋体"/>
                <w:sz w:val="24"/>
                <w:szCs w:val="32"/>
                <w:highlight w:val="none"/>
                <w:lang w:val="en-US" w:eastAsia="zh-CN"/>
              </w:rPr>
              <w:t>4</w:t>
            </w:r>
          </w:p>
        </w:tc>
      </w:tr>
    </w:tbl>
    <w:p w14:paraId="02D872F2"/>
    <w:p w14:paraId="3D3B9E3A">
      <w:pPr>
        <w:rPr>
          <w:rFonts w:hint="eastAsia"/>
          <w:sz w:val="18"/>
          <w:szCs w:val="18"/>
          <w:lang w:val="en-US" w:eastAsia="zh-CN"/>
        </w:rPr>
      </w:pPr>
    </w:p>
    <w:p w14:paraId="6571E259">
      <w:pPr>
        <w:rPr>
          <w:rFonts w:hint="eastAsia"/>
          <w:sz w:val="18"/>
          <w:szCs w:val="18"/>
          <w:lang w:val="en-US" w:eastAsia="zh-CN"/>
        </w:rPr>
      </w:pPr>
      <w:r>
        <w:rPr>
          <w:rFonts w:hint="eastAsia"/>
          <w:sz w:val="18"/>
          <w:szCs w:val="18"/>
          <w:lang w:val="en-US" w:eastAsia="zh-CN"/>
        </w:rPr>
        <w:t>备注：</w:t>
      </w:r>
    </w:p>
    <w:p w14:paraId="52372E0B">
      <w:pPr>
        <w:numPr>
          <w:ilvl w:val="0"/>
          <w:numId w:val="5"/>
        </w:numPr>
        <w:rPr>
          <w:rFonts w:hint="eastAsia"/>
          <w:sz w:val="18"/>
          <w:szCs w:val="18"/>
          <w:lang w:val="en-US" w:eastAsia="zh-CN"/>
        </w:rPr>
      </w:pPr>
      <w:r>
        <w:rPr>
          <w:rFonts w:hint="eastAsia"/>
          <w:sz w:val="18"/>
          <w:szCs w:val="18"/>
          <w:lang w:val="en-US" w:eastAsia="zh-CN"/>
        </w:rPr>
        <w:t>评委应在认真理解本招标文件和项目有关情况后，做出需自己负责的按上述内容对投标人进行评审；</w:t>
      </w:r>
    </w:p>
    <w:p w14:paraId="20006348">
      <w:pPr>
        <w:numPr>
          <w:ilvl w:val="0"/>
          <w:numId w:val="5"/>
        </w:numPr>
        <w:rPr>
          <w:rFonts w:hint="default"/>
          <w:sz w:val="18"/>
          <w:szCs w:val="18"/>
          <w:lang w:val="en-US" w:eastAsia="zh-CN"/>
        </w:rPr>
      </w:pPr>
      <w:r>
        <w:rPr>
          <w:rFonts w:hint="eastAsia"/>
          <w:sz w:val="18"/>
          <w:szCs w:val="18"/>
          <w:lang w:val="en-US" w:eastAsia="zh-CN"/>
        </w:rPr>
        <w:t>技术、商务部分权重70%，报价部分权重30%；</w:t>
      </w:r>
    </w:p>
    <w:p w14:paraId="036E41EF">
      <w:pPr>
        <w:numPr>
          <w:ilvl w:val="0"/>
          <w:numId w:val="5"/>
        </w:numPr>
        <w:rPr>
          <w:rFonts w:hint="default"/>
          <w:sz w:val="18"/>
          <w:szCs w:val="18"/>
          <w:lang w:val="en-US" w:eastAsia="zh-CN"/>
        </w:rPr>
      </w:pPr>
      <w:r>
        <w:rPr>
          <w:rFonts w:hint="eastAsia"/>
          <w:sz w:val="18"/>
          <w:szCs w:val="18"/>
          <w:lang w:val="en-US" w:eastAsia="zh-CN"/>
        </w:rPr>
        <w:t>投标人最终得分等于技术、商务、报价三者得分之和；</w:t>
      </w:r>
    </w:p>
    <w:p w14:paraId="7EA1E12C">
      <w:pPr>
        <w:numPr>
          <w:ilvl w:val="0"/>
          <w:numId w:val="5"/>
        </w:numPr>
        <w:rPr>
          <w:rFonts w:hint="default"/>
          <w:sz w:val="18"/>
          <w:szCs w:val="18"/>
          <w:lang w:val="en-US" w:eastAsia="zh-CN"/>
        </w:rPr>
      </w:pPr>
      <w:r>
        <w:rPr>
          <w:rFonts w:hint="eastAsia"/>
          <w:sz w:val="18"/>
          <w:szCs w:val="18"/>
          <w:lang w:val="en-US" w:eastAsia="zh-CN"/>
        </w:rPr>
        <w:t>评标委员会按照投标人最终得分由高到低顺序，确定出各投标人排名顺序。</w:t>
      </w:r>
    </w:p>
    <w:p w14:paraId="5DD32842">
      <w:r>
        <w:br w:type="page"/>
      </w:r>
    </w:p>
    <w:p w14:paraId="4CE6D190">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14:paraId="260F4640">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14:paraId="69D162B9">
      <w:pPr>
        <w:snapToGrid w:val="0"/>
        <w:spacing w:line="300" w:lineRule="exact"/>
        <w:ind w:firstLine="465"/>
        <w:rPr>
          <w:bCs/>
          <w:color w:val="FF0000"/>
          <w:highlight w:val="green"/>
        </w:rPr>
      </w:pPr>
      <w:r>
        <w:rPr>
          <w:rFonts w:hint="eastAsia"/>
          <w:bCs/>
          <w:color w:val="FF0000"/>
          <w:highlight w:val="green"/>
        </w:rPr>
        <w:t>1）具有独立法人资格或是具有独立承担民事责任能力的其它组织（</w:t>
      </w:r>
      <w:r>
        <w:rPr>
          <w:rFonts w:hint="eastAsia" w:eastAsia="宋体"/>
          <w:bCs/>
          <w:color w:val="FF0000"/>
          <w:highlight w:val="green"/>
          <w:lang w:eastAsia="zh-CN"/>
        </w:rPr>
        <w:t>法人或者非法人组织的营业执照等证明文件</w:t>
      </w:r>
      <w:r>
        <w:rPr>
          <w:rFonts w:hint="eastAsia"/>
          <w:bCs/>
          <w:color w:val="FF0000"/>
          <w:highlight w:val="green"/>
        </w:rPr>
        <w:t>扫描件）</w:t>
      </w:r>
    </w:p>
    <w:p w14:paraId="689DAA52">
      <w:pPr>
        <w:snapToGrid w:val="0"/>
        <w:spacing w:line="300" w:lineRule="exact"/>
        <w:ind w:firstLine="465"/>
        <w:rPr>
          <w:bCs/>
          <w:color w:val="FF0000"/>
          <w:highlight w:val="green"/>
        </w:rPr>
      </w:pPr>
      <w:r>
        <w:rPr>
          <w:bCs/>
          <w:color w:val="FF0000"/>
          <w:highlight w:val="green"/>
        </w:rPr>
        <w:t>2</w:t>
      </w:r>
      <w:r>
        <w:rPr>
          <w:rFonts w:hint="eastAsia"/>
          <w:bCs/>
          <w:color w:val="FF0000"/>
          <w:highlight w:val="green"/>
        </w:rPr>
        <w:t>）</w:t>
      </w:r>
      <w:r>
        <w:rPr>
          <w:bCs/>
          <w:color w:val="FF0000"/>
          <w:highlight w:val="green"/>
        </w:rPr>
        <w:t>满足《中华人民共和国政府采购法》第二十二条</w:t>
      </w:r>
      <w:r>
        <w:rPr>
          <w:rFonts w:hint="eastAsia"/>
          <w:bCs/>
          <w:color w:val="FF0000"/>
          <w:highlight w:val="green"/>
        </w:rPr>
        <w:t>的条件（</w:t>
      </w:r>
      <w:r>
        <w:rPr>
          <w:bCs/>
          <w:color w:val="FF0000"/>
          <w:highlight w:val="green"/>
        </w:rPr>
        <w:t>在《</w:t>
      </w:r>
      <w:r>
        <w:rPr>
          <w:rFonts w:hint="eastAsia"/>
          <w:bCs/>
          <w:color w:val="FF0000"/>
          <w:highlight w:val="green"/>
        </w:rPr>
        <w:t>政府采购投标及履约承诺函</w:t>
      </w:r>
      <w:r>
        <w:rPr>
          <w:bCs/>
          <w:color w:val="FF0000"/>
          <w:highlight w:val="green"/>
        </w:rPr>
        <w:t>》中作出声明</w:t>
      </w:r>
      <w:r>
        <w:rPr>
          <w:rFonts w:hint="eastAsia"/>
          <w:bCs/>
          <w:color w:val="FF0000"/>
          <w:highlight w:val="green"/>
        </w:rPr>
        <w:t>）</w:t>
      </w:r>
      <w:r>
        <w:rPr>
          <w:bCs/>
          <w:color w:val="FF0000"/>
          <w:highlight w:val="green"/>
        </w:rPr>
        <w:t>。</w:t>
      </w:r>
    </w:p>
    <w:p w14:paraId="725CD7D9">
      <w:pPr>
        <w:snapToGrid w:val="0"/>
        <w:spacing w:line="300" w:lineRule="exact"/>
        <w:ind w:firstLine="465"/>
        <w:rPr>
          <w:bCs/>
          <w:color w:val="FF0000"/>
          <w:highlight w:val="green"/>
        </w:rPr>
      </w:pPr>
      <w:r>
        <w:rPr>
          <w:rFonts w:hint="eastAsia" w:eastAsia="宋体"/>
          <w:bCs/>
          <w:color w:val="FF0000"/>
          <w:highlight w:val="green"/>
          <w:lang w:val="en-US" w:eastAsia="zh-CN"/>
        </w:rPr>
        <w:t>3</w:t>
      </w:r>
      <w:r>
        <w:rPr>
          <w:rFonts w:hint="eastAsia"/>
          <w:bCs/>
          <w:color w:val="FF0000"/>
          <w:highlight w:val="green"/>
        </w:rPr>
        <w:t>）未被列入失信被执行人、重大税收违法案件当事人名单、政府采购严重违法失信行为记录名单（</w:t>
      </w:r>
      <w:r>
        <w:rPr>
          <w:bCs/>
          <w:color w:val="FF0000"/>
          <w:highlight w:val="green"/>
        </w:rPr>
        <w:t>在《</w:t>
      </w:r>
      <w:r>
        <w:rPr>
          <w:rFonts w:hint="eastAsia"/>
          <w:bCs/>
          <w:color w:val="FF0000"/>
          <w:highlight w:val="green"/>
        </w:rPr>
        <w:t>政府采购投标及履约承诺函</w:t>
      </w:r>
      <w:r>
        <w:rPr>
          <w:bCs/>
          <w:color w:val="FF0000"/>
          <w:highlight w:val="green"/>
        </w:rPr>
        <w:t>》中作出声明</w:t>
      </w:r>
      <w:r>
        <w:rPr>
          <w:rFonts w:hint="eastAsia"/>
          <w:bCs/>
          <w:color w:val="FF0000"/>
          <w:highlight w:val="green"/>
        </w:rPr>
        <w:t>。注：“信用中国”、“中国政府采购网”为信息查询渠道，相关信息</w:t>
      </w:r>
      <w:r>
        <w:rPr>
          <w:bCs/>
          <w:color w:val="FF0000"/>
          <w:highlight w:val="green"/>
        </w:rPr>
        <w:t>以开标当日的查询结果为准</w:t>
      </w:r>
      <w:r>
        <w:rPr>
          <w:rFonts w:hint="eastAsia"/>
          <w:bCs/>
          <w:color w:val="FF0000"/>
          <w:highlight w:val="green"/>
        </w:rPr>
        <w:t>）</w:t>
      </w:r>
      <w:r>
        <w:rPr>
          <w:bCs/>
          <w:color w:val="FF0000"/>
          <w:highlight w:val="green"/>
        </w:rPr>
        <w:t>。</w:t>
      </w:r>
    </w:p>
    <w:p w14:paraId="6192BBFD">
      <w:pPr>
        <w:snapToGrid w:val="0"/>
        <w:spacing w:line="300" w:lineRule="exact"/>
        <w:ind w:firstLine="465"/>
        <w:rPr>
          <w:rFonts w:hint="eastAsia"/>
          <w:bCs/>
          <w:color w:val="FF0000"/>
          <w:highlight w:val="green"/>
        </w:rPr>
      </w:pPr>
      <w:r>
        <w:rPr>
          <w:rFonts w:hint="eastAsia" w:eastAsia="宋体"/>
          <w:bCs/>
          <w:color w:val="FF0000"/>
          <w:highlight w:val="green"/>
          <w:lang w:val="en-US" w:eastAsia="zh-CN"/>
        </w:rPr>
        <w:t>4</w:t>
      </w:r>
      <w:r>
        <w:rPr>
          <w:rFonts w:hint="eastAsia"/>
          <w:bCs/>
          <w:color w:val="FF0000"/>
          <w:highlight w:val="green"/>
        </w:rPr>
        <w:t>）具有良好的商业信誉和健全的财务会计制度（</w:t>
      </w:r>
      <w:r>
        <w:rPr>
          <w:rFonts w:hint="eastAsia" w:eastAsia="宋体"/>
          <w:bCs/>
          <w:color w:val="FF0000"/>
          <w:highlight w:val="green"/>
          <w:lang w:eastAsia="zh-CN"/>
        </w:rPr>
        <w:t>会计事务所出具的2024或2025年度的年度</w:t>
      </w:r>
      <w:r>
        <w:rPr>
          <w:rFonts w:hint="eastAsia" w:eastAsia="宋体"/>
          <w:bCs/>
          <w:color w:val="FF0000"/>
          <w:highlight w:val="green"/>
          <w:lang w:val="en-US" w:eastAsia="zh-CN"/>
        </w:rPr>
        <w:t>一年</w:t>
      </w:r>
      <w:r>
        <w:rPr>
          <w:rFonts w:hint="eastAsia"/>
          <w:bCs/>
          <w:color w:val="FF0000"/>
          <w:highlight w:val="green"/>
        </w:rPr>
        <w:t>的年度财务审计报告书扫描件或影印件；新办企业</w:t>
      </w:r>
      <w:r>
        <w:rPr>
          <w:rFonts w:hint="eastAsia" w:eastAsia="宋体"/>
          <w:bCs/>
          <w:color w:val="FF0000"/>
          <w:highlight w:val="green"/>
          <w:lang w:eastAsia="zh-CN"/>
        </w:rPr>
        <w:t>（营业执照所标注的成立日期距本项目开标日期一年内为新办企业）</w:t>
      </w:r>
      <w:r>
        <w:rPr>
          <w:rFonts w:hint="eastAsia"/>
          <w:bCs/>
          <w:color w:val="FF0000"/>
          <w:highlight w:val="green"/>
        </w:rPr>
        <w:t>提供银行资信证明扫描件或影印件）；</w:t>
      </w:r>
    </w:p>
    <w:p w14:paraId="64F98282">
      <w:pPr>
        <w:snapToGrid w:val="0"/>
        <w:spacing w:line="300" w:lineRule="exact"/>
        <w:ind w:firstLine="465"/>
        <w:rPr>
          <w:rFonts w:hint="eastAsia"/>
          <w:bCs/>
          <w:color w:val="FF0000"/>
          <w:highlight w:val="green"/>
        </w:rPr>
      </w:pPr>
      <w:r>
        <w:rPr>
          <w:rFonts w:hint="eastAsia" w:eastAsia="宋体"/>
          <w:bCs/>
          <w:color w:val="FF0000"/>
          <w:highlight w:val="green"/>
          <w:lang w:val="en-US" w:eastAsia="zh-CN"/>
        </w:rPr>
        <w:t>5</w:t>
      </w:r>
      <w:r>
        <w:rPr>
          <w:rFonts w:hint="eastAsia"/>
          <w:bCs/>
          <w:color w:val="FF0000"/>
          <w:highlight w:val="green"/>
        </w:rPr>
        <w:t>）</w:t>
      </w:r>
      <w:r>
        <w:rPr>
          <w:rFonts w:hint="eastAsia" w:eastAsia="宋体"/>
          <w:bCs/>
          <w:color w:val="FF0000"/>
          <w:highlight w:val="green"/>
          <w:lang w:eastAsia="zh-CN"/>
        </w:rPr>
        <w:t>有依法缴纳税收和社会保障资金的良好记录（近6个月内任意一个月的完税证明扫描件和社保缴纳记录明细扫描件（含员工社保明细。注：1.无需提供委托人代理人或被授权委托人社保明细。2.若供应商某月税收为零申报，须提供当月加盖税务局公章的无欠税证明。3.完税证明中“税种”非养老保险、医疗保险、失业保险、工伤保险和生育保险））</w:t>
      </w:r>
      <w:r>
        <w:rPr>
          <w:rFonts w:hint="eastAsia"/>
          <w:bCs/>
          <w:color w:val="FF0000"/>
          <w:highlight w:val="green"/>
        </w:rPr>
        <w:t>；</w:t>
      </w:r>
    </w:p>
    <w:p w14:paraId="12B1DABB">
      <w:pPr>
        <w:snapToGrid w:val="0"/>
        <w:spacing w:line="300" w:lineRule="exact"/>
        <w:ind w:firstLine="465"/>
        <w:rPr>
          <w:rFonts w:hint="eastAsia" w:eastAsia="宋体"/>
          <w:bCs/>
          <w:color w:val="FF0000"/>
          <w:highlight w:val="green"/>
          <w:lang w:eastAsia="zh-CN"/>
        </w:rPr>
      </w:pPr>
      <w:r>
        <w:rPr>
          <w:rFonts w:hint="eastAsia" w:eastAsia="宋体"/>
          <w:b/>
          <w:bCs w:val="0"/>
          <w:color w:val="FF0000"/>
          <w:highlight w:val="green"/>
          <w:lang w:val="en-US" w:eastAsia="zh-CN"/>
        </w:rPr>
        <w:t>6</w:t>
      </w:r>
      <w:r>
        <w:rPr>
          <w:rFonts w:hint="eastAsia"/>
          <w:b/>
          <w:bCs w:val="0"/>
          <w:color w:val="FF0000"/>
          <w:highlight w:val="green"/>
        </w:rPr>
        <w:t>）</w:t>
      </w:r>
      <w:r>
        <w:rPr>
          <w:b/>
          <w:bCs w:val="0"/>
          <w:color w:val="FF0000"/>
          <w:highlight w:val="green"/>
        </w:rPr>
        <w:t>本项目不接受联合体投标</w:t>
      </w:r>
      <w:r>
        <w:rPr>
          <w:rFonts w:hint="eastAsia" w:eastAsia="宋体"/>
          <w:b/>
          <w:bCs w:val="0"/>
          <w:color w:val="FF0000"/>
          <w:highlight w:val="green"/>
          <w:lang w:eastAsia="zh-CN"/>
        </w:rPr>
        <w:t>及</w:t>
      </w:r>
      <w:r>
        <w:rPr>
          <w:b/>
          <w:color w:val="FF0000"/>
          <w:highlight w:val="green"/>
        </w:rPr>
        <w:t>不允许进口产品参与投标</w:t>
      </w:r>
      <w:r>
        <w:rPr>
          <w:rFonts w:hint="eastAsia"/>
          <w:b/>
          <w:bCs w:val="0"/>
          <w:color w:val="FF0000"/>
          <w:highlight w:val="green"/>
        </w:rPr>
        <w:t>；</w:t>
      </w:r>
      <w:r>
        <w:rPr>
          <w:rFonts w:hint="eastAsia" w:eastAsia="宋体"/>
          <w:b/>
          <w:bCs w:val="0"/>
          <w:color w:val="FF0000"/>
          <w:highlight w:val="green"/>
          <w:lang w:eastAsia="zh-CN"/>
        </w:rPr>
        <w:t>（提供非联合体投标承诺函及非进口产品投标承诺函，承诺函格式自拟）</w:t>
      </w:r>
    </w:p>
    <w:p w14:paraId="5EE2BBE6">
      <w:pPr>
        <w:keepNext w:val="0"/>
        <w:keepLines w:val="0"/>
        <w:pageBreakBefore w:val="0"/>
        <w:widowControl/>
        <w:kinsoku/>
        <w:wordWrap/>
        <w:overflowPunct/>
        <w:topLinePunct w:val="0"/>
        <w:autoSpaceDE/>
        <w:autoSpaceDN/>
        <w:bidi w:val="0"/>
        <w:adjustRightInd/>
        <w:snapToGrid w:val="0"/>
        <w:spacing w:line="240" w:lineRule="auto"/>
        <w:ind w:left="0" w:leftChars="0" w:firstLine="480" w:firstLineChars="200"/>
        <w:jc w:val="both"/>
        <w:textAlignment w:val="auto"/>
        <w:rPr>
          <w:rFonts w:hint="eastAsia" w:ascii="Arial" w:hAnsi="Arial" w:eastAsia="宋体"/>
          <w:b/>
          <w:sz w:val="32"/>
          <w:szCs w:val="32"/>
        </w:rPr>
      </w:pPr>
      <w:r>
        <w:rPr>
          <w:rFonts w:hint="eastAsia" w:ascii="宋体" w:hAnsi="宋体" w:eastAsia="宋体" w:cs="宋体"/>
          <w:b/>
          <w:highlight w:val="green"/>
          <w:lang w:val="en-US" w:eastAsia="zh-CN"/>
        </w:rPr>
        <w:t>7</w:t>
      </w:r>
      <w:r>
        <w:rPr>
          <w:rFonts w:hint="eastAsia" w:ascii="宋体" w:hAnsi="宋体" w:eastAsia="宋体" w:cs="宋体"/>
          <w:b/>
          <w:highlight w:val="green"/>
        </w:rPr>
        <w:t>）</w:t>
      </w:r>
      <w:r>
        <w:rPr>
          <w:rFonts w:hint="eastAsia" w:ascii="宋体" w:hAnsi="宋体" w:eastAsia="宋体" w:cs="宋体"/>
          <w:b/>
          <w:highlight w:val="green"/>
          <w:lang w:eastAsia="zh-CN"/>
        </w:rPr>
        <w:t>本项目为非专门面向中小微企业采购项目</w:t>
      </w:r>
    </w:p>
    <w:p w14:paraId="2659CA43">
      <w:pPr>
        <w:pStyle w:val="6"/>
      </w:pPr>
      <w:r>
        <w:rPr>
          <w:rFonts w:hint="eastAsia" w:ascii="宋体" w:hAnsi="宋体" w:eastAsia="宋体" w:cs="宋体"/>
          <w:b/>
          <w:bCs/>
          <w:sz w:val="24"/>
        </w:rPr>
        <w:t>注：</w:t>
      </w:r>
      <w:r>
        <w:rPr>
          <w:rFonts w:hint="eastAsia" w:ascii="宋体" w:hAnsi="宋体" w:eastAsia="宋体" w:cs="宋体"/>
          <w:sz w:val="24"/>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w:t>
      </w:r>
    </w:p>
    <w:p w14:paraId="757FCAA4">
      <w:pPr>
        <w:keepNext/>
        <w:keepLines/>
        <w:tabs>
          <w:tab w:val="left" w:pos="1680"/>
        </w:tabs>
        <w:spacing w:before="260" w:after="60" w:afterLines="25"/>
        <w:jc w:val="both"/>
        <w:outlineLvl w:val="2"/>
        <w:rPr>
          <w:rFonts w:hint="eastAsia" w:ascii="Arial" w:hAnsi="Arial" w:eastAsia="宋体"/>
          <w:b/>
          <w:sz w:val="32"/>
          <w:szCs w:val="32"/>
        </w:rPr>
      </w:pPr>
    </w:p>
    <w:p w14:paraId="14D334C1">
      <w:pPr>
        <w:keepNext/>
        <w:keepLines/>
        <w:tabs>
          <w:tab w:val="left" w:pos="1680"/>
        </w:tabs>
        <w:spacing w:before="260" w:after="60" w:afterLines="25"/>
        <w:jc w:val="center"/>
        <w:outlineLvl w:val="2"/>
        <w:rPr>
          <w:rFonts w:hint="eastAsia" w:ascii="Arial" w:hAnsi="Arial" w:eastAsia="宋体"/>
          <w:b/>
          <w:sz w:val="32"/>
          <w:szCs w:val="32"/>
        </w:rPr>
      </w:pPr>
      <w:r>
        <w:rPr>
          <w:rFonts w:hint="eastAsia" w:ascii="Arial" w:hAnsi="Arial" w:eastAsia="宋体"/>
          <w:b/>
          <w:sz w:val="32"/>
          <w:szCs w:val="32"/>
        </w:rPr>
        <w:t>项目基本信息</w:t>
      </w:r>
    </w:p>
    <w:tbl>
      <w:tblPr>
        <w:tblStyle w:val="22"/>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200D5A20">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5DC9D834">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42628D6C">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63CCC694">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5B62A606">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7E8311FE">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73D48EB9">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3DA14A02">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35D12762">
            <w:pPr>
              <w:jc w:val="center"/>
              <w:rPr>
                <w:rFonts w:hint="eastAsia" w:ascii="宋体" w:hAnsi="宋体"/>
                <w:bCs/>
              </w:rPr>
            </w:pPr>
            <w:r>
              <w:rPr>
                <w:rFonts w:hint="eastAsia" w:eastAsia="宋体"/>
                <w:lang w:eastAsia="zh-CN"/>
              </w:rPr>
              <w:t>KSS(GK)2026-009</w:t>
            </w:r>
          </w:p>
        </w:tc>
        <w:tc>
          <w:tcPr>
            <w:tcW w:w="2906" w:type="dxa"/>
            <w:tcBorders>
              <w:top w:val="single" w:color="auto" w:sz="4" w:space="0"/>
              <w:left w:val="single" w:color="000000" w:sz="4" w:space="0"/>
              <w:bottom w:val="single" w:color="auto" w:sz="4" w:space="0"/>
              <w:right w:val="single" w:color="000000" w:sz="4" w:space="0"/>
            </w:tcBorders>
            <w:vAlign w:val="center"/>
          </w:tcPr>
          <w:p w14:paraId="392AD662">
            <w:pPr>
              <w:jc w:val="center"/>
              <w:rPr>
                <w:b/>
                <w:bCs/>
              </w:rPr>
            </w:pPr>
            <w:r>
              <w:rPr>
                <w:rFonts w:hint="eastAsia" w:eastAsia="宋体" w:cs="Times New Roman"/>
                <w:lang w:eastAsia="zh-CN"/>
              </w:rPr>
              <w:t>喀什市公安局7个派出所信息化设备采购项目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6B559F67">
            <w:pPr>
              <w:jc w:val="center"/>
              <w:rPr>
                <w:rFonts w:hint="eastAsia" w:ascii="宋体" w:hAnsi="宋体" w:eastAsia="宋体"/>
                <w:bCs/>
                <w:lang w:eastAsia="zh-CN"/>
              </w:rPr>
            </w:pPr>
            <w:r>
              <w:rPr>
                <w:rFonts w:hint="eastAsia" w:ascii="宋体" w:hAnsi="宋体" w:eastAsia="宋体" w:cs="宋体"/>
                <w:bCs/>
                <w:sz w:val="24"/>
                <w:szCs w:val="24"/>
                <w:highlight w:val="none"/>
                <w:lang w:eastAsia="zh-CN"/>
              </w:rPr>
              <w:t>3850000.00（</w:t>
            </w:r>
            <w:r>
              <w:rPr>
                <w:rFonts w:hint="eastAsia" w:ascii="宋体" w:hAnsi="宋体" w:eastAsia="宋体" w:cs="宋体"/>
                <w:bCs/>
                <w:sz w:val="24"/>
                <w:szCs w:val="24"/>
                <w:highlight w:val="none"/>
                <w:lang w:val="en-US" w:eastAsia="zh-CN"/>
              </w:rPr>
              <w:t>叁佰捌拾伍万元整</w:t>
            </w:r>
            <w:r>
              <w:rPr>
                <w:rFonts w:hint="eastAsia" w:ascii="宋体" w:hAnsi="宋体" w:eastAsia="宋体" w:cs="宋体"/>
                <w:bCs/>
                <w:sz w:val="24"/>
                <w:szCs w:val="24"/>
                <w:highlight w:val="none"/>
                <w:lang w:eastAsia="zh-CN"/>
              </w:rPr>
              <w:t>）</w:t>
            </w:r>
          </w:p>
        </w:tc>
        <w:tc>
          <w:tcPr>
            <w:tcW w:w="2622" w:type="dxa"/>
            <w:tcBorders>
              <w:top w:val="single" w:color="000000" w:sz="4" w:space="0"/>
              <w:left w:val="single" w:color="000000" w:sz="4" w:space="0"/>
              <w:bottom w:val="single" w:color="000000" w:sz="4" w:space="0"/>
              <w:right w:val="single" w:color="000000" w:sz="4" w:space="0"/>
            </w:tcBorders>
            <w:vAlign w:val="center"/>
          </w:tcPr>
          <w:p w14:paraId="3FA14DC4">
            <w:pPr>
              <w:jc w:val="center"/>
              <w:rPr>
                <w:rFonts w:hint="default" w:ascii="宋体" w:hAnsi="宋体" w:eastAsia="宋体"/>
                <w:bCs/>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工业</w:t>
            </w:r>
          </w:p>
        </w:tc>
      </w:tr>
    </w:tbl>
    <w:p w14:paraId="4027BE3D">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14:paraId="0BB74078">
      <w:pPr>
        <w:pStyle w:val="30"/>
        <w:rPr>
          <w:rFonts w:hint="eastAsia"/>
          <w:lang w:eastAsia="zh-CN"/>
        </w:rPr>
      </w:pPr>
    </w:p>
    <w:p w14:paraId="44C7A3EF">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14:paraId="3164F1AE">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时间</w:t>
      </w:r>
      <w:r>
        <w:rPr>
          <w:rFonts w:hint="eastAsia" w:ascii="仿宋" w:hAnsi="仿宋" w:eastAsia="仿宋"/>
          <w:color w:val="auto"/>
          <w:sz w:val="28"/>
          <w:szCs w:val="28"/>
        </w:rPr>
        <w:t>：</w:t>
      </w:r>
      <w:r>
        <w:rPr>
          <w:rFonts w:hint="eastAsia" w:ascii="仿宋" w:hAnsi="仿宋" w:eastAsia="仿宋"/>
          <w:color w:val="auto"/>
          <w:sz w:val="28"/>
          <w:szCs w:val="28"/>
          <w:lang w:eastAsia="zh-CN"/>
        </w:rPr>
        <w:t>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4</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10</w:t>
      </w:r>
      <w:r>
        <w:rPr>
          <w:rFonts w:hint="eastAsia" w:ascii="仿宋" w:hAnsi="仿宋" w:eastAsia="仿宋"/>
          <w:color w:val="auto"/>
          <w:sz w:val="28"/>
          <w:szCs w:val="28"/>
          <w:lang w:eastAsia="zh-CN"/>
        </w:rPr>
        <w:t>日至202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4</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29</w:t>
      </w:r>
      <w:r>
        <w:rPr>
          <w:rFonts w:hint="eastAsia" w:ascii="仿宋" w:hAnsi="仿宋" w:eastAsia="仿宋"/>
          <w:color w:val="auto"/>
          <w:sz w:val="28"/>
          <w:szCs w:val="28"/>
          <w:lang w:eastAsia="zh-CN"/>
        </w:rPr>
        <w:t>日11:00:00，</w:t>
      </w:r>
      <w:r>
        <w:rPr>
          <w:rFonts w:hint="eastAsia" w:ascii="仿宋" w:hAnsi="仿宋" w:eastAsia="仿宋"/>
          <w:color w:val="000000"/>
          <w:sz w:val="28"/>
          <w:szCs w:val="28"/>
          <w:lang w:eastAsia="zh-CN"/>
        </w:rPr>
        <w:t>每天上午</w:t>
      </w:r>
      <w:r>
        <w:rPr>
          <w:rFonts w:hint="eastAsia" w:ascii="仿宋" w:hAnsi="仿宋" w:eastAsia="仿宋"/>
          <w:color w:val="000000"/>
          <w:sz w:val="28"/>
          <w:szCs w:val="28"/>
          <w:lang w:val="en-US" w:eastAsia="zh-CN"/>
        </w:rPr>
        <w:t>00:00至14:00，下午14:00至23:59</w:t>
      </w:r>
      <w:r>
        <w:rPr>
          <w:rFonts w:hint="eastAsia" w:ascii="仿宋" w:hAnsi="仿宋" w:eastAsia="仿宋"/>
          <w:color w:val="000000"/>
          <w:sz w:val="28"/>
          <w:szCs w:val="28"/>
          <w:lang w:eastAsia="zh-CN"/>
        </w:rPr>
        <w:t>（北京时间，法定节假日除外）</w:t>
      </w:r>
    </w:p>
    <w:p w14:paraId="4EDFE61C">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14:paraId="195E665C">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14:paraId="1665B097">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14:paraId="415F39B0">
      <w:pPr>
        <w:spacing w:line="500" w:lineRule="exact"/>
        <w:ind w:firstLine="638" w:firstLineChars="228"/>
        <w:rPr>
          <w:rFonts w:hint="eastAsia" w:ascii="仿宋" w:hAnsi="仿宋" w:eastAsia="仿宋"/>
          <w:color w:val="auto"/>
          <w:sz w:val="28"/>
          <w:szCs w:val="28"/>
        </w:rPr>
      </w:pPr>
      <w:r>
        <w:rPr>
          <w:rFonts w:hint="eastAsia" w:ascii="仿宋" w:hAnsi="仿宋" w:eastAsia="仿宋"/>
          <w:color w:val="auto"/>
          <w:sz w:val="28"/>
          <w:szCs w:val="28"/>
        </w:rPr>
        <w:t>截止时间</w:t>
      </w:r>
      <w:r>
        <w:rPr>
          <w:rFonts w:hint="eastAsia" w:ascii="仿宋" w:hAnsi="仿宋" w:eastAsia="仿宋"/>
          <w:color w:val="auto"/>
          <w:sz w:val="28"/>
          <w:szCs w:val="28"/>
          <w:lang w:eastAsia="zh-CN"/>
        </w:rPr>
        <w:t>、开标时间</w:t>
      </w:r>
      <w:r>
        <w:rPr>
          <w:rFonts w:hint="eastAsia" w:ascii="仿宋" w:hAnsi="仿宋" w:eastAsia="仿宋"/>
          <w:color w:val="auto"/>
          <w:sz w:val="28"/>
          <w:szCs w:val="28"/>
        </w:rPr>
        <w:t>：</w:t>
      </w:r>
      <w:r>
        <w:rPr>
          <w:rFonts w:hint="eastAsia" w:ascii="仿宋" w:hAnsi="仿宋" w:eastAsia="仿宋"/>
          <w:color w:val="auto"/>
          <w:sz w:val="28"/>
          <w:szCs w:val="28"/>
          <w:lang w:eastAsia="zh-CN"/>
        </w:rPr>
        <w:t>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4</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30</w:t>
      </w:r>
      <w:r>
        <w:rPr>
          <w:rFonts w:hint="eastAsia" w:ascii="仿宋" w:hAnsi="仿宋" w:eastAsia="仿宋"/>
          <w:color w:val="auto"/>
          <w:sz w:val="28"/>
          <w:szCs w:val="28"/>
          <w:lang w:eastAsia="zh-CN"/>
        </w:rPr>
        <w:t>日11:00:00</w:t>
      </w:r>
    </w:p>
    <w:p w14:paraId="5DB5A243">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14:paraId="3D4C9BE7">
      <w:pPr>
        <w:pStyle w:val="18"/>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14:paraId="53B431CD">
      <w:pPr>
        <w:numPr>
          <w:ilvl w:val="0"/>
          <w:numId w:val="6"/>
        </w:numPr>
        <w:snapToGrid w:val="0"/>
        <w:spacing w:line="300" w:lineRule="exact"/>
        <w:ind w:firstLine="240" w:firstLineChars="100"/>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投标保证金</w:t>
      </w:r>
    </w:p>
    <w:p w14:paraId="3B55088C">
      <w:pPr>
        <w:numPr>
          <w:ilvl w:val="0"/>
          <w:numId w:val="0"/>
        </w:numPr>
        <w:snapToGrid w:val="0"/>
        <w:spacing w:line="300" w:lineRule="exact"/>
        <w:outlineLvl w:val="2"/>
        <w:rPr>
          <w:rFonts w:hint="eastAsia" w:ascii="Arial" w:hAnsi="Arial" w:eastAsia="宋体" w:cs="Times New Roman"/>
          <w:b/>
          <w:bCs/>
          <w:color w:val="FF0000"/>
          <w:szCs w:val="21"/>
          <w:lang w:eastAsia="zh-CN"/>
        </w:rPr>
      </w:pPr>
      <w:r>
        <w:rPr>
          <w:rFonts w:hint="eastAsia" w:ascii="Arial" w:hAnsi="Arial" w:eastAsia="宋体" w:cs="Times New Roman"/>
          <w:b/>
          <w:bCs/>
          <w:color w:val="FF0000"/>
          <w:szCs w:val="21"/>
          <w:lang w:eastAsia="zh-CN"/>
        </w:rPr>
        <w:t>本项目不收取投标保证金，无需提供</w:t>
      </w:r>
    </w:p>
    <w:p w14:paraId="29DF2A4D">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14:paraId="1B1F48E8">
      <w:pPr>
        <w:pStyle w:val="18"/>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14:paraId="30733087">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14:paraId="281C3408">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14:paraId="21079A14">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14:paraId="096219C8">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7"/>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14:paraId="5C6A7E60">
      <w:pPr>
        <w:pStyle w:val="19"/>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w:t>
      </w:r>
      <w:r>
        <w:rPr>
          <w:rFonts w:hint="eastAsia" w:ascii="仿宋" w:hAnsi="仿宋" w:eastAsia="仿宋"/>
          <w:color w:val="auto"/>
          <w:kern w:val="2"/>
          <w:sz w:val="28"/>
          <w:szCs w:val="28"/>
          <w:highlight w:val="none"/>
          <w:lang w:eastAsia="zh-CN"/>
        </w:rPr>
        <w:t>95763</w:t>
      </w:r>
      <w:r>
        <w:rPr>
          <w:rFonts w:hint="eastAsia" w:ascii="仿宋" w:hAnsi="仿宋" w:eastAsia="仿宋"/>
          <w:color w:val="000000"/>
          <w:kern w:val="2"/>
          <w:sz w:val="28"/>
          <w:szCs w:val="28"/>
          <w:lang w:eastAsia="zh-CN"/>
        </w:rPr>
        <w:t>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14:paraId="6591CBA2">
      <w:pPr>
        <w:pStyle w:val="19"/>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14:paraId="509EA23E">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14:paraId="6B49F878">
      <w:pPr>
        <w:spacing w:line="560" w:lineRule="exact"/>
        <w:ind w:firstLine="560" w:firstLineChars="200"/>
        <w:outlineLvl w:val="2"/>
        <w:rPr>
          <w:rFonts w:hint="eastAsia" w:ascii="仿宋" w:hAnsi="仿宋" w:eastAsia="仿宋"/>
          <w:color w:val="auto"/>
          <w:sz w:val="28"/>
          <w:szCs w:val="28"/>
        </w:rPr>
      </w:pPr>
      <w:r>
        <w:rPr>
          <w:rFonts w:hint="eastAsia" w:ascii="仿宋" w:hAnsi="仿宋" w:eastAsia="仿宋"/>
          <w:color w:val="auto"/>
          <w:sz w:val="28"/>
          <w:szCs w:val="28"/>
        </w:rPr>
        <w:t>1.采购人信息</w:t>
      </w:r>
    </w:p>
    <w:p w14:paraId="1CE8A8FC">
      <w:pPr>
        <w:spacing w:line="560" w:lineRule="exac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名 称：</w:t>
      </w:r>
      <w:r>
        <w:rPr>
          <w:rFonts w:hint="eastAsia" w:ascii="仿宋" w:hAnsi="仿宋" w:eastAsia="仿宋"/>
          <w:color w:val="auto"/>
          <w:sz w:val="28"/>
          <w:szCs w:val="28"/>
          <w:lang w:eastAsia="zh-CN"/>
        </w:rPr>
        <w:t>喀什市公安局</w:t>
      </w:r>
    </w:p>
    <w:p w14:paraId="719FB8F5">
      <w:pPr>
        <w:spacing w:line="560" w:lineRule="exact"/>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地址：</w:t>
      </w:r>
      <w:r>
        <w:rPr>
          <w:rFonts w:hint="eastAsia" w:ascii="仿宋" w:hAnsi="仿宋" w:eastAsia="仿宋"/>
          <w:color w:val="auto"/>
          <w:sz w:val="28"/>
          <w:szCs w:val="28"/>
          <w:lang w:eastAsia="zh-CN"/>
        </w:rPr>
        <w:t>喀什市公安局</w:t>
      </w:r>
    </w:p>
    <w:p w14:paraId="7B3E0DB1">
      <w:pPr>
        <w:spacing w:line="560" w:lineRule="exact"/>
        <w:ind w:firstLine="560" w:firstLineChars="200"/>
        <w:outlineLvl w:val="2"/>
        <w:rPr>
          <w:rFonts w:hint="eastAsia" w:ascii="宋体" w:hAnsi="宋体" w:eastAsia="宋体" w:cs="宋体"/>
          <w:color w:val="000000"/>
          <w:sz w:val="24"/>
          <w:szCs w:val="24"/>
          <w:lang w:val="en-US" w:eastAsia="zh-CN"/>
        </w:rPr>
      </w:pPr>
      <w:r>
        <w:rPr>
          <w:rFonts w:hint="eastAsia" w:ascii="仿宋" w:hAnsi="仿宋" w:eastAsia="仿宋" w:cs="Times New Roman"/>
          <w:color w:val="auto"/>
          <w:sz w:val="28"/>
          <w:szCs w:val="28"/>
          <w:lang w:eastAsia="zh-CN"/>
        </w:rPr>
        <w:t>联系方式：</w:t>
      </w:r>
      <w:r>
        <w:rPr>
          <w:rFonts w:hint="eastAsia" w:ascii="宋体" w:hAnsi="宋体" w:eastAsia="宋体" w:cs="宋体"/>
          <w:color w:val="000000"/>
          <w:sz w:val="24"/>
          <w:szCs w:val="24"/>
          <w:lang w:val="en-US" w:eastAsia="zh-CN"/>
        </w:rPr>
        <w:t>刘荣飞</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17809983068</w:t>
      </w:r>
    </w:p>
    <w:p w14:paraId="1FD7918B">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14:paraId="6DF95D7E">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14:paraId="67C438EB">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喀什市政务服务中心</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楼</w:t>
      </w:r>
    </w:p>
    <w:p w14:paraId="38CC9BC6">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14:paraId="2545069D">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w:t>
      </w:r>
      <w:r>
        <w:rPr>
          <w:rFonts w:hint="eastAsia" w:ascii="仿宋" w:hAnsi="仿宋" w:eastAsia="仿宋"/>
          <w:color w:val="000000"/>
          <w:sz w:val="28"/>
          <w:szCs w:val="28"/>
          <w:lang w:eastAsia="zh-CN"/>
        </w:rPr>
        <w:t>财政监管</w:t>
      </w:r>
      <w:r>
        <w:rPr>
          <w:rFonts w:hint="eastAsia" w:ascii="仿宋" w:hAnsi="仿宋" w:eastAsia="仿宋"/>
          <w:color w:val="000000"/>
          <w:sz w:val="28"/>
          <w:szCs w:val="28"/>
        </w:rPr>
        <w:t>信息</w:t>
      </w:r>
    </w:p>
    <w:p w14:paraId="2DE4BE7F">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喀什市财政局政府采购管理办公室</w:t>
      </w:r>
    </w:p>
    <w:p w14:paraId="4868435E">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喀什市政务服务中心</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楼</w:t>
      </w:r>
    </w:p>
    <w:p w14:paraId="1A9936D4">
      <w:pPr>
        <w:numPr>
          <w:ilvl w:val="0"/>
          <w:numId w:val="0"/>
        </w:num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联系方式：0998-</w:t>
      </w:r>
      <w:r>
        <w:rPr>
          <w:rFonts w:hint="eastAsia" w:ascii="仿宋" w:hAnsi="仿宋" w:eastAsia="仿宋"/>
          <w:color w:val="000000"/>
          <w:sz w:val="28"/>
          <w:szCs w:val="28"/>
          <w:lang w:val="en-US" w:eastAsia="zh-CN"/>
        </w:rPr>
        <w:t>2839905</w:t>
      </w:r>
    </w:p>
    <w:p w14:paraId="78ED4CF8">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.项目经办人联系方式</w:t>
      </w:r>
    </w:p>
    <w:p w14:paraId="38DA6770">
      <w:pPr>
        <w:spacing w:line="56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刘荣飞</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17809983068</w:t>
      </w:r>
    </w:p>
    <w:p w14:paraId="644815AE">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w:t>
      </w:r>
      <w:r>
        <w:rPr>
          <w:rFonts w:hint="eastAsia" w:ascii="仿宋" w:hAnsi="仿宋" w:eastAsia="仿宋"/>
          <w:color w:val="000000"/>
          <w:sz w:val="28"/>
          <w:szCs w:val="28"/>
          <w:lang w:eastAsia="zh-CN"/>
        </w:rPr>
        <w:t>质疑咨询路径</w:t>
      </w:r>
    </w:p>
    <w:p w14:paraId="2D0ACFA6">
      <w:pPr>
        <w:ind w:firstLine="480" w:firstLineChars="200"/>
        <w:rPr>
          <w:rFonts w:hint="eastAsia" w:ascii="宋体" w:hAnsi="宋体" w:eastAsia="宋体"/>
          <w:b/>
          <w:bCs/>
          <w:szCs w:val="21"/>
          <w:lang w:eastAsia="zh-CN"/>
        </w:rPr>
      </w:pPr>
      <w:r>
        <w:rPr>
          <w:rFonts w:hint="eastAsia" w:ascii="宋体" w:hAnsi="宋体" w:eastAsia="宋体"/>
          <w:b/>
          <w:bCs/>
          <w:szCs w:val="21"/>
        </w:rPr>
        <w:t>地址：</w:t>
      </w:r>
      <w:r>
        <w:rPr>
          <w:rFonts w:hint="eastAsia" w:ascii="宋体" w:hAnsi="宋体" w:eastAsia="宋体"/>
          <w:b/>
          <w:bCs/>
          <w:szCs w:val="21"/>
          <w:lang w:eastAsia="zh-CN"/>
        </w:rPr>
        <w:t>喀什市公安局</w:t>
      </w:r>
      <w:r>
        <w:rPr>
          <w:rFonts w:hint="eastAsia" w:ascii="宋体" w:hAnsi="宋体" w:eastAsia="宋体"/>
          <w:b/>
          <w:bCs/>
          <w:szCs w:val="21"/>
        </w:rPr>
        <w:t>，质疑咨询电话：</w:t>
      </w:r>
      <w:r>
        <w:rPr>
          <w:rFonts w:hint="eastAsia" w:ascii="宋体" w:hAnsi="宋体" w:eastAsia="宋体" w:cs="Times New Roman"/>
          <w:b/>
          <w:bCs/>
          <w:szCs w:val="21"/>
          <w:lang w:val="en-US" w:eastAsia="zh-CN"/>
        </w:rPr>
        <w:t>刘荣飞</w:t>
      </w:r>
      <w:r>
        <w:rPr>
          <w:rFonts w:hint="eastAsia" w:ascii="宋体" w:hAnsi="宋体" w:eastAsia="宋体" w:cs="Times New Roman"/>
          <w:b/>
          <w:bCs/>
          <w:szCs w:val="21"/>
          <w:lang w:eastAsia="zh-CN"/>
        </w:rPr>
        <w:t>，</w:t>
      </w:r>
      <w:r>
        <w:rPr>
          <w:rFonts w:hint="eastAsia" w:ascii="宋体" w:hAnsi="宋体" w:eastAsia="宋体" w:cs="Times New Roman"/>
          <w:b/>
          <w:bCs/>
          <w:szCs w:val="21"/>
          <w:lang w:val="en-US" w:eastAsia="zh-CN"/>
        </w:rPr>
        <w:t>17809983068</w:t>
      </w:r>
      <w:r>
        <w:rPr>
          <w:rFonts w:hint="eastAsia" w:ascii="宋体" w:hAnsi="宋体" w:eastAsia="宋体" w:cs="Times New Roman"/>
          <w:b/>
          <w:bCs/>
          <w:szCs w:val="21"/>
        </w:rPr>
        <w:t>。</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w:t>
      </w:r>
      <w:r>
        <w:rPr>
          <w:rFonts w:hint="eastAsia" w:ascii="宋体" w:hAnsi="宋体" w:eastAsia="宋体"/>
          <w:b/>
          <w:bCs/>
          <w:szCs w:val="21"/>
          <w:lang w:eastAsia="zh-CN"/>
        </w:rPr>
        <w:t>供应商以邮寄方式提交质疑函的，凡质疑函符合法定形式、在法定质疑期内交邮的，均予以接收并依法处理。</w:t>
      </w:r>
    </w:p>
    <w:p w14:paraId="28B066A3">
      <w:pPr>
        <w:spacing w:line="560" w:lineRule="exact"/>
        <w:ind w:firstLine="480" w:firstLineChars="200"/>
        <w:rPr>
          <w:rFonts w:ascii="宋体" w:hAnsi="宋体" w:eastAsia="宋体"/>
          <w:b/>
          <w:bCs/>
          <w:szCs w:val="21"/>
          <w:highlight w:val="none"/>
        </w:rPr>
      </w:pPr>
    </w:p>
    <w:p w14:paraId="2A68F873">
      <w:pPr>
        <w:pStyle w:val="6"/>
        <w:rPr>
          <w:rFonts w:hint="default"/>
          <w:lang w:val="en-US" w:eastAsia="zh-CN"/>
        </w:rPr>
      </w:pPr>
    </w:p>
    <w:p w14:paraId="25DC16EE">
      <w:pPr>
        <w:pStyle w:val="18"/>
        <w:spacing w:after="0" w:line="560" w:lineRule="exact"/>
        <w:rPr>
          <w:rFonts w:hint="eastAsia" w:ascii="仿宋" w:hAnsi="仿宋" w:eastAsia="仿宋"/>
          <w:color w:val="000000"/>
          <w:sz w:val="28"/>
          <w:szCs w:val="28"/>
        </w:rPr>
      </w:pPr>
    </w:p>
    <w:p w14:paraId="586CA418">
      <w:pPr>
        <w:rPr>
          <w:rFonts w:ascii="Arial" w:hAnsi="Arial" w:eastAsia="宋体"/>
          <w:b/>
          <w:color w:val="FF0000"/>
          <w:sz w:val="32"/>
          <w:szCs w:val="32"/>
        </w:rPr>
      </w:pPr>
      <w:r>
        <w:br w:type="page"/>
      </w:r>
    </w:p>
    <w:p w14:paraId="65FF431F">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0" w:name="_Hlk71926094"/>
      <w:r>
        <w:rPr>
          <w:rFonts w:hint="eastAsia" w:ascii="宋体" w:hAnsi="宋体" w:eastAsia="宋体"/>
          <w:b/>
          <w:bCs/>
          <w:sz w:val="28"/>
          <w:szCs w:val="28"/>
        </w:rPr>
        <w:t>对通用条款的补充内容及其他关键信息</w:t>
      </w:r>
      <w:bookmarkEnd w:id="0"/>
    </w:p>
    <w:p w14:paraId="3381336F">
      <w:pPr>
        <w:keepNext/>
        <w:keepLines/>
        <w:adjustRightInd w:val="0"/>
        <w:spacing w:before="120" w:beforeLines="50" w:after="120" w:afterLines="50"/>
        <w:jc w:val="center"/>
        <w:textAlignment w:val="baseline"/>
        <w:outlineLvl w:val="2"/>
        <w:rPr>
          <w:rFonts w:ascii="宋体" w:hAnsi="宋体" w:eastAsia="宋体"/>
          <w:b/>
          <w:bCs/>
        </w:rPr>
      </w:pPr>
      <w:bookmarkStart w:id="1" w:name="_Toc73517639"/>
      <w:bookmarkStart w:id="2" w:name="_Toc60560625"/>
      <w:bookmarkStart w:id="3" w:name="_Toc73518117"/>
      <w:bookmarkStart w:id="4" w:name="_Toc73521547"/>
      <w:bookmarkStart w:id="5" w:name="_Toc60631620"/>
      <w:bookmarkStart w:id="6" w:name="_Toc100052364"/>
      <w:bookmarkStart w:id="7" w:name="_Toc73521635"/>
      <w:bookmarkStart w:id="8" w:name="_Toc101074876"/>
      <w:r>
        <w:rPr>
          <w:rFonts w:hint="eastAsia" w:ascii="宋体" w:hAnsi="宋体" w:eastAsia="宋体"/>
          <w:b/>
          <w:bCs/>
        </w:rPr>
        <w:t>一、对通用条款的补充内容</w:t>
      </w:r>
      <w:bookmarkEnd w:id="1"/>
      <w:bookmarkEnd w:id="2"/>
      <w:bookmarkEnd w:id="3"/>
      <w:bookmarkEnd w:id="4"/>
      <w:bookmarkEnd w:id="5"/>
      <w:bookmarkEnd w:id="6"/>
      <w:bookmarkEnd w:id="7"/>
      <w:bookmarkEnd w:id="8"/>
    </w:p>
    <w:tbl>
      <w:tblPr>
        <w:tblStyle w:val="22"/>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14:paraId="6B17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1F07FD9B">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14:paraId="432FD34E">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14:paraId="525567D6">
            <w:pPr>
              <w:snapToGrid w:val="0"/>
              <w:jc w:val="center"/>
              <w:rPr>
                <w:rFonts w:ascii="宋体" w:hAnsi="宋体" w:eastAsia="宋体" w:cs="Arial"/>
                <w:b/>
                <w:szCs w:val="21"/>
              </w:rPr>
            </w:pPr>
            <w:r>
              <w:rPr>
                <w:rFonts w:hint="eastAsia" w:ascii="宋体" w:hAnsi="宋体" w:eastAsia="宋体" w:cs="Arial"/>
                <w:b/>
                <w:szCs w:val="21"/>
              </w:rPr>
              <w:t>具体补充内容</w:t>
            </w:r>
          </w:p>
        </w:tc>
      </w:tr>
      <w:tr w14:paraId="16AB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B052F38">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14:paraId="2AFFC34C">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14:paraId="5B9747DF">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喀什市公安局</w:t>
            </w:r>
          </w:p>
        </w:tc>
      </w:tr>
      <w:tr w14:paraId="3BE5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14:paraId="6954FD1C">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14:paraId="667D1233">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14:paraId="53F383BC">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14:paraId="4B56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27CE2380">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14:paraId="57950CE2">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14:paraId="74537C8B">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14:paraId="1E78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1DB2AEA6">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14:paraId="78F24620">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14:paraId="25DC2AC3">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w:t>
            </w:r>
            <w:r>
              <w:rPr>
                <w:rFonts w:hint="eastAsia" w:ascii="宋体" w:hAnsi="宋体" w:eastAsia="宋体"/>
                <w:b/>
                <w:color w:val="0000FF"/>
                <w:u w:val="single"/>
                <w:lang w:val="en-US" w:eastAsia="zh-CN"/>
              </w:rPr>
              <w:t>90</w:t>
            </w:r>
            <w:r>
              <w:rPr>
                <w:rFonts w:hint="eastAsia" w:ascii="宋体" w:hAnsi="宋体" w:eastAsia="宋体"/>
                <w:b/>
                <w:color w:val="0000FF"/>
                <w:u w:val="single"/>
              </w:rPr>
              <w:t xml:space="preserve"> </w:t>
            </w:r>
            <w:r>
              <w:rPr>
                <w:rFonts w:hint="eastAsia" w:ascii="宋体" w:hAnsi="宋体" w:eastAsia="宋体" w:cs="Arial"/>
                <w:szCs w:val="21"/>
              </w:rPr>
              <w:t>个日历日。</w:t>
            </w:r>
          </w:p>
        </w:tc>
      </w:tr>
      <w:tr w14:paraId="28F3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0791B431">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14:paraId="2B082AA7">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14:paraId="30C688F5">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14:paraId="6479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0D964D51">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14:paraId="42D9D41F">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14:paraId="24E51B54">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14:paraId="6C90CA46">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14:paraId="3D5F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42EE650">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14:paraId="7518E0BC">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14:paraId="76C7CA40">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14:paraId="2340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084B9F14">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14:paraId="4D1BE6E4">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14:paraId="20D33129">
            <w:pPr>
              <w:spacing w:line="240" w:lineRule="atLeast"/>
              <w:ind w:left="814" w:hanging="814" w:hangingChars="354"/>
              <w:rPr>
                <w:rFonts w:hint="eastAsia" w:ascii="宋体" w:hAnsi="宋体" w:cs="宋体"/>
                <w:b/>
                <w:bCs/>
                <w:color w:val="auto"/>
                <w:sz w:val="23"/>
                <w:szCs w:val="23"/>
                <w:u w:val="single"/>
                <w:shd w:val="clear" w:color="auto" w:fill="auto"/>
              </w:rPr>
            </w:pPr>
          </w:p>
          <w:p w14:paraId="3E2C11BA">
            <w:pPr>
              <w:snapToGrid w:val="0"/>
              <w:rPr>
                <w:rFonts w:hint="eastAsia" w:ascii="宋体" w:hAnsi="宋体" w:eastAsia="宋体"/>
                <w:color w:val="auto"/>
                <w:szCs w:val="21"/>
              </w:rPr>
            </w:pPr>
            <w:r>
              <w:rPr>
                <w:rFonts w:hint="eastAsia" w:ascii="宋体" w:hAnsi="宋体" w:eastAsia="宋体"/>
                <w:color w:val="auto"/>
                <w:szCs w:val="21"/>
              </w:rPr>
              <w:t>本项目评标委员会由</w:t>
            </w:r>
            <w:r>
              <w:rPr>
                <w:rFonts w:hint="eastAsia" w:ascii="宋体" w:hAnsi="宋体" w:eastAsia="宋体"/>
                <w:color w:val="auto"/>
                <w:szCs w:val="21"/>
                <w:lang w:val="en-US" w:eastAsia="zh-CN"/>
              </w:rPr>
              <w:t>5</w:t>
            </w:r>
            <w:r>
              <w:rPr>
                <w:rFonts w:hint="eastAsia" w:ascii="宋体" w:hAnsi="宋体" w:eastAsia="宋体"/>
                <w:color w:val="auto"/>
                <w:szCs w:val="21"/>
              </w:rPr>
              <w:t>人组成（采购人代表</w:t>
            </w:r>
            <w:r>
              <w:rPr>
                <w:rFonts w:hint="eastAsia" w:ascii="宋体" w:hAnsi="宋体" w:eastAsia="宋体"/>
                <w:color w:val="auto"/>
                <w:szCs w:val="21"/>
                <w:lang w:val="en-US" w:eastAsia="zh-CN"/>
              </w:rPr>
              <w:t>0</w:t>
            </w:r>
            <w:r>
              <w:rPr>
                <w:rFonts w:hint="eastAsia" w:ascii="宋体" w:hAnsi="宋体" w:eastAsia="宋体"/>
                <w:color w:val="auto"/>
                <w:szCs w:val="21"/>
              </w:rPr>
              <w:t>名，随机抽取专家</w:t>
            </w:r>
            <w:r>
              <w:rPr>
                <w:rFonts w:hint="eastAsia" w:ascii="宋体" w:hAnsi="宋体" w:eastAsia="宋体"/>
                <w:color w:val="auto"/>
                <w:szCs w:val="21"/>
                <w:lang w:val="en-US" w:eastAsia="zh-CN"/>
              </w:rPr>
              <w:t>5</w:t>
            </w:r>
            <w:r>
              <w:rPr>
                <w:rFonts w:hint="eastAsia" w:ascii="宋体" w:hAnsi="宋体" w:eastAsia="宋体"/>
                <w:color w:val="auto"/>
                <w:szCs w:val="21"/>
              </w:rPr>
              <w:t>名）</w:t>
            </w:r>
          </w:p>
          <w:p w14:paraId="1FC4C402">
            <w:pPr>
              <w:snapToGrid w:val="0"/>
              <w:jc w:val="center"/>
              <w:rPr>
                <w:rFonts w:hint="eastAsia" w:ascii="宋体" w:hAnsi="宋体" w:eastAsia="宋体" w:cs="Arial"/>
                <w:sz w:val="24"/>
                <w:szCs w:val="21"/>
              </w:rPr>
            </w:pPr>
          </w:p>
        </w:tc>
      </w:tr>
      <w:tr w14:paraId="07D4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3900EE7D">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14:paraId="3101F270">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14:paraId="53003EC4">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14:paraId="2D49C6ED">
            <w:pPr>
              <w:pStyle w:val="9"/>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14:paraId="03E411B9">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14:paraId="644F15DB">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14:paraId="1AC7C6D2">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14:paraId="1F86F937">
      <w:pPr>
        <w:tabs>
          <w:tab w:val="left" w:pos="720"/>
        </w:tabs>
        <w:rPr>
          <w:rFonts w:ascii="黑体" w:hAnsi="宋体" w:eastAsia="黑体"/>
          <w:bCs/>
        </w:rPr>
      </w:pPr>
      <w:r>
        <w:rPr>
          <w:rFonts w:hint="eastAsia" w:ascii="黑体" w:hAnsi="宋体" w:eastAsia="黑体"/>
          <w:bCs/>
        </w:rPr>
        <w:t>1、关于标项的定义</w:t>
      </w:r>
    </w:p>
    <w:p w14:paraId="04A8DC54">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14:paraId="38B168F0">
      <w:pPr>
        <w:tabs>
          <w:tab w:val="left" w:pos="720"/>
        </w:tabs>
        <w:rPr>
          <w:rFonts w:ascii="黑体" w:hAnsi="宋体" w:eastAsia="黑体"/>
        </w:rPr>
      </w:pPr>
      <w:r>
        <w:rPr>
          <w:rFonts w:hint="eastAsia" w:ascii="黑体" w:hAnsi="宋体" w:eastAsia="黑体"/>
        </w:rPr>
        <w:t>（二）其他事项</w:t>
      </w:r>
    </w:p>
    <w:p w14:paraId="0D67934D">
      <w:pPr>
        <w:tabs>
          <w:tab w:val="left" w:pos="720"/>
        </w:tabs>
        <w:rPr>
          <w:rFonts w:ascii="黑体" w:hAnsi="宋体" w:eastAsia="黑体"/>
        </w:rPr>
      </w:pPr>
      <w:r>
        <w:rPr>
          <w:rFonts w:hint="eastAsia" w:ascii="黑体" w:hAnsi="宋体" w:eastAsia="黑体"/>
        </w:rPr>
        <w:t>1、关于享受优惠政策的主体及价格扣除比例</w:t>
      </w:r>
    </w:p>
    <w:p w14:paraId="001C1FD4">
      <w:pPr>
        <w:ind w:firstLine="470" w:firstLineChars="196"/>
        <w:rPr>
          <w:rFonts w:ascii="Arial" w:hAnsi="Arial" w:eastAsia="宋体"/>
          <w:b/>
          <w:color w:val="0000FF"/>
          <w:szCs w:val="21"/>
        </w:rPr>
      </w:pPr>
      <w:r>
        <w:rPr>
          <w:rFonts w:hint="eastAsia" w:ascii="宋体" w:hAnsi="宋体"/>
        </w:rPr>
        <w:t>（1）投标人提供的货物全部均由优惠主体制造的，对其投标总价给予</w:t>
      </w:r>
      <w:r>
        <w:rPr>
          <w:rFonts w:hint="eastAsia" w:ascii="宋体" w:hAnsi="宋体" w:eastAsia="宋体"/>
          <w:b/>
          <w:color w:val="0000FF"/>
          <w:highlight w:val="green"/>
          <w:u w:val="single"/>
          <w:lang w:val="en-US" w:eastAsia="zh-CN"/>
        </w:rPr>
        <w:t>10</w:t>
      </w:r>
      <w:r>
        <w:rPr>
          <w:rFonts w:hint="eastAsia" w:ascii="宋体" w:hAnsi="宋体" w:eastAsia="宋体"/>
          <w:b/>
          <w:color w:val="0000FF"/>
          <w:highlight w:val="green"/>
          <w:u w:val="single"/>
        </w:rPr>
        <w:t>%</w:t>
      </w:r>
      <w:r>
        <w:rPr>
          <w:rFonts w:hint="eastAsia" w:ascii="宋体" w:hAnsi="宋体"/>
        </w:rPr>
        <w:t>的扣除</w:t>
      </w:r>
      <w:r>
        <w:rPr>
          <w:rFonts w:hint="eastAsia" w:ascii="宋体" w:hAnsi="宋体" w:eastAsia="宋体"/>
          <w:lang w:eastAsia="zh-CN"/>
        </w:rPr>
        <w:t>（工程项目给</w:t>
      </w:r>
      <w:r>
        <w:rPr>
          <w:rFonts w:hint="eastAsia" w:ascii="宋体" w:hAnsi="宋体" w:eastAsia="Times New Roman" w:cs="Times New Roman"/>
          <w:lang w:eastAsia="zh-CN"/>
        </w:rPr>
        <w:t>予</w:t>
      </w:r>
      <w:r>
        <w:rPr>
          <w:rFonts w:hint="eastAsia" w:ascii="宋体" w:hAnsi="宋体" w:eastAsia="宋体" w:cs="Times New Roman"/>
          <w:b/>
          <w:color w:val="0000FF"/>
          <w:highlight w:val="green"/>
          <w:u w:val="single"/>
          <w:lang w:val="en-US" w:eastAsia="zh-CN"/>
        </w:rPr>
        <w:t>6%</w:t>
      </w:r>
      <w:r>
        <w:rPr>
          <w:rFonts w:hint="eastAsia" w:ascii="宋体" w:hAnsi="宋体" w:eastAsia="Times New Roman" w:cs="Times New Roman"/>
          <w:lang w:eastAsia="zh-CN"/>
        </w:rPr>
        <w:t>的扣除，</w:t>
      </w:r>
      <w:r>
        <w:rPr>
          <w:rFonts w:hint="eastAsia" w:ascii="宋体" w:hAnsi="宋体" w:eastAsia="宋体"/>
          <w:lang w:eastAsia="zh-CN"/>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6%</w:t>
      </w:r>
      <w:r>
        <w:rPr>
          <w:rFonts w:hint="eastAsia" w:ascii="宋体" w:hAnsi="宋体" w:eastAsia="宋体"/>
          <w:lang w:eastAsia="zh-CN"/>
        </w:rPr>
        <w:t>作为其价格分）</w:t>
      </w:r>
      <w:r>
        <w:rPr>
          <w:rFonts w:hint="eastAsia" w:ascii="宋体" w:hAnsi="宋体"/>
        </w:rPr>
        <w:t>，用扣除后的价格参与评审。满足多项优惠政策的企业，不重复享受多项价格扣除政策。如为联合体投标，联合体共同投标协议中明确注明</w:t>
      </w:r>
      <w:r>
        <w:rPr>
          <w:rFonts w:ascii="宋体" w:hAnsi="宋体"/>
        </w:rPr>
        <w:t>约定优惠主体的协议合同金额占到联合体协议总金额</w:t>
      </w:r>
      <w:r>
        <w:rPr>
          <w:rFonts w:hint="eastAsia" w:ascii="宋体" w:hAnsi="宋体"/>
          <w:b/>
          <w:lang w:val="en-US" w:eastAsia="zh-CN"/>
        </w:rPr>
        <w:t>4</w:t>
      </w:r>
      <w:r>
        <w:rPr>
          <w:rFonts w:ascii="宋体" w:hAnsi="宋体"/>
          <w:b/>
        </w:rPr>
        <w:t>0%</w:t>
      </w:r>
      <w:r>
        <w:rPr>
          <w:rFonts w:ascii="宋体" w:hAnsi="宋体"/>
        </w:rPr>
        <w:t>以上的，</w:t>
      </w:r>
      <w:r>
        <w:rPr>
          <w:rFonts w:hint="eastAsia" w:ascii="宋体" w:hAnsi="宋体"/>
        </w:rPr>
        <w:t>对该联合体的投标总价给予</w:t>
      </w:r>
      <w:r>
        <w:rPr>
          <w:rFonts w:hint="eastAsia" w:ascii="宋体" w:hAnsi="宋体" w:eastAsia="宋体" w:cs="Times New Roman"/>
          <w:b/>
          <w:color w:val="0000FF"/>
          <w:highlight w:val="green"/>
          <w:u w:val="single"/>
          <w:lang w:val="en-US" w:eastAsia="zh-CN"/>
        </w:rPr>
        <w:t>4%</w:t>
      </w:r>
      <w:r>
        <w:rPr>
          <w:rFonts w:hint="eastAsia" w:ascii="宋体" w:hAnsi="宋体"/>
        </w:rPr>
        <w:t>的扣除（工程项目为</w:t>
      </w:r>
      <w:r>
        <w:rPr>
          <w:rFonts w:hint="eastAsia" w:ascii="宋体" w:hAnsi="宋体" w:eastAsia="宋体"/>
          <w:b/>
          <w:color w:val="0000FF"/>
          <w:highlight w:val="green"/>
          <w:u w:val="single"/>
          <w:lang w:val="en-US" w:eastAsia="zh-CN"/>
        </w:rPr>
        <w:t>2%</w:t>
      </w:r>
      <w:r>
        <w:rPr>
          <w:rFonts w:hint="eastAsia" w:ascii="宋体" w:hAnsi="宋体"/>
        </w:rPr>
        <w:t>）的扣除，用扣除后的价格参与评审。</w:t>
      </w:r>
      <w:r>
        <w:rPr>
          <w:rFonts w:hint="eastAsia" w:ascii="宋体" w:hAnsi="宋体" w:eastAsia="宋体"/>
          <w:lang w:eastAsia="zh-CN"/>
        </w:rPr>
        <w:t>（</w:t>
      </w:r>
      <w:r>
        <w:rPr>
          <w:rFonts w:hint="eastAsia" w:ascii="宋体" w:hAnsi="宋体"/>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2%</w:t>
      </w:r>
      <w:r>
        <w:rPr>
          <w:rFonts w:hint="eastAsia" w:ascii="宋体" w:hAnsi="宋体"/>
        </w:rPr>
        <w:t>作为其价格分。</w:t>
      </w:r>
      <w:r>
        <w:rPr>
          <w:rFonts w:hint="eastAsia" w:ascii="宋体" w:hAnsi="宋体" w:eastAsia="宋体"/>
          <w:lang w:eastAsia="zh-CN"/>
        </w:rPr>
        <w:t>）</w:t>
      </w:r>
      <w:r>
        <w:rPr>
          <w:rFonts w:hint="eastAsia" w:ascii="宋体" w:hAnsi="宋体"/>
        </w:rPr>
        <w:t>联合体各方均为优惠主体的，该联合体视同为优惠主体，按前款规定享受评标优惠政策。</w:t>
      </w:r>
      <w:r>
        <w:rPr>
          <w:rFonts w:hint="eastAsia" w:ascii="Arial" w:hAnsi="Arial" w:eastAsia="宋体"/>
          <w:b/>
          <w:color w:val="0000FF"/>
          <w:szCs w:val="21"/>
        </w:rPr>
        <w:t>政策调整后价格仅作为评审依据，不作为中标价格。享受价格扣除获得政府采购合同的，</w:t>
      </w:r>
      <w:r>
        <w:rPr>
          <w:rFonts w:hint="eastAsia" w:ascii="Arial" w:hAnsi="Arial" w:eastAsia="宋体"/>
          <w:b/>
          <w:color w:val="0000FF"/>
          <w:szCs w:val="21"/>
          <w:lang w:eastAsia="zh-CN"/>
        </w:rPr>
        <w:t>小微企业</w:t>
      </w:r>
      <w:r>
        <w:rPr>
          <w:rFonts w:hint="eastAsia" w:ascii="Arial" w:hAnsi="Arial" w:eastAsia="宋体"/>
          <w:b/>
          <w:color w:val="0000FF"/>
          <w:szCs w:val="21"/>
        </w:rPr>
        <w:t>不得将合同分包给大中型企业。</w:t>
      </w:r>
    </w:p>
    <w:p w14:paraId="21F1DB80">
      <w:pPr>
        <w:tabs>
          <w:tab w:val="left" w:pos="720"/>
        </w:tabs>
        <w:ind w:firstLine="480" w:firstLineChars="200"/>
        <w:rPr>
          <w:rFonts w:ascii="宋体" w:hAnsi="宋体"/>
          <w:bCs/>
        </w:rPr>
      </w:pPr>
      <w:r>
        <w:rPr>
          <w:rFonts w:hint="eastAsia" w:ascii="黑体" w:hAnsi="宋体" w:eastAsia="黑体"/>
        </w:rPr>
        <w:t>备注：</w:t>
      </w:r>
      <w:r>
        <w:rPr>
          <w:rFonts w:hint="eastAsia" w:ascii="宋体" w:hAnsi="宋体"/>
        </w:rPr>
        <w:t>（a）</w:t>
      </w:r>
      <w:r>
        <w:rPr>
          <w:rFonts w:hint="eastAsia" w:ascii="宋体" w:hAnsi="宋体"/>
          <w:bCs/>
        </w:rPr>
        <w:t>优惠主体</w:t>
      </w:r>
      <w:r>
        <w:rPr>
          <w:rFonts w:hint="eastAsia" w:ascii="宋体" w:hAnsi="宋体"/>
        </w:rPr>
        <w:t>包括</w:t>
      </w:r>
      <w:r>
        <w:rPr>
          <w:rFonts w:hint="eastAsia" w:ascii="宋体" w:hAnsi="宋体"/>
          <w:b/>
        </w:rPr>
        <w:t>小型企业、微型企业、监狱企业、残疾人福利性单位</w:t>
      </w:r>
      <w:r>
        <w:rPr>
          <w:rFonts w:hint="eastAsia" w:ascii="宋体" w:hAnsi="宋体"/>
        </w:rPr>
        <w:t>；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w:t>
      </w:r>
      <w:r>
        <w:rPr>
          <w:rFonts w:hint="eastAsia" w:ascii="宋体" w:hAnsi="宋体"/>
          <w:b/>
        </w:rPr>
        <w:t>优惠主体制造</w:t>
      </w:r>
      <w:r>
        <w:rPr>
          <w:rFonts w:hint="eastAsia" w:ascii="宋体" w:hAnsi="宋体"/>
        </w:rPr>
        <w:t>是指货物由优惠主体生产且使用该优惠主体商号或者注册商标；投标人提供的货物既有优惠主体制造货物，又有非优惠主体制造货物的，不给予价格扣除。（c）</w:t>
      </w:r>
      <w:r>
        <w:rPr>
          <w:rFonts w:hint="eastAsia" w:ascii="宋体" w:hAnsi="宋体"/>
          <w:bCs/>
        </w:rPr>
        <w:t>小型企业、微型企业、残疾人福利性单位作为优惠主体的</w:t>
      </w:r>
      <w:r>
        <w:rPr>
          <w:rFonts w:hint="eastAsia" w:ascii="宋体" w:hAnsi="宋体"/>
          <w:b/>
          <w:bCs/>
        </w:rPr>
        <w:t>认定资料</w:t>
      </w:r>
      <w:r>
        <w:rPr>
          <w:rFonts w:hint="eastAsia" w:ascii="宋体" w:hAnsi="宋体"/>
          <w:bCs/>
        </w:rPr>
        <w:t>为《中小企业声明函》、《残疾人福利性单位声明函》；监狱企业作为优惠主体的</w:t>
      </w:r>
      <w:r>
        <w:rPr>
          <w:rFonts w:hint="eastAsia" w:ascii="宋体" w:hAnsi="宋体"/>
          <w:b/>
          <w:bCs/>
        </w:rPr>
        <w:t>认定资料</w:t>
      </w:r>
      <w:r>
        <w:rPr>
          <w:rFonts w:hint="eastAsia" w:ascii="宋体" w:hAnsi="宋体"/>
          <w:bCs/>
        </w:rPr>
        <w:t>为省级以上监狱管理局、戒毒管理局出具的监狱企业证明文件。</w:t>
      </w:r>
    </w:p>
    <w:p w14:paraId="48EE0201">
      <w:pPr>
        <w:tabs>
          <w:tab w:val="left" w:pos="720"/>
        </w:tabs>
        <w:ind w:firstLine="480" w:firstLineChars="200"/>
        <w:rPr>
          <w:rFonts w:ascii="黑体" w:hAnsi="宋体" w:eastAsia="黑体"/>
        </w:rPr>
      </w:pPr>
      <w:r>
        <w:rPr>
          <w:rFonts w:hint="eastAsia" w:ascii="宋体" w:hAnsi="宋体"/>
          <w:bCs/>
        </w:rPr>
        <w:t>（2）本项目采购标的对应的中小企业划分标准所属行业，根据《中小企业划型标准规定》（工信部联企业〔2011〕300 号）、《</w:t>
      </w:r>
      <w:r>
        <w:rPr>
          <w:rFonts w:ascii="宋体" w:hAnsi="宋体"/>
          <w:bCs/>
        </w:rPr>
        <w:t>统计上大中小微型企业划分办法（2017）</w:t>
      </w:r>
      <w:r>
        <w:rPr>
          <w:rFonts w:hint="eastAsia" w:ascii="宋体" w:hAnsi="宋体"/>
          <w:bCs/>
        </w:rPr>
        <w:t>》（国统字〔2017〕213 号）或</w:t>
      </w:r>
      <w:r>
        <w:rPr>
          <w:rFonts w:hint="eastAsia" w:ascii="宋体" w:hAnsi="宋体"/>
          <w:b/>
          <w:bCs/>
        </w:rPr>
        <w:t>国务院批准</w:t>
      </w:r>
      <w:r>
        <w:rPr>
          <w:rFonts w:hint="eastAsia" w:ascii="宋体" w:hAnsi="宋体"/>
          <w:bCs/>
        </w:rPr>
        <w:t>的其他中小企业划分标准文件确定。</w:t>
      </w:r>
    </w:p>
    <w:p w14:paraId="7BA4C7B5">
      <w:pPr>
        <w:tabs>
          <w:tab w:val="left" w:pos="720"/>
        </w:tabs>
        <w:rPr>
          <w:rFonts w:ascii="黑体" w:hAnsi="宋体" w:eastAsia="黑体"/>
        </w:rPr>
      </w:pPr>
    </w:p>
    <w:p w14:paraId="7765BFBD">
      <w:pPr>
        <w:rPr>
          <w:rFonts w:ascii="宋体" w:hAnsi="宋体" w:eastAsia="黑体"/>
          <w:bCs/>
          <w:kern w:val="44"/>
          <w:sz w:val="28"/>
          <w:szCs w:val="44"/>
        </w:rPr>
      </w:pPr>
      <w:r>
        <w:br w:type="page"/>
      </w:r>
    </w:p>
    <w:p w14:paraId="515E07C2">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14:paraId="1DCDAF58">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22"/>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63CD213E">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0BD34B6C">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5D996BB2">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1EB5410C">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4791C52A">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05CECF7F">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707BD8B8">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5987D2FD">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456422A1">
            <w:pPr>
              <w:jc w:val="center"/>
              <w:rPr>
                <w:rFonts w:hint="eastAsia" w:ascii="宋体" w:hAnsi="宋体"/>
                <w:bCs/>
                <w:color w:val="auto"/>
              </w:rPr>
            </w:pPr>
            <w:r>
              <w:rPr>
                <w:rFonts w:hint="eastAsia" w:eastAsia="宋体"/>
                <w:color w:val="auto"/>
                <w:lang w:eastAsia="zh-CN"/>
              </w:rPr>
              <w:t>KSS(GK)2026-009</w:t>
            </w:r>
          </w:p>
        </w:tc>
        <w:tc>
          <w:tcPr>
            <w:tcW w:w="2906" w:type="dxa"/>
            <w:tcBorders>
              <w:top w:val="single" w:color="auto" w:sz="4" w:space="0"/>
              <w:left w:val="single" w:color="000000" w:sz="4" w:space="0"/>
              <w:bottom w:val="single" w:color="auto" w:sz="4" w:space="0"/>
              <w:right w:val="single" w:color="000000" w:sz="4" w:space="0"/>
            </w:tcBorders>
            <w:vAlign w:val="center"/>
          </w:tcPr>
          <w:p w14:paraId="40C8AB6F">
            <w:pPr>
              <w:jc w:val="center"/>
              <w:rPr>
                <w:b/>
                <w:bCs/>
                <w:color w:val="auto"/>
              </w:rPr>
            </w:pPr>
            <w:r>
              <w:rPr>
                <w:rFonts w:hint="eastAsia" w:eastAsia="宋体" w:cs="Times New Roman"/>
                <w:color w:val="auto"/>
                <w:lang w:eastAsia="zh-CN"/>
              </w:rPr>
              <w:t>喀什市公安局7个派出所信息化设备采购项目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6E50D91F">
            <w:pPr>
              <w:jc w:val="center"/>
              <w:rPr>
                <w:rFonts w:hint="eastAsia" w:ascii="宋体" w:hAnsi="宋体" w:eastAsia="宋体"/>
                <w:bCs/>
                <w:color w:val="auto"/>
                <w:lang w:eastAsia="zh-CN"/>
              </w:rPr>
            </w:pPr>
            <w:r>
              <w:rPr>
                <w:rFonts w:hint="eastAsia" w:ascii="宋体" w:hAnsi="宋体" w:eastAsia="宋体" w:cs="宋体"/>
                <w:bCs/>
                <w:sz w:val="24"/>
                <w:szCs w:val="24"/>
                <w:highlight w:val="none"/>
                <w:lang w:eastAsia="zh-CN"/>
              </w:rPr>
              <w:t>3850000.00（</w:t>
            </w:r>
            <w:r>
              <w:rPr>
                <w:rFonts w:hint="eastAsia" w:ascii="宋体" w:hAnsi="宋体" w:eastAsia="宋体" w:cs="宋体"/>
                <w:bCs/>
                <w:sz w:val="24"/>
                <w:szCs w:val="24"/>
                <w:highlight w:val="none"/>
                <w:lang w:val="en-US" w:eastAsia="zh-CN"/>
              </w:rPr>
              <w:t>叁佰捌拾伍万元整</w:t>
            </w:r>
            <w:r>
              <w:rPr>
                <w:rFonts w:hint="eastAsia" w:ascii="宋体" w:hAnsi="宋体" w:eastAsia="宋体" w:cs="宋体"/>
                <w:bCs/>
                <w:sz w:val="24"/>
                <w:szCs w:val="24"/>
                <w:highlight w:val="none"/>
                <w:lang w:eastAsia="zh-CN"/>
              </w:rPr>
              <w:t>）</w:t>
            </w:r>
          </w:p>
        </w:tc>
        <w:tc>
          <w:tcPr>
            <w:tcW w:w="2622" w:type="dxa"/>
            <w:tcBorders>
              <w:top w:val="single" w:color="000000" w:sz="4" w:space="0"/>
              <w:left w:val="single" w:color="000000" w:sz="4" w:space="0"/>
              <w:bottom w:val="single" w:color="000000" w:sz="4" w:space="0"/>
              <w:right w:val="single" w:color="000000" w:sz="4" w:space="0"/>
            </w:tcBorders>
            <w:vAlign w:val="center"/>
          </w:tcPr>
          <w:p w14:paraId="3B1C5C99">
            <w:pPr>
              <w:jc w:val="center"/>
              <w:rPr>
                <w:rFonts w:hint="default" w:ascii="宋体" w:hAnsi="宋体" w:eastAsia="宋体"/>
                <w:bCs/>
                <w:color w:val="auto"/>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工</w:t>
            </w:r>
            <w:r>
              <w:rPr>
                <w:rFonts w:hint="eastAsia" w:ascii="宋体" w:hAnsi="宋体" w:eastAsia="宋体" w:cs="宋体"/>
                <w:i w:val="0"/>
                <w:iCs w:val="0"/>
                <w:caps w:val="0"/>
                <w:color w:val="auto"/>
                <w:spacing w:val="0"/>
                <w:sz w:val="24"/>
                <w:szCs w:val="24"/>
                <w:highlight w:val="none"/>
                <w:shd w:val="clear" w:color="auto" w:fill="FFFFFF"/>
                <w:lang w:eastAsia="zh-CN"/>
              </w:rPr>
              <w:t>业</w:t>
            </w:r>
          </w:p>
        </w:tc>
      </w:tr>
    </w:tbl>
    <w:p w14:paraId="7BCD0F40">
      <w:pPr>
        <w:rPr>
          <w:rFonts w:hint="eastAsia" w:ascii="Arial" w:hAnsi="Arial" w:eastAsia="宋体"/>
          <w:b/>
          <w:sz w:val="32"/>
          <w:szCs w:val="32"/>
        </w:rPr>
      </w:pPr>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cs="Times New Roman"/>
          <w:b/>
          <w:color w:val="FF0000"/>
          <w:highlight w:val="green"/>
          <w:lang w:eastAsia="zh-CN"/>
        </w:rPr>
        <w:t>3850000.00（</w:t>
      </w:r>
      <w:r>
        <w:rPr>
          <w:rFonts w:hint="eastAsia" w:ascii="Arial" w:hAnsi="Arial" w:eastAsia="宋体" w:cs="Times New Roman"/>
          <w:b/>
          <w:color w:val="FF0000"/>
          <w:highlight w:val="green"/>
          <w:lang w:val="en-US" w:eastAsia="zh-CN"/>
        </w:rPr>
        <w:t>叁佰捌拾伍万元整</w:t>
      </w:r>
      <w:r>
        <w:rPr>
          <w:rFonts w:hint="eastAsia" w:ascii="Arial" w:hAnsi="Arial" w:eastAsia="宋体" w:cs="Times New Roman"/>
          <w:b/>
          <w:color w:val="FF0000"/>
          <w:highlight w:val="green"/>
          <w:lang w:eastAsia="zh-CN"/>
        </w:rPr>
        <w:t>）</w:t>
      </w:r>
      <w:r>
        <w:rPr>
          <w:rFonts w:hint="eastAsia" w:ascii="Arial" w:hAnsi="Arial" w:eastAsia="宋体" w:cs="Times New Roman"/>
          <w:b/>
          <w:color w:val="FF0000"/>
          <w:highlight w:val="green"/>
        </w:rPr>
        <w:t>，</w:t>
      </w:r>
      <w:r>
        <w:rPr>
          <w:rFonts w:hint="eastAsia" w:ascii="Arial" w:hAnsi="Arial" w:eastAsia="宋体"/>
          <w:b/>
          <w:color w:val="FF0000"/>
        </w:rPr>
        <w:t>投标报价超出控制金额将作投标无效处理。</w:t>
      </w:r>
    </w:p>
    <w:p w14:paraId="0BA04E97">
      <w:pPr>
        <w:pStyle w:val="30"/>
        <w:rPr>
          <w:rFonts w:hint="eastAsia" w:ascii="Arial" w:hAnsi="Arial" w:eastAsia="宋体"/>
          <w:b/>
          <w:sz w:val="32"/>
          <w:szCs w:val="32"/>
        </w:rPr>
      </w:pPr>
    </w:p>
    <w:p w14:paraId="166284FE">
      <w:pPr>
        <w:rPr>
          <w:rFonts w:hint="default" w:eastAsia="宋体"/>
          <w:color w:val="FF0000"/>
          <w:sz w:val="32"/>
          <w:szCs w:val="32"/>
          <w:lang w:val="en-US" w:eastAsia="zh-CN"/>
        </w:rPr>
      </w:pPr>
    </w:p>
    <w:p w14:paraId="0194FA47">
      <w:pPr>
        <w:rPr>
          <w:rFonts w:hint="default" w:eastAsia="宋体"/>
          <w:color w:val="FF0000"/>
          <w:sz w:val="32"/>
          <w:szCs w:val="32"/>
          <w:lang w:val="en-US" w:eastAsia="zh-CN"/>
        </w:rPr>
      </w:pPr>
      <w:r>
        <w:rPr>
          <w:rFonts w:hint="default" w:eastAsia="宋体"/>
          <w:color w:val="FF0000"/>
          <w:sz w:val="32"/>
          <w:szCs w:val="32"/>
          <w:lang w:val="en-US" w:eastAsia="zh-CN"/>
        </w:rPr>
        <w:t xml:space="preserve">★所有设备单价不得超过《新疆维吾尔自治区本级行政事业单位通用办公设备家具配置标准 新管发〔2023〕61号单价标准，否则废标。 </w:t>
      </w:r>
    </w:p>
    <w:p w14:paraId="09E60AD2">
      <w:pPr>
        <w:rPr>
          <w:rFonts w:hint="default" w:eastAsia="宋体"/>
          <w:color w:val="FF0000"/>
          <w:sz w:val="32"/>
          <w:szCs w:val="32"/>
          <w:lang w:val="en-US" w:eastAsia="zh-CN"/>
        </w:rPr>
      </w:pPr>
    </w:p>
    <w:p w14:paraId="6DEE22AC">
      <w:pPr>
        <w:pStyle w:val="30"/>
        <w:rPr>
          <w:rFonts w:hint="eastAsia" w:ascii="Arial" w:hAnsi="Arial" w:eastAsia="宋体"/>
          <w:b/>
          <w:sz w:val="32"/>
          <w:szCs w:val="32"/>
        </w:rPr>
      </w:pPr>
      <w:r>
        <w:rPr>
          <w:rFonts w:hint="eastAsia" w:ascii="Arial" w:hAnsi="Arial" w:eastAsia="宋体"/>
          <w:b/>
          <w:sz w:val="32"/>
          <w:szCs w:val="32"/>
        </w:rPr>
        <w:t>节能环保有关政策严格执行《财政部发展改革委生态环境部市场监管总局关于调整优化节能产品、环境标志产品政府采购执行机制的通知》（财库(2019)9号）、《关于印发节能产品政府采购品目清单的通知》（财库（2019)19 号＞、《关于印发环境标志产品政府采购品目清单的通知》（财库（2019〕18号）的有关要求。</w:t>
      </w:r>
    </w:p>
    <w:p w14:paraId="7FEB1691">
      <w:pPr>
        <w:pStyle w:val="30"/>
        <w:rPr>
          <w:rFonts w:hint="eastAsia" w:ascii="Arial" w:hAnsi="Arial" w:eastAsia="宋体"/>
          <w:b/>
          <w:sz w:val="32"/>
          <w:szCs w:val="32"/>
          <w:highlight w:val="none"/>
        </w:rPr>
      </w:pPr>
      <w:r>
        <w:rPr>
          <w:rFonts w:hint="eastAsia" w:ascii="Arial" w:hAnsi="Arial" w:eastAsia="宋体"/>
          <w:b/>
          <w:sz w:val="32"/>
          <w:szCs w:val="32"/>
        </w:rPr>
        <w:t>★严格执行《中华人民共和国产品质量法》《强制性产品认证管规定》《强制性产品认证目录》</w:t>
      </w:r>
      <w:r>
        <w:rPr>
          <w:rFonts w:hint="eastAsia" w:ascii="Arial" w:hAnsi="Arial" w:eastAsia="宋体"/>
          <w:b/>
          <w:sz w:val="32"/>
          <w:szCs w:val="32"/>
          <w:highlight w:val="none"/>
          <w:lang w:eastAsia="zh-CN"/>
        </w:rPr>
        <w:t>适配安全可靠测评电脑</w:t>
      </w:r>
      <w:r>
        <w:rPr>
          <w:rFonts w:hint="eastAsia" w:ascii="Arial" w:hAnsi="Arial" w:eastAsia="宋体"/>
          <w:b/>
          <w:sz w:val="32"/>
          <w:szCs w:val="32"/>
          <w:highlight w:val="none"/>
        </w:rPr>
        <w:t>等相关法规制度及有关要求。</w:t>
      </w:r>
    </w:p>
    <w:p w14:paraId="750B695E">
      <w:pPr>
        <w:pStyle w:val="30"/>
        <w:ind w:firstLine="640" w:firstLineChars="200"/>
        <w:rPr>
          <w:rFonts w:hint="eastAsia" w:ascii="Times New Roman" w:hAnsi="Times New Roman" w:eastAsia="宋体" w:cs="Times New Roman"/>
          <w:color w:val="FF0000"/>
          <w:kern w:val="0"/>
          <w:sz w:val="24"/>
          <w:szCs w:val="24"/>
          <w:lang w:val="en-US"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提供依据国家确定的认证机构出具的、处于有效期之内的节能产品认证证书，否则响应无效；</w:t>
      </w:r>
    </w:p>
    <w:p w14:paraId="56DCFDF4">
      <w:pPr>
        <w:pStyle w:val="30"/>
        <w:ind w:firstLine="640" w:firstLineChars="200"/>
        <w:rPr>
          <w:rFonts w:hint="eastAsia" w:ascii="Times New Roman" w:hAnsi="Times New Roman" w:eastAsia="宋体" w:cs="Times New Roman"/>
          <w:color w:val="FF0000"/>
          <w:kern w:val="0"/>
          <w:sz w:val="24"/>
          <w:szCs w:val="24"/>
          <w:lang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w:t>
      </w:r>
      <w:r>
        <w:rPr>
          <w:rFonts w:hint="eastAsia" w:ascii="Times New Roman" w:hAnsi="Times New Roman" w:eastAsia="宋体" w:cs="Times New Roman"/>
          <w:color w:val="FF0000"/>
          <w:kern w:val="0"/>
          <w:sz w:val="24"/>
          <w:szCs w:val="24"/>
          <w:lang w:val="en-US" w:eastAsia="zh-CN"/>
        </w:rPr>
        <w:t>强制性</w:t>
      </w:r>
      <w:r>
        <w:rPr>
          <w:rFonts w:hint="eastAsia" w:ascii="Times New Roman" w:hAnsi="Times New Roman" w:eastAsia="宋体" w:cs="Times New Roman"/>
          <w:color w:val="FF0000"/>
          <w:kern w:val="0"/>
          <w:sz w:val="24"/>
          <w:szCs w:val="24"/>
          <w:lang w:eastAsia="zh-CN"/>
        </w:rPr>
        <w:t>产品认证证书，否则响应无效；</w:t>
      </w:r>
    </w:p>
    <w:p w14:paraId="7DD45D09">
      <w:pPr>
        <w:rPr>
          <w:rFonts w:hint="default" w:eastAsia="宋体"/>
          <w:color w:val="FF0000"/>
          <w:sz w:val="32"/>
          <w:szCs w:val="32"/>
          <w:lang w:val="en-US" w:eastAsia="zh-CN"/>
        </w:rPr>
      </w:pPr>
    </w:p>
    <w:p w14:paraId="1EA30A0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rFonts w:ascii="宋体" w:hAnsi="宋体" w:eastAsia="宋体" w:cs="宋体"/>
          <w:b/>
          <w:bCs/>
          <w:color w:val="C00000"/>
          <w:kern w:val="0"/>
          <w:sz w:val="30"/>
          <w:szCs w:val="30"/>
          <w:lang w:val="en-US" w:eastAsia="zh-CN" w:bidi="ar"/>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ascii="宋体" w:hAnsi="宋体" w:eastAsia="宋体" w:cs="宋体"/>
          <w:b/>
          <w:bCs/>
          <w:color w:val="C00000"/>
          <w:kern w:val="0"/>
          <w:sz w:val="30"/>
          <w:szCs w:val="30"/>
          <w:lang w:val="en-US" w:eastAsia="zh-CN" w:bidi="ar"/>
        </w:rPr>
        <w:t>关于推动解决政府采购异常低价问题的通知</w:t>
      </w:r>
      <w:r>
        <w:rPr>
          <w:rFonts w:hint="eastAsia" w:ascii="Arial" w:hAnsi="Arial" w:eastAsia="宋体"/>
          <w:b/>
          <w:color w:val="C00000"/>
          <w:sz w:val="32"/>
          <w:szCs w:val="32"/>
          <w:lang w:eastAsia="zh-CN"/>
        </w:rPr>
        <w:t>》</w:t>
      </w:r>
    </w:p>
    <w:p w14:paraId="3A90AC7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color w:val="C00000"/>
        </w:rPr>
      </w:pPr>
      <w:r>
        <w:rPr>
          <w:rFonts w:ascii="宋体" w:hAnsi="宋体" w:eastAsia="宋体" w:cs="宋体"/>
          <w:color w:val="C00000"/>
          <w:kern w:val="0"/>
          <w:sz w:val="25"/>
          <w:szCs w:val="25"/>
          <w:lang w:val="en-US" w:eastAsia="zh-CN" w:bidi="ar"/>
        </w:rPr>
        <w:t>财库〔2026〕2号</w:t>
      </w:r>
      <w:r>
        <w:rPr>
          <w:rFonts w:hint="eastAsia" w:ascii="宋体" w:hAnsi="宋体" w:eastAsia="宋体" w:cs="宋体"/>
          <w:color w:val="C00000"/>
          <w:kern w:val="0"/>
          <w:sz w:val="25"/>
          <w:szCs w:val="25"/>
          <w:lang w:val="en-US" w:eastAsia="zh-CN" w:bidi="ar"/>
        </w:rPr>
        <w:t>相关规定</w:t>
      </w:r>
    </w:p>
    <w:p w14:paraId="445DCCBD">
      <w:pPr>
        <w:keepNext w:val="0"/>
        <w:keepLines w:val="0"/>
        <w:widowControl/>
        <w:numPr>
          <w:ilvl w:val="0"/>
          <w:numId w:val="7"/>
        </w:numPr>
        <w:suppressLineNumbers w:val="0"/>
        <w:ind w:leftChars="0"/>
        <w:jc w:val="left"/>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 相关法律法规对供应商报价有规定的，从其规定。 </w:t>
      </w:r>
    </w:p>
    <w:p w14:paraId="22F9185E">
      <w:pPr>
        <w:keepNext w:val="0"/>
        <w:keepLines w:val="0"/>
        <w:widowControl/>
        <w:numPr>
          <w:ilvl w:val="0"/>
          <w:numId w:val="7"/>
        </w:numPr>
        <w:suppressLineNumbers w:val="0"/>
        <w:ind w:left="0" w:leftChars="0" w:firstLine="0" w:firstLineChars="0"/>
        <w:jc w:val="left"/>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w:t>
      </w:r>
    </w:p>
    <w:p w14:paraId="26C144BD">
      <w:pPr>
        <w:keepNext w:val="0"/>
        <w:keepLines w:val="0"/>
        <w:widowControl/>
        <w:numPr>
          <w:ilvl w:val="0"/>
          <w:numId w:val="0"/>
        </w:numPr>
        <w:suppressLineNumbers w:val="0"/>
        <w:ind w:leftChars="0"/>
        <w:jc w:val="left"/>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2C7CA897">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 </w:t>
      </w:r>
    </w:p>
    <w:p w14:paraId="5B49A19E">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hint="eastAsia" w:ascii="Arial" w:hAnsi="Arial" w:eastAsia="宋体"/>
          <w:b/>
          <w:sz w:val="32"/>
          <w:szCs w:val="32"/>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国务院办公厅关于在政府采购中实施本国产品标准及相关政策的通知</w:t>
      </w:r>
      <w:r>
        <w:rPr>
          <w:rFonts w:hint="eastAsia" w:ascii="Arial" w:hAnsi="Arial" w:eastAsia="宋体"/>
          <w:b/>
          <w:color w:val="C00000"/>
          <w:sz w:val="32"/>
          <w:szCs w:val="32"/>
          <w:lang w:eastAsia="zh-CN"/>
        </w:rPr>
        <w:t>》</w:t>
      </w:r>
      <w:r>
        <w:rPr>
          <w:rFonts w:hint="eastAsia" w:ascii="微软雅黑" w:hAnsi="微软雅黑" w:eastAsia="微软雅黑" w:cs="微软雅黑"/>
          <w:i w:val="0"/>
          <w:iCs w:val="0"/>
          <w:caps w:val="0"/>
          <w:color w:val="232323"/>
          <w:spacing w:val="0"/>
          <w:kern w:val="0"/>
          <w:sz w:val="21"/>
          <w:szCs w:val="21"/>
          <w:lang w:val="en-US" w:eastAsia="zh-CN" w:bidi="ar"/>
        </w:rPr>
        <w:t>国办发〔2025〕34号</w:t>
      </w:r>
    </w:p>
    <w:p w14:paraId="50B7A6F0">
      <w:pPr>
        <w:keepNext/>
        <w:keepLines/>
        <w:pBdr>
          <w:top w:val="none" w:color="auto" w:sz="0" w:space="0"/>
          <w:left w:val="none" w:color="auto" w:sz="0" w:space="0"/>
          <w:bottom w:val="none" w:color="auto" w:sz="0" w:space="0"/>
          <w:right w:val="none" w:color="auto" w:sz="0" w:space="0"/>
          <w:between w:val="none" w:color="auto" w:sz="0" w:space="0"/>
        </w:pBdr>
        <w:tabs>
          <w:tab w:val="left" w:pos="1680"/>
        </w:tabs>
        <w:spacing w:before="260" w:after="60" w:afterLines="25"/>
        <w:jc w:val="both"/>
        <w:outlineLvl w:val="2"/>
        <w:rPr>
          <w:rFonts w:hint="eastAsia" w:ascii="Arial" w:hAnsi="Arial" w:eastAsia="宋体"/>
          <w:b/>
          <w:sz w:val="32"/>
          <w:szCs w:val="32"/>
        </w:rPr>
      </w:pPr>
      <w:r>
        <w:rPr>
          <w:rFonts w:hint="default" w:eastAsia="宋体"/>
          <w:color w:val="FF0000"/>
          <w:sz w:val="32"/>
          <w:szCs w:val="32"/>
          <w:lang w:val="en-US"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 xml:space="preserve">关于贯彻落实《国务院办公厅关于在政府采购中实施本国产品标准及相关政策的通知》的意见 </w:t>
      </w:r>
      <w:r>
        <w:rPr>
          <w:rFonts w:hint="eastAsia" w:ascii="微软雅黑" w:hAnsi="微软雅黑" w:eastAsia="微软雅黑" w:cs="微软雅黑"/>
          <w:i w:val="0"/>
          <w:iCs w:val="0"/>
          <w:caps w:val="0"/>
          <w:color w:val="232323"/>
          <w:spacing w:val="0"/>
          <w:kern w:val="0"/>
          <w:sz w:val="21"/>
          <w:szCs w:val="21"/>
          <w:lang w:val="en-US" w:eastAsia="zh-CN" w:bidi="ar"/>
        </w:rPr>
        <w:t>财库〔2025〕30号</w:t>
      </w:r>
    </w:p>
    <w:p w14:paraId="724AED89">
      <w:pPr>
        <w:rPr>
          <w:rFonts w:hint="default" w:eastAsia="宋体"/>
          <w:color w:val="FF0000"/>
          <w:sz w:val="32"/>
          <w:szCs w:val="32"/>
          <w:lang w:val="en-US" w:eastAsia="zh-CN"/>
        </w:rPr>
        <w:sectPr>
          <w:footerReference r:id="rId7" w:type="default"/>
          <w:pgSz w:w="11906" w:h="16838"/>
          <w:pgMar w:top="1440" w:right="1797" w:bottom="1440" w:left="1797" w:header="851" w:footer="992" w:gutter="0"/>
          <w:pgNumType w:fmt="decimal" w:start="1"/>
          <w:cols w:space="720" w:num="1"/>
          <w:docGrid w:type="linesAndChars" w:linePitch="312" w:charSpace="0"/>
        </w:sectPr>
      </w:pPr>
    </w:p>
    <w:p w14:paraId="560B20A3">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二、货物需求明细</w:t>
      </w:r>
    </w:p>
    <w:p w14:paraId="737EFCBC">
      <w:pPr>
        <w:rPr>
          <w:rFonts w:hint="default" w:ascii="宋体" w:hAnsi="宋体" w:eastAsia="宋体" w:cs="宋体"/>
          <w:b/>
          <w:bCs w:val="0"/>
          <w:color w:val="FF0000"/>
          <w:sz w:val="28"/>
          <w:szCs w:val="28"/>
          <w:highlight w:val="red"/>
          <w:lang w:val="en-US" w:eastAsia="zh-CN"/>
        </w:rPr>
      </w:pPr>
      <w:r>
        <w:rPr>
          <w:rFonts w:hint="eastAsia" w:ascii="宋体" w:hAnsi="宋体" w:eastAsia="宋体" w:cs="宋体"/>
          <w:b/>
          <w:bCs w:val="0"/>
          <w:color w:val="FF0000"/>
          <w:sz w:val="28"/>
          <w:szCs w:val="28"/>
        </w:rPr>
        <w:t>本项目核心产品为：</w:t>
      </w:r>
      <w:r>
        <w:rPr>
          <w:rFonts w:hint="eastAsia" w:ascii="宋体" w:hAnsi="宋体" w:eastAsia="宋体" w:cs="宋体"/>
          <w:b/>
          <w:bCs w:val="0"/>
          <w:i w:val="0"/>
          <w:iCs w:val="0"/>
          <w:color w:val="FF0000"/>
          <w:kern w:val="0"/>
          <w:sz w:val="28"/>
          <w:szCs w:val="28"/>
          <w:u w:val="none"/>
          <w:lang w:val="en-US" w:eastAsia="zh-CN" w:bidi="ar"/>
        </w:rPr>
        <w:t>数字音频媒体矩阵、室内半球摄像机</w:t>
      </w:r>
    </w:p>
    <w:p w14:paraId="59669931">
      <w:pPr>
        <w:rPr>
          <w:rFonts w:hint="eastAsia" w:eastAsia="宋体"/>
          <w:b/>
          <w:bCs/>
          <w:sz w:val="28"/>
          <w:szCs w:val="28"/>
          <w:lang w:eastAsia="zh-CN"/>
        </w:rPr>
      </w:pPr>
      <w:r>
        <w:rPr>
          <w:rFonts w:hint="eastAsia" w:eastAsia="宋体"/>
          <w:b/>
          <w:bCs/>
          <w:sz w:val="28"/>
          <w:szCs w:val="28"/>
          <w:lang w:eastAsia="zh-CN"/>
        </w:rPr>
        <w:t>货物需求明细：</w:t>
      </w:r>
    </w:p>
    <w:tbl>
      <w:tblPr>
        <w:tblStyle w:val="22"/>
        <w:tblW w:w="137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9"/>
        <w:gridCol w:w="1481"/>
        <w:gridCol w:w="1035"/>
        <w:gridCol w:w="960"/>
        <w:gridCol w:w="9570"/>
      </w:tblGrid>
      <w:tr w14:paraId="3714E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E58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序号</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790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产品名称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2DE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31D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单位</w:t>
            </w:r>
          </w:p>
        </w:tc>
        <w:tc>
          <w:tcPr>
            <w:tcW w:w="9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E3D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参数</w:t>
            </w:r>
          </w:p>
        </w:tc>
      </w:tr>
      <w:tr w14:paraId="36EDB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CA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8A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F7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97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架</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4825">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服务器机柜；42U机柜框架采用包边型材，前后门板、侧板材料为1.5mm冷轧薄钢板，静载荷承重≥1000Kg；配8块托板（≥100kg）、6块盲板、2块侧板；前后网孔门，通风面积不少于柜门面积的65%；侧门为脱卸式结构无网孔，顶板带风扇孔，无底板。</w:t>
            </w:r>
          </w:p>
        </w:tc>
      </w:tr>
      <w:tr w14:paraId="2C8CD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6F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15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12U壁挂机柜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AD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7C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0576">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壁挂式机柜；机柜框架采用优质冷轧钢板0.8mm，（单块钢板一次滚轧成型），前后门板、侧板材料为1.0mm冷轧薄钢板，网格门,带物理锁。</w:t>
            </w:r>
          </w:p>
        </w:tc>
      </w:tr>
      <w:tr w14:paraId="53917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F9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AE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信息口配线架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85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9C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FCCD">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配线架24口；1U机架式六类千兆CAT6类非屏蔽网线网络跳线架</w:t>
            </w:r>
          </w:p>
        </w:tc>
      </w:tr>
      <w:tr w14:paraId="57464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1C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4B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理线器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F9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45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0702">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1U理线器</w:t>
            </w:r>
          </w:p>
        </w:tc>
      </w:tr>
      <w:tr w14:paraId="3E045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CD0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92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UPS（20KVA）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3D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F2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top"/>
          </w:tcPr>
          <w:p w14:paraId="7A1CE0B8">
            <w:pPr>
              <w:keepNext w:val="0"/>
              <w:keepLines w:val="0"/>
              <w:widowControl/>
              <w:suppressLineNumbers w:val="0"/>
              <w:jc w:val="left"/>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20KVA</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1、电池电压（Vdc）：72</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2、电压范围(Vac)：120～295</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3、频率范围(Hz)：50/60±10% (自适应)</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4、输入制式：L+N+PE</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5、输入功率因数：＞0.99(线性满载)</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6、输入电流谐波：＜5%(线性满载)</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额定功率(VA/W)：20000/16000；8、输出功率因数：0.8（0.9可长期带载）；9、输出电压(Vac)：208/220/230/240±1%；10、输出频率(Hz)：市电模式：与电网同步；电池模式：50/60±0.2%；11、波形(THDv)：＜2%(线性负载)，＜5%(非线性负载)；12、切换时间(ms)：0；13、过载能力：115%-130% 过载：1min；130%-150% 过载：1s；150% 以上过载：200ms ；14、输出方式：国标插座 2 个；15、保护功能：电池欠压保护、过载保护、短路保护、过温保护、输入过压保护。</w:t>
            </w:r>
          </w:p>
        </w:tc>
      </w:tr>
      <w:tr w14:paraId="303E2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22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B44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蓄电池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60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A6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节</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EAE8">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1.额定电压：12V</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2.额定容量：150Ah</w:t>
            </w:r>
          </w:p>
        </w:tc>
      </w:tr>
      <w:tr w14:paraId="3BE28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4D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05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电池柜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F9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0E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3EA2">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可</w:t>
            </w:r>
            <w:r>
              <w:rPr>
                <w:rFonts w:hint="eastAsia" w:ascii="宋体" w:hAnsi="宋体" w:eastAsia="宋体" w:cs="宋体"/>
                <w:i w:val="0"/>
                <w:iCs w:val="0"/>
                <w:color w:val="000000" w:themeColor="text1"/>
                <w:kern w:val="0"/>
                <w:sz w:val="22"/>
                <w:szCs w:val="22"/>
                <w:highlight w:val="yellow"/>
                <w:u w:val="none"/>
                <w:lang w:val="en-US" w:eastAsia="zh-CN" w:bidi="ar"/>
                <w14:textFill>
                  <w14:solidFill>
                    <w14:schemeClr w14:val="tx1"/>
                  </w14:solidFill>
                </w14:textFill>
              </w:rPr>
              <w:t>放置16节12V150AH蓄电池，含电池之间连接线缆</w:t>
            </w:r>
            <w:bookmarkStart w:id="68" w:name="_GoBack"/>
            <w:bookmarkEnd w:id="68"/>
          </w:p>
        </w:tc>
      </w:tr>
      <w:tr w14:paraId="12CE6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FA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F0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主输入电缆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DC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690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26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8208">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铜芯电缆电力电缆 YJV4*16+1*10平方</w:t>
            </w:r>
          </w:p>
        </w:tc>
      </w:tr>
      <w:tr w14:paraId="0A2D5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E7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13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机房空调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8E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45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1E65">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1.5P 壁挂式三级特效变频</w:t>
            </w:r>
          </w:p>
        </w:tc>
      </w:tr>
      <w:tr w14:paraId="09764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8D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61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空调用铜管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5E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62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E032">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TP2纯紫铜管，需要阻燃、防水、加厚，需求型号:1匹、2匹、3匹</w:t>
            </w:r>
          </w:p>
        </w:tc>
      </w:tr>
      <w:tr w14:paraId="70766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D9D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AB3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灭火器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2B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E0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F842">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七氟丙烷灭火器5公斤</w:t>
            </w:r>
          </w:p>
        </w:tc>
      </w:tr>
      <w:tr w14:paraId="1681B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BD5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24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机房防静电地胶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1E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928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平方</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547E">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配电室/ups室绝缘胶垫 3mm 6KV</w:t>
            </w:r>
          </w:p>
        </w:tc>
      </w:tr>
      <w:tr w14:paraId="42BBE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D9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32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信息化设备配电箱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9F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60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9728">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定制，1个市电主控开，1个UPS电源主空开，3个空调3相电空开，8个32C/2P空开</w:t>
            </w:r>
          </w:p>
        </w:tc>
      </w:tr>
      <w:tr w14:paraId="30CA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6B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AC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8口千兆交换机（接入）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6B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92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7657">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1、交换容量672Gbps，包转发率102Mpps，以官网最小值为准；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 个千兆电口，4个千兆 SFP，风冷散热，智能调速；</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 支持 MAC 地址32K，支持4K个VLAN，支持Voice VLAN，基于端口的VLAN，基于MAC的VLAN，基于协议的VLAN支持Smart link；</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4、支持 RIP、RIPng、OSPF、OSPFv3 路由协议；</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5、千兆单模光模块2个；</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6、▲CPU为国产自研芯片(通过安全可靠测评)；</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7、▲投标人须提供制造商售后支持证明文件。</w:t>
            </w:r>
          </w:p>
        </w:tc>
      </w:tr>
      <w:tr w14:paraId="546E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F4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31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16口三层千兆交换机（接入）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D3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C46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AE26">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1、交换容量672Gbps，包转发率114Mpps；</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2、整机实配：16个千兆电口，4个千兆SFP；</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3、支持二层和RIP、RIPng、OSPF、OSPFv3等三层特性，支持完善的以太 OAM（IEEE 802.3ah/802.1ag），用于快速检测链路故障；</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4、支持SNMP v1/v2c/v3、CLI（命令行）、Web 网管、SSHv2.0 等多样化的管理和维护方式；</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5、实配：千兆单模光模块2个；</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6、▲CPU为国产自研芯片(通过安全可靠测评)，硬件3年质保；</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7、▲投标人须提供制造商售后支持证明文件。</w:t>
            </w:r>
          </w:p>
        </w:tc>
      </w:tr>
      <w:tr w14:paraId="1C7D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D1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68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48口三层千兆交换机（汇聚核心）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43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04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5F61">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1、交换容量672Gbps，包转发率166Mpps，以官网最小值为准；</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2、整机实配：千兆电口48个，千兆SFP4个；</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3、支持二层和RIP、RIPng、OSPF、OSPFv3等三层特性，支持完善的以太 OAM（IEEE 802.3ah/802.1ag），用于快速检测链路故障；</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4、支持SNMP v1/v2c/v3、CLI（命令行）、Web 网管、SSHv2.0 等多样化的管理和维护方式；</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5、实配：千兆单模光模块4个；</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6、▲CPU为国产自研芯片(通过安全可靠测评），硬件3年质保；</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7、▲投标人须提供制造商售后支持证明文件。</w:t>
            </w:r>
          </w:p>
        </w:tc>
      </w:tr>
      <w:tr w14:paraId="195E5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0CE8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4C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六类信息面板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CF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93D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DAA0">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六类双口信息面板，含模块和底盒</w:t>
            </w:r>
          </w:p>
        </w:tc>
      </w:tr>
      <w:tr w14:paraId="0DC8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FD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44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6类非屏蔽网线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818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3E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658D">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国标六类非屏蔽网线、305米一箱。无氧铜；灰色</w:t>
            </w:r>
          </w:p>
        </w:tc>
      </w:tr>
      <w:tr w14:paraId="49F9A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FF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F2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C8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7400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3DB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3BB4">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国标RVV2×1.5mm²，多股铜芯，终验合格之日起5年质保。</w:t>
            </w:r>
          </w:p>
        </w:tc>
      </w:tr>
      <w:tr w14:paraId="3DE96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54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61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2C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6080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F1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2B56">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国标RVV2×2.5mm²，多股铜芯，终验合格之日起5年质保。</w:t>
            </w:r>
          </w:p>
        </w:tc>
      </w:tr>
      <w:tr w14:paraId="1544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0C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87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47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0B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15E0">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国标RVV2×4mm²，多股铜芯，终验合格之日起5年质保。</w:t>
            </w:r>
          </w:p>
        </w:tc>
      </w:tr>
      <w:tr w14:paraId="06566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D4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E6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2A7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D3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CEEC">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国标RVV3×4.0mm²，多股铜芯，终验合格之日起5年质保。</w:t>
            </w:r>
          </w:p>
        </w:tc>
      </w:tr>
      <w:tr w14:paraId="1C4B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E5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7F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8芯光缆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95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3700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27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9AB0">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1、8芯室外单模光纤</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2、支持传统单模设备和应用；最大程度地支持成本最低的 CWDM 技术。</w:t>
            </w:r>
          </w:p>
        </w:tc>
      </w:tr>
      <w:tr w14:paraId="543C2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F9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B0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ODF架子框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87F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D95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7F9C">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12芯ODF光纤配线架子框单元体满配FC单模 机架式光缆终端盒 </w:t>
            </w:r>
          </w:p>
        </w:tc>
      </w:tr>
      <w:tr w14:paraId="6E631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16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A35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终端盒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45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DD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D806">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8口8芯单模SC满配尾纤法兰盘 光缆熔接盒 光纤续接盘配线架</w:t>
            </w:r>
          </w:p>
        </w:tc>
      </w:tr>
      <w:tr w14:paraId="299A8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AE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B1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金属桥架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FDF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20A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59AF">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防火200×100×1.0（mm），含卡扣、直接连接加强条、转弯加强条、铝合金固线器等配套辅材</w:t>
            </w:r>
          </w:p>
        </w:tc>
      </w:tr>
      <w:tr w14:paraId="2F934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671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5AC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PVC管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60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02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DB08">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Φ25，壁厚1.0mm</w:t>
            </w:r>
          </w:p>
        </w:tc>
      </w:tr>
      <w:tr w14:paraId="2E074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C9C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3CA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室外防水设备箱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7A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F2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26F7">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300*400，含排插</w:t>
            </w:r>
          </w:p>
        </w:tc>
      </w:tr>
      <w:tr w14:paraId="63D19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6F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5C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LCD显示单元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59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AC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CD15">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  LCD显示单元为：55“超窄边液晶屏；单元物理拼缝≤3.5mm，物理分辨率达到1920×1080，对比度达到1000：1。</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 LCD显示单元响应时间≤8ms，显示色彩达到16.7M，亮度达到500cd/㎡，图像显示清晰度达到1000TVL。</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 LCD产品需提供CCC、CQC节能认证证书，CEC环境I型认证证书。</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4. 屏幕支持防灼烧功能，能够有效改善液晶长时间显示静态画面时造成的残影现象。（需提供第三方相关检测报告证明）</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5. 内置智能系统，可快速读取显示屏信息，包括屏幕背光源、亮度、对比度、分辨率等基本信息。（需提供第三方相关检测报告证明）</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 支持通过客户端和软件控制屏幕，不需要遥控器的接入，实现遥控器的所有功能</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7.拼接屏具备智能温控功能，会提醒用户温度过高，请及时通风；当温度超过一定阈值时，屏幕会立即进入休眠状态；等温度降至一定温度值以下会被唤醒或者通过遥控器主动唤醒（需提供第三方相关检测报告证明）</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8. 设备支持不断电待机功能，当无任何信号输入时，设备在规定时间内自动待机节能，当有信号接入时，设备能快速开机，正常显示。待机功耗≤0.5W（需提供第三方相关检测报告证明）</w:t>
            </w:r>
          </w:p>
        </w:tc>
      </w:tr>
      <w:tr w14:paraId="1D836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A4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E33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大屏支架及底座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540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7F4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F0A3">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55英寸3*3模块化支架及底座</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产品配置：左右上封板；</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前开门/前封板，后留空； </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材质：优质冷轧钢板(SPCC)，材料厚度从T1.0-T5不等</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适用规模：不宜超过3行；不超过5行； </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可定制范围：颜色，离地高度，后封板/后开门，前封板/前开门，拉杆长度，LOGO，储物隔板</w:t>
            </w:r>
          </w:p>
        </w:tc>
      </w:tr>
      <w:tr w14:paraId="18C41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6A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6FE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集中式拼控器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EA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C80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ACC6">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进12出拼控一体机硬件结构2U标准机架式设计，一体机设计机箱具备1个及以上风扇，左右风道散热视频输入支持HDMI信号输入，支持复合音频输入图像采集及输出均支持RGB888，无损画质支持输入OSD叠加支持输入图像裁剪，能将输入图像黑边进行剪裁</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视频输出支持HDMI视频信号输出，支持复合音频输出；采用帧同步技术，保证所有输出口的图像完全同步，画面完整，播放流畅，无卡顿丢帧情况，无撕裂和拼缝现象电视墙功能；支持不少于12个显示屏的任意大屏拼接支持开窗和漫游功能支持3张底图显示，单墙1张，分辨率为1080P，支持多电视墙，支持不少于128个预设场景，主控板槽位数：≥1；业务板槽位数：≥6；</w:t>
            </w:r>
          </w:p>
        </w:tc>
      </w:tr>
      <w:tr w14:paraId="39130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00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27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矩阵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C8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DF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top"/>
          </w:tcPr>
          <w:p w14:paraId="73E7AE7B">
            <w:pPr>
              <w:keepNext w:val="0"/>
              <w:keepLines w:val="0"/>
              <w:widowControl/>
              <w:suppressLineNumbers w:val="0"/>
              <w:jc w:val="left"/>
              <w:textAlignment w:val="top"/>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▲每个屏幕可以自定义与其他屏幕不同的输出分辨率；输出接口同步拼接：采用帧同步技术，保证所有输出接口的输出图像完全同步，画面完整，播放流畅，无卡顿丢帧情况，无撕裂和拼缝现象。</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持单卡单接口配屏和跨卡多接口配屏。支持对显示单元的拼接缝进行边缘补偿。输入源台标管理：对输入源设置文字台标，方便输入源的识别。对输入源画面进行任意截取，形成一个新的输入源，不影响原输入源的使用。支持输入源HDCP自动解码和小数帧频。输入源分组：支持对输入源进行分组管理。</w:t>
            </w:r>
          </w:p>
        </w:tc>
      </w:tr>
      <w:tr w14:paraId="21272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4E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44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数字音频媒体矩阵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E9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862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55BA">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通道：≥4路平衡式话筒\线路输入；平衡式输出，采用裸线接口端子；带反馈抑制+回声消除+噪声消除；120db的 A/D与D/A转换；</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输入源：输入方式可切换平衡话筒或线路；通道拷贝、粘贴、联控功能；DSP音频处理；输入每通道：前级放大、信号发生器、扩展器、压缩器、5段参量均衡、自动增益、AM自动混音功能；                                                               </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输出每通道：音箱管理器（31段参量均衡器、延时器、分频器、高低通滤波器、限幅器）；回声消除、自适应反馈消除、噪音消除；</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多用途数据传输及控制端口，需要支持实时管理单台及多台设备；</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全功能矩阵混音功能；内置自动摄像跟踪功能；能够跟单位现有音频管理平台关联使用，</w:t>
            </w:r>
          </w:p>
        </w:tc>
      </w:tr>
      <w:tr w14:paraId="1BD6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C44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1A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话筒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6B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C8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6E12">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音频线连接，总谐波失真：&lt;1%；频率响应：50 Hz~13 kHz；灵敏度：-26 Db ± 3 dB。</w:t>
            </w:r>
          </w:p>
        </w:tc>
      </w:tr>
      <w:tr w14:paraId="30641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0E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2F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功率放大器（功放）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E9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52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5795">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分离度：≥70dB</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保护方式：过流保护、直流保护、短路保护</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阻尼系数：≥200@ 8 ohms</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总谐波失真：≤ 0.1 %（1 kHz@10 % PO）</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信噪比：≥ 96 dB</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频率响应：20 Hz~20 kHz（± 1 dB）</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输出功率：立体声：2 × 100 W/8 Ω；2 × 150 W/4 Ω；桥接：1 × 300W/8 Ω</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输入灵敏度：1.4 V/1 V/0.775 V（± 10 %）</w:t>
            </w:r>
          </w:p>
        </w:tc>
      </w:tr>
      <w:tr w14:paraId="6CEC1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3C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FE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音箱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C7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0E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D708">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高音扬声器：HF:1 × 1.35"</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覆盖角度：≥60°× 40°（H×V）</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灵敏度：≥91 dB</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中低音扬声器：≥LF:1 × 6.5"</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连续声压级：≤110 dB</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最大声压级：≥116 dB</w:t>
            </w:r>
          </w:p>
        </w:tc>
      </w:tr>
      <w:tr w14:paraId="4454E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CD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C7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大屏封堵墙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AC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18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堵</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D375">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大屏包边及根据现场情况定制吸音板封堵墙和暗门，便于后期对大屏开展维护。</w:t>
            </w:r>
          </w:p>
        </w:tc>
      </w:tr>
      <w:tr w14:paraId="3E953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DD1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6F4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室内半球摄像机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F37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15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64FA">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 高清半球摄像机，视频分辨率和帧率≥2560x1440、25帧/秒，支持水平、垂直、旋转三轴调节，视频压缩标准支持H.265和H.264；</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 不少于1/1.8英寸图像传感器，光圈≥F1.0（即F值≤1.0），彩色最低照度≤0.0005 lx，支持≥120 dB宽动态；</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支持记录系统操作、配置操作、数据操作、事件操作、异常状态、用户管理、清空日志等多类的日志信息。可按照主类型、次类型、开始时间、结束时间搜索日志，主类型有全部类型、报警、异常、操作、信息等多种类型；次类型可在主类型限定范围内按功能细分搜索的日志范围；（需提供第三方相关检测报告证明文件） </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 字符叠加(OSD)功能支持在视频图像上叠加，字符可选择项至少包括通道名称、时间、日期等，字体、颜色、位置、闪烁、滚动效果可设置</w:t>
            </w: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（需提供第三方相关检测报告证明文件） </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 具有≥1个网口，≥1个麦克风，内置识音功能、白光补光灯，白光补光距离需≥30米，防护等级IP66或以上。</w:t>
            </w:r>
          </w:p>
        </w:tc>
      </w:tr>
      <w:tr w14:paraId="77DC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40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80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室内（外）智能枪机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06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44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97B8">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1. 全彩枪型网络摄像机，传感器靶面尺寸≥1/1.9英寸，视频分辨率和帧率≥2560x1440、25帧/秒，视频压缩标准支持H.265、H.264，镜头光圈≥F1.0（即F值≤1.0）；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2. 最低照度需满足彩色≤0.0005 lx，在彩色模式下，当照度降低至一定值时，可自动开启白光灯补光，在白天、夜晚均可输出彩色视频图像；（需提供第三方相关检测报告证明文件）</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3. 支持记录系统操作、配置操作、数据操作、事件操作、异常状态、用户管理、清空日志等不少于八种类型的日志信息。可按照主类型、次类型、开始时间、结束时间搜索日志，主类型有全部类型、报警、异常、操作、信息等不少于五种类型；次类型可在主类型限定范围内按功能细分搜索的日志范围；（需提供第三方相关检测报告证明文件） </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4. 字符叠加(OSD)功能支持在视频图像上叠加不少于28行字符，字符可选择项至少包括通道名称、时间、日期等，字体、颜色、位置、闪烁、滚动效果可设置；（需提供第三方相关检测报告证明文件） </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 内置≥1个麦克风，≥2颗暖色白光补光灯，白光补光距离≥30米，防护等级IP66或以上。</w:t>
            </w:r>
          </w:p>
        </w:tc>
      </w:tr>
      <w:tr w14:paraId="3F031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71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B6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网络硬盘录像机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7E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A6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7BE7">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3U机架式16盘位嵌入式网络硬盘录像机，采用短机箱设计，搭载高性能ATX电源</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存储接口：≥16个SATA接口，可满配8TB硬盘</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视频接口：≥2×HDMI</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网络接口：≥2×RJ45 10/100/1000Mbps自适应以太网口</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报警接口：16路报警输入，4路报警输出</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串行接口：1路RS-232接口，1路半双工RS-485接口</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USB接口：2×USB 2.0，1×USB 3.0</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输入带宽：320Mbps</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输出带宽：256Mbps</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接入能力：64路H.264、H.265格式高清码流接入</w:t>
            </w:r>
          </w:p>
        </w:tc>
      </w:tr>
      <w:tr w14:paraId="59D1E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4C3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1B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硬盘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23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15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块</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163B">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3.5 HDD,企业级8TB,7200RPM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年写入负载：不小于360TB</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支持5年有限质保服务</w:t>
            </w:r>
          </w:p>
        </w:tc>
      </w:tr>
      <w:tr w14:paraId="1470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A9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61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大屏显示及扩声系统辅材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D0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A0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9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5EFB">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含尾纤、空开、电源插线板、防水胶带、HDMI电缆，音频线缆、电源线缆，及防水胶带，绑扎线，机打标签，保护套管、五金配件，水晶头等安装辅材</w:t>
            </w:r>
          </w:p>
        </w:tc>
      </w:tr>
    </w:tbl>
    <w:p w14:paraId="62F314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kern w:val="0"/>
          <w:sz w:val="24"/>
          <w:szCs w:val="24"/>
          <w:highlight w:val="yellow"/>
          <w:u w:val="none"/>
          <w:lang w:val="en-US" w:eastAsia="zh-CN" w:bidi="ar"/>
        </w:rPr>
      </w:pPr>
    </w:p>
    <w:p w14:paraId="59EB576F"/>
    <w:p w14:paraId="16E1A02A"/>
    <w:p w14:paraId="616E114C">
      <w:pPr>
        <w:pStyle w:val="6"/>
        <w:rPr>
          <w:rFonts w:hint="eastAsia" w:ascii="宋体" w:hAnsi="宋体" w:eastAsia="宋体"/>
          <w:b/>
          <w:color w:val="FF0000"/>
          <w:szCs w:val="21"/>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w:t>
      </w:r>
    </w:p>
    <w:p w14:paraId="3AD1C429">
      <w:pPr>
        <w:pStyle w:val="6"/>
        <w:rPr>
          <w:rFonts w:hint="eastAsia"/>
          <w:lang w:eastAsia="zh-CN"/>
        </w:rPr>
      </w:pPr>
    </w:p>
    <w:p w14:paraId="31C87DCD">
      <w:pPr>
        <w:rPr>
          <w:color w:val="FF0000"/>
        </w:rPr>
      </w:pPr>
      <w:r>
        <w:rPr>
          <w:rFonts w:hint="eastAsia"/>
          <w:color w:val="FF0000"/>
        </w:rPr>
        <w:t>备注：</w:t>
      </w:r>
    </w:p>
    <w:p w14:paraId="5A8D3FF1">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14:paraId="381CC099">
      <w:pPr>
        <w:ind w:firstLine="480" w:firstLineChars="200"/>
        <w:rPr>
          <w:color w:val="FF0000"/>
        </w:rPr>
      </w:pPr>
      <w:r>
        <w:rPr>
          <w:rFonts w:hint="eastAsia"/>
          <w:color w:val="FF0000"/>
        </w:rPr>
        <w:t>2、如注明有单价控制金额的产品，投标人对该产品的报价不得超过控制金额，否则将作投标无效处理。</w:t>
      </w:r>
    </w:p>
    <w:p w14:paraId="6ABE36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kern w:val="0"/>
          <w:sz w:val="24"/>
          <w:szCs w:val="24"/>
          <w:highlight w:val="yellow"/>
          <w:u w:val="none"/>
          <w:lang w:val="en-US" w:eastAsia="zh-CN" w:bidi="ar"/>
        </w:rPr>
      </w:pPr>
    </w:p>
    <w:p w14:paraId="50446145">
      <w:pPr>
        <w:rPr>
          <w:rFonts w:hint="eastAsia"/>
          <w:color w:val="FF0000"/>
        </w:rPr>
      </w:pPr>
    </w:p>
    <w:p w14:paraId="76606533">
      <w:pPr>
        <w:rPr>
          <w:rFonts w:hint="eastAsia"/>
        </w:rPr>
      </w:pPr>
    </w:p>
    <w:p w14:paraId="52410395">
      <w:pPr>
        <w:rPr>
          <w:rFonts w:hint="eastAsia"/>
        </w:rPr>
      </w:pPr>
    </w:p>
    <w:p w14:paraId="4BBB0395">
      <w:pPr>
        <w:rPr>
          <w:rFonts w:hint="eastAsia"/>
        </w:rPr>
      </w:pPr>
    </w:p>
    <w:p w14:paraId="3FD30825">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14:paraId="6726BFB6">
      <w:pPr>
        <w:spacing w:after="60" w:afterLines="25" w:line="300" w:lineRule="auto"/>
        <w:jc w:val="center"/>
        <w:rPr>
          <w:rFonts w:ascii="Arial" w:hAnsi="Arial" w:eastAsia="宋体"/>
          <w:b/>
          <w:color w:val="FF0000"/>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22"/>
        <w:tblW w:w="0" w:type="auto"/>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2"/>
        <w:gridCol w:w="13235"/>
      </w:tblGrid>
      <w:tr w14:paraId="792E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0" w:type="auto"/>
            <w:tcBorders>
              <w:top w:val="single" w:color="auto" w:sz="4" w:space="0"/>
              <w:left w:val="single" w:color="auto" w:sz="4" w:space="0"/>
              <w:bottom w:val="single" w:color="auto" w:sz="4" w:space="0"/>
              <w:right w:val="single" w:color="auto" w:sz="4" w:space="0"/>
            </w:tcBorders>
            <w:vAlign w:val="center"/>
          </w:tcPr>
          <w:p w14:paraId="20D7FCDA">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0" w:type="auto"/>
            <w:tcBorders>
              <w:top w:val="single" w:color="auto" w:sz="4" w:space="0"/>
              <w:left w:val="single" w:color="auto" w:sz="4" w:space="0"/>
              <w:bottom w:val="single" w:color="auto" w:sz="4" w:space="0"/>
              <w:right w:val="single" w:color="auto" w:sz="4" w:space="0"/>
            </w:tcBorders>
            <w:vAlign w:val="center"/>
          </w:tcPr>
          <w:p w14:paraId="517E94A7">
            <w:pPr>
              <w:snapToGrid w:val="0"/>
              <w:spacing w:line="360" w:lineRule="exact"/>
              <w:jc w:val="center"/>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14:paraId="197A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0" w:type="auto"/>
            <w:tcBorders>
              <w:top w:val="single" w:color="auto" w:sz="4" w:space="0"/>
              <w:left w:val="single" w:color="auto" w:sz="4" w:space="0"/>
              <w:bottom w:val="single" w:color="auto" w:sz="4" w:space="0"/>
              <w:right w:val="single" w:color="auto" w:sz="4" w:space="0"/>
            </w:tcBorders>
            <w:vAlign w:val="center"/>
          </w:tcPr>
          <w:p w14:paraId="7802C451">
            <w:pPr>
              <w:spacing w:after="60" w:afterLines="25" w:line="360" w:lineRule="exact"/>
              <w:jc w:val="center"/>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0" w:type="auto"/>
            <w:tcBorders>
              <w:top w:val="single" w:color="auto" w:sz="4" w:space="0"/>
              <w:left w:val="single" w:color="auto" w:sz="4" w:space="0"/>
              <w:bottom w:val="single" w:color="auto" w:sz="4" w:space="0"/>
              <w:right w:val="single" w:color="auto" w:sz="4" w:space="0"/>
            </w:tcBorders>
            <w:vAlign w:val="center"/>
          </w:tcPr>
          <w:p w14:paraId="2A8F99D7">
            <w:pPr>
              <w:spacing w:after="60" w:afterLines="25" w:line="360" w:lineRule="exact"/>
              <w:jc w:val="center"/>
              <w:rPr>
                <w:rFonts w:hint="eastAsia" w:ascii="宋体" w:hAnsi="宋体" w:eastAsia="宋体" w:cs="宋体"/>
                <w:sz w:val="22"/>
                <w:szCs w:val="21"/>
                <w:lang w:val="en-US" w:eastAsia="zh-CN"/>
              </w:rPr>
            </w:pPr>
            <w:r>
              <w:rPr>
                <w:rFonts w:hint="eastAsia" w:ascii="宋体" w:hAnsi="宋体" w:eastAsia="宋体" w:cs="宋体"/>
                <w:sz w:val="22"/>
                <w:szCs w:val="21"/>
                <w:highlight w:val="none"/>
                <w:lang w:val="en-US" w:eastAsia="zh-CN"/>
              </w:rPr>
              <w:t>采购人指定地点</w:t>
            </w:r>
          </w:p>
        </w:tc>
      </w:tr>
      <w:tr w14:paraId="3364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tcBorders>
              <w:top w:val="single" w:color="auto" w:sz="4" w:space="0"/>
              <w:left w:val="single" w:color="auto" w:sz="4" w:space="0"/>
              <w:bottom w:val="single" w:color="auto" w:sz="4" w:space="0"/>
              <w:right w:val="single" w:color="auto" w:sz="4" w:space="0"/>
            </w:tcBorders>
            <w:vAlign w:val="center"/>
          </w:tcPr>
          <w:p w14:paraId="18A6DB9F">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0" w:type="auto"/>
            <w:tcBorders>
              <w:top w:val="single" w:color="auto" w:sz="4" w:space="0"/>
              <w:left w:val="single" w:color="auto" w:sz="4" w:space="0"/>
              <w:bottom w:val="single" w:color="auto" w:sz="4" w:space="0"/>
              <w:right w:val="single" w:color="auto" w:sz="4" w:space="0"/>
            </w:tcBorders>
            <w:vAlign w:val="center"/>
          </w:tcPr>
          <w:p w14:paraId="3C71E75D">
            <w:pPr>
              <w:spacing w:after="60" w:afterLines="25" w:line="360" w:lineRule="exact"/>
              <w:jc w:val="center"/>
              <w:rPr>
                <w:rFonts w:hint="default" w:ascii="宋体" w:hAnsi="宋体" w:eastAsia="微软雅黑" w:cs="宋体"/>
                <w:color w:val="auto"/>
                <w:sz w:val="22"/>
                <w:szCs w:val="21"/>
                <w:lang w:val="en-US" w:eastAsia="zh-CN"/>
              </w:rPr>
            </w:pPr>
            <w:r>
              <w:rPr>
                <w:rFonts w:hint="eastAsia" w:ascii="宋体" w:hAnsi="宋体" w:eastAsia="宋体" w:cs="宋体"/>
                <w:color w:val="000000"/>
                <w:kern w:val="0"/>
                <w:sz w:val="22"/>
                <w:szCs w:val="22"/>
                <w:lang w:val="en-US" w:eastAsia="zh-CN"/>
              </w:rPr>
              <w:t>配送期：自合同生效且采购人下达供货通知之日起 30 日历天内完成。</w:t>
            </w:r>
          </w:p>
        </w:tc>
      </w:tr>
      <w:tr w14:paraId="0EAE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0" w:type="auto"/>
            <w:tcBorders>
              <w:top w:val="single" w:color="auto" w:sz="4" w:space="0"/>
              <w:left w:val="single" w:color="auto" w:sz="4" w:space="0"/>
              <w:bottom w:val="single" w:color="auto" w:sz="4" w:space="0"/>
              <w:right w:val="single" w:color="auto" w:sz="4" w:space="0"/>
            </w:tcBorders>
            <w:vAlign w:val="center"/>
          </w:tcPr>
          <w:p w14:paraId="6690C97D">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0" w:type="auto"/>
            <w:tcBorders>
              <w:top w:val="single" w:color="auto" w:sz="4" w:space="0"/>
              <w:left w:val="single" w:color="auto" w:sz="4" w:space="0"/>
              <w:bottom w:val="single" w:color="auto" w:sz="4" w:space="0"/>
              <w:right w:val="single" w:color="auto" w:sz="4" w:space="0"/>
            </w:tcBorders>
            <w:vAlign w:val="center"/>
          </w:tcPr>
          <w:p w14:paraId="60759F3C">
            <w:pPr>
              <w:spacing w:after="60" w:afterLines="25" w:line="360" w:lineRule="exact"/>
              <w:jc w:val="center"/>
              <w:rPr>
                <w:rFonts w:ascii="宋体" w:hAnsi="宋体" w:eastAsia="宋体"/>
                <w:color w:val="auto"/>
                <w:sz w:val="22"/>
                <w:szCs w:val="21"/>
              </w:rPr>
            </w:pPr>
            <w:r>
              <w:rPr>
                <w:rFonts w:hint="eastAsia" w:ascii="宋体" w:hAnsi="宋体" w:eastAsia="宋体"/>
                <w:color w:val="auto"/>
                <w:sz w:val="22"/>
                <w:szCs w:val="21"/>
              </w:rPr>
              <w:t>全部货物交付并经采购人验收合格后，采购人一次性付清合同全部款项。</w:t>
            </w:r>
          </w:p>
        </w:tc>
      </w:tr>
      <w:tr w14:paraId="7E04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0" w:type="auto"/>
            <w:tcBorders>
              <w:top w:val="single" w:color="auto" w:sz="4" w:space="0"/>
              <w:left w:val="single" w:color="auto" w:sz="4" w:space="0"/>
              <w:right w:val="single" w:color="auto" w:sz="4" w:space="0"/>
            </w:tcBorders>
            <w:vAlign w:val="center"/>
          </w:tcPr>
          <w:p w14:paraId="3A93E879">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0" w:type="auto"/>
            <w:tcBorders>
              <w:top w:val="single" w:color="auto" w:sz="4" w:space="0"/>
              <w:left w:val="single" w:color="auto" w:sz="4" w:space="0"/>
              <w:right w:val="single" w:color="auto" w:sz="4" w:space="0"/>
            </w:tcBorders>
            <w:vAlign w:val="center"/>
          </w:tcPr>
          <w:p w14:paraId="538E45AF">
            <w:pPr>
              <w:spacing w:after="60" w:afterLines="25" w:line="360" w:lineRule="exact"/>
              <w:jc w:val="center"/>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喀什市公安局</w:t>
            </w:r>
            <w:r>
              <w:rPr>
                <w:rFonts w:hint="eastAsia" w:ascii="宋体" w:hAnsi="宋体" w:eastAsia="宋体" w:cs="仿宋_GB2312"/>
                <w:sz w:val="22"/>
                <w:szCs w:val="28"/>
              </w:rPr>
              <w:t>组织验收。</w:t>
            </w:r>
          </w:p>
        </w:tc>
      </w:tr>
      <w:tr w14:paraId="51EB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0" w:type="auto"/>
            <w:tcBorders>
              <w:top w:val="single" w:color="auto" w:sz="4" w:space="0"/>
              <w:left w:val="single" w:color="auto" w:sz="4" w:space="0"/>
              <w:bottom w:val="single" w:color="auto" w:sz="4" w:space="0"/>
              <w:right w:val="single" w:color="auto" w:sz="4" w:space="0"/>
            </w:tcBorders>
            <w:vAlign w:val="center"/>
          </w:tcPr>
          <w:p w14:paraId="115D29B9">
            <w:pPr>
              <w:spacing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0" w:type="auto"/>
            <w:tcBorders>
              <w:top w:val="single" w:color="auto" w:sz="4" w:space="0"/>
              <w:left w:val="single" w:color="auto" w:sz="4" w:space="0"/>
              <w:bottom w:val="single" w:color="auto" w:sz="4" w:space="0"/>
              <w:right w:val="single" w:color="auto" w:sz="4" w:space="0"/>
            </w:tcBorders>
            <w:vAlign w:val="center"/>
          </w:tcPr>
          <w:p w14:paraId="4356581D">
            <w:pPr>
              <w:spacing w:after="60" w:afterLines="25" w:line="360" w:lineRule="exact"/>
              <w:ind w:left="-86" w:leftChars="-36"/>
              <w:jc w:val="center"/>
              <w:rPr>
                <w:rFonts w:hint="eastAsia" w:ascii="宋体" w:hAnsi="宋体" w:eastAsia="宋体" w:cs="Arial"/>
                <w:sz w:val="22"/>
                <w:szCs w:val="21"/>
                <w:lang w:eastAsia="zh-CN"/>
              </w:rPr>
            </w:pPr>
            <w:r>
              <w:rPr>
                <w:rFonts w:hint="eastAsia" w:ascii="宋体" w:hAnsi="宋体" w:eastAsia="宋体" w:cs="Arial"/>
                <w:sz w:val="22"/>
                <w:szCs w:val="21"/>
                <w:highlight w:val="none"/>
              </w:rPr>
              <w:t>质保期</w:t>
            </w:r>
            <w:r>
              <w:rPr>
                <w:rFonts w:hint="eastAsia" w:ascii="宋体" w:hAnsi="宋体" w:eastAsia="宋体" w:cs="Arial"/>
                <w:sz w:val="22"/>
                <w:szCs w:val="21"/>
                <w:highlight w:val="none"/>
                <w:lang w:val="en-US" w:eastAsia="zh-CN"/>
              </w:rPr>
              <w:t>2</w:t>
            </w:r>
            <w:r>
              <w:rPr>
                <w:rFonts w:hint="eastAsia" w:ascii="宋体" w:hAnsi="宋体" w:eastAsia="宋体" w:cs="Arial"/>
                <w:sz w:val="22"/>
                <w:szCs w:val="21"/>
                <w:highlight w:val="none"/>
              </w:rPr>
              <w:t>年；</w:t>
            </w:r>
            <w:r>
              <w:rPr>
                <w:rFonts w:hint="eastAsia" w:ascii="宋体" w:hAnsi="宋体" w:eastAsia="宋体" w:cs="Arial"/>
                <w:sz w:val="22"/>
                <w:szCs w:val="21"/>
                <w:highlight w:val="none"/>
                <w:lang w:val="en-US" w:eastAsia="zh-CN"/>
              </w:rPr>
              <w:t>易损零部件质保1年。</w:t>
            </w:r>
          </w:p>
        </w:tc>
      </w:tr>
    </w:tbl>
    <w:p w14:paraId="3E94B277">
      <w:pPr>
        <w:pStyle w:val="11"/>
        <w:tabs>
          <w:tab w:val="left" w:pos="5580"/>
        </w:tabs>
        <w:spacing w:line="240" w:lineRule="atLeast"/>
        <w:rPr>
          <w:rFonts w:hint="eastAsia" w:ascii="仿宋_GB2312" w:hAnsi="宋体" w:eastAsia="仿宋_GB2312"/>
          <w:b/>
          <w:bCs w:val="0"/>
          <w:sz w:val="36"/>
          <w:szCs w:val="36"/>
          <w:lang w:eastAsia="zh-CN"/>
        </w:rPr>
      </w:pPr>
    </w:p>
    <w:p w14:paraId="37316201">
      <w:pPr>
        <w:pStyle w:val="11"/>
        <w:tabs>
          <w:tab w:val="left" w:pos="5580"/>
        </w:tabs>
        <w:spacing w:line="240" w:lineRule="atLeast"/>
        <w:rPr>
          <w:rFonts w:hint="default" w:ascii="仿宋_GB2312" w:hAnsi="宋体" w:eastAsia="仿宋_GB2312"/>
          <w:b/>
          <w:bCs w:val="0"/>
          <w:sz w:val="36"/>
          <w:szCs w:val="36"/>
          <w:lang w:val="en-US" w:eastAsia="zh-CN"/>
        </w:rPr>
        <w:sectPr>
          <w:footerReference r:id="rId9" w:type="first"/>
          <w:footerReference r:id="rId8" w:type="default"/>
          <w:pgSz w:w="16838" w:h="11906" w:orient="landscape"/>
          <w:pgMar w:top="1797" w:right="1440" w:bottom="1797" w:left="1440" w:header="851" w:footer="992" w:gutter="0"/>
          <w:pgNumType w:fmt="decimal" w:start="14"/>
          <w:cols w:space="720" w:num="1"/>
          <w:titlePg/>
          <w:docGrid w:type="linesAndChars" w:linePitch="312" w:charSpace="0"/>
        </w:sectPr>
      </w:pPr>
      <w:r>
        <w:rPr>
          <w:rFonts w:hint="eastAsia" w:ascii="仿宋_GB2312" w:hAnsi="宋体" w:eastAsia="仿宋_GB2312"/>
          <w:b/>
          <w:bCs w:val="0"/>
          <w:sz w:val="36"/>
          <w:szCs w:val="36"/>
          <w:lang w:eastAsia="zh-CN"/>
        </w:rPr>
        <w:t>（为方便采购人退保证金，建议供应商上传开户信息，未上传开户信息的不作废标处理）</w:t>
      </w:r>
    </w:p>
    <w:p w14:paraId="17625A30">
      <w:pPr>
        <w:tabs>
          <w:tab w:val="left" w:pos="7016"/>
        </w:tabs>
        <w:rPr>
          <w:rFonts w:ascii="Arial" w:hAnsi="Arial" w:eastAsia="宋体"/>
        </w:rPr>
      </w:pPr>
      <w:r>
        <w:rPr>
          <w:rFonts w:ascii="Arial" w:hAnsi="Arial" w:eastAsia="宋体"/>
        </w:rPr>
        <w:tab/>
      </w:r>
    </w:p>
    <w:p w14:paraId="41452321">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四、技术规格及具体参数部分</w:t>
      </w:r>
    </w:p>
    <w:p w14:paraId="06943C68">
      <w:pPr>
        <w:rPr>
          <w:rFonts w:ascii="宋体" w:hAnsi="宋体" w:eastAsia="黑体"/>
          <w:bCs/>
          <w:kern w:val="44"/>
          <w:sz w:val="28"/>
          <w:szCs w:val="44"/>
        </w:rPr>
      </w:pPr>
      <w:r>
        <w:rPr>
          <w:rFonts w:hint="eastAsia" w:eastAsia="宋体"/>
          <w:lang w:eastAsia="zh-CN"/>
        </w:rPr>
        <w:t>详见二、货物需求明细</w:t>
      </w:r>
      <w:r>
        <w:br w:type="page"/>
      </w:r>
    </w:p>
    <w:p w14:paraId="4E3BC457">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14:paraId="07BDDD34">
      <w:pPr>
        <w:jc w:val="center"/>
        <w:rPr>
          <w:rFonts w:ascii="黑体" w:eastAsia="黑体"/>
          <w:b/>
          <w:bCs/>
          <w:color w:val="FF0000"/>
          <w:sz w:val="28"/>
        </w:rPr>
      </w:pPr>
    </w:p>
    <w:p w14:paraId="4D64A7D4">
      <w:pPr>
        <w:rPr>
          <w:rFonts w:ascii="宋体" w:hAnsi="宋体" w:eastAsia="黑体"/>
          <w:bCs/>
          <w:kern w:val="44"/>
          <w:sz w:val="32"/>
          <w:szCs w:val="32"/>
        </w:rPr>
      </w:pPr>
      <w:r>
        <w:rPr>
          <w:rFonts w:hint="eastAsia" w:ascii="宋体" w:hAnsi="宋体" w:eastAsia="黑体"/>
          <w:bCs/>
          <w:kern w:val="44"/>
          <w:sz w:val="32"/>
          <w:szCs w:val="32"/>
        </w:rPr>
        <w:t>投标文件组成：</w:t>
      </w:r>
    </w:p>
    <w:p w14:paraId="6176CECF">
      <w:pPr>
        <w:snapToGrid w:val="0"/>
        <w:rPr>
          <w:rFonts w:ascii="宋体" w:hAnsi="宋体" w:eastAsia="宋体"/>
          <w:sz w:val="30"/>
          <w:szCs w:val="30"/>
        </w:rPr>
      </w:pPr>
      <w:r>
        <w:rPr>
          <w:rFonts w:hint="eastAsia" w:ascii="宋体" w:hAnsi="宋体" w:eastAsia="宋体" w:cs="宋体"/>
          <w:b/>
          <w:sz w:val="32"/>
          <w:szCs w:val="32"/>
        </w:rPr>
        <w:t>开标一览表及资格证明文件：</w:t>
      </w:r>
    </w:p>
    <w:p w14:paraId="2DC0833D">
      <w:pPr>
        <w:numPr>
          <w:ilvl w:val="0"/>
          <w:numId w:val="8"/>
        </w:numPr>
        <w:snapToGrid w:val="0"/>
        <w:spacing w:after="60" w:afterLines="25"/>
        <w:rPr>
          <w:rFonts w:ascii="宋体" w:hAnsi="宋体" w:eastAsia="宋体"/>
          <w:color w:val="FF0000"/>
          <w:sz w:val="30"/>
          <w:szCs w:val="30"/>
        </w:rPr>
      </w:pPr>
      <w:r>
        <w:rPr>
          <w:rFonts w:hint="eastAsia" w:ascii="宋体" w:hAnsi="宋体" w:eastAsia="宋体"/>
          <w:color w:val="FF0000"/>
          <w:sz w:val="30"/>
          <w:szCs w:val="30"/>
          <w:lang w:eastAsia="zh-CN"/>
        </w:rPr>
        <w:t>开标一览表；</w:t>
      </w:r>
    </w:p>
    <w:p w14:paraId="791BC368">
      <w:pPr>
        <w:numPr>
          <w:ilvl w:val="0"/>
          <w:numId w:val="8"/>
        </w:numPr>
        <w:snapToGrid w:val="0"/>
        <w:spacing w:after="60" w:afterLines="25"/>
        <w:rPr>
          <w:rFonts w:ascii="宋体" w:hAnsi="宋体" w:eastAsia="宋体"/>
          <w:color w:val="FF0000"/>
          <w:sz w:val="30"/>
          <w:szCs w:val="30"/>
        </w:rPr>
      </w:pPr>
      <w:bookmarkStart w:id="9" w:name="_Hlk72062521"/>
      <w:r>
        <w:rPr>
          <w:rFonts w:hint="eastAsia" w:ascii="宋体" w:hAnsi="宋体" w:eastAsia="宋体"/>
          <w:color w:val="FF0000"/>
          <w:sz w:val="30"/>
          <w:szCs w:val="30"/>
        </w:rPr>
        <w:t>政府采购投标及履约承诺函</w:t>
      </w:r>
      <w:bookmarkEnd w:id="9"/>
      <w:r>
        <w:rPr>
          <w:rFonts w:hint="eastAsia" w:ascii="宋体" w:hAnsi="宋体" w:eastAsia="宋体"/>
          <w:color w:val="FF0000"/>
          <w:sz w:val="30"/>
          <w:szCs w:val="30"/>
        </w:rPr>
        <w:t>；</w:t>
      </w:r>
    </w:p>
    <w:p w14:paraId="2182964A">
      <w:pPr>
        <w:numPr>
          <w:ilvl w:val="0"/>
          <w:numId w:val="8"/>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bCs/>
          <w:color w:val="FF0000"/>
          <w:sz w:val="30"/>
          <w:szCs w:val="30"/>
          <w:lang w:eastAsia="zh-CN"/>
        </w:rPr>
        <w:t>法人或者非法人组织的营业执照等证明文件扫描件</w:t>
      </w:r>
      <w:r>
        <w:rPr>
          <w:rFonts w:hint="eastAsia" w:ascii="宋体" w:hAnsi="宋体" w:eastAsia="宋体"/>
          <w:bCs/>
          <w:color w:val="FF0000"/>
          <w:sz w:val="30"/>
          <w:szCs w:val="30"/>
        </w:rPr>
        <w:t>等；</w:t>
      </w:r>
    </w:p>
    <w:p w14:paraId="49718FF8">
      <w:pPr>
        <w:numPr>
          <w:ilvl w:val="0"/>
          <w:numId w:val="8"/>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color w:val="FF0000"/>
          <w:kern w:val="2"/>
          <w:sz w:val="30"/>
          <w:szCs w:val="30"/>
          <w:lang w:eastAsia="zh-CN"/>
        </w:rPr>
        <w:t>会计事务所出具的2024或2025年度的年度财务审计报告书扫描件或影印件；（新办企业（营业执照所标注的成立日期距本项目开标日期一年内为新办企业）提供银行资信证明扫描件或影印件）；</w:t>
      </w:r>
    </w:p>
    <w:p w14:paraId="104BF93A">
      <w:pPr>
        <w:numPr>
          <w:ilvl w:val="0"/>
          <w:numId w:val="8"/>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color w:val="FF0000"/>
          <w:kern w:val="2"/>
          <w:sz w:val="30"/>
          <w:szCs w:val="30"/>
          <w:lang w:eastAsia="zh-CN"/>
        </w:rPr>
        <w:t>近6个月内任意一个月的完税证明扫描件和社保缴纳记录明细扫描件（含员工社保明细。注：1.无需提供委托人代理人或被授权委托人社保明细。2.若供应商某月税收为零申报，须提供当月加盖税务局公章的无欠税证明。3.完税证明中“税种”非养老保险、医疗保险、失业保险、工伤保险和生育保险）；</w:t>
      </w:r>
    </w:p>
    <w:p w14:paraId="4CE82A02">
      <w:pPr>
        <w:numPr>
          <w:ilvl w:val="0"/>
          <w:numId w:val="8"/>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color w:val="FF0000"/>
          <w:kern w:val="2"/>
          <w:sz w:val="30"/>
          <w:szCs w:val="30"/>
          <w:lang w:eastAsia="zh-CN"/>
        </w:rPr>
        <w:t>非联合体投标承诺函及非进口产品投标承诺函（承诺函格式自拟）；</w:t>
      </w:r>
    </w:p>
    <w:p w14:paraId="0C7439B0">
      <w:pPr>
        <w:snapToGrid w:val="0"/>
        <w:rPr>
          <w:rFonts w:hint="eastAsia" w:ascii="宋体" w:hAnsi="宋体" w:eastAsia="宋体" w:cs="宋体"/>
          <w:b/>
          <w:color w:val="FF0000"/>
          <w:sz w:val="32"/>
          <w:szCs w:val="32"/>
        </w:rPr>
      </w:pPr>
      <w:r>
        <w:rPr>
          <w:rFonts w:hint="eastAsia" w:ascii="宋体" w:hAnsi="宋体" w:eastAsia="宋体" w:cs="宋体"/>
          <w:b/>
          <w:color w:val="FF0000"/>
          <w:sz w:val="32"/>
          <w:szCs w:val="32"/>
        </w:rPr>
        <w:t>商务及技术文件：</w:t>
      </w:r>
    </w:p>
    <w:p w14:paraId="140E1EA8">
      <w:pPr>
        <w:numPr>
          <w:ilvl w:val="0"/>
          <w:numId w:val="8"/>
        </w:numPr>
        <w:snapToGrid w:val="0"/>
        <w:spacing w:after="60" w:afterLines="25"/>
        <w:rPr>
          <w:rFonts w:hint="eastAsia"/>
          <w:color w:val="FF0000"/>
          <w:lang w:eastAsia="zh-CN"/>
        </w:rPr>
      </w:pPr>
      <w:r>
        <w:rPr>
          <w:rFonts w:hint="eastAsia" w:ascii="宋体" w:hAnsi="宋体" w:eastAsia="宋体"/>
          <w:color w:val="FF0000"/>
          <w:sz w:val="30"/>
          <w:szCs w:val="30"/>
        </w:rPr>
        <w:t>投标函；</w:t>
      </w:r>
    </w:p>
    <w:p w14:paraId="07597225">
      <w:pPr>
        <w:numPr>
          <w:ilvl w:val="0"/>
          <w:numId w:val="8"/>
        </w:numPr>
        <w:snapToGrid w:val="0"/>
        <w:spacing w:after="60" w:afterLines="25"/>
        <w:rPr>
          <w:rFonts w:hint="eastAsia"/>
          <w:color w:val="FF0000"/>
          <w:lang w:eastAsia="zh-CN"/>
        </w:rPr>
      </w:pPr>
      <w:r>
        <w:rPr>
          <w:rFonts w:hint="eastAsia" w:ascii="宋体" w:hAnsi="宋体" w:eastAsia="宋体"/>
          <w:color w:val="FF0000"/>
          <w:kern w:val="2"/>
          <w:sz w:val="30"/>
          <w:szCs w:val="30"/>
        </w:rPr>
        <w:t>法定代表人证明书（附有效身份证正反面扫描件）</w:t>
      </w:r>
      <w:r>
        <w:rPr>
          <w:rFonts w:hint="eastAsia" w:ascii="宋体" w:hAnsi="宋体" w:eastAsia="宋体"/>
          <w:color w:val="FF0000"/>
          <w:kern w:val="2"/>
          <w:sz w:val="30"/>
          <w:szCs w:val="30"/>
          <w:lang w:eastAsia="zh-CN"/>
        </w:rPr>
        <w:t>；</w:t>
      </w:r>
    </w:p>
    <w:p w14:paraId="7C2568BC">
      <w:pPr>
        <w:numPr>
          <w:ilvl w:val="0"/>
          <w:numId w:val="8"/>
        </w:numPr>
        <w:snapToGrid w:val="0"/>
        <w:spacing w:after="60" w:afterLines="25"/>
        <w:rPr>
          <w:rFonts w:hint="eastAsia"/>
          <w:color w:val="FF0000"/>
          <w:lang w:eastAsia="zh-CN"/>
        </w:rPr>
      </w:pPr>
      <w:r>
        <w:rPr>
          <w:rFonts w:hint="eastAsia" w:ascii="宋体" w:hAnsi="宋体" w:eastAsia="宋体"/>
          <w:color w:val="FF0000"/>
          <w:kern w:val="2"/>
          <w:sz w:val="30"/>
          <w:szCs w:val="30"/>
          <w:lang w:eastAsia="zh-CN"/>
        </w:rPr>
        <w:t>法定代表人授权书</w:t>
      </w:r>
      <w:r>
        <w:rPr>
          <w:rFonts w:hint="eastAsia" w:ascii="宋体" w:hAnsi="宋体" w:eastAsia="宋体"/>
          <w:color w:val="FF0000"/>
          <w:kern w:val="2"/>
          <w:sz w:val="30"/>
          <w:szCs w:val="30"/>
        </w:rPr>
        <w:t>（附有效身份证正反面扫描件）</w:t>
      </w:r>
      <w:r>
        <w:rPr>
          <w:rFonts w:hint="eastAsia" w:ascii="宋体" w:hAnsi="宋体" w:eastAsia="宋体"/>
          <w:color w:val="FF0000"/>
          <w:kern w:val="2"/>
          <w:sz w:val="30"/>
          <w:szCs w:val="30"/>
          <w:lang w:eastAsia="zh-CN"/>
        </w:rPr>
        <w:t>；</w:t>
      </w:r>
    </w:p>
    <w:p w14:paraId="5B11BB89">
      <w:pPr>
        <w:numPr>
          <w:ilvl w:val="0"/>
          <w:numId w:val="8"/>
        </w:numPr>
        <w:snapToGrid w:val="0"/>
        <w:spacing w:after="60" w:afterLines="25"/>
        <w:rPr>
          <w:rFonts w:ascii="宋体" w:hAnsi="宋体" w:eastAsia="宋体"/>
          <w:color w:val="FF0000"/>
          <w:sz w:val="30"/>
          <w:szCs w:val="30"/>
        </w:rPr>
      </w:pPr>
      <w:r>
        <w:rPr>
          <w:rFonts w:hint="eastAsia" w:ascii="宋体" w:hAnsi="宋体" w:eastAsia="宋体"/>
          <w:color w:val="FF0000"/>
          <w:sz w:val="30"/>
          <w:szCs w:val="30"/>
        </w:rPr>
        <w:t>评标优惠政策声明函(如有)；</w:t>
      </w:r>
    </w:p>
    <w:p w14:paraId="77639389">
      <w:pPr>
        <w:numPr>
          <w:ilvl w:val="0"/>
          <w:numId w:val="8"/>
        </w:numPr>
        <w:snapToGrid w:val="0"/>
        <w:spacing w:after="60" w:afterLines="25"/>
        <w:ind w:left="1456"/>
        <w:rPr>
          <w:rFonts w:ascii="宋体" w:hAnsi="宋体" w:eastAsia="宋体"/>
          <w:color w:val="FF0000"/>
          <w:sz w:val="30"/>
          <w:szCs w:val="30"/>
        </w:rPr>
      </w:pPr>
      <w:r>
        <w:rPr>
          <w:rFonts w:hint="eastAsia" w:ascii="宋体" w:hAnsi="宋体" w:eastAsia="宋体"/>
          <w:bCs/>
          <w:color w:val="FF0000"/>
          <w:sz w:val="30"/>
          <w:szCs w:val="30"/>
        </w:rPr>
        <w:t>分项报价清单；</w:t>
      </w:r>
    </w:p>
    <w:p w14:paraId="21EED6AC">
      <w:pPr>
        <w:numPr>
          <w:ilvl w:val="0"/>
          <w:numId w:val="8"/>
        </w:numPr>
        <w:snapToGrid w:val="0"/>
        <w:spacing w:after="60" w:afterLines="25"/>
        <w:ind w:left="1456"/>
        <w:rPr>
          <w:rFonts w:ascii="宋体" w:hAnsi="宋体" w:eastAsia="宋体"/>
          <w:color w:val="FF0000"/>
          <w:sz w:val="30"/>
          <w:szCs w:val="30"/>
        </w:rPr>
      </w:pPr>
      <w:r>
        <w:rPr>
          <w:rFonts w:hint="eastAsia" w:ascii="宋体" w:hAnsi="宋体" w:eastAsia="宋体"/>
          <w:color w:val="FF0000"/>
          <w:kern w:val="2"/>
          <w:sz w:val="30"/>
          <w:szCs w:val="30"/>
        </w:rPr>
        <w:t>商务（服务）条款偏离表；</w:t>
      </w:r>
    </w:p>
    <w:p w14:paraId="7B3C6775">
      <w:pPr>
        <w:numPr>
          <w:ilvl w:val="0"/>
          <w:numId w:val="8"/>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rPr>
        <w:t>技术规格偏离表；</w:t>
      </w:r>
    </w:p>
    <w:p w14:paraId="56484514">
      <w:pPr>
        <w:numPr>
          <w:ilvl w:val="0"/>
          <w:numId w:val="8"/>
        </w:numPr>
        <w:snapToGrid w:val="0"/>
        <w:spacing w:after="60" w:afterLines="25"/>
        <w:ind w:left="1456"/>
        <w:rPr>
          <w:rFonts w:ascii="宋体" w:hAnsi="宋体" w:eastAsia="宋体"/>
          <w:bCs/>
          <w:color w:val="FF0000"/>
          <w:sz w:val="30"/>
          <w:szCs w:val="30"/>
        </w:rPr>
      </w:pPr>
      <w:r>
        <w:rPr>
          <w:rFonts w:hint="eastAsia" w:ascii="宋体" w:hAnsi="宋体" w:eastAsia="宋体"/>
          <w:bCs/>
          <w:color w:val="FF0000"/>
          <w:sz w:val="30"/>
          <w:szCs w:val="30"/>
          <w:lang w:eastAsia="zh-CN"/>
        </w:rPr>
        <w:t>相关</w:t>
      </w:r>
      <w:r>
        <w:rPr>
          <w:rFonts w:hint="eastAsia" w:ascii="宋体" w:hAnsi="宋体" w:eastAsia="宋体"/>
          <w:bCs/>
          <w:color w:val="FF0000"/>
          <w:sz w:val="30"/>
          <w:szCs w:val="30"/>
        </w:rPr>
        <w:t>项目</w:t>
      </w:r>
      <w:r>
        <w:rPr>
          <w:rFonts w:hint="eastAsia" w:ascii="宋体" w:hAnsi="宋体" w:eastAsia="宋体"/>
          <w:bCs/>
          <w:color w:val="FF0000"/>
          <w:sz w:val="30"/>
          <w:szCs w:val="30"/>
          <w:lang w:eastAsia="zh-CN"/>
        </w:rPr>
        <w:t>经验资料</w:t>
      </w:r>
      <w:r>
        <w:rPr>
          <w:rFonts w:hint="eastAsia" w:ascii="宋体" w:hAnsi="宋体" w:eastAsia="宋体"/>
          <w:color w:val="FF0000"/>
          <w:sz w:val="30"/>
          <w:szCs w:val="30"/>
        </w:rPr>
        <w:t>(如有)</w:t>
      </w:r>
      <w:r>
        <w:rPr>
          <w:rFonts w:hint="eastAsia" w:ascii="宋体" w:hAnsi="宋体" w:eastAsia="宋体"/>
          <w:bCs/>
          <w:color w:val="FF0000"/>
          <w:sz w:val="30"/>
          <w:szCs w:val="30"/>
        </w:rPr>
        <w:t>；</w:t>
      </w:r>
    </w:p>
    <w:p w14:paraId="7AD38587">
      <w:pPr>
        <w:numPr>
          <w:ilvl w:val="0"/>
          <w:numId w:val="8"/>
        </w:numPr>
        <w:snapToGrid w:val="0"/>
        <w:spacing w:after="60" w:afterLines="25"/>
        <w:ind w:left="1456"/>
        <w:rPr>
          <w:rFonts w:ascii="宋体" w:hAnsi="宋体" w:eastAsia="宋体"/>
          <w:bCs/>
          <w:color w:val="FF0000"/>
          <w:sz w:val="30"/>
          <w:szCs w:val="30"/>
        </w:rPr>
      </w:pPr>
      <w:r>
        <w:rPr>
          <w:rFonts w:hint="eastAsia" w:ascii="宋体" w:hAnsi="宋体" w:eastAsia="宋体"/>
          <w:bCs/>
          <w:color w:val="FF0000"/>
          <w:sz w:val="30"/>
          <w:szCs w:val="30"/>
        </w:rPr>
        <w:t>售后服务</w:t>
      </w:r>
      <w:r>
        <w:rPr>
          <w:rFonts w:hint="eastAsia" w:ascii="宋体" w:hAnsi="宋体" w:eastAsia="宋体"/>
          <w:bCs/>
          <w:color w:val="FF0000"/>
          <w:sz w:val="30"/>
          <w:szCs w:val="30"/>
          <w:lang w:eastAsia="zh-CN"/>
        </w:rPr>
        <w:t>相关资料</w:t>
      </w:r>
      <w:r>
        <w:rPr>
          <w:rFonts w:hint="eastAsia" w:ascii="宋体" w:hAnsi="宋体" w:eastAsia="宋体"/>
          <w:color w:val="FF0000"/>
          <w:sz w:val="30"/>
          <w:szCs w:val="30"/>
        </w:rPr>
        <w:t>(如有)</w:t>
      </w:r>
      <w:r>
        <w:rPr>
          <w:rFonts w:hint="eastAsia" w:ascii="宋体" w:hAnsi="宋体" w:eastAsia="宋体"/>
          <w:bCs/>
          <w:color w:val="FF0000"/>
          <w:sz w:val="30"/>
          <w:szCs w:val="30"/>
        </w:rPr>
        <w:t>；</w:t>
      </w:r>
    </w:p>
    <w:p w14:paraId="7746DC75">
      <w:pPr>
        <w:numPr>
          <w:ilvl w:val="0"/>
          <w:numId w:val="8"/>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lang w:eastAsia="zh-CN"/>
        </w:rPr>
        <w:t>产品</w:t>
      </w:r>
      <w:r>
        <w:rPr>
          <w:rFonts w:hint="eastAsia" w:ascii="宋体" w:hAnsi="宋体" w:eastAsia="宋体"/>
          <w:color w:val="FF0000"/>
          <w:kern w:val="2"/>
          <w:sz w:val="30"/>
          <w:szCs w:val="30"/>
        </w:rPr>
        <w:t>检测报告；</w:t>
      </w:r>
    </w:p>
    <w:p w14:paraId="08E08294">
      <w:pPr>
        <w:numPr>
          <w:ilvl w:val="0"/>
          <w:numId w:val="8"/>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rPr>
        <w:t>节能产品认证证书；</w:t>
      </w:r>
    </w:p>
    <w:p w14:paraId="11DE80A6">
      <w:pPr>
        <w:numPr>
          <w:ilvl w:val="0"/>
          <w:numId w:val="8"/>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rPr>
        <w:t>设计、施工方案的合理性评价</w:t>
      </w:r>
      <w:r>
        <w:rPr>
          <w:rFonts w:hint="eastAsia" w:ascii="宋体" w:hAnsi="宋体" w:eastAsia="宋体"/>
          <w:color w:val="FF0000"/>
          <w:sz w:val="30"/>
          <w:szCs w:val="30"/>
        </w:rPr>
        <w:t>(如有)</w:t>
      </w:r>
      <w:r>
        <w:rPr>
          <w:rFonts w:hint="eastAsia" w:ascii="宋体" w:hAnsi="宋体" w:eastAsia="宋体"/>
          <w:color w:val="FF0000"/>
          <w:kern w:val="2"/>
          <w:sz w:val="30"/>
          <w:szCs w:val="30"/>
          <w:lang w:eastAsia="zh-CN"/>
        </w:rPr>
        <w:t>；</w:t>
      </w:r>
    </w:p>
    <w:p w14:paraId="21E309D1">
      <w:pPr>
        <w:numPr>
          <w:ilvl w:val="0"/>
          <w:numId w:val="8"/>
        </w:numPr>
        <w:snapToGrid w:val="0"/>
        <w:spacing w:after="60" w:afterLines="25"/>
        <w:ind w:left="1456"/>
        <w:rPr>
          <w:rFonts w:hint="eastAsia" w:ascii="宋体" w:hAnsi="宋体" w:eastAsia="宋体" w:cs="Times New Roman"/>
          <w:color w:val="FF0000"/>
          <w:kern w:val="2"/>
          <w:sz w:val="30"/>
          <w:szCs w:val="30"/>
          <w:lang w:val="en-US" w:eastAsia="zh-CN"/>
        </w:rPr>
      </w:pPr>
      <w:r>
        <w:rPr>
          <w:rFonts w:hint="eastAsia" w:ascii="宋体" w:hAnsi="宋体" w:eastAsia="宋体"/>
          <w:color w:val="FF0000"/>
          <w:kern w:val="2"/>
          <w:sz w:val="30"/>
          <w:szCs w:val="30"/>
        </w:rPr>
        <w:t>其他招标文件要求或投标人认为需要补充的内容</w:t>
      </w:r>
      <w:r>
        <w:rPr>
          <w:rFonts w:hint="eastAsia" w:ascii="宋体" w:hAnsi="宋体" w:eastAsia="宋体"/>
          <w:color w:val="FF0000"/>
          <w:sz w:val="30"/>
          <w:szCs w:val="30"/>
        </w:rPr>
        <w:t>(如有)</w:t>
      </w:r>
      <w:r>
        <w:rPr>
          <w:rFonts w:hint="eastAsia" w:ascii="宋体" w:hAnsi="宋体" w:eastAsia="宋体"/>
          <w:color w:val="FF0000"/>
          <w:kern w:val="2"/>
          <w:sz w:val="30"/>
          <w:szCs w:val="30"/>
        </w:rPr>
        <w:t>。</w:t>
      </w:r>
    </w:p>
    <w:p w14:paraId="02997C87">
      <w:pPr>
        <w:numPr>
          <w:ilvl w:val="0"/>
          <w:numId w:val="8"/>
        </w:numPr>
        <w:snapToGrid w:val="0"/>
        <w:spacing w:after="60" w:afterLines="25"/>
        <w:ind w:left="1456"/>
        <w:rPr>
          <w:rFonts w:hint="eastAsia" w:ascii="宋体" w:hAnsi="宋体" w:eastAsia="宋体" w:cs="Times New Roman"/>
          <w:color w:val="FF0000"/>
          <w:kern w:val="2"/>
          <w:sz w:val="30"/>
          <w:szCs w:val="30"/>
          <w:lang w:val="en-US" w:eastAsia="zh-CN"/>
        </w:rPr>
      </w:pPr>
      <w:r>
        <w:rPr>
          <w:rFonts w:hint="eastAsia" w:ascii="宋体" w:hAnsi="宋体" w:eastAsia="宋体" w:cs="Times New Roman"/>
          <w:color w:val="FF0000"/>
          <w:kern w:val="2"/>
          <w:sz w:val="30"/>
          <w:szCs w:val="30"/>
          <w:lang w:val="en-US" w:eastAsia="zh-CN"/>
        </w:rPr>
        <w:t>严格落实国务院办公厅关于在政府采购中实施本国产品标准及相关政策的通知，出具关于符合本国产品标准的声明函</w:t>
      </w:r>
    </w:p>
    <w:p w14:paraId="6AB071F2">
      <w:pPr>
        <w:numPr>
          <w:ilvl w:val="0"/>
          <w:numId w:val="0"/>
        </w:numPr>
        <w:snapToGrid w:val="0"/>
        <w:spacing w:after="60" w:afterLines="25"/>
        <w:rPr>
          <w:rFonts w:hint="eastAsia" w:ascii="宋体" w:hAnsi="宋体" w:eastAsia="宋体"/>
          <w:color w:val="FF0000"/>
          <w:kern w:val="2"/>
          <w:sz w:val="30"/>
          <w:szCs w:val="30"/>
        </w:rPr>
      </w:pPr>
    </w:p>
    <w:p w14:paraId="539CFFFD">
      <w:pPr>
        <w:pStyle w:val="17"/>
        <w:rPr>
          <w:rFonts w:hint="eastAsia"/>
          <w:color w:val="FF0000"/>
        </w:rPr>
      </w:pPr>
    </w:p>
    <w:p w14:paraId="0B06829C">
      <w:pPr>
        <w:snapToGrid w:val="0"/>
        <w:spacing w:after="60" w:afterLines="25"/>
        <w:rPr>
          <w:rFonts w:ascii="宋体" w:hAnsi="宋体" w:eastAsia="宋体" w:cs="宋体"/>
          <w:b/>
          <w:color w:val="FF0000"/>
          <w:sz w:val="32"/>
          <w:szCs w:val="32"/>
        </w:rPr>
      </w:pPr>
      <w:r>
        <w:br w:type="page"/>
      </w:r>
    </w:p>
    <w:p w14:paraId="5C60EAFE">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14:paraId="7E302830">
      <w:pPr>
        <w:spacing w:line="440" w:lineRule="exact"/>
        <w:rPr>
          <w:rFonts w:hint="eastAsia" w:asciiTheme="minorEastAsia" w:hAnsiTheme="minorEastAsia" w:eastAsiaTheme="minorEastAsia" w:cstheme="minorEastAsia"/>
          <w:b w:val="0"/>
          <w:bCs w:val="0"/>
          <w:szCs w:val="21"/>
        </w:rPr>
      </w:pPr>
    </w:p>
    <w:p w14:paraId="70ECB5B3">
      <w:pPr>
        <w:spacing w:line="440" w:lineRule="exact"/>
        <w:rPr>
          <w:rFonts w:hint="eastAsia" w:asciiTheme="minorEastAsia" w:hAnsiTheme="minorEastAsia" w:eastAsiaTheme="minorEastAsia" w:cstheme="minorEastAsia"/>
          <w:b w:val="0"/>
          <w:bCs w:val="0"/>
          <w:szCs w:val="21"/>
        </w:rPr>
      </w:pPr>
    </w:p>
    <w:p w14:paraId="5856D2C1">
      <w:pPr>
        <w:spacing w:line="440" w:lineRule="exact"/>
        <w:rPr>
          <w:rFonts w:hint="eastAsia" w:asciiTheme="minorEastAsia" w:hAnsiTheme="minorEastAsia" w:eastAsiaTheme="minorEastAsia" w:cstheme="minorEastAsia"/>
          <w:b w:val="0"/>
          <w:bCs w:val="0"/>
          <w:szCs w:val="21"/>
        </w:rPr>
      </w:pPr>
    </w:p>
    <w:p w14:paraId="5DDA2996">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tblGrid>
      <w:tr w14:paraId="6B2C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2653E06F">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14:paraId="4F71D37A">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14:paraId="44D48D56">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r>
      <w:tr w14:paraId="573F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6D4842F5">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14:paraId="52DC3338">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14:paraId="6DCBF87D">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14:paraId="570F060E">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r>
    </w:tbl>
    <w:p w14:paraId="34AE7945">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14:paraId="5B4593C8">
      <w:pPr>
        <w:pStyle w:val="9"/>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14:paraId="7F2F938D">
      <w:pPr>
        <w:spacing w:line="600" w:lineRule="exact"/>
        <w:ind w:firstLine="560" w:firstLineChars="200"/>
        <w:rPr>
          <w:rFonts w:hint="eastAsia" w:asciiTheme="minorEastAsia" w:hAnsiTheme="minorEastAsia" w:eastAsiaTheme="minorEastAsia" w:cstheme="minorEastAsia"/>
          <w:sz w:val="28"/>
          <w:szCs w:val="28"/>
        </w:rPr>
      </w:pPr>
    </w:p>
    <w:p w14:paraId="598E0F89">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14:paraId="0C16022E">
      <w:pPr>
        <w:pStyle w:val="21"/>
        <w:rPr>
          <w:rFonts w:hint="eastAsia" w:asciiTheme="minorEastAsia" w:hAnsiTheme="minorEastAsia" w:eastAsiaTheme="minorEastAsia" w:cstheme="minorEastAsia"/>
        </w:rPr>
      </w:pPr>
    </w:p>
    <w:p w14:paraId="755D2564">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14:paraId="758020BB">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46CD65E7">
      <w:pPr>
        <w:pStyle w:val="18"/>
        <w:rPr>
          <w:rFonts w:hint="eastAsia" w:ascii="仿宋" w:hAnsi="仿宋" w:eastAsia="仿宋"/>
          <w:sz w:val="28"/>
          <w:szCs w:val="28"/>
        </w:rPr>
      </w:pPr>
    </w:p>
    <w:p w14:paraId="5BFBA7C0">
      <w:pPr>
        <w:pStyle w:val="18"/>
        <w:rPr>
          <w:rFonts w:hint="eastAsia" w:ascii="仿宋" w:hAnsi="仿宋" w:eastAsia="仿宋"/>
          <w:sz w:val="28"/>
          <w:szCs w:val="28"/>
        </w:rPr>
      </w:pPr>
    </w:p>
    <w:p w14:paraId="147FF568">
      <w:pPr>
        <w:pStyle w:val="18"/>
        <w:rPr>
          <w:rFonts w:hint="eastAsia" w:ascii="仿宋" w:hAnsi="仿宋" w:eastAsia="仿宋"/>
          <w:sz w:val="28"/>
          <w:szCs w:val="28"/>
        </w:rPr>
      </w:pPr>
    </w:p>
    <w:p w14:paraId="7868C84B">
      <w:pPr>
        <w:pStyle w:val="18"/>
        <w:rPr>
          <w:rFonts w:hint="eastAsia" w:ascii="仿宋" w:hAnsi="仿宋" w:eastAsia="仿宋"/>
          <w:sz w:val="28"/>
          <w:szCs w:val="28"/>
        </w:rPr>
      </w:pPr>
    </w:p>
    <w:p w14:paraId="3C8C70E8">
      <w:pPr>
        <w:spacing w:after="60" w:afterLines="25" w:line="300" w:lineRule="auto"/>
      </w:pPr>
    </w:p>
    <w:p w14:paraId="0D853F61">
      <w:pPr>
        <w:spacing w:after="60" w:afterLines="25" w:line="300" w:lineRule="auto"/>
      </w:pPr>
    </w:p>
    <w:p w14:paraId="4FB1162C">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14:paraId="3516F8D4">
      <w:pPr>
        <w:snapToGrid w:val="0"/>
        <w:spacing w:line="360" w:lineRule="auto"/>
        <w:rPr>
          <w:rFonts w:ascii="Arial" w:hAnsi="Arial" w:eastAsia="宋体"/>
        </w:rPr>
      </w:pPr>
    </w:p>
    <w:p w14:paraId="3AF893D7">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喀什市公安局</w:t>
      </w:r>
    </w:p>
    <w:p w14:paraId="3BD5BECC">
      <w:pPr>
        <w:ind w:right="-815" w:firstLine="480" w:firstLineChars="200"/>
        <w:rPr>
          <w:rFonts w:ascii="宋体" w:hAnsi="宋体"/>
          <w:szCs w:val="21"/>
        </w:rPr>
      </w:pPr>
      <w:r>
        <w:rPr>
          <w:rFonts w:hint="eastAsia" w:ascii="宋体" w:hAnsi="宋体"/>
          <w:szCs w:val="21"/>
        </w:rPr>
        <w:t>我单位承诺：</w:t>
      </w:r>
    </w:p>
    <w:p w14:paraId="3D9FA3E7">
      <w:pPr>
        <w:ind w:firstLine="480" w:firstLineChars="200"/>
        <w:rPr>
          <w:rFonts w:ascii="宋体" w:hAnsi="宋体"/>
          <w:szCs w:val="21"/>
        </w:rPr>
      </w:pPr>
      <w:r>
        <w:rPr>
          <w:rFonts w:hint="eastAsia" w:ascii="宋体" w:hAnsi="宋体"/>
          <w:szCs w:val="21"/>
        </w:rPr>
        <w:t>1.我单位本招标项目所提供的货物或服务未侵犯知识产权。</w:t>
      </w:r>
    </w:p>
    <w:p w14:paraId="04743A7B">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14:paraId="0E5092BB">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14:paraId="736775D1">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14:paraId="63592F18">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14:paraId="71937300">
      <w:pPr>
        <w:ind w:firstLine="480" w:firstLineChars="200"/>
        <w:rPr>
          <w:rFonts w:ascii="宋体" w:hAnsi="宋体"/>
          <w:szCs w:val="21"/>
        </w:rPr>
      </w:pPr>
      <w:r>
        <w:rPr>
          <w:rFonts w:hint="eastAsia" w:ascii="宋体" w:hAnsi="宋体"/>
          <w:szCs w:val="21"/>
        </w:rPr>
        <w:t>6.</w:t>
      </w:r>
      <w:bookmarkStart w:id="10" w:name="_Hlk72587269"/>
      <w:bookmarkStart w:id="11"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0"/>
      <w:r>
        <w:rPr>
          <w:rFonts w:hint="eastAsia" w:ascii="宋体" w:hAnsi="宋体"/>
          <w:szCs w:val="21"/>
        </w:rPr>
        <w:t>。</w:t>
      </w:r>
      <w:bookmarkEnd w:id="11"/>
    </w:p>
    <w:p w14:paraId="5BA04D22">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CC939A5">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BB6AFF3">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458FBA7">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14:paraId="2D4108BE">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w:t>
      </w:r>
      <w:r>
        <w:rPr>
          <w:rFonts w:hint="eastAsia" w:ascii="宋体" w:hAnsi="宋体" w:eastAsia="宋体"/>
          <w:lang w:eastAsia="zh-CN"/>
        </w:rPr>
        <w:t>批发业</w:t>
      </w:r>
      <w:r>
        <w:rPr>
          <w:rFonts w:hint="eastAsia" w:ascii="宋体" w:hAnsi="宋体"/>
        </w:rPr>
        <w:t>设计权等知识产权和侵犯其所有权、抵押权等物权及其他权利而引发的纠纷；如有纠纷，我单位承担全部责任。</w:t>
      </w:r>
    </w:p>
    <w:p w14:paraId="1CAF1AE4">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14:paraId="4E223638">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14:paraId="62AF225F">
      <w:pPr>
        <w:snapToGrid w:val="0"/>
        <w:ind w:firstLine="480" w:firstLineChars="200"/>
        <w:rPr>
          <w:rFonts w:ascii="宋体" w:hAnsi="宋体" w:eastAsia="宋体"/>
        </w:rPr>
      </w:pPr>
    </w:p>
    <w:p w14:paraId="2580D8C7">
      <w:pPr>
        <w:snapToGrid w:val="0"/>
        <w:ind w:firstLine="480" w:firstLineChars="200"/>
        <w:rPr>
          <w:rFonts w:ascii="宋体" w:hAnsi="宋体" w:eastAsia="宋体"/>
        </w:rPr>
      </w:pPr>
    </w:p>
    <w:p w14:paraId="22583487">
      <w:pPr>
        <w:snapToGrid w:val="0"/>
        <w:ind w:right="420"/>
        <w:rPr>
          <w:rFonts w:ascii="宋体" w:hAnsi="宋体" w:eastAsia="宋体"/>
        </w:rPr>
      </w:pPr>
      <w:r>
        <w:rPr>
          <w:rFonts w:hint="eastAsia" w:ascii="宋体" w:hAnsi="宋体" w:eastAsia="宋体"/>
        </w:rPr>
        <w:t xml:space="preserve">                        投标单位（投标人）名称：</w:t>
      </w:r>
    </w:p>
    <w:p w14:paraId="478353B9">
      <w:pPr>
        <w:snapToGrid w:val="0"/>
        <w:ind w:right="450" w:firstLine="480" w:firstLineChars="200"/>
        <w:jc w:val="right"/>
        <w:rPr>
          <w:rFonts w:ascii="宋体" w:hAnsi="宋体" w:eastAsia="宋体"/>
        </w:rPr>
      </w:pPr>
      <w:r>
        <w:rPr>
          <w:rFonts w:hint="eastAsia" w:ascii="宋体" w:hAnsi="宋体" w:eastAsia="宋体"/>
        </w:rPr>
        <w:t>年月日</w:t>
      </w:r>
    </w:p>
    <w:p w14:paraId="1ACEC12C">
      <w:pPr>
        <w:snapToGrid w:val="0"/>
        <w:spacing w:line="360" w:lineRule="auto"/>
        <w:ind w:right="450" w:firstLine="480" w:firstLineChars="200"/>
        <w:jc w:val="right"/>
        <w:rPr>
          <w:rFonts w:ascii="仿宋" w:hAnsi="仿宋" w:eastAsia="仿宋"/>
        </w:rPr>
      </w:pPr>
    </w:p>
    <w:p w14:paraId="1BE437A1">
      <w:pPr>
        <w:snapToGrid w:val="0"/>
        <w:spacing w:line="360" w:lineRule="auto"/>
        <w:ind w:right="450" w:firstLine="480" w:firstLineChars="200"/>
        <w:jc w:val="right"/>
        <w:rPr>
          <w:rFonts w:ascii="仿宋" w:hAnsi="仿宋" w:eastAsia="仿宋"/>
        </w:rPr>
      </w:pPr>
    </w:p>
    <w:p w14:paraId="54DAC79E">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6B3E66FD">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14:paraId="2D4401A0">
      <w:pPr>
        <w:rPr>
          <w:rFonts w:hint="eastAsia"/>
        </w:rPr>
      </w:pPr>
    </w:p>
    <w:p w14:paraId="3EA13F52">
      <w:pPr>
        <w:rPr>
          <w:rFonts w:hint="eastAsia"/>
        </w:rPr>
      </w:pPr>
    </w:p>
    <w:p w14:paraId="6A8B4171">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14:paraId="7BCE8A7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14:paraId="4E4E6496">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14:paraId="508A8F7F">
      <w:pPr>
        <w:pStyle w:val="9"/>
        <w:ind w:left="0" w:leftChars="0" w:firstLine="0" w:firstLineChars="0"/>
        <w:rPr>
          <w:rFonts w:hint="eastAsia"/>
        </w:rPr>
      </w:pPr>
      <w:r>
        <w:rPr>
          <w:rFonts w:hint="eastAsia"/>
        </w:rPr>
        <w:br w:type="page"/>
      </w:r>
    </w:p>
    <w:p w14:paraId="269C4241">
      <w:pPr>
        <w:rPr>
          <w:rFonts w:hint="eastAsia"/>
          <w:color w:val="FF0000"/>
        </w:rPr>
      </w:pPr>
    </w:p>
    <w:p w14:paraId="4AFEFD2F">
      <w:pPr>
        <w:jc w:val="center"/>
        <w:outlineLvl w:val="3"/>
        <w:rPr>
          <w:rFonts w:hint="eastAsia" w:asciiTheme="majorEastAsia" w:hAnsiTheme="majorEastAsia" w:eastAsiaTheme="majorEastAsia" w:cstheme="majorEastAsia"/>
          <w:b/>
          <w:bCs/>
          <w:color w:val="FF0000"/>
          <w:szCs w:val="20"/>
          <w:lang w:val="en-US" w:eastAsia="zh-CN"/>
        </w:rPr>
      </w:pPr>
      <w:r>
        <w:rPr>
          <w:rFonts w:hint="eastAsia" w:asciiTheme="majorEastAsia" w:hAnsiTheme="majorEastAsia" w:eastAsiaTheme="majorEastAsia" w:cstheme="majorEastAsia"/>
          <w:b/>
          <w:bCs/>
          <w:color w:val="FF0000"/>
          <w:szCs w:val="20"/>
          <w:lang w:val="en-US" w:eastAsia="zh-CN"/>
        </w:rPr>
        <w:t>4.年度财务审计报告书扫描件或银行资信证明扫描件</w:t>
      </w:r>
    </w:p>
    <w:p w14:paraId="6041E89A">
      <w:pPr>
        <w:tabs>
          <w:tab w:val="left" w:pos="5580"/>
        </w:tabs>
        <w:spacing w:line="240" w:lineRule="atLeast"/>
        <w:ind w:left="1157" w:leftChars="257" w:hanging="540"/>
        <w:rPr>
          <w:rFonts w:hint="eastAsia" w:ascii="仿宋_GB2312" w:eastAsia="仿宋_GB2312"/>
          <w:color w:val="FF0000"/>
          <w:sz w:val="24"/>
        </w:rPr>
      </w:pPr>
    </w:p>
    <w:p w14:paraId="7BB09984">
      <w:pPr>
        <w:pStyle w:val="33"/>
        <w:numPr>
          <w:ilvl w:val="0"/>
          <w:numId w:val="0"/>
        </w:numPr>
        <w:ind w:left="900" w:leftChars="0"/>
        <w:jc w:val="both"/>
        <w:rPr>
          <w:rFonts w:hint="eastAsia" w:eastAsia="宋体"/>
          <w:color w:val="FF0000"/>
          <w:lang w:eastAsia="zh-CN"/>
        </w:rPr>
      </w:pPr>
      <w:r>
        <w:rPr>
          <w:rFonts w:hint="eastAsia" w:eastAsia="宋体"/>
          <w:color w:val="FF0000"/>
          <w:lang w:eastAsia="zh-CN"/>
        </w:rPr>
        <w:t>说明：</w:t>
      </w:r>
    </w:p>
    <w:p w14:paraId="0264FD19">
      <w:pPr>
        <w:tabs>
          <w:tab w:val="left" w:pos="5580"/>
        </w:tabs>
        <w:spacing w:line="240" w:lineRule="atLeast"/>
        <w:ind w:left="540"/>
        <w:rPr>
          <w:rFonts w:hint="eastAsia" w:ascii="仿宋_GB2312" w:hAnsi="宋体" w:eastAsia="仿宋_GB2312"/>
          <w:bCs/>
          <w:color w:val="FF0000"/>
          <w:sz w:val="24"/>
          <w:lang w:eastAsia="zh-CN"/>
        </w:rPr>
      </w:pPr>
      <w:r>
        <w:rPr>
          <w:rFonts w:hint="eastAsia" w:ascii="仿宋_GB2312" w:eastAsia="仿宋_GB2312"/>
          <w:color w:val="FF0000"/>
          <w:sz w:val="24"/>
        </w:rPr>
        <w:t>1、提供本单位</w:t>
      </w:r>
      <w:r>
        <w:rPr>
          <w:rFonts w:hint="eastAsia" w:ascii="仿宋_GB2312" w:eastAsia="仿宋_GB2312"/>
          <w:color w:val="FF0000"/>
          <w:sz w:val="24"/>
          <w:lang w:val="en-US" w:eastAsia="zh-CN"/>
        </w:rPr>
        <w:t>2024或2025年度的年度</w:t>
      </w:r>
      <w:r>
        <w:rPr>
          <w:rFonts w:hint="eastAsia" w:ascii="仿宋_GB2312" w:eastAsia="仿宋_GB2312"/>
          <w:color w:val="FF0000"/>
          <w:sz w:val="24"/>
        </w:rPr>
        <w:t>经会计师事务所出具的审计报告复印件扫描件或影印件</w:t>
      </w:r>
      <w:r>
        <w:rPr>
          <w:rFonts w:hint="eastAsia" w:ascii="仿宋_GB2312" w:eastAsia="仿宋_GB2312"/>
          <w:bCs/>
          <w:color w:val="FF0000"/>
          <w:sz w:val="24"/>
        </w:rPr>
        <w:t>。（新办企业（营业执照所标注的成立日期距本项目开标日期一年内为新办企业）提供银行资信证明扫描件或影印件）</w:t>
      </w:r>
      <w:r>
        <w:rPr>
          <w:rFonts w:hint="eastAsia" w:ascii="仿宋_GB2312" w:eastAsia="仿宋_GB2312"/>
          <w:bCs/>
          <w:color w:val="FF0000"/>
          <w:sz w:val="24"/>
          <w:lang w:eastAsia="zh-CN"/>
        </w:rPr>
        <w:t>；</w:t>
      </w:r>
    </w:p>
    <w:p w14:paraId="53033139">
      <w:pPr>
        <w:tabs>
          <w:tab w:val="left" w:pos="5580"/>
        </w:tabs>
        <w:spacing w:line="240" w:lineRule="atLeast"/>
        <w:ind w:left="540"/>
        <w:rPr>
          <w:rFonts w:hint="eastAsia" w:ascii="仿宋_GB2312" w:eastAsia="仿宋_GB2312"/>
          <w:color w:val="FF0000"/>
          <w:sz w:val="24"/>
        </w:rPr>
      </w:pPr>
      <w:r>
        <w:rPr>
          <w:rFonts w:hint="eastAsia" w:ascii="仿宋_GB2312" w:eastAsia="仿宋_GB2312"/>
          <w:color w:val="FF0000"/>
          <w:sz w:val="24"/>
        </w:rPr>
        <w:t>2、如提供</w:t>
      </w:r>
      <w:r>
        <w:rPr>
          <w:rFonts w:hint="eastAsia" w:ascii="仿宋_GB2312" w:hAnsi="宋体" w:eastAsia="仿宋_GB2312"/>
          <w:color w:val="FF0000"/>
          <w:sz w:val="24"/>
        </w:rPr>
        <w:t>银行出具的证明文件。</w:t>
      </w:r>
      <w:r>
        <w:rPr>
          <w:rFonts w:hint="eastAsia" w:ascii="仿宋_GB2312" w:eastAsia="仿宋_GB2312"/>
          <w:color w:val="FF0000"/>
          <w:sz w:val="24"/>
        </w:rPr>
        <w:t>银行出具</w:t>
      </w:r>
      <w:r>
        <w:rPr>
          <w:rFonts w:ascii="仿宋_GB2312" w:eastAsia="仿宋_GB2312"/>
          <w:color w:val="FF0000"/>
          <w:sz w:val="24"/>
        </w:rPr>
        <w:t>的</w:t>
      </w:r>
      <w:r>
        <w:rPr>
          <w:rFonts w:hint="eastAsia" w:ascii="仿宋_GB2312" w:eastAsia="仿宋_GB2312"/>
          <w:color w:val="FF0000"/>
          <w:sz w:val="24"/>
        </w:rPr>
        <w:t>证明文件应能说明该投标人与银行之间业务往来正常，企业信誉良好等。</w:t>
      </w:r>
    </w:p>
    <w:p w14:paraId="28FFC3D2">
      <w:pPr>
        <w:tabs>
          <w:tab w:val="left" w:pos="5580"/>
        </w:tabs>
        <w:spacing w:line="240" w:lineRule="atLeast"/>
        <w:ind w:left="540"/>
        <w:rPr>
          <w:rFonts w:ascii="仿宋_GB2312" w:eastAsia="仿宋_GB2312"/>
          <w:color w:val="FF0000"/>
          <w:sz w:val="24"/>
        </w:rPr>
      </w:pPr>
      <w:r>
        <w:rPr>
          <w:rFonts w:hint="eastAsia" w:ascii="仿宋_GB2312" w:eastAsia="仿宋_GB2312"/>
          <w:color w:val="FF0000"/>
          <w:sz w:val="24"/>
          <w:lang w:val="en-US" w:eastAsia="zh-CN"/>
        </w:rPr>
        <w:t>3、</w:t>
      </w:r>
      <w:r>
        <w:rPr>
          <w:rFonts w:hint="eastAsia" w:ascii="仿宋_GB2312" w:eastAsia="仿宋_GB2312"/>
          <w:color w:val="FF0000"/>
          <w:sz w:val="24"/>
        </w:rPr>
        <w:t>如果是联合体投标，联合体各方均需提供上述证明。</w:t>
      </w:r>
    </w:p>
    <w:p w14:paraId="54A633FD">
      <w:pPr>
        <w:jc w:val="center"/>
        <w:rPr>
          <w:rFonts w:hint="eastAsia" w:asciiTheme="majorEastAsia" w:hAnsiTheme="majorEastAsia" w:eastAsiaTheme="majorEastAsia" w:cstheme="majorEastAsia"/>
          <w:b/>
          <w:bCs/>
          <w:color w:val="FF0000"/>
          <w:szCs w:val="20"/>
          <w:lang w:val="en-US" w:eastAsia="zh-CN"/>
        </w:rPr>
      </w:pPr>
    </w:p>
    <w:p w14:paraId="6EB8D48C">
      <w:pPr>
        <w:jc w:val="center"/>
        <w:rPr>
          <w:rFonts w:hint="eastAsia" w:asciiTheme="majorEastAsia" w:hAnsiTheme="majorEastAsia" w:eastAsiaTheme="majorEastAsia" w:cstheme="majorEastAsia"/>
          <w:b/>
          <w:bCs/>
          <w:color w:val="FF0000"/>
          <w:szCs w:val="20"/>
          <w:lang w:val="en-US" w:eastAsia="zh-CN"/>
        </w:rPr>
      </w:pPr>
    </w:p>
    <w:p w14:paraId="07E9A76E">
      <w:pPr>
        <w:pStyle w:val="9"/>
        <w:rPr>
          <w:rFonts w:hint="eastAsia" w:asciiTheme="majorEastAsia" w:hAnsiTheme="majorEastAsia" w:eastAsiaTheme="majorEastAsia" w:cstheme="majorEastAsia"/>
          <w:b/>
          <w:bCs/>
          <w:color w:val="FF0000"/>
          <w:szCs w:val="20"/>
          <w:lang w:val="en-US" w:eastAsia="zh-CN"/>
        </w:rPr>
      </w:pPr>
    </w:p>
    <w:p w14:paraId="2399B4E9">
      <w:pPr>
        <w:rPr>
          <w:rFonts w:hint="eastAsia" w:asciiTheme="majorEastAsia" w:hAnsiTheme="majorEastAsia" w:eastAsiaTheme="majorEastAsia" w:cstheme="majorEastAsia"/>
          <w:b/>
          <w:bCs/>
          <w:color w:val="FF0000"/>
          <w:szCs w:val="20"/>
          <w:lang w:val="en-US" w:eastAsia="zh-CN"/>
        </w:rPr>
      </w:pPr>
    </w:p>
    <w:p w14:paraId="4303ED8F">
      <w:pPr>
        <w:pStyle w:val="9"/>
        <w:rPr>
          <w:rFonts w:hint="eastAsia" w:asciiTheme="majorEastAsia" w:hAnsiTheme="majorEastAsia" w:eastAsiaTheme="majorEastAsia" w:cstheme="majorEastAsia"/>
          <w:b/>
          <w:bCs/>
          <w:color w:val="FF0000"/>
          <w:szCs w:val="20"/>
          <w:lang w:val="en-US" w:eastAsia="zh-CN"/>
        </w:rPr>
      </w:pPr>
    </w:p>
    <w:p w14:paraId="1295F5B0">
      <w:pPr>
        <w:rPr>
          <w:rFonts w:hint="eastAsia" w:asciiTheme="majorEastAsia" w:hAnsiTheme="majorEastAsia" w:eastAsiaTheme="majorEastAsia" w:cstheme="majorEastAsia"/>
          <w:b/>
          <w:bCs/>
          <w:color w:val="FF0000"/>
          <w:szCs w:val="20"/>
          <w:lang w:val="en-US" w:eastAsia="zh-CN"/>
        </w:rPr>
      </w:pPr>
    </w:p>
    <w:p w14:paraId="7A679596">
      <w:pPr>
        <w:pStyle w:val="9"/>
        <w:rPr>
          <w:rFonts w:hint="eastAsia" w:asciiTheme="majorEastAsia" w:hAnsiTheme="majorEastAsia" w:eastAsiaTheme="majorEastAsia" w:cstheme="majorEastAsia"/>
          <w:b/>
          <w:bCs/>
          <w:color w:val="FF0000"/>
          <w:szCs w:val="20"/>
          <w:lang w:val="en-US" w:eastAsia="zh-CN"/>
        </w:rPr>
      </w:pPr>
    </w:p>
    <w:p w14:paraId="5355F200">
      <w:pPr>
        <w:rPr>
          <w:rFonts w:hint="eastAsia" w:asciiTheme="majorEastAsia" w:hAnsiTheme="majorEastAsia" w:eastAsiaTheme="majorEastAsia" w:cstheme="majorEastAsia"/>
          <w:b/>
          <w:bCs/>
          <w:color w:val="FF0000"/>
          <w:szCs w:val="20"/>
          <w:lang w:val="en-US" w:eastAsia="zh-CN"/>
        </w:rPr>
      </w:pPr>
    </w:p>
    <w:p w14:paraId="257340A8">
      <w:pPr>
        <w:pStyle w:val="9"/>
        <w:rPr>
          <w:rFonts w:hint="eastAsia" w:asciiTheme="majorEastAsia" w:hAnsiTheme="majorEastAsia" w:eastAsiaTheme="majorEastAsia" w:cstheme="majorEastAsia"/>
          <w:b/>
          <w:bCs/>
          <w:color w:val="FF0000"/>
          <w:szCs w:val="20"/>
          <w:lang w:val="en-US" w:eastAsia="zh-CN"/>
        </w:rPr>
      </w:pPr>
    </w:p>
    <w:p w14:paraId="38331987">
      <w:pPr>
        <w:rPr>
          <w:rFonts w:hint="eastAsia" w:asciiTheme="majorEastAsia" w:hAnsiTheme="majorEastAsia" w:eastAsiaTheme="majorEastAsia" w:cstheme="majorEastAsia"/>
          <w:b/>
          <w:bCs/>
          <w:color w:val="FF0000"/>
          <w:szCs w:val="20"/>
          <w:lang w:val="en-US" w:eastAsia="zh-CN"/>
        </w:rPr>
      </w:pPr>
    </w:p>
    <w:p w14:paraId="615F3EE1">
      <w:pPr>
        <w:pStyle w:val="9"/>
        <w:rPr>
          <w:rFonts w:hint="eastAsia" w:asciiTheme="majorEastAsia" w:hAnsiTheme="majorEastAsia" w:eastAsiaTheme="majorEastAsia" w:cstheme="majorEastAsia"/>
          <w:b/>
          <w:bCs/>
          <w:color w:val="FF0000"/>
          <w:szCs w:val="20"/>
          <w:lang w:val="en-US" w:eastAsia="zh-CN"/>
        </w:rPr>
      </w:pPr>
    </w:p>
    <w:p w14:paraId="1A4825ED">
      <w:pPr>
        <w:rPr>
          <w:rFonts w:hint="eastAsia" w:asciiTheme="majorEastAsia" w:hAnsiTheme="majorEastAsia" w:eastAsiaTheme="majorEastAsia" w:cstheme="majorEastAsia"/>
          <w:b/>
          <w:bCs/>
          <w:color w:val="FF0000"/>
          <w:szCs w:val="20"/>
          <w:lang w:val="en-US" w:eastAsia="zh-CN"/>
        </w:rPr>
      </w:pPr>
    </w:p>
    <w:p w14:paraId="65E45E0D">
      <w:pPr>
        <w:pStyle w:val="9"/>
        <w:rPr>
          <w:rFonts w:hint="eastAsia" w:asciiTheme="majorEastAsia" w:hAnsiTheme="majorEastAsia" w:eastAsiaTheme="majorEastAsia" w:cstheme="majorEastAsia"/>
          <w:b/>
          <w:bCs/>
          <w:color w:val="FF0000"/>
          <w:szCs w:val="20"/>
          <w:lang w:val="en-US" w:eastAsia="zh-CN"/>
        </w:rPr>
      </w:pPr>
    </w:p>
    <w:p w14:paraId="56976280">
      <w:pPr>
        <w:rPr>
          <w:rFonts w:hint="eastAsia" w:asciiTheme="majorEastAsia" w:hAnsiTheme="majorEastAsia" w:eastAsiaTheme="majorEastAsia" w:cstheme="majorEastAsia"/>
          <w:b/>
          <w:bCs/>
          <w:color w:val="FF0000"/>
          <w:szCs w:val="20"/>
          <w:lang w:val="en-US" w:eastAsia="zh-CN"/>
        </w:rPr>
      </w:pPr>
    </w:p>
    <w:p w14:paraId="610377C2">
      <w:pPr>
        <w:pStyle w:val="9"/>
        <w:rPr>
          <w:rFonts w:hint="eastAsia" w:asciiTheme="majorEastAsia" w:hAnsiTheme="majorEastAsia" w:eastAsiaTheme="majorEastAsia" w:cstheme="majorEastAsia"/>
          <w:b/>
          <w:bCs/>
          <w:color w:val="FF0000"/>
          <w:szCs w:val="20"/>
          <w:lang w:val="en-US" w:eastAsia="zh-CN"/>
        </w:rPr>
      </w:pPr>
    </w:p>
    <w:p w14:paraId="0DD3C9B7">
      <w:pPr>
        <w:rPr>
          <w:rFonts w:hint="eastAsia" w:asciiTheme="majorEastAsia" w:hAnsiTheme="majorEastAsia" w:eastAsiaTheme="majorEastAsia" w:cstheme="majorEastAsia"/>
          <w:b/>
          <w:bCs/>
          <w:color w:val="FF0000"/>
          <w:szCs w:val="20"/>
          <w:lang w:val="en-US" w:eastAsia="zh-CN"/>
        </w:rPr>
      </w:pPr>
    </w:p>
    <w:p w14:paraId="5FF6B0A3">
      <w:pPr>
        <w:pStyle w:val="9"/>
        <w:rPr>
          <w:rFonts w:hint="eastAsia" w:asciiTheme="majorEastAsia" w:hAnsiTheme="majorEastAsia" w:eastAsiaTheme="majorEastAsia" w:cstheme="majorEastAsia"/>
          <w:b/>
          <w:bCs/>
          <w:color w:val="FF0000"/>
          <w:szCs w:val="20"/>
          <w:lang w:val="en-US" w:eastAsia="zh-CN"/>
        </w:rPr>
      </w:pPr>
    </w:p>
    <w:p w14:paraId="4E880029">
      <w:pPr>
        <w:rPr>
          <w:rFonts w:hint="eastAsia" w:asciiTheme="majorEastAsia" w:hAnsiTheme="majorEastAsia" w:eastAsiaTheme="majorEastAsia" w:cstheme="majorEastAsia"/>
          <w:b/>
          <w:bCs/>
          <w:color w:val="FF0000"/>
          <w:szCs w:val="20"/>
          <w:lang w:val="en-US" w:eastAsia="zh-CN"/>
        </w:rPr>
      </w:pPr>
    </w:p>
    <w:p w14:paraId="08DE2552">
      <w:pPr>
        <w:pStyle w:val="9"/>
        <w:rPr>
          <w:rFonts w:hint="eastAsia" w:asciiTheme="majorEastAsia" w:hAnsiTheme="majorEastAsia" w:eastAsiaTheme="majorEastAsia" w:cstheme="majorEastAsia"/>
          <w:b/>
          <w:bCs/>
          <w:color w:val="FF0000"/>
          <w:szCs w:val="20"/>
          <w:lang w:val="en-US" w:eastAsia="zh-CN"/>
        </w:rPr>
      </w:pPr>
    </w:p>
    <w:p w14:paraId="78E2AA8B">
      <w:pPr>
        <w:rPr>
          <w:rFonts w:hint="eastAsia" w:asciiTheme="majorEastAsia" w:hAnsiTheme="majorEastAsia" w:eastAsiaTheme="majorEastAsia" w:cstheme="majorEastAsia"/>
          <w:b/>
          <w:bCs/>
          <w:color w:val="FF0000"/>
          <w:szCs w:val="20"/>
          <w:lang w:val="en-US" w:eastAsia="zh-CN"/>
        </w:rPr>
      </w:pPr>
    </w:p>
    <w:p w14:paraId="790FA571">
      <w:pPr>
        <w:pStyle w:val="9"/>
        <w:rPr>
          <w:rFonts w:hint="eastAsia" w:asciiTheme="majorEastAsia" w:hAnsiTheme="majorEastAsia" w:eastAsiaTheme="majorEastAsia" w:cstheme="majorEastAsia"/>
          <w:b/>
          <w:bCs/>
          <w:color w:val="FF0000"/>
          <w:szCs w:val="20"/>
          <w:lang w:val="en-US" w:eastAsia="zh-CN"/>
        </w:rPr>
      </w:pPr>
    </w:p>
    <w:p w14:paraId="1E07BB40">
      <w:pPr>
        <w:rPr>
          <w:rFonts w:hint="eastAsia" w:asciiTheme="majorEastAsia" w:hAnsiTheme="majorEastAsia" w:eastAsiaTheme="majorEastAsia" w:cstheme="majorEastAsia"/>
          <w:b/>
          <w:bCs/>
          <w:color w:val="FF0000"/>
          <w:szCs w:val="20"/>
          <w:lang w:val="en-US" w:eastAsia="zh-CN"/>
        </w:rPr>
      </w:pPr>
    </w:p>
    <w:p w14:paraId="4446E6CF">
      <w:pPr>
        <w:pStyle w:val="9"/>
        <w:rPr>
          <w:rFonts w:hint="eastAsia" w:asciiTheme="majorEastAsia" w:hAnsiTheme="majorEastAsia" w:eastAsiaTheme="majorEastAsia" w:cstheme="majorEastAsia"/>
          <w:b/>
          <w:bCs/>
          <w:color w:val="FF0000"/>
          <w:szCs w:val="20"/>
          <w:lang w:val="en-US" w:eastAsia="zh-CN"/>
        </w:rPr>
      </w:pPr>
    </w:p>
    <w:p w14:paraId="66A6A1D4">
      <w:pPr>
        <w:rPr>
          <w:rFonts w:hint="eastAsia" w:asciiTheme="majorEastAsia" w:hAnsiTheme="majorEastAsia" w:eastAsiaTheme="majorEastAsia" w:cstheme="majorEastAsia"/>
          <w:b/>
          <w:bCs/>
          <w:color w:val="FF0000"/>
          <w:szCs w:val="20"/>
          <w:lang w:val="en-US" w:eastAsia="zh-CN"/>
        </w:rPr>
      </w:pPr>
    </w:p>
    <w:p w14:paraId="1FFCBB25">
      <w:pPr>
        <w:pStyle w:val="9"/>
        <w:ind w:left="0" w:leftChars="0" w:firstLine="0" w:firstLineChars="0"/>
        <w:rPr>
          <w:rFonts w:hint="eastAsia"/>
          <w:color w:val="FF0000"/>
          <w:lang w:val="en-US" w:eastAsia="zh-CN"/>
        </w:rPr>
      </w:pPr>
    </w:p>
    <w:p w14:paraId="42505E02">
      <w:pPr>
        <w:rPr>
          <w:rFonts w:hint="eastAsia"/>
          <w:color w:val="FF0000"/>
          <w:lang w:val="en-US" w:eastAsia="zh-CN"/>
        </w:rPr>
      </w:pPr>
    </w:p>
    <w:p w14:paraId="1EF9433B">
      <w:pPr>
        <w:numPr>
          <w:ilvl w:val="0"/>
          <w:numId w:val="0"/>
        </w:numPr>
        <w:jc w:val="both"/>
        <w:outlineLvl w:val="3"/>
        <w:rPr>
          <w:rFonts w:hint="eastAsia" w:asciiTheme="majorEastAsia" w:hAnsiTheme="majorEastAsia" w:eastAsiaTheme="majorEastAsia" w:cstheme="majorEastAsia"/>
          <w:b/>
          <w:bCs/>
          <w:color w:val="FF0000"/>
          <w:szCs w:val="20"/>
          <w:lang w:val="en-US" w:eastAsia="zh-CN"/>
        </w:rPr>
      </w:pPr>
    </w:p>
    <w:p w14:paraId="24ADCA43">
      <w:pPr>
        <w:numPr>
          <w:ilvl w:val="0"/>
          <w:numId w:val="0"/>
        </w:numPr>
        <w:jc w:val="both"/>
        <w:outlineLvl w:val="3"/>
        <w:rPr>
          <w:rFonts w:hint="eastAsia" w:asciiTheme="majorEastAsia" w:hAnsiTheme="majorEastAsia" w:eastAsiaTheme="majorEastAsia" w:cstheme="majorEastAsia"/>
          <w:b/>
          <w:bCs/>
          <w:color w:val="FF0000"/>
          <w:szCs w:val="20"/>
          <w:lang w:val="en-US" w:eastAsia="zh-CN"/>
        </w:rPr>
      </w:pPr>
    </w:p>
    <w:p w14:paraId="50C040AA">
      <w:pPr>
        <w:numPr>
          <w:ilvl w:val="0"/>
          <w:numId w:val="0"/>
        </w:numPr>
        <w:jc w:val="both"/>
        <w:outlineLvl w:val="3"/>
        <w:rPr>
          <w:rFonts w:hint="eastAsia" w:asciiTheme="majorEastAsia" w:hAnsiTheme="majorEastAsia" w:eastAsiaTheme="majorEastAsia" w:cstheme="majorEastAsia"/>
          <w:b/>
          <w:bCs/>
          <w:color w:val="FF0000"/>
          <w:szCs w:val="20"/>
          <w:lang w:val="en-US" w:eastAsia="zh-CN"/>
        </w:rPr>
      </w:pPr>
      <w:r>
        <w:rPr>
          <w:rFonts w:hint="eastAsia" w:asciiTheme="majorEastAsia" w:hAnsiTheme="majorEastAsia" w:eastAsiaTheme="majorEastAsia" w:cstheme="majorEastAsia"/>
          <w:b/>
          <w:bCs/>
          <w:color w:val="FF0000"/>
          <w:szCs w:val="20"/>
          <w:lang w:val="en-US" w:eastAsia="zh-CN"/>
        </w:rPr>
        <w:t>5.完税证明扫描件和社保缴纳记录明细扫描件</w:t>
      </w:r>
    </w:p>
    <w:p w14:paraId="07E99827">
      <w:pPr>
        <w:tabs>
          <w:tab w:val="left" w:pos="5580"/>
        </w:tabs>
        <w:spacing w:line="240" w:lineRule="atLeast"/>
        <w:ind w:left="540"/>
        <w:rPr>
          <w:rFonts w:hint="eastAsia" w:ascii="仿宋_GB2312" w:eastAsia="仿宋_GB2312"/>
          <w:color w:val="FF0000"/>
          <w:sz w:val="24"/>
          <w:lang w:val="en-US" w:eastAsia="zh-CN"/>
        </w:rPr>
      </w:pPr>
    </w:p>
    <w:p w14:paraId="1DD9B43A">
      <w:pPr>
        <w:tabs>
          <w:tab w:val="left" w:pos="5580"/>
        </w:tabs>
        <w:spacing w:line="240" w:lineRule="atLeast"/>
        <w:ind w:left="540"/>
        <w:rPr>
          <w:rFonts w:hint="eastAsia" w:ascii="仿宋_GB2312" w:eastAsia="仿宋_GB2312"/>
          <w:color w:val="FF0000"/>
          <w:sz w:val="24"/>
          <w:lang w:val="en-US" w:eastAsia="zh-CN"/>
        </w:rPr>
      </w:pPr>
    </w:p>
    <w:p w14:paraId="7351AF54">
      <w:pPr>
        <w:tabs>
          <w:tab w:val="left" w:pos="5580"/>
        </w:tabs>
        <w:spacing w:line="240" w:lineRule="atLeast"/>
        <w:ind w:left="540"/>
        <w:rPr>
          <w:rFonts w:hint="default" w:ascii="仿宋_GB2312" w:eastAsia="仿宋_GB2312"/>
          <w:color w:val="FF0000"/>
          <w:sz w:val="24"/>
          <w:lang w:val="en-US" w:eastAsia="zh-CN"/>
        </w:rPr>
      </w:pPr>
      <w:r>
        <w:rPr>
          <w:rFonts w:hint="eastAsia" w:ascii="仿宋_GB2312" w:eastAsia="仿宋_GB2312"/>
          <w:color w:val="FF0000"/>
          <w:sz w:val="24"/>
          <w:lang w:val="en-US" w:eastAsia="zh-CN"/>
        </w:rPr>
        <w:t>1、近6个月内任意一个月的完税证明扫描件和社保缴纳记录明细扫描件（含员工社保明细。注：1.无需提供委托人代理人或被授权委托人社保明细。2.若供应商某月税收为零申报，须提供当月加盖税务局公章的无欠税证明。3.完税证明中“税种”非养老保险、医疗保险、失业保险、工伤保险和生育保险）；</w:t>
      </w:r>
    </w:p>
    <w:p w14:paraId="2361621B">
      <w:pPr>
        <w:numPr>
          <w:ilvl w:val="0"/>
          <w:numId w:val="9"/>
        </w:numPr>
        <w:tabs>
          <w:tab w:val="left" w:pos="5580"/>
        </w:tabs>
        <w:spacing w:line="240" w:lineRule="atLeast"/>
        <w:ind w:left="540"/>
        <w:rPr>
          <w:rFonts w:ascii="仿宋_GB2312" w:eastAsia="仿宋_GB2312"/>
          <w:color w:val="FF0000"/>
          <w:sz w:val="24"/>
        </w:rPr>
      </w:pPr>
      <w:r>
        <w:rPr>
          <w:rFonts w:hint="eastAsia" w:ascii="仿宋_GB2312" w:eastAsia="仿宋_GB2312"/>
          <w:color w:val="FF0000"/>
          <w:sz w:val="24"/>
        </w:rPr>
        <w:t>如果是联合体投标，联合体各方均需提供上述证明。</w:t>
      </w:r>
    </w:p>
    <w:p w14:paraId="55626527">
      <w:pPr>
        <w:pStyle w:val="9"/>
        <w:numPr>
          <w:ilvl w:val="0"/>
          <w:numId w:val="0"/>
        </w:numPr>
        <w:rPr>
          <w:rFonts w:hint="eastAsia"/>
          <w:color w:val="FF0000"/>
          <w:lang w:val="en-US" w:eastAsia="zh-CN"/>
        </w:rPr>
      </w:pPr>
    </w:p>
    <w:p w14:paraId="7C4DEA01">
      <w:pPr>
        <w:rPr>
          <w:rFonts w:hint="eastAsia"/>
          <w:color w:val="FF0000"/>
          <w:lang w:val="en-US" w:eastAsia="zh-CN"/>
        </w:rPr>
      </w:pPr>
    </w:p>
    <w:p w14:paraId="1DDB8877">
      <w:pPr>
        <w:rPr>
          <w:rFonts w:hint="eastAsia"/>
          <w:color w:val="FF0000"/>
          <w:lang w:val="en-US" w:eastAsia="zh-CN"/>
        </w:rPr>
      </w:pPr>
    </w:p>
    <w:p w14:paraId="3913788C">
      <w:pPr>
        <w:pStyle w:val="9"/>
        <w:rPr>
          <w:rFonts w:hint="eastAsia"/>
          <w:lang w:val="en-US" w:eastAsia="zh-CN"/>
        </w:rPr>
      </w:pPr>
    </w:p>
    <w:p w14:paraId="0BD55E8D">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6.非联合体投标承诺函及非进口产品投标承诺函（承诺函格式自拟）</w:t>
      </w:r>
    </w:p>
    <w:p w14:paraId="3F1A5540">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41110E7">
      <w:pPr>
        <w:pStyle w:val="9"/>
        <w:ind w:left="0" w:leftChars="0" w:firstLine="0" w:firstLineChars="0"/>
        <w:rPr>
          <w:rFonts w:hint="default" w:eastAsia="宋体"/>
          <w:lang w:val="en-US" w:eastAsia="zh-CN"/>
        </w:rPr>
      </w:pPr>
    </w:p>
    <w:p w14:paraId="35F784CF"/>
    <w:p w14:paraId="0AAD9B51">
      <w:pPr>
        <w:pStyle w:val="9"/>
      </w:pPr>
    </w:p>
    <w:p w14:paraId="354815C4"/>
    <w:p w14:paraId="77155B85">
      <w:pPr>
        <w:pStyle w:val="9"/>
      </w:pPr>
    </w:p>
    <w:p w14:paraId="4EC901E9"/>
    <w:p w14:paraId="57D29355">
      <w:pPr>
        <w:pStyle w:val="9"/>
      </w:pPr>
    </w:p>
    <w:p w14:paraId="08D5314F"/>
    <w:p w14:paraId="19A0A26F">
      <w:pPr>
        <w:pStyle w:val="9"/>
      </w:pPr>
    </w:p>
    <w:p w14:paraId="63D2B89B"/>
    <w:p w14:paraId="5F808404">
      <w:pPr>
        <w:pStyle w:val="9"/>
      </w:pPr>
    </w:p>
    <w:p w14:paraId="3857CCDA"/>
    <w:p w14:paraId="37477291">
      <w:pPr>
        <w:pStyle w:val="9"/>
      </w:pPr>
    </w:p>
    <w:p w14:paraId="3856A6F6"/>
    <w:p w14:paraId="57FE70DC">
      <w:pPr>
        <w:pStyle w:val="9"/>
      </w:pPr>
    </w:p>
    <w:p w14:paraId="2DFD3204"/>
    <w:p w14:paraId="2F9F4DF9">
      <w:pPr>
        <w:pStyle w:val="9"/>
      </w:pPr>
    </w:p>
    <w:p w14:paraId="5DA7F2E2"/>
    <w:p w14:paraId="3E60B458">
      <w:pPr>
        <w:pStyle w:val="9"/>
      </w:pPr>
    </w:p>
    <w:p w14:paraId="7F6C199C"/>
    <w:p w14:paraId="3A6B9FFB">
      <w:pPr>
        <w:pStyle w:val="9"/>
      </w:pPr>
    </w:p>
    <w:p w14:paraId="6F602532"/>
    <w:p w14:paraId="0B140AE2">
      <w:pPr>
        <w:pStyle w:val="9"/>
        <w:ind w:left="0" w:leftChars="0" w:firstLine="0" w:firstLineChars="0"/>
      </w:pPr>
    </w:p>
    <w:p w14:paraId="4B566D5C"/>
    <w:p w14:paraId="39BC2025">
      <w:pPr>
        <w:pStyle w:val="9"/>
        <w:numPr>
          <w:ilvl w:val="0"/>
          <w:numId w:val="0"/>
        </w:numPr>
      </w:pPr>
    </w:p>
    <w:p w14:paraId="2399CD6F">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7.</w:t>
      </w:r>
      <w:r>
        <w:rPr>
          <w:rFonts w:ascii="宋体" w:hAnsi="宋体" w:eastAsia="宋体"/>
          <w:b/>
          <w:bCs/>
          <w:szCs w:val="20"/>
        </w:rPr>
        <w:t>投标</w:t>
      </w:r>
      <w:r>
        <w:rPr>
          <w:rFonts w:hint="eastAsia" w:ascii="宋体" w:hAnsi="宋体" w:eastAsia="宋体"/>
          <w:b/>
          <w:bCs/>
          <w:szCs w:val="20"/>
        </w:rPr>
        <w:t>函</w:t>
      </w:r>
    </w:p>
    <w:p w14:paraId="0BB8096F">
      <w:pPr>
        <w:snapToGrid w:val="0"/>
        <w:spacing w:line="360" w:lineRule="auto"/>
        <w:rPr>
          <w:rFonts w:ascii="Arial" w:hAnsi="Arial" w:eastAsia="宋体"/>
        </w:rPr>
      </w:pPr>
    </w:p>
    <w:p w14:paraId="1A2B9813">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喀什市公安局</w:t>
      </w:r>
    </w:p>
    <w:p w14:paraId="143652B6">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KSS(GK)2026-009</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喀什市公安局7个派出所信息化设备采购项目</w:t>
      </w:r>
      <w:r>
        <w:rPr>
          <w:rFonts w:hint="eastAsia" w:ascii="Arial" w:hAnsi="Arial" w:eastAsia="宋体" w:cs="Arial"/>
        </w:rPr>
        <w:t>项目的招标文件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14:paraId="63D047E2">
      <w:pPr>
        <w:numPr>
          <w:ilvl w:val="0"/>
          <w:numId w:val="10"/>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14:paraId="428B191D">
      <w:pPr>
        <w:numPr>
          <w:ilvl w:val="0"/>
          <w:numId w:val="10"/>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14:paraId="711350EC">
      <w:pPr>
        <w:numPr>
          <w:ilvl w:val="0"/>
          <w:numId w:val="10"/>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____</w:t>
      </w:r>
      <w:r>
        <w:rPr>
          <w:rFonts w:ascii="Arial" w:hAnsi="Arial" w:eastAsia="宋体" w:cs="Arial"/>
        </w:rPr>
        <w:t>个日历日。</w:t>
      </w:r>
    </w:p>
    <w:p w14:paraId="33549429">
      <w:pPr>
        <w:numPr>
          <w:ilvl w:val="0"/>
          <w:numId w:val="10"/>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14:paraId="071FD7B2">
      <w:pPr>
        <w:snapToGrid w:val="0"/>
        <w:spacing w:line="360" w:lineRule="auto"/>
        <w:ind w:firstLine="560"/>
        <w:rPr>
          <w:rFonts w:ascii="Arial" w:hAnsi="Arial" w:eastAsia="宋体" w:cs="Arial"/>
        </w:rPr>
      </w:pPr>
    </w:p>
    <w:p w14:paraId="464DC204">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14:paraId="2C34A792">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14:paraId="60F56DAB">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14:paraId="784C8F83">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14:paraId="36E1C1C0">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14:paraId="75B8478C">
      <w:pPr>
        <w:snapToGrid w:val="0"/>
        <w:spacing w:line="360" w:lineRule="auto"/>
        <w:ind w:firstLine="560"/>
        <w:rPr>
          <w:rFonts w:ascii="Arial" w:hAnsi="Arial" w:eastAsia="宋体" w:cs="Arial"/>
        </w:rPr>
      </w:pPr>
    </w:p>
    <w:p w14:paraId="2FDF3DB1">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14:paraId="7D981369">
      <w:pPr>
        <w:snapToGrid w:val="0"/>
        <w:spacing w:line="360" w:lineRule="auto"/>
        <w:rPr>
          <w:rFonts w:ascii="Arial" w:hAnsi="Arial" w:eastAsia="宋体" w:cs="Arial"/>
        </w:rPr>
      </w:pPr>
      <w:r>
        <w:rPr>
          <w:rFonts w:hint="eastAsia" w:ascii="Arial" w:hAnsi="Arial" w:eastAsia="宋体" w:cs="Arial"/>
        </w:rPr>
        <w:t>联系电话：</w:t>
      </w:r>
    </w:p>
    <w:p w14:paraId="7FF31A27">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14:paraId="1914EE33">
      <w:pPr>
        <w:snapToGrid w:val="0"/>
        <w:spacing w:line="360" w:lineRule="auto"/>
        <w:rPr>
          <w:rFonts w:ascii="Arial" w:hAnsi="Arial" w:eastAsia="宋体"/>
        </w:rPr>
      </w:pPr>
    </w:p>
    <w:p w14:paraId="15953549">
      <w:pPr>
        <w:spacing w:after="60" w:afterLines="25" w:line="300" w:lineRule="auto"/>
      </w:pPr>
    </w:p>
    <w:p w14:paraId="4BF522A7">
      <w:pPr>
        <w:pStyle w:val="9"/>
      </w:pPr>
    </w:p>
    <w:p w14:paraId="38394E58"/>
    <w:p w14:paraId="05443FA9">
      <w:pPr>
        <w:spacing w:after="60" w:afterLines="25" w:line="300" w:lineRule="auto"/>
      </w:pPr>
    </w:p>
    <w:p w14:paraId="2D31DCD8">
      <w:pPr>
        <w:spacing w:after="60" w:afterLines="25" w:line="300" w:lineRule="auto"/>
      </w:pPr>
    </w:p>
    <w:p w14:paraId="21D7D82C">
      <w:pPr>
        <w:pStyle w:val="30"/>
      </w:pPr>
    </w:p>
    <w:p w14:paraId="12A5BF56">
      <w:pPr>
        <w:pStyle w:val="30"/>
      </w:pPr>
    </w:p>
    <w:p w14:paraId="2F793DAD">
      <w:pPr>
        <w:pStyle w:val="30"/>
      </w:pPr>
    </w:p>
    <w:p w14:paraId="41C0D5CE">
      <w:pPr>
        <w:spacing w:after="60" w:afterLines="25" w:line="300" w:lineRule="auto"/>
      </w:pPr>
    </w:p>
    <w:p w14:paraId="5419141F">
      <w:pPr>
        <w:spacing w:after="60" w:afterLines="25" w:line="300" w:lineRule="auto"/>
      </w:pPr>
    </w:p>
    <w:p w14:paraId="7147B9A2">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8.法定代表人证明书（附有效身份证正反面扫描件）</w:t>
      </w:r>
    </w:p>
    <w:p w14:paraId="2624A311">
      <w:pPr>
        <w:spacing w:line="300" w:lineRule="auto"/>
        <w:ind w:left="140"/>
        <w:jc w:val="center"/>
        <w:rPr>
          <w:rFonts w:hint="eastAsia" w:ascii="Arial" w:hAnsi="Arial" w:eastAsia="宋体" w:cs="Arial"/>
          <w:b/>
        </w:rPr>
      </w:pPr>
    </w:p>
    <w:p w14:paraId="569D9BA4">
      <w:pPr>
        <w:spacing w:line="300" w:lineRule="auto"/>
        <w:ind w:left="140"/>
        <w:jc w:val="center"/>
        <w:rPr>
          <w:rFonts w:ascii="Arial" w:hAnsi="Arial" w:eastAsia="宋体" w:cs="Arial"/>
          <w:b/>
        </w:rPr>
      </w:pPr>
      <w:r>
        <w:rPr>
          <w:rFonts w:hint="eastAsia" w:ascii="Arial" w:hAnsi="Arial" w:eastAsia="宋体" w:cs="Arial"/>
          <w:b/>
        </w:rPr>
        <w:t>法定代表人资格证明书</w:t>
      </w:r>
    </w:p>
    <w:p w14:paraId="42273BAD">
      <w:pPr>
        <w:spacing w:line="480" w:lineRule="atLeast"/>
        <w:ind w:firstLine="480" w:firstLineChars="200"/>
        <w:rPr>
          <w:rFonts w:ascii="Arial" w:hAnsi="Arial" w:eastAsia="仿宋_GB2312"/>
        </w:rPr>
      </w:pPr>
    </w:p>
    <w:p w14:paraId="0B955796">
      <w:pPr>
        <w:spacing w:line="300" w:lineRule="auto"/>
        <w:rPr>
          <w:rFonts w:ascii="Arial" w:hAnsi="Arial" w:eastAsia="宋体"/>
          <w:szCs w:val="21"/>
          <w:u w:val="single"/>
        </w:rPr>
      </w:pPr>
      <w:r>
        <w:rPr>
          <w:rFonts w:hint="eastAsia" w:ascii="Arial" w:hAnsi="Arial" w:eastAsia="宋体"/>
          <w:szCs w:val="21"/>
        </w:rPr>
        <w:t>单位名称：</w:t>
      </w:r>
    </w:p>
    <w:p w14:paraId="71B628F5">
      <w:pPr>
        <w:spacing w:line="300" w:lineRule="auto"/>
        <w:rPr>
          <w:rFonts w:ascii="Arial" w:hAnsi="Arial" w:eastAsia="宋体"/>
          <w:szCs w:val="21"/>
          <w:u w:val="single"/>
        </w:rPr>
      </w:pPr>
      <w:r>
        <w:rPr>
          <w:rFonts w:hint="eastAsia" w:ascii="Arial" w:hAnsi="Arial" w:eastAsia="宋体"/>
          <w:szCs w:val="21"/>
        </w:rPr>
        <w:t>地址：</w:t>
      </w:r>
    </w:p>
    <w:p w14:paraId="63CF03D1">
      <w:pPr>
        <w:spacing w:line="300" w:lineRule="auto"/>
        <w:rPr>
          <w:rFonts w:ascii="Arial" w:hAnsi="Arial" w:eastAsia="宋体"/>
          <w:szCs w:val="21"/>
          <w:u w:val="single"/>
        </w:rPr>
      </w:pPr>
      <w:r>
        <w:rPr>
          <w:rFonts w:hint="eastAsia" w:ascii="Arial" w:hAnsi="Arial" w:eastAsia="宋体"/>
          <w:szCs w:val="21"/>
        </w:rPr>
        <w:t>姓名：性别：年龄：职务：</w:t>
      </w:r>
    </w:p>
    <w:p w14:paraId="28576801">
      <w:pPr>
        <w:spacing w:line="300" w:lineRule="auto"/>
        <w:rPr>
          <w:rFonts w:ascii="Arial" w:hAnsi="Arial" w:eastAsia="宋体"/>
          <w:szCs w:val="21"/>
        </w:rPr>
      </w:pPr>
      <w:r>
        <w:rPr>
          <w:rFonts w:hint="eastAsia" w:ascii="Arial" w:hAnsi="Arial" w:eastAsia="宋体"/>
          <w:szCs w:val="21"/>
        </w:rPr>
        <w:t>系的法定代表人。</w:t>
      </w:r>
    </w:p>
    <w:p w14:paraId="6D5B0145">
      <w:pPr>
        <w:spacing w:line="300" w:lineRule="auto"/>
        <w:rPr>
          <w:rFonts w:ascii="Arial" w:hAnsi="Arial" w:eastAsia="宋体"/>
          <w:szCs w:val="21"/>
        </w:rPr>
      </w:pPr>
      <w:r>
        <w:rPr>
          <w:rFonts w:hint="eastAsia" w:ascii="Arial" w:hAnsi="Arial" w:eastAsia="宋体"/>
          <w:szCs w:val="21"/>
        </w:rPr>
        <w:t>特此证明</w:t>
      </w:r>
    </w:p>
    <w:p w14:paraId="7E24EBDD">
      <w:pPr>
        <w:spacing w:line="300" w:lineRule="auto"/>
        <w:rPr>
          <w:rFonts w:ascii="Arial" w:hAnsi="Arial" w:eastAsia="宋体"/>
          <w:szCs w:val="21"/>
        </w:rPr>
      </w:pPr>
    </w:p>
    <w:p w14:paraId="42F29EB0">
      <w:pPr>
        <w:spacing w:line="300" w:lineRule="auto"/>
        <w:rPr>
          <w:rFonts w:ascii="Arial" w:hAnsi="Arial" w:eastAsia="宋体"/>
          <w:szCs w:val="21"/>
        </w:rPr>
      </w:pPr>
      <w:r>
        <w:rPr>
          <w:rFonts w:hint="eastAsia" w:ascii="Arial" w:hAnsi="Arial" w:eastAsia="宋体"/>
          <w:szCs w:val="21"/>
        </w:rPr>
        <w:t>投标人（投标单位）：</w:t>
      </w:r>
    </w:p>
    <w:p w14:paraId="164A3525">
      <w:pPr>
        <w:spacing w:line="300" w:lineRule="auto"/>
        <w:rPr>
          <w:rFonts w:ascii="Arial" w:hAnsi="Arial" w:eastAsia="宋体"/>
          <w:szCs w:val="21"/>
        </w:rPr>
      </w:pPr>
      <w:r>
        <w:rPr>
          <w:rFonts w:hint="eastAsia" w:ascii="Arial" w:hAnsi="Arial" w:eastAsia="宋体"/>
          <w:szCs w:val="21"/>
        </w:rPr>
        <w:t>日期：年月日</w:t>
      </w:r>
    </w:p>
    <w:p w14:paraId="5F6BD0AE">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14:paraId="0CF43911">
      <w:pPr>
        <w:spacing w:line="500" w:lineRule="exact"/>
        <w:ind w:firstLine="480" w:firstLineChars="200"/>
        <w:rPr>
          <w:rFonts w:ascii="Arial" w:hAnsi="Arial" w:eastAsia="宋体"/>
        </w:rPr>
      </w:pPr>
    </w:p>
    <w:p w14:paraId="5C1A961C">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14:paraId="558AE09A">
      <w:pPr>
        <w:spacing w:line="500" w:lineRule="exact"/>
        <w:rPr>
          <w:rFonts w:ascii="宋体" w:hAnsi="宋体" w:eastAsia="宋体"/>
          <w:b/>
          <w:color w:val="FF0000"/>
          <w:sz w:val="32"/>
          <w:szCs w:val="32"/>
        </w:rPr>
      </w:pPr>
    </w:p>
    <w:p w14:paraId="4A737CDC">
      <w:pPr>
        <w:snapToGrid w:val="0"/>
        <w:rPr>
          <w:rFonts w:ascii="宋体" w:hAnsi="宋体" w:eastAsia="宋体"/>
          <w:color w:val="FF0000"/>
          <w:sz w:val="28"/>
          <w:szCs w:val="28"/>
        </w:rPr>
      </w:pPr>
      <w:r>
        <w:rPr>
          <w:rFonts w:hint="eastAsia" w:ascii="宋体" w:hAnsi="宋体" w:eastAsia="宋体"/>
          <w:color w:val="FF0000"/>
          <w:sz w:val="28"/>
          <w:szCs w:val="28"/>
        </w:rPr>
        <w:t>备注：</w:t>
      </w:r>
    </w:p>
    <w:p w14:paraId="7B8795F9">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14:paraId="6B8C9DD0">
      <w:pPr>
        <w:spacing w:line="500" w:lineRule="exact"/>
        <w:ind w:firstLine="480" w:firstLineChars="200"/>
        <w:rPr>
          <w:rFonts w:ascii="Arial" w:hAnsi="Arial" w:eastAsia="宋体"/>
        </w:rPr>
      </w:pPr>
    </w:p>
    <w:p w14:paraId="2BDE6999">
      <w:pPr>
        <w:pStyle w:val="9"/>
        <w:rPr>
          <w:rFonts w:hint="eastAsia"/>
          <w:lang w:val="en-US" w:eastAsia="zh-CN"/>
        </w:rPr>
      </w:pPr>
    </w:p>
    <w:p w14:paraId="37DBA2FC">
      <w:pPr>
        <w:rPr>
          <w:rFonts w:hint="eastAsia"/>
          <w:lang w:val="en-US" w:eastAsia="zh-CN"/>
        </w:rPr>
      </w:pPr>
    </w:p>
    <w:p w14:paraId="121AE704">
      <w:pPr>
        <w:pStyle w:val="9"/>
        <w:rPr>
          <w:rFonts w:hint="eastAsia"/>
          <w:lang w:val="en-US" w:eastAsia="zh-CN"/>
        </w:rPr>
      </w:pPr>
    </w:p>
    <w:p w14:paraId="3B6C22CC">
      <w:pPr>
        <w:rPr>
          <w:rFonts w:hint="eastAsia"/>
          <w:lang w:val="en-US" w:eastAsia="zh-CN"/>
        </w:rPr>
      </w:pPr>
    </w:p>
    <w:p w14:paraId="149D1592">
      <w:pPr>
        <w:pStyle w:val="9"/>
        <w:rPr>
          <w:rFonts w:hint="eastAsia"/>
          <w:lang w:val="en-US" w:eastAsia="zh-CN"/>
        </w:rPr>
      </w:pPr>
    </w:p>
    <w:p w14:paraId="61B5BB5D">
      <w:pPr>
        <w:rPr>
          <w:rFonts w:hint="eastAsia"/>
          <w:lang w:val="en-US" w:eastAsia="zh-CN"/>
        </w:rPr>
      </w:pPr>
    </w:p>
    <w:p w14:paraId="6E405ACC">
      <w:pPr>
        <w:pStyle w:val="9"/>
        <w:rPr>
          <w:rFonts w:hint="eastAsia"/>
          <w:lang w:val="en-US" w:eastAsia="zh-CN"/>
        </w:rPr>
      </w:pPr>
    </w:p>
    <w:p w14:paraId="04B3B750">
      <w:pPr>
        <w:rPr>
          <w:rFonts w:hint="eastAsia"/>
          <w:lang w:val="en-US" w:eastAsia="zh-CN"/>
        </w:rPr>
      </w:pPr>
    </w:p>
    <w:p w14:paraId="5F92E146">
      <w:pPr>
        <w:pStyle w:val="30"/>
        <w:rPr>
          <w:rFonts w:hint="eastAsia"/>
          <w:lang w:val="en-US" w:eastAsia="zh-CN"/>
        </w:rPr>
      </w:pPr>
    </w:p>
    <w:p w14:paraId="3379E5B3">
      <w:pPr>
        <w:pStyle w:val="30"/>
        <w:rPr>
          <w:rFonts w:hint="eastAsia"/>
          <w:lang w:val="en-US" w:eastAsia="zh-CN"/>
        </w:rPr>
      </w:pPr>
    </w:p>
    <w:p w14:paraId="2AEC0010">
      <w:pPr>
        <w:pStyle w:val="30"/>
        <w:rPr>
          <w:rFonts w:hint="eastAsia"/>
          <w:lang w:val="en-US" w:eastAsia="zh-CN"/>
        </w:rPr>
      </w:pPr>
    </w:p>
    <w:p w14:paraId="15D4738E">
      <w:pPr>
        <w:rPr>
          <w:rFonts w:hint="eastAsia"/>
          <w:lang w:val="en-US" w:eastAsia="zh-CN"/>
        </w:rPr>
      </w:pPr>
    </w:p>
    <w:p w14:paraId="0A19B845">
      <w:pPr>
        <w:pStyle w:val="9"/>
        <w:ind w:left="0" w:leftChars="0" w:firstLine="0" w:firstLineChars="0"/>
        <w:rPr>
          <w:rFonts w:hint="eastAsia"/>
          <w:lang w:val="en-US" w:eastAsia="zh-CN"/>
        </w:rPr>
      </w:pPr>
    </w:p>
    <w:p w14:paraId="7CC99107">
      <w:pPr>
        <w:rPr>
          <w:rFonts w:hint="eastAsia"/>
          <w:lang w:val="en-US" w:eastAsia="zh-CN"/>
        </w:rPr>
      </w:pPr>
    </w:p>
    <w:p w14:paraId="1BD96FDF">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9.法定代表人授权书（附有效身份证正反面扫描件）</w:t>
      </w:r>
    </w:p>
    <w:p w14:paraId="3032CC19">
      <w:pPr>
        <w:spacing w:line="300" w:lineRule="auto"/>
        <w:ind w:left="140"/>
        <w:jc w:val="center"/>
        <w:rPr>
          <w:rFonts w:hint="eastAsia" w:ascii="Arial" w:hAnsi="Arial" w:eastAsia="宋体" w:cs="Arial"/>
          <w:b/>
        </w:rPr>
      </w:pPr>
    </w:p>
    <w:p w14:paraId="76958F64">
      <w:pPr>
        <w:spacing w:line="300" w:lineRule="auto"/>
        <w:ind w:left="140"/>
        <w:jc w:val="center"/>
        <w:rPr>
          <w:rFonts w:hint="eastAsia" w:ascii="Arial" w:hAnsi="Arial" w:eastAsia="宋体" w:cs="Arial"/>
          <w:b/>
        </w:rPr>
      </w:pPr>
    </w:p>
    <w:p w14:paraId="18584184">
      <w:pPr>
        <w:spacing w:line="300" w:lineRule="auto"/>
        <w:ind w:left="140"/>
        <w:jc w:val="center"/>
        <w:rPr>
          <w:rFonts w:ascii="Arial" w:hAnsi="Arial" w:eastAsia="宋体" w:cs="Arial"/>
          <w:b/>
        </w:rPr>
      </w:pPr>
      <w:r>
        <w:rPr>
          <w:rFonts w:hint="eastAsia" w:ascii="Arial" w:hAnsi="Arial" w:eastAsia="宋体" w:cs="Arial"/>
          <w:b/>
        </w:rPr>
        <w:t>法定代表人授权书</w:t>
      </w:r>
    </w:p>
    <w:p w14:paraId="6E2EEB03">
      <w:pPr>
        <w:spacing w:line="360" w:lineRule="auto"/>
        <w:ind w:firstLine="480" w:firstLineChars="200"/>
        <w:rPr>
          <w:rFonts w:ascii="Arial" w:hAnsi="Arial" w:eastAsia="宋体"/>
          <w:szCs w:val="21"/>
        </w:rPr>
      </w:pPr>
    </w:p>
    <w:p w14:paraId="09C5540B">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14:paraId="2CA31489">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14:paraId="2EC0238D">
      <w:pPr>
        <w:spacing w:line="300" w:lineRule="auto"/>
        <w:rPr>
          <w:rFonts w:ascii="Arial" w:hAnsi="Arial" w:eastAsia="宋体"/>
          <w:szCs w:val="21"/>
        </w:rPr>
      </w:pPr>
    </w:p>
    <w:p w14:paraId="034B5BC4">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14:paraId="707405DC">
      <w:pPr>
        <w:spacing w:line="360" w:lineRule="auto"/>
        <w:ind w:left="3840" w:leftChars="1600"/>
        <w:rPr>
          <w:rFonts w:ascii="Arial" w:hAnsi="Arial" w:eastAsia="宋体"/>
          <w:szCs w:val="21"/>
        </w:rPr>
      </w:pPr>
      <w:r>
        <w:rPr>
          <w:rFonts w:hint="eastAsia" w:ascii="Arial" w:hAnsi="Arial" w:eastAsia="宋体"/>
          <w:szCs w:val="21"/>
        </w:rPr>
        <w:t>联系电话：手机：</w:t>
      </w:r>
    </w:p>
    <w:p w14:paraId="616E05E7">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14:paraId="36B26527">
      <w:pPr>
        <w:spacing w:line="360" w:lineRule="auto"/>
        <w:ind w:left="3840" w:leftChars="1600"/>
        <w:rPr>
          <w:rFonts w:ascii="Arial" w:hAnsi="Arial" w:eastAsia="宋体"/>
          <w:szCs w:val="21"/>
        </w:rPr>
      </w:pPr>
      <w:r>
        <w:rPr>
          <w:rFonts w:hint="eastAsia" w:ascii="Arial" w:hAnsi="Arial" w:eastAsia="宋体"/>
          <w:szCs w:val="21"/>
        </w:rPr>
        <w:t>投标人（投标单位）：</w:t>
      </w:r>
    </w:p>
    <w:p w14:paraId="22D68222">
      <w:pPr>
        <w:spacing w:line="360" w:lineRule="auto"/>
        <w:ind w:left="3840" w:leftChars="1600"/>
        <w:rPr>
          <w:rFonts w:ascii="Arial" w:hAnsi="Arial" w:eastAsia="宋体"/>
          <w:szCs w:val="21"/>
        </w:rPr>
      </w:pPr>
      <w:r>
        <w:rPr>
          <w:rFonts w:hint="eastAsia" w:ascii="Arial" w:hAnsi="Arial" w:eastAsia="宋体"/>
          <w:szCs w:val="21"/>
        </w:rPr>
        <w:t>法定代表人：</w:t>
      </w:r>
    </w:p>
    <w:p w14:paraId="3D42A694">
      <w:pPr>
        <w:spacing w:line="360" w:lineRule="auto"/>
        <w:ind w:left="3840" w:leftChars="1600"/>
        <w:rPr>
          <w:rFonts w:ascii="Arial" w:hAnsi="Arial" w:eastAsia="宋体"/>
          <w:szCs w:val="21"/>
        </w:rPr>
      </w:pPr>
      <w:r>
        <w:rPr>
          <w:rFonts w:hint="eastAsia" w:ascii="Arial" w:hAnsi="Arial" w:eastAsia="宋体"/>
          <w:szCs w:val="21"/>
        </w:rPr>
        <w:t>授权委托日期：年月日</w:t>
      </w:r>
    </w:p>
    <w:p w14:paraId="1AE854D7">
      <w:pPr>
        <w:spacing w:line="500" w:lineRule="exact"/>
        <w:ind w:firstLine="480" w:firstLineChars="200"/>
        <w:rPr>
          <w:rFonts w:ascii="Arial" w:hAnsi="Arial" w:eastAsia="宋体"/>
        </w:rPr>
      </w:pPr>
    </w:p>
    <w:p w14:paraId="3246BFEA">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14:paraId="2981AC10">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14:paraId="2AF8ECDC">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14:paraId="185DA4C0">
      <w:pPr>
        <w:rPr>
          <w:rFonts w:hint="eastAsia"/>
          <w:lang w:val="en-US" w:eastAsia="zh-CN"/>
        </w:rPr>
      </w:pPr>
    </w:p>
    <w:p w14:paraId="478A687A">
      <w:pPr>
        <w:pStyle w:val="18"/>
        <w:rPr>
          <w:rFonts w:hint="eastAsia"/>
          <w:lang w:val="en-US" w:eastAsia="zh-CN"/>
        </w:rPr>
      </w:pPr>
    </w:p>
    <w:p w14:paraId="2833A914">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10</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r>
        <w:rPr>
          <w:rFonts w:hint="eastAsia" w:ascii="宋体" w:hAnsi="宋体" w:eastAsia="宋体" w:cs="Times New Roman"/>
          <w:b/>
          <w:bCs/>
          <w:sz w:val="21"/>
          <w:szCs w:val="20"/>
          <w:lang w:val="en-US" w:eastAsia="zh-CN"/>
        </w:rPr>
        <w:t>(如有)</w:t>
      </w:r>
    </w:p>
    <w:p w14:paraId="344241D4">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14:paraId="4B41C238">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rPr>
        <w:t>不符合优惠政策要求的投标人无需提供相应的声明函</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14:paraId="64CCA865">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14:paraId="05ED2B6E">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w:t>
      </w:r>
    </w:p>
    <w:p w14:paraId="4CF4DA2C">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12" w:name="_Hlk71925120"/>
      <w:r>
        <w:rPr>
          <w:rFonts w:hint="eastAsia" w:ascii="仿宋" w:hAnsi="仿宋" w:eastAsia="仿宋"/>
          <w:color w:val="FF0000"/>
          <w:sz w:val="25"/>
          <w:szCs w:val="25"/>
        </w:rPr>
        <w:t>《关于印发中小企业划型标准规定的通知》（工信部联企业〔2011〕300 号</w:t>
      </w:r>
      <w:bookmarkEnd w:id="12"/>
      <w:r>
        <w:rPr>
          <w:rFonts w:hint="eastAsia" w:ascii="仿宋" w:hAnsi="仿宋" w:eastAsia="仿宋"/>
          <w:color w:val="FF0000"/>
          <w:sz w:val="25"/>
          <w:szCs w:val="25"/>
        </w:rPr>
        <w:t>）</w:t>
      </w:r>
    </w:p>
    <w:p w14:paraId="7CB06635">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w:t>
      </w:r>
    </w:p>
    <w:p w14:paraId="1CDAFD2C">
      <w:pPr>
        <w:snapToGrid w:val="0"/>
        <w:ind w:firstLine="555"/>
        <w:rPr>
          <w:rFonts w:hint="eastAsia"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w:t>
      </w:r>
    </w:p>
    <w:p w14:paraId="4FAC0233">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w:t>
      </w:r>
    </w:p>
    <w:p w14:paraId="6BE80B59">
      <w:pPr>
        <w:jc w:val="center"/>
        <w:outlineLvl w:val="4"/>
        <w:rPr>
          <w:rFonts w:hint="eastAsia"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14:paraId="348DC43A">
      <w:pPr>
        <w:jc w:val="center"/>
        <w:outlineLvl w:val="4"/>
        <w:rPr>
          <w:rFonts w:ascii="Arial" w:hAnsi="Arial" w:eastAsia="宋体"/>
          <w:b/>
        </w:rPr>
      </w:pPr>
      <w:r>
        <w:rPr>
          <w:rFonts w:hint="eastAsia" w:ascii="仿宋" w:hAnsi="仿宋" w:eastAsia="仿宋"/>
          <w:color w:val="FF0000"/>
          <w:sz w:val="25"/>
          <w:szCs w:val="25"/>
        </w:rPr>
        <w:t xml:space="preserve">   4、声明函的有效性最终由评审委员会判定；如评审委员会判定声明函无效，相关供应商不享受价格扣除（但不作投标无效处理）。</w:t>
      </w: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w:t>
      </w:r>
    </w:p>
    <w:p w14:paraId="5DD25E12">
      <w:pPr>
        <w:spacing w:after="60" w:afterLines="25" w:line="300" w:lineRule="auto"/>
        <w:ind w:firstLine="480" w:firstLineChars="200"/>
        <w:rPr>
          <w:rFonts w:ascii="宋体" w:hAnsi="宋体" w:eastAsia="宋体"/>
          <w:color w:val="FF0000"/>
          <w:highlight w:val="yellow"/>
        </w:rPr>
      </w:pPr>
      <w:r>
        <w:rPr>
          <w:rFonts w:hint="eastAsia" w:ascii="Arial" w:hAnsi="Arial" w:eastAsia="宋体"/>
          <w:szCs w:val="21"/>
          <w:lang w:eastAsia="zh-CN"/>
        </w:rPr>
        <w:t>详见</w:t>
      </w:r>
      <w:r>
        <w:rPr>
          <w:rFonts w:ascii="Arial" w:hAnsi="Arial" w:eastAsia="宋体"/>
          <w:szCs w:val="21"/>
        </w:rPr>
        <w:t>《政府采购促进中小企业发展管理办法》（财库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w:t>
      </w:r>
    </w:p>
    <w:p w14:paraId="4E3232A9">
      <w:pPr>
        <w:rPr>
          <w:rFonts w:ascii="宋体" w:hAnsi="宋体" w:eastAsia="宋体"/>
          <w:b/>
        </w:rPr>
      </w:pPr>
      <w:r>
        <w:br w:type="page"/>
      </w:r>
    </w:p>
    <w:p w14:paraId="5856F3BC">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14:paraId="071E403A">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14:paraId="205D1A7E">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4936F9E1">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1D1D9E45">
      <w:pPr>
        <w:spacing w:after="60" w:afterLines="25" w:line="300" w:lineRule="auto"/>
        <w:ind w:firstLine="480" w:firstLineChars="200"/>
        <w:rPr>
          <w:rFonts w:ascii="宋体" w:hAnsi="宋体"/>
          <w:szCs w:val="21"/>
        </w:rPr>
      </w:pPr>
      <w:r>
        <w:rPr>
          <w:rFonts w:ascii="宋体" w:hAnsi="宋体"/>
          <w:szCs w:val="21"/>
        </w:rPr>
        <w:t xml:space="preserve">…… </w:t>
      </w:r>
    </w:p>
    <w:p w14:paraId="19BFC756">
      <w:pPr>
        <w:spacing w:after="60" w:afterLines="25" w:line="300" w:lineRule="auto"/>
        <w:ind w:firstLine="480" w:firstLineChars="200"/>
        <w:rPr>
          <w:rFonts w:ascii="宋体" w:hAnsi="宋体"/>
          <w:szCs w:val="21"/>
        </w:rPr>
      </w:pPr>
      <w:bookmarkStart w:id="13"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3"/>
    </w:p>
    <w:p w14:paraId="09D091DA">
      <w:pPr>
        <w:spacing w:after="60" w:afterLines="25" w:line="300" w:lineRule="auto"/>
        <w:jc w:val="right"/>
        <w:rPr>
          <w:rFonts w:ascii="宋体" w:hAnsi="宋体"/>
          <w:szCs w:val="21"/>
        </w:rPr>
      </w:pPr>
    </w:p>
    <w:p w14:paraId="4E4093AB">
      <w:pPr>
        <w:spacing w:after="60" w:afterLines="25" w:line="300" w:lineRule="auto"/>
        <w:ind w:right="420" w:firstLine="5040" w:firstLineChars="2100"/>
        <w:rPr>
          <w:rFonts w:ascii="宋体" w:hAnsi="宋体"/>
          <w:szCs w:val="21"/>
        </w:rPr>
      </w:pPr>
      <w:r>
        <w:rPr>
          <w:rFonts w:hint="eastAsia" w:ascii="宋体" w:hAnsi="宋体"/>
          <w:szCs w:val="21"/>
        </w:rPr>
        <w:t>投标人（投标单位）：</w:t>
      </w:r>
    </w:p>
    <w:p w14:paraId="21493465">
      <w:pPr>
        <w:spacing w:after="60" w:afterLines="25" w:line="300" w:lineRule="auto"/>
        <w:ind w:right="420" w:firstLine="6600" w:firstLineChars="2750"/>
        <w:rPr>
          <w:rFonts w:ascii="宋体" w:hAnsi="宋体"/>
          <w:szCs w:val="21"/>
        </w:rPr>
      </w:pPr>
      <w:r>
        <w:rPr>
          <w:rFonts w:hint="eastAsia" w:ascii="宋体" w:hAnsi="宋体"/>
          <w:szCs w:val="21"/>
        </w:rPr>
        <w:t>日期：</w:t>
      </w:r>
    </w:p>
    <w:p w14:paraId="10C67287">
      <w:pPr>
        <w:spacing w:after="60" w:afterLines="25" w:line="300" w:lineRule="auto"/>
        <w:jc w:val="right"/>
        <w:rPr>
          <w:rFonts w:ascii="宋体" w:hAnsi="宋体"/>
          <w:b/>
          <w:color w:val="FF0000"/>
          <w:sz w:val="28"/>
          <w:szCs w:val="28"/>
        </w:rPr>
      </w:pPr>
    </w:p>
    <w:p w14:paraId="7DD14B2F">
      <w:pPr>
        <w:spacing w:after="60" w:afterLines="25" w:line="300" w:lineRule="auto"/>
        <w:jc w:val="right"/>
        <w:rPr>
          <w:rFonts w:ascii="Arial" w:hAnsi="Arial" w:eastAsia="宋体"/>
          <w:b/>
          <w:color w:val="FF0000"/>
          <w:sz w:val="28"/>
          <w:szCs w:val="28"/>
        </w:rPr>
      </w:pPr>
    </w:p>
    <w:p w14:paraId="7600A806">
      <w:pPr>
        <w:jc w:val="center"/>
        <w:outlineLvl w:val="4"/>
        <w:rPr>
          <w:rFonts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14:paraId="42DC02F2">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14:paraId="6483001E">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14:paraId="07C2502F">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14:paraId="34862DF4">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14:paraId="2975D06F">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14:paraId="1E5B7B41">
      <w:pPr>
        <w:spacing w:after="60" w:afterLines="25" w:line="300" w:lineRule="auto"/>
        <w:ind w:firstLine="482" w:firstLineChars="200"/>
        <w:rPr>
          <w:rFonts w:ascii="Arial" w:hAnsi="Arial" w:eastAsia="宋体"/>
          <w:b/>
          <w:color w:val="FF0000"/>
          <w:szCs w:val="21"/>
        </w:rPr>
      </w:pPr>
    </w:p>
    <w:p w14:paraId="39DBE3B5">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14:paraId="1987C8AA">
      <w:pPr>
        <w:spacing w:after="60" w:afterLines="25" w:line="300" w:lineRule="auto"/>
        <w:ind w:firstLine="482" w:firstLineChars="200"/>
        <w:rPr>
          <w:rFonts w:ascii="Arial" w:hAnsi="Arial" w:eastAsia="宋体"/>
          <w:b/>
          <w:color w:val="FF0000"/>
          <w:szCs w:val="21"/>
        </w:rPr>
      </w:pPr>
    </w:p>
    <w:p w14:paraId="39D60AE8">
      <w:pPr>
        <w:spacing w:after="60" w:afterLines="25" w:line="300" w:lineRule="auto"/>
        <w:ind w:firstLine="482" w:firstLineChars="200"/>
        <w:rPr>
          <w:rFonts w:ascii="Arial" w:hAnsi="Arial" w:eastAsia="宋体"/>
          <w:b/>
          <w:color w:val="FF0000"/>
          <w:szCs w:val="21"/>
        </w:rPr>
      </w:pPr>
    </w:p>
    <w:p w14:paraId="5191284A">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投标人（投标单位）：</w:t>
      </w:r>
    </w:p>
    <w:p w14:paraId="19E449C2">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日期：</w:t>
      </w:r>
    </w:p>
    <w:p w14:paraId="3740E7EA">
      <w:pPr>
        <w:rPr>
          <w:rFonts w:ascii="宋体" w:hAnsi="宋体" w:eastAsia="宋体"/>
          <w:b/>
        </w:rPr>
      </w:pPr>
      <w:r>
        <w:br w:type="page"/>
      </w:r>
    </w:p>
    <w:p w14:paraId="70D082B7">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14:paraId="1FCBC895">
      <w:pPr>
        <w:spacing w:after="60" w:afterLines="25" w:line="300" w:lineRule="auto"/>
        <w:ind w:firstLine="480" w:firstLineChars="200"/>
        <w:rPr>
          <w:rFonts w:ascii="宋体" w:hAnsi="宋体" w:eastAsia="宋体"/>
          <w:color w:val="FF0000"/>
          <w:highlight w:val="yellow"/>
        </w:rPr>
      </w:pPr>
      <w:r>
        <w:rPr>
          <w:rFonts w:hint="eastAsia" w:ascii="Arial" w:hAnsi="Arial" w:eastAsia="宋体"/>
          <w:szCs w:val="21"/>
          <w:lang w:eastAsia="zh-CN"/>
        </w:rPr>
        <w:t>详见</w:t>
      </w:r>
      <w:r>
        <w:rPr>
          <w:rFonts w:ascii="Arial" w:hAnsi="Arial" w:eastAsia="宋体"/>
          <w:szCs w:val="21"/>
        </w:rPr>
        <w:t>《政府采购促进中小企业发展管理办法》（财库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w:t>
      </w:r>
    </w:p>
    <w:p w14:paraId="422808DB">
      <w:pPr>
        <w:snapToGrid w:val="0"/>
        <w:spacing w:after="60" w:afterLines="25" w:line="300" w:lineRule="auto"/>
        <w:ind w:firstLine="480" w:firstLineChars="200"/>
        <w:jc w:val="center"/>
      </w:pPr>
      <w:r>
        <w:br w:type="page"/>
      </w:r>
    </w:p>
    <w:p w14:paraId="146A67BB">
      <w:pPr>
        <w:snapToGrid w:val="0"/>
        <w:spacing w:after="60" w:afterLines="25" w:line="300" w:lineRule="auto"/>
        <w:ind w:firstLine="482" w:firstLineChars="200"/>
        <w:jc w:val="center"/>
        <w:outlineLvl w:val="3"/>
        <w:rPr>
          <w:rFonts w:ascii="宋体" w:hAnsi="宋体" w:eastAsia="宋体"/>
          <w:b/>
          <w:bCs/>
          <w:szCs w:val="20"/>
        </w:rPr>
      </w:pPr>
      <w:r>
        <w:rPr>
          <w:rFonts w:hint="eastAsia" w:ascii="宋体" w:hAnsi="宋体" w:eastAsia="宋体"/>
          <w:b/>
          <w:bCs/>
          <w:szCs w:val="20"/>
          <w:lang w:val="en-US" w:eastAsia="zh-CN"/>
        </w:rPr>
        <w:t>11</w:t>
      </w:r>
      <w:r>
        <w:rPr>
          <w:rFonts w:ascii="宋体" w:hAnsi="宋体" w:eastAsia="宋体"/>
          <w:b/>
          <w:bCs/>
          <w:szCs w:val="20"/>
        </w:rPr>
        <w:t>.</w:t>
      </w:r>
      <w:r>
        <w:rPr>
          <w:rFonts w:hint="eastAsia" w:ascii="宋体" w:hAnsi="宋体" w:eastAsia="宋体"/>
          <w:b/>
          <w:bCs/>
          <w:szCs w:val="20"/>
        </w:rPr>
        <w:t>分项报价清单</w:t>
      </w:r>
    </w:p>
    <w:p w14:paraId="003A6BCD">
      <w:pPr>
        <w:spacing w:after="60" w:afterLines="25" w:line="300" w:lineRule="auto"/>
        <w:rPr>
          <w:rFonts w:ascii="Arial" w:hAnsi="Arial" w:eastAsia="宋体" w:cs="Arial"/>
        </w:rPr>
      </w:pPr>
      <w:r>
        <w:rPr>
          <w:rFonts w:hint="eastAsia" w:ascii="Arial" w:hAnsi="Arial" w:eastAsia="宋体" w:cs="Arial"/>
          <w:color w:val="000000"/>
        </w:rPr>
        <w:t>投标单位（投标人）名称：</w:t>
      </w:r>
    </w:p>
    <w:p w14:paraId="71285EFD">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14:paraId="544B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14:paraId="16678479">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14:paraId="18B5A7FB">
            <w:pPr>
              <w:spacing w:after="60" w:afterLines="25" w:line="300" w:lineRule="auto"/>
              <w:jc w:val="center"/>
              <w:rPr>
                <w:rFonts w:ascii="Arial" w:hAnsi="Arial" w:eastAsia="宋体"/>
              </w:rPr>
            </w:pPr>
            <w:r>
              <w:rPr>
                <w:rFonts w:hint="eastAsia" w:ascii="Arial" w:hAnsi="Arial" w:eastAsia="宋体"/>
              </w:rPr>
              <w:t>货物名称</w:t>
            </w:r>
          </w:p>
        </w:tc>
        <w:tc>
          <w:tcPr>
            <w:tcW w:w="1417" w:type="dxa"/>
            <w:vAlign w:val="center"/>
          </w:tcPr>
          <w:p w14:paraId="32303FC3">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14:paraId="18683508">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14:paraId="784C143D">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14:paraId="012F6201">
            <w:pPr>
              <w:spacing w:after="60" w:afterLines="25" w:line="300" w:lineRule="auto"/>
              <w:jc w:val="center"/>
              <w:rPr>
                <w:rFonts w:ascii="Arial" w:hAnsi="Arial" w:eastAsia="宋体"/>
              </w:rPr>
            </w:pPr>
            <w:r>
              <w:rPr>
                <w:rFonts w:hint="eastAsia" w:ascii="Arial" w:hAnsi="Arial" w:eastAsia="宋体"/>
              </w:rPr>
              <w:t>数量</w:t>
            </w:r>
          </w:p>
        </w:tc>
        <w:tc>
          <w:tcPr>
            <w:tcW w:w="708" w:type="dxa"/>
          </w:tcPr>
          <w:p w14:paraId="28DDB395">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14:paraId="2185DDF5">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14:paraId="65C130AF">
            <w:pPr>
              <w:spacing w:after="60" w:afterLines="25" w:line="300" w:lineRule="auto"/>
              <w:jc w:val="center"/>
              <w:rPr>
                <w:rFonts w:ascii="Arial" w:hAnsi="Arial" w:eastAsia="宋体"/>
              </w:rPr>
            </w:pPr>
            <w:r>
              <w:rPr>
                <w:rFonts w:hint="eastAsia" w:ascii="Arial" w:hAnsi="Arial" w:eastAsia="宋体"/>
              </w:rPr>
              <w:t>合价(元)</w:t>
            </w:r>
          </w:p>
        </w:tc>
      </w:tr>
      <w:tr w14:paraId="3EB8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14:paraId="3FB8C8D1">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14:paraId="194DEBD2">
            <w:pPr>
              <w:spacing w:after="60" w:afterLines="25" w:line="300" w:lineRule="auto"/>
              <w:rPr>
                <w:rFonts w:ascii="Arial" w:hAnsi="Arial" w:eastAsia="宋体"/>
                <w:b/>
              </w:rPr>
            </w:pPr>
          </w:p>
        </w:tc>
        <w:tc>
          <w:tcPr>
            <w:tcW w:w="1417" w:type="dxa"/>
          </w:tcPr>
          <w:p w14:paraId="4BFA2A7C">
            <w:pPr>
              <w:spacing w:after="60" w:afterLines="25" w:line="300" w:lineRule="auto"/>
              <w:rPr>
                <w:rFonts w:ascii="Arial" w:hAnsi="Arial" w:eastAsia="宋体"/>
              </w:rPr>
            </w:pPr>
          </w:p>
        </w:tc>
        <w:tc>
          <w:tcPr>
            <w:tcW w:w="993" w:type="dxa"/>
          </w:tcPr>
          <w:p w14:paraId="7A5B70DC">
            <w:pPr>
              <w:spacing w:after="60" w:afterLines="25" w:line="300" w:lineRule="auto"/>
              <w:rPr>
                <w:rFonts w:ascii="Arial" w:hAnsi="Arial" w:eastAsia="宋体"/>
              </w:rPr>
            </w:pPr>
          </w:p>
        </w:tc>
        <w:tc>
          <w:tcPr>
            <w:tcW w:w="992" w:type="dxa"/>
          </w:tcPr>
          <w:p w14:paraId="546FBE2E">
            <w:pPr>
              <w:spacing w:after="60" w:afterLines="25" w:line="300" w:lineRule="auto"/>
              <w:rPr>
                <w:rFonts w:ascii="Arial" w:hAnsi="Arial" w:eastAsia="宋体"/>
              </w:rPr>
            </w:pPr>
          </w:p>
        </w:tc>
        <w:tc>
          <w:tcPr>
            <w:tcW w:w="709" w:type="dxa"/>
          </w:tcPr>
          <w:p w14:paraId="040255A2">
            <w:pPr>
              <w:spacing w:after="60" w:afterLines="25" w:line="300" w:lineRule="auto"/>
              <w:rPr>
                <w:rFonts w:ascii="Arial" w:hAnsi="Arial" w:eastAsia="宋体"/>
              </w:rPr>
            </w:pPr>
          </w:p>
        </w:tc>
        <w:tc>
          <w:tcPr>
            <w:tcW w:w="708" w:type="dxa"/>
          </w:tcPr>
          <w:p w14:paraId="2749C56A">
            <w:pPr>
              <w:spacing w:after="60" w:afterLines="25" w:line="300" w:lineRule="auto"/>
              <w:rPr>
                <w:rFonts w:ascii="Arial" w:hAnsi="Arial" w:eastAsia="宋体"/>
              </w:rPr>
            </w:pPr>
          </w:p>
        </w:tc>
        <w:tc>
          <w:tcPr>
            <w:tcW w:w="993" w:type="dxa"/>
          </w:tcPr>
          <w:p w14:paraId="23A509F1">
            <w:pPr>
              <w:spacing w:after="60" w:afterLines="25" w:line="300" w:lineRule="auto"/>
              <w:rPr>
                <w:rFonts w:ascii="Arial" w:hAnsi="Arial" w:eastAsia="宋体"/>
              </w:rPr>
            </w:pPr>
          </w:p>
        </w:tc>
        <w:tc>
          <w:tcPr>
            <w:tcW w:w="1322" w:type="dxa"/>
          </w:tcPr>
          <w:p w14:paraId="14613901">
            <w:pPr>
              <w:spacing w:after="60" w:afterLines="25" w:line="300" w:lineRule="auto"/>
              <w:rPr>
                <w:rFonts w:ascii="Arial" w:hAnsi="Arial" w:eastAsia="宋体"/>
              </w:rPr>
            </w:pPr>
          </w:p>
        </w:tc>
      </w:tr>
      <w:tr w14:paraId="341B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14:paraId="2D0E436C">
            <w:pPr>
              <w:spacing w:after="60" w:afterLines="25" w:line="300" w:lineRule="auto"/>
              <w:jc w:val="center"/>
              <w:rPr>
                <w:rFonts w:ascii="Arial" w:hAnsi="Arial" w:eastAsia="宋体"/>
              </w:rPr>
            </w:pPr>
            <w:r>
              <w:rPr>
                <w:rFonts w:hint="eastAsia" w:ascii="Arial" w:hAnsi="Arial" w:eastAsia="宋体"/>
              </w:rPr>
              <w:t>2</w:t>
            </w:r>
          </w:p>
        </w:tc>
        <w:tc>
          <w:tcPr>
            <w:tcW w:w="2127" w:type="dxa"/>
          </w:tcPr>
          <w:p w14:paraId="2BC56C58">
            <w:pPr>
              <w:spacing w:after="60" w:afterLines="25" w:line="300" w:lineRule="auto"/>
              <w:rPr>
                <w:rFonts w:ascii="Arial" w:hAnsi="Arial" w:eastAsia="宋体"/>
                <w:b/>
              </w:rPr>
            </w:pPr>
          </w:p>
        </w:tc>
        <w:tc>
          <w:tcPr>
            <w:tcW w:w="1417" w:type="dxa"/>
          </w:tcPr>
          <w:p w14:paraId="0E996696">
            <w:pPr>
              <w:spacing w:after="60" w:afterLines="25" w:line="300" w:lineRule="auto"/>
              <w:rPr>
                <w:rFonts w:ascii="Arial" w:hAnsi="Arial" w:eastAsia="宋体"/>
              </w:rPr>
            </w:pPr>
          </w:p>
        </w:tc>
        <w:tc>
          <w:tcPr>
            <w:tcW w:w="993" w:type="dxa"/>
          </w:tcPr>
          <w:p w14:paraId="5594DE1D">
            <w:pPr>
              <w:spacing w:after="60" w:afterLines="25" w:line="300" w:lineRule="auto"/>
              <w:rPr>
                <w:rFonts w:ascii="Arial" w:hAnsi="Arial" w:eastAsia="宋体"/>
              </w:rPr>
            </w:pPr>
          </w:p>
        </w:tc>
        <w:tc>
          <w:tcPr>
            <w:tcW w:w="992" w:type="dxa"/>
          </w:tcPr>
          <w:p w14:paraId="5B9196B4">
            <w:pPr>
              <w:spacing w:after="60" w:afterLines="25" w:line="300" w:lineRule="auto"/>
              <w:rPr>
                <w:rFonts w:ascii="Arial" w:hAnsi="Arial" w:eastAsia="宋体"/>
              </w:rPr>
            </w:pPr>
          </w:p>
        </w:tc>
        <w:tc>
          <w:tcPr>
            <w:tcW w:w="709" w:type="dxa"/>
          </w:tcPr>
          <w:p w14:paraId="65531F55">
            <w:pPr>
              <w:spacing w:after="60" w:afterLines="25" w:line="300" w:lineRule="auto"/>
              <w:rPr>
                <w:rFonts w:ascii="Arial" w:hAnsi="Arial" w:eastAsia="宋体"/>
              </w:rPr>
            </w:pPr>
          </w:p>
        </w:tc>
        <w:tc>
          <w:tcPr>
            <w:tcW w:w="708" w:type="dxa"/>
          </w:tcPr>
          <w:p w14:paraId="6AD9304C">
            <w:pPr>
              <w:spacing w:after="60" w:afterLines="25" w:line="300" w:lineRule="auto"/>
              <w:rPr>
                <w:rFonts w:ascii="Arial" w:hAnsi="Arial" w:eastAsia="宋体"/>
              </w:rPr>
            </w:pPr>
          </w:p>
        </w:tc>
        <w:tc>
          <w:tcPr>
            <w:tcW w:w="993" w:type="dxa"/>
          </w:tcPr>
          <w:p w14:paraId="264FA493">
            <w:pPr>
              <w:spacing w:after="60" w:afterLines="25" w:line="300" w:lineRule="auto"/>
              <w:rPr>
                <w:rFonts w:ascii="Arial" w:hAnsi="Arial" w:eastAsia="宋体"/>
              </w:rPr>
            </w:pPr>
          </w:p>
        </w:tc>
        <w:tc>
          <w:tcPr>
            <w:tcW w:w="1322" w:type="dxa"/>
          </w:tcPr>
          <w:p w14:paraId="23B7FACD">
            <w:pPr>
              <w:spacing w:after="60" w:afterLines="25" w:line="300" w:lineRule="auto"/>
              <w:rPr>
                <w:rFonts w:ascii="Arial" w:hAnsi="Arial" w:eastAsia="宋体"/>
              </w:rPr>
            </w:pPr>
          </w:p>
        </w:tc>
      </w:tr>
      <w:tr w14:paraId="7541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14:paraId="616A9905">
            <w:pPr>
              <w:spacing w:after="60" w:afterLines="25" w:line="300" w:lineRule="auto"/>
              <w:jc w:val="center"/>
              <w:rPr>
                <w:rFonts w:ascii="Arial" w:hAnsi="Arial" w:eastAsia="宋体"/>
              </w:rPr>
            </w:pPr>
            <w:r>
              <w:rPr>
                <w:rFonts w:hint="eastAsia" w:ascii="Arial" w:hAnsi="Arial" w:eastAsia="宋体"/>
              </w:rPr>
              <w:t>3</w:t>
            </w:r>
          </w:p>
        </w:tc>
        <w:tc>
          <w:tcPr>
            <w:tcW w:w="2127" w:type="dxa"/>
          </w:tcPr>
          <w:p w14:paraId="09C0ADCC">
            <w:pPr>
              <w:spacing w:after="60" w:afterLines="25" w:line="300" w:lineRule="auto"/>
              <w:rPr>
                <w:rFonts w:ascii="Arial" w:hAnsi="Arial" w:eastAsia="宋体"/>
                <w:b/>
              </w:rPr>
            </w:pPr>
          </w:p>
        </w:tc>
        <w:tc>
          <w:tcPr>
            <w:tcW w:w="1417" w:type="dxa"/>
          </w:tcPr>
          <w:p w14:paraId="2A85B154">
            <w:pPr>
              <w:spacing w:after="60" w:afterLines="25" w:line="300" w:lineRule="auto"/>
              <w:rPr>
                <w:rFonts w:ascii="Arial" w:hAnsi="Arial" w:eastAsia="宋体"/>
              </w:rPr>
            </w:pPr>
          </w:p>
        </w:tc>
        <w:tc>
          <w:tcPr>
            <w:tcW w:w="993" w:type="dxa"/>
          </w:tcPr>
          <w:p w14:paraId="47B9FF09">
            <w:pPr>
              <w:spacing w:after="60" w:afterLines="25" w:line="300" w:lineRule="auto"/>
              <w:rPr>
                <w:rFonts w:ascii="Arial" w:hAnsi="Arial" w:eastAsia="宋体"/>
              </w:rPr>
            </w:pPr>
          </w:p>
        </w:tc>
        <w:tc>
          <w:tcPr>
            <w:tcW w:w="992" w:type="dxa"/>
          </w:tcPr>
          <w:p w14:paraId="0C20E9A9">
            <w:pPr>
              <w:spacing w:after="60" w:afterLines="25" w:line="300" w:lineRule="auto"/>
              <w:rPr>
                <w:rFonts w:ascii="Arial" w:hAnsi="Arial" w:eastAsia="宋体"/>
              </w:rPr>
            </w:pPr>
          </w:p>
        </w:tc>
        <w:tc>
          <w:tcPr>
            <w:tcW w:w="709" w:type="dxa"/>
          </w:tcPr>
          <w:p w14:paraId="247B6F68">
            <w:pPr>
              <w:spacing w:after="60" w:afterLines="25" w:line="300" w:lineRule="auto"/>
              <w:rPr>
                <w:rFonts w:ascii="Arial" w:hAnsi="Arial" w:eastAsia="宋体"/>
              </w:rPr>
            </w:pPr>
          </w:p>
        </w:tc>
        <w:tc>
          <w:tcPr>
            <w:tcW w:w="708" w:type="dxa"/>
          </w:tcPr>
          <w:p w14:paraId="7C0C7316">
            <w:pPr>
              <w:spacing w:after="60" w:afterLines="25" w:line="300" w:lineRule="auto"/>
              <w:rPr>
                <w:rFonts w:ascii="Arial" w:hAnsi="Arial" w:eastAsia="宋体"/>
              </w:rPr>
            </w:pPr>
          </w:p>
        </w:tc>
        <w:tc>
          <w:tcPr>
            <w:tcW w:w="993" w:type="dxa"/>
          </w:tcPr>
          <w:p w14:paraId="26C86795">
            <w:pPr>
              <w:spacing w:after="60" w:afterLines="25" w:line="300" w:lineRule="auto"/>
              <w:rPr>
                <w:rFonts w:ascii="Arial" w:hAnsi="Arial" w:eastAsia="宋体"/>
              </w:rPr>
            </w:pPr>
          </w:p>
        </w:tc>
        <w:tc>
          <w:tcPr>
            <w:tcW w:w="1322" w:type="dxa"/>
          </w:tcPr>
          <w:p w14:paraId="097C4969">
            <w:pPr>
              <w:spacing w:after="60" w:afterLines="25" w:line="300" w:lineRule="auto"/>
              <w:rPr>
                <w:rFonts w:ascii="Arial" w:hAnsi="Arial" w:eastAsia="宋体"/>
              </w:rPr>
            </w:pPr>
          </w:p>
        </w:tc>
      </w:tr>
      <w:tr w14:paraId="04FD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14:paraId="3FE61DF1">
            <w:pPr>
              <w:spacing w:after="60" w:afterLines="25" w:line="300" w:lineRule="auto"/>
              <w:jc w:val="center"/>
              <w:rPr>
                <w:rFonts w:ascii="Arial" w:hAnsi="Arial" w:eastAsia="宋体"/>
              </w:rPr>
            </w:pPr>
            <w:r>
              <w:rPr>
                <w:rFonts w:hint="eastAsia" w:ascii="Arial" w:hAnsi="Arial" w:eastAsia="宋体"/>
              </w:rPr>
              <w:t>……</w:t>
            </w:r>
          </w:p>
        </w:tc>
        <w:tc>
          <w:tcPr>
            <w:tcW w:w="2127" w:type="dxa"/>
          </w:tcPr>
          <w:p w14:paraId="19C29C28">
            <w:pPr>
              <w:spacing w:after="60" w:afterLines="25" w:line="300" w:lineRule="auto"/>
              <w:rPr>
                <w:rFonts w:ascii="Arial" w:hAnsi="Arial" w:eastAsia="宋体"/>
                <w:b/>
              </w:rPr>
            </w:pPr>
          </w:p>
        </w:tc>
        <w:tc>
          <w:tcPr>
            <w:tcW w:w="1417" w:type="dxa"/>
          </w:tcPr>
          <w:p w14:paraId="3BF1CEE7">
            <w:pPr>
              <w:spacing w:after="60" w:afterLines="25" w:line="300" w:lineRule="auto"/>
              <w:rPr>
                <w:rFonts w:ascii="Arial" w:hAnsi="Arial" w:eastAsia="宋体"/>
              </w:rPr>
            </w:pPr>
          </w:p>
        </w:tc>
        <w:tc>
          <w:tcPr>
            <w:tcW w:w="993" w:type="dxa"/>
          </w:tcPr>
          <w:p w14:paraId="547B61F4">
            <w:pPr>
              <w:spacing w:after="60" w:afterLines="25" w:line="300" w:lineRule="auto"/>
              <w:rPr>
                <w:rFonts w:ascii="Arial" w:hAnsi="Arial" w:eastAsia="宋体"/>
              </w:rPr>
            </w:pPr>
          </w:p>
        </w:tc>
        <w:tc>
          <w:tcPr>
            <w:tcW w:w="992" w:type="dxa"/>
          </w:tcPr>
          <w:p w14:paraId="7E22F368">
            <w:pPr>
              <w:spacing w:after="60" w:afterLines="25" w:line="300" w:lineRule="auto"/>
              <w:rPr>
                <w:rFonts w:ascii="Arial" w:hAnsi="Arial" w:eastAsia="宋体"/>
              </w:rPr>
            </w:pPr>
          </w:p>
        </w:tc>
        <w:tc>
          <w:tcPr>
            <w:tcW w:w="709" w:type="dxa"/>
          </w:tcPr>
          <w:p w14:paraId="3909485E">
            <w:pPr>
              <w:spacing w:after="60" w:afterLines="25" w:line="300" w:lineRule="auto"/>
              <w:rPr>
                <w:rFonts w:ascii="Arial" w:hAnsi="Arial" w:eastAsia="宋体"/>
              </w:rPr>
            </w:pPr>
          </w:p>
        </w:tc>
        <w:tc>
          <w:tcPr>
            <w:tcW w:w="708" w:type="dxa"/>
          </w:tcPr>
          <w:p w14:paraId="78B779A1">
            <w:pPr>
              <w:spacing w:after="60" w:afterLines="25" w:line="300" w:lineRule="auto"/>
              <w:rPr>
                <w:rFonts w:ascii="Arial" w:hAnsi="Arial" w:eastAsia="宋体"/>
              </w:rPr>
            </w:pPr>
          </w:p>
        </w:tc>
        <w:tc>
          <w:tcPr>
            <w:tcW w:w="993" w:type="dxa"/>
          </w:tcPr>
          <w:p w14:paraId="325D091F">
            <w:pPr>
              <w:spacing w:after="60" w:afterLines="25" w:line="300" w:lineRule="auto"/>
              <w:rPr>
                <w:rFonts w:ascii="Arial" w:hAnsi="Arial" w:eastAsia="宋体"/>
              </w:rPr>
            </w:pPr>
          </w:p>
        </w:tc>
        <w:tc>
          <w:tcPr>
            <w:tcW w:w="1322" w:type="dxa"/>
          </w:tcPr>
          <w:p w14:paraId="37BACC55">
            <w:pPr>
              <w:spacing w:after="60" w:afterLines="25" w:line="300" w:lineRule="auto"/>
              <w:rPr>
                <w:rFonts w:ascii="Arial" w:hAnsi="Arial" w:eastAsia="宋体"/>
              </w:rPr>
            </w:pPr>
          </w:p>
        </w:tc>
      </w:tr>
      <w:tr w14:paraId="6148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14:paraId="11B3A0ED">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14:paraId="5CB086C9">
            <w:pPr>
              <w:spacing w:after="60" w:afterLines="25" w:line="300" w:lineRule="auto"/>
              <w:rPr>
                <w:rFonts w:ascii="Arial" w:hAnsi="Arial" w:eastAsia="宋体"/>
              </w:rPr>
            </w:pPr>
          </w:p>
        </w:tc>
      </w:tr>
    </w:tbl>
    <w:p w14:paraId="70F6309E">
      <w:pPr>
        <w:tabs>
          <w:tab w:val="left" w:pos="720"/>
        </w:tabs>
        <w:rPr>
          <w:rFonts w:eastAsia="宋体"/>
          <w:b/>
        </w:rPr>
      </w:pPr>
    </w:p>
    <w:p w14:paraId="49239E05">
      <w:pPr>
        <w:tabs>
          <w:tab w:val="left" w:pos="720"/>
        </w:tabs>
        <w:rPr>
          <w:rFonts w:eastAsia="宋体"/>
          <w:b/>
          <w:color w:val="FF0000"/>
        </w:rPr>
      </w:pPr>
      <w:r>
        <w:rPr>
          <w:rFonts w:hint="eastAsia" w:eastAsia="宋体"/>
          <w:b/>
          <w:color w:val="FF0000"/>
        </w:rPr>
        <w:t>（二）核心产品品牌</w:t>
      </w:r>
    </w:p>
    <w:p w14:paraId="7A541698">
      <w:pPr>
        <w:rPr>
          <w:rFonts w:ascii="宋体" w:hAnsi="宋体" w:eastAsia="宋体"/>
          <w:b/>
          <w:color w:val="FF0000"/>
        </w:rPr>
      </w:pPr>
      <w:r>
        <w:rPr>
          <w:rFonts w:hint="eastAsia" w:eastAsia="宋体"/>
          <w:b/>
          <w:color w:val="FF0000"/>
        </w:rPr>
        <w:t>我单位所投核心产品</w:t>
      </w:r>
      <w:r>
        <w:rPr>
          <w:rFonts w:hint="eastAsia" w:eastAsia="宋体"/>
          <w:b/>
          <w:color w:val="FF0000"/>
          <w:u w:val="single"/>
        </w:rPr>
        <w:t xml:space="preserve">              </w:t>
      </w:r>
      <w:r>
        <w:rPr>
          <w:rFonts w:hint="eastAsia" w:eastAsia="宋体"/>
          <w:b/>
          <w:color w:val="FF0000"/>
        </w:rPr>
        <w:t>的品牌为</w:t>
      </w:r>
      <w:r>
        <w:rPr>
          <w:rFonts w:hint="eastAsia" w:eastAsia="宋体"/>
          <w:b/>
          <w:color w:val="FF0000"/>
          <w:u w:val="single"/>
        </w:rPr>
        <w:t xml:space="preserve">：                 </w:t>
      </w:r>
      <w:r>
        <w:rPr>
          <w:rFonts w:hint="eastAsia" w:eastAsia="宋体"/>
          <w:b/>
          <w:color w:val="FF0000"/>
        </w:rPr>
        <w:t>。</w:t>
      </w:r>
    </w:p>
    <w:p w14:paraId="5C3E53A8">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14:paraId="64B13F60">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14:paraId="02DB5EAE">
      <w:pPr>
        <w:spacing w:after="60" w:afterLines="25" w:line="300" w:lineRule="auto"/>
        <w:rPr>
          <w:rFonts w:ascii="Arial" w:hAnsi="Arial" w:eastAsia="宋体"/>
          <w:b/>
        </w:rPr>
      </w:pPr>
      <w:r>
        <w:rPr>
          <w:rFonts w:hint="eastAsia" w:ascii="Arial" w:hAnsi="Arial" w:eastAsia="宋体"/>
          <w:b/>
        </w:rPr>
        <w:t>（四）供应商认为需要涉及的其他内容报价清单</w:t>
      </w:r>
    </w:p>
    <w:p w14:paraId="42A6A0CF">
      <w:pPr>
        <w:spacing w:after="60" w:afterLines="25" w:line="300" w:lineRule="auto"/>
        <w:rPr>
          <w:rFonts w:ascii="Arial" w:hAnsi="Arial" w:eastAsia="宋体"/>
        </w:rPr>
      </w:pPr>
    </w:p>
    <w:p w14:paraId="199A0857">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14:paraId="2DB12549">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14:paraId="7D842A66">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14:paraId="429EB8A5">
      <w:pPr>
        <w:snapToGrid w:val="0"/>
        <w:rPr>
          <w:rFonts w:ascii="宋体" w:hAnsi="宋体"/>
          <w:b/>
        </w:rPr>
      </w:pPr>
    </w:p>
    <w:p w14:paraId="10E2635E">
      <w:pPr>
        <w:snapToGrid w:val="0"/>
        <w:rPr>
          <w:rFonts w:ascii="宋体" w:hAnsi="宋体"/>
          <w:b/>
        </w:rPr>
      </w:pPr>
      <w:r>
        <w:rPr>
          <w:rFonts w:hint="eastAsia" w:ascii="宋体" w:hAnsi="宋体"/>
          <w:b/>
        </w:rPr>
        <w:t>填写说明：</w:t>
      </w:r>
    </w:p>
    <w:p w14:paraId="0331DD5B">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14:paraId="4EE032CE">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14:paraId="1DE4262E">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14:paraId="1A737239">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14:paraId="14B701EC">
      <w:pPr>
        <w:snapToGrid w:val="0"/>
        <w:rPr>
          <w:rFonts w:ascii="宋体" w:hAnsi="宋体"/>
        </w:rPr>
      </w:pPr>
    </w:p>
    <w:p w14:paraId="5CCBDA2A">
      <w:pPr>
        <w:tabs>
          <w:tab w:val="left" w:pos="651"/>
        </w:tabs>
        <w:snapToGrid w:val="0"/>
        <w:rPr>
          <w:rFonts w:ascii="宋体" w:hAnsi="宋体" w:eastAsia="宋体"/>
          <w:color w:val="FF0000"/>
          <w:sz w:val="28"/>
          <w:szCs w:val="28"/>
        </w:rPr>
      </w:pPr>
    </w:p>
    <w:p w14:paraId="0D74575D">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12</w:t>
      </w:r>
      <w:r>
        <w:rPr>
          <w:rFonts w:ascii="宋体" w:hAnsi="宋体" w:eastAsia="宋体"/>
          <w:b/>
          <w:bCs/>
          <w:szCs w:val="20"/>
        </w:rPr>
        <w:t>.</w:t>
      </w:r>
      <w:r>
        <w:rPr>
          <w:rFonts w:hint="eastAsia" w:ascii="宋体" w:hAnsi="宋体" w:eastAsia="宋体"/>
          <w:b/>
          <w:bCs/>
          <w:szCs w:val="20"/>
        </w:rPr>
        <w:t>商务（服务）条款偏离表</w:t>
      </w:r>
    </w:p>
    <w:p w14:paraId="73FB74F2">
      <w:pPr>
        <w:snapToGrid w:val="0"/>
        <w:rPr>
          <w:rFonts w:ascii="Arial" w:hAnsi="Arial" w:eastAsia="宋体" w:cs="Arial"/>
        </w:rPr>
      </w:pPr>
      <w:r>
        <w:rPr>
          <w:rFonts w:hint="eastAsia" w:ascii="Arial" w:hAnsi="Arial" w:eastAsia="宋体" w:cs="Arial"/>
          <w:color w:val="000000"/>
        </w:rPr>
        <w:t>投标单位（投标人）名称：</w:t>
      </w:r>
    </w:p>
    <w:p w14:paraId="1DCE8F2C">
      <w:pPr>
        <w:snapToGrid w:val="0"/>
        <w:rPr>
          <w:rFonts w:ascii="宋体" w:hAnsi="宋体"/>
          <w:b/>
        </w:rPr>
      </w:pPr>
    </w:p>
    <w:tbl>
      <w:tblPr>
        <w:tblStyle w:val="22"/>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14:paraId="0DF449B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0FC16E47">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14:paraId="606BDEB3">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14:paraId="53C6FF0A">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14:paraId="41D5F485">
            <w:pPr>
              <w:jc w:val="center"/>
              <w:rPr>
                <w:rFonts w:ascii="宋体" w:hAnsi="宋体" w:eastAsia="宋体" w:cs="Arial"/>
                <w:b/>
                <w:szCs w:val="21"/>
              </w:rPr>
            </w:pPr>
            <w:r>
              <w:rPr>
                <w:rFonts w:hint="eastAsia" w:ascii="宋体" w:hAnsi="宋体" w:eastAsia="宋体" w:cs="Arial"/>
                <w:b/>
                <w:szCs w:val="21"/>
              </w:rPr>
              <w:t>说明</w:t>
            </w:r>
          </w:p>
        </w:tc>
      </w:tr>
      <w:tr w14:paraId="3D07965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54BB0577">
            <w:pPr>
              <w:spacing w:line="300" w:lineRule="auto"/>
              <w:jc w:val="center"/>
              <w:rPr>
                <w:rFonts w:ascii="Arial" w:hAnsi="Arial" w:eastAsia="宋体"/>
              </w:rPr>
            </w:pPr>
            <w:r>
              <w:rPr>
                <w:rFonts w:hint="eastAsia" w:ascii="Arial" w:hAnsi="Arial" w:eastAsia="宋体"/>
              </w:rPr>
              <w:t>1</w:t>
            </w:r>
          </w:p>
        </w:tc>
        <w:tc>
          <w:tcPr>
            <w:tcW w:w="3901" w:type="dxa"/>
            <w:vAlign w:val="center"/>
          </w:tcPr>
          <w:p w14:paraId="71982D81">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14:paraId="7E308FC5">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14:paraId="007624AA">
            <w:pPr>
              <w:rPr>
                <w:rFonts w:ascii="宋体" w:hAnsi="宋体" w:eastAsia="宋体" w:cs="Arial"/>
                <w:szCs w:val="21"/>
              </w:rPr>
            </w:pPr>
            <w:r>
              <w:rPr>
                <w:rFonts w:hint="eastAsia" w:ascii="宋体" w:hAnsi="宋体" w:eastAsia="宋体" w:cs="Arial"/>
                <w:szCs w:val="21"/>
              </w:rPr>
              <w:t>无偏离</w:t>
            </w:r>
          </w:p>
        </w:tc>
      </w:tr>
    </w:tbl>
    <w:p w14:paraId="4E5D8885">
      <w:pPr>
        <w:snapToGrid w:val="0"/>
        <w:rPr>
          <w:rFonts w:ascii="宋体" w:hAnsi="宋体"/>
        </w:rPr>
      </w:pPr>
    </w:p>
    <w:p w14:paraId="3A4914B9">
      <w:pPr>
        <w:snapToGrid w:val="0"/>
        <w:rPr>
          <w:rFonts w:ascii="宋体" w:hAnsi="宋体"/>
          <w:b/>
        </w:rPr>
      </w:pPr>
      <w:r>
        <w:rPr>
          <w:rFonts w:hint="eastAsia" w:ascii="宋体" w:hAnsi="宋体" w:eastAsia="宋体"/>
          <w:b/>
        </w:rPr>
        <w:t>填写说明：</w:t>
      </w:r>
    </w:p>
    <w:p w14:paraId="124BF780">
      <w:pPr>
        <w:numPr>
          <w:ilvl w:val="0"/>
          <w:numId w:val="11"/>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14:paraId="0CB0ED3C">
      <w:pPr>
        <w:numPr>
          <w:ilvl w:val="0"/>
          <w:numId w:val="11"/>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66244868">
      <w:pPr>
        <w:numPr>
          <w:ilvl w:val="0"/>
          <w:numId w:val="11"/>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14:paraId="17D2A794">
      <w:pPr>
        <w:rPr>
          <w:rFonts w:ascii="宋体" w:hAnsi="宋体" w:eastAsia="宋体"/>
          <w:color w:val="FF0000"/>
          <w:sz w:val="32"/>
          <w:szCs w:val="32"/>
        </w:rPr>
      </w:pPr>
    </w:p>
    <w:p w14:paraId="5A1A5C92">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13</w:t>
      </w:r>
      <w:r>
        <w:rPr>
          <w:rFonts w:hint="eastAsia" w:ascii="宋体" w:hAnsi="宋体" w:eastAsia="宋体"/>
          <w:b/>
          <w:bCs/>
          <w:szCs w:val="20"/>
        </w:rPr>
        <w:t>.技术规格偏离表</w:t>
      </w:r>
    </w:p>
    <w:p w14:paraId="4AFD0036">
      <w:pPr>
        <w:snapToGrid w:val="0"/>
        <w:rPr>
          <w:rFonts w:ascii="Arial" w:hAnsi="Arial" w:eastAsia="宋体" w:cs="Arial"/>
          <w:color w:val="000000"/>
          <w:u w:val="single"/>
        </w:rPr>
      </w:pPr>
      <w:r>
        <w:rPr>
          <w:rFonts w:hint="eastAsia" w:ascii="Arial" w:hAnsi="Arial" w:eastAsia="宋体" w:cs="Arial"/>
          <w:color w:val="000000"/>
        </w:rPr>
        <w:t>投标单位（投标人）名称：</w:t>
      </w:r>
    </w:p>
    <w:p w14:paraId="126B5B7E">
      <w:pPr>
        <w:snapToGrid w:val="0"/>
        <w:rPr>
          <w:rFonts w:ascii="宋体" w:hAnsi="宋体"/>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14:paraId="365F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F1962D0">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14:paraId="1334A6F5">
            <w:pPr>
              <w:snapToGrid w:val="0"/>
              <w:jc w:val="center"/>
              <w:rPr>
                <w:rFonts w:ascii="宋体" w:hAnsi="宋体"/>
                <w:b/>
              </w:rPr>
            </w:pPr>
            <w:r>
              <w:rPr>
                <w:rFonts w:hint="eastAsia" w:ascii="宋体" w:hAnsi="宋体"/>
                <w:b/>
              </w:rPr>
              <w:t>货物名称</w:t>
            </w:r>
          </w:p>
        </w:tc>
        <w:tc>
          <w:tcPr>
            <w:tcW w:w="2835" w:type="dxa"/>
            <w:tcBorders>
              <w:top w:val="double" w:color="auto" w:sz="4" w:space="0"/>
              <w:left w:val="double" w:color="auto" w:sz="4" w:space="0"/>
              <w:bottom w:val="double" w:color="auto" w:sz="4" w:space="0"/>
              <w:right w:val="double" w:color="auto" w:sz="4" w:space="0"/>
            </w:tcBorders>
            <w:vAlign w:val="center"/>
          </w:tcPr>
          <w:p w14:paraId="6FCCCA84">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14:paraId="5F92DDE9">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14:paraId="1C5D3994">
            <w:pPr>
              <w:snapToGrid w:val="0"/>
              <w:jc w:val="center"/>
              <w:rPr>
                <w:rFonts w:ascii="宋体" w:hAnsi="宋体"/>
                <w:b/>
              </w:rPr>
            </w:pPr>
            <w:r>
              <w:rPr>
                <w:rFonts w:hint="eastAsia" w:ascii="宋体" w:hAnsi="宋体"/>
                <w:b/>
              </w:rPr>
              <w:t>说明</w:t>
            </w:r>
          </w:p>
        </w:tc>
      </w:tr>
      <w:tr w14:paraId="71E9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1ACB6BEB">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14:paraId="278761F2">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6A96439E">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885A060">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7DADC9C0">
            <w:pPr>
              <w:snapToGrid w:val="0"/>
              <w:rPr>
                <w:rFonts w:ascii="宋体" w:hAnsi="宋体"/>
              </w:rPr>
            </w:pPr>
          </w:p>
        </w:tc>
      </w:tr>
      <w:tr w14:paraId="3642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426703D">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335E0D1D">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1EBC93BE">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73779C0D">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6716A8E7">
            <w:pPr>
              <w:snapToGrid w:val="0"/>
              <w:rPr>
                <w:rFonts w:ascii="宋体" w:hAnsi="宋体"/>
              </w:rPr>
            </w:pPr>
          </w:p>
        </w:tc>
      </w:tr>
      <w:tr w14:paraId="15CD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3C4C05D">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4787368C">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2DC175D1">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3DB957B">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69AA68E5">
            <w:pPr>
              <w:snapToGrid w:val="0"/>
              <w:rPr>
                <w:rFonts w:ascii="宋体" w:hAnsi="宋体"/>
              </w:rPr>
            </w:pPr>
          </w:p>
        </w:tc>
      </w:tr>
    </w:tbl>
    <w:p w14:paraId="64903DD5">
      <w:pPr>
        <w:snapToGrid w:val="0"/>
        <w:rPr>
          <w:rFonts w:ascii="宋体" w:hAnsi="宋体"/>
        </w:rPr>
      </w:pPr>
      <w:r>
        <w:rPr>
          <w:rFonts w:hint="eastAsia" w:ascii="宋体" w:hAnsi="宋体"/>
        </w:rPr>
        <w:t>此表可延长。</w:t>
      </w:r>
    </w:p>
    <w:p w14:paraId="06FC15FB">
      <w:pPr>
        <w:snapToGrid w:val="0"/>
        <w:rPr>
          <w:rFonts w:ascii="宋体" w:hAnsi="宋体"/>
        </w:rPr>
      </w:pPr>
    </w:p>
    <w:p w14:paraId="55FFAA0E">
      <w:pPr>
        <w:snapToGrid w:val="0"/>
        <w:rPr>
          <w:rFonts w:ascii="宋体" w:hAnsi="宋体"/>
          <w:b/>
        </w:rPr>
      </w:pPr>
      <w:r>
        <w:rPr>
          <w:rFonts w:hint="eastAsia" w:ascii="宋体" w:hAnsi="宋体"/>
          <w:b/>
        </w:rPr>
        <w:t>填写说明：</w:t>
      </w:r>
    </w:p>
    <w:p w14:paraId="74946743">
      <w:pPr>
        <w:numPr>
          <w:ilvl w:val="0"/>
          <w:numId w:val="12"/>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cs="宋体"/>
          <w:sz w:val="24"/>
          <w:szCs w:val="24"/>
        </w:rPr>
        <w:t>投标人须按照所投产品的真实情况填写投标参数，如投标参数与招标文件要求存在差异，评标委员会将依据招标文件规定判定是否构成偏离，</w:t>
      </w:r>
      <w:r>
        <w:rPr>
          <w:rStyle w:val="24"/>
          <w:rFonts w:ascii="宋体" w:hAnsi="宋体" w:eastAsia="宋体" w:cs="宋体"/>
          <w:b/>
          <w:bCs/>
          <w:color w:val="000000"/>
          <w:sz w:val="24"/>
          <w:szCs w:val="24"/>
        </w:rPr>
        <w:t>此判定结果为最终评审结论</w:t>
      </w:r>
      <w:r>
        <w:rPr>
          <w:rFonts w:ascii="宋体" w:hAnsi="宋体" w:eastAsia="宋体" w:cs="宋体"/>
          <w:sz w:val="24"/>
          <w:szCs w:val="24"/>
        </w:rPr>
        <w:t>。</w:t>
      </w:r>
    </w:p>
    <w:p w14:paraId="4C516BCA">
      <w:pPr>
        <w:numPr>
          <w:ilvl w:val="0"/>
          <w:numId w:val="12"/>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14:paraId="7F182BD4">
      <w:pPr>
        <w:numPr>
          <w:ilvl w:val="0"/>
          <w:numId w:val="12"/>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14:paraId="001A9CD0">
      <w:pPr>
        <w:rPr>
          <w:rFonts w:hint="eastAsia" w:ascii="宋体" w:hAnsi="宋体" w:eastAsia="宋体"/>
          <w:b/>
          <w:bCs/>
          <w:szCs w:val="20"/>
          <w:lang w:val="en-US" w:eastAsia="zh-CN"/>
        </w:rPr>
      </w:pPr>
    </w:p>
    <w:p w14:paraId="326B62F0">
      <w:pPr>
        <w:rPr>
          <w:rFonts w:hint="eastAsia" w:ascii="宋体" w:hAnsi="宋体" w:eastAsia="宋体"/>
          <w:b/>
          <w:bCs/>
          <w:szCs w:val="20"/>
          <w:lang w:val="en-US" w:eastAsia="zh-CN"/>
        </w:rPr>
      </w:pPr>
    </w:p>
    <w:p w14:paraId="2CB2D76A">
      <w:pPr>
        <w:rPr>
          <w:rFonts w:hint="eastAsia"/>
          <w:b w:val="0"/>
          <w:bCs w:val="0"/>
          <w:lang w:eastAsia="zh-CN"/>
        </w:rPr>
      </w:pPr>
      <w:r>
        <w:rPr>
          <w:rFonts w:hint="eastAsia" w:ascii="宋体" w:hAnsi="宋体" w:eastAsia="宋体"/>
          <w:b/>
          <w:bCs/>
          <w:szCs w:val="20"/>
          <w:lang w:val="en-US" w:eastAsia="zh-CN"/>
        </w:rPr>
        <w:t>14.</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14:paraId="67BAF487">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0E4D2C4">
      <w:pPr>
        <w:pStyle w:val="9"/>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15.售后服务相关资料</w:t>
      </w:r>
      <w:r>
        <w:rPr>
          <w:rFonts w:hint="eastAsia" w:ascii="宋体" w:hAnsi="宋体" w:eastAsia="宋体" w:cs="Times New Roman"/>
          <w:b/>
          <w:bCs/>
          <w:sz w:val="21"/>
          <w:szCs w:val="20"/>
          <w:lang w:val="en-US" w:eastAsia="zh-CN"/>
        </w:rPr>
        <w:t>(如有)</w:t>
      </w:r>
    </w:p>
    <w:p w14:paraId="5C5A0C93">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1563E047">
      <w:pPr>
        <w:pStyle w:val="9"/>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16.产品检测报告</w:t>
      </w:r>
    </w:p>
    <w:p w14:paraId="587CE870">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592F28B">
      <w:pPr>
        <w:pStyle w:val="9"/>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17.节能产品认证证书</w:t>
      </w:r>
    </w:p>
    <w:p w14:paraId="7F9F91AF">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41F4CA7">
      <w:pPr>
        <w:pStyle w:val="9"/>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18.设计、施工方案的合理性评价(如有)</w:t>
      </w:r>
    </w:p>
    <w:p w14:paraId="75D8B990">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692CBC4">
      <w:pPr>
        <w:pStyle w:val="9"/>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19.其他招标文件要求或投标人认为需要补充的内容(如有)</w:t>
      </w:r>
    </w:p>
    <w:p w14:paraId="6C00C347">
      <w:pPr>
        <w:pStyle w:val="9"/>
        <w:rPr>
          <w:rFonts w:hint="eastAsia" w:ascii="宋体" w:hAnsi="宋体" w:eastAsia="宋体" w:cs="Times New Roman"/>
          <w:b w:val="0"/>
          <w:bCs w:val="0"/>
          <w:sz w:val="21"/>
          <w:szCs w:val="20"/>
          <w:lang w:val="en-US" w:eastAsia="zh-CN"/>
        </w:rPr>
      </w:pPr>
      <w:r>
        <w:rPr>
          <w:rFonts w:hint="eastAsia" w:ascii="宋体" w:hAnsi="宋体" w:eastAsia="宋体" w:cs="Times New Roman"/>
          <w:b w:val="0"/>
          <w:bCs w:val="0"/>
          <w:sz w:val="21"/>
          <w:szCs w:val="20"/>
          <w:lang w:val="en-US" w:eastAsia="zh-CN"/>
        </w:rPr>
        <w:t>自行填写，无参考格式及要求。</w:t>
      </w:r>
    </w:p>
    <w:p w14:paraId="5D887BEE">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center"/>
        <w:rPr>
          <w:rStyle w:val="24"/>
          <w:rFonts w:hint="eastAsia" w:ascii="微软雅黑" w:hAnsi="微软雅黑" w:eastAsia="微软雅黑" w:cs="微软雅黑"/>
          <w:b/>
          <w:bCs/>
          <w:i w:val="0"/>
          <w:iCs w:val="0"/>
          <w:caps w:val="0"/>
          <w:color w:val="FF0000"/>
          <w:spacing w:val="0"/>
          <w:sz w:val="32"/>
          <w:szCs w:val="32"/>
          <w:lang w:val="en-US" w:eastAsia="zh-CN"/>
        </w:rPr>
      </w:pPr>
      <w:r>
        <w:rPr>
          <w:rStyle w:val="24"/>
          <w:rFonts w:hint="eastAsia" w:ascii="微软雅黑" w:hAnsi="微软雅黑" w:eastAsia="微软雅黑" w:cs="微软雅黑"/>
          <w:b/>
          <w:bCs/>
          <w:i w:val="0"/>
          <w:iCs w:val="0"/>
          <w:caps w:val="0"/>
          <w:color w:val="FF0000"/>
          <w:spacing w:val="0"/>
          <w:sz w:val="32"/>
          <w:szCs w:val="32"/>
          <w:lang w:val="en-US" w:eastAsia="zh-CN"/>
        </w:rPr>
        <w:t>20关于符合本国产品标准的声明函</w:t>
      </w:r>
    </w:p>
    <w:p w14:paraId="63B3850B">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color w:val="FF0000"/>
          <w:highlight w:val="none"/>
        </w:rPr>
      </w:pPr>
      <w:r>
        <w:rPr>
          <w:rFonts w:hint="eastAsia" w:ascii="微软雅黑" w:hAnsi="微软雅黑" w:eastAsia="微软雅黑" w:cs="微软雅黑"/>
          <w:i w:val="0"/>
          <w:iCs w:val="0"/>
          <w:caps w:val="0"/>
          <w:color w:val="232323"/>
          <w:spacing w:val="0"/>
          <w:sz w:val="21"/>
          <w:szCs w:val="21"/>
        </w:rPr>
        <w:t> </w:t>
      </w:r>
      <w:r>
        <w:rPr>
          <w:rFonts w:hint="eastAsia" w:ascii="微软雅黑" w:hAnsi="微软雅黑" w:eastAsia="微软雅黑" w:cs="微软雅黑"/>
          <w:i w:val="0"/>
          <w:iCs w:val="0"/>
          <w:caps w:val="0"/>
          <w:color w:val="FF0000"/>
          <w:spacing w:val="0"/>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33E7B831">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名称1）1，生产厂为（厂名）2，厂址为（生产厂址）。（产品名称1）的中国境内生产的组件成本占比≥（规定比例）3。（产品名称1）的（关键组件）4在中国境内生产。（产品名称1）的（关键工序）5在中国境内完成。</w:t>
      </w:r>
    </w:p>
    <w:p w14:paraId="1BD5256A">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6FD3EBF2">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w:t>
      </w:r>
    </w:p>
    <w:p w14:paraId="70A9BC34">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本公司（单位）对上述声明内容的真实性负责。如有虚假，愿承担相应法律责任。</w:t>
      </w:r>
    </w:p>
    <w:p w14:paraId="3523EF16">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 公司（单位）名称（盖章）：　        </w:t>
      </w:r>
    </w:p>
    <w:p w14:paraId="0707FA2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日期：　     年　  月　  日         </w:t>
      </w:r>
    </w:p>
    <w:p w14:paraId="2D00A8E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1.产品如有型号，请在“产品名称”栏一并填写。</w:t>
      </w:r>
    </w:p>
    <w:p w14:paraId="3F9147CD">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2.生产厂名与厂址应与生产厂营业执照载明的相关信息保持一致。</w:t>
      </w:r>
    </w:p>
    <w:p w14:paraId="4511509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3.该产品的中国境内生产的组件成本占比相关要求实施前，“规定比例”栏可不填，下同。</w:t>
      </w:r>
    </w:p>
    <w:p w14:paraId="5056079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4.该产品的关键组件要求实施前，“关键组件”栏可不填，下同。</w:t>
      </w:r>
    </w:p>
    <w:p w14:paraId="6354793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5.该产品的关键工序要求实施前，“关键工序”栏可不填，下同。</w:t>
      </w:r>
    </w:p>
    <w:p w14:paraId="5B72FB4E">
      <w:pPr>
        <w:pStyle w:val="9"/>
        <w:ind w:left="0" w:leftChars="0" w:firstLine="0" w:firstLineChars="0"/>
        <w:rPr>
          <w:rFonts w:ascii="宋体" w:hAnsi="宋体" w:eastAsia="宋体"/>
          <w:color w:val="FF0000"/>
          <w:sz w:val="32"/>
          <w:szCs w:val="32"/>
        </w:rPr>
      </w:pPr>
    </w:p>
    <w:p w14:paraId="6D849620">
      <w:pPr>
        <w:keepNext/>
        <w:keepLines/>
        <w:adjustRightInd w:val="0"/>
        <w:spacing w:before="260" w:after="260"/>
        <w:jc w:val="center"/>
        <w:textAlignment w:val="baseline"/>
        <w:outlineLvl w:val="1"/>
        <w:rPr>
          <w:rFonts w:ascii="宋体" w:hAnsi="宋体" w:eastAsia="宋体"/>
          <w:b/>
          <w:bCs/>
          <w:sz w:val="28"/>
          <w:szCs w:val="28"/>
        </w:rPr>
      </w:pPr>
      <w:bookmarkStart w:id="14" w:name="_Hlk72574405"/>
      <w:r>
        <w:rPr>
          <w:rFonts w:hint="eastAsia" w:ascii="宋体" w:hAnsi="宋体" w:eastAsia="宋体"/>
          <w:b/>
          <w:bCs/>
          <w:sz w:val="28"/>
          <w:szCs w:val="28"/>
        </w:rPr>
        <w:t>第五章  合同条款及格式</w:t>
      </w:r>
    </w:p>
    <w:p w14:paraId="35D95000">
      <w:pPr>
        <w:jc w:val="right"/>
        <w:rPr>
          <w:rFonts w:hint="eastAsia"/>
          <w:b/>
        </w:rPr>
      </w:pPr>
    </w:p>
    <w:p w14:paraId="215F7CFE">
      <w:pPr>
        <w:jc w:val="center"/>
        <w:rPr>
          <w:rFonts w:hint="eastAsia"/>
          <w:b/>
        </w:rPr>
      </w:pPr>
    </w:p>
    <w:p w14:paraId="66D59F77">
      <w:pPr>
        <w:jc w:val="center"/>
        <w:rPr>
          <w:rFonts w:hint="eastAsia"/>
          <w:b/>
        </w:rPr>
      </w:pPr>
    </w:p>
    <w:p w14:paraId="3A559EA2">
      <w:pPr>
        <w:jc w:val="center"/>
        <w:rPr>
          <w:rFonts w:ascii="宋体" w:hAnsi="宋体" w:eastAsia="黑体"/>
          <w:bCs/>
          <w:kern w:val="44"/>
          <w:sz w:val="28"/>
          <w:szCs w:val="44"/>
        </w:rPr>
      </w:pPr>
      <w:r>
        <w:rPr>
          <w:rFonts w:hint="eastAsia"/>
          <w:b/>
        </w:rPr>
        <w:t>（仅供参考，具体以项目需求及采购结果为准）</w:t>
      </w:r>
      <w:bookmarkEnd w:id="14"/>
    </w:p>
    <w:p w14:paraId="08A83C6B">
      <w:pPr>
        <w:snapToGrid w:val="0"/>
        <w:spacing w:line="300" w:lineRule="auto"/>
        <w:jc w:val="center"/>
        <w:rPr>
          <w:rFonts w:ascii="仿宋" w:hAnsi="仿宋" w:eastAsia="仿宋"/>
          <w:sz w:val="28"/>
          <w:szCs w:val="28"/>
        </w:rPr>
      </w:pPr>
    </w:p>
    <w:p w14:paraId="498FA702">
      <w:pPr>
        <w:adjustRightInd w:val="0"/>
        <w:snapToGrid w:val="0"/>
        <w:spacing w:line="500" w:lineRule="exact"/>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sz w:val="40"/>
          <w:szCs w:val="40"/>
          <w:lang w:val="en-US" w:eastAsia="zh-CN"/>
        </w:rPr>
        <w:t xml:space="preserve"> </w:t>
      </w:r>
    </w:p>
    <w:p w14:paraId="2CB11FA9">
      <w:pPr>
        <w:pStyle w:val="17"/>
        <w:jc w:val="center"/>
      </w:pPr>
      <w:r>
        <w:rPr>
          <w:rFonts w:hint="eastAsia" w:hAnsi="宋体" w:cs="宋体"/>
          <w:b/>
          <w:sz w:val="48"/>
          <w:szCs w:val="48"/>
          <w:lang w:val="en-US" w:eastAsia="zh-CN"/>
        </w:rPr>
        <w:t xml:space="preserve">                                    </w:t>
      </w:r>
      <w:r>
        <w:rPr>
          <w:rFonts w:hint="eastAsia" w:hAnsi="宋体" w:cs="宋体"/>
          <w:b/>
          <w:sz w:val="48"/>
          <w:szCs w:val="48"/>
        </w:rPr>
        <w:t xml:space="preserve"> </w:t>
      </w:r>
      <w:r>
        <w:rPr>
          <w:rFonts w:hint="eastAsia" w:ascii="宋体" w:hAnsi="宋体" w:cs="宋体"/>
          <w:b/>
          <w:sz w:val="48"/>
          <w:szCs w:val="48"/>
          <w:bdr w:val="single" w:color="auto" w:sz="4" w:space="0"/>
          <w:lang w:eastAsia="zh-CN"/>
        </w:rPr>
        <w:t>正</w:t>
      </w:r>
      <w:r>
        <w:rPr>
          <w:rFonts w:hint="eastAsia" w:ascii="宋体" w:hAnsi="宋体" w:cs="宋体"/>
          <w:b/>
          <w:sz w:val="48"/>
          <w:szCs w:val="48"/>
          <w:bdr w:val="single" w:color="auto" w:sz="4" w:space="0"/>
        </w:rPr>
        <w:t>本</w:t>
      </w:r>
    </w:p>
    <w:p w14:paraId="439EFB17">
      <w:pPr>
        <w:adjustRightInd w:val="0"/>
        <w:snapToGrid w:val="0"/>
        <w:spacing w:line="700" w:lineRule="exact"/>
        <w:rPr>
          <w:rFonts w:ascii="仿宋_GB2312" w:hAnsi="仿宋_GB2312" w:eastAsia="仿宋_GB2312" w:cs="仿宋_GB2312"/>
          <w:sz w:val="32"/>
          <w:szCs w:val="32"/>
        </w:rPr>
      </w:pPr>
    </w:p>
    <w:p w14:paraId="039F87B2">
      <w:pPr>
        <w:adjustRightInd w:val="0"/>
        <w:snapToGrid w:val="0"/>
        <w:spacing w:line="700" w:lineRule="exact"/>
        <w:rPr>
          <w:rFonts w:ascii="宋体" w:hAnsi="宋体"/>
          <w:sz w:val="20"/>
          <w:szCs w:val="20"/>
        </w:rPr>
      </w:pPr>
    </w:p>
    <w:p w14:paraId="08B830D4">
      <w:pPr>
        <w:adjustRightInd w:val="0"/>
        <w:snapToGrid w:val="0"/>
        <w:spacing w:line="700" w:lineRule="exact"/>
        <w:jc w:val="center"/>
        <w:rPr>
          <w:rFonts w:ascii="宋体" w:hAnsi="宋体"/>
          <w:sz w:val="20"/>
          <w:szCs w:val="20"/>
        </w:rPr>
      </w:pPr>
    </w:p>
    <w:p w14:paraId="7AE2080B">
      <w:pPr>
        <w:pStyle w:val="11"/>
        <w:spacing w:line="400" w:lineRule="atLeast"/>
        <w:jc w:val="center"/>
        <w:rPr>
          <w:rFonts w:hint="eastAsia" w:ascii="Arial" w:hAnsi="Arial" w:eastAsia="宋体" w:cs="Arial"/>
          <w:b/>
          <w:sz w:val="36"/>
          <w:szCs w:val="36"/>
          <w:lang w:val="en-US" w:eastAsia="zh-CN"/>
        </w:rPr>
      </w:pPr>
      <w:r>
        <w:rPr>
          <w:rFonts w:hint="eastAsia" w:ascii="Arial" w:hAnsi="Arial" w:cs="Arial"/>
          <w:b/>
          <w:sz w:val="36"/>
          <w:szCs w:val="36"/>
          <w:lang w:eastAsia="zh-CN"/>
        </w:rPr>
        <w:t xml:space="preserve">项目名称     </w:t>
      </w:r>
    </w:p>
    <w:p w14:paraId="7133F3EA">
      <w:pPr>
        <w:adjustRightInd w:val="0"/>
        <w:snapToGrid w:val="0"/>
        <w:spacing w:line="700" w:lineRule="exact"/>
        <w:jc w:val="center"/>
        <w:rPr>
          <w:rFonts w:ascii="宋体" w:hAnsi="宋体"/>
          <w:sz w:val="20"/>
          <w:szCs w:val="20"/>
        </w:rPr>
      </w:pPr>
    </w:p>
    <w:p w14:paraId="043915C9">
      <w:pPr>
        <w:keepNext w:val="0"/>
        <w:keepLines w:val="0"/>
        <w:widowControl/>
        <w:suppressLineNumbers w:val="0"/>
        <w:jc w:val="center"/>
        <w:rPr>
          <w:rFonts w:hint="eastAsia" w:ascii="宋体" w:hAnsi="宋体"/>
          <w:b/>
          <w:bCs/>
          <w:sz w:val="36"/>
          <w:szCs w:val="36"/>
          <w:lang w:eastAsia="zh-CN"/>
        </w:rPr>
      </w:pPr>
      <w:r>
        <w:rPr>
          <w:rFonts w:hint="eastAsia" w:ascii="宋体" w:hAnsi="宋体"/>
          <w:b/>
          <w:bCs/>
          <w:sz w:val="36"/>
          <w:szCs w:val="36"/>
          <w:lang w:eastAsia="zh-CN"/>
        </w:rPr>
        <w:t>项目编号</w:t>
      </w:r>
    </w:p>
    <w:p w14:paraId="2068E4A7">
      <w:pPr>
        <w:adjustRightInd w:val="0"/>
        <w:snapToGrid w:val="0"/>
        <w:spacing w:line="700" w:lineRule="exact"/>
        <w:jc w:val="center"/>
        <w:rPr>
          <w:rFonts w:hint="default" w:ascii="宋体" w:hAnsi="宋体"/>
          <w:b/>
          <w:bCs/>
          <w:sz w:val="36"/>
          <w:szCs w:val="36"/>
          <w:lang w:val="en-US" w:eastAsia="zh-CN"/>
        </w:rPr>
      </w:pPr>
    </w:p>
    <w:p w14:paraId="1356170B">
      <w:pPr>
        <w:pStyle w:val="17"/>
        <w:rPr>
          <w:rFonts w:ascii="宋体" w:hAnsi="宋体"/>
          <w:b/>
          <w:sz w:val="36"/>
          <w:szCs w:val="36"/>
        </w:rPr>
      </w:pPr>
    </w:p>
    <w:p w14:paraId="52ECD120">
      <w:pPr>
        <w:pStyle w:val="17"/>
        <w:rPr>
          <w:rFonts w:ascii="宋体" w:hAnsi="宋体"/>
          <w:b/>
          <w:sz w:val="36"/>
          <w:szCs w:val="36"/>
        </w:rPr>
      </w:pPr>
    </w:p>
    <w:p w14:paraId="2380BA80">
      <w:pPr>
        <w:adjustRightInd w:val="0"/>
        <w:snapToGrid w:val="0"/>
        <w:spacing w:line="500" w:lineRule="exact"/>
        <w:rPr>
          <w:rFonts w:ascii="宋体" w:hAnsi="宋体"/>
          <w:b/>
          <w:sz w:val="36"/>
          <w:szCs w:val="36"/>
        </w:rPr>
      </w:pPr>
    </w:p>
    <w:p w14:paraId="27700971">
      <w:pPr>
        <w:adjustRightInd w:val="0"/>
        <w:snapToGrid w:val="0"/>
        <w:spacing w:line="500" w:lineRule="exact"/>
        <w:ind w:firstLine="1961" w:firstLineChars="700"/>
        <w:rPr>
          <w:rFonts w:hint="eastAsia" w:ascii="宋体" w:hAnsi="宋体" w:eastAsia="宋体"/>
          <w:b/>
          <w:sz w:val="28"/>
          <w:szCs w:val="36"/>
          <w:lang w:eastAsia="zh-CN"/>
        </w:rPr>
      </w:pPr>
      <w:r>
        <w:rPr>
          <w:rFonts w:hint="eastAsia" w:ascii="宋体" w:hAnsi="宋体"/>
          <w:b/>
          <w:sz w:val="28"/>
          <w:szCs w:val="36"/>
        </w:rPr>
        <w:t>甲  方：</w:t>
      </w:r>
      <w:r>
        <w:rPr>
          <w:rFonts w:ascii="宋体" w:hAnsi="宋体"/>
          <w:b/>
          <w:sz w:val="28"/>
          <w:szCs w:val="36"/>
        </w:rPr>
        <w:t xml:space="preserve"> </w:t>
      </w:r>
    </w:p>
    <w:p w14:paraId="594198E0">
      <w:pPr>
        <w:adjustRightInd w:val="0"/>
        <w:snapToGrid w:val="0"/>
        <w:spacing w:line="500" w:lineRule="exact"/>
        <w:rPr>
          <w:rFonts w:ascii="宋体" w:hAnsi="宋体"/>
          <w:b/>
          <w:sz w:val="28"/>
          <w:szCs w:val="36"/>
        </w:rPr>
      </w:pPr>
    </w:p>
    <w:p w14:paraId="15BF6247">
      <w:pPr>
        <w:adjustRightInd w:val="0"/>
        <w:snapToGrid w:val="0"/>
        <w:spacing w:line="500" w:lineRule="exact"/>
        <w:ind w:firstLine="1961" w:firstLineChars="700"/>
        <w:rPr>
          <w:rFonts w:hint="eastAsia" w:ascii="宋体" w:hAnsi="宋体" w:eastAsia="宋体"/>
          <w:b/>
          <w:sz w:val="28"/>
          <w:szCs w:val="36"/>
          <w:u w:val="single"/>
          <w:lang w:val="en-US" w:eastAsia="zh-CN"/>
        </w:rPr>
      </w:pPr>
      <w:r>
        <w:rPr>
          <w:rFonts w:hint="eastAsia" w:ascii="宋体" w:hAnsi="宋体"/>
          <w:b/>
          <w:sz w:val="28"/>
          <w:szCs w:val="36"/>
        </w:rPr>
        <w:t>乙  方：</w:t>
      </w:r>
    </w:p>
    <w:p w14:paraId="34AF1366">
      <w:pPr>
        <w:adjustRightInd w:val="0"/>
        <w:snapToGrid w:val="0"/>
        <w:spacing w:line="500" w:lineRule="exact"/>
        <w:ind w:firstLine="1120" w:firstLineChars="400"/>
        <w:rPr>
          <w:rFonts w:ascii="宋体" w:hAnsi="宋体"/>
          <w:sz w:val="28"/>
          <w:szCs w:val="28"/>
          <w:u w:val="single"/>
        </w:rPr>
      </w:pPr>
    </w:p>
    <w:p w14:paraId="3438A7E6">
      <w:pPr>
        <w:adjustRightInd w:val="0"/>
        <w:snapToGrid w:val="0"/>
        <w:spacing w:line="500" w:lineRule="exact"/>
        <w:rPr>
          <w:rFonts w:ascii="宋体" w:hAnsi="宋体"/>
          <w:sz w:val="28"/>
          <w:szCs w:val="28"/>
          <w:u w:val="single"/>
        </w:rPr>
      </w:pPr>
    </w:p>
    <w:p w14:paraId="690AC49F">
      <w:pPr>
        <w:pStyle w:val="17"/>
      </w:pPr>
    </w:p>
    <w:p w14:paraId="7296C781">
      <w:pPr>
        <w:adjustRightInd w:val="0"/>
        <w:snapToGrid w:val="0"/>
        <w:spacing w:line="500" w:lineRule="exact"/>
        <w:jc w:val="center"/>
        <w:rPr>
          <w:rFonts w:hint="eastAsia" w:ascii="宋体" w:hAnsi="宋体"/>
          <w:b/>
          <w:sz w:val="28"/>
          <w:szCs w:val="36"/>
        </w:rPr>
      </w:pPr>
    </w:p>
    <w:p w14:paraId="0807D0AA">
      <w:pPr>
        <w:adjustRightInd w:val="0"/>
        <w:snapToGrid w:val="0"/>
        <w:spacing w:line="500" w:lineRule="exact"/>
        <w:jc w:val="center"/>
        <w:rPr>
          <w:rFonts w:hint="eastAsia" w:ascii="宋体" w:hAnsi="宋体"/>
          <w:b/>
          <w:sz w:val="28"/>
          <w:szCs w:val="36"/>
        </w:rPr>
      </w:pPr>
    </w:p>
    <w:p w14:paraId="35C5E7AE">
      <w:pPr>
        <w:adjustRightInd w:val="0"/>
        <w:snapToGrid w:val="0"/>
        <w:spacing w:line="500" w:lineRule="exact"/>
        <w:jc w:val="center"/>
        <w:rPr>
          <w:rFonts w:hint="eastAsia" w:ascii="宋体" w:hAnsi="宋体" w:eastAsia="宋体"/>
          <w:snapToGrid w:val="0"/>
          <w:color w:val="auto"/>
          <w:sz w:val="20"/>
          <w:szCs w:val="20"/>
          <w:lang w:eastAsia="zh-CN"/>
        </w:rPr>
      </w:pPr>
      <w:r>
        <w:rPr>
          <w:rFonts w:hint="eastAsia" w:ascii="宋体" w:hAnsi="宋体"/>
          <w:b/>
          <w:color w:val="auto"/>
          <w:sz w:val="28"/>
          <w:szCs w:val="36"/>
        </w:rPr>
        <w:t>签订日期：</w:t>
      </w:r>
      <w:r>
        <w:rPr>
          <w:rFonts w:hint="eastAsia" w:ascii="宋体" w:hAnsi="宋体"/>
          <w:b/>
          <w:color w:val="auto"/>
          <w:sz w:val="28"/>
          <w:szCs w:val="36"/>
          <w:lang w:val="en-US" w:eastAsia="zh-CN"/>
        </w:rPr>
        <w:t xml:space="preserve">  </w:t>
      </w:r>
      <w:r>
        <w:rPr>
          <w:rFonts w:hint="eastAsia" w:ascii="宋体" w:hAnsi="宋体"/>
          <w:color w:val="auto"/>
          <w:sz w:val="28"/>
          <w:szCs w:val="28"/>
          <w:lang w:eastAsia="zh-CN"/>
        </w:rPr>
        <w:t>年      月     日</w:t>
      </w:r>
    </w:p>
    <w:p w14:paraId="46AC4DB7">
      <w:pPr>
        <w:pStyle w:val="8"/>
        <w:adjustRightInd w:val="0"/>
        <w:snapToGrid w:val="0"/>
        <w:spacing w:line="480" w:lineRule="exact"/>
        <w:jc w:val="center"/>
        <w:rPr>
          <w:rFonts w:ascii="黑体" w:hAnsi="黑体" w:eastAsia="黑体" w:cs="黑体"/>
          <w:b/>
          <w:bCs/>
          <w:snapToGrid w:val="0"/>
          <w:color w:val="auto"/>
          <w:sz w:val="44"/>
          <w:szCs w:val="44"/>
        </w:rPr>
        <w:sectPr>
          <w:footerReference r:id="rId10" w:type="default"/>
          <w:pgSz w:w="11906" w:h="16838"/>
          <w:pgMar w:top="720" w:right="720" w:bottom="720" w:left="720" w:header="851" w:footer="992" w:gutter="0"/>
          <w:pgNumType w:fmt="decimal"/>
          <w:cols w:space="425" w:num="1"/>
          <w:docGrid w:type="lines" w:linePitch="312" w:charSpace="0"/>
        </w:sectPr>
      </w:pPr>
    </w:p>
    <w:p w14:paraId="4EC68EC2">
      <w:pPr>
        <w:pStyle w:val="8"/>
        <w:adjustRightInd w:val="0"/>
        <w:snapToGrid w:val="0"/>
        <w:spacing w:line="480" w:lineRule="exact"/>
        <w:jc w:val="center"/>
        <w:rPr>
          <w:rFonts w:ascii="黑体" w:hAnsi="黑体" w:eastAsia="黑体" w:cs="黑体"/>
          <w:b/>
          <w:bCs/>
          <w:snapToGrid w:val="0"/>
          <w:sz w:val="44"/>
          <w:szCs w:val="44"/>
        </w:rPr>
      </w:pPr>
      <w:r>
        <w:rPr>
          <w:rFonts w:hint="eastAsia" w:ascii="黑体" w:hAnsi="黑体" w:eastAsia="黑体" w:cs="黑体"/>
          <w:b/>
          <w:bCs/>
          <w:snapToGrid w:val="0"/>
          <w:sz w:val="44"/>
          <w:szCs w:val="44"/>
        </w:rPr>
        <w:t>合  同  书</w:t>
      </w:r>
    </w:p>
    <w:p w14:paraId="68A61A30">
      <w:pPr>
        <w:pStyle w:val="8"/>
        <w:tabs>
          <w:tab w:val="left" w:pos="1565"/>
          <w:tab w:val="left" w:pos="4085"/>
        </w:tabs>
        <w:adjustRightInd w:val="0"/>
        <w:snapToGrid w:val="0"/>
        <w:spacing w:line="480" w:lineRule="exact"/>
        <w:rPr>
          <w:sz w:val="28"/>
          <w:szCs w:val="28"/>
        </w:rPr>
      </w:pPr>
    </w:p>
    <w:p w14:paraId="5379B2F1">
      <w:pPr>
        <w:pStyle w:val="8"/>
        <w:keepNext w:val="0"/>
        <w:keepLines w:val="0"/>
        <w:pageBreakBefore w:val="0"/>
        <w:widowControl w:val="0"/>
        <w:tabs>
          <w:tab w:val="left" w:pos="1565"/>
          <w:tab w:val="left" w:pos="4085"/>
        </w:tabs>
        <w:kinsoku/>
        <w:wordWrap/>
        <w:overflowPunct/>
        <w:topLinePunct w:val="0"/>
        <w:autoSpaceDE/>
        <w:autoSpaceDN/>
        <w:bidi w:val="0"/>
        <w:adjustRightInd w:val="0"/>
        <w:snapToGrid w:val="0"/>
        <w:spacing w:line="520" w:lineRule="exact"/>
        <w:rPr>
          <w:color w:val="auto"/>
          <w:sz w:val="28"/>
          <w:szCs w:val="28"/>
        </w:rPr>
      </w:pPr>
      <w:r>
        <w:rPr>
          <w:sz w:val="28"/>
          <w:szCs w:val="28"/>
        </w:rPr>
        <w:t>甲方：</w:t>
      </w:r>
      <w:r>
        <w:rPr>
          <w:snapToGrid w:val="0"/>
          <w:spacing w:val="-5"/>
          <w:sz w:val="28"/>
          <w:szCs w:val="28"/>
        </w:rPr>
        <w:t>（</w:t>
      </w:r>
      <w:r>
        <w:rPr>
          <w:snapToGrid w:val="0"/>
          <w:sz w:val="28"/>
          <w:szCs w:val="28"/>
        </w:rPr>
        <w:t>采购</w:t>
      </w:r>
      <w:r>
        <w:rPr>
          <w:snapToGrid w:val="0"/>
          <w:spacing w:val="-5"/>
          <w:sz w:val="28"/>
          <w:szCs w:val="28"/>
        </w:rPr>
        <w:t>人</w:t>
      </w:r>
      <w:r>
        <w:rPr>
          <w:snapToGrid w:val="0"/>
          <w:sz w:val="28"/>
          <w:szCs w:val="28"/>
        </w:rPr>
        <w:t>）</w:t>
      </w:r>
      <w:r>
        <w:rPr>
          <w:rFonts w:hint="eastAsia"/>
          <w:snapToGrid w:val="0"/>
          <w:sz w:val="28"/>
          <w:szCs w:val="28"/>
          <w:lang w:val="en-US" w:eastAsia="zh-CN"/>
        </w:rPr>
        <w:t xml:space="preserve">    </w:t>
      </w:r>
      <w:r>
        <w:rPr>
          <w:rFonts w:hint="eastAsia"/>
          <w:color w:val="FF0000"/>
          <w:sz w:val="28"/>
          <w:szCs w:val="28"/>
          <w:u w:val="single"/>
        </w:rPr>
        <w:t xml:space="preserve"> </w:t>
      </w:r>
      <w:r>
        <w:rPr>
          <w:rFonts w:hint="eastAsia"/>
          <w:color w:val="auto"/>
          <w:sz w:val="28"/>
          <w:szCs w:val="28"/>
          <w:u w:val="single"/>
        </w:rPr>
        <w:t xml:space="preserve"> </w:t>
      </w:r>
    </w:p>
    <w:p w14:paraId="7E427AF4">
      <w:pPr>
        <w:pStyle w:val="8"/>
        <w:keepNext w:val="0"/>
        <w:keepLines w:val="0"/>
        <w:pageBreakBefore w:val="0"/>
        <w:widowControl w:val="0"/>
        <w:tabs>
          <w:tab w:val="left" w:pos="1565"/>
          <w:tab w:val="left" w:pos="4085"/>
        </w:tabs>
        <w:kinsoku/>
        <w:wordWrap/>
        <w:overflowPunct/>
        <w:topLinePunct w:val="0"/>
        <w:autoSpaceDE/>
        <w:autoSpaceDN/>
        <w:bidi w:val="0"/>
        <w:adjustRightInd w:val="0"/>
        <w:snapToGrid w:val="0"/>
        <w:spacing w:line="520" w:lineRule="exact"/>
        <w:rPr>
          <w:rFonts w:hint="eastAsia"/>
          <w:snapToGrid w:val="0"/>
          <w:color w:val="auto"/>
          <w:sz w:val="28"/>
          <w:szCs w:val="28"/>
          <w:u w:val="single"/>
        </w:rPr>
      </w:pPr>
      <w:r>
        <w:rPr>
          <w:color w:val="auto"/>
          <w:sz w:val="28"/>
          <w:szCs w:val="28"/>
        </w:rPr>
        <w:t>乙方：</w:t>
      </w:r>
      <w:r>
        <w:rPr>
          <w:snapToGrid w:val="0"/>
          <w:color w:val="auto"/>
          <w:sz w:val="28"/>
          <w:szCs w:val="28"/>
        </w:rPr>
        <w:t>（</w:t>
      </w:r>
      <w:r>
        <w:rPr>
          <w:snapToGrid w:val="0"/>
          <w:color w:val="auto"/>
          <w:spacing w:val="-5"/>
          <w:sz w:val="28"/>
          <w:szCs w:val="28"/>
        </w:rPr>
        <w:t>成</w:t>
      </w:r>
      <w:r>
        <w:rPr>
          <w:snapToGrid w:val="0"/>
          <w:color w:val="auto"/>
          <w:sz w:val="28"/>
          <w:szCs w:val="28"/>
        </w:rPr>
        <w:t>交</w:t>
      </w:r>
      <w:r>
        <w:rPr>
          <w:snapToGrid w:val="0"/>
          <w:color w:val="auto"/>
          <w:spacing w:val="-5"/>
          <w:sz w:val="28"/>
          <w:szCs w:val="28"/>
        </w:rPr>
        <w:t>供</w:t>
      </w:r>
      <w:r>
        <w:rPr>
          <w:snapToGrid w:val="0"/>
          <w:color w:val="auto"/>
          <w:sz w:val="28"/>
          <w:szCs w:val="28"/>
        </w:rPr>
        <w:t>应商）</w:t>
      </w:r>
    </w:p>
    <w:p w14:paraId="0EFC6018">
      <w:pPr>
        <w:pStyle w:val="17"/>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Ansi="宋体" w:cs="宋体"/>
          <w:sz w:val="28"/>
          <w:szCs w:val="28"/>
          <w:lang w:val="zh-CN"/>
        </w:rPr>
      </w:pPr>
      <w:r>
        <w:rPr>
          <w:rFonts w:hint="eastAsia" w:hAnsi="宋体" w:cs="宋体"/>
          <w:color w:val="auto"/>
          <w:sz w:val="28"/>
          <w:szCs w:val="28"/>
          <w:lang w:val="en-US" w:eastAsia="zh-CN"/>
        </w:rPr>
        <w:t xml:space="preserve">  </w:t>
      </w:r>
      <w:r>
        <w:rPr>
          <w:rFonts w:hint="eastAsia" w:hAnsi="宋体" w:cs="宋体"/>
          <w:color w:val="auto"/>
          <w:sz w:val="28"/>
          <w:szCs w:val="28"/>
          <w:lang w:val="zh-CN"/>
        </w:rPr>
        <w:t>甲方所需</w:t>
      </w:r>
      <w:r>
        <w:rPr>
          <w:rFonts w:hint="eastAsia" w:hAnsi="宋体" w:cs="宋体"/>
          <w:color w:val="auto"/>
          <w:sz w:val="28"/>
          <w:szCs w:val="28"/>
          <w:u w:val="single"/>
          <w:lang w:val="zh-CN"/>
        </w:rPr>
        <w:t>（）</w:t>
      </w:r>
      <w:r>
        <w:rPr>
          <w:rFonts w:hint="eastAsia" w:hAnsi="宋体" w:cs="宋体"/>
          <w:color w:val="auto"/>
          <w:sz w:val="28"/>
          <w:szCs w:val="28"/>
          <w:lang w:val="zh-CN"/>
        </w:rPr>
        <w:t>，经确定中标单位为</w:t>
      </w:r>
      <w:r>
        <w:rPr>
          <w:rFonts w:hint="eastAsia" w:hAnsi="宋体" w:cs="宋体"/>
          <w:color w:val="auto"/>
          <w:sz w:val="28"/>
          <w:szCs w:val="28"/>
          <w:u w:val="single"/>
          <w:lang w:val="en-US" w:eastAsia="zh-CN"/>
        </w:rPr>
        <w:t>（）</w:t>
      </w:r>
      <w:r>
        <w:rPr>
          <w:rFonts w:hint="eastAsia" w:hAnsi="宋体" w:cs="宋体"/>
          <w:iCs/>
          <w:color w:val="auto"/>
          <w:sz w:val="28"/>
          <w:szCs w:val="28"/>
          <w:lang w:val="zh-CN"/>
        </w:rPr>
        <w:t>（乙方）</w:t>
      </w:r>
      <w:r>
        <w:rPr>
          <w:rFonts w:hint="eastAsia" w:hAnsi="宋体" w:cs="宋体"/>
          <w:color w:val="auto"/>
          <w:sz w:val="28"/>
          <w:szCs w:val="28"/>
          <w:lang w:val="zh-CN"/>
        </w:rPr>
        <w:t>。甲、</w:t>
      </w:r>
      <w:r>
        <w:rPr>
          <w:rFonts w:hint="eastAsia" w:hAnsi="宋体" w:cs="宋体"/>
          <w:sz w:val="28"/>
          <w:szCs w:val="28"/>
          <w:lang w:val="zh-CN"/>
        </w:rPr>
        <w:t>乙、双方依据《中华人民共和国</w:t>
      </w:r>
      <w:r>
        <w:rPr>
          <w:rFonts w:hint="eastAsia" w:hAnsi="宋体" w:cs="宋体"/>
          <w:sz w:val="28"/>
          <w:szCs w:val="28"/>
          <w:lang w:val="zh-CN" w:eastAsia="zh-CN"/>
        </w:rPr>
        <w:t>民法典</w:t>
      </w:r>
      <w:r>
        <w:rPr>
          <w:rFonts w:hint="eastAsia" w:hAnsi="宋体" w:cs="宋体"/>
          <w:sz w:val="28"/>
          <w:szCs w:val="28"/>
          <w:lang w:val="zh-CN"/>
        </w:rPr>
        <w:t>》的规定，</w:t>
      </w:r>
      <w:r>
        <w:rPr>
          <w:rFonts w:hint="eastAsia" w:hAnsi="宋体" w:cs="宋体"/>
          <w:sz w:val="28"/>
          <w:szCs w:val="28"/>
        </w:rPr>
        <w:t>为了确保产品质量，</w:t>
      </w:r>
      <w:r>
        <w:rPr>
          <w:rFonts w:hint="eastAsia" w:hAnsi="宋体" w:cs="宋体"/>
          <w:sz w:val="28"/>
          <w:szCs w:val="28"/>
          <w:lang w:val="zh-CN"/>
        </w:rPr>
        <w:t>本着平等互利，等价有偿、协商一致之原则签订本合同，经甲、乙、双方充分协商，最终就供货达成如下条款：</w:t>
      </w:r>
    </w:p>
    <w:p w14:paraId="51537B94">
      <w:pPr>
        <w:keepNext w:val="0"/>
        <w:keepLines w:val="0"/>
        <w:pageBreakBefore w:val="0"/>
        <w:widowControl w:val="0"/>
        <w:kinsoku/>
        <w:wordWrap/>
        <w:overflowPunct/>
        <w:topLinePunct w:val="0"/>
        <w:autoSpaceDE/>
        <w:autoSpaceDN/>
        <w:bidi w:val="0"/>
        <w:spacing w:line="520" w:lineRule="exact"/>
        <w:rPr>
          <w:b/>
          <w:sz w:val="28"/>
        </w:rPr>
      </w:pPr>
      <w:r>
        <w:rPr>
          <w:rFonts w:hint="eastAsia"/>
          <w:b/>
          <w:sz w:val="28"/>
        </w:rPr>
        <w:t>一、乙方所供设备名称、型号、数量及价格（见附件）</w:t>
      </w:r>
    </w:p>
    <w:p w14:paraId="0F1A1272">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1、招标过程中的甲方招标文件、变更说明、中标通知书、答疑记录、中标方的投标文件及其澄清文件等，均视为本合同的一部分。</w:t>
      </w:r>
    </w:p>
    <w:p w14:paraId="5FA52C00">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2、甲方在授予合同时有权在总价不变的情况下，对“标的清单”中的规定的设备数量和服务予以合理的增加或减少。</w:t>
      </w:r>
    </w:p>
    <w:p w14:paraId="0EFDE4AC">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3、产品的技术标准（包括质量要求）</w:t>
      </w:r>
    </w:p>
    <w:p w14:paraId="771DAC42">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乙方所供产品的规格、质量和数量按照甲方标书文件所列标准执行，未列产品标准的，按照行业标准或省级以上标准执行。如甲方有特殊要求的，按甲乙双方在合同中商定的技术条件或补充的技术要求执行。</w:t>
      </w:r>
    </w:p>
    <w:p w14:paraId="62FF8B65">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4、产品交货数量在运输途中意外损坏或减量一律由乙方承担。</w:t>
      </w:r>
    </w:p>
    <w:p w14:paraId="4065FB5E">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5、</w:t>
      </w:r>
      <w:r>
        <w:rPr>
          <w:rFonts w:hint="eastAsia" w:ascii="宋体" w:hAnsi="宋体" w:cs="宋体"/>
          <w:sz w:val="28"/>
          <w:szCs w:val="28"/>
          <w:u w:val="double"/>
        </w:rPr>
        <w:t>乙方须准备合同清单以外的部分配件，以备不时之需。</w:t>
      </w:r>
    </w:p>
    <w:p w14:paraId="35177152">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二、供货中标金额及所含费用</w:t>
      </w:r>
    </w:p>
    <w:p w14:paraId="6897084A">
      <w:pPr>
        <w:keepNext w:val="0"/>
        <w:keepLines w:val="0"/>
        <w:pageBreakBefore w:val="0"/>
        <w:widowControl w:val="0"/>
        <w:kinsoku/>
        <w:wordWrap/>
        <w:overflowPunct/>
        <w:topLinePunct w:val="0"/>
        <w:autoSpaceDE/>
        <w:autoSpaceDN/>
        <w:bidi w:val="0"/>
        <w:adjustRightInd w:val="0"/>
        <w:snapToGrid w:val="0"/>
        <w:spacing w:line="520" w:lineRule="exact"/>
        <w:ind w:left="-101" w:leftChars="-42" w:firstLine="140" w:firstLineChars="50"/>
        <w:rPr>
          <w:color w:val="auto"/>
          <w:sz w:val="28"/>
          <w:szCs w:val="28"/>
          <w:lang w:val="zh-CN"/>
        </w:rPr>
      </w:pPr>
      <w:r>
        <w:rPr>
          <w:rFonts w:hint="eastAsia" w:ascii="宋体" w:hAnsi="宋体"/>
          <w:sz w:val="28"/>
          <w:szCs w:val="28"/>
          <w:lang w:val="zh-CN"/>
        </w:rPr>
        <w:t xml:space="preserve">    </w:t>
      </w:r>
      <w:r>
        <w:rPr>
          <w:sz w:val="28"/>
          <w:szCs w:val="28"/>
          <w:lang w:val="zh-CN"/>
        </w:rPr>
        <w:t>乙方所供设备中标金额</w:t>
      </w:r>
      <w:r>
        <w:rPr>
          <w:color w:val="auto"/>
          <w:sz w:val="28"/>
          <w:szCs w:val="28"/>
          <w:lang w:val="zh-CN"/>
        </w:rPr>
        <w:t>为</w:t>
      </w:r>
      <w:r>
        <w:rPr>
          <w:b/>
          <w:iCs/>
          <w:color w:val="auto"/>
          <w:sz w:val="28"/>
          <w:szCs w:val="28"/>
          <w:u w:val="single"/>
          <w:lang w:val="zh-CN"/>
        </w:rPr>
        <w:t>大写（</w:t>
      </w:r>
      <w:r>
        <w:rPr>
          <w:b/>
          <w:iCs/>
          <w:color w:val="auto"/>
          <w:sz w:val="28"/>
          <w:szCs w:val="28"/>
          <w:u w:val="single"/>
        </w:rPr>
        <w:t>人民币）：, 小写：（</w:t>
      </w:r>
      <w:r>
        <w:rPr>
          <w:rFonts w:hint="eastAsia"/>
          <w:b/>
          <w:iCs/>
          <w:color w:val="auto"/>
          <w:sz w:val="28"/>
          <w:szCs w:val="28"/>
          <w:u w:val="single"/>
          <w:lang w:val="en-US" w:eastAsia="zh-CN"/>
        </w:rPr>
        <w:t xml:space="preserve"> </w:t>
      </w:r>
      <w:r>
        <w:rPr>
          <w:b/>
          <w:iCs/>
          <w:color w:val="auto"/>
          <w:sz w:val="28"/>
          <w:szCs w:val="28"/>
          <w:u w:val="single"/>
        </w:rPr>
        <w:t>）元</w:t>
      </w:r>
      <w:r>
        <w:rPr>
          <w:iCs/>
          <w:color w:val="auto"/>
          <w:sz w:val="28"/>
          <w:szCs w:val="28"/>
        </w:rPr>
        <w:t>，</w:t>
      </w:r>
      <w:r>
        <w:rPr>
          <w:color w:val="auto"/>
          <w:sz w:val="28"/>
          <w:szCs w:val="28"/>
          <w:lang w:val="zh-CN"/>
        </w:rPr>
        <w:t>此金额中包含以下内容：</w:t>
      </w:r>
    </w:p>
    <w:p w14:paraId="15D73D8E">
      <w:pPr>
        <w:keepNext w:val="0"/>
        <w:keepLines w:val="0"/>
        <w:pageBreakBefore w:val="0"/>
        <w:widowControl w:val="0"/>
        <w:kinsoku/>
        <w:wordWrap/>
        <w:overflowPunct/>
        <w:topLinePunct w:val="0"/>
        <w:autoSpaceDE/>
        <w:autoSpaceDN/>
        <w:bidi w:val="0"/>
        <w:adjustRightInd w:val="0"/>
        <w:snapToGrid w:val="0"/>
        <w:spacing w:line="520" w:lineRule="exact"/>
        <w:ind w:left="-101" w:leftChars="-42" w:firstLine="700" w:firstLineChars="250"/>
        <w:rPr>
          <w:rFonts w:ascii="宋体" w:hAnsi="宋体" w:cs="宋体"/>
          <w:sz w:val="28"/>
          <w:szCs w:val="28"/>
          <w:lang w:val="zh-CN"/>
        </w:rPr>
      </w:pPr>
      <w:r>
        <w:rPr>
          <w:rFonts w:hint="eastAsia" w:ascii="宋体" w:hAnsi="宋体" w:cs="宋体"/>
          <w:sz w:val="28"/>
          <w:szCs w:val="28"/>
          <w:lang w:val="zh-CN"/>
        </w:rPr>
        <w:t>1、所供设备价款；</w:t>
      </w:r>
    </w:p>
    <w:p w14:paraId="18E8E2AF">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2、运输费、保险费、装卸费；</w:t>
      </w:r>
    </w:p>
    <w:p w14:paraId="2DB7CD0E">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3、协助安装、调试、施工费、验收费；</w:t>
      </w:r>
    </w:p>
    <w:p w14:paraId="567B3A1F">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4、“三包</w:t>
      </w:r>
      <w:r>
        <w:rPr>
          <w:rFonts w:ascii="宋体" w:hAnsi="宋体" w:cs="宋体"/>
          <w:sz w:val="28"/>
          <w:szCs w:val="28"/>
          <w:lang w:val="zh-CN"/>
        </w:rPr>
        <w:t>”</w:t>
      </w:r>
      <w:r>
        <w:rPr>
          <w:rFonts w:hint="eastAsia" w:ascii="宋体" w:hAnsi="宋体" w:cs="宋体"/>
          <w:sz w:val="28"/>
          <w:szCs w:val="28"/>
          <w:lang w:val="zh-CN"/>
        </w:rPr>
        <w:t>及承诺售后服务费；</w:t>
      </w:r>
    </w:p>
    <w:p w14:paraId="2B5A4B88">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5、各类税金。</w:t>
      </w:r>
    </w:p>
    <w:p w14:paraId="772BC250">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三、付款方式</w:t>
      </w:r>
    </w:p>
    <w:p w14:paraId="1A4BE1E5">
      <w:pPr>
        <w:keepNext w:val="0"/>
        <w:keepLines w:val="0"/>
        <w:pageBreakBefore w:val="0"/>
        <w:widowControl w:val="0"/>
        <w:kinsoku/>
        <w:wordWrap/>
        <w:overflowPunct/>
        <w:topLinePunct w:val="0"/>
        <w:autoSpaceDE/>
        <w:autoSpaceDN/>
        <w:bidi w:val="0"/>
        <w:spacing w:line="520" w:lineRule="exact"/>
        <w:ind w:firstLine="560" w:firstLineChars="200"/>
        <w:rPr>
          <w:color w:val="auto"/>
          <w:sz w:val="28"/>
          <w:szCs w:val="28"/>
        </w:rPr>
      </w:pPr>
      <w:r>
        <w:rPr>
          <w:sz w:val="28"/>
          <w:szCs w:val="28"/>
        </w:rPr>
        <w:t>合同总价</w:t>
      </w:r>
      <w:r>
        <w:rPr>
          <w:color w:val="auto"/>
          <w:sz w:val="28"/>
          <w:szCs w:val="28"/>
        </w:rPr>
        <w:t>为</w:t>
      </w:r>
      <w:r>
        <w:rPr>
          <w:b/>
          <w:color w:val="auto"/>
          <w:sz w:val="28"/>
          <w:szCs w:val="28"/>
          <w:u w:val="single"/>
        </w:rPr>
        <w:t>人民币（￥</w:t>
      </w:r>
      <w:r>
        <w:rPr>
          <w:rFonts w:hint="eastAsia"/>
          <w:b/>
          <w:color w:val="auto"/>
          <w:sz w:val="28"/>
          <w:szCs w:val="28"/>
          <w:u w:val="single"/>
        </w:rPr>
        <w:t>：</w:t>
      </w:r>
      <w:r>
        <w:rPr>
          <w:rFonts w:hint="eastAsia"/>
          <w:b/>
          <w:color w:val="auto"/>
          <w:sz w:val="28"/>
          <w:szCs w:val="28"/>
          <w:u w:val="single"/>
          <w:lang w:val="en-US" w:eastAsia="zh-CN"/>
        </w:rPr>
        <w:t xml:space="preserve"> </w:t>
      </w:r>
      <w:r>
        <w:rPr>
          <w:b/>
          <w:color w:val="auto"/>
          <w:sz w:val="28"/>
          <w:szCs w:val="28"/>
          <w:u w:val="single"/>
        </w:rPr>
        <w:t>元）</w:t>
      </w:r>
      <w:r>
        <w:rPr>
          <w:color w:val="auto"/>
          <w:sz w:val="28"/>
          <w:szCs w:val="28"/>
          <w:u w:val="single"/>
        </w:rPr>
        <w:t>，</w:t>
      </w:r>
      <w:r>
        <w:rPr>
          <w:b/>
          <w:iCs/>
          <w:color w:val="auto"/>
          <w:sz w:val="28"/>
          <w:szCs w:val="28"/>
          <w:u w:val="single"/>
        </w:rPr>
        <w:t>大写</w:t>
      </w:r>
      <w:r>
        <w:rPr>
          <w:rFonts w:hint="eastAsia"/>
          <w:b/>
          <w:iCs/>
          <w:color w:val="auto"/>
          <w:sz w:val="28"/>
          <w:szCs w:val="28"/>
          <w:u w:val="single"/>
        </w:rPr>
        <w:t>（</w:t>
      </w:r>
      <w:r>
        <w:rPr>
          <w:b/>
          <w:iCs/>
          <w:color w:val="auto"/>
          <w:sz w:val="28"/>
          <w:szCs w:val="28"/>
          <w:u w:val="single"/>
        </w:rPr>
        <w:t>人民币</w:t>
      </w:r>
      <w:r>
        <w:rPr>
          <w:rFonts w:hint="eastAsia"/>
          <w:b/>
          <w:iCs/>
          <w:color w:val="auto"/>
          <w:sz w:val="28"/>
          <w:szCs w:val="28"/>
          <w:u w:val="single"/>
        </w:rPr>
        <w:t>）</w:t>
      </w:r>
      <w:r>
        <w:rPr>
          <w:rFonts w:hint="eastAsia"/>
          <w:b/>
          <w:iCs/>
          <w:color w:val="auto"/>
          <w:sz w:val="28"/>
          <w:szCs w:val="28"/>
          <w:u w:val="single"/>
          <w:lang w:val="en-US" w:eastAsia="zh-CN"/>
        </w:rPr>
        <w:t xml:space="preserve"> </w:t>
      </w:r>
      <w:r>
        <w:rPr>
          <w:color w:val="auto"/>
          <w:sz w:val="28"/>
          <w:szCs w:val="28"/>
        </w:rPr>
        <w:t>。</w:t>
      </w:r>
    </w:p>
    <w:p w14:paraId="1806B523">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127511CB">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四、交货日期</w:t>
      </w:r>
    </w:p>
    <w:p w14:paraId="58D51D9A">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1F8C6F7A">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lang w:val="zh-CN"/>
        </w:rPr>
        <w:t>五、</w:t>
      </w:r>
      <w:r>
        <w:rPr>
          <w:rFonts w:hint="eastAsia"/>
          <w:b/>
          <w:sz w:val="28"/>
        </w:rPr>
        <w:t>产品的交货单位、交货方法、运输方式、 到货地点</w:t>
      </w:r>
    </w:p>
    <w:p w14:paraId="30CA29BC">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388BE7DD">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六、 产品质量保证：</w:t>
      </w:r>
    </w:p>
    <w:p w14:paraId="5A938CC5">
      <w:pPr>
        <w:keepNext w:val="0"/>
        <w:keepLines w:val="0"/>
        <w:pageBreakBefore w:val="0"/>
        <w:widowControl w:val="0"/>
        <w:kinsoku/>
        <w:wordWrap/>
        <w:overflowPunct/>
        <w:topLinePunct w:val="0"/>
        <w:autoSpaceDE/>
        <w:autoSpaceDN/>
        <w:bidi w:val="0"/>
        <w:adjustRightInd w:val="0"/>
        <w:spacing w:line="520" w:lineRule="exact"/>
        <w:ind w:left="120" w:leftChars="50" w:firstLine="560" w:firstLineChars="200"/>
        <w:rPr>
          <w:rFonts w:ascii="宋体" w:hAnsi="宋体" w:cs="宋体"/>
          <w:sz w:val="28"/>
          <w:szCs w:val="28"/>
          <w:lang w:val="zh-CN"/>
        </w:rPr>
      </w:pPr>
      <w:r>
        <w:rPr>
          <w:rFonts w:hint="eastAsia" w:ascii="宋体" w:hAnsi="宋体" w:cs="宋体"/>
          <w:sz w:val="28"/>
          <w:szCs w:val="28"/>
          <w:lang w:val="zh-CN"/>
        </w:rPr>
        <w:t>1、乙方提供的所有设备必须保证是原装正品。</w:t>
      </w:r>
    </w:p>
    <w:p w14:paraId="13E8305F">
      <w:pPr>
        <w:keepNext w:val="0"/>
        <w:keepLines w:val="0"/>
        <w:pageBreakBefore w:val="0"/>
        <w:widowControl w:val="0"/>
        <w:kinsoku/>
        <w:wordWrap/>
        <w:overflowPunct/>
        <w:topLinePunct w:val="0"/>
        <w:autoSpaceDE/>
        <w:autoSpaceDN/>
        <w:bidi w:val="0"/>
        <w:adjustRightInd w:val="0"/>
        <w:spacing w:line="520" w:lineRule="exact"/>
        <w:ind w:left="120" w:leftChars="50" w:firstLine="560" w:firstLineChars="200"/>
        <w:rPr>
          <w:rFonts w:ascii="宋体" w:hAnsi="宋体" w:cs="宋体"/>
          <w:sz w:val="28"/>
          <w:szCs w:val="28"/>
          <w:lang w:val="zh-CN"/>
        </w:rPr>
      </w:pPr>
      <w:r>
        <w:rPr>
          <w:rFonts w:hint="eastAsia" w:ascii="宋体" w:hAnsi="宋体" w:cs="宋体"/>
          <w:sz w:val="28"/>
          <w:szCs w:val="28"/>
          <w:lang w:val="zh-CN"/>
        </w:rPr>
        <w:t>2、乙方所供设备的型号、数量、规格及技术要求必须与合同中所规定的技术要求条款相一致。</w:t>
      </w:r>
    </w:p>
    <w:p w14:paraId="5B55EDE4">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lang w:val="zh-CN"/>
        </w:rPr>
        <w:t>3、甲方对所有设备均进行验收，若发现产品不属正品、质量有问题，</w:t>
      </w:r>
      <w:r>
        <w:rPr>
          <w:rFonts w:hint="eastAsia" w:ascii="宋体" w:hAnsi="宋体" w:cs="宋体"/>
          <w:sz w:val="28"/>
          <w:szCs w:val="28"/>
        </w:rPr>
        <w:t>甲方拒绝付款。</w:t>
      </w:r>
    </w:p>
    <w:p w14:paraId="3D6BB863">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rPr>
        <w:t>4、在质保期内若发现设备有缺陷（包括潜在的缺陷或不符合要求的材料等），甲方将以书面形式通知乙方，乙方应在约定的时间内弥补缺陷，价格仍按合同价。</w:t>
      </w:r>
    </w:p>
    <w:p w14:paraId="505202B3">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rPr>
        <w:t>5、乙方提供的产品若出现厂家停产并已升级，乙方应按升级产品的配置提供产品，价格仍按合同价。</w:t>
      </w:r>
    </w:p>
    <w:p w14:paraId="19FCD819">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rPr>
        <w:t>6、乙方保证所供货物应按厂家承诺的保修服务条款，免费提供因设备质量问题而必须更换的零部件或整机，价格仍按合同价。</w:t>
      </w:r>
    </w:p>
    <w:p w14:paraId="5953DD64">
      <w:pPr>
        <w:keepNext w:val="0"/>
        <w:keepLines w:val="0"/>
        <w:pageBreakBefore w:val="0"/>
        <w:widowControl w:val="0"/>
        <w:kinsoku/>
        <w:wordWrap/>
        <w:overflowPunct/>
        <w:topLinePunct w:val="0"/>
        <w:autoSpaceDE/>
        <w:autoSpaceDN/>
        <w:bidi w:val="0"/>
        <w:adjustRightInd w:val="0"/>
        <w:snapToGrid w:val="0"/>
        <w:spacing w:line="520" w:lineRule="exact"/>
        <w:ind w:firstLine="285"/>
        <w:textAlignment w:val="baseline"/>
        <w:rPr>
          <w:rFonts w:ascii="宋体" w:hAnsi="宋体" w:cs="宋体"/>
          <w:sz w:val="28"/>
          <w:szCs w:val="28"/>
        </w:rPr>
      </w:pPr>
      <w:r>
        <w:rPr>
          <w:rFonts w:hint="eastAsia" w:ascii="宋体" w:hAnsi="宋体" w:cs="宋体"/>
          <w:sz w:val="28"/>
          <w:szCs w:val="28"/>
        </w:rPr>
        <w:t xml:space="preserve">   7、验收中所产生的一切费用由乙方承担，价格仍按合同价。</w:t>
      </w:r>
    </w:p>
    <w:p w14:paraId="77FC695B">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ascii="宋体" w:hAnsi="宋体" w:cs="宋体"/>
          <w:b/>
          <w:sz w:val="28"/>
          <w:szCs w:val="28"/>
        </w:rPr>
      </w:pPr>
      <w:r>
        <w:rPr>
          <w:rFonts w:hint="eastAsia" w:ascii="宋体" w:hAnsi="宋体" w:cs="宋体"/>
          <w:b/>
          <w:sz w:val="28"/>
          <w:szCs w:val="28"/>
        </w:rPr>
        <w:t>七、售后服务</w:t>
      </w:r>
    </w:p>
    <w:p w14:paraId="606C4C3A">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2E82A137">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 八、甲方的违约责任</w:t>
      </w:r>
    </w:p>
    <w:p w14:paraId="37D78C62">
      <w:pPr>
        <w:keepNext w:val="0"/>
        <w:keepLines w:val="0"/>
        <w:pageBreakBefore w:val="0"/>
        <w:widowControl w:val="0"/>
        <w:kinsoku/>
        <w:wordWrap/>
        <w:overflowPunct/>
        <w:topLinePunct w:val="0"/>
        <w:autoSpaceDE/>
        <w:autoSpaceDN/>
        <w:bidi w:val="0"/>
        <w:spacing w:line="52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1、甲方在乙方按合同规定交货或安装、调试后无正当理由而拖延接收、验收或拒接接收、验收的，应承担因此给乙方造成的直接损失</w:t>
      </w:r>
      <w:r>
        <w:rPr>
          <w:rFonts w:hint="eastAsia" w:ascii="宋体" w:hAnsi="宋体" w:cs="宋体"/>
          <w:sz w:val="28"/>
          <w:szCs w:val="28"/>
          <w:lang w:eastAsia="zh-CN"/>
        </w:rPr>
        <w:t>。</w:t>
      </w:r>
    </w:p>
    <w:p w14:paraId="6051EDE0">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2、甲方未按合同规定的时间和要求提供应交的技术资料，乙方有权将交货日期顺延。</w:t>
      </w:r>
    </w:p>
    <w:p w14:paraId="2ECAE071">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九、乙方的违约责任</w:t>
      </w:r>
    </w:p>
    <w:p w14:paraId="60E16488">
      <w:pPr>
        <w:keepNext w:val="0"/>
        <w:keepLines w:val="0"/>
        <w:pageBreakBefore w:val="0"/>
        <w:widowControl w:val="0"/>
        <w:kinsoku/>
        <w:wordWrap/>
        <w:overflowPunct/>
        <w:topLinePunct w:val="0"/>
        <w:autoSpaceDE/>
        <w:autoSpaceDN/>
        <w:bidi w:val="0"/>
        <w:spacing w:line="520" w:lineRule="exact"/>
        <w:rPr>
          <w:rFonts w:ascii="宋体" w:hAnsi="宋体" w:cs="宋体"/>
          <w:sz w:val="28"/>
          <w:szCs w:val="28"/>
        </w:rPr>
      </w:pPr>
      <w:r>
        <w:rPr>
          <w:rFonts w:hint="eastAsia" w:ascii="宋体" w:hAnsi="宋体" w:cs="宋体"/>
          <w:sz w:val="28"/>
          <w:szCs w:val="28"/>
        </w:rPr>
        <w:t>  1、除本合同第十条规定情况外，如果乙方没有按照合同规定的时间交货和提供服务，甲方有权从履约保证金中扣除误期赔偿费而不影响合同项下的其他补救方法，赔偿费按每天合同总价的</w:t>
      </w:r>
      <w:r>
        <w:rPr>
          <w:rFonts w:hint="eastAsia" w:ascii="宋体" w:hAnsi="宋体" w:cs="宋体"/>
          <w:sz w:val="28"/>
          <w:szCs w:val="28"/>
          <w:lang w:eastAsia="zh-CN"/>
        </w:rPr>
        <w:t>千</w:t>
      </w:r>
      <w:r>
        <w:rPr>
          <w:rFonts w:hint="eastAsia" w:ascii="宋体" w:hAnsi="宋体" w:cs="宋体"/>
          <w:sz w:val="28"/>
          <w:szCs w:val="28"/>
        </w:rPr>
        <w:t>分之</w:t>
      </w:r>
      <w:r>
        <w:rPr>
          <w:rFonts w:hint="eastAsia" w:ascii="宋体" w:hAnsi="宋体" w:cs="宋体"/>
          <w:sz w:val="28"/>
          <w:szCs w:val="28"/>
          <w:lang w:eastAsia="zh-CN"/>
        </w:rPr>
        <w:t>五</w:t>
      </w:r>
      <w:r>
        <w:rPr>
          <w:rFonts w:hint="eastAsia" w:ascii="宋体" w:hAnsi="宋体" w:cs="宋体"/>
          <w:sz w:val="28"/>
          <w:szCs w:val="28"/>
        </w:rPr>
        <w:t>计收，直至交货或提供服务为止，一旦误期赔偿达到履约保证金全部金额，甲方有权终止合同。</w:t>
      </w:r>
    </w:p>
    <w:p w14:paraId="330F0DD3">
      <w:pPr>
        <w:keepNext w:val="0"/>
        <w:keepLines w:val="0"/>
        <w:pageBreakBefore w:val="0"/>
        <w:widowControl w:val="0"/>
        <w:kinsoku/>
        <w:wordWrap/>
        <w:overflowPunct/>
        <w:topLinePunct w:val="0"/>
        <w:autoSpaceDE/>
        <w:autoSpaceDN/>
        <w:bidi w:val="0"/>
        <w:spacing w:line="520" w:lineRule="exact"/>
        <w:ind w:firstLine="562" w:firstLineChars="201"/>
        <w:rPr>
          <w:rFonts w:ascii="宋体" w:hAnsi="宋体" w:cs="宋体"/>
          <w:sz w:val="28"/>
          <w:szCs w:val="28"/>
        </w:rPr>
      </w:pPr>
      <w:r>
        <w:rPr>
          <w:rFonts w:hint="eastAsia" w:ascii="宋体" w:hAnsi="宋体" w:cs="宋体"/>
          <w:sz w:val="28"/>
          <w:szCs w:val="28"/>
        </w:rPr>
        <w:t>2、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14:paraId="56BB9F29">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十、不可抗力</w:t>
      </w:r>
    </w:p>
    <w:p w14:paraId="1B997AE9">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1、甲乙双方的任何一方由于不可抗力的原因不能履行合同时，应及时向对方通报不能履行或不完全履行的理由，在取得有关主管机关证明以后，允许延期履行、部分履行或者不履行合同，并根据情况可部分或全部免予承担违约责任。</w:t>
      </w:r>
    </w:p>
    <w:p w14:paraId="7DEB49D1">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十一、其他</w:t>
      </w:r>
    </w:p>
    <w:p w14:paraId="77CA1A01">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本合同自双方签字、盖章后，生效。本合同中未尽事宜，由双方协商解决；双方无法达成共识，提请甲方当地仲裁机构仲裁，本合同涂改无效。本合同</w:t>
      </w:r>
      <w:r>
        <w:rPr>
          <w:rFonts w:hint="eastAsia" w:ascii="宋体" w:hAnsi="宋体" w:cs="宋体"/>
          <w:b/>
          <w:sz w:val="28"/>
          <w:szCs w:val="28"/>
          <w:u w:val="single"/>
        </w:rPr>
        <w:t>一式六份（二正四副）</w:t>
      </w:r>
      <w:r>
        <w:rPr>
          <w:rFonts w:hint="eastAsia" w:ascii="宋体" w:hAnsi="宋体" w:cs="宋体"/>
          <w:sz w:val="28"/>
          <w:szCs w:val="28"/>
        </w:rPr>
        <w:t>。对于本合同未尽事宜，双方可签订补充协议或以附件的形式对本合同中的有关问题做出补充、说明、解释。附件具有同等法律效力。</w:t>
      </w:r>
    </w:p>
    <w:p w14:paraId="3ED0B929">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lang w:val="zh-CN"/>
        </w:rPr>
      </w:pPr>
      <w:r>
        <w:rPr>
          <w:rFonts w:hint="eastAsia" w:ascii="宋体" w:hAnsi="宋体" w:cs="宋体"/>
          <w:sz w:val="28"/>
          <w:szCs w:val="28"/>
        </w:rPr>
        <w:t>本合同在合同各方签字盖章后生效。</w:t>
      </w:r>
    </w:p>
    <w:p w14:paraId="7BCE222C">
      <w:pPr>
        <w:pStyle w:val="17"/>
        <w:keepNext w:val="0"/>
        <w:keepLines w:val="0"/>
        <w:pageBreakBefore w:val="0"/>
        <w:widowControl w:val="0"/>
        <w:kinsoku/>
        <w:wordWrap/>
        <w:overflowPunct/>
        <w:topLinePunct w:val="0"/>
        <w:autoSpaceDE/>
        <w:autoSpaceDN/>
        <w:bidi w:val="0"/>
        <w:spacing w:line="520" w:lineRule="exact"/>
      </w:pPr>
    </w:p>
    <w:p w14:paraId="32FAC0B4">
      <w:pPr>
        <w:keepNext w:val="0"/>
        <w:keepLines w:val="0"/>
        <w:pageBreakBefore w:val="0"/>
        <w:widowControl w:val="0"/>
        <w:kinsoku/>
        <w:wordWrap/>
        <w:overflowPunct/>
        <w:topLinePunct w:val="0"/>
        <w:autoSpaceDE/>
        <w:autoSpaceDN/>
        <w:bidi w:val="0"/>
        <w:adjustRightInd w:val="0"/>
        <w:snapToGrid w:val="0"/>
        <w:spacing w:line="520" w:lineRule="exact"/>
        <w:ind w:left="5341" w:hanging="5341" w:hangingChars="1900"/>
        <w:textAlignment w:val="baseline"/>
        <w:rPr>
          <w:rFonts w:hint="eastAsia" w:ascii="仿宋" w:hAnsi="仿宋" w:eastAsia="仿宋" w:cs="仿宋"/>
          <w:b/>
          <w:color w:val="auto"/>
          <w:sz w:val="28"/>
          <w:szCs w:val="28"/>
        </w:rPr>
      </w:pPr>
      <w:r>
        <w:rPr>
          <w:rFonts w:hint="eastAsia" w:ascii="仿宋" w:hAnsi="仿宋" w:eastAsia="仿宋" w:cs="仿宋"/>
          <w:b/>
          <w:color w:val="auto"/>
          <w:sz w:val="28"/>
          <w:szCs w:val="28"/>
        </w:rPr>
        <w:t>甲  方：</w:t>
      </w:r>
      <w:r>
        <w:rPr>
          <w:rFonts w:hint="eastAsia" w:ascii="仿宋" w:hAnsi="仿宋" w:eastAsia="仿宋" w:cs="仿宋"/>
          <w:b/>
          <w:color w:val="auto"/>
          <w:sz w:val="28"/>
          <w:szCs w:val="28"/>
          <w:lang w:eastAsia="zh-CN"/>
        </w:rPr>
        <w:t>喀什市公安局</w:t>
      </w:r>
      <w:r>
        <w:rPr>
          <w:rFonts w:hint="eastAsia" w:ascii="仿宋" w:hAnsi="仿宋" w:eastAsia="仿宋" w:cs="仿宋"/>
          <w:b/>
          <w:color w:val="auto"/>
          <w:sz w:val="28"/>
          <w:szCs w:val="28"/>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b/>
          <w:color w:val="auto"/>
          <w:sz w:val="28"/>
          <w:szCs w:val="28"/>
        </w:rPr>
        <w:t>乙  方：</w:t>
      </w:r>
    </w:p>
    <w:p w14:paraId="1604CB2C">
      <w:pPr>
        <w:keepNext w:val="0"/>
        <w:keepLines w:val="0"/>
        <w:pageBreakBefore w:val="0"/>
        <w:widowControl w:val="0"/>
        <w:kinsoku/>
        <w:wordWrap/>
        <w:overflowPunct/>
        <w:topLinePunct w:val="0"/>
        <w:autoSpaceDE/>
        <w:autoSpaceDN/>
        <w:bidi w:val="0"/>
        <w:adjustRightInd w:val="0"/>
        <w:snapToGrid w:val="0"/>
        <w:spacing w:line="520" w:lineRule="exact"/>
        <w:rPr>
          <w:rFonts w:hint="eastAsia" w:ascii="仿宋" w:hAnsi="仿宋" w:eastAsia="仿宋" w:cs="仿宋"/>
          <w:b/>
          <w:color w:val="auto"/>
          <w:sz w:val="28"/>
          <w:szCs w:val="28"/>
        </w:rPr>
      </w:pPr>
    </w:p>
    <w:p w14:paraId="4E189528">
      <w:pPr>
        <w:keepNext w:val="0"/>
        <w:keepLines w:val="0"/>
        <w:pageBreakBefore w:val="0"/>
        <w:widowControl w:val="0"/>
        <w:kinsoku/>
        <w:wordWrap/>
        <w:overflowPunct/>
        <w:topLinePunct w:val="0"/>
        <w:autoSpaceDE/>
        <w:autoSpaceDN/>
        <w:bidi w:val="0"/>
        <w:adjustRightInd w:val="0"/>
        <w:snapToGrid w:val="0"/>
        <w:spacing w:line="520" w:lineRule="exact"/>
        <w:ind w:left="5341" w:hanging="5341" w:hangingChars="1900"/>
        <w:textAlignment w:val="baseline"/>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 xml:space="preserve">法定代表人                  法定代表人                                </w:t>
      </w:r>
    </w:p>
    <w:p w14:paraId="560DDC8B">
      <w:pPr>
        <w:keepNext w:val="0"/>
        <w:keepLines w:val="0"/>
        <w:pageBreakBefore w:val="0"/>
        <w:widowControl w:val="0"/>
        <w:kinsoku/>
        <w:wordWrap/>
        <w:overflowPunct/>
        <w:topLinePunct w:val="0"/>
        <w:autoSpaceDE/>
        <w:autoSpaceDN/>
        <w:bidi w:val="0"/>
        <w:adjustRightInd w:val="0"/>
        <w:snapToGrid w:val="0"/>
        <w:spacing w:line="520" w:lineRule="exact"/>
        <w:ind w:left="5341" w:hanging="5341" w:hangingChars="1900"/>
        <w:textAlignment w:val="baseline"/>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(或授权签约人）：          （或授权签约人）：</w:t>
      </w:r>
    </w:p>
    <w:p w14:paraId="2DB4620E">
      <w:pPr>
        <w:keepNext w:val="0"/>
        <w:keepLines w:val="0"/>
        <w:pageBreakBefore w:val="0"/>
        <w:widowControl w:val="0"/>
        <w:kinsoku/>
        <w:wordWrap/>
        <w:overflowPunct/>
        <w:topLinePunct w:val="0"/>
        <w:autoSpaceDE/>
        <w:autoSpaceDN/>
        <w:bidi w:val="0"/>
        <w:adjustRightInd w:val="0"/>
        <w:snapToGrid w:val="0"/>
        <w:spacing w:line="52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 </w:t>
      </w:r>
    </w:p>
    <w:p w14:paraId="296BD258">
      <w:pPr>
        <w:keepNext w:val="0"/>
        <w:keepLines w:val="0"/>
        <w:pageBreakBefore w:val="0"/>
        <w:widowControl w:val="0"/>
        <w:kinsoku/>
        <w:wordWrap/>
        <w:overflowPunct/>
        <w:topLinePunct w:val="0"/>
        <w:autoSpaceDE/>
        <w:autoSpaceDN/>
        <w:bidi w:val="0"/>
        <w:adjustRightInd w:val="0"/>
        <w:snapToGrid w:val="0"/>
        <w:spacing w:line="520" w:lineRule="exact"/>
        <w:rPr>
          <w:rFonts w:hint="eastAsia" w:ascii="仿宋" w:hAnsi="仿宋" w:eastAsia="仿宋" w:cs="仿宋"/>
          <w:bCs/>
          <w:color w:val="auto"/>
          <w:sz w:val="28"/>
          <w:szCs w:val="28"/>
        </w:rPr>
      </w:pPr>
      <w:r>
        <w:rPr>
          <w:rFonts w:hint="eastAsia" w:ascii="仿宋" w:hAnsi="仿宋" w:eastAsia="仿宋" w:cs="仿宋"/>
          <w:b/>
          <w:color w:val="auto"/>
          <w:sz w:val="28"/>
          <w:szCs w:val="28"/>
        </w:rPr>
        <w:t>联系电话：</w:t>
      </w:r>
      <w:r>
        <w:rPr>
          <w:rFonts w:hint="eastAsia" w:ascii="仿宋" w:hAnsi="仿宋" w:eastAsia="仿宋" w:cs="仿宋"/>
          <w:b/>
          <w:color w:val="auto"/>
          <w:sz w:val="28"/>
          <w:szCs w:val="28"/>
          <w:lang w:val="en-US" w:eastAsia="zh-CN"/>
        </w:rPr>
        <w:t xml:space="preserve">            </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联系电话：</w:t>
      </w:r>
    </w:p>
    <w:p w14:paraId="23B63411">
      <w:pPr>
        <w:pStyle w:val="18"/>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b/>
          <w:color w:val="auto"/>
          <w:kern w:val="2"/>
          <w:sz w:val="28"/>
          <w:szCs w:val="28"/>
          <w:lang w:val="en-US" w:eastAsia="zh-CN" w:bidi="ar-SA"/>
        </w:rPr>
      </w:pPr>
    </w:p>
    <w:p w14:paraId="6EBBB2D8">
      <w:pPr>
        <w:pStyle w:val="18"/>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 xml:space="preserve">开户行：                   </w:t>
      </w:r>
      <w:r>
        <w:rPr>
          <w:rFonts w:hint="eastAsia" w:ascii="宋体" w:hAnsi="宋体" w:cs="宋体"/>
          <w:color w:val="000000"/>
          <w:kern w:val="0"/>
          <w:sz w:val="24"/>
          <w:lang w:val="en-US" w:eastAsia="zh-CN" w:bidi="ar"/>
        </w:rPr>
        <w:t xml:space="preserve">    </w:t>
      </w:r>
      <w:r>
        <w:rPr>
          <w:rFonts w:hint="eastAsia" w:ascii="仿宋" w:hAnsi="仿宋" w:eastAsia="仿宋" w:cs="仿宋"/>
          <w:b/>
          <w:color w:val="auto"/>
          <w:kern w:val="2"/>
          <w:sz w:val="28"/>
          <w:szCs w:val="28"/>
          <w:lang w:val="en-US" w:eastAsia="zh-CN" w:bidi="ar-SA"/>
        </w:rPr>
        <w:t>开户行：</w:t>
      </w:r>
    </w:p>
    <w:p w14:paraId="3C3251D5">
      <w:pPr>
        <w:pStyle w:val="18"/>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账号：                       账号：</w:t>
      </w:r>
    </w:p>
    <w:p w14:paraId="738CEA50">
      <w:pPr>
        <w:pStyle w:val="19"/>
        <w:keepNext w:val="0"/>
        <w:keepLines w:val="0"/>
        <w:pageBreakBefore w:val="0"/>
        <w:widowControl w:val="0"/>
        <w:kinsoku/>
        <w:wordWrap/>
        <w:overflowPunct/>
        <w:topLinePunct w:val="0"/>
        <w:autoSpaceDE/>
        <w:autoSpaceDN/>
        <w:bidi w:val="0"/>
        <w:spacing w:beforeAutospacing="0" w:afterAutospacing="0" w:line="520" w:lineRule="exact"/>
        <w:rPr>
          <w:rFonts w:hint="eastAsia" w:ascii="仿宋" w:hAnsi="仿宋" w:eastAsia="仿宋" w:cs="仿宋"/>
          <w:b/>
          <w:bCs/>
          <w:color w:val="auto"/>
          <w:sz w:val="28"/>
          <w:szCs w:val="28"/>
        </w:rPr>
      </w:pPr>
    </w:p>
    <w:p w14:paraId="1E8B011B">
      <w:pPr>
        <w:pStyle w:val="19"/>
        <w:keepNext w:val="0"/>
        <w:keepLines w:val="0"/>
        <w:pageBreakBefore w:val="0"/>
        <w:widowControl w:val="0"/>
        <w:kinsoku/>
        <w:wordWrap/>
        <w:overflowPunct/>
        <w:topLinePunct w:val="0"/>
        <w:autoSpaceDE/>
        <w:autoSpaceDN/>
        <w:bidi w:val="0"/>
        <w:spacing w:beforeAutospacing="0" w:afterAutospacing="0" w:line="520" w:lineRule="exact"/>
        <w:rPr>
          <w:rFonts w:hint="eastAsia" w:ascii="宋体" w:hAnsi="宋体" w:eastAsia="宋体" w:cs="宋体"/>
          <w:color w:val="auto"/>
          <w:sz w:val="28"/>
          <w:szCs w:val="28"/>
        </w:rPr>
      </w:pPr>
      <w:r>
        <w:rPr>
          <w:rFonts w:hint="eastAsia" w:ascii="仿宋" w:hAnsi="仿宋" w:eastAsia="仿宋" w:cs="仿宋"/>
          <w:b/>
          <w:bCs/>
          <w:color w:val="auto"/>
          <w:sz w:val="28"/>
          <w:szCs w:val="28"/>
        </w:rPr>
        <w:t>签定日期：</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年</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月</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日</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b/>
          <w:bCs/>
          <w:color w:val="auto"/>
          <w:sz w:val="28"/>
          <w:szCs w:val="28"/>
        </w:rPr>
        <w:t>签定日期：</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年</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月</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日</w:t>
      </w:r>
      <w:r>
        <w:rPr>
          <w:rFonts w:hint="eastAsia" w:ascii="宋体" w:hAnsi="宋体" w:eastAsia="宋体" w:cs="宋体"/>
          <w:color w:val="auto"/>
          <w:sz w:val="28"/>
          <w:szCs w:val="28"/>
        </w:rPr>
        <w:t xml:space="preserve"> </w:t>
      </w:r>
    </w:p>
    <w:p w14:paraId="2D1B0D64">
      <w:pPr>
        <w:pStyle w:val="19"/>
        <w:keepNext w:val="0"/>
        <w:keepLines w:val="0"/>
        <w:pageBreakBefore w:val="0"/>
        <w:widowControl w:val="0"/>
        <w:kinsoku/>
        <w:wordWrap/>
        <w:overflowPunct/>
        <w:topLinePunct w:val="0"/>
        <w:autoSpaceDE/>
        <w:autoSpaceDN/>
        <w:bidi w:val="0"/>
        <w:spacing w:beforeAutospacing="0" w:afterAutospacing="0" w:line="520" w:lineRule="exact"/>
        <w:rPr>
          <w:rFonts w:hint="eastAsia" w:ascii="宋体" w:hAnsi="宋体" w:eastAsia="宋体" w:cs="宋体"/>
          <w:color w:val="auto"/>
          <w:sz w:val="28"/>
          <w:szCs w:val="28"/>
        </w:rPr>
        <w:sectPr>
          <w:footerReference r:id="rId11" w:type="default"/>
          <w:pgSz w:w="11906" w:h="16838"/>
          <w:pgMar w:top="1440" w:right="1800" w:bottom="1440" w:left="1800" w:header="851" w:footer="992" w:gutter="0"/>
          <w:pgNumType w:fmt="decimal" w:start="47"/>
          <w:cols w:space="425" w:num="1"/>
          <w:docGrid w:type="lines" w:linePitch="312" w:charSpace="0"/>
        </w:sectPr>
      </w:pPr>
    </w:p>
    <w:p w14:paraId="114C6D2A">
      <w:pPr>
        <w:rPr>
          <w:rFonts w:ascii="宋体" w:hAnsi="宋体" w:eastAsia="黑体"/>
          <w:b/>
          <w:bCs/>
          <w:color w:val="0000FF"/>
          <w:kern w:val="44"/>
          <w:sz w:val="36"/>
          <w:szCs w:val="44"/>
        </w:rPr>
      </w:pPr>
    </w:p>
    <w:p w14:paraId="75AD9DB5">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14:paraId="56B04791">
      <w:pPr>
        <w:keepNext/>
        <w:keepLines/>
        <w:numPr>
          <w:ilvl w:val="0"/>
          <w:numId w:val="13"/>
        </w:numPr>
        <w:adjustRightInd w:val="0"/>
        <w:spacing w:before="120" w:beforeLines="50" w:after="120" w:afterLines="50"/>
        <w:ind w:left="562" w:hanging="562"/>
        <w:jc w:val="center"/>
        <w:textAlignment w:val="baseline"/>
        <w:outlineLvl w:val="0"/>
        <w:rPr>
          <w:rFonts w:ascii="Cambria" w:hAnsi="Cambria" w:eastAsia="宋体"/>
          <w:b/>
          <w:bCs/>
          <w:sz w:val="28"/>
          <w:szCs w:val="28"/>
        </w:rPr>
      </w:pPr>
      <w:bookmarkStart w:id="15" w:name="_Hlk72399513"/>
      <w:r>
        <w:rPr>
          <w:rFonts w:hint="eastAsia" w:ascii="Cambria" w:hAnsi="Cambria" w:eastAsia="宋体"/>
          <w:b/>
          <w:bCs/>
          <w:sz w:val="28"/>
          <w:szCs w:val="28"/>
        </w:rPr>
        <w:t>总则</w:t>
      </w:r>
      <w:bookmarkEnd w:id="15"/>
    </w:p>
    <w:p w14:paraId="6DF79F86">
      <w:pPr>
        <w:outlineLvl w:val="1"/>
        <w:rPr>
          <w:rFonts w:ascii="黑体" w:hAnsi="宋体" w:eastAsia="黑体"/>
        </w:rPr>
      </w:pPr>
      <w:r>
        <w:rPr>
          <w:rFonts w:hint="eastAsia" w:ascii="黑体" w:hAnsi="宋体" w:eastAsia="黑体"/>
        </w:rPr>
        <w:t>1. 通用条款说明</w:t>
      </w:r>
    </w:p>
    <w:p w14:paraId="617E25AF">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6"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6"/>
    </w:p>
    <w:p w14:paraId="273966C9">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14:paraId="777B2407">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14:paraId="0CDDE402">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14:paraId="7C52DECB">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14:paraId="24ED6FD5">
      <w:pPr>
        <w:outlineLvl w:val="1"/>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14:paraId="51546C29">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14:paraId="50E507FF">
      <w:pPr>
        <w:outlineLvl w:val="1"/>
        <w:rPr>
          <w:rFonts w:ascii="黑体" w:hAnsi="宋体" w:eastAsia="黑体"/>
        </w:rPr>
      </w:pPr>
      <w:r>
        <w:rPr>
          <w:rFonts w:hint="eastAsia" w:ascii="黑体" w:hAnsi="宋体" w:eastAsia="黑体"/>
        </w:rPr>
        <w:t>3．定义</w:t>
      </w:r>
    </w:p>
    <w:p w14:paraId="007F430C">
      <w:pPr>
        <w:ind w:firstLine="480" w:firstLineChars="200"/>
        <w:rPr>
          <w:rFonts w:ascii="宋体" w:hAnsi="宋体" w:eastAsia="宋体"/>
          <w:szCs w:val="21"/>
        </w:rPr>
      </w:pPr>
      <w:r>
        <w:rPr>
          <w:rFonts w:ascii="宋体" w:hAnsi="宋体" w:eastAsia="宋体"/>
          <w:szCs w:val="21"/>
        </w:rPr>
        <w:t>招标文件中下列术语应解释为：</w:t>
      </w:r>
    </w:p>
    <w:p w14:paraId="3B9C675F">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14:paraId="2EF87F12">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14:paraId="39979BE1">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14:paraId="3CA3455B">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14:paraId="3A390122">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14:paraId="1FEBC74B">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14:paraId="7619F467">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7" w:name="_Hlk72398581"/>
      <w:r>
        <w:rPr>
          <w:rFonts w:hint="eastAsia" w:ascii="宋体" w:hAnsi="宋体" w:eastAsia="宋体"/>
          <w:szCs w:val="21"/>
        </w:rPr>
        <w:t>；</w:t>
      </w:r>
      <w:bookmarkEnd w:id="17"/>
    </w:p>
    <w:p w14:paraId="44998239">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14:paraId="61C089B7">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14:paraId="654DD092">
      <w:pPr>
        <w:outlineLvl w:val="1"/>
        <w:rPr>
          <w:rFonts w:ascii="黑体" w:hAnsi="宋体" w:eastAsia="黑体"/>
        </w:rPr>
      </w:pPr>
      <w:r>
        <w:rPr>
          <w:rFonts w:hint="eastAsia" w:ascii="黑体" w:hAnsi="宋体" w:eastAsia="黑体"/>
        </w:rPr>
        <w:t xml:space="preserve">4. </w:t>
      </w:r>
      <w:bookmarkStart w:id="18" w:name="_Hlk72398643"/>
      <w:r>
        <w:rPr>
          <w:rFonts w:hint="eastAsia" w:ascii="黑体" w:hAnsi="宋体" w:eastAsia="黑体"/>
        </w:rPr>
        <w:t>政府采购供应商责任</w:t>
      </w:r>
    </w:p>
    <w:p w14:paraId="7B2B5561">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14:paraId="5BF962C4">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14:paraId="253A98CD">
      <w:pPr>
        <w:outlineLvl w:val="1"/>
        <w:rPr>
          <w:rFonts w:ascii="黑体" w:hAnsi="宋体" w:eastAsia="黑体"/>
        </w:rPr>
      </w:pPr>
      <w:r>
        <w:rPr>
          <w:rFonts w:hint="eastAsia" w:ascii="黑体" w:hAnsi="宋体" w:eastAsia="黑体"/>
        </w:rPr>
        <w:t>5．投标人参加政府采购的条件</w:t>
      </w:r>
    </w:p>
    <w:p w14:paraId="1F7BA0D7">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14:paraId="33733FC2">
      <w:pPr>
        <w:ind w:firstLine="470" w:firstLineChars="196"/>
        <w:rPr>
          <w:rFonts w:ascii="宋体" w:hAnsi="宋体" w:eastAsia="宋体"/>
          <w:szCs w:val="21"/>
        </w:rPr>
      </w:pPr>
      <w:r>
        <w:rPr>
          <w:rFonts w:hint="eastAsia" w:ascii="宋体" w:hAnsi="宋体" w:eastAsia="宋体"/>
          <w:szCs w:val="21"/>
        </w:rPr>
        <w:t>5.2投标人资格要求</w:t>
      </w:r>
    </w:p>
    <w:p w14:paraId="09E42E3D">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14:paraId="15D8B061">
      <w:pPr>
        <w:ind w:firstLine="470" w:firstLineChars="196"/>
        <w:rPr>
          <w:rFonts w:ascii="宋体" w:hAnsi="宋体" w:eastAsia="宋体"/>
          <w:szCs w:val="21"/>
        </w:rPr>
      </w:pPr>
      <w:r>
        <w:rPr>
          <w:rFonts w:hint="eastAsia" w:ascii="宋体" w:hAnsi="宋体" w:eastAsia="宋体"/>
          <w:szCs w:val="21"/>
        </w:rPr>
        <w:t>5.3联合体投标</w:t>
      </w:r>
    </w:p>
    <w:p w14:paraId="3F10E5FF">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14:paraId="1A643685">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14:paraId="6D407211">
      <w:pPr>
        <w:ind w:firstLine="470" w:firstLineChars="196"/>
        <w:rPr>
          <w:rFonts w:ascii="宋体" w:hAnsi="宋体" w:eastAsia="宋体"/>
        </w:rPr>
      </w:pPr>
      <w:r>
        <w:rPr>
          <w:rFonts w:hint="eastAsia" w:ascii="宋体" w:hAnsi="宋体" w:eastAsia="宋体"/>
        </w:rPr>
        <w:t>（1）投标联合体各方参加政府采购活动应当具备下列条件：</w:t>
      </w:r>
    </w:p>
    <w:p w14:paraId="1361EA39">
      <w:pPr>
        <w:ind w:left="480" w:leftChars="200" w:firstLine="470" w:firstLineChars="196"/>
        <w:rPr>
          <w:rFonts w:ascii="宋体" w:hAnsi="宋体" w:eastAsia="宋体"/>
        </w:rPr>
      </w:pPr>
      <w:r>
        <w:rPr>
          <w:rFonts w:hint="eastAsia" w:ascii="宋体" w:hAnsi="宋体" w:eastAsia="宋体"/>
        </w:rPr>
        <w:t>1、具有独立承担民事责任的能力；</w:t>
      </w:r>
    </w:p>
    <w:p w14:paraId="31FFC010">
      <w:pPr>
        <w:ind w:left="420" w:firstLine="470" w:firstLineChars="196"/>
        <w:rPr>
          <w:rFonts w:ascii="宋体" w:hAnsi="宋体" w:eastAsia="宋体"/>
        </w:rPr>
      </w:pPr>
      <w:r>
        <w:rPr>
          <w:rFonts w:hint="eastAsia" w:ascii="宋体" w:hAnsi="宋体" w:eastAsia="宋体"/>
        </w:rPr>
        <w:t>2、有良好的商业信誉和健全的财务会计制度；</w:t>
      </w:r>
    </w:p>
    <w:p w14:paraId="7219ED25">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14:paraId="506A1589">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14:paraId="04A17341">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14:paraId="11A72948">
      <w:pPr>
        <w:ind w:left="480" w:leftChars="200" w:firstLine="470" w:firstLineChars="196"/>
        <w:rPr>
          <w:rFonts w:ascii="宋体" w:hAnsi="宋体" w:eastAsia="宋体"/>
        </w:rPr>
      </w:pPr>
      <w:r>
        <w:rPr>
          <w:rFonts w:hint="eastAsia" w:ascii="宋体" w:hAnsi="宋体" w:eastAsia="宋体"/>
        </w:rPr>
        <w:t>6、法律、行政法规规定的其他条件。</w:t>
      </w:r>
    </w:p>
    <w:p w14:paraId="24D9F5D8">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14:paraId="6D3D5834">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14:paraId="4B6812ED">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14:paraId="3AB90EB6">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14:paraId="4DECD286">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14:paraId="46BB02CD">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14:paraId="665CFEC2">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39DC07C3">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14:paraId="2D6DE265">
      <w:pPr>
        <w:outlineLvl w:val="1"/>
        <w:rPr>
          <w:rFonts w:ascii="黑体" w:hAnsi="宋体" w:eastAsia="黑体"/>
        </w:rPr>
      </w:pPr>
      <w:r>
        <w:rPr>
          <w:rFonts w:hint="eastAsia" w:ascii="黑体" w:hAnsi="宋体" w:eastAsia="黑体"/>
        </w:rPr>
        <w:t>6．政策导向</w:t>
      </w:r>
    </w:p>
    <w:p w14:paraId="68FD9D1E">
      <w:pPr>
        <w:ind w:firstLine="405"/>
        <w:rPr>
          <w:rFonts w:eastAsia="宋体"/>
          <w:shd w:val="clear" w:color="auto" w:fill="FFFFFF"/>
        </w:rPr>
      </w:pPr>
      <w:r>
        <w:rPr>
          <w:rFonts w:hint="eastAsia" w:ascii="宋体" w:hAnsi="宋体" w:eastAsia="宋体"/>
          <w:lang w:eastAsia="zh-CN"/>
        </w:rPr>
        <w:t>无</w:t>
      </w:r>
      <w:r>
        <w:rPr>
          <w:rFonts w:hint="eastAsia" w:ascii="宋体" w:hAnsi="宋体" w:eastAsia="宋体"/>
        </w:rPr>
        <w:t>。</w:t>
      </w:r>
    </w:p>
    <w:p w14:paraId="26145AEF">
      <w:pPr>
        <w:outlineLvl w:val="1"/>
        <w:rPr>
          <w:rFonts w:ascii="黑体" w:hAnsi="宋体" w:eastAsia="黑体"/>
        </w:rPr>
      </w:pPr>
      <w:r>
        <w:rPr>
          <w:rFonts w:hint="eastAsia" w:ascii="黑体" w:hAnsi="宋体" w:eastAsia="黑体"/>
        </w:rPr>
        <w:t>7. 本项目若涉及采购货物，则合格的货物及相应服务应满足以下要求：</w:t>
      </w:r>
    </w:p>
    <w:p w14:paraId="44697288">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14:paraId="54DFE87F">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14:paraId="6EBADF65">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B14ACF9">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19"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w:t>
      </w:r>
      <w:r>
        <w:rPr>
          <w:rFonts w:hint="eastAsia" w:ascii="宋体" w:hAnsi="宋体" w:eastAsia="宋体"/>
          <w:lang w:eastAsia="zh-CN"/>
        </w:rPr>
        <w:t>批发业</w:t>
      </w:r>
      <w:r>
        <w:rPr>
          <w:rFonts w:hint="eastAsia" w:ascii="宋体" w:hAnsi="宋体" w:eastAsia="宋体"/>
        </w:rPr>
        <w:t>设计权等知识产权和侵犯其所有权、抵押权等物权及其他权利而引发的纠纷。如有纠纷，投标人应承担全部责任。</w:t>
      </w:r>
      <w:bookmarkEnd w:id="19"/>
    </w:p>
    <w:p w14:paraId="0639A786">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226D7B0B">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14:paraId="0C6EE6EE">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14:paraId="6FF9E0FA">
      <w:pPr>
        <w:outlineLvl w:val="1"/>
        <w:rPr>
          <w:rFonts w:ascii="黑体" w:hAnsi="宋体" w:eastAsia="黑体"/>
        </w:rPr>
      </w:pPr>
      <w:r>
        <w:rPr>
          <w:rFonts w:hint="eastAsia" w:ascii="黑体" w:hAnsi="宋体" w:eastAsia="黑体"/>
        </w:rPr>
        <w:t>8．投标费用</w:t>
      </w:r>
    </w:p>
    <w:p w14:paraId="633BE15C">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14:paraId="45016514">
      <w:pPr>
        <w:outlineLvl w:val="1"/>
        <w:rPr>
          <w:rFonts w:ascii="黑体" w:hAnsi="宋体" w:eastAsia="黑体"/>
        </w:rPr>
      </w:pPr>
      <w:r>
        <w:rPr>
          <w:rFonts w:hint="eastAsia" w:ascii="黑体" w:hAnsi="宋体" w:eastAsia="黑体"/>
        </w:rPr>
        <w:t>9．踏勘现场</w:t>
      </w:r>
    </w:p>
    <w:p w14:paraId="524C1872">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B1B7997">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14:paraId="6B422F7F">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14:paraId="45D03D44">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14:paraId="2FBF5C88">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14:paraId="64C38F3A">
      <w:pPr>
        <w:outlineLvl w:val="1"/>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14:paraId="7DB56BB0">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14:paraId="238D1BFF">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14:paraId="058E281B">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18"/>
    </w:p>
    <w:p w14:paraId="51A8AEE0">
      <w:pPr>
        <w:keepNext/>
        <w:keepLines/>
        <w:numPr>
          <w:ilvl w:val="0"/>
          <w:numId w:val="13"/>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招标文件</w:t>
      </w:r>
    </w:p>
    <w:p w14:paraId="28AD730C">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0" w:name="_Hlk72399819"/>
      <w:r>
        <w:rPr>
          <w:rFonts w:hint="eastAsia" w:ascii="黑体" w:hAnsi="宋体" w:eastAsia="黑体"/>
        </w:rPr>
        <w:t>招标文件的编制与组成</w:t>
      </w:r>
    </w:p>
    <w:p w14:paraId="27D8B046">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14:paraId="17AB883F">
      <w:pPr>
        <w:ind w:firstLine="470" w:firstLineChars="196"/>
        <w:rPr>
          <w:rFonts w:ascii="宋体" w:hAnsi="宋体" w:eastAsia="宋体"/>
          <w:szCs w:val="21"/>
        </w:rPr>
      </w:pPr>
      <w:r>
        <w:rPr>
          <w:rFonts w:hint="eastAsia" w:ascii="宋体" w:hAnsi="宋体" w:eastAsia="宋体"/>
          <w:szCs w:val="21"/>
        </w:rPr>
        <w:t>招标文件包括下列内容：</w:t>
      </w:r>
    </w:p>
    <w:p w14:paraId="34D6AE34">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14:paraId="45021105">
      <w:pPr>
        <w:ind w:left="1234" w:leftChars="514"/>
        <w:rPr>
          <w:rFonts w:ascii="宋体" w:hAnsi="宋体" w:eastAsia="宋体"/>
          <w:b/>
          <w:szCs w:val="21"/>
        </w:rPr>
      </w:pPr>
      <w:r>
        <w:rPr>
          <w:rFonts w:hint="eastAsia" w:ascii="宋体" w:hAnsi="宋体" w:eastAsia="宋体"/>
          <w:b/>
          <w:szCs w:val="21"/>
        </w:rPr>
        <w:t>关键信息</w:t>
      </w:r>
    </w:p>
    <w:p w14:paraId="33E51D32">
      <w:pPr>
        <w:ind w:left="720" w:leftChars="300" w:firstLine="470" w:firstLineChars="196"/>
        <w:rPr>
          <w:rFonts w:ascii="宋体" w:hAnsi="宋体" w:eastAsia="宋体"/>
          <w:szCs w:val="21"/>
        </w:rPr>
      </w:pPr>
      <w:r>
        <w:rPr>
          <w:rFonts w:hint="eastAsia" w:ascii="宋体" w:hAnsi="宋体" w:eastAsia="宋体"/>
          <w:szCs w:val="21"/>
        </w:rPr>
        <w:t>第一章  招标公告</w:t>
      </w:r>
    </w:p>
    <w:p w14:paraId="2ABF9C9D">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14:paraId="31BA46C5">
      <w:pPr>
        <w:ind w:left="720" w:leftChars="300" w:firstLine="470" w:firstLineChars="196"/>
        <w:rPr>
          <w:rFonts w:ascii="宋体" w:hAnsi="宋体" w:eastAsia="宋体"/>
          <w:szCs w:val="21"/>
        </w:rPr>
      </w:pPr>
      <w:r>
        <w:rPr>
          <w:rFonts w:hint="eastAsia" w:ascii="宋体" w:hAnsi="宋体" w:eastAsia="宋体"/>
          <w:szCs w:val="21"/>
        </w:rPr>
        <w:t>第三章  用户需求书</w:t>
      </w:r>
    </w:p>
    <w:p w14:paraId="06D74E50">
      <w:pPr>
        <w:ind w:left="720" w:leftChars="300" w:firstLine="470" w:firstLineChars="196"/>
        <w:rPr>
          <w:rFonts w:ascii="宋体" w:hAnsi="宋体" w:eastAsia="宋体"/>
          <w:szCs w:val="21"/>
        </w:rPr>
      </w:pPr>
      <w:r>
        <w:rPr>
          <w:rFonts w:hint="eastAsia" w:eastAsia="宋体"/>
        </w:rPr>
        <w:t>第四章投标文件格式及附件</w:t>
      </w:r>
    </w:p>
    <w:p w14:paraId="0897AD56">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14:paraId="529E0939">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14:paraId="0E775E35">
      <w:pPr>
        <w:ind w:left="720" w:leftChars="300" w:firstLine="470" w:firstLineChars="196"/>
        <w:rPr>
          <w:rFonts w:ascii="宋体" w:hAnsi="宋体" w:eastAsia="宋体"/>
          <w:szCs w:val="21"/>
        </w:rPr>
      </w:pPr>
      <w:r>
        <w:rPr>
          <w:rFonts w:hint="eastAsia" w:ascii="宋体" w:hAnsi="宋体" w:eastAsia="宋体"/>
          <w:szCs w:val="21"/>
        </w:rPr>
        <w:t>第一章  总则</w:t>
      </w:r>
    </w:p>
    <w:p w14:paraId="1026C12B">
      <w:pPr>
        <w:ind w:left="720" w:leftChars="300" w:firstLine="470" w:firstLineChars="196"/>
        <w:rPr>
          <w:rFonts w:ascii="宋体" w:hAnsi="宋体" w:eastAsia="宋体"/>
          <w:szCs w:val="21"/>
        </w:rPr>
      </w:pPr>
      <w:r>
        <w:rPr>
          <w:rFonts w:hint="eastAsia" w:ascii="宋体" w:hAnsi="宋体" w:eastAsia="宋体"/>
          <w:szCs w:val="21"/>
        </w:rPr>
        <w:t>第二章  招标文件</w:t>
      </w:r>
    </w:p>
    <w:p w14:paraId="3DB52930">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14:paraId="02042293">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14:paraId="67553FEB">
      <w:pPr>
        <w:ind w:left="720" w:leftChars="300" w:firstLine="470" w:firstLineChars="196"/>
        <w:rPr>
          <w:rFonts w:ascii="宋体" w:hAnsi="宋体" w:eastAsia="宋体"/>
          <w:szCs w:val="21"/>
        </w:rPr>
      </w:pPr>
      <w:r>
        <w:rPr>
          <w:rFonts w:hint="eastAsia" w:ascii="宋体" w:hAnsi="宋体" w:eastAsia="宋体"/>
          <w:szCs w:val="21"/>
        </w:rPr>
        <w:t>第五章  开标</w:t>
      </w:r>
    </w:p>
    <w:p w14:paraId="0C42CCC8">
      <w:pPr>
        <w:ind w:left="720" w:leftChars="300" w:firstLine="470" w:firstLineChars="196"/>
        <w:rPr>
          <w:rFonts w:ascii="宋体" w:hAnsi="宋体" w:eastAsia="宋体"/>
          <w:szCs w:val="21"/>
        </w:rPr>
      </w:pPr>
      <w:r>
        <w:rPr>
          <w:rFonts w:hint="eastAsia" w:ascii="宋体" w:hAnsi="宋体" w:eastAsia="宋体"/>
          <w:szCs w:val="21"/>
        </w:rPr>
        <w:t>第六章  评审要求</w:t>
      </w:r>
    </w:p>
    <w:p w14:paraId="2521C8EB">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14:paraId="70989032">
      <w:pPr>
        <w:ind w:left="720" w:leftChars="300" w:firstLine="470" w:firstLineChars="196"/>
        <w:rPr>
          <w:rFonts w:ascii="宋体" w:hAnsi="宋体" w:eastAsia="宋体"/>
          <w:szCs w:val="21"/>
        </w:rPr>
      </w:pPr>
      <w:r>
        <w:rPr>
          <w:rFonts w:hint="eastAsia" w:ascii="宋体" w:hAnsi="宋体" w:eastAsia="宋体"/>
          <w:szCs w:val="21"/>
        </w:rPr>
        <w:t>第八章  定标及公示</w:t>
      </w:r>
    </w:p>
    <w:p w14:paraId="02A27436">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14:paraId="0CA29A9B">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14:paraId="1925B905">
      <w:pPr>
        <w:ind w:left="720" w:leftChars="300" w:firstLine="470" w:firstLineChars="196"/>
        <w:rPr>
          <w:rFonts w:ascii="宋体" w:hAnsi="宋体" w:eastAsia="宋体"/>
          <w:szCs w:val="21"/>
        </w:rPr>
      </w:pPr>
      <w:r>
        <w:rPr>
          <w:rFonts w:hint="eastAsia" w:ascii="宋体" w:hAnsi="宋体" w:eastAsia="宋体"/>
          <w:szCs w:val="21"/>
        </w:rPr>
        <w:t>第十一章  质疑处理</w:t>
      </w:r>
    </w:p>
    <w:p w14:paraId="35E18D2C">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A5756E8">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14:paraId="3067B78D">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14:paraId="17123A93">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14:paraId="720415D6">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应当及时予以答复。投标人询问或质疑实行实名制。投标人询问或质疑应当有事实根据，不得进行虚假、恶意询问或质疑，干扰政府采购工作秩序。</w:t>
      </w:r>
    </w:p>
    <w:p w14:paraId="10420074">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14:paraId="230B6B4D">
      <w:pPr>
        <w:rPr>
          <w:rFonts w:ascii="黑体" w:hAnsi="宋体" w:eastAsia="黑体"/>
        </w:rPr>
      </w:pPr>
      <w:r>
        <w:rPr>
          <w:rFonts w:ascii="黑体" w:hAnsi="宋体" w:eastAsia="黑体"/>
        </w:rPr>
        <w:t>1</w:t>
      </w:r>
      <w:r>
        <w:rPr>
          <w:rFonts w:hint="eastAsia" w:ascii="黑体" w:hAnsi="宋体" w:eastAsia="黑体"/>
        </w:rPr>
        <w:t>3．招标文件的修改</w:t>
      </w:r>
    </w:p>
    <w:p w14:paraId="1600F5B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14:paraId="7221DD1A">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14:paraId="663514E4">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14:paraId="0D9A229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0"/>
    </w:p>
    <w:p w14:paraId="523E3B46">
      <w:pPr>
        <w:keepNext/>
        <w:keepLines/>
        <w:numPr>
          <w:ilvl w:val="0"/>
          <w:numId w:val="13"/>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投标文件的编制</w:t>
      </w:r>
    </w:p>
    <w:p w14:paraId="6F5D05EB">
      <w:pPr>
        <w:rPr>
          <w:rFonts w:ascii="黑体" w:hAnsi="宋体" w:eastAsia="黑体"/>
        </w:rPr>
      </w:pPr>
      <w:r>
        <w:rPr>
          <w:rFonts w:hint="eastAsia" w:ascii="黑体" w:hAnsi="宋体" w:eastAsia="黑体"/>
        </w:rPr>
        <w:t>14．</w:t>
      </w:r>
      <w:bookmarkStart w:id="21" w:name="_Hlk72400236"/>
      <w:r>
        <w:rPr>
          <w:rFonts w:hint="eastAsia" w:ascii="黑体" w:hAnsi="宋体" w:eastAsia="黑体"/>
        </w:rPr>
        <w:t>投标文件的语言及度量单位</w:t>
      </w:r>
    </w:p>
    <w:p w14:paraId="380F372B">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6CB82007">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1"/>
    </w:p>
    <w:p w14:paraId="2B033CCF">
      <w:pPr>
        <w:rPr>
          <w:rFonts w:ascii="黑体" w:hAnsi="宋体" w:eastAsia="黑体"/>
        </w:rPr>
      </w:pPr>
      <w:r>
        <w:rPr>
          <w:rFonts w:hint="eastAsia" w:ascii="黑体" w:hAnsi="宋体" w:eastAsia="黑体"/>
        </w:rPr>
        <w:t>15．</w:t>
      </w:r>
      <w:bookmarkStart w:id="22" w:name="_Hlk72401567"/>
      <w:r>
        <w:rPr>
          <w:rFonts w:hint="eastAsia" w:ascii="黑体" w:hAnsi="宋体" w:eastAsia="黑体"/>
        </w:rPr>
        <w:t>投标文件的组成</w:t>
      </w:r>
    </w:p>
    <w:p w14:paraId="47935643">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14:paraId="112EACA0">
      <w:pPr>
        <w:rPr>
          <w:rFonts w:ascii="黑体" w:hAnsi="宋体" w:eastAsia="黑体"/>
        </w:rPr>
      </w:pPr>
      <w:r>
        <w:rPr>
          <w:rFonts w:ascii="黑体" w:hAnsi="宋体" w:eastAsia="黑体"/>
        </w:rPr>
        <w:t>16．投标文件格式</w:t>
      </w:r>
    </w:p>
    <w:p w14:paraId="6BB7D823">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14:paraId="118A7429">
      <w:pPr>
        <w:rPr>
          <w:rFonts w:ascii="黑体" w:hAnsi="宋体" w:eastAsia="黑体"/>
        </w:rPr>
      </w:pPr>
      <w:r>
        <w:rPr>
          <w:rFonts w:hint="eastAsia" w:ascii="黑体" w:hAnsi="宋体" w:eastAsia="黑体"/>
        </w:rPr>
        <w:t>17．投标货币</w:t>
      </w:r>
    </w:p>
    <w:p w14:paraId="69674BAA">
      <w:pPr>
        <w:ind w:firstLine="470" w:firstLineChars="196"/>
        <w:rPr>
          <w:rFonts w:ascii="宋体" w:hAnsi="宋体" w:eastAsia="宋体"/>
          <w:szCs w:val="21"/>
        </w:rPr>
      </w:pPr>
      <w:r>
        <w:rPr>
          <w:rFonts w:hint="eastAsia" w:ascii="宋体" w:hAnsi="宋体" w:eastAsia="宋体"/>
          <w:szCs w:val="21"/>
        </w:rPr>
        <w:t>本项目的投标报价应以人民币计。</w:t>
      </w:r>
      <w:bookmarkEnd w:id="22"/>
    </w:p>
    <w:p w14:paraId="0F5ED652">
      <w:pPr>
        <w:rPr>
          <w:rFonts w:ascii="黑体" w:hAnsi="宋体" w:eastAsia="黑体"/>
        </w:rPr>
      </w:pPr>
      <w:r>
        <w:rPr>
          <w:rFonts w:hint="eastAsia" w:ascii="黑体" w:hAnsi="宋体" w:eastAsia="黑体"/>
        </w:rPr>
        <w:t>18．</w:t>
      </w:r>
      <w:bookmarkStart w:id="23" w:name="_Hlk72401735"/>
      <w:r>
        <w:rPr>
          <w:rFonts w:hint="eastAsia" w:ascii="黑体" w:hAnsi="宋体" w:eastAsia="黑体"/>
        </w:rPr>
        <w:t>证明投标文件投标技术方案的合格性和符合招标文件规定的文件要求</w:t>
      </w:r>
    </w:p>
    <w:p w14:paraId="483BF9C4">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14:paraId="39A42AA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4E6144A7">
      <w:pPr>
        <w:ind w:firstLine="470" w:firstLineChars="196"/>
        <w:rPr>
          <w:rFonts w:ascii="宋体" w:hAnsi="宋体" w:eastAsia="宋体"/>
          <w:szCs w:val="21"/>
        </w:rPr>
      </w:pPr>
      <w:r>
        <w:rPr>
          <w:rFonts w:hint="eastAsia" w:ascii="宋体" w:hAnsi="宋体" w:eastAsia="宋体"/>
          <w:szCs w:val="21"/>
        </w:rPr>
        <w:t>18.2.1主要技术指标和性能的详细说明。</w:t>
      </w:r>
    </w:p>
    <w:p w14:paraId="0C364412">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14:paraId="0FC4249E">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6FAEEB39">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w:t>
      </w:r>
      <w:r>
        <w:rPr>
          <w:rFonts w:hint="eastAsia" w:eastAsia="宋体"/>
          <w:lang w:eastAsia="zh-CN"/>
        </w:rPr>
        <w:t>电脑</w:t>
      </w:r>
      <w:r>
        <w:rPr>
          <w:rFonts w:hint="eastAsia" w:eastAsia="宋体"/>
        </w:rPr>
        <w:t>阅读、识别和判断</w:t>
      </w:r>
      <w:r>
        <w:rPr>
          <w:rFonts w:hint="eastAsia" w:ascii="宋体" w:hAnsi="宋体" w:eastAsia="宋体"/>
          <w:szCs w:val="21"/>
        </w:rPr>
        <w:t>；</w:t>
      </w:r>
    </w:p>
    <w:p w14:paraId="421AA8DF">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w:t>
      </w:r>
      <w:r>
        <w:rPr>
          <w:rFonts w:hint="eastAsia" w:ascii="宋体" w:hAnsi="宋体" w:eastAsia="宋体"/>
          <w:szCs w:val="21"/>
          <w:lang w:eastAsia="zh-CN"/>
        </w:rPr>
        <w:t>电脑上</w:t>
      </w:r>
      <w:r>
        <w:rPr>
          <w:rFonts w:hint="eastAsia" w:ascii="宋体" w:hAnsi="宋体" w:eastAsia="宋体"/>
          <w:szCs w:val="21"/>
        </w:rPr>
        <w:t>被阅读、识别和判断。</w:t>
      </w:r>
    </w:p>
    <w:p w14:paraId="050CDA1D">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14:paraId="5831EC9D">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14:paraId="360FE1E4">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3"/>
    </w:p>
    <w:p w14:paraId="5AE79815">
      <w:pPr>
        <w:rPr>
          <w:rFonts w:ascii="黑体" w:hAnsi="宋体" w:eastAsia="黑体"/>
        </w:rPr>
      </w:pPr>
      <w:r>
        <w:rPr>
          <w:rFonts w:hint="eastAsia" w:ascii="黑体" w:hAnsi="宋体" w:eastAsia="黑体"/>
        </w:rPr>
        <w:t>19．</w:t>
      </w:r>
      <w:bookmarkStart w:id="24" w:name="_Hlk72402034"/>
      <w:r>
        <w:rPr>
          <w:rFonts w:hint="eastAsia" w:ascii="黑体" w:hAnsi="宋体" w:eastAsia="黑体"/>
        </w:rPr>
        <w:t>投标文件其他证明文件的要求</w:t>
      </w:r>
    </w:p>
    <w:p w14:paraId="1845C1B7">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w:t>
      </w:r>
      <w:r>
        <w:rPr>
          <w:rFonts w:hint="eastAsia" w:ascii="宋体" w:hAnsi="宋体" w:eastAsia="宋体"/>
          <w:szCs w:val="21"/>
          <w:lang w:eastAsia="zh-CN"/>
        </w:rPr>
        <w:t>班班通</w:t>
      </w:r>
      <w:r>
        <w:rPr>
          <w:rFonts w:hint="eastAsia" w:ascii="宋体" w:hAnsi="宋体" w:eastAsia="宋体"/>
          <w:szCs w:val="21"/>
        </w:rPr>
        <w:t>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5" w:name="_Hlk71407299"/>
      <w:bookmarkEnd w:id="25"/>
    </w:p>
    <w:p w14:paraId="7DC2DCE5">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6B9B2419">
      <w:pPr>
        <w:rPr>
          <w:rFonts w:ascii="黑体" w:hAnsi="宋体" w:eastAsia="黑体"/>
        </w:rPr>
      </w:pPr>
      <w:r>
        <w:rPr>
          <w:rFonts w:hint="eastAsia" w:ascii="黑体" w:hAnsi="宋体" w:eastAsia="黑体"/>
        </w:rPr>
        <w:t>20．投标有效期</w:t>
      </w:r>
    </w:p>
    <w:bookmarkEnd w:id="24"/>
    <w:p w14:paraId="37598FE6">
      <w:pPr>
        <w:ind w:firstLine="470" w:firstLineChars="196"/>
        <w:rPr>
          <w:rFonts w:ascii="宋体" w:hAnsi="宋体" w:eastAsia="宋体"/>
          <w:szCs w:val="21"/>
        </w:rPr>
      </w:pPr>
      <w:bookmarkStart w:id="26"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14:paraId="2E9841BB">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F640F3A">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6"/>
    </w:p>
    <w:p w14:paraId="6D39F2AC">
      <w:pPr>
        <w:rPr>
          <w:rFonts w:ascii="黑体" w:hAnsi="宋体" w:eastAsia="黑体"/>
        </w:rPr>
      </w:pPr>
      <w:r>
        <w:rPr>
          <w:rFonts w:hint="eastAsia" w:ascii="黑体" w:hAnsi="宋体" w:eastAsia="黑体"/>
        </w:rPr>
        <w:t>21．</w:t>
      </w:r>
      <w:bookmarkStart w:id="27" w:name="_Hlk72402325"/>
      <w:r>
        <w:rPr>
          <w:rFonts w:hint="eastAsia" w:ascii="黑体" w:hAnsi="宋体" w:eastAsia="黑体"/>
        </w:rPr>
        <w:t xml:space="preserve">关于投标保证金 </w:t>
      </w:r>
    </w:p>
    <w:p w14:paraId="3CE05043">
      <w:pPr>
        <w:pStyle w:val="11"/>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14:paraId="7288674C">
      <w:pPr>
        <w:rPr>
          <w:rFonts w:ascii="黑体" w:hAnsi="宋体" w:eastAsia="黑体"/>
        </w:rPr>
      </w:pPr>
      <w:r>
        <w:rPr>
          <w:rFonts w:hint="eastAsia" w:ascii="黑体" w:hAnsi="宋体" w:eastAsia="黑体"/>
        </w:rPr>
        <w:t>22．投标人的替代方案</w:t>
      </w:r>
    </w:p>
    <w:p w14:paraId="4F5160A8">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426D0F4F">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7"/>
    </w:p>
    <w:p w14:paraId="2A28A035">
      <w:pPr>
        <w:rPr>
          <w:rFonts w:ascii="黑体" w:hAnsi="宋体" w:eastAsia="黑体"/>
        </w:rPr>
      </w:pPr>
      <w:r>
        <w:rPr>
          <w:rFonts w:hint="eastAsia" w:ascii="黑体" w:hAnsi="宋体" w:eastAsia="黑体"/>
        </w:rPr>
        <w:t>23．</w:t>
      </w:r>
      <w:bookmarkStart w:id="28"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14:paraId="30958307">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14:paraId="66CC68FF">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w:t>
      </w:r>
      <w:r>
        <w:rPr>
          <w:rFonts w:hint="eastAsia" w:ascii="宋体" w:hAnsi="宋体" w:eastAsia="宋体"/>
          <w:lang w:eastAsia="zh-CN"/>
        </w:rPr>
        <w:t>班班通</w:t>
      </w:r>
      <w:r>
        <w:rPr>
          <w:rFonts w:hint="eastAsia" w:ascii="宋体" w:hAnsi="宋体" w:eastAsia="宋体"/>
        </w:rPr>
        <w:t>、网络等原因导致不能在投标截止时间之前上传投标文件，供应商自行承担。建议于开标前一个工作日完成投标文件的制作与上传，如上传确有困难，请及时咨询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14:paraId="33528075">
      <w:pPr>
        <w:ind w:firstLine="470" w:firstLineChars="196"/>
        <w:rPr>
          <w:rFonts w:ascii="宋体" w:hAnsi="宋体" w:eastAsia="宋体"/>
        </w:rPr>
      </w:pPr>
      <w:r>
        <w:rPr>
          <w:rFonts w:hint="eastAsia" w:ascii="宋体" w:hAnsi="宋体" w:eastAsia="宋体"/>
        </w:rPr>
        <w:t>23.3电报、电话、传真形式的投标概不接受。</w:t>
      </w:r>
    </w:p>
    <w:p w14:paraId="16714706">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28"/>
    </w:p>
    <w:p w14:paraId="6291C866">
      <w:pPr>
        <w:keepNext/>
        <w:keepLines/>
        <w:numPr>
          <w:ilvl w:val="0"/>
          <w:numId w:val="13"/>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投标文件的递交</w:t>
      </w:r>
    </w:p>
    <w:p w14:paraId="53E2BF49">
      <w:pPr>
        <w:jc w:val="center"/>
        <w:rPr>
          <w:rFonts w:ascii="宋体" w:hAnsi="宋体" w:eastAsia="宋体" w:cs="宋体"/>
        </w:rPr>
      </w:pPr>
      <w:bookmarkStart w:id="29" w:name="_Hlk72405459"/>
      <w:r>
        <w:rPr>
          <w:rFonts w:hint="eastAsia" w:ascii="黑体" w:hAnsi="宋体" w:eastAsia="黑体"/>
        </w:rPr>
        <w:t>24．电子加密投标文件上传至政府采购云平台投标客户端</w:t>
      </w:r>
    </w:p>
    <w:p w14:paraId="533AD9A1">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14:paraId="02C2FE8D">
      <w:pPr>
        <w:jc w:val="center"/>
        <w:rPr>
          <w:rFonts w:eastAsia="宋体"/>
        </w:rPr>
      </w:pPr>
    </w:p>
    <w:bookmarkEnd w:id="29"/>
    <w:p w14:paraId="5BEA7532">
      <w:pPr>
        <w:rPr>
          <w:rFonts w:ascii="黑体" w:hAnsi="宋体" w:eastAsia="黑体"/>
        </w:rPr>
      </w:pPr>
      <w:bookmarkStart w:id="30"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14:paraId="358F6E20">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14:paraId="09AB1966">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14:paraId="01CDC30A">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14:paraId="72AFCED8">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0"/>
    </w:p>
    <w:p w14:paraId="4837BF2D">
      <w:pPr>
        <w:keepNext/>
        <w:keepLines/>
        <w:numPr>
          <w:ilvl w:val="0"/>
          <w:numId w:val="13"/>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开标</w:t>
      </w:r>
    </w:p>
    <w:p w14:paraId="4E0E7DCF">
      <w:pPr>
        <w:rPr>
          <w:rFonts w:ascii="黑体" w:hAnsi="宋体" w:eastAsia="黑体"/>
        </w:rPr>
      </w:pPr>
      <w:r>
        <w:rPr>
          <w:rFonts w:hint="eastAsia" w:ascii="黑体" w:hAnsi="宋体" w:eastAsia="黑体"/>
        </w:rPr>
        <w:t>28．开标</w:t>
      </w:r>
    </w:p>
    <w:p w14:paraId="57553B22">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14:paraId="47411CF0">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14:paraId="01BCE63A">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14:paraId="3AE171B3">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14:paraId="4EAD725B">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14:paraId="7F6CB3FF">
      <w:pPr>
        <w:keepNext/>
        <w:keepLines/>
        <w:numPr>
          <w:ilvl w:val="0"/>
          <w:numId w:val="13"/>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评审要求</w:t>
      </w:r>
    </w:p>
    <w:p w14:paraId="359EF435">
      <w:pPr>
        <w:rPr>
          <w:rFonts w:ascii="黑体" w:hAnsi="宋体" w:eastAsia="黑体"/>
          <w:color w:val="auto"/>
        </w:rPr>
      </w:pPr>
      <w:r>
        <w:rPr>
          <w:rFonts w:hint="eastAsia" w:ascii="黑体" w:hAnsi="宋体" w:eastAsia="黑体"/>
          <w:color w:val="auto"/>
        </w:rPr>
        <w:t>评审委员会组成</w:t>
      </w:r>
    </w:p>
    <w:p w14:paraId="7DC8D36B">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1"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1"/>
    </w:p>
    <w:p w14:paraId="40C5EB4A">
      <w:pPr>
        <w:ind w:firstLine="470" w:firstLineChars="196"/>
        <w:rPr>
          <w:rFonts w:ascii="宋体" w:hAnsi="宋体" w:eastAsia="宋体"/>
        </w:rPr>
      </w:pPr>
      <w:r>
        <w:rPr>
          <w:rFonts w:hint="eastAsia" w:ascii="宋体" w:hAnsi="宋体" w:eastAsia="宋体"/>
        </w:rPr>
        <w:t>29.2评审定标应当遵循公平、公正、科学、择优的原则。</w:t>
      </w:r>
    </w:p>
    <w:p w14:paraId="25B26886">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14:paraId="714A2880">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14:paraId="1AB4D97C">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w:t>
      </w:r>
      <w:r>
        <w:rPr>
          <w:rFonts w:hint="eastAsia" w:ascii="宋体" w:hAnsi="宋体" w:eastAsia="宋体"/>
          <w:bCs/>
          <w:lang w:eastAsia="zh-CN"/>
        </w:rPr>
        <w:t>不公开</w:t>
      </w:r>
      <w:r>
        <w:rPr>
          <w:rFonts w:hint="eastAsia" w:ascii="宋体" w:hAnsi="宋体" w:eastAsia="宋体"/>
          <w:bCs/>
        </w:rPr>
        <w:t>（</w:t>
      </w:r>
      <w:r>
        <w:rPr>
          <w:rFonts w:hint="eastAsia" w:eastAsia="宋体"/>
        </w:rPr>
        <w:t>信息公开的内容除外</w:t>
      </w:r>
      <w:r>
        <w:rPr>
          <w:rFonts w:hint="eastAsia" w:ascii="宋体" w:hAnsi="宋体" w:eastAsia="宋体"/>
          <w:bCs/>
        </w:rPr>
        <w:t>）。</w:t>
      </w:r>
    </w:p>
    <w:p w14:paraId="64A093DD">
      <w:pPr>
        <w:rPr>
          <w:rFonts w:ascii="黑体" w:hAnsi="宋体" w:eastAsia="黑体"/>
        </w:rPr>
      </w:pPr>
      <w:r>
        <w:rPr>
          <w:rFonts w:hint="eastAsia" w:ascii="黑体" w:hAnsi="宋体" w:eastAsia="黑体"/>
        </w:rPr>
        <w:t>30．向评审委员会提供的资料</w:t>
      </w:r>
    </w:p>
    <w:p w14:paraId="5A1C10E3">
      <w:pPr>
        <w:ind w:firstLine="470" w:firstLineChars="196"/>
        <w:rPr>
          <w:rFonts w:ascii="宋体" w:hAnsi="宋体" w:eastAsia="宋体"/>
        </w:rPr>
      </w:pPr>
      <w:r>
        <w:rPr>
          <w:rFonts w:hint="eastAsia" w:ascii="宋体" w:hAnsi="宋体" w:eastAsia="宋体"/>
        </w:rPr>
        <w:t>30.1公开发布的招标文件，包括图纸、服务清单、答疑文件等；</w:t>
      </w:r>
    </w:p>
    <w:p w14:paraId="1E329707">
      <w:pPr>
        <w:ind w:firstLine="470" w:firstLineChars="196"/>
        <w:rPr>
          <w:rFonts w:ascii="宋体" w:hAnsi="宋体" w:eastAsia="宋体"/>
        </w:rPr>
      </w:pPr>
      <w:r>
        <w:rPr>
          <w:rFonts w:hint="eastAsia" w:ascii="宋体" w:hAnsi="宋体" w:eastAsia="宋体"/>
        </w:rPr>
        <w:t>30.2其他评标必须的资料。</w:t>
      </w:r>
    </w:p>
    <w:p w14:paraId="04C8E862">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14:paraId="4A6FDBD0">
      <w:pPr>
        <w:ind w:firstLine="470" w:firstLineChars="196"/>
        <w:rPr>
          <w:rFonts w:ascii="宋体" w:hAnsi="宋体" w:eastAsia="宋体"/>
        </w:rPr>
      </w:pPr>
      <w:r>
        <w:rPr>
          <w:rFonts w:hint="eastAsia" w:ascii="宋体" w:hAnsi="宋体" w:eastAsia="宋体"/>
        </w:rPr>
        <w:t>（1）招标的目的；</w:t>
      </w:r>
    </w:p>
    <w:p w14:paraId="6E076227">
      <w:pPr>
        <w:ind w:firstLine="470" w:firstLineChars="196"/>
        <w:rPr>
          <w:rFonts w:ascii="宋体" w:hAnsi="宋体" w:eastAsia="宋体"/>
        </w:rPr>
      </w:pPr>
      <w:r>
        <w:rPr>
          <w:rFonts w:hint="eastAsia" w:ascii="宋体" w:hAnsi="宋体" w:eastAsia="宋体"/>
        </w:rPr>
        <w:t>（2）招标项目需求的范围和性质；</w:t>
      </w:r>
    </w:p>
    <w:p w14:paraId="7279F9C4">
      <w:pPr>
        <w:ind w:firstLine="470" w:firstLineChars="196"/>
        <w:rPr>
          <w:rFonts w:ascii="宋体" w:hAnsi="宋体" w:eastAsia="宋体"/>
        </w:rPr>
      </w:pPr>
      <w:r>
        <w:rPr>
          <w:rFonts w:hint="eastAsia" w:ascii="宋体" w:hAnsi="宋体" w:eastAsia="宋体"/>
        </w:rPr>
        <w:t>（3）招标文件规定的投标人的资格、财政预算限额、商务条款；</w:t>
      </w:r>
    </w:p>
    <w:p w14:paraId="7138B2CB">
      <w:pPr>
        <w:ind w:firstLine="470" w:firstLineChars="196"/>
        <w:rPr>
          <w:rFonts w:ascii="宋体" w:hAnsi="宋体" w:eastAsia="宋体"/>
        </w:rPr>
      </w:pPr>
      <w:r>
        <w:rPr>
          <w:rFonts w:hint="eastAsia" w:ascii="宋体" w:hAnsi="宋体" w:eastAsia="宋体"/>
        </w:rPr>
        <w:t>（4）招标文件规定的评标程序、评标方法和评标因素；</w:t>
      </w:r>
    </w:p>
    <w:p w14:paraId="212EB5FF">
      <w:pPr>
        <w:ind w:firstLine="470" w:firstLineChars="196"/>
        <w:rPr>
          <w:rFonts w:ascii="宋体" w:hAnsi="宋体" w:eastAsia="宋体"/>
        </w:rPr>
      </w:pPr>
      <w:r>
        <w:rPr>
          <w:rFonts w:hint="eastAsia" w:ascii="宋体" w:hAnsi="宋体" w:eastAsia="宋体"/>
        </w:rPr>
        <w:t>（5）招标文件所列示的资格性审查表及符合性审查表。</w:t>
      </w:r>
    </w:p>
    <w:p w14:paraId="44204D01">
      <w:pPr>
        <w:rPr>
          <w:rFonts w:ascii="黑体" w:hAnsi="宋体" w:eastAsia="黑体"/>
        </w:rPr>
      </w:pPr>
      <w:r>
        <w:rPr>
          <w:rFonts w:hint="eastAsia" w:ascii="黑体" w:hAnsi="宋体" w:eastAsia="黑体"/>
        </w:rPr>
        <w:t>31．独立评审</w:t>
      </w:r>
    </w:p>
    <w:p w14:paraId="6A4A5528">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14:paraId="600025CD">
      <w:pPr>
        <w:keepNext/>
        <w:keepLines/>
        <w:numPr>
          <w:ilvl w:val="0"/>
          <w:numId w:val="13"/>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评审程序及评审方法</w:t>
      </w:r>
    </w:p>
    <w:p w14:paraId="5E29EE58">
      <w:pPr>
        <w:rPr>
          <w:rFonts w:ascii="黑体" w:hAnsi="宋体" w:eastAsia="黑体"/>
        </w:rPr>
      </w:pPr>
      <w:r>
        <w:rPr>
          <w:rFonts w:hint="eastAsia" w:ascii="黑体" w:hAnsi="宋体" w:eastAsia="黑体"/>
        </w:rPr>
        <w:t>32．投标文件初审</w:t>
      </w:r>
    </w:p>
    <w:p w14:paraId="5E491D8F">
      <w:pPr>
        <w:ind w:firstLine="470" w:firstLineChars="196"/>
        <w:rPr>
          <w:rFonts w:ascii="宋体" w:hAnsi="宋体" w:eastAsia="宋体"/>
        </w:rPr>
      </w:pPr>
      <w:r>
        <w:rPr>
          <w:rFonts w:hint="eastAsia" w:ascii="宋体" w:hAnsi="宋体" w:eastAsia="宋体"/>
        </w:rPr>
        <w:t>32.1投标文件初审包括资格性审查和符合性审查。</w:t>
      </w:r>
    </w:p>
    <w:p w14:paraId="2A1A5698">
      <w:pPr>
        <w:ind w:firstLine="470" w:firstLineChars="196"/>
        <w:rPr>
          <w:rFonts w:ascii="宋体" w:hAnsi="宋体" w:eastAsia="宋体"/>
        </w:rPr>
      </w:pPr>
      <w:r>
        <w:rPr>
          <w:rFonts w:hint="eastAsia" w:ascii="宋体" w:hAnsi="宋体" w:eastAsia="宋体"/>
        </w:rPr>
        <w:t>资格性审查：</w:t>
      </w:r>
      <w:r>
        <w:rPr>
          <w:rFonts w:hint="eastAsia" w:ascii="宋体" w:hAnsi="宋体" w:eastAsia="宋体"/>
          <w:lang w:eastAsia="zh-CN"/>
        </w:rPr>
        <w:t>业主</w:t>
      </w:r>
      <w:r>
        <w:rPr>
          <w:rFonts w:hint="eastAsia" w:ascii="宋体" w:hAnsi="宋体" w:eastAsia="宋体"/>
        </w:rPr>
        <w:t>依据法律法规和招标文件的规定，对投标文件中的资格证明等进行审查，以确定投标供应商是否具备投标资格。</w:t>
      </w:r>
    </w:p>
    <w:p w14:paraId="1A307952">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14:paraId="0401E0F9">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14:paraId="51CC51F9">
      <w:pPr>
        <w:ind w:firstLine="470" w:firstLineChars="196"/>
        <w:rPr>
          <w:rFonts w:ascii="宋体" w:hAnsi="宋体" w:eastAsia="宋体"/>
          <w:bCs/>
        </w:rPr>
      </w:pPr>
      <w:r>
        <w:rPr>
          <w:rFonts w:hint="eastAsia" w:ascii="宋体" w:hAnsi="宋体" w:eastAsia="宋体"/>
          <w:bCs/>
        </w:rPr>
        <w:t>32.3 投标文件初审中关于供应商家数的计算:</w:t>
      </w:r>
    </w:p>
    <w:p w14:paraId="7CD3BB64">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BA7256E">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14:paraId="33BC9BF3">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14:paraId="19DF228A">
      <w:pPr>
        <w:ind w:firstLine="470" w:firstLineChars="196"/>
        <w:rPr>
          <w:rFonts w:ascii="宋体" w:hAnsi="宋体" w:eastAsia="宋体"/>
        </w:rPr>
      </w:pPr>
      <w:r>
        <w:rPr>
          <w:rFonts w:hint="eastAsia" w:ascii="宋体" w:hAnsi="宋体" w:eastAsia="宋体"/>
        </w:rPr>
        <w:t>32.4投标人投标文件作无效处理的情形，具体包括但不限于以下：</w:t>
      </w:r>
    </w:p>
    <w:p w14:paraId="712A722B">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14:paraId="0A9AFCA5">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14:paraId="0DF73EF6">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14:paraId="5FECF0E6">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14:paraId="651662F3">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14:paraId="3316B728">
      <w:pPr>
        <w:ind w:firstLine="470" w:firstLineChars="196"/>
        <w:rPr>
          <w:rFonts w:ascii="宋体" w:hAnsi="宋体" w:eastAsia="宋体"/>
        </w:rPr>
      </w:pPr>
      <w:r>
        <w:rPr>
          <w:rFonts w:hint="eastAsia" w:ascii="宋体" w:hAnsi="宋体" w:eastAsia="宋体"/>
        </w:rPr>
        <w:t>32.4.6投标供应商之间相互约定给予未中标的供应商利益补偿；</w:t>
      </w:r>
    </w:p>
    <w:p w14:paraId="1277E65E">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14:paraId="22A4326B">
      <w:pPr>
        <w:ind w:firstLine="470" w:firstLineChars="196"/>
        <w:rPr>
          <w:rFonts w:ascii="宋体" w:hAnsi="宋体" w:eastAsia="宋体"/>
        </w:rPr>
      </w:pPr>
      <w:r>
        <w:rPr>
          <w:rFonts w:hint="eastAsia" w:ascii="宋体" w:hAnsi="宋体" w:eastAsia="宋体"/>
        </w:rPr>
        <w:t>32.4.8不同投标供应商的投标文件内容存在非正常一致；</w:t>
      </w:r>
    </w:p>
    <w:p w14:paraId="553A9A0E">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14:paraId="1D6DB33E">
      <w:pPr>
        <w:ind w:firstLine="470" w:firstLineChars="196"/>
        <w:rPr>
          <w:rFonts w:ascii="宋体" w:hAnsi="宋体" w:eastAsia="宋体"/>
        </w:rPr>
      </w:pPr>
      <w:r>
        <w:rPr>
          <w:rFonts w:hint="eastAsia" w:ascii="宋体" w:hAnsi="宋体" w:eastAsia="宋体"/>
        </w:rPr>
        <w:t>32.4.10主管部门依照法律、法规认定的其他情形。</w:t>
      </w:r>
    </w:p>
    <w:p w14:paraId="67C46F05">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14:paraId="61DD6FF3">
      <w:pPr>
        <w:rPr>
          <w:rFonts w:ascii="黑体" w:hAnsi="宋体" w:eastAsia="黑体"/>
        </w:rPr>
      </w:pPr>
      <w:r>
        <w:rPr>
          <w:rFonts w:hint="eastAsia" w:ascii="黑体" w:hAnsi="宋体" w:eastAsia="黑体"/>
        </w:rPr>
        <w:t>33．澄清有关问题</w:t>
      </w:r>
    </w:p>
    <w:p w14:paraId="5133FD35">
      <w:pPr>
        <w:ind w:firstLine="470" w:firstLineChars="196"/>
        <w:rPr>
          <w:rFonts w:ascii="宋体" w:hAnsi="宋体" w:eastAsia="宋体"/>
        </w:rPr>
      </w:pPr>
      <w:bookmarkStart w:id="32"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2"/>
    </w:p>
    <w:p w14:paraId="204ED498">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14:paraId="42AA44FA">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14:paraId="55E0D149">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1FD76D7">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14:paraId="08E47831">
      <w:pPr>
        <w:rPr>
          <w:rFonts w:ascii="黑体" w:hAnsi="宋体" w:eastAsia="黑体"/>
        </w:rPr>
      </w:pPr>
      <w:bookmarkStart w:id="33" w:name="_Toc100052400"/>
      <w:bookmarkStart w:id="34" w:name="_Toc73521581"/>
      <w:bookmarkStart w:id="35" w:name="_Toc73517673"/>
      <w:bookmarkStart w:id="36" w:name="_Toc73518151"/>
      <w:bookmarkStart w:id="37" w:name="_Toc73521669"/>
      <w:r>
        <w:rPr>
          <w:rFonts w:hint="eastAsia" w:ascii="黑体" w:hAnsi="宋体" w:eastAsia="黑体"/>
        </w:rPr>
        <w:t>34．错误的修正</w:t>
      </w:r>
      <w:bookmarkEnd w:id="33"/>
      <w:bookmarkEnd w:id="34"/>
      <w:bookmarkEnd w:id="35"/>
      <w:bookmarkEnd w:id="36"/>
      <w:bookmarkEnd w:id="37"/>
    </w:p>
    <w:p w14:paraId="6FE673DC">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14:paraId="36B931A6">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14:paraId="62AD856A">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14:paraId="7F47BB78">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14:paraId="27BC5B86">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14:paraId="4C38BF3E">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14:paraId="1D3FE10E">
      <w:pPr>
        <w:rPr>
          <w:rFonts w:ascii="黑体" w:hAnsi="宋体" w:eastAsia="黑体"/>
        </w:rPr>
      </w:pPr>
      <w:r>
        <w:rPr>
          <w:rFonts w:hint="eastAsia" w:ascii="黑体" w:hAnsi="宋体" w:eastAsia="黑体"/>
        </w:rPr>
        <w:t>35．投标文件的比较与评价</w:t>
      </w:r>
    </w:p>
    <w:p w14:paraId="041A4761">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14:paraId="6BCE5C47">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14:paraId="0AC40DD7">
      <w:pPr>
        <w:rPr>
          <w:rFonts w:ascii="黑体" w:hAnsi="宋体" w:eastAsia="黑体"/>
        </w:rPr>
      </w:pPr>
      <w:r>
        <w:rPr>
          <w:rFonts w:hint="eastAsia" w:ascii="黑体" w:hAnsi="宋体" w:eastAsia="黑体"/>
        </w:rPr>
        <w:t>36. 实地考察或资料查验</w:t>
      </w:r>
    </w:p>
    <w:p w14:paraId="691C0CC1">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14:paraId="6F62564A">
      <w:pPr>
        <w:rPr>
          <w:rFonts w:ascii="黑体" w:hAnsi="宋体" w:eastAsia="黑体"/>
        </w:rPr>
      </w:pPr>
      <w:r>
        <w:rPr>
          <w:rFonts w:hint="eastAsia" w:ascii="黑体" w:hAnsi="宋体" w:eastAsia="黑体"/>
        </w:rPr>
        <w:t>37．评审方法</w:t>
      </w:r>
    </w:p>
    <w:p w14:paraId="32D9E5FB">
      <w:pPr>
        <w:ind w:firstLine="472" w:firstLineChars="196"/>
        <w:rPr>
          <w:rFonts w:ascii="宋体" w:hAnsi="宋体" w:eastAsia="宋体"/>
          <w:b/>
          <w:bCs/>
          <w:szCs w:val="21"/>
        </w:rPr>
      </w:pPr>
      <w:r>
        <w:rPr>
          <w:rFonts w:hint="eastAsia" w:ascii="宋体" w:hAnsi="宋体" w:eastAsia="宋体"/>
          <w:b/>
          <w:bCs/>
          <w:szCs w:val="21"/>
        </w:rPr>
        <w:t>37.1.1最低价法</w:t>
      </w:r>
    </w:p>
    <w:p w14:paraId="001F9339">
      <w:pPr>
        <w:ind w:firstLine="470" w:firstLineChars="196"/>
        <w:rPr>
          <w:rFonts w:ascii="ˎ̥" w:hAnsi="ˎ̥" w:eastAsia="宋体"/>
        </w:rPr>
      </w:pPr>
      <w:bookmarkStart w:id="38"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14:paraId="0F636F09">
      <w:pPr>
        <w:ind w:firstLine="472" w:firstLineChars="196"/>
        <w:rPr>
          <w:rFonts w:ascii="宋体" w:hAnsi="宋体" w:eastAsia="宋体"/>
          <w:b/>
          <w:bCs/>
          <w:szCs w:val="21"/>
        </w:rPr>
      </w:pPr>
      <w:r>
        <w:rPr>
          <w:rFonts w:hint="eastAsia" w:ascii="宋体" w:hAnsi="宋体" w:eastAsia="宋体"/>
          <w:b/>
          <w:bCs/>
          <w:szCs w:val="21"/>
        </w:rPr>
        <w:t>37.1.2综合评分法</w:t>
      </w:r>
    </w:p>
    <w:p w14:paraId="423F6F6C">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38"/>
    </w:p>
    <w:p w14:paraId="0B221361">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14:paraId="45C3075C">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14:paraId="625E07EA">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14:paraId="399125B9">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14:paraId="6765A30D">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14:paraId="23FF0C18">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14:paraId="690B1012">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14:paraId="08CFF002">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49F6B28">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14:paraId="289C9BC7">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14:paraId="1C8601D0">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14:paraId="52C3B1D3">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14:paraId="44BBA0D0">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14:paraId="7479A1CE">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14:paraId="25520C14">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14:paraId="75F308D2">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14:paraId="4BCFD380">
      <w:pPr>
        <w:keepNext/>
        <w:keepLines/>
        <w:numPr>
          <w:ilvl w:val="0"/>
          <w:numId w:val="13"/>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定标及公示</w:t>
      </w:r>
    </w:p>
    <w:p w14:paraId="70790987">
      <w:pPr>
        <w:rPr>
          <w:rFonts w:ascii="宋体" w:hAnsi="宋体" w:eastAsia="宋体"/>
          <w:szCs w:val="21"/>
        </w:rPr>
      </w:pPr>
      <w:r>
        <w:rPr>
          <w:rFonts w:hint="eastAsia" w:ascii="黑体" w:hAnsi="宋体" w:eastAsia="黑体"/>
        </w:rPr>
        <w:t>38．</w:t>
      </w:r>
      <w:bookmarkStart w:id="39" w:name="_Hlk73782795"/>
      <w:r>
        <w:rPr>
          <w:rFonts w:hint="eastAsia" w:ascii="黑体" w:hAnsi="宋体" w:eastAsia="黑体"/>
        </w:rPr>
        <w:t>中标候选人的确定原则及标准</w:t>
      </w:r>
    </w:p>
    <w:p w14:paraId="5AA9BA10">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14:paraId="3284CEEE">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0"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0"/>
      <w:r>
        <w:rPr>
          <w:rFonts w:ascii="ˎ̥" w:hAnsi="ˎ̥" w:eastAsia="宋体"/>
        </w:rPr>
        <w:t>）。</w:t>
      </w:r>
    </w:p>
    <w:p w14:paraId="562DEB33">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39"/>
    <w:p w14:paraId="6DF2A602">
      <w:pPr>
        <w:rPr>
          <w:rFonts w:ascii="黑体" w:hAnsi="宋体" w:eastAsia="黑体"/>
        </w:rPr>
      </w:pPr>
      <w:r>
        <w:rPr>
          <w:rFonts w:hint="eastAsia" w:ascii="黑体" w:hAnsi="宋体" w:eastAsia="黑体"/>
        </w:rPr>
        <w:t>39．编写评审报告</w:t>
      </w:r>
    </w:p>
    <w:p w14:paraId="6DE17568">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454567A">
      <w:pPr>
        <w:rPr>
          <w:rFonts w:ascii="黑体" w:hAnsi="宋体" w:eastAsia="黑体"/>
        </w:rPr>
      </w:pPr>
      <w:r>
        <w:rPr>
          <w:rFonts w:hint="eastAsia" w:ascii="黑体" w:hAnsi="宋体" w:eastAsia="黑体"/>
        </w:rPr>
        <w:t>40．中标公告</w:t>
      </w:r>
    </w:p>
    <w:p w14:paraId="0377E97E">
      <w:pPr>
        <w:ind w:firstLine="470" w:firstLineChars="196"/>
        <w:rPr>
          <w:rFonts w:ascii="宋体" w:hAnsi="宋体" w:eastAsia="宋体"/>
          <w:szCs w:val="21"/>
        </w:rPr>
      </w:pPr>
      <w:r>
        <w:rPr>
          <w:rFonts w:hint="eastAsia" w:ascii="宋体" w:hAnsi="宋体" w:eastAsia="宋体"/>
          <w:szCs w:val="21"/>
        </w:rPr>
        <w:t>40.1</w:t>
      </w:r>
      <w:bookmarkStart w:id="41"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1"/>
      <w:bookmarkStart w:id="42"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2"/>
    </w:p>
    <w:p w14:paraId="2F3A9B57">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14:paraId="3340BB4C">
      <w:pPr>
        <w:rPr>
          <w:rFonts w:ascii="黑体" w:hAnsi="宋体" w:eastAsia="黑体"/>
        </w:rPr>
      </w:pPr>
      <w:r>
        <w:rPr>
          <w:rFonts w:hint="eastAsia" w:ascii="黑体" w:hAnsi="宋体" w:eastAsia="黑体"/>
        </w:rPr>
        <w:t>41．中标通知书</w:t>
      </w:r>
    </w:p>
    <w:p w14:paraId="35FA3C05">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14:paraId="79826356">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14:paraId="486B5E60">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14:paraId="2EC55FF1">
      <w:pPr>
        <w:ind w:firstLine="470" w:firstLineChars="196"/>
        <w:rPr>
          <w:rFonts w:ascii="宋体" w:hAnsi="宋体" w:eastAsia="宋体"/>
          <w:szCs w:val="21"/>
        </w:rPr>
      </w:pPr>
      <w:bookmarkStart w:id="43"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3"/>
    </w:p>
    <w:p w14:paraId="2F8874E2">
      <w:pPr>
        <w:keepNext/>
        <w:keepLines/>
        <w:numPr>
          <w:ilvl w:val="0"/>
          <w:numId w:val="13"/>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公开招标失败的后续处理</w:t>
      </w:r>
    </w:p>
    <w:p w14:paraId="764218EC">
      <w:pPr>
        <w:rPr>
          <w:rFonts w:ascii="黑体" w:hAnsi="宋体" w:eastAsia="黑体"/>
        </w:rPr>
      </w:pPr>
      <w:r>
        <w:rPr>
          <w:rFonts w:hint="eastAsia" w:ascii="黑体" w:hAnsi="宋体" w:eastAsia="黑体"/>
        </w:rPr>
        <w:t>42．公开招标失败的处理</w:t>
      </w:r>
    </w:p>
    <w:p w14:paraId="7FDA9138">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14:paraId="337A177C">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14:paraId="10BD7778">
      <w:pPr>
        <w:ind w:firstLine="470" w:firstLineChars="196"/>
        <w:rPr>
          <w:rFonts w:ascii="宋体" w:hAnsi="宋体" w:eastAsia="宋体"/>
          <w:szCs w:val="21"/>
        </w:rPr>
      </w:pPr>
      <w:r>
        <w:rPr>
          <w:rFonts w:hint="eastAsia" w:ascii="宋体" w:hAnsi="宋体" w:eastAsia="宋体"/>
          <w:szCs w:val="21"/>
        </w:rPr>
        <w:t>42.3重新组织采购有以下两种组织形式：</w:t>
      </w:r>
    </w:p>
    <w:p w14:paraId="01A62E6E">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14:paraId="5B439B46">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14:paraId="27DC705D">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14:paraId="6CEC2980">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14:paraId="4E5F1E9D">
      <w:pPr>
        <w:keepNext/>
        <w:keepLines/>
        <w:numPr>
          <w:ilvl w:val="0"/>
          <w:numId w:val="13"/>
        </w:numPr>
        <w:adjustRightInd w:val="0"/>
        <w:spacing w:before="120" w:beforeLines="50" w:after="120" w:afterLines="50"/>
        <w:ind w:left="562" w:hanging="562"/>
        <w:jc w:val="center"/>
        <w:textAlignment w:val="baseline"/>
        <w:outlineLvl w:val="0"/>
        <w:rPr>
          <w:rFonts w:ascii="Cambria" w:hAnsi="Cambria" w:eastAsia="宋体"/>
          <w:b/>
          <w:bCs/>
          <w:sz w:val="28"/>
          <w:szCs w:val="28"/>
        </w:rPr>
      </w:pPr>
      <w:bookmarkStart w:id="44" w:name="_Hlk72439043"/>
      <w:r>
        <w:rPr>
          <w:rFonts w:hint="eastAsia" w:ascii="Cambria" w:hAnsi="Cambria" w:eastAsia="宋体"/>
          <w:b/>
          <w:bCs/>
          <w:sz w:val="28"/>
          <w:szCs w:val="28"/>
        </w:rPr>
        <w:t>合同的授予与备案</w:t>
      </w:r>
      <w:bookmarkEnd w:id="44"/>
    </w:p>
    <w:p w14:paraId="5F20F436">
      <w:pPr>
        <w:rPr>
          <w:rFonts w:ascii="黑体" w:hAnsi="宋体" w:eastAsia="黑体"/>
        </w:rPr>
      </w:pPr>
      <w:bookmarkStart w:id="45" w:name="_Toc73517679"/>
      <w:bookmarkStart w:id="46" w:name="_Toc73518157"/>
      <w:bookmarkStart w:id="47" w:name="_Toc100052408"/>
      <w:bookmarkStart w:id="48" w:name="_Toc73521586"/>
      <w:bookmarkStart w:id="49" w:name="_Toc73521674"/>
      <w:bookmarkStart w:id="50" w:name="_Hlk72439088"/>
      <w:r>
        <w:rPr>
          <w:rFonts w:hint="eastAsia" w:ascii="黑体" w:hAnsi="宋体" w:eastAsia="黑体"/>
        </w:rPr>
        <w:t>43．合同授予标准</w:t>
      </w:r>
      <w:bookmarkEnd w:id="45"/>
      <w:bookmarkEnd w:id="46"/>
      <w:bookmarkEnd w:id="47"/>
      <w:bookmarkEnd w:id="48"/>
      <w:bookmarkEnd w:id="49"/>
    </w:p>
    <w:p w14:paraId="36A13CAA">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14:paraId="689DC4E1">
      <w:pPr>
        <w:rPr>
          <w:rFonts w:ascii="黑体" w:hAnsi="宋体" w:eastAsia="黑体"/>
        </w:rPr>
      </w:pPr>
      <w:bookmarkStart w:id="51" w:name="_Toc73521675"/>
      <w:bookmarkStart w:id="52" w:name="_Toc73517680"/>
      <w:bookmarkStart w:id="53" w:name="_Toc73521587"/>
      <w:bookmarkStart w:id="54" w:name="_Toc100052409"/>
      <w:bookmarkStart w:id="55" w:name="_Toc73518158"/>
      <w:r>
        <w:rPr>
          <w:rFonts w:hint="eastAsia" w:ascii="黑体" w:hAnsi="宋体" w:eastAsia="黑体"/>
        </w:rPr>
        <w:t>44．</w:t>
      </w:r>
      <w:bookmarkEnd w:id="51"/>
      <w:bookmarkEnd w:id="52"/>
      <w:bookmarkEnd w:id="53"/>
      <w:bookmarkEnd w:id="54"/>
      <w:bookmarkEnd w:id="55"/>
      <w:r>
        <w:rPr>
          <w:rFonts w:hint="eastAsia" w:ascii="黑体" w:hAnsi="宋体" w:eastAsia="黑体"/>
        </w:rPr>
        <w:t>接受和拒绝任何或所有投标的权力</w:t>
      </w:r>
    </w:p>
    <w:p w14:paraId="6E75D818">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1C604B08">
      <w:pPr>
        <w:rPr>
          <w:rFonts w:ascii="黑体" w:hAnsi="宋体" w:eastAsia="黑体"/>
        </w:rPr>
      </w:pPr>
      <w:bookmarkStart w:id="56" w:name="_Toc73521589"/>
      <w:bookmarkStart w:id="57" w:name="_Toc73521677"/>
      <w:bookmarkStart w:id="58" w:name="_Toc73518160"/>
      <w:bookmarkStart w:id="59" w:name="_Toc73517682"/>
      <w:bookmarkStart w:id="60" w:name="_Toc100052410"/>
      <w:r>
        <w:rPr>
          <w:rFonts w:hint="eastAsia" w:ascii="黑体" w:hAnsi="宋体" w:eastAsia="黑体"/>
        </w:rPr>
        <w:t>45．合同的签订</w:t>
      </w:r>
      <w:bookmarkEnd w:id="56"/>
      <w:bookmarkEnd w:id="57"/>
      <w:bookmarkEnd w:id="58"/>
      <w:bookmarkEnd w:id="59"/>
      <w:bookmarkEnd w:id="60"/>
    </w:p>
    <w:p w14:paraId="5CE87CFA">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14:paraId="55667470">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14:paraId="1A36FE3B">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14:paraId="68C892B7">
      <w:pPr>
        <w:rPr>
          <w:rFonts w:ascii="黑体" w:hAnsi="宋体" w:eastAsia="黑体"/>
        </w:rPr>
      </w:pPr>
      <w:bookmarkStart w:id="61" w:name="_Toc73521590"/>
      <w:bookmarkStart w:id="62" w:name="_Toc73518161"/>
      <w:bookmarkStart w:id="63" w:name="_Toc100052411"/>
      <w:bookmarkStart w:id="64" w:name="_Toc73517683"/>
      <w:bookmarkStart w:id="65" w:name="_Toc73521678"/>
      <w:r>
        <w:rPr>
          <w:rFonts w:hint="eastAsia" w:ascii="黑体" w:hAnsi="宋体" w:eastAsia="黑体"/>
        </w:rPr>
        <w:t>46．履约担保</w:t>
      </w:r>
      <w:bookmarkEnd w:id="61"/>
      <w:bookmarkEnd w:id="62"/>
      <w:bookmarkEnd w:id="63"/>
      <w:bookmarkEnd w:id="64"/>
      <w:bookmarkEnd w:id="65"/>
    </w:p>
    <w:p w14:paraId="076B4C21">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14:paraId="58BF66D1">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14:paraId="3C213BF3">
      <w:pPr>
        <w:rPr>
          <w:rFonts w:ascii="黑体" w:hAnsi="宋体" w:eastAsia="黑体"/>
        </w:rPr>
      </w:pPr>
      <w:r>
        <w:rPr>
          <w:rFonts w:hint="eastAsia" w:ascii="黑体" w:hAnsi="宋体" w:eastAsia="黑体"/>
        </w:rPr>
        <w:t>47. 合同备案</w:t>
      </w:r>
    </w:p>
    <w:p w14:paraId="2E05DBFF">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14:paraId="6A1C38CE">
      <w:pPr>
        <w:rPr>
          <w:rFonts w:ascii="黑体" w:hAnsi="宋体" w:eastAsia="黑体"/>
        </w:rPr>
      </w:pPr>
      <w:r>
        <w:rPr>
          <w:rFonts w:hint="eastAsia" w:ascii="黑体" w:hAnsi="宋体" w:eastAsia="黑体"/>
        </w:rPr>
        <w:t>48. 合同变更</w:t>
      </w:r>
    </w:p>
    <w:p w14:paraId="55A024BC">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14:paraId="0D573261">
      <w:pPr>
        <w:rPr>
          <w:rFonts w:ascii="黑体" w:hAnsi="宋体" w:eastAsia="黑体"/>
        </w:rPr>
      </w:pPr>
      <w:r>
        <w:rPr>
          <w:rFonts w:hint="eastAsia" w:ascii="黑体" w:hAnsi="宋体" w:eastAsia="黑体"/>
        </w:rPr>
        <w:t>49. 项目验收</w:t>
      </w:r>
    </w:p>
    <w:p w14:paraId="6355D834">
      <w:pPr>
        <w:ind w:right="176" w:firstLine="420"/>
        <w:rPr>
          <w:rFonts w:ascii="宋体" w:hAnsi="宋体" w:eastAsia="宋体"/>
        </w:rPr>
      </w:pPr>
      <w:r>
        <w:rPr>
          <w:rFonts w:hint="eastAsia" w:ascii="宋体" w:hAnsi="宋体" w:eastAsia="宋体"/>
        </w:rPr>
        <w:t>49.1采购人应当按照招标文件和合同规定的标准和方法，及时组织验收。</w:t>
      </w:r>
    </w:p>
    <w:p w14:paraId="0DE63C20">
      <w:pPr>
        <w:rPr>
          <w:rFonts w:ascii="黑体" w:hAnsi="宋体" w:eastAsia="黑体"/>
        </w:rPr>
      </w:pPr>
      <w:r>
        <w:rPr>
          <w:rFonts w:hint="eastAsia" w:ascii="黑体" w:hAnsi="宋体" w:eastAsia="黑体"/>
        </w:rPr>
        <w:t>50. 宣传</w:t>
      </w:r>
    </w:p>
    <w:p w14:paraId="7B9D5EFA">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14:paraId="5AB882BC">
      <w:pPr>
        <w:ind w:left="240" w:leftChars="100" w:firstLine="470" w:firstLineChars="196"/>
        <w:rPr>
          <w:rFonts w:ascii="宋体" w:hAnsi="宋体" w:eastAsia="宋体"/>
        </w:rPr>
      </w:pPr>
      <w:r>
        <w:rPr>
          <w:rFonts w:ascii="宋体" w:hAnsi="宋体" w:eastAsia="宋体"/>
        </w:rPr>
        <w:t>a.名片、宣传册、广告标语等；</w:t>
      </w:r>
    </w:p>
    <w:p w14:paraId="28FF2EE2">
      <w:pPr>
        <w:ind w:left="240" w:leftChars="100" w:firstLine="470" w:firstLineChars="196"/>
        <w:rPr>
          <w:rFonts w:ascii="宋体" w:hAnsi="宋体" w:eastAsia="宋体"/>
        </w:rPr>
      </w:pPr>
      <w:r>
        <w:rPr>
          <w:rFonts w:ascii="宋体" w:hAnsi="宋体" w:eastAsia="宋体"/>
        </w:rPr>
        <w:t>b.案例介绍、推广等；</w:t>
      </w:r>
    </w:p>
    <w:p w14:paraId="20CC67FA">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0"/>
    <w:p w14:paraId="7DD5EE27">
      <w:pPr>
        <w:keepNext/>
        <w:keepLines/>
        <w:numPr>
          <w:ilvl w:val="0"/>
          <w:numId w:val="13"/>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质疑处理</w:t>
      </w:r>
    </w:p>
    <w:p w14:paraId="39EE8625">
      <w:pPr>
        <w:rPr>
          <w:rFonts w:ascii="黑体" w:hAnsi="宋体" w:eastAsia="黑体"/>
        </w:rPr>
      </w:pPr>
      <w:bookmarkStart w:id="66" w:name="_Hlk72439706"/>
      <w:r>
        <w:rPr>
          <w:rFonts w:hint="eastAsia" w:ascii="黑体" w:hAnsi="宋体" w:eastAsia="黑体"/>
          <w:lang w:eastAsia="zh-CN"/>
        </w:rPr>
        <w:t>51.</w:t>
      </w:r>
      <w:r>
        <w:rPr>
          <w:rFonts w:hint="eastAsia" w:ascii="黑体" w:hAnsi="宋体" w:eastAsia="黑体"/>
        </w:rPr>
        <w:t>质疑提出与答复</w:t>
      </w:r>
    </w:p>
    <w:p w14:paraId="5DC67232">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14:paraId="0FBD3541">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14:paraId="4E31398A">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14:paraId="46AC7E6F">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14:paraId="3FA70348">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14:paraId="2FA1FC39">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7" w:name="_Hlk75374941"/>
      <w:r>
        <w:rPr>
          <w:rFonts w:hint="eastAsia" w:ascii="宋体" w:hAnsi="宋体" w:eastAsia="宋体"/>
          <w:szCs w:val="21"/>
        </w:rPr>
        <w:t>以联合体形式参与的，质疑应当由组成联合体的所有成员共同提出</w:t>
      </w:r>
      <w:bookmarkEnd w:id="67"/>
      <w:r>
        <w:rPr>
          <w:rFonts w:hint="eastAsia" w:ascii="宋体" w:hAnsi="宋体" w:eastAsia="宋体"/>
          <w:szCs w:val="21"/>
        </w:rPr>
        <w:t>；</w:t>
      </w:r>
    </w:p>
    <w:p w14:paraId="5F391944">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40A6561">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14:paraId="39C8F9DD">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14:paraId="45FB4A28">
      <w:pPr>
        <w:ind w:firstLine="480" w:firstLineChars="200"/>
        <w:rPr>
          <w:rFonts w:ascii="宋体" w:hAnsi="宋体" w:eastAsia="宋体"/>
          <w:szCs w:val="21"/>
        </w:rPr>
      </w:pPr>
      <w:r>
        <w:rPr>
          <w:rFonts w:hint="eastAsia" w:ascii="宋体" w:hAnsi="宋体" w:eastAsia="宋体"/>
          <w:szCs w:val="21"/>
        </w:rPr>
        <w:t>（2）质疑项目的名称、编号；</w:t>
      </w:r>
    </w:p>
    <w:p w14:paraId="2A1D6017">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14:paraId="047186FA">
      <w:pPr>
        <w:ind w:firstLine="480" w:firstLineChars="200"/>
        <w:rPr>
          <w:rFonts w:ascii="宋体" w:hAnsi="宋体" w:eastAsia="宋体"/>
          <w:szCs w:val="21"/>
        </w:rPr>
      </w:pPr>
      <w:r>
        <w:rPr>
          <w:rFonts w:hint="eastAsia" w:ascii="宋体" w:hAnsi="宋体" w:eastAsia="宋体"/>
          <w:szCs w:val="21"/>
        </w:rPr>
        <w:t>（4）因质疑事项而受损害的权益；</w:t>
      </w:r>
    </w:p>
    <w:p w14:paraId="6B4A35FA">
      <w:pPr>
        <w:ind w:firstLine="480" w:firstLineChars="200"/>
        <w:rPr>
          <w:rFonts w:ascii="宋体" w:hAnsi="宋体" w:eastAsia="宋体"/>
          <w:szCs w:val="21"/>
        </w:rPr>
      </w:pPr>
      <w:r>
        <w:rPr>
          <w:rFonts w:hint="eastAsia" w:ascii="宋体" w:hAnsi="宋体" w:eastAsia="宋体"/>
          <w:szCs w:val="21"/>
        </w:rPr>
        <w:t>（5）事实依据；</w:t>
      </w:r>
    </w:p>
    <w:p w14:paraId="4481CA31">
      <w:pPr>
        <w:ind w:firstLine="480" w:firstLineChars="200"/>
        <w:rPr>
          <w:rFonts w:ascii="宋体" w:hAnsi="宋体" w:eastAsia="宋体"/>
          <w:szCs w:val="21"/>
        </w:rPr>
      </w:pPr>
      <w:r>
        <w:rPr>
          <w:rFonts w:hint="eastAsia" w:ascii="宋体" w:hAnsi="宋体" w:eastAsia="宋体"/>
          <w:szCs w:val="21"/>
        </w:rPr>
        <w:t>（6）必要的法律依据；</w:t>
      </w:r>
    </w:p>
    <w:p w14:paraId="22B073B9">
      <w:pPr>
        <w:ind w:firstLine="480" w:firstLineChars="200"/>
        <w:rPr>
          <w:rFonts w:ascii="宋体" w:hAnsi="宋体" w:eastAsia="宋体"/>
          <w:szCs w:val="21"/>
        </w:rPr>
      </w:pPr>
      <w:r>
        <w:rPr>
          <w:rFonts w:hint="eastAsia" w:ascii="宋体" w:hAnsi="宋体" w:eastAsia="宋体"/>
          <w:szCs w:val="21"/>
        </w:rPr>
        <w:t>（7）提出质疑的日期。</w:t>
      </w:r>
    </w:p>
    <w:p w14:paraId="1CCD29E2">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14:paraId="797F6517">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14:paraId="44344C3B">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D1C86CA">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A61D0A2">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14:paraId="788FD130">
      <w:pPr>
        <w:ind w:firstLine="482" w:firstLineChars="200"/>
        <w:rPr>
          <w:rFonts w:ascii="宋体" w:hAnsi="宋体" w:eastAsia="宋体"/>
          <w:b/>
          <w:bCs/>
          <w:szCs w:val="21"/>
        </w:rPr>
      </w:pPr>
      <w:r>
        <w:rPr>
          <w:rFonts w:hint="eastAsia" w:ascii="宋体" w:hAnsi="宋体" w:eastAsia="宋体"/>
          <w:b/>
          <w:bCs/>
          <w:szCs w:val="21"/>
          <w:lang w:eastAsia="zh-CN"/>
        </w:rPr>
        <w:t>详见采购文件</w:t>
      </w:r>
      <w:r>
        <w:rPr>
          <w:rFonts w:hint="eastAsia" w:ascii="宋体" w:hAnsi="宋体" w:eastAsia="宋体"/>
          <w:b/>
          <w:bCs/>
          <w:szCs w:val="21"/>
        </w:rPr>
        <w:t>。</w:t>
      </w:r>
    </w:p>
    <w:p w14:paraId="39149372">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14:paraId="587A1FCE">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14:paraId="326299B2">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14:paraId="2AD06DB6">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14:paraId="2EB11BF5">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14:paraId="51D1284B">
      <w:pPr>
        <w:ind w:firstLine="480" w:firstLineChars="200"/>
        <w:rPr>
          <w:rFonts w:ascii="宋体" w:hAnsi="宋体" w:eastAsia="宋体"/>
          <w:szCs w:val="21"/>
        </w:rPr>
      </w:pPr>
      <w:r>
        <w:rPr>
          <w:rFonts w:hint="eastAsia" w:ascii="宋体" w:hAnsi="宋体" w:eastAsia="宋体"/>
          <w:szCs w:val="21"/>
        </w:rPr>
        <w:t>（1）质疑主体不满足要求的；</w:t>
      </w:r>
    </w:p>
    <w:p w14:paraId="432F207F">
      <w:pPr>
        <w:ind w:firstLine="480" w:firstLineChars="200"/>
        <w:rPr>
          <w:rFonts w:ascii="宋体" w:hAnsi="宋体" w:eastAsia="宋体"/>
          <w:szCs w:val="21"/>
        </w:rPr>
      </w:pPr>
      <w:r>
        <w:rPr>
          <w:rFonts w:hint="eastAsia" w:ascii="宋体" w:hAnsi="宋体" w:eastAsia="宋体"/>
          <w:szCs w:val="21"/>
        </w:rPr>
        <w:t>（2）供应商自身权益未受到损害的；</w:t>
      </w:r>
    </w:p>
    <w:p w14:paraId="60884B7C">
      <w:pPr>
        <w:ind w:firstLine="480" w:firstLineChars="200"/>
        <w:rPr>
          <w:rFonts w:ascii="宋体" w:hAnsi="宋体" w:eastAsia="宋体"/>
          <w:szCs w:val="21"/>
        </w:rPr>
      </w:pPr>
      <w:r>
        <w:rPr>
          <w:rFonts w:hint="eastAsia" w:ascii="宋体" w:hAnsi="宋体" w:eastAsia="宋体"/>
          <w:szCs w:val="21"/>
        </w:rPr>
        <w:t>（3）供应商未在法定质疑期限内提出质疑的；</w:t>
      </w:r>
    </w:p>
    <w:p w14:paraId="01FEE676">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14:paraId="2D0ECD80">
      <w:pPr>
        <w:ind w:firstLine="480" w:firstLineChars="200"/>
        <w:rPr>
          <w:rFonts w:ascii="宋体" w:hAnsi="宋体" w:eastAsia="宋体"/>
          <w:szCs w:val="21"/>
        </w:rPr>
      </w:pPr>
      <w:r>
        <w:rPr>
          <w:rFonts w:hint="eastAsia" w:ascii="宋体" w:hAnsi="宋体" w:eastAsia="宋体"/>
          <w:szCs w:val="21"/>
        </w:rPr>
        <w:t>（5）其他不符合受理条件情形的。</w:t>
      </w:r>
    </w:p>
    <w:p w14:paraId="476C66E9">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14:paraId="1B77973F">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14:paraId="1F8B0007">
      <w:pPr>
        <w:rPr>
          <w:rFonts w:ascii="宋体" w:hAnsi="宋体" w:eastAsia="宋体"/>
          <w:szCs w:val="21"/>
        </w:rPr>
      </w:pPr>
      <w:r>
        <w:rPr>
          <w:rFonts w:hint="eastAsia" w:ascii="宋体" w:hAnsi="宋体" w:eastAsia="宋体"/>
          <w:szCs w:val="21"/>
        </w:rPr>
        <w:t xml:space="preserve">    自收文之日起七个工作日内。</w:t>
      </w:r>
    </w:p>
    <w:p w14:paraId="787E7D62">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14:paraId="686098C0">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14:paraId="24FEA043">
      <w:pPr>
        <w:rPr>
          <w:rFonts w:ascii="黑体" w:hAnsi="宋体" w:eastAsia="黑体"/>
        </w:rPr>
      </w:pPr>
      <w:r>
        <w:rPr>
          <w:rFonts w:hint="eastAsia" w:ascii="黑体" w:hAnsi="宋体" w:eastAsia="黑体"/>
        </w:rPr>
        <w:t>53. 质疑后续处理</w:t>
      </w:r>
    </w:p>
    <w:p w14:paraId="73CDF39F">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14:paraId="124C207D">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2DC4BBBB">
      <w:pPr>
        <w:jc w:val="center"/>
        <w:rPr>
          <w:rFonts w:eastAsia="宋体"/>
        </w:rPr>
      </w:pPr>
      <w:r>
        <w:rPr>
          <w:rFonts w:eastAsia="宋体"/>
        </w:rPr>
        <w:t>---- END ----</w:t>
      </w:r>
      <w:bookmarkEnd w:id="66"/>
    </w:p>
    <w:p w14:paraId="74F930F4">
      <w:pPr>
        <w:rPr>
          <w:rFonts w:ascii="宋体" w:hAnsi="宋体" w:eastAsia="黑体"/>
          <w:b/>
          <w:bCs/>
          <w:color w:val="0000FF"/>
          <w:kern w:val="44"/>
          <w:sz w:val="36"/>
          <w:szCs w:val="44"/>
        </w:rPr>
      </w:pPr>
    </w:p>
    <w:p w14:paraId="39C51945"/>
    <w:p w14:paraId="4317D0AC"/>
    <w:p w14:paraId="0C077350"/>
    <w:sectPr>
      <w:headerReference r:id="rId12" w:type="default"/>
      <w:footerReference r:id="rId13" w:type="default"/>
      <w:pgSz w:w="11906" w:h="16838"/>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auto"/>
    <w:pitch w:val="default"/>
    <w:sig w:usb0="00000000" w:usb1="00000000" w:usb2="00000009" w:usb3="00000000" w:csb0="200001FF" w:csb1="00000000"/>
  </w:font>
  <w:font w:name="微软雅黑">
    <w:panose1 w:val="020B0503020204020204"/>
    <w:charset w:val="86"/>
    <w:family w:val="auto"/>
    <w:pitch w:val="default"/>
    <w:sig w:usb0="80000287" w:usb1="280F3C52" w:usb2="00000016" w:usb3="00000000" w:csb0="0004001F"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auto"/>
    <w:pitch w:val="default"/>
    <w:sig w:usb0="A00002BF" w:usb1="38CF7CFA" w:usb2="00082016" w:usb3="00000000" w:csb0="00040001" w:csb1="00000000"/>
  </w:font>
  <w:font w:name="Cambria">
    <w:panose1 w:val="02040503050406030204"/>
    <w:charset w:val="00"/>
    <w:family w:val="roman"/>
    <w:pitch w:val="default"/>
    <w:sig w:usb0="A00002EF" w:usb1="4000004B"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6510F">
    <w:pPr>
      <w:pStyle w:val="14"/>
      <w:ind w:right="360" w:firstLine="360"/>
      <w:jc w:val="right"/>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0B482">
    <w:pPr>
      <w:pStyle w:val="14"/>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6760A">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62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4F6760A">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62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544D3">
    <w:pPr>
      <w:pStyle w:val="14"/>
      <w:rPr>
        <w:rStyle w:val="25"/>
      </w:rPr>
    </w:pPr>
  </w:p>
  <w:p w14:paraId="2B4AF4B3">
    <w:pPr>
      <w:pStyle w:val="14"/>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616A2">
    <w:pPr>
      <w:pStyle w:val="14"/>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62251">
    <w:pPr>
      <w:pStyle w:val="14"/>
      <w:rPr>
        <w:rStyle w:val="25"/>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C13B03">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nBjss0BAACoAwAADgAAAGRycy9lMm9Eb2MueG1srVNLbtswEN0H6B0I&#10;7mspBlo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pAkTlh68fPPH+dfj+eH7+xN&#10;0qcPWFHZXaDCOLz3A9XOcaRgoj20YNOXCDHKE9Tpoq4aIpPp0mq5WpWUkpSbHcIvnq4HwPhBecuS&#10;UXOg58uqiuMnjGPpXJK6OX+rjclPaNxfAcIcIyrvwHQ7MRknTlYcdsNEb+ebE7HraQ9q7mjtOTMf&#10;HclM08bZgNnYzcYhgN53eadSdwzvDpFGypOmDiMsMUwOPWDmOi1b2pA//Vz19IN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nBjss0BAACoAwAADgAAAAAAAAABACAAAAAeAQAAZHJzL2Uy&#10;b0RvYy54bWxQSwUGAAAAAAYABgBZAQAAXQUAAAAA&#10;">
              <v:fill on="f" focussize="0,0"/>
              <v:stroke on="f"/>
              <v:imagedata o:title=""/>
              <o:lock v:ext="edit" aspectratio="f"/>
              <v:textbox inset="0mm,0mm,0mm,0mm" style="mso-fit-shape-to-text:t;">
                <w:txbxContent>
                  <w:p w14:paraId="03C13B03">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0D11E3D4">
    <w:pPr>
      <w:pStyle w:val="14"/>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AFA8A">
    <w:pPr>
      <w:pStyle w:val="14"/>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E11EE">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E6E11EE">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A082E">
    <w:pPr>
      <w:pStyle w:val="14"/>
      <w:ind w:right="360" w:firstLine="360"/>
      <w:jc w:val="righ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160A0">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75160A0">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C3B8">
    <w:pPr>
      <w:pStyle w:val="14"/>
      <w:rPr>
        <w:rStyle w:val="25"/>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C322D">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7BC322D">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p w14:paraId="7E2219E1">
    <w:pPr>
      <w:pStyle w:val="14"/>
      <w:ind w:right="360"/>
      <w:jc w:val="right"/>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DA334">
    <w:pPr>
      <w:pStyle w:val="14"/>
      <w:ind w:right="360" w:firstLine="360"/>
      <w:jc w:val="right"/>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C6CC7">
                          <w:pPr>
                            <w:pStyle w:val="1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0CC6CC7">
                    <w:pPr>
                      <w:pStyle w:val="1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71172">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DE435">
                          <w:pPr>
                            <w:pStyle w:val="14"/>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58</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80DE435">
                    <w:pPr>
                      <w:pStyle w:val="14"/>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58</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DDE22">
    <w:pPr>
      <w:pStyle w:val="16"/>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5F814"/>
    <w:multiLevelType w:val="singleLevel"/>
    <w:tmpl w:val="ABD5F814"/>
    <w:lvl w:ilvl="0" w:tentative="0">
      <w:start w:val="1"/>
      <w:numFmt w:val="chineseCounting"/>
      <w:suff w:val="nothing"/>
      <w:lvlText w:val="（%1）"/>
      <w:lvlJc w:val="left"/>
      <w:rPr>
        <w:rFonts w:hint="eastAsia"/>
      </w:rPr>
    </w:lvl>
  </w:abstractNum>
  <w:abstractNum w:abstractNumId="1">
    <w:nsid w:val="B6A1A4BE"/>
    <w:multiLevelType w:val="singleLevel"/>
    <w:tmpl w:val="B6A1A4BE"/>
    <w:lvl w:ilvl="0" w:tentative="0">
      <w:start w:val="2"/>
      <w:numFmt w:val="decimal"/>
      <w:suff w:val="nothing"/>
      <w:lvlText w:val="%1、"/>
      <w:lvlJc w:val="left"/>
    </w:lvl>
  </w:abstractNum>
  <w:abstractNum w:abstractNumId="2">
    <w:nsid w:val="F7AD2F03"/>
    <w:multiLevelType w:val="singleLevel"/>
    <w:tmpl w:val="F7AD2F03"/>
    <w:lvl w:ilvl="0" w:tentative="0">
      <w:start w:val="1"/>
      <w:numFmt w:val="decimal"/>
      <w:lvlText w:val="%1."/>
      <w:lvlJc w:val="left"/>
      <w:pPr>
        <w:tabs>
          <w:tab w:val="left" w:pos="312"/>
        </w:tabs>
      </w:pPr>
    </w:lvl>
  </w:abstractNum>
  <w:abstractNum w:abstractNumId="3">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BC80C5B"/>
    <w:multiLevelType w:val="singleLevel"/>
    <w:tmpl w:val="0BC80C5B"/>
    <w:lvl w:ilvl="0" w:tentative="0">
      <w:start w:val="4"/>
      <w:numFmt w:val="chineseCounting"/>
      <w:suff w:val="nothing"/>
      <w:lvlText w:val="%1、"/>
      <w:lvlJc w:val="left"/>
      <w:rPr>
        <w:rFonts w:hint="eastAsia"/>
      </w:rPr>
    </w:lvl>
  </w:abstractNum>
  <w:abstractNum w:abstractNumId="9">
    <w:nsid w:val="24E409BB"/>
    <w:multiLevelType w:val="multilevel"/>
    <w:tmpl w:val="24E409BB"/>
    <w:lvl w:ilvl="0" w:tentative="0">
      <w:start w:val="1"/>
      <w:numFmt w:val="decimal"/>
      <w:pStyle w:val="33"/>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373811D1"/>
    <w:multiLevelType w:val="singleLevel"/>
    <w:tmpl w:val="373811D1"/>
    <w:lvl w:ilvl="0" w:tentative="0">
      <w:start w:val="1"/>
      <w:numFmt w:val="decimalEnclosedCircleChinese"/>
      <w:suff w:val="space"/>
      <w:lvlText w:val="%1"/>
      <w:lvlJc w:val="left"/>
      <w:rPr>
        <w:rFonts w:hint="eastAsia"/>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7F162E50"/>
    <w:multiLevelType w:val="singleLevel"/>
    <w:tmpl w:val="7F162E50"/>
    <w:lvl w:ilvl="0" w:tentative="0">
      <w:start w:val="1"/>
      <w:numFmt w:val="decimal"/>
      <w:suff w:val="nothing"/>
      <w:lvlText w:val="%1、"/>
      <w:lvlJc w:val="left"/>
    </w:lvl>
  </w:abstractNum>
  <w:num w:numId="1">
    <w:abstractNumId w:val="11"/>
  </w:num>
  <w:num w:numId="2">
    <w:abstractNumId w:val="9"/>
  </w:num>
  <w:num w:numId="3">
    <w:abstractNumId w:val="2"/>
  </w:num>
  <w:num w:numId="4">
    <w:abstractNumId w:val="10"/>
  </w:num>
  <w:num w:numId="5">
    <w:abstractNumId w:val="12"/>
  </w:num>
  <w:num w:numId="6">
    <w:abstractNumId w:val="8"/>
  </w:num>
  <w:num w:numId="7">
    <w:abstractNumId w:val="0"/>
  </w:num>
  <w:num w:numId="8">
    <w:abstractNumId w:val="3"/>
  </w:num>
  <w:num w:numId="9">
    <w:abstractNumId w:val="1"/>
  </w:num>
  <w:num w:numId="10">
    <w:abstractNumId w:val="4"/>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DJkMTcwMGI3ODk5Y2RkZTJmNjEzOTc4ZDYzNmQifQ=="/>
  </w:docVars>
  <w:rsids>
    <w:rsidRoot w:val="00000000"/>
    <w:rsid w:val="001D0D93"/>
    <w:rsid w:val="00706E70"/>
    <w:rsid w:val="00B50F6D"/>
    <w:rsid w:val="00B63402"/>
    <w:rsid w:val="00C75AB3"/>
    <w:rsid w:val="00EA5A33"/>
    <w:rsid w:val="01AB547D"/>
    <w:rsid w:val="01D50540"/>
    <w:rsid w:val="01F675D4"/>
    <w:rsid w:val="02194A67"/>
    <w:rsid w:val="021E2DEB"/>
    <w:rsid w:val="0231567C"/>
    <w:rsid w:val="028616E1"/>
    <w:rsid w:val="030750A8"/>
    <w:rsid w:val="038251E4"/>
    <w:rsid w:val="041167A0"/>
    <w:rsid w:val="04A15E29"/>
    <w:rsid w:val="04AE174B"/>
    <w:rsid w:val="04CB5735"/>
    <w:rsid w:val="05184F9C"/>
    <w:rsid w:val="051B4E0A"/>
    <w:rsid w:val="05305D13"/>
    <w:rsid w:val="062F16E4"/>
    <w:rsid w:val="064E24D1"/>
    <w:rsid w:val="06552769"/>
    <w:rsid w:val="06577474"/>
    <w:rsid w:val="06657B59"/>
    <w:rsid w:val="06796EB7"/>
    <w:rsid w:val="06B4789B"/>
    <w:rsid w:val="06BA6EDF"/>
    <w:rsid w:val="07172AC5"/>
    <w:rsid w:val="07686190"/>
    <w:rsid w:val="07E22A0A"/>
    <w:rsid w:val="08801AC4"/>
    <w:rsid w:val="0889017A"/>
    <w:rsid w:val="088E0C55"/>
    <w:rsid w:val="08E71259"/>
    <w:rsid w:val="09CC2792"/>
    <w:rsid w:val="09F71624"/>
    <w:rsid w:val="0A21662D"/>
    <w:rsid w:val="0A480D66"/>
    <w:rsid w:val="0A7B4003"/>
    <w:rsid w:val="0AA875CD"/>
    <w:rsid w:val="0ABC6AE6"/>
    <w:rsid w:val="0AD9238A"/>
    <w:rsid w:val="0AEF3F7D"/>
    <w:rsid w:val="0B767419"/>
    <w:rsid w:val="0B800F13"/>
    <w:rsid w:val="0BD71626"/>
    <w:rsid w:val="0BD8443A"/>
    <w:rsid w:val="0C675E86"/>
    <w:rsid w:val="0CD33A99"/>
    <w:rsid w:val="0D135FD2"/>
    <w:rsid w:val="0D187533"/>
    <w:rsid w:val="0D1F0DE7"/>
    <w:rsid w:val="0D3A744A"/>
    <w:rsid w:val="0D5D0766"/>
    <w:rsid w:val="0D730174"/>
    <w:rsid w:val="0D840540"/>
    <w:rsid w:val="0DF57054"/>
    <w:rsid w:val="0E511189"/>
    <w:rsid w:val="0E9A1C5B"/>
    <w:rsid w:val="0ED9579C"/>
    <w:rsid w:val="0EEB43BB"/>
    <w:rsid w:val="0F097229"/>
    <w:rsid w:val="0F1038DB"/>
    <w:rsid w:val="0F255064"/>
    <w:rsid w:val="0F7619B8"/>
    <w:rsid w:val="0F824086"/>
    <w:rsid w:val="0FD33EF7"/>
    <w:rsid w:val="10425CC2"/>
    <w:rsid w:val="10666311"/>
    <w:rsid w:val="10E3110E"/>
    <w:rsid w:val="1192589F"/>
    <w:rsid w:val="119C4A9A"/>
    <w:rsid w:val="12485BB7"/>
    <w:rsid w:val="12545C6B"/>
    <w:rsid w:val="12A213A1"/>
    <w:rsid w:val="12C54025"/>
    <w:rsid w:val="12E43962"/>
    <w:rsid w:val="135D02B5"/>
    <w:rsid w:val="13965AC9"/>
    <w:rsid w:val="139B589E"/>
    <w:rsid w:val="1459306E"/>
    <w:rsid w:val="14BC5944"/>
    <w:rsid w:val="157561D4"/>
    <w:rsid w:val="15D44A2E"/>
    <w:rsid w:val="161336C9"/>
    <w:rsid w:val="16C77479"/>
    <w:rsid w:val="16CE79D0"/>
    <w:rsid w:val="17010D01"/>
    <w:rsid w:val="170C3143"/>
    <w:rsid w:val="17342A38"/>
    <w:rsid w:val="17A852B9"/>
    <w:rsid w:val="17A91A0E"/>
    <w:rsid w:val="17AA1C54"/>
    <w:rsid w:val="17C92988"/>
    <w:rsid w:val="17CA22F9"/>
    <w:rsid w:val="18AB0BAE"/>
    <w:rsid w:val="18EB58CD"/>
    <w:rsid w:val="190D5B50"/>
    <w:rsid w:val="19494D99"/>
    <w:rsid w:val="19594CC1"/>
    <w:rsid w:val="19F46573"/>
    <w:rsid w:val="1A731EBA"/>
    <w:rsid w:val="1A740C56"/>
    <w:rsid w:val="1AEE53F8"/>
    <w:rsid w:val="1B0A5CD0"/>
    <w:rsid w:val="1B14178B"/>
    <w:rsid w:val="1BB03ACD"/>
    <w:rsid w:val="1BBF1083"/>
    <w:rsid w:val="1BC6570B"/>
    <w:rsid w:val="1BE13527"/>
    <w:rsid w:val="1C060655"/>
    <w:rsid w:val="1C413FB1"/>
    <w:rsid w:val="1CF5533A"/>
    <w:rsid w:val="1EA26DA7"/>
    <w:rsid w:val="1EC23EB8"/>
    <w:rsid w:val="1F126F1D"/>
    <w:rsid w:val="1F1360AF"/>
    <w:rsid w:val="1F8D54FC"/>
    <w:rsid w:val="1FD7365B"/>
    <w:rsid w:val="20513484"/>
    <w:rsid w:val="20596F74"/>
    <w:rsid w:val="206B25D7"/>
    <w:rsid w:val="206C659D"/>
    <w:rsid w:val="2091203E"/>
    <w:rsid w:val="21C4062D"/>
    <w:rsid w:val="21E611DE"/>
    <w:rsid w:val="22230DB0"/>
    <w:rsid w:val="224220C0"/>
    <w:rsid w:val="22C67B6A"/>
    <w:rsid w:val="22E605A9"/>
    <w:rsid w:val="236170B0"/>
    <w:rsid w:val="24285280"/>
    <w:rsid w:val="24885A51"/>
    <w:rsid w:val="24F700FC"/>
    <w:rsid w:val="251C47E8"/>
    <w:rsid w:val="256646C4"/>
    <w:rsid w:val="256E4A38"/>
    <w:rsid w:val="258E40CB"/>
    <w:rsid w:val="25992F1E"/>
    <w:rsid w:val="25AF0B4D"/>
    <w:rsid w:val="267A507C"/>
    <w:rsid w:val="27072823"/>
    <w:rsid w:val="275B11C5"/>
    <w:rsid w:val="27706A3C"/>
    <w:rsid w:val="278A541F"/>
    <w:rsid w:val="28665D21"/>
    <w:rsid w:val="288F1671"/>
    <w:rsid w:val="28E16CE0"/>
    <w:rsid w:val="296C066D"/>
    <w:rsid w:val="2A4F66B0"/>
    <w:rsid w:val="2A5155A0"/>
    <w:rsid w:val="2A546D3D"/>
    <w:rsid w:val="2ACF5F79"/>
    <w:rsid w:val="2AF754D0"/>
    <w:rsid w:val="2B580109"/>
    <w:rsid w:val="2B5C1E1D"/>
    <w:rsid w:val="2B803D16"/>
    <w:rsid w:val="2BA0389E"/>
    <w:rsid w:val="2C366F69"/>
    <w:rsid w:val="2C816A44"/>
    <w:rsid w:val="2CA5054F"/>
    <w:rsid w:val="2CE03284"/>
    <w:rsid w:val="2CE70D80"/>
    <w:rsid w:val="2D03704E"/>
    <w:rsid w:val="2D453650"/>
    <w:rsid w:val="2D847558"/>
    <w:rsid w:val="2D8F630C"/>
    <w:rsid w:val="2DB373C0"/>
    <w:rsid w:val="2E1D3465"/>
    <w:rsid w:val="2E232C4C"/>
    <w:rsid w:val="2E6F5D78"/>
    <w:rsid w:val="2EFA653D"/>
    <w:rsid w:val="2F4F31C7"/>
    <w:rsid w:val="2F54082D"/>
    <w:rsid w:val="2F7317A8"/>
    <w:rsid w:val="2FE65DF5"/>
    <w:rsid w:val="308B7B00"/>
    <w:rsid w:val="309D762D"/>
    <w:rsid w:val="30B47074"/>
    <w:rsid w:val="30C932CB"/>
    <w:rsid w:val="311C3541"/>
    <w:rsid w:val="3137687A"/>
    <w:rsid w:val="318F2D13"/>
    <w:rsid w:val="31DA45E6"/>
    <w:rsid w:val="32265D43"/>
    <w:rsid w:val="323B7187"/>
    <w:rsid w:val="323C629C"/>
    <w:rsid w:val="329D2800"/>
    <w:rsid w:val="32B46436"/>
    <w:rsid w:val="32BB162B"/>
    <w:rsid w:val="32C060FB"/>
    <w:rsid w:val="333B6030"/>
    <w:rsid w:val="33524AF4"/>
    <w:rsid w:val="3366283E"/>
    <w:rsid w:val="337C7542"/>
    <w:rsid w:val="346A078E"/>
    <w:rsid w:val="34D1734B"/>
    <w:rsid w:val="35143E54"/>
    <w:rsid w:val="358E30D3"/>
    <w:rsid w:val="35C00E3F"/>
    <w:rsid w:val="35CE6E2D"/>
    <w:rsid w:val="36831AFF"/>
    <w:rsid w:val="36A73E8D"/>
    <w:rsid w:val="37204E24"/>
    <w:rsid w:val="372A1525"/>
    <w:rsid w:val="37555957"/>
    <w:rsid w:val="37631054"/>
    <w:rsid w:val="376F52BC"/>
    <w:rsid w:val="37BF70C0"/>
    <w:rsid w:val="380A3DCB"/>
    <w:rsid w:val="38DA1714"/>
    <w:rsid w:val="394B30B6"/>
    <w:rsid w:val="397641FF"/>
    <w:rsid w:val="39B0341A"/>
    <w:rsid w:val="39B63196"/>
    <w:rsid w:val="3A1E4A11"/>
    <w:rsid w:val="3A902CFD"/>
    <w:rsid w:val="3B01799A"/>
    <w:rsid w:val="3B747AD5"/>
    <w:rsid w:val="3BF53366"/>
    <w:rsid w:val="3BFD158A"/>
    <w:rsid w:val="3C393846"/>
    <w:rsid w:val="3C544530"/>
    <w:rsid w:val="3C795F8F"/>
    <w:rsid w:val="3CB43221"/>
    <w:rsid w:val="3CB971DE"/>
    <w:rsid w:val="3D224849"/>
    <w:rsid w:val="3D863DAC"/>
    <w:rsid w:val="3D9E261B"/>
    <w:rsid w:val="3DCE79EC"/>
    <w:rsid w:val="3E3E74B4"/>
    <w:rsid w:val="3E457CCA"/>
    <w:rsid w:val="3E9A489A"/>
    <w:rsid w:val="3EF57DEF"/>
    <w:rsid w:val="3EF93097"/>
    <w:rsid w:val="3F82603D"/>
    <w:rsid w:val="3FAB6C69"/>
    <w:rsid w:val="3FBA7223"/>
    <w:rsid w:val="400E3852"/>
    <w:rsid w:val="403C7B9C"/>
    <w:rsid w:val="40831298"/>
    <w:rsid w:val="40A317DF"/>
    <w:rsid w:val="40FD78DA"/>
    <w:rsid w:val="41BB1716"/>
    <w:rsid w:val="41C7263B"/>
    <w:rsid w:val="429750D7"/>
    <w:rsid w:val="42F25C9A"/>
    <w:rsid w:val="43951802"/>
    <w:rsid w:val="43FF0431"/>
    <w:rsid w:val="441F4958"/>
    <w:rsid w:val="4422077D"/>
    <w:rsid w:val="444074AE"/>
    <w:rsid w:val="444E403F"/>
    <w:rsid w:val="44851B7E"/>
    <w:rsid w:val="459310B3"/>
    <w:rsid w:val="47167024"/>
    <w:rsid w:val="471B616A"/>
    <w:rsid w:val="473A2514"/>
    <w:rsid w:val="47696A47"/>
    <w:rsid w:val="47BC2AC9"/>
    <w:rsid w:val="48041F58"/>
    <w:rsid w:val="4824604A"/>
    <w:rsid w:val="49A322FA"/>
    <w:rsid w:val="4A29520E"/>
    <w:rsid w:val="4A955931"/>
    <w:rsid w:val="4B2D0A8B"/>
    <w:rsid w:val="4B8E7058"/>
    <w:rsid w:val="4BBC74C6"/>
    <w:rsid w:val="4BEC2AF5"/>
    <w:rsid w:val="4D2C2FDF"/>
    <w:rsid w:val="4D6B7D2D"/>
    <w:rsid w:val="4DE2279A"/>
    <w:rsid w:val="4DF43159"/>
    <w:rsid w:val="4EB42E91"/>
    <w:rsid w:val="4ED24C7F"/>
    <w:rsid w:val="4F19287C"/>
    <w:rsid w:val="4F501050"/>
    <w:rsid w:val="4FA629DC"/>
    <w:rsid w:val="5043767F"/>
    <w:rsid w:val="50666AAF"/>
    <w:rsid w:val="50AF3219"/>
    <w:rsid w:val="50EB470D"/>
    <w:rsid w:val="51680854"/>
    <w:rsid w:val="51B44C64"/>
    <w:rsid w:val="51F0678B"/>
    <w:rsid w:val="52222C20"/>
    <w:rsid w:val="524719CE"/>
    <w:rsid w:val="524A7C1A"/>
    <w:rsid w:val="526410AB"/>
    <w:rsid w:val="52E74282"/>
    <w:rsid w:val="52EA38FE"/>
    <w:rsid w:val="53367546"/>
    <w:rsid w:val="5398672A"/>
    <w:rsid w:val="546B5413"/>
    <w:rsid w:val="55A933BA"/>
    <w:rsid w:val="55CE48BA"/>
    <w:rsid w:val="565B127B"/>
    <w:rsid w:val="56606BE9"/>
    <w:rsid w:val="56A70E94"/>
    <w:rsid w:val="56AC329E"/>
    <w:rsid w:val="56EB5A6D"/>
    <w:rsid w:val="57B8283C"/>
    <w:rsid w:val="589C4418"/>
    <w:rsid w:val="5975743C"/>
    <w:rsid w:val="599E5466"/>
    <w:rsid w:val="59C818E0"/>
    <w:rsid w:val="59D2767F"/>
    <w:rsid w:val="5A971213"/>
    <w:rsid w:val="5B005FB6"/>
    <w:rsid w:val="5B466A7D"/>
    <w:rsid w:val="5B4E180B"/>
    <w:rsid w:val="5B533795"/>
    <w:rsid w:val="5C317BC6"/>
    <w:rsid w:val="5C5A72CB"/>
    <w:rsid w:val="5C707BAC"/>
    <w:rsid w:val="5C7C3148"/>
    <w:rsid w:val="5C911386"/>
    <w:rsid w:val="5CD84A0A"/>
    <w:rsid w:val="5DE1267B"/>
    <w:rsid w:val="5E283577"/>
    <w:rsid w:val="5E62468B"/>
    <w:rsid w:val="5E722706"/>
    <w:rsid w:val="5EFE6F1B"/>
    <w:rsid w:val="5F545379"/>
    <w:rsid w:val="5F630463"/>
    <w:rsid w:val="5F6D4019"/>
    <w:rsid w:val="5F794E6B"/>
    <w:rsid w:val="6043490F"/>
    <w:rsid w:val="604E7BD7"/>
    <w:rsid w:val="607E12CC"/>
    <w:rsid w:val="610B0018"/>
    <w:rsid w:val="613714B3"/>
    <w:rsid w:val="61C72196"/>
    <w:rsid w:val="62003A97"/>
    <w:rsid w:val="62210B08"/>
    <w:rsid w:val="631E38D1"/>
    <w:rsid w:val="634940F0"/>
    <w:rsid w:val="63BE0BF0"/>
    <w:rsid w:val="64055F8C"/>
    <w:rsid w:val="643D1580"/>
    <w:rsid w:val="643E619F"/>
    <w:rsid w:val="64763454"/>
    <w:rsid w:val="64CB7ABA"/>
    <w:rsid w:val="64CD0C92"/>
    <w:rsid w:val="65173D2C"/>
    <w:rsid w:val="652B4692"/>
    <w:rsid w:val="653B3E1C"/>
    <w:rsid w:val="657A2A1F"/>
    <w:rsid w:val="6594282D"/>
    <w:rsid w:val="659922CD"/>
    <w:rsid w:val="6615747B"/>
    <w:rsid w:val="665B07E2"/>
    <w:rsid w:val="668043D6"/>
    <w:rsid w:val="66A46A20"/>
    <w:rsid w:val="66B36555"/>
    <w:rsid w:val="66EA4DB3"/>
    <w:rsid w:val="67283F04"/>
    <w:rsid w:val="673F14F0"/>
    <w:rsid w:val="677A03A2"/>
    <w:rsid w:val="677F7E04"/>
    <w:rsid w:val="68653FE4"/>
    <w:rsid w:val="68A76B92"/>
    <w:rsid w:val="68DC1286"/>
    <w:rsid w:val="69512A12"/>
    <w:rsid w:val="69A725C4"/>
    <w:rsid w:val="69EA352F"/>
    <w:rsid w:val="6A032432"/>
    <w:rsid w:val="6A0C7756"/>
    <w:rsid w:val="6A3B7CBB"/>
    <w:rsid w:val="6AA16C7F"/>
    <w:rsid w:val="6AC231BE"/>
    <w:rsid w:val="6BBE2579"/>
    <w:rsid w:val="6BC717C7"/>
    <w:rsid w:val="6BF33AEB"/>
    <w:rsid w:val="6BF502A5"/>
    <w:rsid w:val="6C700663"/>
    <w:rsid w:val="6CB536B0"/>
    <w:rsid w:val="6CF41642"/>
    <w:rsid w:val="6DE327E9"/>
    <w:rsid w:val="6E197A1C"/>
    <w:rsid w:val="6E1E6425"/>
    <w:rsid w:val="6E7A5539"/>
    <w:rsid w:val="6ECE001F"/>
    <w:rsid w:val="6F421E56"/>
    <w:rsid w:val="6F55274A"/>
    <w:rsid w:val="7014409C"/>
    <w:rsid w:val="70241CE7"/>
    <w:rsid w:val="704F3DE4"/>
    <w:rsid w:val="705F4544"/>
    <w:rsid w:val="70633668"/>
    <w:rsid w:val="706C7AA2"/>
    <w:rsid w:val="707873B4"/>
    <w:rsid w:val="708B1138"/>
    <w:rsid w:val="709E5C3E"/>
    <w:rsid w:val="713779A1"/>
    <w:rsid w:val="718F4CCE"/>
    <w:rsid w:val="71994AE3"/>
    <w:rsid w:val="720058CD"/>
    <w:rsid w:val="720A7EAD"/>
    <w:rsid w:val="72476B05"/>
    <w:rsid w:val="725F6D22"/>
    <w:rsid w:val="72AA7CFF"/>
    <w:rsid w:val="72F928CD"/>
    <w:rsid w:val="73A40BF2"/>
    <w:rsid w:val="74421070"/>
    <w:rsid w:val="74455F31"/>
    <w:rsid w:val="7464773E"/>
    <w:rsid w:val="74770050"/>
    <w:rsid w:val="74A65F0A"/>
    <w:rsid w:val="74EE29CE"/>
    <w:rsid w:val="74F51ED1"/>
    <w:rsid w:val="74FC1BE5"/>
    <w:rsid w:val="752776A3"/>
    <w:rsid w:val="762C4BB0"/>
    <w:rsid w:val="76B87EA5"/>
    <w:rsid w:val="76E22EC3"/>
    <w:rsid w:val="773A3E9D"/>
    <w:rsid w:val="779C18C8"/>
    <w:rsid w:val="781669EC"/>
    <w:rsid w:val="78503C95"/>
    <w:rsid w:val="78970267"/>
    <w:rsid w:val="78C60CFB"/>
    <w:rsid w:val="79594B4C"/>
    <w:rsid w:val="79D35B29"/>
    <w:rsid w:val="7A0B3302"/>
    <w:rsid w:val="7A551BD0"/>
    <w:rsid w:val="7AC54225"/>
    <w:rsid w:val="7BDC5F7A"/>
    <w:rsid w:val="7C7F13BB"/>
    <w:rsid w:val="7CBF6D37"/>
    <w:rsid w:val="7DAC456F"/>
    <w:rsid w:val="7DD131BD"/>
    <w:rsid w:val="7E0D502B"/>
    <w:rsid w:val="7E24403B"/>
    <w:rsid w:val="7E511B88"/>
    <w:rsid w:val="7E7C4C45"/>
    <w:rsid w:val="7EA45F4A"/>
    <w:rsid w:val="7EF10279"/>
    <w:rsid w:val="7FA53423"/>
    <w:rsid w:val="7FE26D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paragraph" w:styleId="2">
    <w:name w:val="heading 1"/>
    <w:basedOn w:val="1"/>
    <w:next w:val="1"/>
    <w:link w:val="34"/>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3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36"/>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37"/>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annotation text"/>
    <w:basedOn w:val="1"/>
    <w:qFormat/>
    <w:uiPriority w:val="0"/>
    <w:pPr>
      <w:jc w:val="left"/>
    </w:pPr>
  </w:style>
  <w:style w:type="paragraph" w:styleId="8">
    <w:name w:val="Body Text"/>
    <w:basedOn w:val="1"/>
    <w:next w:val="9"/>
    <w:qFormat/>
    <w:uiPriority w:val="0"/>
    <w:pPr>
      <w:tabs>
        <w:tab w:val="left" w:pos="567"/>
      </w:tabs>
      <w:spacing w:before="120" w:line="22" w:lineRule="atLeast"/>
    </w:pPr>
    <w:rPr>
      <w:rFonts w:ascii="宋体" w:hAnsi="宋体"/>
      <w:sz w:val="24"/>
    </w:rPr>
  </w:style>
  <w:style w:type="paragraph" w:styleId="9">
    <w:name w:val="Body Text First Indent"/>
    <w:basedOn w:val="8"/>
    <w:next w:val="1"/>
    <w:qFormat/>
    <w:uiPriority w:val="0"/>
    <w:pPr>
      <w:spacing w:after="120" w:line="240" w:lineRule="auto"/>
      <w:ind w:firstLine="420" w:firstLineChars="100"/>
      <w:jc w:val="both"/>
    </w:pPr>
    <w:rPr>
      <w:rFonts w:ascii="Arial" w:hAnsi="Arial"/>
      <w:sz w:val="21"/>
      <w:szCs w:val="24"/>
    </w:rPr>
  </w:style>
  <w:style w:type="paragraph" w:styleId="10">
    <w:name w:val="Body Text Indent"/>
    <w:basedOn w:val="1"/>
    <w:qFormat/>
    <w:uiPriority w:val="0"/>
    <w:pPr>
      <w:spacing w:after="120"/>
      <w:ind w:left="420" w:leftChars="200"/>
    </w:pPr>
  </w:style>
  <w:style w:type="paragraph" w:styleId="11">
    <w:name w:val="Plain Text"/>
    <w:basedOn w:val="1"/>
    <w:qFormat/>
    <w:uiPriority w:val="0"/>
    <w:rPr>
      <w:rFonts w:ascii="宋体" w:hAnsi="Courier New"/>
      <w:szCs w:val="20"/>
    </w:rPr>
  </w:style>
  <w:style w:type="paragraph" w:styleId="12">
    <w:name w:val="Date"/>
    <w:basedOn w:val="1"/>
    <w:next w:val="1"/>
    <w:qFormat/>
    <w:uiPriority w:val="0"/>
    <w:pPr>
      <w:ind w:left="100" w:leftChars="2500"/>
    </w:pPr>
    <w:rPr>
      <w:rFonts w:hint="eastAsia"/>
    </w:rPr>
  </w:style>
  <w:style w:type="paragraph" w:styleId="13">
    <w:name w:val="Body Text Indent 2"/>
    <w:basedOn w:val="1"/>
    <w:qFormat/>
    <w:uiPriority w:val="0"/>
    <w:pPr>
      <w:ind w:firstLine="480" w:firstLineChars="200"/>
    </w:pPr>
    <w:rPr>
      <w:rFonts w:ascii="仿宋_GB2312" w:eastAsia="仿宋_GB2312"/>
      <w:sz w:val="24"/>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envelope return"/>
    <w:basedOn w:val="1"/>
    <w:qFormat/>
    <w:uiPriority w:val="99"/>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footnote text"/>
    <w:basedOn w:val="1"/>
    <w:next w:val="8"/>
    <w:qFormat/>
    <w:uiPriority w:val="99"/>
    <w:pPr>
      <w:snapToGrid w:val="0"/>
      <w:jc w:val="left"/>
    </w:pPr>
    <w:rPr>
      <w:sz w:val="18"/>
    </w:rPr>
  </w:style>
  <w:style w:type="paragraph" w:styleId="18">
    <w:name w:val="Body Text 2"/>
    <w:basedOn w:val="1"/>
    <w:qFormat/>
    <w:uiPriority w:val="0"/>
    <w:pPr>
      <w:spacing w:after="120" w:line="480" w:lineRule="auto"/>
    </w:pPr>
    <w:rPr>
      <w:rFonts w:ascii="Arial" w:hAnsi="Arial"/>
      <w:sz w:val="24"/>
    </w:rPr>
  </w:style>
  <w:style w:type="paragraph" w:styleId="19">
    <w:name w:val="Normal (Web)"/>
    <w:basedOn w:val="1"/>
    <w:qFormat/>
    <w:uiPriority w:val="99"/>
    <w:pPr>
      <w:widowControl/>
      <w:spacing w:before="100" w:beforeAutospacing="1" w:afterAutospacing="1"/>
      <w:jc w:val="left"/>
    </w:pPr>
    <w:rPr>
      <w:rFonts w:ascii="宋体" w:hAnsi="宋体"/>
      <w:sz w:val="24"/>
      <w:szCs w:val="24"/>
    </w:rPr>
  </w:style>
  <w:style w:type="paragraph" w:styleId="20">
    <w:name w:val="Title"/>
    <w:basedOn w:val="1"/>
    <w:next w:val="1"/>
    <w:qFormat/>
    <w:uiPriority w:val="10"/>
    <w:pPr>
      <w:spacing w:before="240" w:after="60"/>
      <w:jc w:val="center"/>
      <w:outlineLvl w:val="0"/>
    </w:pPr>
    <w:rPr>
      <w:rFonts w:ascii="Calibri Light" w:hAnsi="Calibri Light" w:eastAsia="宋体" w:cs="宋体"/>
      <w:b/>
      <w:bCs/>
      <w:sz w:val="32"/>
      <w:szCs w:val="32"/>
    </w:rPr>
  </w:style>
  <w:style w:type="paragraph" w:styleId="21">
    <w:name w:val="Body Text First Indent 2"/>
    <w:basedOn w:val="10"/>
    <w:qFormat/>
    <w:uiPriority w:val="0"/>
    <w:pPr>
      <w:ind w:firstLine="420" w:firstLineChars="200"/>
    </w:pPr>
  </w:style>
  <w:style w:type="character" w:styleId="24">
    <w:name w:val="Strong"/>
    <w:basedOn w:val="23"/>
    <w:qFormat/>
    <w:uiPriority w:val="0"/>
    <w:rPr>
      <w:b/>
    </w:rPr>
  </w:style>
  <w:style w:type="character" w:styleId="25">
    <w:name w:val="page number"/>
    <w:basedOn w:val="23"/>
    <w:qFormat/>
    <w:uiPriority w:val="0"/>
    <w:rPr>
      <w:rFonts w:eastAsia="宋体"/>
      <w:sz w:val="24"/>
      <w:szCs w:val="24"/>
      <w:lang w:val="en-US" w:eastAsia="zh-CN" w:bidi="ar-SA"/>
    </w:rPr>
  </w:style>
  <w:style w:type="character" w:styleId="26">
    <w:name w:val="Emphasis"/>
    <w:basedOn w:val="23"/>
    <w:qFormat/>
    <w:uiPriority w:val="0"/>
    <w:rPr>
      <w:i/>
    </w:rPr>
  </w:style>
  <w:style w:type="character" w:styleId="27">
    <w:name w:val="Hyperlink"/>
    <w:qFormat/>
    <w:uiPriority w:val="0"/>
    <w:rPr>
      <w:rFonts w:eastAsia="宋体"/>
      <w:color w:val="0000FF"/>
      <w:sz w:val="24"/>
      <w:szCs w:val="24"/>
      <w:u w:val="single"/>
      <w:lang w:val="en-US" w:eastAsia="zh-CN" w:bidi="ar-SA"/>
    </w:rPr>
  </w:style>
  <w:style w:type="paragraph" w:customStyle="1" w:styleId="28">
    <w:name w:val="标题 5（有编号）（绿盟科技）"/>
    <w:basedOn w:val="1"/>
    <w:next w:val="29"/>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2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0">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31">
    <w:name w:val="Heading 1"/>
    <w:basedOn w:val="1"/>
    <w:next w:val="1"/>
    <w:link w:val="32"/>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32">
    <w:name w:val="标题 1 Char"/>
    <w:basedOn w:val="23"/>
    <w:link w:val="31"/>
    <w:qFormat/>
    <w:uiPriority w:val="0"/>
    <w:rPr>
      <w:rFonts w:ascii="Arial" w:hAnsi="Arial" w:eastAsia="宋体" w:cs="Times New Roman"/>
      <w:b/>
      <w:bCs/>
      <w:kern w:val="44"/>
      <w:sz w:val="44"/>
      <w:szCs w:val="44"/>
    </w:rPr>
  </w:style>
  <w:style w:type="paragraph" w:customStyle="1" w:styleId="33">
    <w:name w:val="表名称"/>
    <w:basedOn w:val="6"/>
    <w:qFormat/>
    <w:uiPriority w:val="0"/>
    <w:pPr>
      <w:numPr>
        <w:ilvl w:val="0"/>
        <w:numId w:val="2"/>
      </w:numPr>
      <w:ind w:firstLine="0" w:firstLineChars="0"/>
      <w:jc w:val="center"/>
    </w:pPr>
  </w:style>
  <w:style w:type="character" w:customStyle="1" w:styleId="34">
    <w:name w:val="标题 1 Char1"/>
    <w:link w:val="2"/>
    <w:qFormat/>
    <w:uiPriority w:val="0"/>
    <w:rPr>
      <w:b/>
      <w:kern w:val="44"/>
      <w:sz w:val="44"/>
    </w:rPr>
  </w:style>
  <w:style w:type="character" w:customStyle="1" w:styleId="35">
    <w:name w:val="标题 2 Char"/>
    <w:link w:val="3"/>
    <w:qFormat/>
    <w:uiPriority w:val="0"/>
    <w:rPr>
      <w:rFonts w:ascii="Arial" w:hAnsi="Arial" w:eastAsia="黑体"/>
      <w:b/>
      <w:kern w:val="0"/>
      <w:sz w:val="30"/>
      <w:szCs w:val="20"/>
    </w:rPr>
  </w:style>
  <w:style w:type="character" w:customStyle="1" w:styleId="36">
    <w:name w:val="标题 3 Char"/>
    <w:link w:val="4"/>
    <w:qFormat/>
    <w:uiPriority w:val="0"/>
    <w:rPr>
      <w:b/>
      <w:sz w:val="32"/>
    </w:rPr>
  </w:style>
  <w:style w:type="character" w:customStyle="1" w:styleId="37">
    <w:name w:val="标题 4 Char"/>
    <w:link w:val="5"/>
    <w:qFormat/>
    <w:uiPriority w:val="0"/>
    <w:rPr>
      <w:rFonts w:ascii="Arial" w:hAnsi="Arial" w:eastAsia="黑体"/>
      <w:b/>
      <w:sz w:val="28"/>
    </w:rPr>
  </w:style>
  <w:style w:type="paragraph" w:customStyle="1" w:styleId="38">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39">
    <w:name w:val="font51"/>
    <w:basedOn w:val="23"/>
    <w:qFormat/>
    <w:uiPriority w:val="0"/>
    <w:rPr>
      <w:rFonts w:hint="eastAsia" w:ascii="宋体" w:hAnsi="宋体" w:eastAsia="宋体" w:cs="宋体"/>
      <w:color w:val="000000"/>
      <w:sz w:val="20"/>
      <w:szCs w:val="20"/>
      <w:u w:val="none"/>
    </w:rPr>
  </w:style>
  <w:style w:type="character" w:customStyle="1" w:styleId="40">
    <w:name w:val="font01"/>
    <w:basedOn w:val="23"/>
    <w:qFormat/>
    <w:uiPriority w:val="0"/>
    <w:rPr>
      <w:rFonts w:hint="eastAsia" w:ascii="宋体" w:hAnsi="宋体" w:eastAsia="宋体" w:cs="宋体"/>
      <w:color w:val="000000"/>
      <w:sz w:val="22"/>
      <w:szCs w:val="22"/>
      <w:u w:val="none"/>
    </w:rPr>
  </w:style>
  <w:style w:type="character" w:customStyle="1" w:styleId="41">
    <w:name w:val="font101"/>
    <w:basedOn w:val="23"/>
    <w:qFormat/>
    <w:uiPriority w:val="0"/>
    <w:rPr>
      <w:rFonts w:hint="eastAsia" w:ascii="宋体" w:hAnsi="宋体" w:eastAsia="宋体" w:cs="宋体"/>
      <w:color w:val="231F20"/>
      <w:sz w:val="22"/>
      <w:szCs w:val="22"/>
      <w:u w:val="none"/>
    </w:rPr>
  </w:style>
  <w:style w:type="character" w:customStyle="1" w:styleId="42">
    <w:name w:val="font131"/>
    <w:basedOn w:val="23"/>
    <w:qFormat/>
    <w:uiPriority w:val="0"/>
    <w:rPr>
      <w:rFonts w:hint="eastAsia" w:ascii="宋体" w:hAnsi="宋体" w:eastAsia="宋体" w:cs="宋体"/>
      <w:color w:val="000000"/>
      <w:sz w:val="22"/>
      <w:szCs w:val="22"/>
      <w:u w:val="none"/>
    </w:rPr>
  </w:style>
  <w:style w:type="character" w:customStyle="1" w:styleId="43">
    <w:name w:val="font171"/>
    <w:basedOn w:val="23"/>
    <w:qFormat/>
    <w:uiPriority w:val="0"/>
    <w:rPr>
      <w:rFonts w:hint="eastAsia" w:ascii="宋体" w:hAnsi="宋体" w:eastAsia="宋体" w:cs="宋体"/>
      <w:color w:val="231F20"/>
      <w:sz w:val="22"/>
      <w:szCs w:val="22"/>
      <w:u w:val="none"/>
    </w:rPr>
  </w:style>
  <w:style w:type="character" w:customStyle="1" w:styleId="44">
    <w:name w:val="font161"/>
    <w:basedOn w:val="23"/>
    <w:qFormat/>
    <w:uiPriority w:val="0"/>
    <w:rPr>
      <w:rFonts w:hint="eastAsia" w:ascii="宋体" w:hAnsi="宋体" w:eastAsia="宋体" w:cs="宋体"/>
      <w:color w:val="FF0000"/>
      <w:sz w:val="20"/>
      <w:szCs w:val="20"/>
      <w:u w:val="none"/>
    </w:rPr>
  </w:style>
  <w:style w:type="character" w:customStyle="1" w:styleId="45">
    <w:name w:val="font81"/>
    <w:basedOn w:val="23"/>
    <w:qFormat/>
    <w:uiPriority w:val="0"/>
    <w:rPr>
      <w:rFonts w:hint="eastAsia" w:ascii="宋体" w:hAnsi="宋体" w:eastAsia="宋体" w:cs="宋体"/>
      <w:color w:val="000000"/>
      <w:sz w:val="20"/>
      <w:szCs w:val="20"/>
      <w:u w:val="none"/>
    </w:rPr>
  </w:style>
  <w:style w:type="character" w:customStyle="1" w:styleId="46">
    <w:name w:val="font41"/>
    <w:basedOn w:val="23"/>
    <w:qFormat/>
    <w:uiPriority w:val="0"/>
    <w:rPr>
      <w:rFonts w:hint="eastAsia" w:ascii="宋体" w:hAnsi="宋体" w:eastAsia="宋体" w:cs="宋体"/>
      <w:color w:val="000000"/>
      <w:sz w:val="20"/>
      <w:szCs w:val="20"/>
      <w:u w:val="none"/>
    </w:rPr>
  </w:style>
  <w:style w:type="character" w:customStyle="1" w:styleId="47">
    <w:name w:val="font181"/>
    <w:basedOn w:val="23"/>
    <w:qFormat/>
    <w:uiPriority w:val="0"/>
    <w:rPr>
      <w:rFonts w:hint="eastAsia" w:ascii="宋体" w:hAnsi="宋体" w:eastAsia="宋体" w:cs="宋体"/>
      <w:color w:val="333333"/>
      <w:sz w:val="20"/>
      <w:szCs w:val="20"/>
      <w:u w:val="none"/>
    </w:rPr>
  </w:style>
  <w:style w:type="paragraph" w:customStyle="1" w:styleId="48">
    <w:name w:val="Table Text"/>
    <w:basedOn w:val="1"/>
    <w:semiHidden/>
    <w:qFormat/>
    <w:uiPriority w:val="0"/>
    <w:rPr>
      <w:rFonts w:ascii="宋体" w:hAnsi="宋体" w:eastAsia="宋体" w:cs="宋体"/>
      <w:sz w:val="24"/>
      <w:szCs w:val="24"/>
      <w:lang w:val="en-US" w:eastAsia="en-US" w:bidi="ar-SA"/>
    </w:rPr>
  </w:style>
  <w:style w:type="table" w:customStyle="1" w:styleId="49">
    <w:name w:val="Table Normal"/>
    <w:unhideWhenUsed/>
    <w:qFormat/>
    <w:uiPriority w:val="0"/>
    <w:tblPr>
      <w:tblCellMar>
        <w:top w:w="0" w:type="dxa"/>
        <w:left w:w="0" w:type="dxa"/>
        <w:bottom w:w="0" w:type="dxa"/>
        <w:right w:w="0" w:type="dxa"/>
      </w:tblCellMar>
    </w:tblPr>
  </w:style>
  <w:style w:type="character" w:customStyle="1" w:styleId="50">
    <w:name w:val="font11"/>
    <w:basedOn w:val="23"/>
    <w:qFormat/>
    <w:uiPriority w:val="0"/>
    <w:rPr>
      <w:rFonts w:hint="eastAsia" w:ascii="宋体" w:hAnsi="宋体" w:eastAsia="宋体" w:cs="宋体"/>
      <w:color w:val="000000"/>
      <w:sz w:val="20"/>
      <w:szCs w:val="20"/>
      <w:u w:val="none"/>
    </w:rPr>
  </w:style>
  <w:style w:type="character" w:customStyle="1" w:styleId="51">
    <w:name w:val="font61"/>
    <w:basedOn w:val="23"/>
    <w:qFormat/>
    <w:uiPriority w:val="0"/>
    <w:rPr>
      <w:rFonts w:ascii="微软雅黑" w:hAnsi="微软雅黑" w:eastAsia="微软雅黑" w:cs="微软雅黑"/>
      <w:color w:val="000000"/>
      <w:sz w:val="20"/>
      <w:szCs w:val="20"/>
      <w:u w:val="none"/>
    </w:rPr>
  </w:style>
  <w:style w:type="character" w:customStyle="1" w:styleId="52">
    <w:name w:val="font21"/>
    <w:basedOn w:val="23"/>
    <w:qFormat/>
    <w:uiPriority w:val="0"/>
    <w:rPr>
      <w:rFonts w:hint="eastAsia" w:ascii="宋体" w:hAnsi="宋体" w:eastAsia="宋体" w:cs="宋体"/>
      <w:color w:val="000000"/>
      <w:sz w:val="18"/>
      <w:szCs w:val="18"/>
      <w:u w:val="none"/>
    </w:rPr>
  </w:style>
  <w:style w:type="character" w:customStyle="1" w:styleId="53">
    <w:name w:val="font71"/>
    <w:basedOn w:val="23"/>
    <w:qFormat/>
    <w:uiPriority w:val="0"/>
    <w:rPr>
      <w:rFonts w:ascii="Calibri" w:hAnsi="Calibri" w:cs="Calibri"/>
      <w:color w:val="000000"/>
      <w:sz w:val="18"/>
      <w:szCs w:val="18"/>
      <w:u w:val="none"/>
    </w:rPr>
  </w:style>
  <w:style w:type="character" w:customStyle="1" w:styleId="54">
    <w:name w:val="font31"/>
    <w:basedOn w:val="23"/>
    <w:qFormat/>
    <w:uiPriority w:val="0"/>
    <w:rPr>
      <w:rFonts w:hint="default" w:ascii="Times New Roman" w:hAnsi="Times New Roman" w:cs="Times New Roman"/>
      <w:color w:val="000000"/>
      <w:sz w:val="20"/>
      <w:szCs w:val="20"/>
      <w:u w:val="none"/>
    </w:rPr>
  </w:style>
  <w:style w:type="paragraph" w:customStyle="1" w:styleId="55">
    <w:name w:val="BodyText1I2"/>
    <w:basedOn w:val="56"/>
    <w:qFormat/>
    <w:uiPriority w:val="0"/>
    <w:pPr>
      <w:spacing w:after="120" w:line="240" w:lineRule="auto"/>
      <w:ind w:left="420" w:leftChars="200" w:firstLine="420" w:firstLineChars="200"/>
      <w:jc w:val="both"/>
    </w:pPr>
    <w:rPr>
      <w:rFonts w:ascii="Times New Roman" w:hAnsi="Times New Roman"/>
      <w:kern w:val="2"/>
      <w:sz w:val="21"/>
    </w:rPr>
  </w:style>
  <w:style w:type="paragraph" w:customStyle="1" w:styleId="56">
    <w:name w:val="BodyTextIndent"/>
    <w:basedOn w:val="1"/>
    <w:next w:val="57"/>
    <w:qFormat/>
    <w:uiPriority w:val="0"/>
    <w:pPr>
      <w:spacing w:line="360" w:lineRule="auto"/>
      <w:ind w:firstLine="480"/>
      <w:jc w:val="left"/>
      <w:textAlignment w:val="baseline"/>
    </w:pPr>
    <w:rPr>
      <w:rFonts w:ascii="宋体" w:hAnsi="宋体"/>
      <w:kern w:val="0"/>
      <w:sz w:val="24"/>
    </w:rPr>
  </w:style>
  <w:style w:type="paragraph" w:customStyle="1" w:styleId="57">
    <w:name w:val="EnvelopeReturn"/>
    <w:basedOn w:val="1"/>
    <w:qFormat/>
    <w:uiPriority w:val="0"/>
    <w:pPr>
      <w:snapToGrid w:val="0"/>
      <w:textAlignment w:val="baseline"/>
    </w:pPr>
    <w:rPr>
      <w:rFonts w:ascii="Arial" w:hAnsi="Arial"/>
    </w:rPr>
  </w:style>
  <w:style w:type="paragraph" w:styleId="58">
    <w:name w:val="List Paragraph"/>
    <w:basedOn w:val="1"/>
    <w:unhideWhenUsed/>
    <w:qFormat/>
    <w:uiPriority w:val="99"/>
    <w:pPr>
      <w:ind w:firstLine="420"/>
    </w:pPr>
  </w:style>
  <w:style w:type="character" w:customStyle="1" w:styleId="59">
    <w:name w:val="font261"/>
    <w:basedOn w:val="23"/>
    <w:qFormat/>
    <w:uiPriority w:val="0"/>
    <w:rPr>
      <w:rFonts w:hint="eastAsia" w:ascii="宋体" w:hAnsi="宋体" w:eastAsia="宋体" w:cs="宋体"/>
      <w:color w:val="333333"/>
      <w:sz w:val="16"/>
      <w:szCs w:val="16"/>
      <w:u w:val="none"/>
    </w:rPr>
  </w:style>
  <w:style w:type="character" w:customStyle="1" w:styleId="60">
    <w:name w:val="font271"/>
    <w:basedOn w:val="23"/>
    <w:qFormat/>
    <w:uiPriority w:val="0"/>
    <w:rPr>
      <w:rFonts w:ascii="DejaVu Sans" w:hAnsi="DejaVu Sans" w:eastAsia="DejaVu Sans" w:cs="DejaVu Sans"/>
      <w:color w:val="000000"/>
      <w:sz w:val="16"/>
      <w:szCs w:val="16"/>
      <w:u w:val="none"/>
    </w:rPr>
  </w:style>
  <w:style w:type="character" w:customStyle="1" w:styleId="61">
    <w:name w:val="font91"/>
    <w:basedOn w:val="23"/>
    <w:qFormat/>
    <w:uiPriority w:val="0"/>
    <w:rPr>
      <w:rFonts w:hint="eastAsia" w:ascii="宋体" w:hAnsi="宋体" w:eastAsia="宋体" w:cs="宋体"/>
      <w:color w:val="000000"/>
      <w:sz w:val="16"/>
      <w:szCs w:val="16"/>
      <w:u w:val="none"/>
    </w:rPr>
  </w:style>
  <w:style w:type="character" w:customStyle="1" w:styleId="62">
    <w:name w:val="font281"/>
    <w:basedOn w:val="23"/>
    <w:qFormat/>
    <w:uiPriority w:val="0"/>
    <w:rPr>
      <w:rFonts w:hint="default" w:ascii="DejaVu Sans" w:hAnsi="DejaVu Sans" w:eastAsia="DejaVu Sans" w:cs="DejaVu Sans"/>
      <w:color w:val="000000"/>
      <w:sz w:val="16"/>
      <w:szCs w:val="16"/>
      <w:u w:val="none"/>
    </w:rPr>
  </w:style>
  <w:style w:type="paragraph" w:customStyle="1" w:styleId="63">
    <w:name w:val="Table Paragraph"/>
    <w:basedOn w:val="64"/>
    <w:autoRedefine/>
    <w:qFormat/>
    <w:uiPriority w:val="1"/>
    <w:pPr>
      <w:spacing w:before="85"/>
      <w:jc w:val="center"/>
    </w:pPr>
    <w:rPr>
      <w:rFonts w:ascii="宋体" w:hAnsi="宋体" w:eastAsia="宋体" w:cs="宋体"/>
      <w:lang w:val="zh-CN" w:eastAsia="zh-CN" w:bidi="zh-CN"/>
    </w:rPr>
  </w:style>
  <w:style w:type="paragraph" w:customStyle="1" w:styleId="64">
    <w:name w:val="正文_1_0"/>
    <w:basedOn w:val="65"/>
    <w:next w:val="69"/>
    <w:autoRedefine/>
    <w:qFormat/>
    <w:uiPriority w:val="0"/>
    <w:pPr>
      <w:widowControl w:val="0"/>
      <w:jc w:val="both"/>
    </w:pPr>
    <w:rPr>
      <w:rFonts w:eastAsia="仿宋_GB2312"/>
      <w:kern w:val="2"/>
      <w:sz w:val="28"/>
      <w:szCs w:val="24"/>
      <w:lang w:val="en-US" w:eastAsia="zh-CN" w:bidi="ar-SA"/>
    </w:rPr>
  </w:style>
  <w:style w:type="paragraph" w:customStyle="1" w:styleId="65">
    <w:name w:val="正文_1_1"/>
    <w:basedOn w:val="66"/>
    <w:autoRedefine/>
    <w:qFormat/>
    <w:uiPriority w:val="0"/>
    <w:pPr>
      <w:widowControl w:val="0"/>
      <w:jc w:val="both"/>
    </w:pPr>
    <w:rPr>
      <w:rFonts w:ascii="Calibri" w:hAnsi="Calibri"/>
      <w:kern w:val="2"/>
      <w:sz w:val="21"/>
      <w:szCs w:val="22"/>
      <w:lang w:val="en-US" w:eastAsia="zh-CN" w:bidi="ar-SA"/>
    </w:rPr>
  </w:style>
  <w:style w:type="paragraph" w:customStyle="1" w:styleId="66">
    <w:name w:val="正文_5"/>
    <w:next w:val="6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引文目录标题_0"/>
    <w:basedOn w:val="68"/>
    <w:next w:val="66"/>
    <w:autoRedefine/>
    <w:qFormat/>
    <w:uiPriority w:val="0"/>
    <w:pPr>
      <w:spacing w:before="120"/>
    </w:pPr>
    <w:rPr>
      <w:rFonts w:ascii="Arial" w:hAnsi="Arial"/>
      <w:sz w:val="24"/>
    </w:rPr>
  </w:style>
  <w:style w:type="paragraph" w:customStyle="1" w:styleId="68">
    <w:name w:val="正文_2_0"/>
    <w:basedOn w:val="65"/>
    <w:next w:val="67"/>
    <w:autoRedefine/>
    <w:qFormat/>
    <w:uiPriority w:val="0"/>
    <w:pPr>
      <w:widowControl w:val="0"/>
      <w:jc w:val="both"/>
    </w:pPr>
    <w:rPr>
      <w:rFonts w:ascii="Calibri" w:hAnsi="Calibri"/>
      <w:kern w:val="2"/>
      <w:sz w:val="21"/>
      <w:szCs w:val="22"/>
      <w:lang w:val="en-US" w:eastAsia="zh-CN"/>
    </w:rPr>
  </w:style>
  <w:style w:type="paragraph" w:customStyle="1" w:styleId="69">
    <w:name w:val="正文首行缩进1"/>
    <w:basedOn w:val="70"/>
    <w:autoRedefine/>
    <w:unhideWhenUsed/>
    <w:qFormat/>
    <w:uiPriority w:val="99"/>
    <w:pPr>
      <w:ind w:firstLine="420" w:firstLineChars="100"/>
    </w:pPr>
    <w:rPr>
      <w:szCs w:val="22"/>
    </w:rPr>
  </w:style>
  <w:style w:type="paragraph" w:customStyle="1" w:styleId="70">
    <w:name w:val="正文文本_0_0"/>
    <w:basedOn w:val="71"/>
    <w:autoRedefine/>
    <w:qFormat/>
    <w:uiPriority w:val="0"/>
    <w:pPr>
      <w:spacing w:after="120"/>
    </w:pPr>
    <w:rPr>
      <w:rFonts w:ascii="Times New Roman" w:hAnsi="Times New Roman" w:eastAsia="宋体"/>
      <w:szCs w:val="24"/>
    </w:rPr>
  </w:style>
  <w:style w:type="paragraph" w:customStyle="1" w:styleId="71">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73">
    <w:name w:val="Body text|1"/>
    <w:basedOn w:val="1"/>
    <w:qFormat/>
    <w:uiPriority w:val="0"/>
    <w:pPr>
      <w:widowControl w:val="0"/>
      <w:shd w:val="clear" w:color="auto" w:fill="auto"/>
      <w:spacing w:line="382"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header" Target="header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66</Pages>
  <Words>6875</Words>
  <Characters>7312</Characters>
  <Lines>1</Lines>
  <Paragraphs>1</Paragraphs>
  <TotalTime>3</TotalTime>
  <ScaleCrop>false</ScaleCrop>
  <LinksUpToDate>false</LinksUpToDate>
  <CharactersWithSpaces>7390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WPS_1750420902</cp:lastModifiedBy>
  <cp:lastPrinted>2025-05-23T02:49:00Z</cp:lastPrinted>
  <dcterms:modified xsi:type="dcterms:W3CDTF">2026-04-13T02:34:31Z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0010C64C70784C76AA657475F061A336_13</vt:lpwstr>
  </property>
  <property fmtid="{D5CDD505-2E9C-101B-9397-08002B2CF9AE}" pid="4" name="KSOTemplateDocerSaveRecord">
    <vt:lpwstr>eyJoZGlkIjoiYWQzZDJkMTcwMGI3ODk5Y2RkZTJmNjEzOTc4ZDYzNmQiLCJ1c2VySWQiOiIxNzEyMTM0Njk0In0=</vt:lpwstr>
  </property>
</Properties>
</file>