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CE763C">
      <w:pPr>
        <w:snapToGrid w:val="0"/>
        <w:spacing w:after="120" w:line="540" w:lineRule="exact"/>
        <w:jc w:val="left"/>
        <w:outlineLvl w:val="9"/>
        <w:rPr>
          <w:rFonts w:hint="eastAsia" w:ascii="宋体" w:hAnsi="宋体" w:eastAsia="宋体" w:cs="宋体"/>
          <w:color w:val="auto"/>
          <w:sz w:val="24"/>
          <w:szCs w:val="24"/>
          <w:highlight w:val="none"/>
        </w:rPr>
      </w:pPr>
    </w:p>
    <w:p w14:paraId="5958DA7D">
      <w:pPr>
        <w:numPr>
          <w:ilvl w:val="3"/>
          <w:numId w:val="0"/>
        </w:numPr>
        <w:ind w:leftChars="0"/>
        <w:outlineLvl w:val="9"/>
        <w:rPr>
          <w:rFonts w:hint="eastAsia" w:ascii="宋体" w:hAnsi="宋体" w:eastAsia="宋体" w:cs="宋体"/>
          <w:color w:val="auto"/>
          <w:sz w:val="24"/>
          <w:szCs w:val="24"/>
          <w:highlight w:val="none"/>
        </w:rPr>
      </w:pPr>
    </w:p>
    <w:p w14:paraId="2567AADE">
      <w:pPr>
        <w:snapToGrid w:val="0"/>
        <w:spacing w:line="360" w:lineRule="auto"/>
        <w:jc w:val="center"/>
        <w:rPr>
          <w:rStyle w:val="41"/>
          <w:rFonts w:hint="eastAsia" w:ascii="宋体" w:hAnsi="宋体" w:eastAsia="宋体" w:cs="宋体"/>
          <w:color w:val="auto"/>
          <w:sz w:val="52"/>
          <w:szCs w:val="52"/>
          <w:highlight w:val="none"/>
        </w:rPr>
      </w:pPr>
      <w:r>
        <w:rPr>
          <w:rFonts w:hint="eastAsia" w:ascii="宋体" w:hAnsi="宋体" w:eastAsia="宋体" w:cs="宋体"/>
          <w:b/>
          <w:color w:val="auto"/>
          <w:sz w:val="52"/>
          <w:szCs w:val="52"/>
          <w:highlight w:val="none"/>
        </w:rPr>
        <w:t>招 标 文 件</w:t>
      </w:r>
    </w:p>
    <w:p w14:paraId="33611BCD">
      <w:pPr>
        <w:numPr>
          <w:ilvl w:val="3"/>
          <w:numId w:val="0"/>
        </w:numPr>
        <w:ind w:leftChars="0"/>
        <w:outlineLvl w:val="9"/>
        <w:rPr>
          <w:rFonts w:hint="eastAsia" w:ascii="宋体" w:hAnsi="宋体" w:eastAsia="宋体" w:cs="宋体"/>
          <w:color w:val="auto"/>
          <w:sz w:val="24"/>
          <w:szCs w:val="24"/>
          <w:highlight w:val="none"/>
        </w:rPr>
      </w:pPr>
    </w:p>
    <w:p w14:paraId="3142E671">
      <w:pPr>
        <w:rPr>
          <w:rFonts w:hint="eastAsia" w:ascii="宋体" w:hAnsi="宋体" w:eastAsia="宋体" w:cs="宋体"/>
          <w:color w:val="auto"/>
          <w:sz w:val="24"/>
          <w:szCs w:val="24"/>
          <w:highlight w:val="none"/>
        </w:rPr>
      </w:pPr>
    </w:p>
    <w:p w14:paraId="768FDB19">
      <w:pPr>
        <w:snapToGrid w:val="0"/>
        <w:spacing w:line="480" w:lineRule="auto"/>
        <w:ind w:firstLine="357"/>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rPr>
        <w:t>项目名称：</w:t>
      </w:r>
      <w:r>
        <w:rPr>
          <w:rStyle w:val="39"/>
          <w:rFonts w:hint="eastAsia" w:ascii="宋体" w:hAnsi="宋体" w:eastAsia="宋体" w:cs="宋体"/>
          <w:bCs/>
          <w:color w:val="auto"/>
          <w:sz w:val="24"/>
          <w:szCs w:val="24"/>
          <w:highlight w:val="none"/>
          <w:lang w:val="en-US" w:eastAsia="zh-CN"/>
        </w:rPr>
        <w:t>喀什地区疾病预防控制中心（喀什地区卫生监督所）应急物资采购项目</w:t>
      </w:r>
    </w:p>
    <w:p w14:paraId="6ED0F984">
      <w:pPr>
        <w:snapToGrid w:val="0"/>
        <w:spacing w:line="480" w:lineRule="auto"/>
        <w:ind w:firstLine="357"/>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rPr>
        <w:t>项目编号：</w:t>
      </w:r>
      <w:r>
        <w:rPr>
          <w:rStyle w:val="39"/>
          <w:rFonts w:hint="eastAsia" w:ascii="宋体" w:hAnsi="宋体" w:eastAsia="宋体" w:cs="宋体"/>
          <w:bCs/>
          <w:color w:val="auto"/>
          <w:sz w:val="24"/>
          <w:szCs w:val="24"/>
          <w:highlight w:val="none"/>
          <w:lang w:val="en-US" w:eastAsia="zh-CN"/>
        </w:rPr>
        <w:t>TYHWZB2026-034</w:t>
      </w:r>
    </w:p>
    <w:p w14:paraId="3D86AD60">
      <w:pPr>
        <w:snapToGrid w:val="0"/>
        <w:spacing w:line="480" w:lineRule="auto"/>
        <w:ind w:firstLine="357"/>
        <w:rPr>
          <w:rStyle w:val="39"/>
          <w:rFonts w:hint="eastAsia" w:ascii="宋体" w:hAnsi="宋体" w:eastAsia="宋体" w:cs="宋体"/>
          <w:bCs/>
          <w:color w:val="auto"/>
          <w:sz w:val="24"/>
          <w:szCs w:val="24"/>
          <w:highlight w:val="none"/>
          <w:lang w:eastAsia="zh-CN"/>
        </w:rPr>
      </w:pPr>
      <w:r>
        <w:rPr>
          <w:rStyle w:val="39"/>
          <w:rFonts w:hint="eastAsia" w:ascii="宋体" w:hAnsi="宋体" w:eastAsia="宋体" w:cs="宋体"/>
          <w:bCs/>
          <w:color w:val="auto"/>
          <w:sz w:val="24"/>
          <w:szCs w:val="24"/>
          <w:highlight w:val="none"/>
        </w:rPr>
        <w:t>采购人（盖章）：</w:t>
      </w:r>
      <w:r>
        <w:rPr>
          <w:rStyle w:val="39"/>
          <w:rFonts w:hint="eastAsia" w:ascii="宋体" w:hAnsi="宋体" w:eastAsia="宋体" w:cs="宋体"/>
          <w:bCs/>
          <w:color w:val="auto"/>
          <w:sz w:val="24"/>
          <w:szCs w:val="24"/>
          <w:highlight w:val="none"/>
          <w:lang w:eastAsia="zh-CN"/>
        </w:rPr>
        <w:t>喀什地区疾病预防控制中心（喀什地区卫生监督所）</w:t>
      </w:r>
    </w:p>
    <w:p w14:paraId="5DF0D1FA">
      <w:pPr>
        <w:snapToGrid w:val="0"/>
        <w:spacing w:line="480" w:lineRule="auto"/>
        <w:ind w:firstLine="357"/>
        <w:rPr>
          <w:rStyle w:val="39"/>
          <w:rFonts w:hint="eastAsia" w:ascii="宋体" w:hAnsi="宋体" w:eastAsia="宋体" w:cs="宋体"/>
          <w:bCs/>
          <w:color w:val="auto"/>
          <w:sz w:val="24"/>
          <w:szCs w:val="24"/>
          <w:highlight w:val="none"/>
        </w:rPr>
      </w:pPr>
      <w:r>
        <w:rPr>
          <w:rStyle w:val="39"/>
          <w:rFonts w:hint="eastAsia" w:ascii="宋体" w:hAnsi="宋体" w:eastAsia="宋体" w:cs="宋体"/>
          <w:bCs/>
          <w:color w:val="auto"/>
          <w:sz w:val="24"/>
          <w:szCs w:val="24"/>
          <w:highlight w:val="none"/>
        </w:rPr>
        <w:t>联系人：</w:t>
      </w:r>
      <w:r>
        <w:rPr>
          <w:rStyle w:val="39"/>
          <w:rFonts w:hint="eastAsia" w:ascii="宋体" w:hAnsi="宋体" w:eastAsia="宋体" w:cs="宋体"/>
          <w:bCs/>
          <w:color w:val="auto"/>
          <w:sz w:val="24"/>
          <w:szCs w:val="24"/>
          <w:highlight w:val="none"/>
          <w:lang w:val="en-US" w:eastAsia="zh-CN"/>
        </w:rPr>
        <w:t>古丽米热</w:t>
      </w:r>
    </w:p>
    <w:p w14:paraId="0ED71842">
      <w:pPr>
        <w:snapToGrid w:val="0"/>
        <w:spacing w:line="480" w:lineRule="auto"/>
        <w:ind w:firstLine="357"/>
        <w:rPr>
          <w:rStyle w:val="39"/>
          <w:rFonts w:hint="eastAsia" w:ascii="宋体" w:hAnsi="宋体" w:eastAsia="宋体" w:cs="宋体"/>
          <w:bCs/>
          <w:color w:val="auto"/>
          <w:sz w:val="24"/>
          <w:szCs w:val="24"/>
          <w:highlight w:val="none"/>
        </w:rPr>
      </w:pPr>
      <w:r>
        <w:rPr>
          <w:rStyle w:val="39"/>
          <w:rFonts w:hint="eastAsia" w:ascii="宋体" w:hAnsi="宋体" w:eastAsia="宋体" w:cs="宋体"/>
          <w:bCs/>
          <w:color w:val="auto"/>
          <w:sz w:val="24"/>
          <w:szCs w:val="24"/>
          <w:highlight w:val="none"/>
        </w:rPr>
        <w:t>电话：</w:t>
      </w:r>
      <w:r>
        <w:rPr>
          <w:rStyle w:val="39"/>
          <w:rFonts w:hint="eastAsia" w:ascii="宋体" w:hAnsi="宋体" w:eastAsia="宋体" w:cs="宋体"/>
          <w:bCs/>
          <w:color w:val="auto"/>
          <w:sz w:val="24"/>
          <w:szCs w:val="24"/>
          <w:highlight w:val="none"/>
          <w:lang w:val="en-US" w:eastAsia="zh-CN"/>
        </w:rPr>
        <w:t>09982871093</w:t>
      </w:r>
    </w:p>
    <w:p w14:paraId="4588F823">
      <w:pPr>
        <w:snapToGrid w:val="0"/>
        <w:spacing w:line="480" w:lineRule="auto"/>
        <w:ind w:firstLine="357"/>
        <w:rPr>
          <w:rStyle w:val="39"/>
          <w:rFonts w:hint="eastAsia" w:ascii="宋体" w:hAnsi="宋体" w:eastAsia="宋体" w:cs="宋体"/>
          <w:bCs/>
          <w:color w:val="auto"/>
          <w:sz w:val="24"/>
          <w:szCs w:val="24"/>
          <w:highlight w:val="none"/>
          <w:lang w:eastAsia="zh-CN"/>
        </w:rPr>
      </w:pPr>
      <w:r>
        <w:rPr>
          <w:rStyle w:val="39"/>
          <w:rFonts w:hint="eastAsia" w:ascii="宋体" w:hAnsi="宋体" w:eastAsia="宋体" w:cs="宋体"/>
          <w:bCs/>
          <w:color w:val="auto"/>
          <w:sz w:val="24"/>
          <w:szCs w:val="24"/>
          <w:highlight w:val="none"/>
        </w:rPr>
        <w:t>详细地址：</w:t>
      </w:r>
      <w:r>
        <w:rPr>
          <w:rStyle w:val="39"/>
          <w:rFonts w:hint="eastAsia" w:ascii="宋体" w:hAnsi="宋体" w:eastAsia="宋体" w:cs="宋体"/>
          <w:bCs/>
          <w:color w:val="auto"/>
          <w:sz w:val="24"/>
          <w:szCs w:val="24"/>
          <w:highlight w:val="none"/>
          <w:lang w:eastAsia="zh-CN"/>
        </w:rPr>
        <w:t>喀什地区疏附县花城大道北侧81号</w:t>
      </w:r>
    </w:p>
    <w:p w14:paraId="5F8E18A4">
      <w:pPr>
        <w:snapToGrid w:val="0"/>
        <w:spacing w:line="480" w:lineRule="auto"/>
        <w:ind w:firstLine="357"/>
        <w:rPr>
          <w:rStyle w:val="39"/>
          <w:rFonts w:hint="eastAsia" w:ascii="宋体" w:hAnsi="宋体" w:eastAsia="宋体" w:cs="宋体"/>
          <w:bCs/>
          <w:color w:val="auto"/>
          <w:sz w:val="24"/>
          <w:szCs w:val="24"/>
          <w:highlight w:val="none"/>
        </w:rPr>
      </w:pPr>
    </w:p>
    <w:p w14:paraId="3588E123">
      <w:pPr>
        <w:snapToGrid w:val="0"/>
        <w:spacing w:line="480" w:lineRule="auto"/>
        <w:ind w:firstLine="357"/>
        <w:rPr>
          <w:rStyle w:val="39"/>
          <w:rFonts w:hint="eastAsia" w:ascii="宋体" w:hAnsi="宋体" w:eastAsia="宋体" w:cs="宋体"/>
          <w:bCs/>
          <w:color w:val="auto"/>
          <w:sz w:val="24"/>
          <w:szCs w:val="24"/>
          <w:highlight w:val="none"/>
        </w:rPr>
      </w:pPr>
      <w:r>
        <w:rPr>
          <w:rStyle w:val="39"/>
          <w:rFonts w:hint="eastAsia" w:ascii="宋体" w:hAnsi="宋体" w:eastAsia="宋体" w:cs="宋体"/>
          <w:bCs/>
          <w:color w:val="auto"/>
          <w:sz w:val="24"/>
          <w:szCs w:val="24"/>
          <w:highlight w:val="none"/>
        </w:rPr>
        <w:t>采购代理机构（盖章）：新疆拓源工程管理咨询有限公司</w:t>
      </w:r>
    </w:p>
    <w:p w14:paraId="3560A2BD">
      <w:pPr>
        <w:snapToGrid w:val="0"/>
        <w:spacing w:line="480" w:lineRule="auto"/>
        <w:ind w:firstLine="357"/>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rPr>
        <w:t>法定代表人</w:t>
      </w:r>
      <w:r>
        <w:rPr>
          <w:rStyle w:val="39"/>
          <w:rFonts w:hint="eastAsia" w:ascii="宋体" w:hAnsi="宋体" w:eastAsia="宋体" w:cs="宋体"/>
          <w:bCs/>
          <w:color w:val="auto"/>
          <w:sz w:val="24"/>
          <w:szCs w:val="24"/>
          <w:highlight w:val="none"/>
          <w:lang w:val="en-US" w:eastAsia="zh-CN"/>
        </w:rPr>
        <w:t>：石崇华</w:t>
      </w:r>
    </w:p>
    <w:p w14:paraId="19F23A74">
      <w:pPr>
        <w:snapToGrid w:val="0"/>
        <w:spacing w:line="480" w:lineRule="auto"/>
        <w:ind w:firstLine="357"/>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pacing w:val="35"/>
          <w:kern w:val="0"/>
          <w:sz w:val="24"/>
          <w:szCs w:val="24"/>
          <w:highlight w:val="none"/>
        </w:rPr>
        <w:t>项目联系人</w:t>
      </w:r>
      <w:r>
        <w:rPr>
          <w:rStyle w:val="39"/>
          <w:rFonts w:hint="eastAsia" w:ascii="宋体" w:hAnsi="宋体" w:eastAsia="宋体" w:cs="宋体"/>
          <w:bCs/>
          <w:color w:val="auto"/>
          <w:sz w:val="24"/>
          <w:szCs w:val="24"/>
          <w:highlight w:val="none"/>
        </w:rPr>
        <w:t>：</w:t>
      </w:r>
      <w:r>
        <w:rPr>
          <w:rStyle w:val="39"/>
          <w:rFonts w:hint="eastAsia" w:ascii="宋体" w:hAnsi="宋体" w:eastAsia="宋体" w:cs="宋体"/>
          <w:bCs/>
          <w:color w:val="auto"/>
          <w:sz w:val="24"/>
          <w:szCs w:val="24"/>
          <w:highlight w:val="none"/>
          <w:lang w:val="en-US" w:eastAsia="zh-CN"/>
        </w:rPr>
        <w:t>杨雯、杨蒙蒙、金山虎、田释月、龚丽君</w:t>
      </w:r>
    </w:p>
    <w:p w14:paraId="5EF403D9">
      <w:pPr>
        <w:snapToGrid w:val="0"/>
        <w:spacing w:line="480" w:lineRule="auto"/>
        <w:ind w:firstLine="357"/>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pacing w:val="560"/>
          <w:kern w:val="0"/>
          <w:sz w:val="24"/>
          <w:szCs w:val="24"/>
          <w:highlight w:val="none"/>
        </w:rPr>
        <w:t>电</w:t>
      </w:r>
      <w:r>
        <w:rPr>
          <w:rStyle w:val="39"/>
          <w:rFonts w:hint="eastAsia" w:ascii="宋体" w:hAnsi="宋体" w:eastAsia="宋体" w:cs="宋体"/>
          <w:bCs/>
          <w:color w:val="auto"/>
          <w:kern w:val="0"/>
          <w:sz w:val="24"/>
          <w:szCs w:val="24"/>
          <w:highlight w:val="none"/>
        </w:rPr>
        <w:t>话</w:t>
      </w:r>
      <w:r>
        <w:rPr>
          <w:rStyle w:val="39"/>
          <w:rFonts w:hint="eastAsia" w:ascii="宋体" w:hAnsi="宋体" w:eastAsia="宋体" w:cs="宋体"/>
          <w:bCs/>
          <w:color w:val="auto"/>
          <w:sz w:val="24"/>
          <w:szCs w:val="24"/>
          <w:highlight w:val="none"/>
        </w:rPr>
        <w:t>：</w:t>
      </w:r>
      <w:r>
        <w:rPr>
          <w:rStyle w:val="39"/>
          <w:rFonts w:hint="eastAsia" w:ascii="宋体" w:hAnsi="宋体" w:eastAsia="宋体" w:cs="宋体"/>
          <w:bCs/>
          <w:color w:val="auto"/>
          <w:sz w:val="24"/>
          <w:szCs w:val="24"/>
          <w:highlight w:val="none"/>
          <w:lang w:eastAsia="zh-CN"/>
        </w:rPr>
        <w:t>17853507578</w:t>
      </w:r>
    </w:p>
    <w:p w14:paraId="0160D472">
      <w:pPr>
        <w:snapToGrid w:val="0"/>
        <w:spacing w:line="480" w:lineRule="auto"/>
        <w:ind w:firstLine="357"/>
        <w:rPr>
          <w:rStyle w:val="39"/>
          <w:rFonts w:hint="eastAsia" w:ascii="宋体" w:hAnsi="宋体" w:eastAsia="宋体" w:cs="宋体"/>
          <w:bCs/>
          <w:color w:val="auto"/>
          <w:sz w:val="24"/>
          <w:szCs w:val="24"/>
          <w:highlight w:val="none"/>
          <w:lang w:eastAsia="zh-CN"/>
        </w:rPr>
      </w:pPr>
      <w:r>
        <w:rPr>
          <w:rStyle w:val="39"/>
          <w:rFonts w:hint="eastAsia" w:ascii="宋体" w:hAnsi="宋体" w:eastAsia="宋体" w:cs="宋体"/>
          <w:bCs/>
          <w:color w:val="auto"/>
          <w:spacing w:val="93"/>
          <w:kern w:val="0"/>
          <w:sz w:val="24"/>
          <w:szCs w:val="24"/>
          <w:highlight w:val="none"/>
        </w:rPr>
        <w:t>详细地</w:t>
      </w:r>
      <w:r>
        <w:rPr>
          <w:rStyle w:val="39"/>
          <w:rFonts w:hint="eastAsia" w:ascii="宋体" w:hAnsi="宋体" w:eastAsia="宋体" w:cs="宋体"/>
          <w:bCs/>
          <w:color w:val="auto"/>
          <w:spacing w:val="1"/>
          <w:kern w:val="0"/>
          <w:sz w:val="24"/>
          <w:szCs w:val="24"/>
          <w:highlight w:val="none"/>
        </w:rPr>
        <w:t>址：</w:t>
      </w:r>
      <w:r>
        <w:rPr>
          <w:rStyle w:val="39"/>
          <w:rFonts w:hint="eastAsia" w:ascii="宋体" w:hAnsi="宋体" w:eastAsia="宋体" w:cs="宋体"/>
          <w:bCs/>
          <w:color w:val="auto"/>
          <w:sz w:val="24"/>
          <w:szCs w:val="24"/>
          <w:highlight w:val="none"/>
          <w:lang w:eastAsia="zh-CN"/>
        </w:rPr>
        <w:t>新疆喀什地区喀什市人民东路财富大厦8楼807室</w:t>
      </w:r>
    </w:p>
    <w:p w14:paraId="6AFD04A8">
      <w:pPr>
        <w:pStyle w:val="10"/>
        <w:rPr>
          <w:rStyle w:val="39"/>
          <w:rFonts w:hint="eastAsia" w:ascii="宋体" w:hAnsi="宋体" w:eastAsia="宋体" w:cs="宋体"/>
          <w:bCs/>
          <w:color w:val="auto"/>
          <w:sz w:val="24"/>
          <w:szCs w:val="24"/>
          <w:highlight w:val="none"/>
        </w:rPr>
      </w:pPr>
    </w:p>
    <w:p w14:paraId="33D9D50E">
      <w:pPr>
        <w:spacing w:line="500" w:lineRule="exact"/>
        <w:jc w:val="center"/>
        <w:rPr>
          <w:rFonts w:hint="eastAsia" w:ascii="宋体" w:hAnsi="宋体" w:eastAsia="宋体" w:cs="宋体"/>
          <w:b/>
          <w:color w:val="auto"/>
          <w:sz w:val="24"/>
          <w:szCs w:val="24"/>
          <w:highlight w:val="none"/>
        </w:rPr>
      </w:pPr>
      <w:bookmarkStart w:id="0" w:name="_Toc31371"/>
    </w:p>
    <w:p w14:paraId="73E16BAA">
      <w:pPr>
        <w:snapToGrid w:val="0"/>
        <w:spacing w:after="120" w:line="540" w:lineRule="exact"/>
        <w:ind w:firstLine="437"/>
        <w:jc w:val="center"/>
        <w:rPr>
          <w:rFonts w:hint="eastAsia" w:ascii="宋体" w:hAnsi="宋体" w:eastAsia="宋体" w:cs="宋体"/>
          <w:color w:val="auto"/>
          <w:sz w:val="24"/>
          <w:szCs w:val="24"/>
          <w:highlight w:val="none"/>
        </w:rPr>
      </w:pPr>
    </w:p>
    <w:p w14:paraId="5626D6F0">
      <w:pPr>
        <w:snapToGrid w:val="0"/>
        <w:spacing w:after="120"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5F6A114">
      <w:pPr>
        <w:snapToGrid w:val="0"/>
        <w:spacing w:after="120" w:line="480" w:lineRule="auto"/>
        <w:jc w:val="left"/>
        <w:rPr>
          <w:rFonts w:hint="eastAsia" w:ascii="宋体" w:hAnsi="宋体" w:eastAsia="宋体" w:cs="宋体"/>
          <w:color w:val="auto"/>
          <w:sz w:val="24"/>
          <w:szCs w:val="24"/>
          <w:highlight w:val="none"/>
        </w:rPr>
      </w:pPr>
    </w:p>
    <w:p w14:paraId="55602E74">
      <w:pPr>
        <w:snapToGrid w:val="0"/>
        <w:spacing w:after="120" w:line="480" w:lineRule="auto"/>
        <w:jc w:val="left"/>
        <w:rPr>
          <w:rFonts w:hint="eastAsia" w:ascii="宋体" w:hAnsi="宋体" w:eastAsia="宋体" w:cs="宋体"/>
          <w:color w:val="auto"/>
          <w:sz w:val="24"/>
          <w:szCs w:val="24"/>
          <w:highlight w:val="none"/>
        </w:rPr>
      </w:pPr>
    </w:p>
    <w:p w14:paraId="6B00EF7E">
      <w:pPr>
        <w:snapToGrid w:val="0"/>
        <w:spacing w:after="120" w:line="480" w:lineRule="auto"/>
        <w:ind w:firstLine="1920" w:firstLineChars="8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文件编制 : </w:t>
      </w:r>
      <w:r>
        <w:rPr>
          <w:rFonts w:hint="eastAsia" w:ascii="宋体" w:hAnsi="宋体" w:eastAsia="宋体" w:cs="宋体"/>
          <w:color w:val="auto"/>
          <w:sz w:val="24"/>
          <w:szCs w:val="24"/>
          <w:highlight w:val="none"/>
          <w:lang w:val="en-US" w:eastAsia="zh-CN"/>
        </w:rPr>
        <w:t>杨雯、杨蒙蒙、龚丽君</w:t>
      </w:r>
    </w:p>
    <w:p w14:paraId="4B332DF2">
      <w:pPr>
        <w:snapToGrid w:val="0"/>
        <w:spacing w:after="120" w:line="48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文件复核 :  </w:t>
      </w:r>
      <w:r>
        <w:rPr>
          <w:rFonts w:hint="eastAsia" w:ascii="宋体" w:hAnsi="宋体" w:eastAsia="宋体" w:cs="宋体"/>
          <w:color w:val="auto"/>
          <w:sz w:val="24"/>
          <w:szCs w:val="24"/>
          <w:highlight w:val="none"/>
          <w:lang w:val="en-US" w:eastAsia="zh-CN"/>
        </w:rPr>
        <w:t>田释月</w:t>
      </w:r>
    </w:p>
    <w:p w14:paraId="3D581D15">
      <w:pPr>
        <w:snapToGrid w:val="0"/>
        <w:spacing w:after="120"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文件终审 :  </w:t>
      </w:r>
      <w:r>
        <w:rPr>
          <w:rFonts w:hint="eastAsia" w:ascii="宋体" w:hAnsi="宋体" w:eastAsia="宋体" w:cs="宋体"/>
          <w:color w:val="auto"/>
          <w:sz w:val="24"/>
          <w:szCs w:val="24"/>
          <w:highlight w:val="none"/>
          <w:lang w:val="en-US" w:eastAsia="zh-CN"/>
        </w:rPr>
        <w:t>金山虎</w:t>
      </w:r>
      <w:r>
        <w:rPr>
          <w:rFonts w:hint="eastAsia" w:ascii="宋体" w:hAnsi="宋体" w:eastAsia="宋体" w:cs="宋体"/>
          <w:color w:val="auto"/>
          <w:sz w:val="24"/>
          <w:szCs w:val="24"/>
          <w:highlight w:val="none"/>
        </w:rPr>
        <w:t xml:space="preserve">   </w:t>
      </w:r>
    </w:p>
    <w:p w14:paraId="5390FB8F">
      <w:pPr>
        <w:snapToGrid w:val="0"/>
        <w:spacing w:after="120"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法律顾问 :  杜  红</w:t>
      </w:r>
    </w:p>
    <w:p w14:paraId="52909987">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200578CD">
      <w:pPr>
        <w:spacing w:line="500" w:lineRule="exact"/>
        <w:jc w:val="center"/>
        <w:rPr>
          <w:rFonts w:hint="eastAsia" w:ascii="宋体" w:hAnsi="宋体" w:eastAsia="宋体" w:cs="宋体"/>
          <w:b/>
          <w:color w:val="auto"/>
          <w:sz w:val="40"/>
          <w:szCs w:val="40"/>
          <w:highlight w:val="none"/>
        </w:rPr>
      </w:pPr>
    </w:p>
    <w:p w14:paraId="35328853">
      <w:pPr>
        <w:spacing w:line="500" w:lineRule="exact"/>
        <w:jc w:val="center"/>
        <w:rPr>
          <w:rFonts w:hint="eastAsia" w:ascii="宋体" w:hAnsi="宋体" w:eastAsia="宋体" w:cs="宋体"/>
          <w:b/>
          <w:color w:val="auto"/>
          <w:sz w:val="40"/>
          <w:szCs w:val="40"/>
          <w:highlight w:val="none"/>
        </w:rPr>
      </w:pPr>
      <w:r>
        <w:rPr>
          <w:rFonts w:hint="eastAsia" w:ascii="宋体" w:hAnsi="宋体" w:eastAsia="宋体" w:cs="宋体"/>
          <w:b/>
          <w:color w:val="auto"/>
          <w:sz w:val="40"/>
          <w:szCs w:val="40"/>
          <w:highlight w:val="none"/>
        </w:rPr>
        <w:t>目    录</w:t>
      </w:r>
      <w:bookmarkEnd w:id="0"/>
    </w:p>
    <w:sdt>
      <w:sdtPr>
        <w:rPr>
          <w:rFonts w:hint="eastAsia" w:ascii="宋体" w:hAnsi="宋体" w:eastAsia="宋体" w:cs="宋体"/>
          <w:kern w:val="2"/>
          <w:sz w:val="21"/>
          <w:szCs w:val="24"/>
          <w:highlight w:val="none"/>
          <w:lang w:val="en-US" w:eastAsia="zh-CN" w:bidi="ar-SA"/>
        </w:rPr>
        <w:id w:val="147456941"/>
        <w15:color w:val="DBDBDB"/>
        <w:docPartObj>
          <w:docPartGallery w:val="Table of Contents"/>
          <w:docPartUnique/>
        </w:docPartObj>
      </w:sdtPr>
      <w:sdtEndPr>
        <w:rPr>
          <w:rFonts w:hint="eastAsia" w:ascii="宋体" w:hAnsi="宋体" w:eastAsia="宋体" w:cs="宋体"/>
          <w:color w:val="auto"/>
          <w:kern w:val="2"/>
          <w:sz w:val="21"/>
          <w:szCs w:val="24"/>
          <w:highlight w:val="none"/>
          <w:lang w:val="en-US" w:eastAsia="zh-CN" w:bidi="ar-SA"/>
        </w:rPr>
      </w:sdtEndPr>
      <w:sdtContent>
        <w:p w14:paraId="5674FA8C">
          <w:pPr>
            <w:spacing w:before="0" w:beforeLines="0" w:after="0" w:afterLines="0" w:line="240" w:lineRule="auto"/>
            <w:ind w:left="0" w:leftChars="0" w:right="0" w:rightChars="0" w:firstLine="0" w:firstLineChars="0"/>
            <w:jc w:val="center"/>
            <w:rPr>
              <w:rFonts w:hint="eastAsia" w:ascii="宋体" w:hAnsi="宋体" w:eastAsia="宋体" w:cs="宋体"/>
              <w:highlight w:val="none"/>
            </w:rPr>
          </w:pPr>
        </w:p>
        <w:p w14:paraId="6610CEE9">
          <w:pPr>
            <w:pStyle w:val="18"/>
            <w:tabs>
              <w:tab w:val="right" w:leader="dot" w:pos="8307"/>
            </w:tabs>
            <w:rPr>
              <w:rFonts w:hint="eastAsia" w:ascii="宋体" w:hAnsi="宋体" w:eastAsia="宋体" w:cs="宋体"/>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_Toc30044 </w:instrText>
          </w:r>
          <w:r>
            <w:rPr>
              <w:rFonts w:hint="eastAsia" w:ascii="宋体" w:hAnsi="宋体" w:eastAsia="宋体" w:cs="宋体"/>
              <w:szCs w:val="24"/>
              <w:highlight w:val="none"/>
            </w:rPr>
            <w:fldChar w:fldCharType="separate"/>
          </w:r>
          <w:r>
            <w:rPr>
              <w:rFonts w:hint="eastAsia" w:ascii="宋体" w:hAnsi="宋体" w:eastAsia="宋体" w:cs="宋体"/>
              <w:bCs/>
              <w:szCs w:val="32"/>
              <w:highlight w:val="none"/>
            </w:rPr>
            <w:t>第一章  招标公告</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_Toc30044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0D3420CB">
          <w:pPr>
            <w:pStyle w:val="18"/>
            <w:tabs>
              <w:tab w:val="right" w:leader="dot" w:pos="8307"/>
            </w:tabs>
            <w:rPr>
              <w:rFonts w:hint="eastAsia" w:ascii="宋体" w:hAnsi="宋体" w:eastAsia="宋体" w:cs="宋体"/>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_Toc5083 </w:instrText>
          </w:r>
          <w:r>
            <w:rPr>
              <w:rFonts w:hint="eastAsia" w:ascii="宋体" w:hAnsi="宋体" w:eastAsia="宋体" w:cs="宋体"/>
              <w:szCs w:val="24"/>
              <w:highlight w:val="none"/>
            </w:rPr>
            <w:fldChar w:fldCharType="separate"/>
          </w:r>
          <w:r>
            <w:rPr>
              <w:rFonts w:hint="eastAsia" w:ascii="宋体" w:hAnsi="宋体" w:eastAsia="宋体" w:cs="宋体"/>
              <w:bCs/>
              <w:szCs w:val="24"/>
              <w:highlight w:val="none"/>
            </w:rPr>
            <w:t xml:space="preserve">第二章  </w:t>
          </w:r>
          <w:r>
            <w:rPr>
              <w:rFonts w:hint="eastAsia" w:ascii="宋体" w:hAnsi="宋体" w:eastAsia="宋体" w:cs="宋体"/>
              <w:bCs/>
              <w:szCs w:val="24"/>
              <w:highlight w:val="none"/>
              <w:lang w:eastAsia="zh-CN"/>
            </w:rPr>
            <w:t>供应商</w:t>
          </w:r>
          <w:r>
            <w:rPr>
              <w:rFonts w:hint="eastAsia" w:ascii="宋体" w:hAnsi="宋体" w:eastAsia="宋体" w:cs="宋体"/>
              <w:bCs/>
              <w:szCs w:val="24"/>
              <w:highlight w:val="none"/>
            </w:rPr>
            <w:t>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_Toc5083 \h </w:instrText>
          </w:r>
          <w:r>
            <w:rPr>
              <w:rFonts w:hint="eastAsia" w:ascii="宋体" w:hAnsi="宋体" w:eastAsia="宋体" w:cs="宋体"/>
              <w:highlight w:val="none"/>
            </w:rPr>
            <w:fldChar w:fldCharType="separate"/>
          </w:r>
          <w:r>
            <w:rPr>
              <w:rFonts w:hint="eastAsia" w:ascii="宋体" w:hAnsi="宋体" w:eastAsia="宋体" w:cs="宋体"/>
              <w:highlight w:val="none"/>
            </w:rPr>
            <w:t>4</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369D03FE">
          <w:pPr>
            <w:pStyle w:val="18"/>
            <w:tabs>
              <w:tab w:val="right" w:leader="dot" w:pos="8307"/>
            </w:tabs>
            <w:rPr>
              <w:rFonts w:hint="eastAsia" w:ascii="宋体" w:hAnsi="宋体" w:eastAsia="宋体" w:cs="宋体"/>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_Toc31581 </w:instrText>
          </w:r>
          <w:r>
            <w:rPr>
              <w:rFonts w:hint="eastAsia" w:ascii="宋体" w:hAnsi="宋体" w:eastAsia="宋体" w:cs="宋体"/>
              <w:szCs w:val="24"/>
              <w:highlight w:val="none"/>
            </w:rPr>
            <w:fldChar w:fldCharType="separate"/>
          </w:r>
          <w:r>
            <w:rPr>
              <w:rFonts w:hint="eastAsia" w:ascii="宋体" w:hAnsi="宋体" w:eastAsia="宋体" w:cs="宋体"/>
              <w:bCs/>
              <w:szCs w:val="24"/>
              <w:highlight w:val="none"/>
            </w:rPr>
            <w:t>第三章  投标文件格式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_Toc31581 \h </w:instrText>
          </w:r>
          <w:r>
            <w:rPr>
              <w:rFonts w:hint="eastAsia" w:ascii="宋体" w:hAnsi="宋体" w:eastAsia="宋体" w:cs="宋体"/>
              <w:highlight w:val="none"/>
            </w:rPr>
            <w:fldChar w:fldCharType="separate"/>
          </w:r>
          <w:r>
            <w:rPr>
              <w:rFonts w:hint="eastAsia" w:ascii="宋体" w:hAnsi="宋体" w:eastAsia="宋体" w:cs="宋体"/>
              <w:highlight w:val="none"/>
            </w:rPr>
            <w:t>22</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655FF29A">
          <w:pPr>
            <w:pStyle w:val="18"/>
            <w:tabs>
              <w:tab w:val="right" w:leader="dot" w:pos="8307"/>
            </w:tabs>
            <w:rPr>
              <w:rFonts w:hint="eastAsia" w:ascii="宋体" w:hAnsi="宋体" w:eastAsia="宋体" w:cs="宋体"/>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_Toc14831 </w:instrText>
          </w:r>
          <w:r>
            <w:rPr>
              <w:rFonts w:hint="eastAsia" w:ascii="宋体" w:hAnsi="宋体" w:eastAsia="宋体" w:cs="宋体"/>
              <w:szCs w:val="24"/>
              <w:highlight w:val="none"/>
            </w:rPr>
            <w:fldChar w:fldCharType="separate"/>
          </w:r>
          <w:r>
            <w:rPr>
              <w:rFonts w:hint="eastAsia" w:ascii="宋体" w:hAnsi="宋体" w:eastAsia="宋体" w:cs="宋体"/>
              <w:bCs/>
              <w:kern w:val="2"/>
              <w:szCs w:val="24"/>
              <w:highlight w:val="none"/>
              <w:lang w:val="en-US" w:eastAsia="zh-CN" w:bidi="ar-SA"/>
            </w:rPr>
            <w:t>第四章  项目采购需求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_Toc14831 \h </w:instrText>
          </w:r>
          <w:r>
            <w:rPr>
              <w:rFonts w:hint="eastAsia" w:ascii="宋体" w:hAnsi="宋体" w:eastAsia="宋体" w:cs="宋体"/>
              <w:highlight w:val="none"/>
            </w:rPr>
            <w:fldChar w:fldCharType="separate"/>
          </w:r>
          <w:r>
            <w:rPr>
              <w:rFonts w:hint="eastAsia" w:ascii="宋体" w:hAnsi="宋体" w:eastAsia="宋体" w:cs="宋体"/>
              <w:highlight w:val="none"/>
            </w:rPr>
            <w:t>46</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242F130C">
          <w:pPr>
            <w:pStyle w:val="18"/>
            <w:tabs>
              <w:tab w:val="right" w:leader="dot" w:pos="8307"/>
            </w:tabs>
            <w:rPr>
              <w:rFonts w:hint="eastAsia" w:ascii="宋体" w:hAnsi="宋体" w:eastAsia="宋体" w:cs="宋体"/>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_Toc26047 </w:instrText>
          </w:r>
          <w:r>
            <w:rPr>
              <w:rFonts w:hint="eastAsia" w:ascii="宋体" w:hAnsi="宋体" w:eastAsia="宋体" w:cs="宋体"/>
              <w:szCs w:val="24"/>
              <w:highlight w:val="none"/>
            </w:rPr>
            <w:fldChar w:fldCharType="separate"/>
          </w:r>
          <w:r>
            <w:rPr>
              <w:rFonts w:hint="eastAsia" w:ascii="宋体" w:hAnsi="宋体" w:eastAsia="宋体" w:cs="宋体"/>
              <w:bCs/>
              <w:szCs w:val="24"/>
              <w:highlight w:val="none"/>
            </w:rPr>
            <w:t>第五章  评标办法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_Toc26047 \h </w:instrText>
          </w:r>
          <w:r>
            <w:rPr>
              <w:rFonts w:hint="eastAsia" w:ascii="宋体" w:hAnsi="宋体" w:eastAsia="宋体" w:cs="宋体"/>
              <w:highlight w:val="none"/>
            </w:rPr>
            <w:fldChar w:fldCharType="separate"/>
          </w:r>
          <w:r>
            <w:rPr>
              <w:rFonts w:hint="eastAsia" w:ascii="宋体" w:hAnsi="宋体" w:eastAsia="宋体" w:cs="宋体"/>
              <w:highlight w:val="none"/>
            </w:rPr>
            <w:t>91</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5FA0D440">
          <w:pPr>
            <w:pStyle w:val="18"/>
            <w:tabs>
              <w:tab w:val="right" w:leader="dot" w:pos="8307"/>
            </w:tabs>
            <w:rPr>
              <w:rFonts w:hint="eastAsia" w:ascii="宋体" w:hAnsi="宋体" w:eastAsia="宋体" w:cs="宋体"/>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_Toc535 </w:instrText>
          </w:r>
          <w:r>
            <w:rPr>
              <w:rFonts w:hint="eastAsia" w:ascii="宋体" w:hAnsi="宋体" w:eastAsia="宋体" w:cs="宋体"/>
              <w:szCs w:val="24"/>
              <w:highlight w:val="none"/>
            </w:rPr>
            <w:fldChar w:fldCharType="separate"/>
          </w:r>
          <w:r>
            <w:rPr>
              <w:rFonts w:hint="eastAsia" w:ascii="宋体" w:hAnsi="宋体" w:eastAsia="宋体" w:cs="宋体"/>
              <w:bCs/>
              <w:szCs w:val="24"/>
              <w:highlight w:val="none"/>
            </w:rPr>
            <w:t>第六章  拟签订的合同文本</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_Toc535 \h </w:instrText>
          </w:r>
          <w:r>
            <w:rPr>
              <w:rFonts w:hint="eastAsia" w:ascii="宋体" w:hAnsi="宋体" w:eastAsia="宋体" w:cs="宋体"/>
              <w:highlight w:val="none"/>
            </w:rPr>
            <w:fldChar w:fldCharType="separate"/>
          </w:r>
          <w:r>
            <w:rPr>
              <w:rFonts w:hint="eastAsia" w:ascii="宋体" w:hAnsi="宋体" w:eastAsia="宋体" w:cs="宋体"/>
              <w:highlight w:val="none"/>
            </w:rPr>
            <w:t>102</w:t>
          </w:r>
          <w:r>
            <w:rPr>
              <w:rFonts w:hint="eastAsia" w:ascii="宋体" w:hAnsi="宋体" w:eastAsia="宋体" w:cs="宋体"/>
              <w:highlight w:val="none"/>
            </w:rPr>
            <w:fldChar w:fldCharType="end"/>
          </w:r>
          <w:r>
            <w:rPr>
              <w:rFonts w:hint="eastAsia" w:ascii="宋体" w:hAnsi="宋体" w:eastAsia="宋体" w:cs="宋体"/>
              <w:color w:val="auto"/>
              <w:szCs w:val="24"/>
              <w:highlight w:val="none"/>
            </w:rPr>
            <w:fldChar w:fldCharType="end"/>
          </w:r>
        </w:p>
        <w:p w14:paraId="595B102D">
          <w:pPr>
            <w:pStyle w:val="10"/>
            <w:spacing w:after="0" w:line="500" w:lineRule="exact"/>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Cs w:val="24"/>
              <w:highlight w:val="none"/>
            </w:rPr>
            <w:fldChar w:fldCharType="end"/>
          </w:r>
        </w:p>
      </w:sdtContent>
    </w:sdt>
    <w:p w14:paraId="5E00A018">
      <w:pPr>
        <w:rPr>
          <w:rFonts w:hint="eastAsia" w:ascii="宋体" w:hAnsi="宋体" w:eastAsia="宋体" w:cs="宋体"/>
          <w:highlight w:val="none"/>
        </w:rPr>
      </w:pPr>
    </w:p>
    <w:p w14:paraId="4B555EAF">
      <w:pPr>
        <w:ind w:firstLine="480" w:firstLineChars="200"/>
        <w:rPr>
          <w:rFonts w:hint="eastAsia" w:ascii="宋体" w:hAnsi="宋体" w:eastAsia="宋体" w:cs="宋体"/>
          <w:bCs/>
          <w:color w:val="auto"/>
          <w:sz w:val="24"/>
          <w:szCs w:val="24"/>
          <w:highlight w:val="none"/>
        </w:rPr>
      </w:pPr>
    </w:p>
    <w:p w14:paraId="1BC1CF7F">
      <w:pPr>
        <w:pStyle w:val="2"/>
        <w:spacing w:line="360" w:lineRule="exact"/>
        <w:rPr>
          <w:rFonts w:hint="eastAsia" w:ascii="宋体" w:hAnsi="宋体" w:eastAsia="宋体" w:cs="宋体"/>
          <w:bCs w:val="0"/>
          <w:color w:val="auto"/>
          <w:sz w:val="24"/>
          <w:szCs w:val="24"/>
          <w:highlight w:val="none"/>
        </w:rPr>
        <w:sectPr>
          <w:headerReference r:id="rId3" w:type="default"/>
          <w:footerReference r:id="rId4" w:type="default"/>
          <w:pgSz w:w="11907" w:h="16840"/>
          <w:pgMar w:top="1440" w:right="1800" w:bottom="1440" w:left="1800" w:header="851" w:footer="992" w:gutter="0"/>
          <w:pgNumType w:fmt="decimal" w:start="1"/>
          <w:cols w:space="720" w:num="1"/>
          <w:docGrid w:linePitch="312" w:charSpace="0"/>
        </w:sectPr>
      </w:pPr>
    </w:p>
    <w:p w14:paraId="39DDA1CD">
      <w:pPr>
        <w:pStyle w:val="2"/>
        <w:pageBreakBefore w:val="0"/>
        <w:kinsoku/>
        <w:wordWrap/>
        <w:overflowPunct/>
        <w:topLinePunct w:val="0"/>
        <w:autoSpaceDE/>
        <w:autoSpaceDN/>
        <w:bidi w:val="0"/>
        <w:adjustRightInd/>
        <w:snapToGrid/>
        <w:spacing w:before="0" w:after="0" w:line="480" w:lineRule="exact"/>
        <w:ind w:left="0"/>
        <w:jc w:val="center"/>
        <w:textAlignment w:val="auto"/>
        <w:rPr>
          <w:rFonts w:hint="eastAsia" w:ascii="宋体" w:hAnsi="宋体" w:eastAsia="宋体" w:cs="宋体"/>
          <w:b/>
          <w:bCs/>
          <w:color w:val="auto"/>
          <w:sz w:val="32"/>
          <w:szCs w:val="32"/>
          <w:highlight w:val="none"/>
        </w:rPr>
      </w:pPr>
      <w:bookmarkStart w:id="1" w:name="_Toc647_WPSOffice_Level1"/>
      <w:bookmarkStart w:id="2" w:name="_Toc30044"/>
      <w:bookmarkStart w:id="3" w:name="_Toc3427"/>
      <w:r>
        <w:rPr>
          <w:rFonts w:hint="eastAsia" w:ascii="宋体" w:hAnsi="宋体" w:eastAsia="宋体" w:cs="宋体"/>
          <w:b/>
          <w:bCs/>
          <w:color w:val="auto"/>
          <w:sz w:val="32"/>
          <w:szCs w:val="32"/>
          <w:highlight w:val="none"/>
        </w:rPr>
        <w:t xml:space="preserve">第一章  </w:t>
      </w:r>
      <w:bookmarkEnd w:id="1"/>
      <w:r>
        <w:rPr>
          <w:rFonts w:hint="eastAsia" w:ascii="宋体" w:hAnsi="宋体" w:eastAsia="宋体" w:cs="宋体"/>
          <w:b/>
          <w:bCs/>
          <w:color w:val="auto"/>
          <w:sz w:val="32"/>
          <w:szCs w:val="32"/>
          <w:highlight w:val="none"/>
        </w:rPr>
        <w:t>招标公告</w:t>
      </w:r>
      <w:bookmarkEnd w:id="2"/>
      <w:bookmarkEnd w:id="3"/>
    </w:p>
    <w:p w14:paraId="0F104402">
      <w:pPr>
        <w:keepNext/>
        <w:keepLines/>
        <w:pageBreakBefore w:val="0"/>
        <w:widowControl w:val="0"/>
        <w:kinsoku/>
        <w:wordWrap/>
        <w:overflowPunct/>
        <w:topLinePunct w:val="0"/>
        <w:autoSpaceDE/>
        <w:autoSpaceDN/>
        <w:bidi w:val="0"/>
        <w:adjustRightInd/>
        <w:snapToGrid/>
        <w:spacing w:before="0" w:after="0" w:line="460" w:lineRule="exact"/>
        <w:ind w:lef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44"/>
          <w:sz w:val="24"/>
          <w:szCs w:val="24"/>
          <w:highlight w:val="none"/>
          <w:lang w:val="en-US" w:eastAsia="zh-CN" w:bidi="ar-SA"/>
        </w:rPr>
        <w:t>新疆拓源工程管理咨询有限公司关于喀什地区疾病预防控制中心（喀什地区卫生监督所）应急物资采购项目招标公告</w:t>
      </w:r>
    </w:p>
    <w:p w14:paraId="26818CF5">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60" w:lineRule="exact"/>
        <w:ind w:left="0"/>
        <w:jc w:val="center"/>
        <w:textAlignment w:val="auto"/>
        <w:rPr>
          <w:rFonts w:hint="eastAsia" w:ascii="宋体" w:hAnsi="宋体" w:eastAsia="宋体" w:cs="宋体"/>
          <w:color w:val="auto"/>
          <w:sz w:val="24"/>
          <w:szCs w:val="24"/>
          <w:highlight w:val="none"/>
        </w:rPr>
      </w:pPr>
      <w:bookmarkStart w:id="4" w:name="_Toc213396945"/>
      <w:bookmarkStart w:id="5" w:name="_Toc213396759"/>
      <w:bookmarkStart w:id="6" w:name="_Toc217446031"/>
      <w:bookmarkStart w:id="7" w:name="_Toc213397009"/>
      <w:bookmarkStart w:id="8" w:name="_Toc856_WPSOffice_Level1"/>
      <w:bookmarkStart w:id="9" w:name="_Toc213496267"/>
      <w:r>
        <w:rPr>
          <w:rFonts w:hint="eastAsia" w:ascii="宋体" w:hAnsi="宋体" w:eastAsia="宋体" w:cs="宋体"/>
          <w:color w:val="auto"/>
          <w:sz w:val="24"/>
          <w:szCs w:val="24"/>
          <w:highlight w:val="none"/>
        </w:rPr>
        <w:t>项目概况</w:t>
      </w:r>
    </w:p>
    <w:p w14:paraId="65D07313">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喀什地区疾病预防控制中心（喀什地区卫生监督所）应急物资采购项目</w:t>
      </w:r>
      <w:r>
        <w:rPr>
          <w:rFonts w:hint="eastAsia" w:ascii="宋体" w:hAnsi="宋体" w:eastAsia="宋体" w:cs="宋体"/>
          <w:color w:val="auto"/>
          <w:sz w:val="24"/>
          <w:szCs w:val="24"/>
          <w:highlight w:val="none"/>
        </w:rPr>
        <w:t>招标项目的潜在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w:t>
      </w:r>
      <w:r>
        <w:rPr>
          <w:rFonts w:hint="eastAsia" w:ascii="宋体" w:hAnsi="宋体" w:eastAsia="宋体" w:cs="宋体"/>
          <w:bCs/>
          <w:color w:val="auto"/>
          <w:sz w:val="24"/>
          <w:szCs w:val="24"/>
          <w:highlight w:val="none"/>
          <w:u w:val="single"/>
        </w:rPr>
        <w:t>新疆政府采购云平台https://www.zcygov.cn/</w:t>
      </w:r>
      <w:r>
        <w:rPr>
          <w:rFonts w:hint="eastAsia" w:ascii="宋体" w:hAnsi="宋体" w:eastAsia="宋体" w:cs="宋体"/>
          <w:color w:val="auto"/>
          <w:sz w:val="24"/>
          <w:szCs w:val="24"/>
          <w:highlight w:val="none"/>
        </w:rPr>
        <w:t>获取招标文件，并于</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年</w:t>
      </w:r>
      <w:r>
        <w:rPr>
          <w:rFonts w:hint="eastAsia" w:ascii="宋体" w:hAnsi="宋体" w:cs="宋体"/>
          <w:bCs/>
          <w:color w:val="auto"/>
          <w:sz w:val="24"/>
          <w:szCs w:val="24"/>
          <w:highlight w:val="none"/>
          <w:u w:val="single"/>
          <w:lang w:val="en-US" w:eastAsia="zh-CN"/>
        </w:rPr>
        <w:t>05月21日 11 点00分</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北京时间）前上传投标文件</w:t>
      </w:r>
      <w:r>
        <w:rPr>
          <w:rFonts w:hint="eastAsia" w:ascii="宋体" w:hAnsi="宋体" w:eastAsia="宋体" w:cs="宋体"/>
          <w:color w:val="auto"/>
          <w:sz w:val="24"/>
          <w:szCs w:val="24"/>
          <w:highlight w:val="none"/>
        </w:rPr>
        <w:t>。</w:t>
      </w:r>
    </w:p>
    <w:p w14:paraId="6FAD0379">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10" w:name="_Toc35393790"/>
      <w:bookmarkStart w:id="11" w:name="_Toc28359002"/>
      <w:bookmarkStart w:id="12" w:name="_Toc35393621"/>
      <w:bookmarkStart w:id="13" w:name="_Toc28359079"/>
      <w:bookmarkStart w:id="14" w:name="_Hlk24379207"/>
      <w:r>
        <w:rPr>
          <w:rFonts w:hint="eastAsia" w:ascii="宋体" w:hAnsi="宋体" w:eastAsia="宋体" w:cs="宋体"/>
          <w:b/>
          <w:bCs/>
          <w:color w:val="auto"/>
          <w:sz w:val="24"/>
          <w:szCs w:val="24"/>
          <w:highlight w:val="none"/>
        </w:rPr>
        <w:t>一、项目基本情况</w:t>
      </w:r>
      <w:bookmarkEnd w:id="10"/>
      <w:bookmarkEnd w:id="11"/>
      <w:bookmarkEnd w:id="12"/>
      <w:bookmarkEnd w:id="13"/>
    </w:p>
    <w:p w14:paraId="41EE1324">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TYHWZB2026-034</w:t>
      </w:r>
    </w:p>
    <w:p w14:paraId="729C6311">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bookmarkEnd w:id="14"/>
      <w:r>
        <w:rPr>
          <w:rFonts w:hint="eastAsia" w:ascii="宋体" w:hAnsi="宋体" w:eastAsia="宋体" w:cs="宋体"/>
          <w:color w:val="auto"/>
          <w:sz w:val="24"/>
          <w:szCs w:val="24"/>
          <w:highlight w:val="none"/>
          <w:lang w:eastAsia="zh-CN"/>
        </w:rPr>
        <w:t>喀什地区疾病预防控制中心（喀什地区卫生监督所）应急物资采购项目</w:t>
      </w:r>
    </w:p>
    <w:p w14:paraId="48452057">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614600.00</w:t>
      </w:r>
      <w:r>
        <w:rPr>
          <w:rFonts w:hint="eastAsia" w:ascii="宋体" w:hAnsi="宋体" w:eastAsia="宋体" w:cs="宋体"/>
          <w:color w:val="auto"/>
          <w:sz w:val="24"/>
          <w:szCs w:val="24"/>
          <w:highlight w:val="none"/>
          <w:lang w:val="en-US" w:eastAsia="zh-CN"/>
        </w:rPr>
        <w:t>元</w:t>
      </w:r>
    </w:p>
    <w:p w14:paraId="41E62C88">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highlight w:val="none"/>
          <w:lang w:val="en-US" w:eastAsia="zh-CN"/>
        </w:rPr>
        <w:t>采购一批应急物资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详见招标文件</w:t>
      </w:r>
      <w:r>
        <w:rPr>
          <w:rFonts w:hint="eastAsia" w:ascii="宋体" w:hAnsi="宋体" w:eastAsia="宋体" w:cs="宋体"/>
          <w:color w:val="auto"/>
          <w:sz w:val="24"/>
          <w:szCs w:val="24"/>
          <w:highlight w:val="none"/>
          <w:lang w:eastAsia="zh-CN"/>
        </w:rPr>
        <w:t>）</w:t>
      </w:r>
    </w:p>
    <w:p w14:paraId="53794532">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合同履约期限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详见招标文件。</w:t>
      </w:r>
    </w:p>
    <w:p w14:paraId="702EEB50">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否</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接受</w:t>
      </w:r>
      <w:r>
        <w:rPr>
          <w:rFonts w:hint="eastAsia" w:ascii="宋体" w:hAnsi="宋体" w:eastAsia="宋体" w:cs="宋体"/>
          <w:color w:val="auto"/>
          <w:sz w:val="24"/>
          <w:szCs w:val="24"/>
          <w:highlight w:val="none"/>
          <w:u w:val="none"/>
        </w:rPr>
        <w:t>联</w:t>
      </w:r>
      <w:r>
        <w:rPr>
          <w:rFonts w:hint="eastAsia" w:ascii="宋体" w:hAnsi="宋体" w:eastAsia="宋体" w:cs="宋体"/>
          <w:color w:val="auto"/>
          <w:sz w:val="24"/>
          <w:szCs w:val="24"/>
          <w:highlight w:val="none"/>
        </w:rPr>
        <w:t>合体投标。</w:t>
      </w:r>
    </w:p>
    <w:p w14:paraId="6EF9072F">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15" w:name="_Toc35393622"/>
      <w:bookmarkStart w:id="16" w:name="_Toc35393791"/>
      <w:bookmarkStart w:id="17" w:name="_Toc28359003"/>
      <w:bookmarkStart w:id="18" w:name="_Toc28359080"/>
      <w:r>
        <w:rPr>
          <w:rFonts w:hint="eastAsia" w:ascii="宋体" w:hAnsi="宋体" w:eastAsia="宋体" w:cs="宋体"/>
          <w:b/>
          <w:bCs/>
          <w:color w:val="auto"/>
          <w:sz w:val="24"/>
          <w:szCs w:val="24"/>
          <w:highlight w:val="none"/>
        </w:rPr>
        <w:t>二、申请人的资格要求：</w:t>
      </w:r>
      <w:bookmarkEnd w:id="15"/>
      <w:bookmarkEnd w:id="16"/>
      <w:bookmarkEnd w:id="17"/>
      <w:bookmarkEnd w:id="18"/>
    </w:p>
    <w:p w14:paraId="66E7FD08">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2C13EEED">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eastAsia="zh-CN"/>
        </w:rPr>
      </w:pPr>
      <w:bookmarkStart w:id="19" w:name="_Toc28359081"/>
      <w:bookmarkStart w:id="20" w:name="_Toc28359004"/>
      <w:r>
        <w:rPr>
          <w:rFonts w:hint="eastAsia" w:ascii="宋体" w:hAnsi="宋体" w:eastAsia="宋体" w:cs="宋体"/>
          <w:color w:val="auto"/>
          <w:sz w:val="24"/>
          <w:szCs w:val="24"/>
          <w:highlight w:val="none"/>
        </w:rPr>
        <w:t>2.落实政府采购政策需满足的资格要求：</w:t>
      </w:r>
      <w:r>
        <w:rPr>
          <w:rFonts w:hint="eastAsia" w:ascii="宋体" w:hAnsi="宋体" w:eastAsia="宋体" w:cs="宋体"/>
          <w:color w:val="auto"/>
          <w:sz w:val="24"/>
          <w:szCs w:val="24"/>
          <w:highlight w:val="none"/>
          <w:lang w:eastAsia="zh-CN"/>
        </w:rPr>
        <w:t>本项目为</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lang w:eastAsia="zh-CN"/>
        </w:rPr>
        <w:t>专门面向中小企业采购的项目</w:t>
      </w:r>
      <w:r>
        <w:rPr>
          <w:rFonts w:hint="eastAsia" w:ascii="宋体" w:hAnsi="宋体" w:eastAsia="宋体" w:cs="宋体"/>
          <w:color w:val="auto"/>
          <w:sz w:val="24"/>
          <w:szCs w:val="24"/>
          <w:highlight w:val="none"/>
          <w:lang w:val="en-US" w:eastAsia="zh-CN"/>
        </w:rPr>
        <w:t>（若投标供应商所提供的货物全部由符合政策要求的小微企业制造，并按要求提交《中小企业声明函》，可享受10%的价格扣除优惠，用扣除后的价格参与评审。）</w:t>
      </w:r>
      <w:r>
        <w:rPr>
          <w:rFonts w:hint="eastAsia" w:ascii="宋体" w:hAnsi="宋体" w:eastAsia="宋体" w:cs="宋体"/>
          <w:color w:val="auto"/>
          <w:sz w:val="24"/>
          <w:szCs w:val="24"/>
          <w:highlight w:val="none"/>
          <w:lang w:eastAsia="zh-CN"/>
        </w:rPr>
        <w:t>。</w:t>
      </w:r>
    </w:p>
    <w:p w14:paraId="48537B5F">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3.本项目的特定资格要求：</w:t>
      </w:r>
      <w:r>
        <w:rPr>
          <w:rFonts w:hint="eastAsia" w:ascii="宋体" w:hAnsi="宋体" w:eastAsia="宋体" w:cs="宋体"/>
          <w:color w:val="auto"/>
          <w:sz w:val="24"/>
          <w:szCs w:val="24"/>
          <w:highlight w:val="none"/>
          <w:lang w:val="en-US" w:eastAsia="zh-CN"/>
        </w:rPr>
        <w:t>/</w:t>
      </w:r>
    </w:p>
    <w:p w14:paraId="6798026F">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21" w:name="_Toc35393623"/>
      <w:bookmarkStart w:id="22" w:name="_Toc35393792"/>
      <w:r>
        <w:rPr>
          <w:rFonts w:hint="eastAsia" w:ascii="宋体" w:hAnsi="宋体" w:eastAsia="宋体" w:cs="宋体"/>
          <w:b/>
          <w:bCs/>
          <w:color w:val="auto"/>
          <w:sz w:val="24"/>
          <w:szCs w:val="24"/>
          <w:highlight w:val="none"/>
        </w:rPr>
        <w:t>三、获取招标文件</w:t>
      </w:r>
      <w:bookmarkEnd w:id="19"/>
      <w:bookmarkEnd w:id="20"/>
      <w:bookmarkEnd w:id="21"/>
      <w:bookmarkEnd w:id="22"/>
    </w:p>
    <w:p w14:paraId="07A1F58E">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日至202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日，每天上午00:00至23：59（北京时间，线上获取法定节假日均可）；</w:t>
      </w:r>
    </w:p>
    <w:p w14:paraId="111945CF">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登陆政采云平台http://www.zcygov.cn/，在线申请获取招标文件（登录政府采购云平台→ 项目采购 → 获取招标文件→申请</w:t>
      </w:r>
      <w:r>
        <w:rPr>
          <w:rFonts w:hint="eastAsia" w:ascii="宋体" w:hAnsi="宋体" w:eastAsia="宋体" w:cs="宋体"/>
          <w:color w:val="auto"/>
          <w:sz w:val="24"/>
          <w:szCs w:val="24"/>
          <w:highlight w:val="none"/>
          <w:lang w:eastAsia="zh-CN"/>
        </w:rPr>
        <w:t>即</w:t>
      </w:r>
      <w:r>
        <w:rPr>
          <w:rFonts w:hint="eastAsia" w:ascii="宋体" w:hAnsi="宋体" w:eastAsia="宋体" w:cs="宋体"/>
          <w:color w:val="auto"/>
          <w:sz w:val="24"/>
          <w:szCs w:val="24"/>
          <w:highlight w:val="none"/>
        </w:rPr>
        <w:t>可下载招标文件，如有操作性问题，可与政采云在线客服进行咨询，咨询电话：95763）。</w:t>
      </w:r>
    </w:p>
    <w:p w14:paraId="6BBCED36">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3A85484">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售价：</w:t>
      </w:r>
      <w:r>
        <w:rPr>
          <w:rFonts w:hint="eastAsia" w:ascii="宋体" w:hAnsi="宋体" w:eastAsia="宋体" w:cs="宋体"/>
          <w:color w:val="auto"/>
          <w:kern w:val="0"/>
          <w:sz w:val="24"/>
          <w:szCs w:val="24"/>
          <w:highlight w:val="none"/>
        </w:rPr>
        <w:t>免费获取</w:t>
      </w:r>
    </w:p>
    <w:p w14:paraId="79DBD613">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23" w:name="_Toc28359005"/>
      <w:bookmarkStart w:id="24" w:name="_Toc28359082"/>
      <w:bookmarkStart w:id="25" w:name="_Toc35393793"/>
      <w:bookmarkStart w:id="26" w:name="_Toc35393624"/>
      <w:r>
        <w:rPr>
          <w:rFonts w:hint="eastAsia" w:ascii="宋体" w:hAnsi="宋体" w:eastAsia="宋体" w:cs="宋体"/>
          <w:b/>
          <w:bCs/>
          <w:color w:val="auto"/>
          <w:sz w:val="24"/>
          <w:szCs w:val="24"/>
          <w:highlight w:val="none"/>
        </w:rPr>
        <w:t>四、提交投标文件</w:t>
      </w:r>
      <w:bookmarkEnd w:id="23"/>
      <w:bookmarkEnd w:id="24"/>
      <w:r>
        <w:rPr>
          <w:rFonts w:hint="eastAsia" w:ascii="宋体" w:hAnsi="宋体" w:eastAsia="宋体" w:cs="宋体"/>
          <w:b/>
          <w:bCs/>
          <w:color w:val="auto"/>
          <w:sz w:val="24"/>
          <w:szCs w:val="24"/>
          <w:highlight w:val="none"/>
        </w:rPr>
        <w:t>截止时间、开标时间和地点</w:t>
      </w:r>
      <w:bookmarkEnd w:id="25"/>
      <w:bookmarkEnd w:id="26"/>
    </w:p>
    <w:p w14:paraId="004A6098">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05月21日 11 点00分</w:t>
      </w:r>
      <w:r>
        <w:rPr>
          <w:rFonts w:hint="eastAsia" w:ascii="宋体" w:hAnsi="宋体" w:eastAsia="宋体" w:cs="宋体"/>
          <w:color w:val="auto"/>
          <w:sz w:val="24"/>
          <w:szCs w:val="24"/>
          <w:highlight w:val="none"/>
        </w:rPr>
        <w:t>（北京时间）</w:t>
      </w:r>
    </w:p>
    <w:p w14:paraId="44CD4D8A">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05月21日 11 点00分</w:t>
      </w:r>
      <w:r>
        <w:rPr>
          <w:rFonts w:hint="eastAsia" w:ascii="宋体" w:hAnsi="宋体" w:eastAsia="宋体" w:cs="宋体"/>
          <w:color w:val="auto"/>
          <w:sz w:val="24"/>
          <w:szCs w:val="24"/>
          <w:highlight w:val="none"/>
        </w:rPr>
        <w:t>（北京时间）</w:t>
      </w:r>
    </w:p>
    <w:p w14:paraId="18E49AD4">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w:t>
      </w:r>
      <w:bookmarkStart w:id="27" w:name="_Toc35393625"/>
      <w:bookmarkStart w:id="28" w:name="_Toc28359007"/>
      <w:bookmarkStart w:id="29" w:name="_Toc35393794"/>
      <w:bookmarkStart w:id="30" w:name="_Toc28359084"/>
      <w:r>
        <w:rPr>
          <w:rFonts w:hint="eastAsia" w:ascii="宋体" w:hAnsi="宋体" w:eastAsia="宋体" w:cs="宋体"/>
          <w:color w:val="auto"/>
          <w:sz w:val="24"/>
          <w:szCs w:val="24"/>
          <w:highlight w:val="none"/>
        </w:rPr>
        <w:t>政采云平台http://www.zcygov.cn/</w:t>
      </w:r>
    </w:p>
    <w:p w14:paraId="2C1CED58">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五、公告期限</w:t>
      </w:r>
      <w:bookmarkEnd w:id="27"/>
      <w:bookmarkEnd w:id="28"/>
      <w:bookmarkEnd w:id="29"/>
      <w:bookmarkEnd w:id="30"/>
    </w:p>
    <w:p w14:paraId="5BC984F4">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14:paraId="3EB3A391">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31" w:name="_Toc35393626"/>
      <w:bookmarkStart w:id="32" w:name="_Toc35393795"/>
      <w:r>
        <w:rPr>
          <w:rFonts w:hint="eastAsia" w:ascii="宋体" w:hAnsi="宋体" w:eastAsia="宋体" w:cs="宋体"/>
          <w:b/>
          <w:bCs/>
          <w:color w:val="auto"/>
          <w:sz w:val="24"/>
          <w:szCs w:val="24"/>
          <w:highlight w:val="none"/>
        </w:rPr>
        <w:t>六、其他补充事宜</w:t>
      </w:r>
      <w:bookmarkEnd w:id="31"/>
      <w:bookmarkEnd w:id="32"/>
    </w:p>
    <w:p w14:paraId="1C417D45">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highlight w:val="none"/>
        </w:rPr>
        <w:t>本项目实行全流程</w:t>
      </w:r>
      <w:r>
        <w:rPr>
          <w:rFonts w:hint="eastAsia" w:ascii="宋体" w:hAnsi="宋体" w:eastAsia="宋体" w:cs="宋体"/>
          <w:color w:val="auto"/>
          <w:sz w:val="24"/>
          <w:szCs w:val="24"/>
          <w:highlight w:val="none"/>
        </w:rPr>
        <w:t>电子交易方式</w:t>
      </w:r>
      <w:r>
        <w:rPr>
          <w:rFonts w:hint="eastAsia" w:ascii="宋体" w:hAnsi="宋体" w:eastAsia="宋体" w:cs="宋体"/>
          <w:color w:val="auto"/>
          <w:kern w:val="0"/>
          <w:sz w:val="24"/>
          <w:szCs w:val="24"/>
          <w:highlight w:val="none"/>
        </w:rPr>
        <w:t>，采用电子加密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上传方式；</w:t>
      </w:r>
    </w:p>
    <w:p w14:paraId="490ACD46">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lang w:val="en-US" w:eastAsia="zh-CN" w:bidi="ar-SA"/>
        </w:rPr>
        <w:t>(2)</w:t>
      </w:r>
      <w:r>
        <w:rPr>
          <w:rFonts w:hint="eastAsia" w:ascii="宋体" w:hAnsi="宋体" w:eastAsia="宋体" w:cs="宋体"/>
          <w:color w:val="auto"/>
          <w:kern w:val="0"/>
          <w:sz w:val="24"/>
          <w:szCs w:val="24"/>
          <w:highlight w:val="none"/>
        </w:rPr>
        <w:t>各</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前应确保成为新疆政府采购网正式注册入库</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，并完成CA数字证书（符合国密标准）申领。因未注册入库、未办理CA数字证书等原因造成无法上传或</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失败等后果由</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自行承担。有意向参与的</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，可访问新疆数字证书认证中心官方网站（https://www.xjca.com.cn/）或下载“新疆政务通”APP自行申领。如需咨询，请联系新疆CA服务热线0991-2819290；</w:t>
      </w:r>
    </w:p>
    <w:p w14:paraId="2233E04C">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lang w:val="en-US" w:eastAsia="zh-CN" w:bidi="ar-SA"/>
        </w:rPr>
        <w:t>(3)</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在完成政采云电子交易客户端下载、安装后，可通过账号密码或CA登录客户端进行</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的制作。在使用“政采云投标客户端”时，建议使用WIN7及以上操作系统。客户端请至新疆政府采购网（http://www.ccgp-xinjiang.gov.cn/）下载专区查看，如遇问题可拨打政采云客户服务热线95763进行咨询。如因</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自身原因导致在规定时间内无法正常解密的（如：浏览器故障、未安装相关驱动、网络故障、加密CA与解密CA不一致等），采购中心、代理机构不予异常处理，视为</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自动弃标；</w:t>
      </w:r>
    </w:p>
    <w:p w14:paraId="24C1DCD4">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lang w:val="en-US" w:eastAsia="zh-CN" w:bidi="ar-SA"/>
        </w:rPr>
        <w:t>(4)</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应当在</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截止时间前,将生成的“电子加密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”上传至“政府采购云平台”,</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截止时间以后上传的</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将被“政府采购云平台”拒收；</w:t>
      </w:r>
    </w:p>
    <w:p w14:paraId="7EEF96D5">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lang w:val="en-US" w:eastAsia="zh-CN" w:bidi="ar-SA"/>
        </w:rPr>
        <w:t>(5)</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前须提前配置好电脑浏览器（建议使用360浏览器或谷歌浏览器）,开标时登录政采云平台，在“项目采购-开标评审”功能中，使用制作加密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电子标书的CA锁进行解密及报价确认。本项目</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的解密时间定为30分钟内,若</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在规定时间内因自身原因导致无法正常解密,后果由</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自行承担；</w:t>
      </w:r>
    </w:p>
    <w:p w14:paraId="5DB6C5F8">
      <w:pPr>
        <w:pStyle w:val="42"/>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firstLine="414" w:firstLineChars="0"/>
        <w:jc w:val="left"/>
        <w:textAlignment w:val="auto"/>
        <w:rPr>
          <w:rFonts w:hint="eastAsia" w:ascii="宋体" w:hAnsi="宋体" w:eastAsia="宋体" w:cs="宋体"/>
          <w:color w:val="auto"/>
          <w:sz w:val="24"/>
          <w:szCs w:val="24"/>
          <w:highlight w:val="none"/>
        </w:rPr>
      </w:pPr>
      <w:r>
        <w:rPr>
          <w:rFonts w:hint="default" w:ascii="宋体" w:hAnsi="宋体" w:eastAsia="宋体" w:cs="宋体"/>
          <w:color w:val="auto"/>
          <w:kern w:val="2"/>
          <w:sz w:val="24"/>
          <w:szCs w:val="24"/>
          <w:lang w:val="en-US" w:eastAsia="zh-CN" w:bidi="ar-SA"/>
        </w:rPr>
        <w:t>(6)</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登录政采云平台，在开标时间后30分钟内用“项目采购-开标评审”功能进行解密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，若</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在规定时间内未按时解密的，视为响应无效。解密与加密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须使用同一个 CA。</w:t>
      </w:r>
    </w:p>
    <w:p w14:paraId="64B6E571">
      <w:pPr>
        <w:pageBreakBefore w:val="0"/>
        <w:kinsoku/>
        <w:wordWrap/>
        <w:overflowPunct/>
        <w:topLinePunct w:val="0"/>
        <w:autoSpaceDE/>
        <w:autoSpaceDN/>
        <w:bidi w:val="0"/>
        <w:adjustRightInd/>
        <w:snapToGrid/>
        <w:spacing w:line="460" w:lineRule="exact"/>
        <w:ind w:left="0"/>
        <w:textAlignment w:val="auto"/>
        <w:rPr>
          <w:rFonts w:hint="eastAsia" w:ascii="宋体" w:hAnsi="宋体" w:eastAsia="宋体" w:cs="宋体"/>
          <w:b/>
          <w:bCs/>
          <w:color w:val="auto"/>
          <w:sz w:val="24"/>
          <w:szCs w:val="24"/>
          <w:highlight w:val="none"/>
        </w:rPr>
      </w:pPr>
      <w:bookmarkStart w:id="33" w:name="_Toc35393627"/>
      <w:bookmarkStart w:id="34" w:name="_Toc35393796"/>
      <w:bookmarkStart w:id="35" w:name="_Toc28359008"/>
      <w:bookmarkStart w:id="36" w:name="_Toc28359085"/>
      <w:r>
        <w:rPr>
          <w:rFonts w:hint="eastAsia" w:ascii="宋体" w:hAnsi="宋体" w:eastAsia="宋体" w:cs="宋体"/>
          <w:b/>
          <w:bCs/>
          <w:color w:val="auto"/>
          <w:sz w:val="24"/>
          <w:szCs w:val="24"/>
          <w:highlight w:val="none"/>
        </w:rPr>
        <w:t>七、对本次招标提出询问，请按以下方式联系</w:t>
      </w:r>
      <w:bookmarkEnd w:id="33"/>
      <w:bookmarkEnd w:id="34"/>
      <w:bookmarkEnd w:id="35"/>
      <w:bookmarkEnd w:id="36"/>
      <w:r>
        <w:rPr>
          <w:rFonts w:hint="eastAsia" w:ascii="宋体" w:hAnsi="宋体" w:eastAsia="宋体" w:cs="宋体"/>
          <w:b/>
          <w:bCs/>
          <w:color w:val="auto"/>
          <w:sz w:val="24"/>
          <w:szCs w:val="24"/>
          <w:highlight w:val="none"/>
        </w:rPr>
        <w:t>：</w:t>
      </w:r>
    </w:p>
    <w:p w14:paraId="7BDA2CBF">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3987578B">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喀什地区疾病预防控制中心（喀什地区卫生监督所）</w:t>
      </w:r>
      <w:r>
        <w:rPr>
          <w:rFonts w:hint="eastAsia" w:ascii="宋体" w:hAnsi="宋体" w:eastAsia="宋体" w:cs="宋体"/>
          <w:color w:val="auto"/>
          <w:sz w:val="24"/>
          <w:szCs w:val="24"/>
          <w:highlight w:val="none"/>
        </w:rPr>
        <w:t>　　　　　　　　　　　</w:t>
      </w:r>
    </w:p>
    <w:p w14:paraId="68AFA228">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Style w:val="39"/>
          <w:rFonts w:hint="eastAsia" w:ascii="宋体" w:hAnsi="宋体" w:eastAsia="宋体" w:cs="宋体"/>
          <w:bCs/>
          <w:color w:val="auto"/>
          <w:sz w:val="24"/>
          <w:szCs w:val="24"/>
          <w:highlight w:val="none"/>
          <w:lang w:eastAsia="zh-CN"/>
        </w:rPr>
        <w:t>喀什地区疏附县花城大道北侧81号</w:t>
      </w:r>
      <w:r>
        <w:rPr>
          <w:rFonts w:hint="eastAsia" w:ascii="宋体" w:hAnsi="宋体" w:eastAsia="宋体" w:cs="宋体"/>
          <w:color w:val="auto"/>
          <w:sz w:val="24"/>
          <w:szCs w:val="24"/>
          <w:highlight w:val="none"/>
        </w:rPr>
        <w:t>　　　　　　　　　</w:t>
      </w:r>
    </w:p>
    <w:p w14:paraId="3A1310B0">
      <w:pPr>
        <w:pageBreakBefore w:val="0"/>
        <w:kinsoku/>
        <w:wordWrap/>
        <w:overflowPunct/>
        <w:topLinePunct w:val="0"/>
        <w:autoSpaceDE/>
        <w:autoSpaceDN/>
        <w:bidi w:val="0"/>
        <w:adjustRightInd/>
        <w:snapToGrid/>
        <w:spacing w:line="460" w:lineRule="exact"/>
        <w:ind w:left="0"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r>
        <w:rPr>
          <w:rStyle w:val="39"/>
          <w:rFonts w:hint="eastAsia" w:ascii="宋体" w:hAnsi="宋体" w:eastAsia="宋体" w:cs="宋体"/>
          <w:bCs/>
          <w:color w:val="auto"/>
          <w:sz w:val="24"/>
          <w:szCs w:val="24"/>
          <w:highlight w:val="none"/>
          <w:lang w:val="en-US" w:eastAsia="zh-CN"/>
        </w:rPr>
        <w:t>古丽米热、</w:t>
      </w:r>
      <w:r>
        <w:rPr>
          <w:rFonts w:hint="eastAsia" w:ascii="宋体" w:hAnsi="宋体" w:eastAsia="宋体" w:cs="宋体"/>
          <w:color w:val="auto"/>
          <w:sz w:val="24"/>
          <w:szCs w:val="24"/>
          <w:highlight w:val="none"/>
          <w:lang w:val="en-US" w:eastAsia="zh-CN"/>
        </w:rPr>
        <w:t>09982871093</w:t>
      </w:r>
    </w:p>
    <w:p w14:paraId="4DA0B146">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 称：新疆拓源工程管理咨询有限公司　　　　　　　　　　　　</w:t>
      </w:r>
    </w:p>
    <w:p w14:paraId="5ED2C68D">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新疆喀什地区喀什市人民东路财富大厦8楼807室</w:t>
      </w:r>
      <w:r>
        <w:rPr>
          <w:rFonts w:hint="eastAsia" w:ascii="宋体" w:hAnsi="宋体" w:eastAsia="宋体" w:cs="宋体"/>
          <w:color w:val="auto"/>
          <w:sz w:val="24"/>
          <w:szCs w:val="24"/>
          <w:highlight w:val="none"/>
        </w:rPr>
        <w:t>　　　　　　　　　　　　</w:t>
      </w:r>
    </w:p>
    <w:p w14:paraId="6DBC6E93">
      <w:pPr>
        <w:pageBreakBefore w:val="0"/>
        <w:kinsoku/>
        <w:wordWrap/>
        <w:overflowPunct/>
        <w:topLinePunct w:val="0"/>
        <w:autoSpaceDE/>
        <w:autoSpaceDN/>
        <w:bidi w:val="0"/>
        <w:adjustRightInd/>
        <w:snapToGrid/>
        <w:spacing w:line="46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Style w:val="39"/>
          <w:rFonts w:hint="eastAsia" w:ascii="宋体" w:hAnsi="宋体" w:eastAsia="宋体" w:cs="宋体"/>
          <w:bCs/>
          <w:color w:val="auto"/>
          <w:sz w:val="24"/>
          <w:szCs w:val="24"/>
          <w:highlight w:val="none"/>
          <w:lang w:val="en-US" w:eastAsia="zh-CN"/>
        </w:rPr>
        <w:t>杨雯、杨蒙蒙、金山虎、田释月、龚丽君</w:t>
      </w:r>
    </w:p>
    <w:p w14:paraId="3BD15E9C">
      <w:pPr>
        <w:pageBreakBefore w:val="0"/>
        <w:kinsoku/>
        <w:wordWrap/>
        <w:overflowPunct/>
        <w:topLinePunct w:val="0"/>
        <w:autoSpaceDE/>
        <w:autoSpaceDN/>
        <w:bidi w:val="0"/>
        <w:adjustRightInd/>
        <w:snapToGrid/>
        <w:spacing w:line="460" w:lineRule="exact"/>
        <w:ind w:firstLine="480" w:firstLineChars="200"/>
        <w:textAlignment w:val="auto"/>
        <w:rPr>
          <w:rStyle w:val="39"/>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电　话：</w:t>
      </w:r>
      <w:r>
        <w:rPr>
          <w:rStyle w:val="39"/>
          <w:rFonts w:hint="eastAsia" w:ascii="宋体" w:hAnsi="宋体" w:eastAsia="宋体" w:cs="宋体"/>
          <w:bCs/>
          <w:color w:val="auto"/>
          <w:sz w:val="24"/>
          <w:szCs w:val="24"/>
          <w:highlight w:val="none"/>
          <w:lang w:eastAsia="zh-CN"/>
        </w:rPr>
        <w:t>17853507578</w:t>
      </w:r>
    </w:p>
    <w:p w14:paraId="6422B51A">
      <w:pPr>
        <w:pageBreakBefore w:val="0"/>
        <w:kinsoku/>
        <w:wordWrap/>
        <w:overflowPunct/>
        <w:topLinePunct w:val="0"/>
        <w:autoSpaceDE/>
        <w:autoSpaceDN/>
        <w:bidi w:val="0"/>
        <w:adjustRightInd/>
        <w:snapToGrid/>
        <w:spacing w:line="460" w:lineRule="exact"/>
        <w:ind w:firstLine="480" w:firstLineChars="200"/>
        <w:textAlignment w:val="auto"/>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lang w:val="en-US" w:eastAsia="zh-CN"/>
        </w:rPr>
        <w:t>3.同级政府采购监督管理部门</w:t>
      </w:r>
    </w:p>
    <w:p w14:paraId="05975F2E">
      <w:pPr>
        <w:pageBreakBefore w:val="0"/>
        <w:kinsoku/>
        <w:wordWrap/>
        <w:overflowPunct/>
        <w:topLinePunct w:val="0"/>
        <w:autoSpaceDE/>
        <w:autoSpaceDN/>
        <w:bidi w:val="0"/>
        <w:adjustRightInd/>
        <w:snapToGrid/>
        <w:spacing w:line="460" w:lineRule="exact"/>
        <w:ind w:firstLine="480" w:firstLineChars="200"/>
        <w:textAlignment w:val="auto"/>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lang w:val="en-US" w:eastAsia="zh-CN"/>
        </w:rPr>
        <w:t xml:space="preserve">名    称：喀什地区财政局政府采购管理办公室            </w:t>
      </w:r>
    </w:p>
    <w:p w14:paraId="6B44AB74">
      <w:pPr>
        <w:pageBreakBefore w:val="0"/>
        <w:kinsoku/>
        <w:wordWrap/>
        <w:overflowPunct/>
        <w:topLinePunct w:val="0"/>
        <w:autoSpaceDE/>
        <w:autoSpaceDN/>
        <w:bidi w:val="0"/>
        <w:adjustRightInd/>
        <w:snapToGrid/>
        <w:spacing w:line="460" w:lineRule="exact"/>
        <w:ind w:firstLine="480" w:firstLineChars="200"/>
        <w:textAlignment w:val="auto"/>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lang w:val="en-US" w:eastAsia="zh-CN"/>
        </w:rPr>
        <w:t xml:space="preserve">地    址：喀什地区财政局 </w:t>
      </w:r>
    </w:p>
    <w:p w14:paraId="25070663">
      <w:pPr>
        <w:pageBreakBefore w:val="0"/>
        <w:kinsoku/>
        <w:wordWrap/>
        <w:overflowPunct/>
        <w:topLinePunct w:val="0"/>
        <w:autoSpaceDE/>
        <w:autoSpaceDN/>
        <w:bidi w:val="0"/>
        <w:adjustRightInd/>
        <w:snapToGrid/>
        <w:spacing w:line="460" w:lineRule="exact"/>
        <w:ind w:firstLine="480" w:firstLineChars="200"/>
        <w:textAlignment w:val="auto"/>
        <w:rPr>
          <w:rStyle w:val="39"/>
          <w:rFonts w:hint="eastAsia" w:ascii="宋体" w:hAnsi="宋体" w:eastAsia="宋体" w:cs="宋体"/>
          <w:bCs/>
          <w:color w:val="auto"/>
          <w:sz w:val="24"/>
          <w:szCs w:val="24"/>
          <w:highlight w:val="none"/>
          <w:lang w:val="en-US" w:eastAsia="zh-CN"/>
        </w:rPr>
      </w:pPr>
      <w:r>
        <w:rPr>
          <w:rStyle w:val="39"/>
          <w:rFonts w:hint="eastAsia" w:ascii="宋体" w:hAnsi="宋体" w:eastAsia="宋体" w:cs="宋体"/>
          <w:bCs/>
          <w:color w:val="auto"/>
          <w:sz w:val="24"/>
          <w:szCs w:val="24"/>
          <w:highlight w:val="none"/>
          <w:lang w:val="en-US" w:eastAsia="zh-CN"/>
        </w:rPr>
        <w:t>监督投诉电话：09982597000/09982597200</w:t>
      </w:r>
    </w:p>
    <w:p w14:paraId="6BA229F6">
      <w:pPr>
        <w:pageBreakBefore w:val="0"/>
        <w:kinsoku/>
        <w:wordWrap/>
        <w:overflowPunct/>
        <w:topLinePunct w:val="0"/>
        <w:autoSpaceDE/>
        <w:autoSpaceDN/>
        <w:bidi w:val="0"/>
        <w:adjustRightInd/>
        <w:snapToGrid/>
        <w:spacing w:line="480" w:lineRule="exact"/>
        <w:ind w:firstLine="480" w:firstLineChars="200"/>
        <w:textAlignment w:val="auto"/>
        <w:rPr>
          <w:rStyle w:val="39"/>
          <w:rFonts w:hint="eastAsia" w:ascii="宋体" w:hAnsi="宋体" w:eastAsia="宋体" w:cs="宋体"/>
          <w:bCs/>
          <w:color w:val="auto"/>
          <w:sz w:val="24"/>
          <w:szCs w:val="24"/>
          <w:highlight w:val="none"/>
          <w:lang w:val="en-US" w:eastAsia="zh-CN"/>
        </w:rPr>
      </w:pPr>
    </w:p>
    <w:p w14:paraId="7526FDB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14:paraId="74D876F3">
      <w:pPr>
        <w:pStyle w:val="2"/>
        <w:pageBreakBefore w:val="0"/>
        <w:kinsoku/>
        <w:wordWrap/>
        <w:overflowPunct/>
        <w:topLinePunct w:val="0"/>
        <w:autoSpaceDE/>
        <w:autoSpaceDN/>
        <w:bidi w:val="0"/>
        <w:spacing w:before="0" w:after="0"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37" w:name="_Toc28983"/>
      <w:bookmarkStart w:id="38" w:name="_Toc5083"/>
      <w:r>
        <w:rPr>
          <w:rFonts w:hint="eastAsia" w:ascii="宋体" w:hAnsi="宋体" w:eastAsia="宋体" w:cs="宋体"/>
          <w:b/>
          <w:bCs/>
          <w:color w:val="auto"/>
          <w:sz w:val="24"/>
          <w:szCs w:val="24"/>
          <w:highlight w:val="none"/>
        </w:rPr>
        <w:t xml:space="preserve">第二章  </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须知</w:t>
      </w:r>
      <w:bookmarkEnd w:id="4"/>
      <w:bookmarkEnd w:id="5"/>
      <w:bookmarkEnd w:id="6"/>
      <w:bookmarkEnd w:id="7"/>
      <w:bookmarkEnd w:id="8"/>
      <w:bookmarkEnd w:id="9"/>
      <w:bookmarkEnd w:id="37"/>
      <w:bookmarkEnd w:id="38"/>
    </w:p>
    <w:p w14:paraId="619EAB63">
      <w:pPr>
        <w:keepNext/>
        <w:keepLines/>
        <w:pageBreakBefore w:val="0"/>
        <w:kinsoku/>
        <w:wordWrap/>
        <w:overflowPunct/>
        <w:topLinePunct w:val="0"/>
        <w:autoSpaceDE/>
        <w:autoSpaceDN/>
        <w:bidi w:val="0"/>
        <w:spacing w:line="430" w:lineRule="exact"/>
        <w:jc w:val="center"/>
        <w:textAlignment w:val="auto"/>
        <w:outlineLvl w:val="1"/>
        <w:rPr>
          <w:rFonts w:hint="eastAsia" w:ascii="宋体" w:hAnsi="宋体" w:eastAsia="宋体" w:cs="宋体"/>
          <w:b/>
          <w:bCs/>
          <w:color w:val="auto"/>
          <w:sz w:val="24"/>
          <w:szCs w:val="24"/>
          <w:highlight w:val="none"/>
        </w:rPr>
      </w:pPr>
      <w:bookmarkStart w:id="39" w:name="_Toc213396946"/>
      <w:bookmarkStart w:id="40" w:name="_Toc189727030"/>
      <w:bookmarkStart w:id="41" w:name="_Toc217446032"/>
      <w:bookmarkStart w:id="42" w:name="_Toc213496268"/>
      <w:bookmarkStart w:id="43" w:name="_Toc213396760"/>
      <w:bookmarkStart w:id="44" w:name="_Toc213397010"/>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须知前附表</w:t>
      </w:r>
      <w:bookmarkEnd w:id="39"/>
      <w:bookmarkEnd w:id="40"/>
      <w:bookmarkEnd w:id="41"/>
      <w:bookmarkEnd w:id="42"/>
      <w:bookmarkEnd w:id="43"/>
      <w:bookmarkEnd w:id="44"/>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
        <w:gridCol w:w="672"/>
        <w:gridCol w:w="1"/>
        <w:gridCol w:w="1373"/>
        <w:gridCol w:w="1"/>
        <w:gridCol w:w="6471"/>
        <w:gridCol w:w="1"/>
      </w:tblGrid>
      <w:tr w14:paraId="1EC3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2C6AEC3D">
            <w:pPr>
              <w:pageBreakBefore w:val="0"/>
              <w:kinsoku/>
              <w:wordWrap/>
              <w:overflowPunct/>
              <w:topLinePunct w:val="0"/>
              <w:autoSpaceDE/>
              <w:autoSpaceDN/>
              <w:bidi w:val="0"/>
              <w:spacing w:line="43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374" w:type="dxa"/>
            <w:gridSpan w:val="2"/>
            <w:noWrap w:val="0"/>
            <w:vAlign w:val="center"/>
          </w:tcPr>
          <w:p w14:paraId="0FC00A35">
            <w:pPr>
              <w:pageBreakBefore w:val="0"/>
              <w:kinsoku/>
              <w:wordWrap/>
              <w:overflowPunct/>
              <w:topLinePunct w:val="0"/>
              <w:autoSpaceDE/>
              <w:autoSpaceDN/>
              <w:bidi w:val="0"/>
              <w:spacing w:line="43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 称</w:t>
            </w:r>
          </w:p>
        </w:tc>
        <w:tc>
          <w:tcPr>
            <w:tcW w:w="6473" w:type="dxa"/>
            <w:gridSpan w:val="2"/>
            <w:noWrap w:val="0"/>
            <w:vAlign w:val="center"/>
          </w:tcPr>
          <w:p w14:paraId="7D4AE42D">
            <w:pPr>
              <w:pageBreakBefore w:val="0"/>
              <w:kinsoku/>
              <w:wordWrap/>
              <w:overflowPunct/>
              <w:topLinePunct w:val="0"/>
              <w:autoSpaceDE/>
              <w:autoSpaceDN/>
              <w:bidi w:val="0"/>
              <w:spacing w:line="43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r>
      <w:tr w14:paraId="1CF8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1850" w:hRule="atLeast"/>
          <w:jc w:val="center"/>
        </w:trPr>
        <w:tc>
          <w:tcPr>
            <w:tcW w:w="673" w:type="dxa"/>
            <w:gridSpan w:val="2"/>
            <w:noWrap w:val="0"/>
            <w:vAlign w:val="center"/>
          </w:tcPr>
          <w:p w14:paraId="0DC7CDC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74" w:type="dxa"/>
            <w:gridSpan w:val="2"/>
            <w:noWrap w:val="0"/>
            <w:vAlign w:val="center"/>
          </w:tcPr>
          <w:p w14:paraId="3D0F405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6473" w:type="dxa"/>
            <w:gridSpan w:val="2"/>
            <w:noWrap w:val="0"/>
            <w:vAlign w:val="center"/>
          </w:tcPr>
          <w:p w14:paraId="51169625">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喀什地区疾病预防控制中心（喀什地区卫生监督所）</w:t>
            </w:r>
          </w:p>
          <w:p w14:paraId="61C20143">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r>
              <w:rPr>
                <w:rStyle w:val="39"/>
                <w:rFonts w:hint="eastAsia" w:ascii="宋体" w:hAnsi="宋体" w:eastAsia="宋体" w:cs="宋体"/>
                <w:bCs/>
                <w:color w:val="auto"/>
                <w:sz w:val="24"/>
                <w:szCs w:val="24"/>
                <w:highlight w:val="none"/>
                <w:lang w:eastAsia="zh-CN"/>
              </w:rPr>
              <w:t>喀什地区疏附县花城大道北侧81号</w:t>
            </w:r>
          </w:p>
          <w:p w14:paraId="1D02C653">
            <w:pPr>
              <w:pageBreakBefore w:val="0"/>
              <w:kinsoku/>
              <w:wordWrap/>
              <w:overflowPunct/>
              <w:topLinePunct w:val="0"/>
              <w:autoSpaceDE/>
              <w:autoSpaceDN/>
              <w:bidi w:val="0"/>
              <w:spacing w:line="430" w:lineRule="exact"/>
              <w:textAlignment w:val="auto"/>
              <w:rPr>
                <w:rStyle w:val="39"/>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联系人：</w:t>
            </w:r>
            <w:r>
              <w:rPr>
                <w:rStyle w:val="39"/>
                <w:rFonts w:hint="eastAsia" w:ascii="宋体" w:hAnsi="宋体" w:eastAsia="宋体" w:cs="宋体"/>
                <w:bCs/>
                <w:color w:val="auto"/>
                <w:sz w:val="24"/>
                <w:szCs w:val="24"/>
                <w:highlight w:val="none"/>
                <w:lang w:val="en-US" w:eastAsia="zh-CN"/>
              </w:rPr>
              <w:t>古丽米热</w:t>
            </w:r>
          </w:p>
          <w:p w14:paraId="7D01A770">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Style w:val="39"/>
                <w:rFonts w:hint="eastAsia" w:ascii="宋体" w:hAnsi="宋体" w:eastAsia="宋体" w:cs="宋体"/>
                <w:bCs/>
                <w:color w:val="auto"/>
                <w:sz w:val="24"/>
                <w:szCs w:val="24"/>
                <w:highlight w:val="none"/>
                <w:lang w:val="en-US" w:eastAsia="zh-CN"/>
              </w:rPr>
              <w:t>09982871093</w:t>
            </w:r>
          </w:p>
        </w:tc>
      </w:tr>
      <w:tr w14:paraId="6DD9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0D9C54DD">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74" w:type="dxa"/>
            <w:gridSpan w:val="2"/>
            <w:noWrap w:val="0"/>
            <w:vAlign w:val="center"/>
          </w:tcPr>
          <w:p w14:paraId="2B6E8B89">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6473" w:type="dxa"/>
            <w:gridSpan w:val="2"/>
            <w:noWrap w:val="0"/>
            <w:vAlign w:val="center"/>
          </w:tcPr>
          <w:p w14:paraId="3B14BFE5">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称：新疆拓源工程管理咨询有限公司</w:t>
            </w:r>
          </w:p>
          <w:p w14:paraId="60779502">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val="zh-CN"/>
              </w:rPr>
              <w:t>新疆喀什地区喀什市人民东路财富大厦8楼807室</w:t>
            </w:r>
          </w:p>
          <w:p w14:paraId="6FFF41E3">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联系人：</w:t>
            </w:r>
            <w:r>
              <w:rPr>
                <w:rStyle w:val="39"/>
                <w:rFonts w:hint="eastAsia" w:ascii="宋体" w:hAnsi="宋体" w:eastAsia="宋体" w:cs="宋体"/>
                <w:bCs/>
                <w:color w:val="auto"/>
                <w:sz w:val="24"/>
                <w:szCs w:val="24"/>
                <w:highlight w:val="none"/>
                <w:lang w:val="en-US" w:eastAsia="zh-CN"/>
              </w:rPr>
              <w:t>杨雯、杨蒙蒙、金山虎、田释月、龚丽君</w:t>
            </w:r>
          </w:p>
          <w:p w14:paraId="7A5E3608">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Style w:val="39"/>
                <w:rFonts w:hint="eastAsia" w:ascii="宋体" w:hAnsi="宋体" w:eastAsia="宋体" w:cs="宋体"/>
                <w:bCs/>
                <w:color w:val="auto"/>
                <w:sz w:val="24"/>
                <w:szCs w:val="24"/>
                <w:highlight w:val="none"/>
                <w:lang w:eastAsia="zh-CN"/>
              </w:rPr>
              <w:t>17853507578</w:t>
            </w:r>
          </w:p>
        </w:tc>
      </w:tr>
      <w:tr w14:paraId="4965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562" w:hRule="atLeast"/>
          <w:jc w:val="center"/>
        </w:trPr>
        <w:tc>
          <w:tcPr>
            <w:tcW w:w="673" w:type="dxa"/>
            <w:gridSpan w:val="2"/>
            <w:noWrap w:val="0"/>
            <w:vAlign w:val="center"/>
          </w:tcPr>
          <w:p w14:paraId="35FF200A">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74" w:type="dxa"/>
            <w:gridSpan w:val="2"/>
            <w:noWrap w:val="0"/>
            <w:vAlign w:val="center"/>
          </w:tcPr>
          <w:p w14:paraId="2B870CB5">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473" w:type="dxa"/>
            <w:gridSpan w:val="2"/>
            <w:noWrap w:val="0"/>
            <w:vAlign w:val="center"/>
          </w:tcPr>
          <w:p w14:paraId="29324971">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喀什地区疾病预防控制中心（喀什地区卫生监督所）应急物资采购项目</w:t>
            </w:r>
          </w:p>
        </w:tc>
      </w:tr>
      <w:tr w14:paraId="6E01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6BD18B6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374" w:type="dxa"/>
            <w:gridSpan w:val="2"/>
            <w:noWrap w:val="0"/>
            <w:vAlign w:val="center"/>
          </w:tcPr>
          <w:p w14:paraId="6A9CC1A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6473" w:type="dxa"/>
            <w:gridSpan w:val="2"/>
            <w:noWrap w:val="0"/>
            <w:vAlign w:val="center"/>
          </w:tcPr>
          <w:p w14:paraId="1046B983">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TYHWZB2026-034</w:t>
            </w:r>
          </w:p>
        </w:tc>
      </w:tr>
      <w:tr w14:paraId="1663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1281" w:hRule="atLeast"/>
          <w:jc w:val="center"/>
        </w:trPr>
        <w:tc>
          <w:tcPr>
            <w:tcW w:w="673" w:type="dxa"/>
            <w:gridSpan w:val="2"/>
            <w:noWrap w:val="0"/>
            <w:vAlign w:val="center"/>
          </w:tcPr>
          <w:p w14:paraId="08DC2D30">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374" w:type="dxa"/>
            <w:gridSpan w:val="2"/>
            <w:noWrap w:val="0"/>
            <w:vAlign w:val="center"/>
          </w:tcPr>
          <w:p w14:paraId="6BAA8FC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资金来源、预算金额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eastAsia="zh-CN"/>
              </w:rPr>
              <w:t>）</w:t>
            </w:r>
          </w:p>
        </w:tc>
        <w:tc>
          <w:tcPr>
            <w:tcW w:w="6473" w:type="dxa"/>
            <w:gridSpan w:val="2"/>
            <w:noWrap w:val="0"/>
            <w:vAlign w:val="center"/>
          </w:tcPr>
          <w:p w14:paraId="2677541A">
            <w:pPr>
              <w:pageBreakBefore w:val="0"/>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资金来源：一般公共预算</w:t>
            </w:r>
          </w:p>
          <w:p w14:paraId="033A098F">
            <w:pPr>
              <w:pageBreakBefore w:val="0"/>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预算金额（最高限价）：</w:t>
            </w:r>
            <w:r>
              <w:rPr>
                <w:rFonts w:hint="eastAsia" w:ascii="宋体" w:hAnsi="宋体" w:cs="宋体"/>
                <w:color w:val="auto"/>
                <w:sz w:val="24"/>
                <w:szCs w:val="24"/>
                <w:highlight w:val="none"/>
                <w:lang w:val="en-US" w:eastAsia="zh-CN"/>
              </w:rPr>
              <w:t>614600.00</w:t>
            </w:r>
            <w:r>
              <w:rPr>
                <w:rFonts w:hint="eastAsia" w:ascii="宋体" w:hAnsi="宋体" w:eastAsia="宋体" w:cs="宋体"/>
                <w:color w:val="auto"/>
                <w:sz w:val="24"/>
                <w:szCs w:val="24"/>
                <w:highlight w:val="none"/>
                <w:lang w:val="en-US" w:eastAsia="zh-CN"/>
              </w:rPr>
              <w:t>元</w:t>
            </w:r>
          </w:p>
          <w:p w14:paraId="4ECB22C4">
            <w:pPr>
              <w:pageBreakBefore w:val="0"/>
              <w:kinsoku/>
              <w:wordWrap/>
              <w:overflowPunct/>
              <w:topLinePunct w:val="0"/>
              <w:autoSpaceDE/>
              <w:autoSpaceDN/>
              <w:bidi w:val="0"/>
              <w:spacing w:line="43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w:t>
            </w:r>
            <w:r>
              <w:rPr>
                <w:rFonts w:hint="eastAsia" w:ascii="宋体" w:hAnsi="宋体" w:eastAsia="宋体" w:cs="宋体"/>
                <w:b/>
                <w:color w:val="auto"/>
                <w:sz w:val="24"/>
                <w:szCs w:val="24"/>
                <w:highlight w:val="none"/>
                <w:lang w:val="en-US" w:eastAsia="zh-CN"/>
              </w:rPr>
              <w:t>供应商</w:t>
            </w:r>
            <w:r>
              <w:rPr>
                <w:rFonts w:hint="eastAsia" w:ascii="宋体" w:hAnsi="宋体" w:eastAsia="宋体" w:cs="宋体"/>
                <w:b/>
                <w:color w:val="auto"/>
                <w:sz w:val="24"/>
                <w:szCs w:val="24"/>
                <w:highlight w:val="none"/>
              </w:rPr>
              <w:t>投标报价若超过最高限价，</w:t>
            </w:r>
            <w:r>
              <w:rPr>
                <w:rFonts w:hint="eastAsia" w:ascii="宋体" w:hAnsi="宋体" w:eastAsia="宋体" w:cs="宋体"/>
                <w:b/>
                <w:color w:val="auto"/>
                <w:sz w:val="24"/>
                <w:szCs w:val="24"/>
                <w:highlight w:val="none"/>
                <w:lang w:val="en-US" w:eastAsia="zh-CN"/>
              </w:rPr>
              <w:t>其</w:t>
            </w:r>
            <w:r>
              <w:rPr>
                <w:rFonts w:hint="eastAsia" w:ascii="宋体" w:hAnsi="宋体" w:eastAsia="宋体" w:cs="宋体"/>
                <w:b/>
                <w:color w:val="auto"/>
                <w:sz w:val="24"/>
                <w:szCs w:val="24"/>
                <w:highlight w:val="none"/>
              </w:rPr>
              <w:t>投标无效。</w:t>
            </w:r>
          </w:p>
        </w:tc>
      </w:tr>
      <w:tr w14:paraId="5C5F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502" w:hRule="atLeast"/>
          <w:jc w:val="center"/>
        </w:trPr>
        <w:tc>
          <w:tcPr>
            <w:tcW w:w="673" w:type="dxa"/>
            <w:gridSpan w:val="2"/>
            <w:noWrap w:val="0"/>
            <w:vAlign w:val="center"/>
          </w:tcPr>
          <w:p w14:paraId="4FC92961">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374" w:type="dxa"/>
            <w:gridSpan w:val="2"/>
            <w:noWrap w:val="0"/>
            <w:vAlign w:val="center"/>
          </w:tcPr>
          <w:p w14:paraId="3EC9EE0B">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tc>
        <w:tc>
          <w:tcPr>
            <w:tcW w:w="6473" w:type="dxa"/>
            <w:gridSpan w:val="2"/>
            <w:noWrap w:val="0"/>
            <w:vAlign w:val="center"/>
          </w:tcPr>
          <w:p w14:paraId="562073D8">
            <w:pPr>
              <w:pStyle w:val="5"/>
              <w:pageBreakBefore w:val="0"/>
              <w:kinsoku/>
              <w:wordWrap/>
              <w:overflowPunct/>
              <w:topLinePunct w:val="0"/>
              <w:autoSpaceDE/>
              <w:autoSpaceDN/>
              <w:bidi w:val="0"/>
              <w:spacing w:line="43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采购一批应急物资（详见招标文件）</w:t>
            </w:r>
          </w:p>
        </w:tc>
      </w:tr>
      <w:tr w14:paraId="701F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90" w:hRule="atLeast"/>
          <w:jc w:val="center"/>
        </w:trPr>
        <w:tc>
          <w:tcPr>
            <w:tcW w:w="673" w:type="dxa"/>
            <w:gridSpan w:val="2"/>
            <w:noWrap w:val="0"/>
            <w:vAlign w:val="center"/>
          </w:tcPr>
          <w:p w14:paraId="6E6FD22B">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374" w:type="dxa"/>
            <w:gridSpan w:val="2"/>
            <w:noWrap w:val="0"/>
            <w:vAlign w:val="center"/>
          </w:tcPr>
          <w:p w14:paraId="70C03935">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交货期</w:t>
            </w:r>
          </w:p>
        </w:tc>
        <w:tc>
          <w:tcPr>
            <w:tcW w:w="6473" w:type="dxa"/>
            <w:gridSpan w:val="2"/>
            <w:noWrap w:val="0"/>
            <w:vAlign w:val="center"/>
          </w:tcPr>
          <w:p w14:paraId="6ECBD34C">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签完合同30天内完成供货（具体以签订的合同为准）。</w:t>
            </w:r>
          </w:p>
        </w:tc>
      </w:tr>
      <w:tr w14:paraId="2CA1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90" w:hRule="atLeast"/>
          <w:jc w:val="center"/>
        </w:trPr>
        <w:tc>
          <w:tcPr>
            <w:tcW w:w="673" w:type="dxa"/>
            <w:gridSpan w:val="2"/>
            <w:noWrap w:val="0"/>
            <w:vAlign w:val="center"/>
          </w:tcPr>
          <w:p w14:paraId="464DBAF7">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374" w:type="dxa"/>
            <w:gridSpan w:val="2"/>
            <w:noWrap w:val="0"/>
            <w:vAlign w:val="center"/>
          </w:tcPr>
          <w:p w14:paraId="2E594F83">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w:t>
            </w:r>
          </w:p>
        </w:tc>
        <w:tc>
          <w:tcPr>
            <w:tcW w:w="6473" w:type="dxa"/>
            <w:gridSpan w:val="2"/>
            <w:noWrap w:val="0"/>
            <w:vAlign w:val="center"/>
          </w:tcPr>
          <w:p w14:paraId="7C37BF65">
            <w:pPr>
              <w:pageBreakBefore w:val="0"/>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2年。（具体以签订的合同为准）。</w:t>
            </w:r>
          </w:p>
        </w:tc>
      </w:tr>
      <w:tr w14:paraId="5318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16975CA8">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374" w:type="dxa"/>
            <w:gridSpan w:val="2"/>
            <w:noWrap w:val="0"/>
            <w:vAlign w:val="center"/>
          </w:tcPr>
          <w:p w14:paraId="61B099A9">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交</w:t>
            </w:r>
            <w:r>
              <w:rPr>
                <w:rFonts w:hint="eastAsia" w:ascii="宋体" w:hAnsi="宋体" w:eastAsia="宋体" w:cs="宋体"/>
                <w:color w:val="auto"/>
                <w:sz w:val="24"/>
                <w:szCs w:val="24"/>
                <w:highlight w:val="none"/>
              </w:rPr>
              <w:t>货地点</w:t>
            </w:r>
          </w:p>
        </w:tc>
        <w:tc>
          <w:tcPr>
            <w:tcW w:w="6473" w:type="dxa"/>
            <w:gridSpan w:val="2"/>
            <w:noWrap w:val="0"/>
            <w:vAlign w:val="center"/>
          </w:tcPr>
          <w:p w14:paraId="62F8A993">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采购人指定地点。</w:t>
            </w:r>
          </w:p>
        </w:tc>
      </w:tr>
      <w:tr w14:paraId="3FCB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131" w:hRule="atLeast"/>
          <w:jc w:val="center"/>
        </w:trPr>
        <w:tc>
          <w:tcPr>
            <w:tcW w:w="673" w:type="dxa"/>
            <w:gridSpan w:val="2"/>
            <w:noWrap w:val="0"/>
            <w:vAlign w:val="center"/>
          </w:tcPr>
          <w:p w14:paraId="3DD219C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374" w:type="dxa"/>
            <w:gridSpan w:val="2"/>
            <w:noWrap w:val="0"/>
            <w:vAlign w:val="center"/>
          </w:tcPr>
          <w:p w14:paraId="55C5045D">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落实的政府采购政策</w:t>
            </w:r>
          </w:p>
        </w:tc>
        <w:tc>
          <w:tcPr>
            <w:tcW w:w="6473" w:type="dxa"/>
            <w:gridSpan w:val="2"/>
            <w:noWrap w:val="0"/>
            <w:vAlign w:val="center"/>
          </w:tcPr>
          <w:p w14:paraId="349A51B2">
            <w:pPr>
              <w:pStyle w:val="42"/>
              <w:pageBreakBefore w:val="0"/>
              <w:widowControl/>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1、本项目为不专门面向中小企业采购的项目（若投标供应商所提供的货物全部由符合政策要求的小微企业制造，并按要求提交《中小企业声明函》，可享受10%的价格扣除优惠，用扣除后的价格参与评审。）。</w:t>
            </w:r>
          </w:p>
          <w:p w14:paraId="37BEFC1F">
            <w:pPr>
              <w:pStyle w:val="42"/>
              <w:pageBreakBefore w:val="0"/>
              <w:widowControl/>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2、所属行业：工</w:t>
            </w:r>
            <w:r>
              <w:rPr>
                <w:rFonts w:hint="eastAsia" w:ascii="宋体" w:hAnsi="宋体" w:eastAsia="宋体" w:cs="宋体"/>
                <w:bCs/>
                <w:color w:val="auto"/>
                <w:sz w:val="24"/>
                <w:szCs w:val="24"/>
                <w:highlight w:val="none"/>
                <w:lang w:val="en-US" w:eastAsia="zh-CN"/>
              </w:rPr>
              <w:t>业</w:t>
            </w:r>
            <w:r>
              <w:rPr>
                <w:rFonts w:hint="eastAsia" w:ascii="宋体" w:hAnsi="宋体" w:eastAsia="宋体" w:cs="宋体"/>
                <w:color w:val="auto"/>
                <w:sz w:val="24"/>
                <w:szCs w:val="24"/>
                <w:highlight w:val="none"/>
                <w:lang w:val="en-US" w:eastAsia="zh-CN"/>
              </w:rPr>
              <w:t>。</w:t>
            </w:r>
          </w:p>
        </w:tc>
      </w:tr>
      <w:tr w14:paraId="4C20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454" w:hRule="atLeast"/>
          <w:jc w:val="center"/>
        </w:trPr>
        <w:tc>
          <w:tcPr>
            <w:tcW w:w="673" w:type="dxa"/>
            <w:gridSpan w:val="2"/>
            <w:noWrap w:val="0"/>
            <w:vAlign w:val="center"/>
          </w:tcPr>
          <w:p w14:paraId="3227D113">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374" w:type="dxa"/>
            <w:gridSpan w:val="2"/>
            <w:noWrap w:val="0"/>
            <w:vAlign w:val="center"/>
          </w:tcPr>
          <w:p w14:paraId="12C86CA9">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特定资格要求</w:t>
            </w:r>
          </w:p>
        </w:tc>
        <w:tc>
          <w:tcPr>
            <w:tcW w:w="6473" w:type="dxa"/>
            <w:gridSpan w:val="2"/>
            <w:noWrap w:val="0"/>
            <w:vAlign w:val="center"/>
          </w:tcPr>
          <w:p w14:paraId="74AA16D3">
            <w:pPr>
              <w:pStyle w:val="42"/>
              <w:pageBreakBefore w:val="0"/>
              <w:widowControl/>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满足《中华人民共和国政府采购法》第二十二条规定；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shd w:val="clear" w:color="auto" w:fill="auto"/>
                <w:lang w:val="en-US" w:eastAsia="zh-CN"/>
              </w:rPr>
              <w:t>本项目的特定资格要求：/</w:t>
            </w:r>
          </w:p>
        </w:tc>
      </w:tr>
      <w:tr w14:paraId="44FF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90" w:hRule="atLeast"/>
          <w:jc w:val="center"/>
        </w:trPr>
        <w:tc>
          <w:tcPr>
            <w:tcW w:w="673" w:type="dxa"/>
            <w:gridSpan w:val="2"/>
            <w:noWrap w:val="0"/>
            <w:vAlign w:val="center"/>
          </w:tcPr>
          <w:p w14:paraId="2D5270C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374" w:type="dxa"/>
            <w:gridSpan w:val="2"/>
            <w:noWrap w:val="0"/>
            <w:vAlign w:val="center"/>
          </w:tcPr>
          <w:p w14:paraId="2085CD31">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6473" w:type="dxa"/>
            <w:gridSpan w:val="2"/>
            <w:noWrap w:val="0"/>
            <w:vAlign w:val="center"/>
          </w:tcPr>
          <w:p w14:paraId="464081F1">
            <w:pPr>
              <w:pStyle w:val="26"/>
              <w:pageBreakBefore w:val="0"/>
              <w:kinsoku/>
              <w:wordWrap/>
              <w:overflowPunct/>
              <w:topLinePunct w:val="0"/>
              <w:autoSpaceDE/>
              <w:autoSpaceDN/>
              <w:bidi w:val="0"/>
              <w:spacing w:line="430" w:lineRule="exact"/>
              <w:ind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投标保证金的金额：</w:t>
            </w:r>
            <w:r>
              <w:rPr>
                <w:rFonts w:hint="eastAsia" w:ascii="宋体" w:hAnsi="宋体" w:eastAsia="宋体" w:cs="宋体"/>
                <w:b/>
                <w:bCs/>
                <w:color w:val="auto"/>
                <w:sz w:val="24"/>
                <w:szCs w:val="24"/>
                <w:highlight w:val="none"/>
                <w:lang w:val="en-US" w:eastAsia="zh-CN"/>
              </w:rPr>
              <w:t>12</w:t>
            </w:r>
            <w:r>
              <w:rPr>
                <w:rFonts w:hint="eastAsia" w:ascii="宋体" w:hAnsi="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val="en-US" w:eastAsia="zh-CN"/>
              </w:rPr>
              <w:t>00.00元</w:t>
            </w:r>
            <w:r>
              <w:rPr>
                <w:rFonts w:hint="eastAsia" w:ascii="宋体" w:hAnsi="宋体" w:eastAsia="宋体" w:cs="宋体"/>
                <w:color w:val="auto"/>
                <w:sz w:val="24"/>
                <w:szCs w:val="24"/>
                <w:highlight w:val="none"/>
                <w:lang w:val="en-US" w:eastAsia="zh-CN"/>
              </w:rPr>
              <w:t>（大写：壹万贰仟元整）</w:t>
            </w:r>
          </w:p>
          <w:p w14:paraId="0E9D20BE">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r>
              <w:rPr>
                <w:rFonts w:hint="eastAsia" w:ascii="宋体" w:hAnsi="宋体" w:eastAsia="宋体" w:cs="宋体"/>
                <w:b/>
                <w:bCs/>
                <w:color w:val="auto"/>
                <w:kern w:val="0"/>
                <w:sz w:val="24"/>
                <w:szCs w:val="24"/>
                <w:highlight w:val="none"/>
                <w:lang w:eastAsia="zh-CN"/>
              </w:rPr>
              <w:t>投标保证金</w:t>
            </w:r>
            <w:r>
              <w:rPr>
                <w:rFonts w:hint="eastAsia" w:ascii="宋体" w:hAnsi="宋体" w:eastAsia="宋体" w:cs="宋体"/>
                <w:b/>
                <w:bCs/>
                <w:color w:val="auto"/>
                <w:kern w:val="0"/>
                <w:sz w:val="24"/>
                <w:szCs w:val="24"/>
                <w:highlight w:val="none"/>
              </w:rPr>
              <w:t>缴纳：</w:t>
            </w:r>
          </w:p>
          <w:p w14:paraId="68BC6B07">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lang w:eastAsia="zh-CN"/>
              </w:rPr>
              <w:t>投标保证金</w:t>
            </w:r>
            <w:r>
              <w:rPr>
                <w:rFonts w:hint="eastAsia" w:ascii="宋体" w:hAnsi="宋体" w:eastAsia="宋体" w:cs="宋体"/>
                <w:color w:val="auto"/>
                <w:sz w:val="24"/>
                <w:szCs w:val="24"/>
                <w:highlight w:val="none"/>
              </w:rPr>
              <w:t>应当以</w:t>
            </w:r>
            <w:r>
              <w:rPr>
                <w:rFonts w:hint="eastAsia" w:ascii="宋体" w:hAnsi="宋体" w:eastAsia="宋体" w:cs="宋体"/>
                <w:color w:val="auto"/>
                <w:sz w:val="24"/>
                <w:szCs w:val="24"/>
                <w:highlight w:val="none"/>
                <w:lang w:val="en-US" w:eastAsia="zh-CN"/>
              </w:rPr>
              <w:t>支票、汇票、本票、</w:t>
            </w:r>
            <w:r>
              <w:rPr>
                <w:rFonts w:hint="eastAsia" w:ascii="宋体" w:hAnsi="宋体" w:eastAsia="宋体" w:cs="宋体"/>
                <w:color w:val="auto"/>
                <w:sz w:val="24"/>
                <w:szCs w:val="24"/>
                <w:highlight w:val="none"/>
              </w:rPr>
              <w:t>电汇、网银、</w:t>
            </w:r>
            <w:r>
              <w:rPr>
                <w:rFonts w:hint="eastAsia" w:ascii="宋体" w:hAnsi="宋体" w:eastAsia="宋体" w:cs="宋体"/>
                <w:color w:val="auto"/>
                <w:sz w:val="24"/>
                <w:szCs w:val="24"/>
                <w:highlight w:val="none"/>
                <w:lang w:val="en-US" w:eastAsia="zh-CN"/>
              </w:rPr>
              <w:t>电子</w:t>
            </w:r>
            <w:r>
              <w:rPr>
                <w:rFonts w:hint="eastAsia" w:ascii="宋体" w:hAnsi="宋体" w:eastAsia="宋体" w:cs="宋体"/>
                <w:color w:val="auto"/>
                <w:sz w:val="24"/>
                <w:szCs w:val="24"/>
                <w:highlight w:val="none"/>
              </w:rPr>
              <w:t>保函等非现金形式提交</w:t>
            </w:r>
            <w:r>
              <w:rPr>
                <w:rFonts w:hint="eastAsia" w:ascii="宋体" w:hAnsi="宋体" w:eastAsia="宋体" w:cs="宋体"/>
                <w:color w:val="auto"/>
                <w:kern w:val="0"/>
                <w:sz w:val="24"/>
                <w:szCs w:val="24"/>
                <w:highlight w:val="none"/>
              </w:rPr>
              <w:t>；</w:t>
            </w:r>
          </w:p>
          <w:p w14:paraId="22C0C8C2">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bidi="ar"/>
              </w:rPr>
              <w:t>缴纳</w:t>
            </w:r>
            <w:r>
              <w:rPr>
                <w:rFonts w:hint="eastAsia" w:ascii="宋体" w:hAnsi="宋体" w:eastAsia="宋体" w:cs="宋体"/>
                <w:color w:val="auto"/>
                <w:kern w:val="0"/>
                <w:sz w:val="24"/>
                <w:szCs w:val="24"/>
                <w:highlight w:val="none"/>
                <w:lang w:eastAsia="zh-CN" w:bidi="ar"/>
              </w:rPr>
              <w:t>投标保证金</w:t>
            </w:r>
            <w:r>
              <w:rPr>
                <w:rFonts w:hint="eastAsia" w:ascii="宋体" w:hAnsi="宋体" w:eastAsia="宋体" w:cs="宋体"/>
                <w:color w:val="auto"/>
                <w:kern w:val="0"/>
                <w:sz w:val="24"/>
                <w:szCs w:val="24"/>
                <w:highlight w:val="none"/>
                <w:lang w:bidi="ar"/>
              </w:rPr>
              <w:t>时需备注</w:t>
            </w:r>
            <w:r>
              <w:rPr>
                <w:rFonts w:hint="eastAsia" w:ascii="宋体" w:hAnsi="宋体" w:eastAsia="宋体" w:cs="宋体"/>
                <w:b/>
                <w:bCs/>
                <w:color w:val="auto"/>
                <w:kern w:val="0"/>
                <w:sz w:val="24"/>
                <w:szCs w:val="24"/>
                <w:highlight w:val="none"/>
                <w:lang w:bidi="ar"/>
              </w:rPr>
              <w:t>项目名称</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如字数超限，可简写</w:t>
            </w:r>
            <w:r>
              <w:rPr>
                <w:rFonts w:hint="eastAsia" w:ascii="宋体" w:hAnsi="宋体" w:eastAsia="宋体" w:cs="宋体"/>
                <w:color w:val="auto"/>
                <w:kern w:val="0"/>
                <w:sz w:val="24"/>
                <w:szCs w:val="24"/>
                <w:highlight w:val="none"/>
              </w:rPr>
              <w:t>；</w:t>
            </w:r>
          </w:p>
          <w:p w14:paraId="4205606D">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lang w:val="en-US" w:eastAsia="zh-CN"/>
              </w:rPr>
              <w:t>缴纳</w:t>
            </w:r>
            <w:r>
              <w:rPr>
                <w:rFonts w:hint="eastAsia" w:ascii="宋体" w:hAnsi="宋体" w:eastAsia="宋体" w:cs="宋体"/>
                <w:color w:val="auto"/>
                <w:kern w:val="0"/>
                <w:sz w:val="24"/>
                <w:szCs w:val="24"/>
                <w:highlight w:val="none"/>
              </w:rPr>
              <w:t>截止时间：同</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lang w:val="en-US" w:eastAsia="zh-CN"/>
              </w:rPr>
              <w:t>上传</w:t>
            </w:r>
            <w:r>
              <w:rPr>
                <w:rFonts w:hint="eastAsia" w:ascii="宋体" w:hAnsi="宋体" w:eastAsia="宋体" w:cs="宋体"/>
                <w:color w:val="auto"/>
                <w:kern w:val="0"/>
                <w:sz w:val="24"/>
                <w:szCs w:val="24"/>
                <w:highlight w:val="none"/>
              </w:rPr>
              <w:t>截止时间；</w:t>
            </w:r>
          </w:p>
          <w:p w14:paraId="5B8469E9">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rPr>
              <w:t>缴纳账户：</w:t>
            </w:r>
          </w:p>
          <w:p w14:paraId="35E62B87">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val="en-US" w:eastAsia="zh-CN"/>
              </w:rPr>
              <w:t>新疆拓源工程管理咨询有限公司喀什分公司</w:t>
            </w:r>
          </w:p>
          <w:p w14:paraId="78C8C688">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开户行：</w:t>
            </w:r>
            <w:r>
              <w:rPr>
                <w:rFonts w:hint="eastAsia" w:ascii="宋体" w:hAnsi="宋体" w:eastAsia="宋体" w:cs="宋体"/>
                <w:color w:val="auto"/>
                <w:kern w:val="0"/>
                <w:sz w:val="24"/>
                <w:szCs w:val="24"/>
                <w:highlight w:val="none"/>
                <w:lang w:val="en-US" w:eastAsia="zh-CN"/>
              </w:rPr>
              <w:t>中国农业银行股份有限公司喀什市兵团支行</w:t>
            </w:r>
          </w:p>
          <w:p w14:paraId="07F8486C">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r>
              <w:rPr>
                <w:rFonts w:hint="eastAsia" w:ascii="宋体" w:hAnsi="宋体" w:eastAsia="宋体" w:cs="宋体"/>
                <w:color w:val="auto"/>
                <w:kern w:val="0"/>
                <w:sz w:val="24"/>
                <w:szCs w:val="24"/>
                <w:highlight w:val="none"/>
                <w:lang w:val="en-US" w:eastAsia="zh-CN"/>
              </w:rPr>
              <w:t>30783201040018241</w:t>
            </w:r>
            <w:r>
              <w:rPr>
                <w:rFonts w:hint="eastAsia" w:ascii="宋体" w:hAnsi="宋体" w:eastAsia="宋体" w:cs="宋体"/>
                <w:color w:val="auto"/>
                <w:kern w:val="0"/>
                <w:sz w:val="24"/>
                <w:szCs w:val="24"/>
                <w:highlight w:val="none"/>
              </w:rPr>
              <w:t>（电汇时请在汇款备注栏注明项目名称及标项（如有），并注明是投标保证金，否则视为无效投标保证金）</w:t>
            </w:r>
          </w:p>
          <w:p w14:paraId="1F1C89ED">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行号：</w:t>
            </w:r>
            <w:r>
              <w:rPr>
                <w:rFonts w:hint="eastAsia" w:ascii="宋体" w:hAnsi="宋体" w:eastAsia="宋体" w:cs="宋体"/>
                <w:color w:val="auto"/>
                <w:kern w:val="0"/>
                <w:sz w:val="24"/>
                <w:szCs w:val="24"/>
                <w:highlight w:val="none"/>
                <w:lang w:val="en-US" w:eastAsia="zh-CN"/>
              </w:rPr>
              <w:t>103894078326</w:t>
            </w:r>
          </w:p>
          <w:p w14:paraId="2B3C91E7">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财务室联系人及联系方式：17853507578</w:t>
            </w:r>
          </w:p>
          <w:p w14:paraId="551F151F">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w:t>
            </w:r>
            <w:r>
              <w:rPr>
                <w:rFonts w:hint="eastAsia" w:ascii="宋体" w:hAnsi="宋体" w:eastAsia="宋体" w:cs="宋体"/>
                <w:b/>
                <w:bCs/>
                <w:color w:val="auto"/>
                <w:kern w:val="0"/>
                <w:sz w:val="24"/>
                <w:szCs w:val="24"/>
                <w:highlight w:val="none"/>
                <w:lang w:eastAsia="zh-CN"/>
              </w:rPr>
              <w:t>投标保证金</w:t>
            </w:r>
            <w:r>
              <w:rPr>
                <w:rFonts w:hint="eastAsia" w:ascii="宋体" w:hAnsi="宋体" w:eastAsia="宋体" w:cs="宋体"/>
                <w:b/>
                <w:bCs/>
                <w:color w:val="auto"/>
                <w:kern w:val="0"/>
                <w:sz w:val="24"/>
                <w:szCs w:val="24"/>
                <w:highlight w:val="none"/>
              </w:rPr>
              <w:t>退还：</w:t>
            </w:r>
          </w:p>
          <w:p w14:paraId="59C6ED4F">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1.未</w:t>
            </w:r>
            <w:r>
              <w:rPr>
                <w:rFonts w:hint="eastAsia" w:ascii="宋体" w:hAnsi="宋体" w:eastAsia="宋体" w:cs="宋体"/>
                <w:color w:val="auto"/>
                <w:kern w:val="0"/>
                <w:sz w:val="24"/>
                <w:szCs w:val="24"/>
                <w:highlight w:val="none"/>
                <w:lang w:eastAsia="zh-CN"/>
              </w:rPr>
              <w:t>中标供应商</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rPr>
              <w:t>将在成交通知书发出后5个工作日内退还。</w:t>
            </w:r>
          </w:p>
          <w:p w14:paraId="254C201E">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2.</w:t>
            </w:r>
            <w:r>
              <w:rPr>
                <w:rFonts w:hint="eastAsia" w:ascii="宋体" w:hAnsi="宋体" w:eastAsia="宋体" w:cs="宋体"/>
                <w:color w:val="auto"/>
                <w:kern w:val="0"/>
                <w:sz w:val="24"/>
                <w:szCs w:val="24"/>
                <w:highlight w:val="none"/>
                <w:lang w:eastAsia="zh-CN"/>
              </w:rPr>
              <w:t>中标供应商</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rPr>
              <w:t>将在</w:t>
            </w:r>
            <w:r>
              <w:rPr>
                <w:rFonts w:hint="eastAsia" w:ascii="宋体" w:hAnsi="宋体" w:eastAsia="宋体" w:cs="宋体"/>
                <w:color w:val="auto"/>
                <w:kern w:val="0"/>
                <w:sz w:val="24"/>
                <w:szCs w:val="24"/>
                <w:highlight w:val="none"/>
                <w:lang w:eastAsia="zh-CN"/>
              </w:rPr>
              <w:t>中标供应商</w:t>
            </w:r>
            <w:r>
              <w:rPr>
                <w:rFonts w:hint="eastAsia" w:ascii="宋体" w:hAnsi="宋体" w:eastAsia="宋体" w:cs="宋体"/>
                <w:color w:val="auto"/>
                <w:kern w:val="0"/>
                <w:sz w:val="24"/>
                <w:szCs w:val="24"/>
                <w:highlight w:val="none"/>
              </w:rPr>
              <w:t>与采购人签订合同，并将合同递交至采购代理后5个工作日内，无息退还。</w:t>
            </w:r>
          </w:p>
          <w:p w14:paraId="0EC62061">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3.有下列情形之一的，</w:t>
            </w:r>
            <w:r>
              <w:rPr>
                <w:rFonts w:hint="eastAsia" w:ascii="宋体" w:hAnsi="宋体" w:eastAsia="宋体" w:cs="宋体"/>
                <w:color w:val="auto"/>
                <w:kern w:val="0"/>
                <w:sz w:val="24"/>
                <w:szCs w:val="24"/>
                <w:highlight w:val="none"/>
                <w:lang w:eastAsia="zh-CN"/>
              </w:rPr>
              <w:t>投标保证金</w:t>
            </w:r>
            <w:r>
              <w:rPr>
                <w:rFonts w:hint="eastAsia" w:ascii="宋体" w:hAnsi="宋体" w:eastAsia="宋体" w:cs="宋体"/>
                <w:color w:val="auto"/>
                <w:kern w:val="0"/>
                <w:sz w:val="24"/>
                <w:szCs w:val="24"/>
                <w:highlight w:val="none"/>
              </w:rPr>
              <w:t xml:space="preserve">不予退还：详见总则第15.5条。 </w:t>
            </w:r>
          </w:p>
          <w:p w14:paraId="6FEAB61A">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三、备注：</w:t>
            </w:r>
          </w:p>
          <w:p w14:paraId="521C47A0">
            <w:pPr>
              <w:keepNext w:val="0"/>
              <w:keepLines w:val="0"/>
              <w:pageBreakBefore w:val="0"/>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lang w:val="en-US" w:eastAsia="zh-CN"/>
              </w:rPr>
              <w:t>供应商无需前往代理公司换取收据，仅需将</w:t>
            </w:r>
            <w:r>
              <w:rPr>
                <w:rFonts w:hint="eastAsia" w:ascii="宋体" w:hAnsi="宋体" w:eastAsia="宋体" w:cs="宋体"/>
                <w:color w:val="auto"/>
                <w:sz w:val="24"/>
                <w:szCs w:val="24"/>
                <w:highlight w:val="none"/>
              </w:rPr>
              <w:t>加盖公章的</w:t>
            </w:r>
            <w:r>
              <w:rPr>
                <w:rFonts w:hint="eastAsia" w:ascii="宋体" w:hAnsi="宋体" w:eastAsia="宋体" w:cs="宋体"/>
                <w:color w:val="auto"/>
                <w:sz w:val="24"/>
                <w:szCs w:val="24"/>
                <w:highlight w:val="none"/>
                <w:lang w:eastAsia="zh-CN"/>
              </w:rPr>
              <w:t>投标保证金</w:t>
            </w:r>
            <w:r>
              <w:rPr>
                <w:rFonts w:hint="eastAsia" w:ascii="宋体" w:hAnsi="宋体" w:eastAsia="宋体" w:cs="宋体"/>
                <w:color w:val="auto"/>
                <w:sz w:val="24"/>
                <w:szCs w:val="24"/>
                <w:highlight w:val="none"/>
              </w:rPr>
              <w:t>缴纳凭证，</w:t>
            </w:r>
            <w:r>
              <w:rPr>
                <w:rFonts w:hint="eastAsia" w:ascii="宋体" w:hAnsi="宋体" w:eastAsia="宋体" w:cs="宋体"/>
                <w:color w:val="auto"/>
                <w:sz w:val="24"/>
                <w:szCs w:val="24"/>
                <w:highlight w:val="none"/>
                <w:lang w:val="en-US" w:eastAsia="zh-CN"/>
              </w:rPr>
              <w:t>放</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中相应位置</w:t>
            </w:r>
            <w:r>
              <w:rPr>
                <w:rFonts w:hint="eastAsia" w:ascii="宋体" w:hAnsi="宋体" w:eastAsia="宋体" w:cs="宋体"/>
                <w:color w:val="auto"/>
                <w:sz w:val="24"/>
                <w:szCs w:val="24"/>
                <w:highlight w:val="none"/>
                <w:lang w:val="en-US" w:eastAsia="zh-CN"/>
              </w:rPr>
              <w:t>即可</w:t>
            </w:r>
            <w:r>
              <w:rPr>
                <w:rFonts w:hint="eastAsia" w:ascii="宋体" w:hAnsi="宋体" w:eastAsia="宋体" w:cs="宋体"/>
                <w:color w:val="auto"/>
                <w:sz w:val="24"/>
                <w:szCs w:val="24"/>
                <w:highlight w:val="none"/>
                <w:lang w:eastAsia="zh-CN"/>
              </w:rPr>
              <w:t>；</w:t>
            </w:r>
          </w:p>
          <w:p w14:paraId="6CACDF52">
            <w:pPr>
              <w:pStyle w:val="26"/>
              <w:pageBreakBefore w:val="0"/>
              <w:kinsoku/>
              <w:wordWrap/>
              <w:overflowPunct/>
              <w:topLinePunct w:val="0"/>
              <w:autoSpaceDE/>
              <w:autoSpaceDN/>
              <w:bidi w:val="0"/>
              <w:spacing w:line="43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lang w:eastAsia="zh-CN"/>
              </w:rPr>
              <w:t>供应商</w:t>
            </w:r>
            <w:r>
              <w:rPr>
                <w:rFonts w:hint="eastAsia" w:ascii="宋体" w:hAnsi="宋体" w:eastAsia="宋体" w:cs="宋体"/>
                <w:b/>
                <w:bCs/>
                <w:color w:val="auto"/>
                <w:kern w:val="0"/>
                <w:sz w:val="24"/>
                <w:szCs w:val="24"/>
                <w:highlight w:val="none"/>
              </w:rPr>
              <w:t>未按照</w:t>
            </w:r>
            <w:r>
              <w:rPr>
                <w:rFonts w:hint="eastAsia" w:ascii="宋体" w:hAnsi="宋体" w:eastAsia="宋体" w:cs="宋体"/>
                <w:b/>
                <w:bCs/>
                <w:color w:val="auto"/>
                <w:kern w:val="0"/>
                <w:sz w:val="24"/>
                <w:szCs w:val="24"/>
                <w:highlight w:val="none"/>
                <w:lang w:eastAsia="zh-CN"/>
              </w:rPr>
              <w:t>招标文件</w:t>
            </w:r>
            <w:r>
              <w:rPr>
                <w:rFonts w:hint="eastAsia" w:ascii="宋体" w:hAnsi="宋体" w:eastAsia="宋体" w:cs="宋体"/>
                <w:b/>
                <w:bCs/>
                <w:color w:val="auto"/>
                <w:kern w:val="0"/>
                <w:sz w:val="24"/>
                <w:szCs w:val="24"/>
                <w:highlight w:val="none"/>
              </w:rPr>
              <w:t>要求缴纳</w:t>
            </w:r>
            <w:r>
              <w:rPr>
                <w:rFonts w:hint="eastAsia" w:ascii="宋体" w:hAnsi="宋体" w:eastAsia="宋体" w:cs="宋体"/>
                <w:b/>
                <w:bCs/>
                <w:color w:val="auto"/>
                <w:kern w:val="0"/>
                <w:sz w:val="24"/>
                <w:szCs w:val="24"/>
                <w:highlight w:val="none"/>
                <w:lang w:eastAsia="zh-CN"/>
              </w:rPr>
              <w:t>投标保证金</w:t>
            </w:r>
            <w:r>
              <w:rPr>
                <w:rFonts w:hint="eastAsia" w:ascii="宋体" w:hAnsi="宋体" w:eastAsia="宋体" w:cs="宋体"/>
                <w:b/>
                <w:bCs/>
                <w:color w:val="auto"/>
                <w:kern w:val="0"/>
                <w:sz w:val="24"/>
                <w:szCs w:val="24"/>
                <w:highlight w:val="none"/>
              </w:rPr>
              <w:t>的，响应无效。</w:t>
            </w:r>
          </w:p>
        </w:tc>
      </w:tr>
      <w:tr w14:paraId="4B75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2F8A8E18">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374" w:type="dxa"/>
            <w:gridSpan w:val="2"/>
            <w:noWrap w:val="0"/>
            <w:vAlign w:val="center"/>
          </w:tcPr>
          <w:p w14:paraId="0F5FB30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6473" w:type="dxa"/>
            <w:gridSpan w:val="2"/>
            <w:noWrap w:val="0"/>
            <w:vAlign w:val="center"/>
          </w:tcPr>
          <w:p w14:paraId="7BDF98C4">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2847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0C313982">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374" w:type="dxa"/>
            <w:gridSpan w:val="2"/>
            <w:noWrap w:val="0"/>
            <w:vAlign w:val="center"/>
          </w:tcPr>
          <w:p w14:paraId="7C5133E2">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w:t>
            </w:r>
          </w:p>
        </w:tc>
        <w:tc>
          <w:tcPr>
            <w:tcW w:w="6473" w:type="dxa"/>
            <w:gridSpan w:val="2"/>
            <w:noWrap w:val="0"/>
            <w:vAlign w:val="center"/>
          </w:tcPr>
          <w:p w14:paraId="4307771A">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w:t>
            </w:r>
          </w:p>
        </w:tc>
      </w:tr>
      <w:tr w14:paraId="0C45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673" w:type="dxa"/>
            <w:gridSpan w:val="2"/>
            <w:noWrap w:val="0"/>
            <w:vAlign w:val="center"/>
          </w:tcPr>
          <w:p w14:paraId="0D6FE3BD">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374" w:type="dxa"/>
            <w:gridSpan w:val="2"/>
            <w:noWrap w:val="0"/>
            <w:vAlign w:val="center"/>
          </w:tcPr>
          <w:p w14:paraId="54F522E2">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投标文件上传截止时间及地点</w:t>
            </w:r>
          </w:p>
        </w:tc>
        <w:tc>
          <w:tcPr>
            <w:tcW w:w="6473" w:type="dxa"/>
            <w:gridSpan w:val="2"/>
            <w:noWrap w:val="0"/>
            <w:vAlign w:val="center"/>
          </w:tcPr>
          <w:p w14:paraId="55592C0D">
            <w:pPr>
              <w:pStyle w:val="42"/>
              <w:keepNext w:val="0"/>
              <w:keepLines w:val="0"/>
              <w:pageBreakBefore w:val="0"/>
              <w:widowControl/>
              <w:kinsoku/>
              <w:wordWrap/>
              <w:overflowPunct/>
              <w:topLinePunct w:val="0"/>
              <w:autoSpaceDE/>
              <w:autoSpaceDN/>
              <w:bidi w:val="0"/>
              <w:adjustRightInd/>
              <w:snapToGrid/>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上传截止时间：</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05月21日 11 点00分</w:t>
            </w:r>
            <w:r>
              <w:rPr>
                <w:rFonts w:hint="eastAsia" w:ascii="宋体" w:hAnsi="宋体" w:eastAsia="宋体" w:cs="宋体"/>
                <w:color w:val="auto"/>
                <w:sz w:val="24"/>
                <w:szCs w:val="24"/>
                <w:highlight w:val="none"/>
              </w:rPr>
              <w:t>（北京时间）</w:t>
            </w:r>
          </w:p>
          <w:p w14:paraId="3B0422AD">
            <w:pPr>
              <w:pageBreakBefore w:val="0"/>
              <w:widowControl/>
              <w:kinsoku/>
              <w:wordWrap/>
              <w:overflowPunct/>
              <w:topLinePunct w:val="0"/>
              <w:autoSpaceDE/>
              <w:autoSpaceDN/>
              <w:bidi w:val="0"/>
              <w:spacing w:line="43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上传地点：在</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截止时间前将电子加密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成功上传至“政府采购云平台”</w:t>
            </w:r>
            <w:r>
              <w:rPr>
                <w:rFonts w:hint="eastAsia" w:ascii="宋体" w:hAnsi="宋体" w:eastAsia="宋体" w:cs="宋体"/>
                <w:color w:val="auto"/>
                <w:sz w:val="24"/>
                <w:szCs w:val="24"/>
                <w:highlight w:val="none"/>
              </w:rPr>
              <w:t>。</w:t>
            </w:r>
          </w:p>
        </w:tc>
      </w:tr>
      <w:tr w14:paraId="6CCF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3FE81D7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374" w:type="dxa"/>
            <w:gridSpan w:val="2"/>
            <w:noWrap w:val="0"/>
            <w:vAlign w:val="center"/>
          </w:tcPr>
          <w:p w14:paraId="74D6548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采用电子招标投标</w:t>
            </w:r>
          </w:p>
        </w:tc>
        <w:tc>
          <w:tcPr>
            <w:tcW w:w="6473" w:type="dxa"/>
            <w:gridSpan w:val="2"/>
            <w:noWrap w:val="0"/>
            <w:vAlign w:val="center"/>
          </w:tcPr>
          <w:p w14:paraId="34BC2D05">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具体要求：</w:t>
            </w:r>
          </w:p>
          <w:p w14:paraId="270045B5">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1、投标文件解密时间：</w:t>
            </w:r>
            <w:r>
              <w:rPr>
                <w:rFonts w:hint="eastAsia" w:ascii="宋体" w:hAnsi="宋体" w:eastAsia="宋体" w:cs="宋体"/>
                <w:color w:val="auto"/>
                <w:sz w:val="24"/>
                <w:szCs w:val="24"/>
                <w:highlight w:val="none"/>
              </w:rPr>
              <w:t>投标文件解密时间30分钟，开标前需</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用CA证书登录政采云平台开标大厅签到，在30分钟解密时间内输入CA证书PIN码解密投标文件。在30分钟解密时间内未进行解密的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将导致投标无效。（解密时间开始时政采云平台将以短信形式向</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在政采云平台预留的手机号发送短信通知，请</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及时关注。）</w:t>
            </w:r>
          </w:p>
          <w:p w14:paraId="48587E9E">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报价CA签字确认：</w:t>
            </w:r>
            <w:r>
              <w:rPr>
                <w:rFonts w:hint="eastAsia" w:ascii="宋体" w:hAnsi="宋体" w:eastAsia="宋体" w:cs="宋体"/>
                <w:color w:val="auto"/>
                <w:sz w:val="24"/>
                <w:szCs w:val="24"/>
                <w:highlight w:val="none"/>
              </w:rPr>
              <w:t>报价文件开启后将开启签字时段，</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须在</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分钟内用CA证书对报价进行签字确认。</w:t>
            </w:r>
          </w:p>
          <w:p w14:paraId="7512BF08">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3、备注:</w:t>
            </w:r>
          </w:p>
          <w:p w14:paraId="5096A941">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（1）本次采购采用电子交易方式，电子交易平台为“政府采购云平台（www.zcygov.cn）”。</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参与本项目电子交易活动前，应注册成为政府采购平台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。编制电子投标文件前还需申领CA证书并绑定帐号.</w:t>
            </w:r>
          </w:p>
          <w:p w14:paraId="1DA3C770">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编制电子投标文件应安装“电子招投标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客户端”软件，并按照本招标文件和电子招投标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客户端的要求编制并加密投标文件。未按规定加密的投标文件，将被电子招投标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客户端拒收。“电子招投标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客户端”请</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自行前往“新疆政府采购网—下载专区—新疆维吾尔自治区全流程电子招投标项目管理系统--电子招投标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客户端”版块获取。</w:t>
            </w:r>
          </w:p>
          <w:p w14:paraId="35E18B8E">
            <w:pPr>
              <w:pageBreakBefore w:val="0"/>
              <w:kinsoku/>
              <w:wordWrap/>
              <w:overflowPunct/>
              <w:topLinePunct w:val="0"/>
              <w:autoSpaceDE/>
              <w:autoSpaceDN/>
              <w:bidi w:val="0"/>
              <w:adjustRightInd w:val="0"/>
              <w:snapToGrid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应当在投标截止时间前，将“电子招投标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客户端”生成的“电子加密投标文件”上传电子交易平台。</w:t>
            </w:r>
          </w:p>
          <w:p w14:paraId="254DAB8D">
            <w:pPr>
              <w:pageBreakBefore w:val="0"/>
              <w:kinsoku/>
              <w:wordWrap/>
              <w:overflowPunct/>
              <w:topLinePunct w:val="0"/>
              <w:autoSpaceDE/>
              <w:autoSpaceDN/>
              <w:bidi w:val="0"/>
              <w:spacing w:line="430" w:lineRule="exact"/>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（5）服务与支持。各政府采购代理机构（含集采机构）及</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对不见面开评标系统的技术操作咨询，可通过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"https://edu.zcygov.cn/luban/xinjiang-e-biding"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https://edu.zcygov.cn/luban/xinjiang-e-biding</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自助查询，也可在政采云帮助中心常见问题解答和操作流程讲解视频中自助查询，网址为：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"https://service.zcygov.cn/" \l "/help"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https://service.zcygov.cn/#/help</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，“项目采购—操作流程—电子招投标—政府采购项目电子交易管理操作指南-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”版面获取操作指南，同时对自助查询无法解决的问题可通过钉钉群及政采云在线客服获取服务支持。政采云热线人工号码：</w:t>
            </w:r>
            <w:r>
              <w:rPr>
                <w:rFonts w:hint="eastAsia" w:ascii="宋体" w:hAnsi="宋体" w:eastAsia="宋体" w:cs="宋体"/>
                <w:color w:val="auto"/>
                <w:sz w:val="24"/>
                <w:szCs w:val="24"/>
                <w:highlight w:val="none"/>
                <w:lang w:val="en-US" w:eastAsia="zh-CN"/>
              </w:rPr>
              <w:t>95763</w:t>
            </w:r>
            <w:r>
              <w:rPr>
                <w:rFonts w:hint="eastAsia" w:ascii="宋体" w:hAnsi="宋体" w:eastAsia="宋体" w:cs="宋体"/>
                <w:color w:val="auto"/>
                <w:sz w:val="24"/>
                <w:szCs w:val="24"/>
                <w:highlight w:val="none"/>
              </w:rPr>
              <w:t>（工作时间：工作日08:00~20：00）</w:t>
            </w:r>
          </w:p>
        </w:tc>
      </w:tr>
      <w:tr w14:paraId="60A0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3F5495E2">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374" w:type="dxa"/>
            <w:gridSpan w:val="2"/>
            <w:noWrap w:val="0"/>
            <w:vAlign w:val="center"/>
          </w:tcPr>
          <w:p w14:paraId="3B161028">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6473" w:type="dxa"/>
            <w:gridSpan w:val="2"/>
            <w:noWrap w:val="0"/>
            <w:vAlign w:val="center"/>
          </w:tcPr>
          <w:p w14:paraId="104461EF">
            <w:pPr>
              <w:pageBreakBefore w:val="0"/>
              <w:numPr>
                <w:ilvl w:val="0"/>
                <w:numId w:val="0"/>
              </w:numPr>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的报价明显低于其他通过符合性审查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的报价，有可能影响货物质量或者不能诚信履约的，应当要求其在评标现场合理的时间内提供书面说明，必要时提交相关证明材料;</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不能证明其报价合理性的，评标委员会将其作为无效投标处理，自行承担相关责任。</w:t>
            </w:r>
          </w:p>
          <w:p w14:paraId="338B6642">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的报价包含提供的所有服务及相关工作范围内所有费用（包含接口费）的总价。</w:t>
            </w:r>
          </w:p>
        </w:tc>
      </w:tr>
      <w:tr w14:paraId="5F7F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673" w:type="dxa"/>
            <w:gridSpan w:val="2"/>
            <w:noWrap w:val="0"/>
            <w:vAlign w:val="center"/>
          </w:tcPr>
          <w:p w14:paraId="1F4C7D68">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1374" w:type="dxa"/>
            <w:gridSpan w:val="2"/>
            <w:noWrap w:val="0"/>
            <w:vAlign w:val="center"/>
          </w:tcPr>
          <w:p w14:paraId="4674A03D">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6473" w:type="dxa"/>
            <w:gridSpan w:val="2"/>
            <w:noWrap w:val="0"/>
            <w:vAlign w:val="center"/>
          </w:tcPr>
          <w:p w14:paraId="67D1B728">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自行踏勘，无论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对现场考察与否，都将被视为熟悉履行合同有关的一切情况，</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现场踏勘发生的费用自理。</w:t>
            </w:r>
          </w:p>
        </w:tc>
      </w:tr>
      <w:tr w14:paraId="6FC8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2982516C">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1374" w:type="dxa"/>
            <w:gridSpan w:val="2"/>
            <w:noWrap w:val="0"/>
            <w:vAlign w:val="center"/>
          </w:tcPr>
          <w:p w14:paraId="3F7C872E">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投标答疑会</w:t>
            </w:r>
          </w:p>
        </w:tc>
        <w:tc>
          <w:tcPr>
            <w:tcW w:w="6473" w:type="dxa"/>
            <w:gridSpan w:val="2"/>
            <w:noWrap w:val="0"/>
            <w:vAlign w:val="center"/>
          </w:tcPr>
          <w:p w14:paraId="7B3AA312">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不召开  </w:t>
            </w:r>
          </w:p>
        </w:tc>
      </w:tr>
      <w:tr w14:paraId="68A7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41DF2A9A">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1374" w:type="dxa"/>
            <w:gridSpan w:val="2"/>
            <w:noWrap w:val="0"/>
            <w:vAlign w:val="center"/>
          </w:tcPr>
          <w:p w14:paraId="4E3EE5E1">
            <w:pPr>
              <w:pageBreakBefore w:val="0"/>
              <w:kinsoku/>
              <w:wordWrap/>
              <w:overflowPunct/>
              <w:topLinePunct w:val="0"/>
              <w:autoSpaceDE/>
              <w:autoSpaceDN/>
              <w:bidi w:val="0"/>
              <w:spacing w:line="43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近年财务状况年份要求</w:t>
            </w:r>
          </w:p>
        </w:tc>
        <w:tc>
          <w:tcPr>
            <w:tcW w:w="6473" w:type="dxa"/>
            <w:gridSpan w:val="2"/>
            <w:noWrap w:val="0"/>
            <w:vAlign w:val="center"/>
          </w:tcPr>
          <w:p w14:paraId="27117102">
            <w:pPr>
              <w:pStyle w:val="21"/>
              <w:pageBreakBefore w:val="0"/>
              <w:kinsoku/>
              <w:wordWrap/>
              <w:overflowPunct/>
              <w:topLinePunct w:val="0"/>
              <w:autoSpaceDE/>
              <w:autoSpaceDN/>
              <w:bidi w:val="0"/>
              <w:spacing w:line="430" w:lineRule="exact"/>
              <w:ind w:left="0"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提供2024年度或2025年度任意一年的财务审计报告（成立未满十二个月的新公司可提供近三个月内任意一个月的银行资信证明）</w:t>
            </w:r>
          </w:p>
        </w:tc>
      </w:tr>
      <w:tr w14:paraId="4179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3B555B79">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1374" w:type="dxa"/>
            <w:gridSpan w:val="2"/>
            <w:noWrap w:val="0"/>
            <w:vAlign w:val="center"/>
          </w:tcPr>
          <w:p w14:paraId="5FCEC5B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473" w:type="dxa"/>
            <w:gridSpan w:val="2"/>
            <w:noWrap w:val="0"/>
            <w:vAlign w:val="center"/>
          </w:tcPr>
          <w:p w14:paraId="6DC8481D">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从提交</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文件的截止之日起</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0天</w:t>
            </w:r>
          </w:p>
        </w:tc>
      </w:tr>
      <w:tr w14:paraId="5B4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52169418">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374" w:type="dxa"/>
            <w:gridSpan w:val="2"/>
            <w:noWrap w:val="0"/>
            <w:vAlign w:val="center"/>
          </w:tcPr>
          <w:p w14:paraId="44D9D296">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评标委员会的组建</w:t>
            </w:r>
          </w:p>
        </w:tc>
        <w:tc>
          <w:tcPr>
            <w:tcW w:w="6473" w:type="dxa"/>
            <w:gridSpan w:val="2"/>
            <w:noWrap w:val="0"/>
            <w:vAlign w:val="center"/>
          </w:tcPr>
          <w:p w14:paraId="4BF096B5">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评标委员会构成：5人；</w:t>
            </w:r>
          </w:p>
          <w:p w14:paraId="50B183B1">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评标专家确定方式：经济、技术专家不少于评标委员会组成人员的三分之二，按相关规定从政府采购专家库中随机抽取。</w:t>
            </w:r>
          </w:p>
        </w:tc>
      </w:tr>
      <w:tr w14:paraId="418E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dxa"/>
          <w:trHeight w:val="70" w:hRule="atLeast"/>
          <w:jc w:val="center"/>
        </w:trPr>
        <w:tc>
          <w:tcPr>
            <w:tcW w:w="673" w:type="dxa"/>
            <w:gridSpan w:val="2"/>
            <w:noWrap w:val="0"/>
            <w:vAlign w:val="center"/>
          </w:tcPr>
          <w:p w14:paraId="1FDA7EED">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374" w:type="dxa"/>
            <w:gridSpan w:val="2"/>
            <w:noWrap w:val="0"/>
            <w:vAlign w:val="center"/>
          </w:tcPr>
          <w:p w14:paraId="2F7D45F0">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w:t>
            </w:r>
          </w:p>
        </w:tc>
        <w:tc>
          <w:tcPr>
            <w:tcW w:w="6473" w:type="dxa"/>
            <w:gridSpan w:val="2"/>
            <w:noWrap w:val="0"/>
            <w:vAlign w:val="center"/>
          </w:tcPr>
          <w:p w14:paraId="6983548A">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6D55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0B3F6B15">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1374" w:type="dxa"/>
            <w:gridSpan w:val="2"/>
            <w:noWrap w:val="0"/>
            <w:vAlign w:val="center"/>
          </w:tcPr>
          <w:p w14:paraId="26B0B38E">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是否授权评标委员会确定</w:t>
            </w:r>
            <w:r>
              <w:rPr>
                <w:rFonts w:hint="eastAsia" w:ascii="宋体" w:hAnsi="宋体" w:eastAsia="宋体" w:cs="宋体"/>
                <w:color w:val="auto"/>
                <w:sz w:val="24"/>
                <w:szCs w:val="24"/>
                <w:highlight w:val="none"/>
                <w:lang w:eastAsia="zh-CN"/>
              </w:rPr>
              <w:t>中标供应商</w:t>
            </w:r>
          </w:p>
        </w:tc>
        <w:tc>
          <w:tcPr>
            <w:tcW w:w="6473" w:type="dxa"/>
            <w:gridSpan w:val="2"/>
            <w:noWrap w:val="0"/>
            <w:vAlign w:val="center"/>
          </w:tcPr>
          <w:p w14:paraId="377A53CB">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否，推荐3名中标候选人。</w:t>
            </w:r>
          </w:p>
        </w:tc>
      </w:tr>
      <w:tr w14:paraId="55B5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186F5A17">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1374" w:type="dxa"/>
            <w:gridSpan w:val="2"/>
            <w:noWrap w:val="0"/>
            <w:vAlign w:val="center"/>
          </w:tcPr>
          <w:p w14:paraId="3DC12CA4">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473" w:type="dxa"/>
            <w:gridSpan w:val="2"/>
            <w:noWrap w:val="0"/>
            <w:vAlign w:val="center"/>
          </w:tcPr>
          <w:p w14:paraId="7D5E7DA5">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合同金额的</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tc>
      </w:tr>
      <w:tr w14:paraId="4D55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0" w:hRule="atLeast"/>
          <w:jc w:val="center"/>
        </w:trPr>
        <w:tc>
          <w:tcPr>
            <w:tcW w:w="673" w:type="dxa"/>
            <w:gridSpan w:val="2"/>
            <w:noWrap w:val="0"/>
            <w:vAlign w:val="center"/>
          </w:tcPr>
          <w:p w14:paraId="64E6A71C">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374" w:type="dxa"/>
            <w:gridSpan w:val="2"/>
            <w:noWrap w:val="0"/>
            <w:vAlign w:val="center"/>
          </w:tcPr>
          <w:p w14:paraId="35F4413B">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代理机构代理费用</w:t>
            </w:r>
          </w:p>
        </w:tc>
        <w:tc>
          <w:tcPr>
            <w:tcW w:w="6473" w:type="dxa"/>
            <w:gridSpan w:val="2"/>
            <w:noWrap w:val="0"/>
            <w:vAlign w:val="center"/>
          </w:tcPr>
          <w:p w14:paraId="56E3B00F">
            <w:pPr>
              <w:pageBreakBefore w:val="0"/>
              <w:widowControl/>
              <w:kinsoku/>
              <w:wordWrap/>
              <w:overflowPunct/>
              <w:topLinePunct w:val="0"/>
              <w:autoSpaceDE/>
              <w:autoSpaceDN/>
              <w:bidi w:val="0"/>
              <w:spacing w:line="43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参照原国家计委《招标代理服务收费管理暂行办法的通知》（计价格［2002］1980号）规定的收费标准，下浮40%收取。由中标供应商支付。</w:t>
            </w:r>
          </w:p>
        </w:tc>
      </w:tr>
      <w:tr w14:paraId="7C2F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673" w:type="dxa"/>
            <w:gridSpan w:val="2"/>
            <w:noWrap w:val="0"/>
            <w:vAlign w:val="center"/>
          </w:tcPr>
          <w:p w14:paraId="4EF63FB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1374" w:type="dxa"/>
            <w:gridSpan w:val="2"/>
            <w:noWrap w:val="0"/>
            <w:vAlign w:val="center"/>
          </w:tcPr>
          <w:p w14:paraId="0820A57D">
            <w:pPr>
              <w:pageBreakBefore w:val="0"/>
              <w:kinsoku/>
              <w:wordWrap/>
              <w:overflowPunct/>
              <w:topLinePunct w:val="0"/>
              <w:autoSpaceDE/>
              <w:autoSpaceDN/>
              <w:bidi w:val="0"/>
              <w:spacing w:line="43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付款方式</w:t>
            </w:r>
          </w:p>
        </w:tc>
        <w:tc>
          <w:tcPr>
            <w:tcW w:w="6473" w:type="dxa"/>
            <w:gridSpan w:val="2"/>
            <w:noWrap w:val="0"/>
            <w:vAlign w:val="center"/>
          </w:tcPr>
          <w:p w14:paraId="4E17EFC9">
            <w:pPr>
              <w:pStyle w:val="92"/>
              <w:pageBreakBefore w:val="0"/>
              <w:widowControl/>
              <w:kinsoku/>
              <w:wordWrap/>
              <w:overflowPunct/>
              <w:topLinePunct w:val="0"/>
              <w:autoSpaceDE/>
              <w:autoSpaceDN/>
              <w:bidi w:val="0"/>
              <w:spacing w:line="43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签订合同后支付合同总价的30%，验收完成并顺利运行后支付合同总价的60%，验收结算完成后支付合同总价的10%。（具体付款方式以甲乙双方签订合同为准）</w:t>
            </w:r>
          </w:p>
        </w:tc>
      </w:tr>
      <w:tr w14:paraId="41B8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673" w:type="dxa"/>
            <w:gridSpan w:val="2"/>
            <w:noWrap w:val="0"/>
            <w:vAlign w:val="center"/>
          </w:tcPr>
          <w:p w14:paraId="57BDF714">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374" w:type="dxa"/>
            <w:gridSpan w:val="2"/>
            <w:noWrap w:val="0"/>
            <w:vAlign w:val="center"/>
          </w:tcPr>
          <w:p w14:paraId="19102D4A">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国务院办公厅印发《关于在政府采购中实施 本国产品标准及相关政策的通知》</w:t>
            </w:r>
          </w:p>
        </w:tc>
        <w:tc>
          <w:tcPr>
            <w:tcW w:w="6473" w:type="dxa"/>
            <w:gridSpan w:val="2"/>
            <w:noWrap w:val="0"/>
            <w:vAlign w:val="center"/>
          </w:tcPr>
          <w:p w14:paraId="0ED34379">
            <w:pPr>
              <w:pStyle w:val="92"/>
              <w:pageBreakBefore w:val="0"/>
              <w:widowControl/>
              <w:kinsoku/>
              <w:wordWrap/>
              <w:overflowPunct/>
              <w:topLinePunct w:val="0"/>
              <w:autoSpaceDE/>
              <w:autoSpaceDN/>
              <w:bidi w:val="0"/>
              <w:spacing w:line="430" w:lineRule="exact"/>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支持本国产品政策</w:t>
            </w:r>
          </w:p>
        </w:tc>
      </w:tr>
      <w:tr w14:paraId="6C10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673" w:type="dxa"/>
            <w:gridSpan w:val="2"/>
            <w:noWrap w:val="0"/>
            <w:vAlign w:val="center"/>
          </w:tcPr>
          <w:p w14:paraId="63815CFA">
            <w:pPr>
              <w:pageBreakBefore w:val="0"/>
              <w:kinsoku/>
              <w:wordWrap/>
              <w:overflowPunct/>
              <w:topLinePunct w:val="0"/>
              <w:autoSpaceDE/>
              <w:autoSpaceDN/>
              <w:bidi w:val="0"/>
              <w:spacing w:line="43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29</w:t>
            </w:r>
          </w:p>
        </w:tc>
        <w:tc>
          <w:tcPr>
            <w:tcW w:w="1374" w:type="dxa"/>
            <w:gridSpan w:val="2"/>
            <w:noWrap w:val="0"/>
            <w:vAlign w:val="center"/>
          </w:tcPr>
          <w:p w14:paraId="5C259BE5">
            <w:pPr>
              <w:pageBreakBefore w:val="0"/>
              <w:kinsoku/>
              <w:wordWrap/>
              <w:overflowPunct/>
              <w:topLinePunct w:val="0"/>
              <w:autoSpaceDE/>
              <w:autoSpaceDN/>
              <w:bidi w:val="0"/>
              <w:spacing w:line="430" w:lineRule="exact"/>
              <w:jc w:val="center"/>
              <w:textAlignment w:val="auto"/>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核心产品</w:t>
            </w:r>
          </w:p>
        </w:tc>
        <w:tc>
          <w:tcPr>
            <w:tcW w:w="6473" w:type="dxa"/>
            <w:gridSpan w:val="2"/>
            <w:noWrap w:val="0"/>
            <w:vAlign w:val="center"/>
          </w:tcPr>
          <w:p w14:paraId="61DA58F2">
            <w:pPr>
              <w:pStyle w:val="92"/>
              <w:pageBreakBefore w:val="0"/>
              <w:widowControl/>
              <w:kinsoku/>
              <w:wordWrap/>
              <w:overflowPunct/>
              <w:topLinePunct w:val="0"/>
              <w:autoSpaceDE/>
              <w:autoSpaceDN/>
              <w:bidi w:val="0"/>
              <w:spacing w:line="43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应急指挥帐篷</w:t>
            </w:r>
          </w:p>
        </w:tc>
      </w:tr>
      <w:tr w14:paraId="6FA8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38" w:hRule="atLeast"/>
          <w:jc w:val="center"/>
        </w:trPr>
        <w:tc>
          <w:tcPr>
            <w:tcW w:w="673" w:type="dxa"/>
            <w:gridSpan w:val="2"/>
            <w:noWrap w:val="0"/>
            <w:vAlign w:val="center"/>
          </w:tcPr>
          <w:p w14:paraId="7CC5D071">
            <w:pPr>
              <w:pageBreakBefore w:val="0"/>
              <w:kinsoku/>
              <w:wordWrap/>
              <w:overflowPunct/>
              <w:topLinePunct w:val="0"/>
              <w:autoSpaceDE/>
              <w:autoSpaceDN/>
              <w:bidi w:val="0"/>
              <w:spacing w:line="43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30</w:t>
            </w:r>
          </w:p>
        </w:tc>
        <w:tc>
          <w:tcPr>
            <w:tcW w:w="1374" w:type="dxa"/>
            <w:gridSpan w:val="2"/>
            <w:noWrap w:val="0"/>
            <w:vAlign w:val="center"/>
          </w:tcPr>
          <w:p w14:paraId="10939E4F">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6473" w:type="dxa"/>
            <w:gridSpan w:val="2"/>
            <w:noWrap w:val="0"/>
            <w:vAlign w:val="center"/>
          </w:tcPr>
          <w:p w14:paraId="364F87FB">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（1）本次招标如有变更、澄清或其他通知将在发布招标公告的网站（新疆政府采购网）上公布。</w:t>
            </w:r>
          </w:p>
          <w:p w14:paraId="61CD32EE">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（2）重要说明：①本项目采用全流程不见面电子开评标，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需要使用CA加密设备，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可通过新疆数字证书认证中心官网（https://www.xjca.com.cn/）或下载“新疆政务通”APP自行进行申领。</w:t>
            </w:r>
          </w:p>
          <w:p w14:paraId="34FE92ED">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②本项目实行网上投标，采用加密电子投标文件(</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须使用CA加密设备通过政采云电子投标客户端制作投标文件)。若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参与投标，自行承担投标一切费用。</w:t>
            </w:r>
          </w:p>
          <w:p w14:paraId="58C2A447">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使用相同IP地址的，一经发现，相关部门将进一步核实，查实后按串通投标处理。</w:t>
            </w:r>
          </w:p>
        </w:tc>
      </w:tr>
      <w:tr w14:paraId="5EB3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38" w:hRule="atLeast"/>
          <w:jc w:val="center"/>
        </w:trPr>
        <w:tc>
          <w:tcPr>
            <w:tcW w:w="673" w:type="dxa"/>
            <w:gridSpan w:val="2"/>
            <w:noWrap w:val="0"/>
            <w:vAlign w:val="center"/>
          </w:tcPr>
          <w:p w14:paraId="245F81D2">
            <w:pPr>
              <w:pageBreakBefore w:val="0"/>
              <w:kinsoku/>
              <w:wordWrap/>
              <w:overflowPunct/>
              <w:topLinePunct w:val="0"/>
              <w:autoSpaceDE/>
              <w:autoSpaceDN/>
              <w:bidi w:val="0"/>
              <w:spacing w:line="43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1374" w:type="dxa"/>
            <w:gridSpan w:val="2"/>
            <w:noWrap w:val="0"/>
            <w:vAlign w:val="center"/>
          </w:tcPr>
          <w:p w14:paraId="72125DE9">
            <w:pPr>
              <w:pageBreakBefore w:val="0"/>
              <w:kinsoku/>
              <w:wordWrap/>
              <w:overflowPunct/>
              <w:topLinePunct w:val="0"/>
              <w:autoSpaceDE/>
              <w:autoSpaceDN/>
              <w:bidi w:val="0"/>
              <w:spacing w:line="43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提示</w:t>
            </w:r>
          </w:p>
        </w:tc>
        <w:tc>
          <w:tcPr>
            <w:tcW w:w="6473" w:type="dxa"/>
            <w:gridSpan w:val="2"/>
            <w:noWrap w:val="0"/>
            <w:vAlign w:val="center"/>
          </w:tcPr>
          <w:p w14:paraId="1F46515B">
            <w:pPr>
              <w:pageBreakBefore w:val="0"/>
              <w:kinsoku/>
              <w:wordWrap/>
              <w:overflowPunct/>
              <w:topLinePunct w:val="0"/>
              <w:autoSpaceDE/>
              <w:autoSpaceDN/>
              <w:bidi w:val="0"/>
              <w:spacing w:line="43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各供应商应当谨认真慎阅读以下条款，否则后果自行承担。</w:t>
            </w:r>
          </w:p>
          <w:p w14:paraId="77F6DB34">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（1）参加本项目所有供应商应当提供真实有效作证资料，不得存在弄虚作假骗取中标行为，一经发现将取消中标资格并列入黑名单。</w:t>
            </w:r>
          </w:p>
          <w:p w14:paraId="5F888623">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（2）供应商上传投标文件时，为确保文件的可读性，提供的内容须清晰可见，若因投标文件不清晰造成的后果，由投标供应商自行承担。</w:t>
            </w:r>
          </w:p>
          <w:p w14:paraId="619EF7E0">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根据财政部国库司《关于推动解决政府采购异常低价问题的通知》（财库〔2026〕2号），为整治政府采购领域“内卷式”竞争，形成优质优价、良性竞争的市场秩序，规范政府采购项目评审，防范履约风险，现将政府采购异常低价审查要求及程序明确如下：</w:t>
            </w:r>
          </w:p>
          <w:p w14:paraId="5ED4A9DF">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①投标报价低于全部通过符合性审查供应商投标报价平均值50%的；</w:t>
            </w:r>
          </w:p>
          <w:p w14:paraId="796C4D79">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②投标报价低于通过符合性审查的次低报价供应商投标报价50%的；</w:t>
            </w:r>
          </w:p>
          <w:p w14:paraId="52B811B8">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③投标报价低于采购项目最高限价45%的；</w:t>
            </w:r>
          </w:p>
          <w:p w14:paraId="05540142">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④评审委员会基于专业判断，认为供应商报价过低，有可能影响产品质量或者不能诚信履约的其他情形。</w:t>
            </w:r>
          </w:p>
          <w:p w14:paraId="42BABA35">
            <w:pPr>
              <w:pageBreakBefore w:val="0"/>
              <w:kinsoku/>
              <w:wordWrap/>
              <w:overflowPunct/>
              <w:topLinePunct w:val="0"/>
              <w:autoSpaceDE/>
              <w:autoSpaceDN/>
              <w:bidi w:val="0"/>
              <w:spacing w:line="43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评审委员会启动异常低价审查后，属于前述第1项至第4项情形的，应当要求相关供应商在30分钟内对投标价格作出解释，提供项目具体成本测算等与报价合理性相关的书面说明及必要的证明材料，包括但不限于原材料成本、人工成本、制造费用等。投标供应商不能提供书面说明、证明材料，或者提供的书面说明、证明材料不能证明其报价合理性的，评审委员会应当将其作为无效投标处理。</w:t>
            </w:r>
          </w:p>
        </w:tc>
      </w:tr>
    </w:tbl>
    <w:p w14:paraId="255BD453">
      <w:pPr>
        <w:pStyle w:val="3"/>
        <w:spacing w:before="156" w:after="156" w:line="480" w:lineRule="exac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br w:type="page"/>
      </w:r>
      <w:r>
        <w:rPr>
          <w:rFonts w:hint="eastAsia" w:ascii="宋体" w:hAnsi="宋体" w:eastAsia="宋体" w:cs="宋体"/>
          <w:bCs w:val="0"/>
          <w:color w:val="auto"/>
          <w:sz w:val="24"/>
          <w:szCs w:val="24"/>
          <w:highlight w:val="none"/>
        </w:rPr>
        <w:t>二、总  则</w:t>
      </w:r>
    </w:p>
    <w:p w14:paraId="618F1CA0">
      <w:pPr>
        <w:spacing w:line="480" w:lineRule="exact"/>
        <w:ind w:firstLine="482" w:firstLineChars="200"/>
        <w:rPr>
          <w:rFonts w:hint="eastAsia" w:ascii="宋体" w:hAnsi="宋体" w:eastAsia="宋体" w:cs="宋体"/>
          <w:b/>
          <w:bCs/>
          <w:color w:val="auto"/>
          <w:sz w:val="24"/>
          <w:szCs w:val="24"/>
          <w:highlight w:val="none"/>
        </w:rPr>
      </w:pPr>
      <w:bookmarkStart w:id="45" w:name="_Toc183582205"/>
      <w:bookmarkStart w:id="46" w:name="_Toc183682342"/>
      <w:bookmarkStart w:id="47" w:name="_Toc217446034"/>
      <w:r>
        <w:rPr>
          <w:rFonts w:hint="eastAsia" w:ascii="宋体" w:hAnsi="宋体" w:eastAsia="宋体" w:cs="宋体"/>
          <w:b/>
          <w:bCs/>
          <w:color w:val="auto"/>
          <w:sz w:val="24"/>
          <w:szCs w:val="24"/>
          <w:highlight w:val="none"/>
        </w:rPr>
        <w:t>1.</w:t>
      </w:r>
      <w:bookmarkEnd w:id="45"/>
      <w:bookmarkEnd w:id="46"/>
      <w:r>
        <w:rPr>
          <w:rFonts w:hint="eastAsia" w:ascii="宋体" w:hAnsi="宋体" w:eastAsia="宋体" w:cs="宋体"/>
          <w:b/>
          <w:bCs/>
          <w:color w:val="auto"/>
          <w:sz w:val="24"/>
          <w:szCs w:val="24"/>
          <w:highlight w:val="none"/>
        </w:rPr>
        <w:t xml:space="preserve"> 适用范围</w:t>
      </w:r>
      <w:bookmarkEnd w:id="47"/>
    </w:p>
    <w:p w14:paraId="76EE5A7D">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本招标文件仅适用于本次招标项目。</w:t>
      </w:r>
    </w:p>
    <w:p w14:paraId="1EB53934">
      <w:pPr>
        <w:spacing w:line="480" w:lineRule="exact"/>
        <w:ind w:firstLine="482" w:firstLineChars="200"/>
        <w:rPr>
          <w:rFonts w:hint="eastAsia" w:ascii="宋体" w:hAnsi="宋体" w:eastAsia="宋体" w:cs="宋体"/>
          <w:b/>
          <w:bCs/>
          <w:color w:val="auto"/>
          <w:sz w:val="24"/>
          <w:szCs w:val="24"/>
          <w:highlight w:val="none"/>
        </w:rPr>
      </w:pPr>
      <w:bookmarkStart w:id="48" w:name="_Toc183682343"/>
      <w:bookmarkStart w:id="49" w:name="_Toc183582206"/>
      <w:bookmarkStart w:id="50" w:name="_Toc217446035"/>
      <w:r>
        <w:rPr>
          <w:rFonts w:hint="eastAsia" w:ascii="宋体" w:hAnsi="宋体" w:eastAsia="宋体" w:cs="宋体"/>
          <w:b/>
          <w:bCs/>
          <w:color w:val="auto"/>
          <w:sz w:val="24"/>
          <w:szCs w:val="24"/>
          <w:highlight w:val="none"/>
        </w:rPr>
        <w:t xml:space="preserve">2. </w:t>
      </w:r>
      <w:bookmarkEnd w:id="48"/>
      <w:bookmarkEnd w:id="49"/>
      <w:r>
        <w:rPr>
          <w:rFonts w:hint="eastAsia" w:ascii="宋体" w:hAnsi="宋体" w:eastAsia="宋体" w:cs="宋体"/>
          <w:b/>
          <w:bCs/>
          <w:color w:val="auto"/>
          <w:sz w:val="24"/>
          <w:szCs w:val="24"/>
          <w:highlight w:val="none"/>
        </w:rPr>
        <w:t>有关定义</w:t>
      </w:r>
      <w:bookmarkEnd w:id="50"/>
    </w:p>
    <w:p w14:paraId="6E547E2E">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“采购人”系指依法进行政府采购的国家机关、事业单位、团体组织。本项目采购人是</w:t>
      </w:r>
      <w:r>
        <w:rPr>
          <w:rFonts w:hint="eastAsia" w:ascii="宋体" w:hAnsi="宋体" w:eastAsia="宋体" w:cs="宋体"/>
          <w:color w:val="auto"/>
          <w:sz w:val="24"/>
          <w:szCs w:val="24"/>
          <w:highlight w:val="none"/>
          <w:u w:val="single"/>
          <w:lang w:eastAsia="zh-CN"/>
        </w:rPr>
        <w:t>喀什地区疾病预防控制中心（喀什地区卫生监督所）</w:t>
      </w:r>
      <w:r>
        <w:rPr>
          <w:rFonts w:hint="eastAsia" w:ascii="宋体" w:hAnsi="宋体" w:eastAsia="宋体" w:cs="宋体"/>
          <w:color w:val="auto"/>
          <w:sz w:val="24"/>
          <w:szCs w:val="24"/>
          <w:highlight w:val="none"/>
        </w:rPr>
        <w:t>。</w:t>
      </w:r>
    </w:p>
    <w:p w14:paraId="68B7FF66">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“采购代理机构”系指根据采购人的委托依法办理招标事宜的采购机构。本次招标的采购代理机构是</w:t>
      </w:r>
      <w:r>
        <w:rPr>
          <w:rFonts w:hint="eastAsia" w:ascii="宋体" w:hAnsi="宋体" w:eastAsia="宋体" w:cs="宋体"/>
          <w:color w:val="auto"/>
          <w:sz w:val="24"/>
          <w:szCs w:val="24"/>
          <w:highlight w:val="none"/>
          <w:u w:val="single"/>
        </w:rPr>
        <w:t>新疆拓源工程管理咨询有限公司</w:t>
      </w:r>
      <w:r>
        <w:rPr>
          <w:rFonts w:hint="eastAsia" w:ascii="宋体" w:hAnsi="宋体" w:eastAsia="宋体" w:cs="宋体"/>
          <w:color w:val="auto"/>
          <w:sz w:val="24"/>
          <w:szCs w:val="24"/>
          <w:highlight w:val="none"/>
        </w:rPr>
        <w:t>。</w:t>
      </w:r>
    </w:p>
    <w:p w14:paraId="7E114C4A">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“采购单位”系指“采购人”和“采购代理机构”的统称。</w:t>
      </w:r>
    </w:p>
    <w:p w14:paraId="469D9157">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”指下载了</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文件拟参加</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和向采购人提供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w:t>
      </w:r>
    </w:p>
    <w:p w14:paraId="5237F564">
      <w:pPr>
        <w:spacing w:line="480" w:lineRule="exact"/>
        <w:ind w:firstLine="482" w:firstLineChars="200"/>
        <w:rPr>
          <w:rFonts w:hint="eastAsia" w:ascii="宋体" w:hAnsi="宋体" w:eastAsia="宋体" w:cs="宋体"/>
          <w:b/>
          <w:bCs/>
          <w:color w:val="auto"/>
          <w:sz w:val="24"/>
          <w:szCs w:val="24"/>
          <w:highlight w:val="none"/>
          <w:lang w:eastAsia="zh-CN"/>
        </w:rPr>
      </w:pPr>
      <w:bookmarkStart w:id="51" w:name="_Toc217446036"/>
      <w:bookmarkStart w:id="52" w:name="_Toc183582207"/>
      <w:bookmarkStart w:id="53" w:name="_Toc183682344"/>
      <w:bookmarkStart w:id="54" w:name="_Toc217390843"/>
      <w:r>
        <w:rPr>
          <w:rFonts w:hint="eastAsia" w:ascii="宋体" w:hAnsi="宋体" w:eastAsia="宋体" w:cs="宋体"/>
          <w:b/>
          <w:bCs/>
          <w:color w:val="auto"/>
          <w:sz w:val="24"/>
          <w:szCs w:val="24"/>
          <w:highlight w:val="none"/>
        </w:rPr>
        <w:t>3. 合格的</w:t>
      </w:r>
      <w:bookmarkEnd w:id="51"/>
      <w:bookmarkEnd w:id="52"/>
      <w:bookmarkEnd w:id="53"/>
      <w:bookmarkEnd w:id="54"/>
      <w:r>
        <w:rPr>
          <w:rFonts w:hint="eastAsia" w:ascii="宋体" w:hAnsi="宋体" w:eastAsia="宋体" w:cs="宋体"/>
          <w:b/>
          <w:bCs/>
          <w:color w:val="auto"/>
          <w:sz w:val="24"/>
          <w:szCs w:val="24"/>
          <w:highlight w:val="none"/>
          <w:lang w:eastAsia="zh-CN"/>
        </w:rPr>
        <w:t>供应商</w:t>
      </w:r>
    </w:p>
    <w:p w14:paraId="66C92012">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应具备以下条件：</w:t>
      </w:r>
    </w:p>
    <w:p w14:paraId="0B066890">
      <w:pPr>
        <w:tabs>
          <w:tab w:val="left" w:pos="7665"/>
        </w:tabs>
        <w:spacing w:line="480" w:lineRule="exact"/>
        <w:ind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（1）本招标文件“招标公告”第二条规定的条件</w:t>
      </w:r>
      <w:r>
        <w:rPr>
          <w:rFonts w:hint="eastAsia" w:ascii="宋体" w:hAnsi="宋体" w:eastAsia="宋体" w:cs="宋体"/>
          <w:color w:val="auto"/>
          <w:spacing w:val="-4"/>
          <w:sz w:val="24"/>
          <w:szCs w:val="24"/>
          <w:highlight w:val="none"/>
        </w:rPr>
        <w:t>；</w:t>
      </w:r>
    </w:p>
    <w:p w14:paraId="28D4A1C3">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（2）遵守国家有关的法律、法规、规章和其他政策规定；</w:t>
      </w:r>
    </w:p>
    <w:p w14:paraId="14683CB4">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（3）下载了</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文件并参与竞争。</w:t>
      </w:r>
    </w:p>
    <w:p w14:paraId="2A359DBA">
      <w:pPr>
        <w:spacing w:line="480" w:lineRule="exact"/>
        <w:ind w:firstLine="482" w:firstLineChars="200"/>
        <w:rPr>
          <w:rFonts w:hint="eastAsia" w:ascii="宋体" w:hAnsi="宋体" w:eastAsia="宋体" w:cs="宋体"/>
          <w:b/>
          <w:bCs/>
          <w:color w:val="auto"/>
          <w:sz w:val="24"/>
          <w:szCs w:val="24"/>
          <w:highlight w:val="none"/>
        </w:rPr>
      </w:pPr>
      <w:bookmarkStart w:id="55" w:name="_Toc183682345"/>
      <w:bookmarkStart w:id="56" w:name="_Toc183582208"/>
      <w:bookmarkStart w:id="57" w:name="_Toc217446037"/>
      <w:r>
        <w:rPr>
          <w:rFonts w:hint="eastAsia" w:ascii="宋体" w:hAnsi="宋体" w:eastAsia="宋体" w:cs="宋体"/>
          <w:b/>
          <w:bCs/>
          <w:color w:val="auto"/>
          <w:sz w:val="24"/>
          <w:szCs w:val="24"/>
          <w:highlight w:val="none"/>
        </w:rPr>
        <w:t>4. 投标费用</w:t>
      </w:r>
      <w:bookmarkEnd w:id="55"/>
      <w:bookmarkEnd w:id="56"/>
      <w:bookmarkEnd w:id="57"/>
    </w:p>
    <w:p w14:paraId="6A3E01F9">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参加投标的有关费用由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自行承担。</w:t>
      </w:r>
    </w:p>
    <w:p w14:paraId="4CA088D5">
      <w:pPr>
        <w:pStyle w:val="3"/>
        <w:spacing w:before="156" w:after="156" w:line="480" w:lineRule="exact"/>
        <w:ind w:firstLine="480" w:firstLineChars="200"/>
        <w:rPr>
          <w:rFonts w:hint="eastAsia" w:ascii="宋体" w:hAnsi="宋体" w:eastAsia="宋体" w:cs="宋体"/>
          <w:bCs w:val="0"/>
          <w:color w:val="auto"/>
          <w:sz w:val="24"/>
          <w:szCs w:val="24"/>
          <w:highlight w:val="none"/>
        </w:rPr>
      </w:pPr>
      <w:bookmarkStart w:id="58" w:name="_Toc217446038"/>
      <w:bookmarkStart w:id="59" w:name="_Toc89075875"/>
      <w:bookmarkStart w:id="60" w:name="_Toc183682346"/>
      <w:bookmarkStart w:id="61" w:name="_Toc77400779"/>
      <w:bookmarkStart w:id="62" w:name="_Toc183582209"/>
      <w:r>
        <w:rPr>
          <w:rFonts w:hint="eastAsia" w:ascii="宋体" w:hAnsi="宋体" w:eastAsia="宋体" w:cs="宋体"/>
          <w:bCs w:val="0"/>
          <w:color w:val="auto"/>
          <w:sz w:val="24"/>
          <w:szCs w:val="24"/>
          <w:highlight w:val="none"/>
        </w:rPr>
        <w:t>三、</w:t>
      </w:r>
      <w:bookmarkEnd w:id="58"/>
      <w:bookmarkEnd w:id="59"/>
      <w:bookmarkEnd w:id="60"/>
      <w:bookmarkEnd w:id="61"/>
      <w:bookmarkEnd w:id="62"/>
      <w:r>
        <w:rPr>
          <w:rFonts w:hint="eastAsia" w:ascii="宋体" w:hAnsi="宋体" w:eastAsia="宋体" w:cs="宋体"/>
          <w:bCs w:val="0"/>
          <w:color w:val="auto"/>
          <w:sz w:val="24"/>
          <w:szCs w:val="24"/>
          <w:highlight w:val="none"/>
        </w:rPr>
        <w:t>招标文件</w:t>
      </w:r>
    </w:p>
    <w:p w14:paraId="7D6A3D7C">
      <w:pPr>
        <w:spacing w:line="480" w:lineRule="exact"/>
        <w:ind w:firstLine="482" w:firstLineChars="200"/>
        <w:rPr>
          <w:rFonts w:hint="eastAsia" w:ascii="宋体" w:hAnsi="宋体" w:eastAsia="宋体" w:cs="宋体"/>
          <w:b/>
          <w:bCs/>
          <w:color w:val="auto"/>
          <w:sz w:val="24"/>
          <w:szCs w:val="24"/>
          <w:highlight w:val="none"/>
        </w:rPr>
      </w:pPr>
      <w:bookmarkStart w:id="63" w:name="_Toc183682347"/>
      <w:bookmarkStart w:id="64" w:name="_Toc217446039"/>
      <w:bookmarkStart w:id="65" w:name="_Toc183582210"/>
      <w:r>
        <w:rPr>
          <w:rFonts w:hint="eastAsia" w:ascii="宋体" w:hAnsi="宋体" w:eastAsia="宋体" w:cs="宋体"/>
          <w:b/>
          <w:bCs/>
          <w:color w:val="auto"/>
          <w:sz w:val="24"/>
          <w:szCs w:val="24"/>
          <w:highlight w:val="none"/>
        </w:rPr>
        <w:t>5．招标文件的构成</w:t>
      </w:r>
      <w:bookmarkEnd w:id="63"/>
      <w:bookmarkEnd w:id="64"/>
      <w:bookmarkEnd w:id="65"/>
    </w:p>
    <w:p w14:paraId="2C5764C1">
      <w:pPr>
        <w:tabs>
          <w:tab w:val="left" w:pos="720"/>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招标文件是</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准备投标文件和参加投标的依据，同时也是评标的重要依据，具有准法律文件性质。招标文件用以阐明招标项目所需的资质、技术、报价、招标程序、有关规定和注意事项以及拟签订的合同文本等。本招标文件包括以下内容：</w:t>
      </w:r>
    </w:p>
    <w:p w14:paraId="7BAF00F5">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w:t>
      </w:r>
      <w:r>
        <w:rPr>
          <w:rFonts w:hint="eastAsia" w:ascii="宋体" w:hAnsi="宋体" w:eastAsia="宋体" w:cs="宋体"/>
          <w:color w:val="auto"/>
          <w:sz w:val="24"/>
          <w:szCs w:val="24"/>
          <w:highlight w:val="none"/>
        </w:rPr>
        <w:tab/>
      </w:r>
    </w:p>
    <w:p w14:paraId="2923311F">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w:t>
      </w:r>
      <w:r>
        <w:rPr>
          <w:rFonts w:hint="eastAsia" w:ascii="宋体" w:hAnsi="宋体" w:eastAsia="宋体" w:cs="宋体"/>
          <w:color w:val="auto"/>
          <w:sz w:val="24"/>
          <w:szCs w:val="24"/>
          <w:highlight w:val="none"/>
        </w:rPr>
        <w:tab/>
      </w:r>
    </w:p>
    <w:p w14:paraId="4A2088EA">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（3）投标文件格式</w:t>
      </w:r>
      <w:r>
        <w:rPr>
          <w:rFonts w:hint="eastAsia" w:ascii="宋体" w:hAnsi="宋体" w:eastAsia="宋体" w:cs="宋体"/>
          <w:color w:val="auto"/>
          <w:sz w:val="24"/>
          <w:szCs w:val="24"/>
          <w:highlight w:val="none"/>
        </w:rPr>
        <w:tab/>
      </w:r>
    </w:p>
    <w:p w14:paraId="21FCD31C">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项目采购需求</w:t>
      </w:r>
      <w:r>
        <w:rPr>
          <w:rFonts w:hint="eastAsia" w:ascii="宋体" w:hAnsi="宋体" w:eastAsia="宋体" w:cs="宋体"/>
          <w:color w:val="auto"/>
          <w:sz w:val="24"/>
          <w:szCs w:val="24"/>
          <w:highlight w:val="none"/>
        </w:rPr>
        <w:tab/>
      </w:r>
    </w:p>
    <w:p w14:paraId="2B8D1F63">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（5）评标办法</w:t>
      </w:r>
      <w:r>
        <w:rPr>
          <w:rFonts w:hint="eastAsia" w:ascii="宋体" w:hAnsi="宋体" w:eastAsia="宋体" w:cs="宋体"/>
          <w:color w:val="auto"/>
          <w:sz w:val="24"/>
          <w:szCs w:val="24"/>
          <w:highlight w:val="none"/>
        </w:rPr>
        <w:tab/>
      </w:r>
    </w:p>
    <w:p w14:paraId="7A6063A5">
      <w:pPr>
        <w:tabs>
          <w:tab w:val="left" w:pos="0"/>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（6）拟签订的合同文本</w:t>
      </w:r>
      <w:r>
        <w:rPr>
          <w:rFonts w:hint="eastAsia" w:ascii="宋体" w:hAnsi="宋体" w:eastAsia="宋体" w:cs="宋体"/>
          <w:color w:val="auto"/>
          <w:sz w:val="24"/>
          <w:szCs w:val="24"/>
          <w:highlight w:val="none"/>
        </w:rPr>
        <w:tab/>
      </w:r>
    </w:p>
    <w:p w14:paraId="18C768FF">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应认真阅读和充分理解招标文件中所有的事项、格式条款和规范要求。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没有对招标文件全面做出实质性响应是</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的风险。没有按照招标文件要求作出实质性响应的投标文件，按</w:t>
      </w:r>
      <w:r>
        <w:rPr>
          <w:rFonts w:hint="eastAsia" w:ascii="宋体" w:hAnsi="宋体" w:eastAsia="宋体" w:cs="宋体"/>
          <w:b/>
          <w:bCs/>
          <w:color w:val="auto"/>
          <w:sz w:val="24"/>
          <w:szCs w:val="24"/>
          <w:highlight w:val="none"/>
        </w:rPr>
        <w:t>无效处理</w:t>
      </w:r>
      <w:r>
        <w:rPr>
          <w:rFonts w:hint="eastAsia" w:ascii="宋体" w:hAnsi="宋体" w:eastAsia="宋体" w:cs="宋体"/>
          <w:color w:val="auto"/>
          <w:sz w:val="24"/>
          <w:szCs w:val="24"/>
          <w:highlight w:val="none"/>
        </w:rPr>
        <w:t>。</w:t>
      </w:r>
    </w:p>
    <w:p w14:paraId="2C902069">
      <w:pPr>
        <w:spacing w:line="480" w:lineRule="exact"/>
        <w:ind w:firstLine="480" w:firstLineChars="200"/>
        <w:rPr>
          <w:rFonts w:hint="eastAsia" w:ascii="宋体" w:hAnsi="宋体" w:eastAsia="宋体" w:cs="宋体"/>
          <w:b/>
          <w:bCs/>
          <w:color w:val="auto"/>
          <w:sz w:val="24"/>
          <w:szCs w:val="24"/>
          <w:highlight w:val="none"/>
        </w:rPr>
      </w:pPr>
      <w:bookmarkStart w:id="66" w:name="_Toc183582211"/>
      <w:bookmarkStart w:id="67" w:name="_Toc183682348"/>
      <w:bookmarkStart w:id="68" w:name="_Toc217446040"/>
      <w:r>
        <w:rPr>
          <w:rFonts w:hint="eastAsia" w:ascii="宋体" w:hAnsi="宋体" w:eastAsia="宋体" w:cs="宋体"/>
          <w:color w:val="auto"/>
          <w:sz w:val="24"/>
          <w:szCs w:val="24"/>
          <w:highlight w:val="none"/>
        </w:rPr>
        <w:t>6</w:t>
      </w:r>
      <w:r>
        <w:rPr>
          <w:rFonts w:hint="eastAsia" w:ascii="宋体" w:hAnsi="宋体" w:eastAsia="宋体" w:cs="宋体"/>
          <w:b/>
          <w:bCs/>
          <w:color w:val="auto"/>
          <w:sz w:val="24"/>
          <w:szCs w:val="24"/>
          <w:highlight w:val="none"/>
        </w:rPr>
        <w:t>. 招标文件的澄清</w:t>
      </w:r>
      <w:bookmarkEnd w:id="66"/>
      <w:bookmarkEnd w:id="67"/>
      <w:r>
        <w:rPr>
          <w:rFonts w:hint="eastAsia" w:ascii="宋体" w:hAnsi="宋体" w:eastAsia="宋体" w:cs="宋体"/>
          <w:b/>
          <w:bCs/>
          <w:color w:val="auto"/>
          <w:sz w:val="24"/>
          <w:szCs w:val="24"/>
          <w:highlight w:val="none"/>
        </w:rPr>
        <w:t>和修改</w:t>
      </w:r>
      <w:bookmarkEnd w:id="68"/>
    </w:p>
    <w:p w14:paraId="1DB6989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6.1 </w:t>
      </w:r>
      <w:bookmarkStart w:id="69" w:name="_Toc217446041"/>
      <w:bookmarkStart w:id="70" w:name="_Toc208848971"/>
      <w:r>
        <w:rPr>
          <w:rFonts w:hint="eastAsia" w:ascii="宋体" w:hAnsi="宋体" w:eastAsia="宋体" w:cs="宋体"/>
          <w:color w:val="auto"/>
          <w:sz w:val="24"/>
          <w:szCs w:val="24"/>
          <w:highlight w:val="none"/>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F624C8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6.2澄清或者修改的内容可能影响投标文件编制的，采购人或者采购代理机构应当在投标截止时间至少15日前，以书面形式通知所有获取招标文件的潜在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，不足15日的，采购人或者采购代理机构应当顺延提交投标文件的截止时间。</w:t>
      </w:r>
    </w:p>
    <w:p w14:paraId="7E5815E2">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 答疑会和现场考察</w:t>
      </w:r>
      <w:bookmarkEnd w:id="69"/>
      <w:bookmarkEnd w:id="70"/>
      <w:r>
        <w:rPr>
          <w:rFonts w:hint="eastAsia" w:ascii="宋体" w:hAnsi="宋体" w:eastAsia="宋体" w:cs="宋体"/>
          <w:b/>
          <w:bCs/>
          <w:color w:val="auto"/>
          <w:sz w:val="24"/>
          <w:szCs w:val="24"/>
          <w:highlight w:val="none"/>
        </w:rPr>
        <w:t>。</w:t>
      </w:r>
    </w:p>
    <w:p w14:paraId="123693A3">
      <w:pPr>
        <w:spacing w:line="480" w:lineRule="exact"/>
        <w:ind w:firstLine="480" w:firstLineChars="200"/>
        <w:rPr>
          <w:rFonts w:hint="eastAsia" w:ascii="宋体" w:hAnsi="宋体" w:eastAsia="宋体" w:cs="宋体"/>
          <w:color w:val="auto"/>
          <w:sz w:val="24"/>
          <w:szCs w:val="24"/>
          <w:highlight w:val="none"/>
        </w:rPr>
      </w:pPr>
      <w:bookmarkStart w:id="71" w:name="_Toc217446042"/>
      <w:bookmarkStart w:id="72" w:name="_Toc77400780"/>
      <w:bookmarkStart w:id="73" w:name="_Toc89075876"/>
      <w:bookmarkStart w:id="74" w:name="_Toc183682351"/>
      <w:bookmarkStart w:id="75" w:name="_Toc183582214"/>
      <w:r>
        <w:rPr>
          <w:rFonts w:hint="eastAsia" w:ascii="宋体" w:hAnsi="宋体" w:eastAsia="宋体" w:cs="宋体"/>
          <w:color w:val="auto"/>
          <w:sz w:val="24"/>
          <w:szCs w:val="24"/>
          <w:highlight w:val="none"/>
        </w:rPr>
        <w:t>7.1 本项目不组织答疑会和现场考察。</w:t>
      </w:r>
    </w:p>
    <w:p w14:paraId="19AC4E01">
      <w:pPr>
        <w:pStyle w:val="3"/>
        <w:spacing w:before="156" w:after="156" w:line="480" w:lineRule="exact"/>
        <w:ind w:firstLine="480" w:firstLineChars="200"/>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四、</w:t>
      </w:r>
      <w:bookmarkEnd w:id="71"/>
      <w:bookmarkEnd w:id="72"/>
      <w:bookmarkEnd w:id="73"/>
      <w:bookmarkEnd w:id="74"/>
      <w:bookmarkEnd w:id="75"/>
      <w:r>
        <w:rPr>
          <w:rFonts w:hint="eastAsia" w:ascii="宋体" w:hAnsi="宋体" w:eastAsia="宋体" w:cs="宋体"/>
          <w:bCs w:val="0"/>
          <w:color w:val="auto"/>
          <w:sz w:val="24"/>
          <w:szCs w:val="24"/>
          <w:highlight w:val="none"/>
        </w:rPr>
        <w:t>投标文件</w:t>
      </w:r>
    </w:p>
    <w:p w14:paraId="2130E372">
      <w:pPr>
        <w:spacing w:line="480" w:lineRule="exact"/>
        <w:ind w:firstLine="482" w:firstLineChars="200"/>
        <w:rPr>
          <w:rFonts w:hint="eastAsia" w:ascii="宋体" w:hAnsi="宋体" w:eastAsia="宋体" w:cs="宋体"/>
          <w:b/>
          <w:bCs/>
          <w:color w:val="auto"/>
          <w:sz w:val="24"/>
          <w:szCs w:val="24"/>
          <w:highlight w:val="none"/>
        </w:rPr>
      </w:pPr>
      <w:bookmarkStart w:id="76" w:name="_Toc217446043"/>
      <w:bookmarkStart w:id="77" w:name="_Toc183582215"/>
      <w:bookmarkStart w:id="78" w:name="_Toc183682352"/>
      <w:r>
        <w:rPr>
          <w:rFonts w:hint="eastAsia" w:ascii="宋体" w:hAnsi="宋体" w:eastAsia="宋体" w:cs="宋体"/>
          <w:b/>
          <w:bCs/>
          <w:color w:val="auto"/>
          <w:sz w:val="24"/>
          <w:szCs w:val="24"/>
          <w:highlight w:val="none"/>
        </w:rPr>
        <w:t>8．投标文件的语言</w:t>
      </w:r>
      <w:bookmarkEnd w:id="76"/>
      <w:bookmarkEnd w:id="77"/>
      <w:bookmarkEnd w:id="78"/>
    </w:p>
    <w:p w14:paraId="2D19C1F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提交的投标文件以及</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与采购人就有关投标的所有来往书面文件均须使用中文。投标文件中如附有外文资料，必须逐一对应翻译成中文并加盖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公章后附在相关外文资料后面，否则，</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的投标文件将作为</w:t>
      </w:r>
      <w:r>
        <w:rPr>
          <w:rFonts w:hint="eastAsia" w:ascii="宋体" w:hAnsi="宋体" w:eastAsia="宋体" w:cs="宋体"/>
          <w:b/>
          <w:bCs/>
          <w:color w:val="auto"/>
          <w:sz w:val="24"/>
          <w:szCs w:val="24"/>
          <w:highlight w:val="none"/>
        </w:rPr>
        <w:t>无效投标处理</w:t>
      </w:r>
      <w:r>
        <w:rPr>
          <w:rFonts w:hint="eastAsia" w:ascii="宋体" w:hAnsi="宋体" w:eastAsia="宋体" w:cs="宋体"/>
          <w:color w:val="auto"/>
          <w:sz w:val="24"/>
          <w:szCs w:val="24"/>
          <w:highlight w:val="none"/>
        </w:rPr>
        <w:t>。</w:t>
      </w:r>
    </w:p>
    <w:p w14:paraId="28B9876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翻译的中文资料与外文资料如果出现差异和矛盾时，以中文为准。但不能故意错误翻译，否则，</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的投标文件将作为</w:t>
      </w:r>
      <w:r>
        <w:rPr>
          <w:rFonts w:hint="eastAsia" w:ascii="宋体" w:hAnsi="宋体" w:eastAsia="宋体" w:cs="宋体"/>
          <w:b/>
          <w:bCs/>
          <w:color w:val="auto"/>
          <w:sz w:val="24"/>
          <w:szCs w:val="24"/>
          <w:highlight w:val="none"/>
        </w:rPr>
        <w:t>无效投标处理</w:t>
      </w:r>
      <w:r>
        <w:rPr>
          <w:rFonts w:hint="eastAsia" w:ascii="宋体" w:hAnsi="宋体" w:eastAsia="宋体" w:cs="宋体"/>
          <w:color w:val="auto"/>
          <w:sz w:val="24"/>
          <w:szCs w:val="24"/>
          <w:highlight w:val="none"/>
        </w:rPr>
        <w:t>。</w:t>
      </w:r>
    </w:p>
    <w:p w14:paraId="3FD6404F">
      <w:pPr>
        <w:spacing w:line="480" w:lineRule="exact"/>
        <w:ind w:firstLine="482" w:firstLineChars="200"/>
        <w:rPr>
          <w:rFonts w:hint="eastAsia" w:ascii="宋体" w:hAnsi="宋体" w:eastAsia="宋体" w:cs="宋体"/>
          <w:b/>
          <w:bCs/>
          <w:color w:val="auto"/>
          <w:sz w:val="24"/>
          <w:szCs w:val="24"/>
          <w:highlight w:val="none"/>
        </w:rPr>
      </w:pPr>
      <w:bookmarkStart w:id="79" w:name="_Toc183582216"/>
      <w:bookmarkStart w:id="80" w:name="_Toc217446044"/>
      <w:bookmarkStart w:id="81" w:name="_Toc183682353"/>
      <w:r>
        <w:rPr>
          <w:rFonts w:hint="eastAsia" w:ascii="宋体" w:hAnsi="宋体" w:eastAsia="宋体" w:cs="宋体"/>
          <w:b/>
          <w:bCs/>
          <w:color w:val="auto"/>
          <w:sz w:val="24"/>
          <w:szCs w:val="24"/>
          <w:highlight w:val="none"/>
        </w:rPr>
        <w:t>9．计量单位</w:t>
      </w:r>
      <w:bookmarkEnd w:id="79"/>
      <w:bookmarkEnd w:id="80"/>
      <w:bookmarkEnd w:id="81"/>
    </w:p>
    <w:p w14:paraId="2F4DAA2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除招标文件中另有规定外，本招标项下的投标均采用国家法定的计量单位。</w:t>
      </w:r>
    </w:p>
    <w:p w14:paraId="35CAFF2D">
      <w:pPr>
        <w:spacing w:line="480" w:lineRule="exact"/>
        <w:ind w:firstLine="482" w:firstLineChars="200"/>
        <w:rPr>
          <w:rFonts w:hint="eastAsia" w:ascii="宋体" w:hAnsi="宋体" w:eastAsia="宋体" w:cs="宋体"/>
          <w:b/>
          <w:bCs/>
          <w:color w:val="auto"/>
          <w:sz w:val="24"/>
          <w:szCs w:val="24"/>
          <w:highlight w:val="none"/>
        </w:rPr>
      </w:pPr>
      <w:bookmarkStart w:id="82" w:name="_Toc217446045"/>
      <w:r>
        <w:rPr>
          <w:rFonts w:hint="eastAsia" w:ascii="宋体" w:hAnsi="宋体" w:eastAsia="宋体" w:cs="宋体"/>
          <w:b/>
          <w:bCs/>
          <w:color w:val="auto"/>
          <w:sz w:val="24"/>
          <w:szCs w:val="24"/>
          <w:highlight w:val="none"/>
        </w:rPr>
        <w:t>10. 投标货币</w:t>
      </w:r>
      <w:bookmarkEnd w:id="82"/>
    </w:p>
    <w:p w14:paraId="488C6FE8">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本次招标项目的投标均以人民币报价。</w:t>
      </w:r>
    </w:p>
    <w:p w14:paraId="03FA5E65">
      <w:pPr>
        <w:spacing w:line="480" w:lineRule="exact"/>
        <w:ind w:firstLine="482" w:firstLineChars="200"/>
        <w:rPr>
          <w:rFonts w:hint="eastAsia" w:ascii="宋体" w:hAnsi="宋体" w:eastAsia="宋体" w:cs="宋体"/>
          <w:b/>
          <w:bCs/>
          <w:color w:val="auto"/>
          <w:sz w:val="24"/>
          <w:szCs w:val="24"/>
          <w:highlight w:val="none"/>
        </w:rPr>
      </w:pPr>
      <w:bookmarkStart w:id="83" w:name="_Toc217446046"/>
      <w:r>
        <w:rPr>
          <w:rFonts w:hint="eastAsia" w:ascii="宋体" w:hAnsi="宋体" w:eastAsia="宋体" w:cs="宋体"/>
          <w:b/>
          <w:bCs/>
          <w:color w:val="auto"/>
          <w:sz w:val="24"/>
          <w:szCs w:val="24"/>
          <w:highlight w:val="none"/>
        </w:rPr>
        <w:t>11. 联合体投标</w:t>
      </w:r>
      <w:bookmarkEnd w:id="83"/>
    </w:p>
    <w:p w14:paraId="3333D2DB">
      <w:pPr>
        <w:pStyle w:val="11"/>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须知前附表”第13条。</w:t>
      </w:r>
    </w:p>
    <w:p w14:paraId="46389958">
      <w:pPr>
        <w:spacing w:line="480" w:lineRule="exact"/>
        <w:ind w:firstLine="482" w:firstLineChars="200"/>
        <w:rPr>
          <w:rFonts w:hint="eastAsia" w:ascii="宋体" w:hAnsi="宋体" w:eastAsia="宋体" w:cs="宋体"/>
          <w:b/>
          <w:bCs/>
          <w:color w:val="auto"/>
          <w:sz w:val="24"/>
          <w:szCs w:val="24"/>
          <w:highlight w:val="none"/>
        </w:rPr>
      </w:pPr>
      <w:bookmarkStart w:id="84" w:name="_Toc217446047"/>
      <w:r>
        <w:rPr>
          <w:rFonts w:hint="eastAsia" w:ascii="宋体" w:hAnsi="宋体" w:eastAsia="宋体" w:cs="宋体"/>
          <w:b/>
          <w:bCs/>
          <w:color w:val="auto"/>
          <w:sz w:val="24"/>
          <w:szCs w:val="24"/>
          <w:highlight w:val="none"/>
        </w:rPr>
        <w:t>12. 知识产权</w:t>
      </w:r>
      <w:bookmarkEnd w:id="84"/>
    </w:p>
    <w:p w14:paraId="5CF69B3D">
      <w:pPr>
        <w:pStyle w:val="11"/>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保证在本项目使用的任何产品或服务（包括部分使用）时，不会产生因第三方提出侵犯其专利权、商标权或其它知识产权而引起的法律和经济纠纷，如因专利权、商标权或其它知识产权而引起法律和经济纠纷，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承担所有相关责任。</w:t>
      </w:r>
    </w:p>
    <w:p w14:paraId="41F2EC94">
      <w:pPr>
        <w:pStyle w:val="11"/>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 采购人享有本项目实施过程中产生的知识成果及知识产权。</w:t>
      </w:r>
    </w:p>
    <w:p w14:paraId="77C79A3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如欲在项目实施过程中采用自有知识成果，需在投标文件中声明，并提供相关知识产权证明文件。使用该知识成果后，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需提供开发接口和开发手册等技术文档，并承诺提供无限期技术支持，采购人享有永久使用权。</w:t>
      </w:r>
    </w:p>
    <w:p w14:paraId="0CCA040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 如采用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所不拥有的知识产权，则在投标报价中必须包括合法获取该知识产权的相关费用。 </w:t>
      </w:r>
    </w:p>
    <w:p w14:paraId="0E84B70B">
      <w:pPr>
        <w:spacing w:line="480" w:lineRule="exact"/>
        <w:ind w:firstLine="482" w:firstLineChars="200"/>
        <w:rPr>
          <w:rFonts w:hint="eastAsia" w:ascii="宋体" w:hAnsi="宋体" w:eastAsia="宋体" w:cs="宋体"/>
          <w:b/>
          <w:bCs/>
          <w:color w:val="auto"/>
          <w:sz w:val="24"/>
          <w:szCs w:val="24"/>
          <w:highlight w:val="none"/>
        </w:rPr>
      </w:pPr>
      <w:bookmarkStart w:id="85" w:name="_Toc183582217"/>
      <w:bookmarkStart w:id="86" w:name="_Toc217446048"/>
      <w:bookmarkStart w:id="87" w:name="_Toc183682354"/>
      <w:r>
        <w:rPr>
          <w:rFonts w:hint="eastAsia" w:ascii="宋体" w:hAnsi="宋体" w:eastAsia="宋体" w:cs="宋体"/>
          <w:b/>
          <w:bCs/>
          <w:color w:val="auto"/>
          <w:sz w:val="24"/>
          <w:szCs w:val="24"/>
          <w:highlight w:val="none"/>
        </w:rPr>
        <w:t>13．投标文件的组成</w:t>
      </w:r>
      <w:bookmarkEnd w:id="85"/>
      <w:bookmarkEnd w:id="86"/>
      <w:bookmarkEnd w:id="87"/>
    </w:p>
    <w:p w14:paraId="351BDB3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应按照招标文件的规定和要求编制投标文件。招标文件允许分包的，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拟在中标后将中标项目的非主体、非关键性工作交由他人完成的，应当在投标文件中载明。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编写的投标文件应包括下列部分：</w:t>
      </w:r>
    </w:p>
    <w:p w14:paraId="547167D4">
      <w:pPr>
        <w:tabs>
          <w:tab w:val="left" w:pos="3480"/>
        </w:tabs>
        <w:spacing w:line="500" w:lineRule="exact"/>
        <w:ind w:firstLine="480" w:firstLineChars="200"/>
        <w:rPr>
          <w:rFonts w:hint="eastAsia" w:ascii="宋体" w:hAnsi="宋体" w:eastAsia="宋体" w:cs="宋体"/>
          <w:color w:val="auto"/>
          <w:sz w:val="24"/>
          <w:szCs w:val="24"/>
          <w:highlight w:val="none"/>
        </w:rPr>
      </w:pPr>
      <w:bookmarkStart w:id="88" w:name="_Toc183582218"/>
      <w:bookmarkStart w:id="89" w:name="_Toc217446049"/>
      <w:bookmarkStart w:id="90" w:name="_Toc183682355"/>
      <w:r>
        <w:rPr>
          <w:rFonts w:hint="eastAsia" w:ascii="宋体" w:hAnsi="宋体" w:eastAsia="宋体" w:cs="宋体"/>
          <w:color w:val="auto"/>
          <w:sz w:val="24"/>
          <w:szCs w:val="24"/>
          <w:highlight w:val="none"/>
        </w:rPr>
        <w:t>一、投标函</w:t>
      </w:r>
    </w:p>
    <w:p w14:paraId="1B7AC92B">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法定代表人身份证明书及授权委托书</w:t>
      </w:r>
    </w:p>
    <w:p w14:paraId="6B96592C">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）法定代表人身份证明书</w:t>
      </w:r>
    </w:p>
    <w:p w14:paraId="43B16DB5">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）授权委托书</w:t>
      </w:r>
    </w:p>
    <w:p w14:paraId="4F742D6E">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三、投标报价明细表</w:t>
      </w:r>
    </w:p>
    <w:p w14:paraId="64BCBC1D">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基本情况表</w:t>
      </w:r>
    </w:p>
    <w:p w14:paraId="3AA2905B">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类似项目业绩一览表</w:t>
      </w:r>
    </w:p>
    <w:p w14:paraId="0CDAD435">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六、商务、技术</w:t>
      </w:r>
      <w:r>
        <w:rPr>
          <w:rFonts w:hint="eastAsia" w:ascii="宋体" w:hAnsi="宋体" w:eastAsia="宋体" w:cs="宋体"/>
          <w:color w:val="auto"/>
          <w:sz w:val="24"/>
          <w:szCs w:val="24"/>
          <w:highlight w:val="none"/>
          <w:lang w:val="en-US" w:eastAsia="zh-CN"/>
        </w:rPr>
        <w:t>条款</w:t>
      </w:r>
      <w:r>
        <w:rPr>
          <w:rFonts w:hint="eastAsia" w:ascii="宋体" w:hAnsi="宋体" w:eastAsia="宋体" w:cs="宋体"/>
          <w:color w:val="auto"/>
          <w:sz w:val="24"/>
          <w:szCs w:val="24"/>
          <w:highlight w:val="none"/>
        </w:rPr>
        <w:t>偏离表</w:t>
      </w:r>
    </w:p>
    <w:p w14:paraId="20DD56D4">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商务条款偏离表</w:t>
      </w:r>
    </w:p>
    <w:p w14:paraId="7F78DE7D">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条款</w:t>
      </w:r>
      <w:r>
        <w:rPr>
          <w:rFonts w:hint="eastAsia" w:ascii="宋体" w:hAnsi="宋体" w:eastAsia="宋体" w:cs="宋体"/>
          <w:color w:val="auto"/>
          <w:sz w:val="24"/>
          <w:szCs w:val="24"/>
          <w:highlight w:val="none"/>
          <w:lang w:eastAsia="zh-CN"/>
        </w:rPr>
        <w:t>偏离表</w:t>
      </w:r>
    </w:p>
    <w:p w14:paraId="22D6FDE3">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技术方案</w:t>
      </w:r>
    </w:p>
    <w:p w14:paraId="3882AA0B">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政府采购政策</w:t>
      </w:r>
    </w:p>
    <w:p w14:paraId="329EDE6F">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供应商认为需要提供的资料</w:t>
      </w:r>
    </w:p>
    <w:p w14:paraId="07CDC616">
      <w:pPr>
        <w:tabs>
          <w:tab w:val="left" w:pos="3480"/>
        </w:tabs>
        <w:spacing w:line="4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14．投标文件格式</w:t>
      </w:r>
      <w:bookmarkEnd w:id="88"/>
      <w:bookmarkEnd w:id="89"/>
      <w:bookmarkEnd w:id="90"/>
      <w:r>
        <w:rPr>
          <w:rFonts w:hint="eastAsia" w:ascii="宋体" w:hAnsi="宋体" w:eastAsia="宋体" w:cs="宋体"/>
          <w:color w:val="auto"/>
          <w:sz w:val="24"/>
          <w:szCs w:val="24"/>
          <w:highlight w:val="none"/>
        </w:rPr>
        <w:tab/>
      </w:r>
    </w:p>
    <w:p w14:paraId="371DAEC3">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应严格按照招标文件第三章中提供的“投标文件格式”填写相关内容。除明确允许</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可以自行编写的外，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不得以“投标文件格式”规定之外的方式填写相关内容。</w:t>
      </w:r>
    </w:p>
    <w:p w14:paraId="2D4E6260">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对于没有格式要求的投标文件由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自行编写。</w:t>
      </w:r>
    </w:p>
    <w:p w14:paraId="605E4FC4">
      <w:pPr>
        <w:spacing w:line="480" w:lineRule="exact"/>
        <w:ind w:firstLine="482" w:firstLineChars="200"/>
        <w:rPr>
          <w:rFonts w:hint="eastAsia" w:ascii="宋体" w:hAnsi="宋体" w:eastAsia="宋体" w:cs="宋体"/>
          <w:b/>
          <w:bCs/>
          <w:color w:val="auto"/>
          <w:sz w:val="24"/>
          <w:szCs w:val="24"/>
          <w:highlight w:val="none"/>
        </w:rPr>
      </w:pPr>
      <w:bookmarkStart w:id="91" w:name="_Toc183582223"/>
      <w:bookmarkStart w:id="92" w:name="_Toc217446050"/>
      <w:bookmarkStart w:id="93" w:name="_Toc183682360"/>
      <w:r>
        <w:rPr>
          <w:rFonts w:hint="eastAsia" w:ascii="宋体" w:hAnsi="宋体" w:eastAsia="宋体" w:cs="宋体"/>
          <w:b/>
          <w:bCs/>
          <w:color w:val="auto"/>
          <w:sz w:val="24"/>
          <w:szCs w:val="24"/>
          <w:highlight w:val="none"/>
        </w:rPr>
        <w:t>15．投标保证金</w:t>
      </w:r>
      <w:bookmarkEnd w:id="91"/>
      <w:bookmarkEnd w:id="92"/>
      <w:bookmarkEnd w:id="93"/>
    </w:p>
    <w:p w14:paraId="4C877FE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投标时，必须按招标文件规定数额和形式缴纳投标保证金，并作为其投标文件的一部分。</w:t>
      </w:r>
    </w:p>
    <w:p w14:paraId="59ACD2C5">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15.2未按招标文件要求在规定时间前缴纳规定数额和形式的投标保证金，将被视为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2931F05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所缴纳的投标保证金不计利息。</w:t>
      </w:r>
    </w:p>
    <w:p w14:paraId="12AA59B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15.4未</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的投标保证金，将在中标通知书发出后五个工作日内全额退还。</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的投标保证金，自采购合同签订之日起5个工作日内退还</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的投标保证金。</w:t>
      </w:r>
    </w:p>
    <w:p w14:paraId="36C3CBA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15.5发生下列情形之一的，采购代理机构将不予退还</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缴纳的投标保证金：</w:t>
      </w:r>
    </w:p>
    <w:p w14:paraId="74444300">
      <w:pPr>
        <w:spacing w:line="480" w:lineRule="exact"/>
        <w:ind w:firstLine="480" w:firstLineChars="200"/>
        <w:rPr>
          <w:rFonts w:hint="eastAsia" w:ascii="宋体" w:hAnsi="宋体" w:eastAsia="宋体" w:cs="宋体"/>
          <w:color w:val="auto"/>
          <w:sz w:val="24"/>
          <w:szCs w:val="24"/>
          <w:highlight w:val="none"/>
        </w:rPr>
      </w:pPr>
      <w:bookmarkStart w:id="94" w:name="_Toc183682361"/>
      <w:bookmarkStart w:id="95" w:name="_Toc183582224"/>
      <w:bookmarkStart w:id="96" w:name="_Toc21744605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在提交投标文件截止时间后撤回投标文件的；</w:t>
      </w:r>
    </w:p>
    <w:p w14:paraId="6C74C9D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在投标文件中提供虚假材料的；</w:t>
      </w:r>
    </w:p>
    <w:p w14:paraId="77DE524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不接受按投标文件规定对其投标报价进行修正的；</w:t>
      </w:r>
    </w:p>
    <w:p w14:paraId="04338C8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（4）除因不可抗力或投标文件认可的情形以外，</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不履行与采购人签订合同的，在签订合同时向采购人提出附加条件；</w:t>
      </w:r>
    </w:p>
    <w:p w14:paraId="5079CC5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未能在规定期限内与采购人签署合同协议书或提交履约保证金的；</w:t>
      </w:r>
    </w:p>
    <w:p w14:paraId="1C02EDF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与采购人、其他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或者采购代理机构恶意串通的；</w:t>
      </w:r>
    </w:p>
    <w:p w14:paraId="781D16F3">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（7）招标文件规定的其他情形；</w:t>
      </w:r>
    </w:p>
    <w:p w14:paraId="4467CF0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（8）符合法律、法规规定的其他情形的。 </w:t>
      </w:r>
    </w:p>
    <w:p w14:paraId="744D358C">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16．投标有效期</w:t>
      </w:r>
      <w:bookmarkEnd w:id="94"/>
      <w:bookmarkEnd w:id="95"/>
      <w:bookmarkEnd w:id="96"/>
    </w:p>
    <w:p w14:paraId="73B5F1D2">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 投标有效期详见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第21条</w:t>
      </w:r>
      <w:r>
        <w:rPr>
          <w:rFonts w:hint="eastAsia" w:ascii="宋体" w:hAnsi="宋体" w:eastAsia="宋体" w:cs="宋体"/>
          <w:color w:val="auto"/>
          <w:sz w:val="24"/>
          <w:szCs w:val="24"/>
          <w:highlight w:val="none"/>
        </w:rPr>
        <w:t>。投标有效期短于此规定期限的，</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194AD1C9">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 特殊情况下，采购人可于投标有效期满之前要求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同意延长有效期，要求与答复均应为书面形式。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可以拒绝上述要求，其投标保证金</w:t>
      </w:r>
      <w:r>
        <w:rPr>
          <w:rFonts w:hint="eastAsia" w:ascii="宋体" w:hAnsi="宋体" w:eastAsia="宋体" w:cs="宋体"/>
          <w:color w:val="auto"/>
          <w:spacing w:val="8"/>
          <w:sz w:val="24"/>
          <w:szCs w:val="24"/>
          <w:highlight w:val="none"/>
        </w:rPr>
        <w:t>不被没收。</w:t>
      </w:r>
      <w:r>
        <w:rPr>
          <w:rFonts w:hint="eastAsia" w:ascii="宋体" w:hAnsi="宋体" w:eastAsia="宋体" w:cs="宋体"/>
          <w:color w:val="auto"/>
          <w:sz w:val="24"/>
          <w:szCs w:val="24"/>
          <w:highlight w:val="none"/>
        </w:rPr>
        <w:t>拒绝延长投标有效期的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不得再参与该项目后续招标活动。同意延长投标有效期的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不能修改其投标文件，关于投标保证金的有关规定在延长的投标有效期内继续有效。</w:t>
      </w:r>
    </w:p>
    <w:p w14:paraId="39F96730">
      <w:pPr>
        <w:spacing w:line="480" w:lineRule="exact"/>
        <w:ind w:firstLine="482" w:firstLineChars="200"/>
        <w:rPr>
          <w:rFonts w:hint="eastAsia" w:ascii="宋体" w:hAnsi="宋体" w:eastAsia="宋体" w:cs="宋体"/>
          <w:b/>
          <w:bCs/>
          <w:color w:val="auto"/>
          <w:sz w:val="24"/>
          <w:szCs w:val="24"/>
          <w:highlight w:val="none"/>
        </w:rPr>
      </w:pPr>
      <w:bookmarkStart w:id="97" w:name="_Toc183582225"/>
      <w:bookmarkStart w:id="98" w:name="_Toc217446052"/>
      <w:bookmarkStart w:id="99" w:name="_Toc183682362"/>
      <w:r>
        <w:rPr>
          <w:rFonts w:hint="eastAsia" w:ascii="宋体" w:hAnsi="宋体" w:eastAsia="宋体" w:cs="宋体"/>
          <w:b/>
          <w:bCs/>
          <w:color w:val="auto"/>
          <w:sz w:val="24"/>
          <w:szCs w:val="24"/>
          <w:highlight w:val="none"/>
        </w:rPr>
        <w:t>17．</w:t>
      </w:r>
      <w:bookmarkEnd w:id="97"/>
      <w:bookmarkEnd w:id="98"/>
      <w:bookmarkEnd w:id="99"/>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的签署</w:t>
      </w:r>
    </w:p>
    <w:p w14:paraId="6C9D7CEA">
      <w:pPr>
        <w:pageBreakBefore w:val="0"/>
        <w:widowControl w:val="0"/>
        <w:tabs>
          <w:tab w:val="left" w:pos="1080"/>
        </w:tabs>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bookmarkStart w:id="100" w:name="_Toc89075877"/>
      <w:bookmarkStart w:id="101" w:name="_Toc77400781"/>
      <w:bookmarkStart w:id="102" w:name="_Toc183682363"/>
      <w:bookmarkStart w:id="103" w:name="_Toc183582226"/>
      <w:bookmarkStart w:id="104" w:name="_Toc217446053"/>
      <w:r>
        <w:rPr>
          <w:rFonts w:hint="eastAsia" w:ascii="宋体" w:hAnsi="宋体" w:eastAsia="宋体" w:cs="宋体"/>
          <w:color w:val="auto"/>
          <w:sz w:val="24"/>
          <w:szCs w:val="24"/>
          <w:highlight w:val="none"/>
        </w:rPr>
        <w:t xml:space="preserve">17.1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应根据</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的要求制作、签署、盖章，内容应完整。</w:t>
      </w:r>
    </w:p>
    <w:p w14:paraId="45E7A671">
      <w:pPr>
        <w:numPr>
          <w:ilvl w:val="0"/>
          <w:numId w:val="4"/>
        </w:numPr>
        <w:spacing w:line="480" w:lineRule="exact"/>
        <w:ind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rPr>
        <w:t>投标文件的</w:t>
      </w:r>
      <w:r>
        <w:rPr>
          <w:rFonts w:hint="eastAsia" w:ascii="宋体" w:hAnsi="宋体" w:eastAsia="宋体" w:cs="宋体"/>
          <w:b/>
          <w:bCs/>
          <w:color w:val="auto"/>
          <w:sz w:val="24"/>
          <w:szCs w:val="24"/>
          <w:highlight w:val="none"/>
          <w:lang w:val="en-US" w:eastAsia="zh-CN"/>
        </w:rPr>
        <w:t>加密</w:t>
      </w:r>
      <w:bookmarkEnd w:id="100"/>
      <w:bookmarkEnd w:id="101"/>
      <w:bookmarkEnd w:id="102"/>
      <w:bookmarkEnd w:id="103"/>
      <w:bookmarkEnd w:id="104"/>
      <w:r>
        <w:rPr>
          <w:rFonts w:hint="eastAsia" w:ascii="宋体" w:hAnsi="宋体" w:eastAsia="宋体" w:cs="宋体"/>
          <w:b/>
          <w:bCs/>
          <w:color w:val="auto"/>
          <w:sz w:val="24"/>
          <w:szCs w:val="24"/>
          <w:highlight w:val="none"/>
          <w:lang w:val="en-US" w:eastAsia="zh-CN"/>
        </w:rPr>
        <w:t>和上传</w:t>
      </w:r>
    </w:p>
    <w:p w14:paraId="048E3A5C">
      <w:pPr>
        <w:numPr>
          <w:ilvl w:val="0"/>
          <w:numId w:val="0"/>
        </w:numPr>
        <w:spacing w:line="480" w:lineRule="exact"/>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kern w:val="0"/>
          <w:sz w:val="24"/>
          <w:szCs w:val="24"/>
          <w:highlight w:val="none"/>
          <w:lang w:eastAsia="zh-CN"/>
        </w:rPr>
        <w:t>18.1</w:t>
      </w:r>
      <w:r>
        <w:rPr>
          <w:rFonts w:hint="eastAsia" w:ascii="宋体" w:hAnsi="宋体" w:eastAsia="宋体" w:cs="宋体"/>
          <w:color w:val="auto"/>
          <w:kern w:val="0"/>
          <w:sz w:val="24"/>
          <w:szCs w:val="24"/>
          <w:highlight w:val="none"/>
        </w:rPr>
        <w:t>本项目实行全流程</w:t>
      </w:r>
      <w:r>
        <w:rPr>
          <w:rFonts w:hint="eastAsia" w:ascii="宋体" w:hAnsi="宋体" w:eastAsia="宋体" w:cs="宋体"/>
          <w:color w:val="auto"/>
          <w:sz w:val="24"/>
          <w:szCs w:val="24"/>
          <w:highlight w:val="none"/>
        </w:rPr>
        <w:t>电子交易方式</w:t>
      </w:r>
      <w:r>
        <w:rPr>
          <w:rFonts w:hint="eastAsia" w:ascii="宋体" w:hAnsi="宋体" w:eastAsia="宋体" w:cs="宋体"/>
          <w:color w:val="auto"/>
          <w:kern w:val="0"/>
          <w:sz w:val="24"/>
          <w:szCs w:val="24"/>
          <w:highlight w:val="none"/>
        </w:rPr>
        <w:t>，采用电子加密</w:t>
      </w:r>
      <w:r>
        <w:rPr>
          <w:rFonts w:hint="eastAsia" w:ascii="宋体" w:hAnsi="宋体" w:eastAsia="宋体" w:cs="宋体"/>
          <w:color w:val="auto"/>
          <w:kern w:val="0"/>
          <w:sz w:val="24"/>
          <w:szCs w:val="24"/>
          <w:highlight w:val="none"/>
          <w:lang w:eastAsia="zh-CN"/>
        </w:rPr>
        <w:t>投标文件</w:t>
      </w:r>
      <w:r>
        <w:rPr>
          <w:rFonts w:hint="eastAsia" w:ascii="宋体" w:hAnsi="宋体" w:eastAsia="宋体" w:cs="宋体"/>
          <w:color w:val="auto"/>
          <w:kern w:val="0"/>
          <w:sz w:val="24"/>
          <w:szCs w:val="24"/>
          <w:highlight w:val="none"/>
        </w:rPr>
        <w:t>上传方式；</w:t>
      </w:r>
    </w:p>
    <w:p w14:paraId="7BED291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应当在投标截止时间前，将“电子招投标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客户端”生成的“电子加密投标文件”上传电子交易平台。</w:t>
      </w:r>
    </w:p>
    <w:p w14:paraId="04777DFF">
      <w:pPr>
        <w:pStyle w:val="5"/>
        <w:spacing w:line="480" w:lineRule="exact"/>
        <w:ind w:firstLine="480"/>
        <w:rPr>
          <w:rFonts w:hint="eastAsia" w:ascii="宋体" w:hAnsi="宋体" w:eastAsia="宋体" w:cs="宋体"/>
          <w:b/>
          <w:bCs/>
          <w:color w:val="auto"/>
          <w:sz w:val="24"/>
          <w:szCs w:val="24"/>
          <w:highlight w:val="none"/>
        </w:rPr>
      </w:pPr>
      <w:bookmarkStart w:id="105" w:name="_Toc183582228"/>
      <w:bookmarkStart w:id="106" w:name="_Toc183682365"/>
      <w:bookmarkStart w:id="107" w:name="_Toc217446055"/>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．投标文件的修改和撤</w:t>
      </w:r>
      <w:bookmarkEnd w:id="105"/>
      <w:bookmarkEnd w:id="106"/>
      <w:r>
        <w:rPr>
          <w:rFonts w:hint="eastAsia" w:ascii="宋体" w:hAnsi="宋体" w:eastAsia="宋体" w:cs="宋体"/>
          <w:b/>
          <w:bCs/>
          <w:color w:val="auto"/>
          <w:sz w:val="24"/>
          <w:szCs w:val="24"/>
          <w:highlight w:val="none"/>
        </w:rPr>
        <w:t>回</w:t>
      </w:r>
      <w:bookmarkEnd w:id="107"/>
    </w:p>
    <w:p w14:paraId="0CE56182">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上传截止时间前，可以对所上传的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进行补充、修改或撤回。</w:t>
      </w:r>
    </w:p>
    <w:p w14:paraId="7BACC061">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上传截止时间之后，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不得对其上传的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做任何修改、补充或撤回。</w:t>
      </w:r>
    </w:p>
    <w:p w14:paraId="1E050E96">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19.3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中-如果出现计算上或累加上的算术错误，可按以下原则进行修改：</w:t>
      </w:r>
    </w:p>
    <w:p w14:paraId="301047EB">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eastAsia="zh-CN"/>
        </w:rPr>
        <w:t>投标函</w:t>
      </w:r>
      <w:r>
        <w:rPr>
          <w:rFonts w:hint="eastAsia" w:ascii="宋体" w:hAnsi="宋体" w:eastAsia="宋体" w:cs="宋体"/>
          <w:color w:val="auto"/>
          <w:sz w:val="24"/>
          <w:szCs w:val="24"/>
          <w:highlight w:val="none"/>
        </w:rPr>
        <w:t>内容与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报价明细表不一致的，以</w:t>
      </w:r>
      <w:r>
        <w:rPr>
          <w:rFonts w:hint="eastAsia" w:ascii="宋体" w:hAnsi="宋体" w:eastAsia="宋体" w:cs="宋体"/>
          <w:color w:val="auto"/>
          <w:sz w:val="24"/>
          <w:szCs w:val="24"/>
          <w:highlight w:val="none"/>
          <w:lang w:eastAsia="zh-CN"/>
        </w:rPr>
        <w:t>投标函</w:t>
      </w:r>
      <w:r>
        <w:rPr>
          <w:rFonts w:hint="eastAsia" w:ascii="宋体" w:hAnsi="宋体" w:eastAsia="宋体" w:cs="宋体"/>
          <w:color w:val="auto"/>
          <w:sz w:val="24"/>
          <w:szCs w:val="24"/>
          <w:highlight w:val="none"/>
        </w:rPr>
        <w:t>为准;</w:t>
      </w:r>
    </w:p>
    <w:p w14:paraId="63E4F3EC">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（2）用小写金额和大写金额不一致，应以大写金额为准；</w:t>
      </w:r>
    </w:p>
    <w:p w14:paraId="3B596E13">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（3）总价金额与按单价汇总金额不一致的，以单价金额计算结果为准；</w:t>
      </w:r>
    </w:p>
    <w:p w14:paraId="2F42FA8B">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（4）单价金额小数点或者百分比有明显错位的，以</w:t>
      </w:r>
      <w:r>
        <w:rPr>
          <w:rFonts w:hint="eastAsia" w:ascii="宋体" w:hAnsi="宋体" w:eastAsia="宋体" w:cs="宋体"/>
          <w:color w:val="auto"/>
          <w:sz w:val="24"/>
          <w:szCs w:val="24"/>
          <w:highlight w:val="none"/>
          <w:lang w:eastAsia="zh-CN"/>
        </w:rPr>
        <w:t>投标函</w:t>
      </w:r>
      <w:r>
        <w:rPr>
          <w:rFonts w:hint="eastAsia" w:ascii="宋体" w:hAnsi="宋体" w:eastAsia="宋体" w:cs="宋体"/>
          <w:color w:val="auto"/>
          <w:sz w:val="24"/>
          <w:szCs w:val="24"/>
          <w:highlight w:val="none"/>
        </w:rPr>
        <w:t>的总价为准，并修改单价。</w:t>
      </w:r>
    </w:p>
    <w:p w14:paraId="667DE6D9">
      <w:pPr>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报价经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确认后产生约束力，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不确认的，其</w:t>
      </w:r>
      <w:r>
        <w:rPr>
          <w:rFonts w:hint="eastAsia" w:ascii="宋体" w:hAnsi="宋体" w:eastAsia="宋体" w:cs="宋体"/>
          <w:b/>
          <w:bCs/>
          <w:color w:val="auto"/>
          <w:sz w:val="24"/>
          <w:szCs w:val="24"/>
          <w:highlight w:val="none"/>
        </w:rPr>
        <w:t>响应无效</w:t>
      </w:r>
      <w:r>
        <w:rPr>
          <w:rFonts w:hint="eastAsia" w:ascii="宋体" w:hAnsi="宋体" w:eastAsia="宋体" w:cs="宋体"/>
          <w:color w:val="auto"/>
          <w:sz w:val="24"/>
          <w:szCs w:val="24"/>
          <w:highlight w:val="none"/>
        </w:rPr>
        <w:t>。</w:t>
      </w:r>
    </w:p>
    <w:p w14:paraId="14D17FC4">
      <w:pPr>
        <w:pStyle w:val="3"/>
        <w:spacing w:before="156" w:after="156" w:line="480" w:lineRule="exact"/>
        <w:ind w:firstLine="480" w:firstLineChars="200"/>
        <w:rPr>
          <w:rFonts w:hint="eastAsia" w:ascii="宋体" w:hAnsi="宋体" w:eastAsia="宋体" w:cs="宋体"/>
          <w:color w:val="auto"/>
          <w:sz w:val="24"/>
          <w:szCs w:val="24"/>
          <w:highlight w:val="none"/>
        </w:rPr>
      </w:pPr>
      <w:bookmarkStart w:id="108" w:name="_Toc77400782"/>
      <w:bookmarkStart w:id="109" w:name="_Toc183682368"/>
      <w:bookmarkStart w:id="110" w:name="_Toc217446056"/>
      <w:bookmarkStart w:id="111" w:name="_Toc89075878"/>
      <w:bookmarkStart w:id="112" w:name="_Toc183582231"/>
      <w:r>
        <w:rPr>
          <w:rFonts w:hint="eastAsia" w:ascii="宋体" w:hAnsi="宋体" w:eastAsia="宋体" w:cs="宋体"/>
          <w:color w:val="auto"/>
          <w:sz w:val="24"/>
          <w:szCs w:val="24"/>
          <w:highlight w:val="none"/>
        </w:rPr>
        <w:t>五、开标和</w:t>
      </w:r>
      <w:bookmarkEnd w:id="108"/>
      <w:bookmarkEnd w:id="109"/>
      <w:bookmarkEnd w:id="110"/>
      <w:bookmarkEnd w:id="111"/>
      <w:bookmarkEnd w:id="112"/>
      <w:r>
        <w:rPr>
          <w:rFonts w:hint="eastAsia" w:ascii="宋体" w:hAnsi="宋体" w:eastAsia="宋体" w:cs="宋体"/>
          <w:color w:val="auto"/>
          <w:sz w:val="24"/>
          <w:szCs w:val="24"/>
          <w:highlight w:val="none"/>
        </w:rPr>
        <w:t>中标</w:t>
      </w:r>
    </w:p>
    <w:p w14:paraId="09786A3E">
      <w:pPr>
        <w:spacing w:line="480" w:lineRule="exact"/>
        <w:ind w:firstLine="482" w:firstLineChars="200"/>
        <w:rPr>
          <w:rFonts w:hint="eastAsia" w:ascii="宋体" w:hAnsi="宋体" w:eastAsia="宋体" w:cs="宋体"/>
          <w:b/>
          <w:bCs/>
          <w:color w:val="auto"/>
          <w:sz w:val="24"/>
          <w:szCs w:val="24"/>
          <w:highlight w:val="none"/>
        </w:rPr>
      </w:pPr>
      <w:bookmarkStart w:id="113" w:name="_Toc183682369"/>
      <w:bookmarkStart w:id="114" w:name="_Toc217446057"/>
      <w:bookmarkStart w:id="115" w:name="_Toc183582232"/>
      <w:r>
        <w:rPr>
          <w:rFonts w:hint="eastAsia" w:ascii="宋体" w:hAnsi="宋体" w:eastAsia="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．开标</w:t>
      </w:r>
      <w:bookmarkEnd w:id="113"/>
      <w:bookmarkEnd w:id="114"/>
      <w:bookmarkEnd w:id="115"/>
    </w:p>
    <w:p w14:paraId="19EC732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.1 采购代理机构在招标文件规定的时间和地点组织招标活动，邀请下载招标文件并参与竞争的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参加开标。</w:t>
      </w:r>
    </w:p>
    <w:p w14:paraId="1B61F92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不足3家的，不得开标。</w:t>
      </w:r>
    </w:p>
    <w:p w14:paraId="647C38C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.2 开标时，采购代理机构可以邀请有关监督管理部门对开标进行现场监督。</w:t>
      </w:r>
    </w:p>
    <w:p w14:paraId="5975EEAA">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文件上传截止时间到，</w:t>
      </w:r>
      <w:r>
        <w:rPr>
          <w:rFonts w:hint="eastAsia" w:ascii="宋体" w:hAnsi="宋体" w:eastAsia="宋体" w:cs="宋体"/>
          <w:color w:val="auto"/>
          <w:sz w:val="24"/>
          <w:szCs w:val="24"/>
          <w:highlight w:val="none"/>
          <w:lang w:val="en-US" w:eastAsia="zh-CN"/>
        </w:rPr>
        <w:t>开标</w:t>
      </w:r>
      <w:r>
        <w:rPr>
          <w:rFonts w:hint="eastAsia" w:ascii="宋体" w:hAnsi="宋体" w:eastAsia="宋体" w:cs="宋体"/>
          <w:color w:val="auto"/>
          <w:sz w:val="24"/>
          <w:szCs w:val="24"/>
          <w:highlight w:val="none"/>
        </w:rPr>
        <w:t>会议开始，公布</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名单。</w:t>
      </w:r>
    </w:p>
    <w:p w14:paraId="3B1620A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.4开启“</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文件解密”环节，</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在规定时间内进行解密。</w:t>
      </w:r>
    </w:p>
    <w:p w14:paraId="55D92A36">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投标文件解密完毕，公布投标报价，开启报价签字确认。</w:t>
      </w:r>
    </w:p>
    <w:p w14:paraId="2BC7A89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6开标会议结束</w:t>
      </w:r>
      <w:r>
        <w:rPr>
          <w:rFonts w:hint="eastAsia" w:ascii="宋体" w:hAnsi="宋体" w:eastAsia="宋体" w:cs="宋体"/>
          <w:color w:val="auto"/>
          <w:sz w:val="24"/>
          <w:szCs w:val="24"/>
          <w:highlight w:val="none"/>
        </w:rPr>
        <w:t>。</w:t>
      </w:r>
    </w:p>
    <w:p w14:paraId="63A0331C">
      <w:pPr>
        <w:spacing w:line="4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.组建评标委员会</w:t>
      </w:r>
    </w:p>
    <w:p w14:paraId="50A87CED">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.1公开招标采购项目开标结束后，</w:t>
      </w:r>
      <w:r>
        <w:rPr>
          <w:rFonts w:hint="eastAsia" w:ascii="宋体" w:hAnsi="宋体" w:eastAsia="宋体" w:cs="宋体"/>
          <w:color w:val="auto"/>
          <w:sz w:val="24"/>
          <w:szCs w:val="24"/>
          <w:highlight w:val="none"/>
          <w:lang w:val="en-US" w:eastAsia="zh-CN"/>
        </w:rPr>
        <w:t>采购人或采购人授权委托评标委员会对各供应商</w:t>
      </w:r>
      <w:r>
        <w:rPr>
          <w:rFonts w:hint="eastAsia" w:ascii="宋体" w:hAnsi="宋体" w:eastAsia="宋体" w:cs="宋体"/>
          <w:color w:val="auto"/>
          <w:sz w:val="24"/>
          <w:szCs w:val="24"/>
          <w:highlight w:val="none"/>
        </w:rPr>
        <w:t>依法对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的资格进行审查。合格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不足3家的，不得评标。</w:t>
      </w:r>
    </w:p>
    <w:p w14:paraId="5ADE100D">
      <w:pPr>
        <w:pStyle w:val="81"/>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.2符合性审查。符合性审查是指依据招标文件的规定，从商务和技术角度对投标文件的有效性和完整性进行审查，以确定是否对招标文件的实质性要求做出响应。</w:t>
      </w:r>
    </w:p>
    <w:p w14:paraId="1CB9D503">
      <w:pPr>
        <w:pStyle w:val="81"/>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.3评标委员会采用综合评分法对满足招标文件全部实质性要求的投标文件和投标报价进行综合评分。</w:t>
      </w:r>
    </w:p>
    <w:p w14:paraId="29C99ED9">
      <w:pPr>
        <w:pStyle w:val="81"/>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.4评标委员会根据综合评分情况，按照评标得分由高到低顺序推荐3名中标候选人，并编写评标报告。得分相同的，按投标报价由低到高顺序排列。得分且投标报价相同的，按照技术指标优劣顺序推荐。</w:t>
      </w:r>
    </w:p>
    <w:p w14:paraId="1713F0BE">
      <w:pPr>
        <w:pStyle w:val="81"/>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.5采购代理机构在评标结果后2个工作日内将评标报告送采购人确认。</w:t>
      </w:r>
    </w:p>
    <w:p w14:paraId="710413DD">
      <w:pPr>
        <w:spacing w:line="480" w:lineRule="exact"/>
        <w:ind w:firstLine="482" w:firstLineChars="200"/>
        <w:rPr>
          <w:rFonts w:hint="eastAsia" w:ascii="宋体" w:hAnsi="宋体" w:eastAsia="宋体" w:cs="宋体"/>
          <w:b/>
          <w:bCs/>
          <w:color w:val="auto"/>
          <w:sz w:val="24"/>
          <w:szCs w:val="24"/>
          <w:highlight w:val="none"/>
        </w:rPr>
      </w:pPr>
      <w:bookmarkStart w:id="116" w:name="_Toc183682375"/>
      <w:bookmarkStart w:id="117" w:name="_Toc183582238"/>
      <w:bookmarkStart w:id="118" w:name="_Toc217446063"/>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．中标通知</w:t>
      </w:r>
      <w:bookmarkEnd w:id="116"/>
      <w:bookmarkEnd w:id="117"/>
      <w:r>
        <w:rPr>
          <w:rFonts w:hint="eastAsia" w:ascii="宋体" w:hAnsi="宋体" w:eastAsia="宋体" w:cs="宋体"/>
          <w:b/>
          <w:bCs/>
          <w:color w:val="auto"/>
          <w:sz w:val="24"/>
          <w:szCs w:val="24"/>
          <w:highlight w:val="none"/>
        </w:rPr>
        <w:t>书</w:t>
      </w:r>
      <w:bookmarkEnd w:id="118"/>
    </w:p>
    <w:p w14:paraId="1AA764F6">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中标通知书为签订中标合同的依据，是合同的有效组成部分。</w:t>
      </w:r>
    </w:p>
    <w:p w14:paraId="62188DD5">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中标通知书对采购人和</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均具有法律效力。中标通知书发出后，采购人改变中标结果，或者</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无正当理由放弃中标的，应当承担相应的法律责任。</w:t>
      </w:r>
    </w:p>
    <w:p w14:paraId="3A0DB80E">
      <w:pPr>
        <w:tabs>
          <w:tab w:val="left" w:pos="7665"/>
        </w:tabs>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的投标文件本应作为无效投标处理或者有招投标法律法规规章制度规定的中标无效情形的，采购代理机构在取得有权主体的认定以后，应当宣布发出的中标通知书无效，并收回发出的中标通知书（</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也应当缴回），依法重新确定</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或者重新开展招标活动。</w:t>
      </w:r>
    </w:p>
    <w:p w14:paraId="4C09588E">
      <w:pPr>
        <w:pStyle w:val="3"/>
        <w:spacing w:before="156" w:after="156" w:line="480" w:lineRule="exact"/>
        <w:ind w:firstLine="480" w:firstLineChars="200"/>
        <w:rPr>
          <w:rFonts w:hint="eastAsia" w:ascii="宋体" w:hAnsi="宋体" w:eastAsia="宋体" w:cs="宋体"/>
          <w:color w:val="auto"/>
          <w:sz w:val="24"/>
          <w:szCs w:val="24"/>
          <w:highlight w:val="none"/>
        </w:rPr>
      </w:pPr>
      <w:bookmarkStart w:id="119" w:name="_Toc217446064"/>
      <w:bookmarkStart w:id="120" w:name="_Toc183682377"/>
      <w:bookmarkStart w:id="121" w:name="_Toc183582240"/>
      <w:r>
        <w:rPr>
          <w:rFonts w:hint="eastAsia" w:ascii="宋体" w:hAnsi="宋体" w:eastAsia="宋体" w:cs="宋体"/>
          <w:color w:val="auto"/>
          <w:sz w:val="24"/>
          <w:szCs w:val="24"/>
          <w:highlight w:val="none"/>
        </w:rPr>
        <w:t>六、签订及履行合同和验收</w:t>
      </w:r>
      <w:bookmarkEnd w:id="119"/>
    </w:p>
    <w:p w14:paraId="12EF54D3">
      <w:pPr>
        <w:spacing w:line="480" w:lineRule="exact"/>
        <w:ind w:firstLine="482" w:firstLineChars="200"/>
        <w:rPr>
          <w:rFonts w:hint="eastAsia" w:ascii="宋体" w:hAnsi="宋体" w:eastAsia="宋体" w:cs="宋体"/>
          <w:b/>
          <w:bCs/>
          <w:color w:val="auto"/>
          <w:sz w:val="24"/>
          <w:szCs w:val="24"/>
          <w:highlight w:val="none"/>
        </w:rPr>
      </w:pPr>
      <w:bookmarkStart w:id="122" w:name="_Toc217446065"/>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签订合同</w:t>
      </w:r>
      <w:bookmarkEnd w:id="122"/>
    </w:p>
    <w:p w14:paraId="06F966E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在收到采购人发出的《中标通知书》后，应在法律法规规定的时间内与采购人签订采购合同。由于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的原因逾期未与采购人签订采购合同的，将视为放弃中标，取消其中标资格并将按相关规定进行处理。</w:t>
      </w:r>
    </w:p>
    <w:p w14:paraId="3F30212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采购人不得向</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提出任何不合理的要求，作为签订合同的条件，不得与</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私下订立背离合同实质性内容的任何协议，所签订的合同不得对招标文件和</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投标文件作实质性修改。</w:t>
      </w:r>
    </w:p>
    <w:p w14:paraId="61C3933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因不可抗力原因不能履行招标合同或放弃中标的，采购人可以与排在</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之后第一位的中标候选人签订采购合同，以此类推。</w:t>
      </w:r>
    </w:p>
    <w:p w14:paraId="149B62D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在合同签订之后三个工作日内，将签订的合同（彩色扫描件）交至采购代理机构。</w:t>
      </w:r>
    </w:p>
    <w:p w14:paraId="0BAF7899">
      <w:pPr>
        <w:spacing w:line="480" w:lineRule="exact"/>
        <w:ind w:firstLine="482" w:firstLineChars="200"/>
        <w:rPr>
          <w:rFonts w:hint="eastAsia" w:ascii="宋体" w:hAnsi="宋体" w:eastAsia="宋体" w:cs="宋体"/>
          <w:b/>
          <w:bCs/>
          <w:color w:val="auto"/>
          <w:sz w:val="24"/>
          <w:szCs w:val="24"/>
          <w:highlight w:val="none"/>
        </w:rPr>
      </w:pPr>
      <w:bookmarkStart w:id="123" w:name="_Toc217446066"/>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合同分包</w:t>
      </w:r>
      <w:bookmarkEnd w:id="123"/>
      <w:r>
        <w:rPr>
          <w:rFonts w:hint="eastAsia" w:ascii="宋体" w:hAnsi="宋体" w:eastAsia="宋体" w:cs="宋体"/>
          <w:b/>
          <w:bCs/>
          <w:color w:val="auto"/>
          <w:sz w:val="24"/>
          <w:szCs w:val="24"/>
          <w:highlight w:val="none"/>
        </w:rPr>
        <w:t>（如有）</w:t>
      </w:r>
    </w:p>
    <w:p w14:paraId="799515B0">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若本项目允许分包的，经采购人同意，</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可以依法采取分包方式履行合同。这种要求应当在合同签订之前征得采购人同意，并且分包人履行分包项目的服务及技术要求等，必须与中标的一致。</w:t>
      </w:r>
    </w:p>
    <w:p w14:paraId="65D3A1F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招标合同实行分包履行的，</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就招标项目和分包项目向采购人负责，分包人就分包项目承担责任。</w:t>
      </w:r>
    </w:p>
    <w:p w14:paraId="02D171D2">
      <w:pPr>
        <w:spacing w:line="480" w:lineRule="exact"/>
        <w:ind w:firstLine="482" w:firstLineChars="200"/>
        <w:rPr>
          <w:rFonts w:hint="eastAsia" w:ascii="宋体" w:hAnsi="宋体" w:eastAsia="宋体" w:cs="宋体"/>
          <w:b/>
          <w:bCs/>
          <w:color w:val="auto"/>
          <w:sz w:val="24"/>
          <w:szCs w:val="24"/>
          <w:highlight w:val="none"/>
        </w:rPr>
      </w:pPr>
      <w:bookmarkStart w:id="124" w:name="_Toc217446067"/>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采购人增加合同标的权</w:t>
      </w:r>
      <w:bookmarkEnd w:id="124"/>
      <w:r>
        <w:rPr>
          <w:rFonts w:hint="eastAsia" w:ascii="宋体" w:hAnsi="宋体" w:eastAsia="宋体" w:cs="宋体"/>
          <w:b/>
          <w:bCs/>
          <w:color w:val="auto"/>
          <w:sz w:val="24"/>
          <w:szCs w:val="24"/>
          <w:highlight w:val="none"/>
        </w:rPr>
        <w:t>利</w:t>
      </w:r>
    </w:p>
    <w:p w14:paraId="19D9928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招标合同履行过程中，采购人需要追加与合同标的相同的货物或者服务的，在不改变合同其他条款的前提下，可以与中标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协商签订补充合同，但所有补充合同的招标金额不得超过原合同招标金额的百分之十。</w:t>
      </w:r>
    </w:p>
    <w:p w14:paraId="78983E46">
      <w:pPr>
        <w:spacing w:line="480" w:lineRule="exact"/>
        <w:ind w:firstLine="482" w:firstLineChars="200"/>
        <w:rPr>
          <w:rFonts w:hint="eastAsia" w:ascii="宋体" w:hAnsi="宋体" w:eastAsia="宋体" w:cs="宋体"/>
          <w:b/>
          <w:bCs/>
          <w:color w:val="auto"/>
          <w:sz w:val="24"/>
          <w:szCs w:val="24"/>
          <w:highlight w:val="none"/>
        </w:rPr>
      </w:pPr>
      <w:bookmarkStart w:id="125" w:name="_Toc217446068"/>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履约保证金</w:t>
      </w:r>
      <w:bookmarkEnd w:id="125"/>
    </w:p>
    <w:p w14:paraId="16C9C73B">
      <w:pPr>
        <w:spacing w:line="48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.1 本项目要求缴纳履约保证金。 </w:t>
      </w:r>
    </w:p>
    <w:p w14:paraId="019887B0">
      <w:pPr>
        <w:spacing w:line="480" w:lineRule="exact"/>
        <w:ind w:firstLine="482" w:firstLineChars="200"/>
        <w:rPr>
          <w:rFonts w:hint="eastAsia" w:ascii="宋体" w:hAnsi="宋体" w:eastAsia="宋体" w:cs="宋体"/>
          <w:b/>
          <w:bCs/>
          <w:color w:val="auto"/>
          <w:sz w:val="24"/>
          <w:szCs w:val="24"/>
          <w:highlight w:val="none"/>
        </w:rPr>
      </w:pPr>
      <w:bookmarkStart w:id="126" w:name="_Toc217446069"/>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履行合同</w:t>
      </w:r>
      <w:bookmarkEnd w:id="126"/>
    </w:p>
    <w:p w14:paraId="6A8EC55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与采购人签订合同后，合同双方应严格执行合同条款，履行合同规定的义务，保证合同的顺利完成。</w:t>
      </w:r>
    </w:p>
    <w:p w14:paraId="53FB54F6">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在合同履行过程中，如发生合同纠纷，合同双方应按照《中华人民共和国民法典》的有关规定进行处理。</w:t>
      </w:r>
    </w:p>
    <w:p w14:paraId="1368BCCB">
      <w:pPr>
        <w:spacing w:line="480" w:lineRule="exact"/>
        <w:ind w:firstLine="482" w:firstLineChars="200"/>
        <w:rPr>
          <w:rFonts w:hint="eastAsia" w:ascii="宋体" w:hAnsi="宋体" w:eastAsia="宋体" w:cs="宋体"/>
          <w:b/>
          <w:bCs/>
          <w:color w:val="auto"/>
          <w:sz w:val="24"/>
          <w:szCs w:val="24"/>
          <w:highlight w:val="none"/>
        </w:rPr>
      </w:pPr>
      <w:bookmarkStart w:id="127" w:name="_Toc217446070"/>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验收</w:t>
      </w:r>
      <w:bookmarkEnd w:id="127"/>
    </w:p>
    <w:p w14:paraId="18A90829">
      <w:pPr>
        <w:pStyle w:val="5"/>
        <w:spacing w:line="480" w:lineRule="exact"/>
        <w:ind w:firstLine="480"/>
        <w:rPr>
          <w:rFonts w:hint="eastAsia" w:ascii="宋体" w:hAnsi="宋体" w:eastAsia="宋体" w:cs="宋体"/>
          <w:color w:val="auto"/>
          <w:sz w:val="24"/>
          <w:szCs w:val="24"/>
          <w:highlight w:val="none"/>
        </w:rPr>
      </w:pPr>
      <w:bookmarkStart w:id="128" w:name="_Toc217446071"/>
      <w:r>
        <w:rPr>
          <w:rFonts w:hint="eastAsia" w:ascii="宋体" w:hAnsi="宋体" w:eastAsia="宋体" w:cs="宋体"/>
          <w:color w:val="auto"/>
          <w:sz w:val="24"/>
          <w:szCs w:val="24"/>
          <w:highlight w:val="none"/>
        </w:rPr>
        <w:t>采购人应严格按照国家财政部《关于进一步加强政府采购需求和履约验收管理的指导意见》（</w:t>
      </w:r>
      <w:r>
        <w:rPr>
          <w:rFonts w:hint="eastAsia" w:ascii="宋体" w:hAnsi="宋体" w:eastAsia="宋体" w:cs="宋体"/>
          <w:color w:val="auto"/>
          <w:sz w:val="24"/>
          <w:szCs w:val="24"/>
          <w:highlight w:val="none"/>
          <w:shd w:val="clear" w:color="auto" w:fill="FFFFFF"/>
        </w:rPr>
        <w:t>财库〔2016〕205号</w:t>
      </w:r>
      <w:r>
        <w:rPr>
          <w:rFonts w:hint="eastAsia" w:ascii="宋体" w:hAnsi="宋体" w:eastAsia="宋体" w:cs="宋体"/>
          <w:color w:val="auto"/>
          <w:sz w:val="24"/>
          <w:szCs w:val="24"/>
          <w:highlight w:val="none"/>
        </w:rPr>
        <w:t>）的要求</w:t>
      </w:r>
      <w:r>
        <w:rPr>
          <w:rFonts w:hint="eastAsia" w:ascii="宋体" w:hAnsi="宋体" w:eastAsia="宋体" w:cs="宋体"/>
          <w:color w:val="auto"/>
          <w:sz w:val="24"/>
          <w:szCs w:val="24"/>
          <w:highlight w:val="none"/>
          <w:lang w:eastAsia="zh-CN"/>
        </w:rPr>
        <w:t>，</w:t>
      </w:r>
      <w:r>
        <w:rPr>
          <w:rFonts w:hint="eastAsia" w:ascii="宋体" w:hAnsi="宋体" w:eastAsia="宋体" w:cs="宋体"/>
          <w:i w:val="0"/>
          <w:iCs w:val="0"/>
          <w:caps w:val="0"/>
          <w:color w:val="auto"/>
          <w:spacing w:val="0"/>
          <w:sz w:val="24"/>
          <w:szCs w:val="24"/>
          <w:highlight w:val="none"/>
          <w:shd w:val="clear" w:color="auto" w:fill="FFFFFF"/>
        </w:rPr>
        <w:t>根据采购项目的具体情况，自行组织项目验收或者委托采购代理机构邀请实际使用人</w:t>
      </w:r>
      <w:r>
        <w:rPr>
          <w:rFonts w:hint="eastAsia" w:ascii="宋体" w:hAnsi="宋体" w:eastAsia="宋体" w:cs="宋体"/>
          <w:i w:val="0"/>
          <w:iCs w:val="0"/>
          <w:caps w:val="0"/>
          <w:color w:val="auto"/>
          <w:spacing w:val="0"/>
          <w:sz w:val="24"/>
          <w:szCs w:val="24"/>
          <w:highlight w:val="none"/>
          <w:shd w:val="clear" w:color="auto" w:fill="FFFFFF"/>
          <w:lang w:eastAsia="zh-CN"/>
        </w:rPr>
        <w:t>、</w:t>
      </w:r>
      <w:r>
        <w:rPr>
          <w:rFonts w:hint="eastAsia" w:ascii="宋体" w:hAnsi="宋体" w:eastAsia="宋体" w:cs="宋体"/>
          <w:i w:val="0"/>
          <w:iCs w:val="0"/>
          <w:caps w:val="0"/>
          <w:color w:val="auto"/>
          <w:spacing w:val="0"/>
          <w:sz w:val="24"/>
          <w:szCs w:val="24"/>
          <w:highlight w:val="none"/>
          <w:shd w:val="clear" w:color="auto" w:fill="FFFFFF"/>
        </w:rPr>
        <w:t>参加本项目的其他</w:t>
      </w:r>
      <w:r>
        <w:rPr>
          <w:rFonts w:hint="eastAsia" w:ascii="宋体" w:hAnsi="宋体" w:eastAsia="宋体" w:cs="宋体"/>
          <w:i w:val="0"/>
          <w:iCs w:val="0"/>
          <w:caps w:val="0"/>
          <w:color w:val="auto"/>
          <w:spacing w:val="0"/>
          <w:sz w:val="24"/>
          <w:szCs w:val="24"/>
          <w:highlight w:val="none"/>
          <w:shd w:val="clear" w:color="auto" w:fill="FFFFFF"/>
          <w:lang w:eastAsia="zh-CN"/>
        </w:rPr>
        <w:t>供应商</w:t>
      </w:r>
      <w:r>
        <w:rPr>
          <w:rFonts w:hint="eastAsia" w:ascii="宋体" w:hAnsi="宋体" w:eastAsia="宋体" w:cs="宋体"/>
          <w:i w:val="0"/>
          <w:iCs w:val="0"/>
          <w:caps w:val="0"/>
          <w:color w:val="auto"/>
          <w:spacing w:val="0"/>
          <w:sz w:val="24"/>
          <w:szCs w:val="24"/>
          <w:highlight w:val="none"/>
          <w:shd w:val="clear" w:color="auto" w:fill="FFFFFF"/>
        </w:rPr>
        <w:t>或第三方专业机构及专家</w:t>
      </w:r>
      <w:r>
        <w:rPr>
          <w:rFonts w:hint="eastAsia" w:ascii="宋体" w:hAnsi="宋体" w:eastAsia="宋体" w:cs="宋体"/>
          <w:color w:val="auto"/>
          <w:sz w:val="24"/>
          <w:szCs w:val="24"/>
          <w:highlight w:val="none"/>
        </w:rPr>
        <w:t>进行验收。</w:t>
      </w:r>
    </w:p>
    <w:bookmarkEnd w:id="120"/>
    <w:bookmarkEnd w:id="121"/>
    <w:bookmarkEnd w:id="128"/>
    <w:p w14:paraId="52381B64">
      <w:pPr>
        <w:pStyle w:val="3"/>
        <w:spacing w:before="156" w:after="156" w:line="480" w:lineRule="exact"/>
        <w:ind w:firstLine="480" w:firstLineChars="200"/>
        <w:rPr>
          <w:rFonts w:hint="eastAsia" w:ascii="宋体" w:hAnsi="宋体" w:eastAsia="宋体" w:cs="宋体"/>
          <w:color w:val="auto"/>
          <w:sz w:val="24"/>
          <w:szCs w:val="24"/>
          <w:highlight w:val="none"/>
        </w:rPr>
      </w:pPr>
      <w:bookmarkStart w:id="129" w:name="_Toc217446074"/>
      <w:bookmarkStart w:id="130" w:name="_Toc183682380"/>
      <w:bookmarkStart w:id="131" w:name="_Toc183582243"/>
      <w:r>
        <w:rPr>
          <w:rFonts w:hint="eastAsia" w:ascii="宋体" w:hAnsi="宋体" w:eastAsia="宋体" w:cs="宋体"/>
          <w:color w:val="auto"/>
          <w:sz w:val="24"/>
          <w:szCs w:val="24"/>
          <w:highlight w:val="none"/>
        </w:rPr>
        <w:t>七、投标纪律要求</w:t>
      </w:r>
      <w:bookmarkEnd w:id="129"/>
    </w:p>
    <w:p w14:paraId="1F714F46">
      <w:pPr>
        <w:spacing w:line="480" w:lineRule="exact"/>
        <w:ind w:firstLine="480" w:firstLineChars="200"/>
        <w:rPr>
          <w:rFonts w:hint="eastAsia" w:ascii="宋体" w:hAnsi="宋体" w:eastAsia="宋体" w:cs="宋体"/>
          <w:color w:val="auto"/>
          <w:sz w:val="24"/>
          <w:szCs w:val="24"/>
          <w:highlight w:val="none"/>
        </w:rPr>
      </w:pPr>
      <w:bookmarkStart w:id="132" w:name="_Toc217446075"/>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不得具有的情形</w:t>
      </w:r>
      <w:bookmarkEnd w:id="132"/>
    </w:p>
    <w:p w14:paraId="18CF08E3">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参加投标不得有下列情形：</w:t>
      </w:r>
    </w:p>
    <w:p w14:paraId="4E793E4C">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（1）提供虚假材料谋取中标；</w:t>
      </w:r>
    </w:p>
    <w:p w14:paraId="5BE5758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042C4FE4">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（3）与采购人、其他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恶意串通；</w:t>
      </w:r>
    </w:p>
    <w:p w14:paraId="3D9AB8BE">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（4）向采购人、评标委员会成员行贿或者提供其他不正当利益；</w:t>
      </w:r>
    </w:p>
    <w:p w14:paraId="6D515E12">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（5）在招标过程中与采购人进行协商谈判；</w:t>
      </w:r>
    </w:p>
    <w:p w14:paraId="6FFC61A3">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（6）拒绝有关部门的监督检查或者向监督检查部门提供虚假情况。</w:t>
      </w:r>
    </w:p>
    <w:p w14:paraId="7E492431">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有上述情形之一的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，属于不合格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，其投标或中标资格将被取消。</w:t>
      </w:r>
    </w:p>
    <w:p w14:paraId="2509BAE6">
      <w:pPr>
        <w:pStyle w:val="3"/>
        <w:spacing w:before="156" w:after="156" w:line="480" w:lineRule="exact"/>
        <w:ind w:firstLine="480" w:firstLineChars="200"/>
        <w:rPr>
          <w:rFonts w:hint="eastAsia" w:ascii="宋体" w:hAnsi="宋体" w:eastAsia="宋体" w:cs="宋体"/>
          <w:b w:val="0"/>
          <w:bCs w:val="0"/>
          <w:color w:val="auto"/>
          <w:sz w:val="24"/>
          <w:szCs w:val="24"/>
          <w:highlight w:val="none"/>
        </w:rPr>
      </w:pPr>
      <w:bookmarkStart w:id="133" w:name="_Toc217446076"/>
      <w:r>
        <w:rPr>
          <w:rFonts w:hint="eastAsia" w:ascii="宋体" w:hAnsi="宋体" w:eastAsia="宋体" w:cs="宋体"/>
          <w:color w:val="auto"/>
          <w:sz w:val="24"/>
          <w:szCs w:val="24"/>
          <w:highlight w:val="none"/>
        </w:rPr>
        <w:t>八、</w:t>
      </w:r>
      <w:bookmarkEnd w:id="133"/>
      <w:r>
        <w:rPr>
          <w:rFonts w:hint="eastAsia" w:ascii="宋体" w:hAnsi="宋体" w:eastAsia="宋体" w:cs="宋体"/>
          <w:color w:val="auto"/>
          <w:sz w:val="24"/>
          <w:szCs w:val="24"/>
          <w:highlight w:val="none"/>
        </w:rPr>
        <w:t>合同价款支付</w:t>
      </w:r>
    </w:p>
    <w:p w14:paraId="48E0CCCC">
      <w:pPr>
        <w:spacing w:line="480" w:lineRule="exact"/>
        <w:ind w:firstLine="482" w:firstLineChars="200"/>
        <w:rPr>
          <w:rFonts w:hint="eastAsia" w:ascii="宋体" w:hAnsi="宋体" w:eastAsia="宋体" w:cs="宋体"/>
          <w:b/>
          <w:bCs/>
          <w:color w:val="auto"/>
          <w:sz w:val="24"/>
          <w:szCs w:val="24"/>
          <w:highlight w:val="none"/>
        </w:rPr>
      </w:pPr>
      <w:bookmarkStart w:id="134" w:name="_Toc217446077"/>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申请支付</w:t>
      </w:r>
      <w:bookmarkEnd w:id="134"/>
    </w:p>
    <w:p w14:paraId="26F7746E">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.1招标项目验收合格，采购人签署《验收结算书》后，向财政部门提出支付申请。采购人的自有资金，由采购人直接支付给</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或者按照有关合同规定执行。</w:t>
      </w:r>
    </w:p>
    <w:p w14:paraId="048216EE">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.2 财政部门根据采购人的支付申请，并对采购合同进行审核后，直接支付给</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w:t>
      </w:r>
      <w:bookmarkStart w:id="135" w:name="_Toc217446078"/>
    </w:p>
    <w:p w14:paraId="2A0B48A6">
      <w:pPr>
        <w:pStyle w:val="3"/>
        <w:spacing w:before="156" w:after="156"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九、质疑和投诉</w:t>
      </w:r>
      <w:bookmarkEnd w:id="135"/>
      <w:bookmarkStart w:id="136" w:name="_Toc217446079"/>
    </w:p>
    <w:p w14:paraId="5309C248">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bookmarkEnd w:id="136"/>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．质疑、投诉的接收和处理严格按照《中华人共和国政府采购法</w:t>
      </w:r>
      <w:bookmarkEnd w:id="130"/>
      <w:bookmarkEnd w:id="131"/>
      <w:r>
        <w:rPr>
          <w:rFonts w:hint="eastAsia" w:ascii="宋体" w:hAnsi="宋体" w:eastAsia="宋体" w:cs="宋体"/>
          <w:color w:val="auto"/>
          <w:sz w:val="24"/>
          <w:szCs w:val="24"/>
          <w:highlight w:val="none"/>
        </w:rPr>
        <w:t>》、《政府采购质疑和投诉办法》、《财政部关于加强政府采购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投诉受理审查工作的通知》的规定办理。</w:t>
      </w:r>
    </w:p>
    <w:p w14:paraId="30A9A702">
      <w:pPr>
        <w:pStyle w:val="14"/>
        <w:spacing w:after="0" w:line="480" w:lineRule="exact"/>
        <w:ind w:left="0" w:leftChars="0"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认为招标文件、采购过程和中标、成交结果使自己的权益受到损害的，可以在知道或者应知其权益受到损害之日起七个工作日内，以书面形式向采购人提出质疑。针对同一采购环节的质疑应一次性提出，提出质疑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应当是参与所质疑项目招标活动的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67CD2FBB">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已依法获取其可质疑的招标文件的，可以对该文件提出质疑。对招标文件提出质疑的，应当在获取招标文件或者招标文件公告期限届满之日起7个工作日内提出。</w:t>
      </w:r>
    </w:p>
    <w:p w14:paraId="352B30CF">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可以委托代理人进行质疑和投诉。其授权委托书应当载明代理人的姓名或者名称、代理事项、具体权限、期限和相关事项。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为自然人的，应当由本人签字；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为法人或者其他组织的，应当由法定代表人、主要负责人签字或者盖章，并加盖公章。</w:t>
      </w:r>
    </w:p>
    <w:p w14:paraId="2BC2C95A">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代理人提出质疑和投诉，应当提交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签署的授权委托书。</w:t>
      </w:r>
    </w:p>
    <w:p w14:paraId="46A12DDC">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提出质疑应当提交质疑函和必要的证明材料。质疑函应当包括下列内容：</w:t>
      </w:r>
    </w:p>
    <w:p w14:paraId="4FC6AF51">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的姓名或者名称、地址、邮编、联系人及联系电话；</w:t>
      </w:r>
    </w:p>
    <w:p w14:paraId="2CCB21F5">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（二）质疑项目的名称、编号；</w:t>
      </w:r>
    </w:p>
    <w:p w14:paraId="257E532C">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（三）具体、明确的质疑事项和与质疑事项相关的请求；</w:t>
      </w:r>
    </w:p>
    <w:p w14:paraId="154A3F41">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w:t>
      </w:r>
    </w:p>
    <w:p w14:paraId="1CC59ED9">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（五）必要的法律依据；</w:t>
      </w:r>
    </w:p>
    <w:p w14:paraId="3D5C3D9A">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（六）提出质疑的日期。</w:t>
      </w:r>
    </w:p>
    <w:p w14:paraId="4F6D5EA1">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为自然人的，应当由本人签字；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为法人或者其他组织的，应当由法定代表人、主要负责人或者其被授权人签字或盖章，并加盖公章。</w:t>
      </w:r>
    </w:p>
    <w:p w14:paraId="5FF403A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接收质疑函的方式：书面形式</w:t>
      </w:r>
    </w:p>
    <w:p w14:paraId="3074590B">
      <w:pPr>
        <w:pStyle w:val="5"/>
        <w:spacing w:line="48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联系部门：新疆拓源工程管理咨询有限公司招标部</w:t>
      </w:r>
    </w:p>
    <w:p w14:paraId="25841AED">
      <w:pPr>
        <w:pStyle w:val="5"/>
        <w:spacing w:line="48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联系人及联系电话：</w:t>
      </w:r>
      <w:r>
        <w:rPr>
          <w:rFonts w:hint="eastAsia" w:ascii="宋体" w:hAnsi="宋体" w:eastAsia="宋体" w:cs="宋体"/>
          <w:color w:val="auto"/>
          <w:sz w:val="24"/>
          <w:szCs w:val="24"/>
          <w:highlight w:val="none"/>
          <w:lang w:val="en-US" w:eastAsia="zh-CN"/>
        </w:rPr>
        <w:t>杨雯、17853507578</w:t>
      </w:r>
    </w:p>
    <w:p w14:paraId="0F2EE285">
      <w:pPr>
        <w:pStyle w:val="5"/>
        <w:spacing w:line="48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邮箱：</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"mailto:136771831@qq.com"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136771831@qq.com</w:t>
      </w:r>
      <w:r>
        <w:rPr>
          <w:rFonts w:hint="eastAsia" w:ascii="宋体" w:hAnsi="宋体" w:eastAsia="宋体" w:cs="宋体"/>
          <w:color w:val="auto"/>
          <w:sz w:val="24"/>
          <w:szCs w:val="24"/>
          <w:highlight w:val="none"/>
          <w:lang w:val="en-US" w:eastAsia="zh-CN"/>
        </w:rPr>
        <w:fldChar w:fldCharType="end"/>
      </w:r>
    </w:p>
    <w:p w14:paraId="56371016">
      <w:pPr>
        <w:pStyle w:val="5"/>
        <w:spacing w:line="480" w:lineRule="exact"/>
        <w:ind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通讯地址：</w:t>
      </w:r>
      <w:r>
        <w:rPr>
          <w:rFonts w:hint="eastAsia" w:ascii="宋体" w:hAnsi="宋体" w:eastAsia="宋体" w:cs="宋体"/>
          <w:color w:val="auto"/>
          <w:sz w:val="24"/>
          <w:szCs w:val="24"/>
          <w:highlight w:val="none"/>
          <w:lang w:eastAsia="zh-CN"/>
        </w:rPr>
        <w:t>新疆喀什地区喀什市人民东路财富大厦8楼807室</w:t>
      </w:r>
    </w:p>
    <w:p w14:paraId="5311C48F">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.5质疑</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对采购人、采购代理机构的答复不满意，或者采购人、采购代理机构未在规定时间内作出答复的，可以在答复期满后15个工作日内向本办法第六条规定的财政部门提起投诉。</w:t>
      </w:r>
    </w:p>
    <w:p w14:paraId="0967C353">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.6投诉人投诉时，应当提交投诉书和必要的证明材料，并按照被投诉采购人、采购代理机构（以下简称被投诉人）和与投诉事项有关的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数量提供投诉书的副本。投诉书应当包括下列内容：</w:t>
      </w:r>
    </w:p>
    <w:p w14:paraId="0D92FA53">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（一）投诉人和被投诉人的姓名或者名称、通讯地址、邮编、联系人及联系电话；</w:t>
      </w:r>
    </w:p>
    <w:p w14:paraId="3D524F84">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（二）质疑和质疑答复情况说明及相关证明材料；</w:t>
      </w:r>
    </w:p>
    <w:p w14:paraId="265A93AC">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（三）具体、明确的投诉事项和与投诉事项相关的投诉请求；</w:t>
      </w:r>
    </w:p>
    <w:p w14:paraId="3C4F9777">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w:t>
      </w:r>
    </w:p>
    <w:p w14:paraId="42B34EA5">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（五）法律依据；</w:t>
      </w:r>
    </w:p>
    <w:p w14:paraId="3CCC86B3">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（六）提起投诉的日期。</w:t>
      </w:r>
    </w:p>
    <w:p w14:paraId="2911EA35">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7E187419">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.7投诉人应当根据《政府采购质疑和投诉办法》第七条第二款规定的信息内容，并按照其规定的方式提起投诉。</w:t>
      </w:r>
    </w:p>
    <w:p w14:paraId="56A5C856">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投诉人提起投诉应当符合下列条件：</w:t>
      </w:r>
    </w:p>
    <w:p w14:paraId="467AE679">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（一）提起投诉前已依法进行质疑；</w:t>
      </w:r>
    </w:p>
    <w:p w14:paraId="3BFE6FFE">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（二）投诉书内容符合本办法的规定；</w:t>
      </w:r>
    </w:p>
    <w:p w14:paraId="4671D8C3">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（三）在投诉有效期限内提起投诉；</w:t>
      </w:r>
    </w:p>
    <w:p w14:paraId="20EED2EB">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（四）同一投诉事项未经财政部门投诉处理；</w:t>
      </w:r>
    </w:p>
    <w:p w14:paraId="1D1A24FF">
      <w:pPr>
        <w:pStyle w:val="14"/>
        <w:spacing w:after="0" w:line="48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（五）财政部规定的其他条件。</w:t>
      </w:r>
    </w:p>
    <w:p w14:paraId="1B7834A1">
      <w:pPr>
        <w:pStyle w:val="26"/>
        <w:rPr>
          <w:rFonts w:hint="eastAsia" w:ascii="宋体" w:hAnsi="宋体" w:eastAsia="宋体" w:cs="宋体"/>
          <w:color w:val="auto"/>
          <w:sz w:val="24"/>
          <w:szCs w:val="24"/>
          <w:highlight w:val="none"/>
        </w:rPr>
      </w:pPr>
    </w:p>
    <w:p w14:paraId="31B8E3AB">
      <w:pPr>
        <w:spacing w:line="5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质疑函范本</w:t>
      </w:r>
    </w:p>
    <w:p w14:paraId="671CE426">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bCs/>
          <w:color w:val="auto"/>
          <w:sz w:val="24"/>
          <w:szCs w:val="24"/>
          <w:highlight w:val="none"/>
        </w:rPr>
        <w:t>基本信息</w:t>
      </w:r>
    </w:p>
    <w:p w14:paraId="7F5437D2">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dotted"/>
        </w:rPr>
        <w:t xml:space="preserve">                                        </w:t>
      </w:r>
    </w:p>
    <w:p w14:paraId="2282E14C">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2A518111">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67307796">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被授权人：</w:t>
      </w:r>
      <w:r>
        <w:rPr>
          <w:rFonts w:hint="eastAsia" w:ascii="宋体" w:hAnsi="宋体" w:eastAsia="宋体" w:cs="宋体"/>
          <w:color w:val="auto"/>
          <w:sz w:val="24"/>
          <w:szCs w:val="24"/>
          <w:highlight w:val="none"/>
          <w:u w:val="dotted"/>
        </w:rPr>
        <w:t xml:space="preserve">                                          </w:t>
      </w:r>
    </w:p>
    <w:p w14:paraId="67D17DF2">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074343FC">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30B7F678">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010592BE">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dotted"/>
        </w:rPr>
        <w:t xml:space="preserve">                                      </w:t>
      </w:r>
    </w:p>
    <w:p w14:paraId="7F942E4F">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659B37F0">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1BCF0402">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招标文件获取日期：</w:t>
      </w:r>
      <w:r>
        <w:rPr>
          <w:rFonts w:hint="eastAsia" w:ascii="宋体" w:hAnsi="宋体" w:eastAsia="宋体" w:cs="宋体"/>
          <w:color w:val="auto"/>
          <w:sz w:val="24"/>
          <w:szCs w:val="24"/>
          <w:highlight w:val="none"/>
          <w:u w:val="dotted"/>
        </w:rPr>
        <w:t xml:space="preserve">                                           </w:t>
      </w:r>
    </w:p>
    <w:p w14:paraId="2DA51D47">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69DB83B6">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dotted"/>
        </w:rPr>
        <w:t xml:space="preserve">                                         </w:t>
      </w:r>
    </w:p>
    <w:p w14:paraId="6A266962">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12985DEE">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 xml:space="preserve">                                                       </w:t>
      </w:r>
    </w:p>
    <w:p w14:paraId="67A9634C">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38AAEE5E">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5B28AD02">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6E154E83">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7F2D3842">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270B9215">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p>
    <w:p w14:paraId="516E4AE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32F84B2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43A54F33">
      <w:pPr>
        <w:adjustRightInd w:val="0"/>
        <w:snapToGrid w:val="0"/>
        <w:spacing w:line="500" w:lineRule="exact"/>
        <w:ind w:firstLine="480" w:firstLineChars="200"/>
        <w:rPr>
          <w:rFonts w:hint="eastAsia" w:ascii="宋体" w:hAnsi="宋体" w:eastAsia="宋体" w:cs="宋体"/>
          <w:color w:val="auto"/>
          <w:sz w:val="24"/>
          <w:szCs w:val="24"/>
          <w:highlight w:val="none"/>
        </w:rPr>
      </w:pPr>
    </w:p>
    <w:p w14:paraId="45B8EB48">
      <w:pPr>
        <w:spacing w:line="500" w:lineRule="exact"/>
        <w:ind w:firstLine="482" w:firstLineChars="200"/>
        <w:jc w:val="center"/>
        <w:rPr>
          <w:rFonts w:hint="eastAsia" w:ascii="宋体" w:hAnsi="宋体" w:eastAsia="宋体" w:cs="宋体"/>
          <w:b/>
          <w:bCs/>
          <w:color w:val="auto"/>
          <w:sz w:val="24"/>
          <w:szCs w:val="24"/>
          <w:highlight w:val="none"/>
        </w:rPr>
      </w:pPr>
    </w:p>
    <w:p w14:paraId="453727A5">
      <w:pPr>
        <w:spacing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2AFC9BF4">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提出质疑时，应提交质疑函和必要的证明材料。</w:t>
      </w:r>
    </w:p>
    <w:p w14:paraId="37842F8E">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若委托代理人进行质疑的，质疑函应按要求列明“被授权人”的有关内容，并在附件中提交由质疑</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签署的授权委托书。授权委托书应载明代理人的姓名或者名称、代理事项、具体权限、期限和相关事项。</w:t>
      </w:r>
    </w:p>
    <w:p w14:paraId="5E655356">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若对项目的某一分包进行质疑，质疑函中应列明具体分包号。</w:t>
      </w:r>
    </w:p>
    <w:p w14:paraId="3E4C4473">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27BE274B">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495D54D9">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为自然人的，质疑函应由本人签字；质疑</w:t>
      </w:r>
      <w:r>
        <w:rPr>
          <w:rFonts w:hint="eastAsia" w:ascii="宋体" w:hAnsi="宋体" w:eastAsia="宋体" w:cs="宋体"/>
          <w:color w:val="auto"/>
          <w:sz w:val="24"/>
          <w:szCs w:val="24"/>
          <w:highlight w:val="none"/>
          <w:shd w:val="clear" w:color="auto" w:fill="FFFFFF"/>
          <w:lang w:eastAsia="zh-CN"/>
        </w:rPr>
        <w:t>供应商</w:t>
      </w:r>
      <w:r>
        <w:rPr>
          <w:rFonts w:hint="eastAsia" w:ascii="宋体" w:hAnsi="宋体" w:eastAsia="宋体" w:cs="宋体"/>
          <w:color w:val="auto"/>
          <w:sz w:val="24"/>
          <w:szCs w:val="24"/>
          <w:highlight w:val="none"/>
        </w:rPr>
        <w:t>为法人或者其他组织的，质疑函应由法定代表人、主要负责人或者其被授权人签字或者盖章，并加盖公章。</w:t>
      </w:r>
    </w:p>
    <w:p w14:paraId="39ACF945">
      <w:pPr>
        <w:pStyle w:val="26"/>
        <w:rPr>
          <w:rFonts w:hint="eastAsia" w:ascii="宋体" w:hAnsi="宋体" w:eastAsia="宋体" w:cs="宋体"/>
          <w:color w:val="auto"/>
          <w:sz w:val="24"/>
          <w:szCs w:val="24"/>
          <w:highlight w:val="none"/>
        </w:rPr>
      </w:pPr>
    </w:p>
    <w:p w14:paraId="63A8D9B9">
      <w:pPr>
        <w:pStyle w:val="26"/>
        <w:rPr>
          <w:rFonts w:hint="eastAsia" w:ascii="宋体" w:hAnsi="宋体" w:eastAsia="宋体" w:cs="宋体"/>
          <w:color w:val="auto"/>
          <w:sz w:val="24"/>
          <w:szCs w:val="24"/>
          <w:highlight w:val="none"/>
        </w:rPr>
      </w:pPr>
    </w:p>
    <w:p w14:paraId="3283D2E2">
      <w:pPr>
        <w:pStyle w:val="5"/>
        <w:spacing w:line="500" w:lineRule="exact"/>
        <w:ind w:firstLine="480"/>
        <w:rPr>
          <w:rFonts w:hint="eastAsia" w:ascii="宋体" w:hAnsi="宋体" w:eastAsia="宋体" w:cs="宋体"/>
          <w:color w:val="auto"/>
          <w:sz w:val="24"/>
          <w:szCs w:val="24"/>
          <w:highlight w:val="none"/>
        </w:rPr>
      </w:pPr>
    </w:p>
    <w:p w14:paraId="3F9AC6CD">
      <w:pPr>
        <w:spacing w:after="340" w:line="460" w:lineRule="exact"/>
        <w:jc w:val="center"/>
        <w:outlineLvl w:val="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bookmarkStart w:id="137" w:name="_Toc21780"/>
      <w:bookmarkStart w:id="138" w:name="_Toc31581"/>
      <w:bookmarkStart w:id="139" w:name="_Toc5850_WPSOffice_Level1"/>
      <w:r>
        <w:rPr>
          <w:rFonts w:hint="eastAsia" w:ascii="宋体" w:hAnsi="宋体" w:eastAsia="宋体" w:cs="宋体"/>
          <w:b/>
          <w:bCs/>
          <w:color w:val="auto"/>
          <w:sz w:val="24"/>
          <w:szCs w:val="24"/>
          <w:highlight w:val="none"/>
        </w:rPr>
        <w:t>第三章  投标文件格式</w:t>
      </w:r>
      <w:bookmarkEnd w:id="137"/>
      <w:bookmarkEnd w:id="138"/>
      <w:bookmarkEnd w:id="139"/>
    </w:p>
    <w:p w14:paraId="70ADA6FD">
      <w:pPr>
        <w:spacing w:line="4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投标文件封面示例</w:t>
      </w:r>
    </w:p>
    <w:p w14:paraId="4B991B2B">
      <w:pPr>
        <w:spacing w:line="460" w:lineRule="exact"/>
        <w:rPr>
          <w:rFonts w:hint="eastAsia" w:ascii="宋体" w:hAnsi="宋体" w:eastAsia="宋体" w:cs="宋体"/>
          <w:b/>
          <w:color w:val="auto"/>
          <w:sz w:val="24"/>
          <w:szCs w:val="24"/>
          <w:highlight w:val="none"/>
        </w:rPr>
      </w:pPr>
    </w:p>
    <w:p w14:paraId="2F96D8B3">
      <w:pPr>
        <w:spacing w:line="460" w:lineRule="exact"/>
        <w:jc w:val="center"/>
        <w:rPr>
          <w:rFonts w:hint="eastAsia" w:ascii="宋体" w:hAnsi="宋体" w:eastAsia="宋体" w:cs="宋体"/>
          <w:b/>
          <w:color w:val="auto"/>
          <w:sz w:val="24"/>
          <w:szCs w:val="24"/>
          <w:highlight w:val="none"/>
        </w:rPr>
      </w:pPr>
    </w:p>
    <w:p w14:paraId="17DE3A62">
      <w:pPr>
        <w:spacing w:line="4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w:t>
      </w:r>
    </w:p>
    <w:p w14:paraId="5701B34F">
      <w:pPr>
        <w:spacing w:line="460" w:lineRule="exact"/>
        <w:rPr>
          <w:rFonts w:hint="eastAsia" w:ascii="宋体" w:hAnsi="宋体" w:eastAsia="宋体" w:cs="宋体"/>
          <w:b/>
          <w:color w:val="auto"/>
          <w:sz w:val="24"/>
          <w:szCs w:val="24"/>
          <w:highlight w:val="none"/>
        </w:rPr>
      </w:pPr>
    </w:p>
    <w:p w14:paraId="69469C90">
      <w:pPr>
        <w:spacing w:line="460" w:lineRule="exact"/>
        <w:ind w:firstLine="504"/>
        <w:rPr>
          <w:rFonts w:hint="eastAsia" w:ascii="宋体" w:hAnsi="宋体" w:eastAsia="宋体" w:cs="宋体"/>
          <w:b/>
          <w:color w:val="auto"/>
          <w:sz w:val="24"/>
          <w:szCs w:val="24"/>
          <w:highlight w:val="none"/>
        </w:rPr>
      </w:pPr>
    </w:p>
    <w:p w14:paraId="3C2C975B">
      <w:pPr>
        <w:spacing w:line="460" w:lineRule="exact"/>
        <w:ind w:firstLine="504"/>
        <w:rPr>
          <w:rFonts w:hint="eastAsia" w:ascii="宋体" w:hAnsi="宋体" w:eastAsia="宋体" w:cs="宋体"/>
          <w:b/>
          <w:color w:val="auto"/>
          <w:sz w:val="24"/>
          <w:szCs w:val="24"/>
          <w:highlight w:val="none"/>
        </w:rPr>
      </w:pPr>
    </w:p>
    <w:p w14:paraId="720CAB2C">
      <w:pPr>
        <w:spacing w:line="460" w:lineRule="exact"/>
        <w:ind w:firstLine="504"/>
        <w:rPr>
          <w:rFonts w:hint="eastAsia" w:ascii="宋体" w:hAnsi="宋体" w:eastAsia="宋体" w:cs="宋体"/>
          <w:b/>
          <w:color w:val="auto"/>
          <w:sz w:val="24"/>
          <w:szCs w:val="24"/>
          <w:highlight w:val="none"/>
        </w:rPr>
      </w:pPr>
    </w:p>
    <w:p w14:paraId="70CFE153">
      <w:pPr>
        <w:spacing w:line="460" w:lineRule="exact"/>
        <w:ind w:firstLine="504"/>
        <w:rPr>
          <w:rFonts w:hint="eastAsia" w:ascii="宋体" w:hAnsi="宋体" w:eastAsia="宋体" w:cs="宋体"/>
          <w:b/>
          <w:color w:val="auto"/>
          <w:sz w:val="24"/>
          <w:szCs w:val="24"/>
          <w:highlight w:val="none"/>
        </w:rPr>
      </w:pPr>
    </w:p>
    <w:p w14:paraId="24D2BFC5">
      <w:pPr>
        <w:spacing w:line="460" w:lineRule="exact"/>
        <w:ind w:firstLine="504"/>
        <w:rPr>
          <w:rFonts w:hint="eastAsia" w:ascii="宋体" w:hAnsi="宋体" w:eastAsia="宋体" w:cs="宋体"/>
          <w:b/>
          <w:color w:val="auto"/>
          <w:sz w:val="24"/>
          <w:szCs w:val="24"/>
          <w:highlight w:val="none"/>
        </w:rPr>
      </w:pPr>
    </w:p>
    <w:p w14:paraId="01BB2438">
      <w:pPr>
        <w:spacing w:line="460" w:lineRule="exact"/>
        <w:rPr>
          <w:rFonts w:hint="eastAsia" w:ascii="宋体" w:hAnsi="宋体" w:eastAsia="宋体" w:cs="宋体"/>
          <w:b/>
          <w:color w:val="auto"/>
          <w:sz w:val="24"/>
          <w:szCs w:val="24"/>
          <w:highlight w:val="none"/>
        </w:rPr>
      </w:pPr>
    </w:p>
    <w:p w14:paraId="067879BB">
      <w:pPr>
        <w:spacing w:line="4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p w14:paraId="60ADFC33">
      <w:pPr>
        <w:pStyle w:val="26"/>
        <w:rPr>
          <w:rFonts w:hint="eastAsia" w:ascii="宋体" w:hAnsi="宋体" w:eastAsia="宋体" w:cs="宋体"/>
          <w:color w:val="auto"/>
          <w:sz w:val="24"/>
          <w:szCs w:val="24"/>
          <w:highlight w:val="none"/>
        </w:rPr>
      </w:pPr>
    </w:p>
    <w:p w14:paraId="4E76C23E">
      <w:pPr>
        <w:spacing w:line="4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项目编号：</w:t>
      </w:r>
    </w:p>
    <w:p w14:paraId="349DAC99">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8D03FFE">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名称（盖章）：</w:t>
      </w:r>
    </w:p>
    <w:p w14:paraId="15B6BFBB">
      <w:pPr>
        <w:spacing w:line="460" w:lineRule="exact"/>
        <w:ind w:firstLine="504"/>
        <w:rPr>
          <w:rFonts w:hint="eastAsia" w:ascii="宋体" w:hAnsi="宋体" w:eastAsia="宋体" w:cs="宋体"/>
          <w:b/>
          <w:color w:val="auto"/>
          <w:sz w:val="24"/>
          <w:szCs w:val="24"/>
          <w:highlight w:val="none"/>
        </w:rPr>
      </w:pPr>
    </w:p>
    <w:p w14:paraId="5A9A8B88">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法定代表人</w:t>
      </w:r>
      <w:r>
        <w:rPr>
          <w:rFonts w:hint="eastAsia" w:ascii="宋体" w:hAnsi="宋体" w:eastAsia="宋体" w:cs="宋体"/>
          <w:b/>
          <w:color w:val="auto"/>
          <w:sz w:val="24"/>
          <w:szCs w:val="24"/>
          <w:highlight w:val="none"/>
        </w:rPr>
        <w:t>（签字或盖章）：</w:t>
      </w:r>
    </w:p>
    <w:p w14:paraId="525F7FD3">
      <w:pPr>
        <w:spacing w:line="460" w:lineRule="exact"/>
        <w:ind w:firstLine="504"/>
        <w:rPr>
          <w:rFonts w:hint="eastAsia" w:ascii="宋体" w:hAnsi="宋体" w:eastAsia="宋体" w:cs="宋体"/>
          <w:b/>
          <w:color w:val="auto"/>
          <w:sz w:val="24"/>
          <w:szCs w:val="24"/>
          <w:highlight w:val="none"/>
        </w:rPr>
      </w:pPr>
    </w:p>
    <w:p w14:paraId="69260060">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项目联系人： </w:t>
      </w:r>
    </w:p>
    <w:p w14:paraId="6C51E59D">
      <w:pPr>
        <w:spacing w:line="460" w:lineRule="exact"/>
        <w:ind w:firstLine="504"/>
        <w:rPr>
          <w:rFonts w:hint="eastAsia" w:ascii="宋体" w:hAnsi="宋体" w:eastAsia="宋体" w:cs="宋体"/>
          <w:b/>
          <w:color w:val="auto"/>
          <w:sz w:val="24"/>
          <w:szCs w:val="24"/>
          <w:highlight w:val="none"/>
        </w:rPr>
      </w:pPr>
    </w:p>
    <w:p w14:paraId="142CC6B1">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p w14:paraId="3AD54FBC">
      <w:pPr>
        <w:spacing w:line="460" w:lineRule="exact"/>
        <w:ind w:firstLine="504"/>
        <w:rPr>
          <w:rFonts w:hint="eastAsia" w:ascii="宋体" w:hAnsi="宋体" w:eastAsia="宋体" w:cs="宋体"/>
          <w:b/>
          <w:color w:val="auto"/>
          <w:sz w:val="24"/>
          <w:szCs w:val="24"/>
          <w:highlight w:val="none"/>
        </w:rPr>
      </w:pPr>
    </w:p>
    <w:p w14:paraId="6A36EF1A">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编制时间：</w:t>
      </w:r>
    </w:p>
    <w:p w14:paraId="029BDA85">
      <w:pPr>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目录</w:t>
      </w:r>
    </w:p>
    <w:p w14:paraId="774A77F1">
      <w:pPr>
        <w:tabs>
          <w:tab w:val="left" w:pos="3480"/>
        </w:tabs>
        <w:spacing w:line="500" w:lineRule="exact"/>
        <w:ind w:firstLine="480" w:firstLineChars="200"/>
        <w:rPr>
          <w:rFonts w:hint="eastAsia" w:ascii="宋体" w:hAnsi="宋体" w:eastAsia="宋体" w:cs="宋体"/>
          <w:color w:val="auto"/>
          <w:sz w:val="24"/>
          <w:szCs w:val="24"/>
          <w:highlight w:val="none"/>
        </w:rPr>
      </w:pPr>
      <w:bookmarkStart w:id="140" w:name="_Toc217446082"/>
    </w:p>
    <w:p w14:paraId="00804EF5">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01405698">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法定代表人身份证明书及授权委托书</w:t>
      </w:r>
    </w:p>
    <w:p w14:paraId="61F01330">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）法定代表人身份证明书</w:t>
      </w:r>
    </w:p>
    <w:p w14:paraId="112B4999">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）授权委托书</w:t>
      </w:r>
    </w:p>
    <w:p w14:paraId="6169D05A">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三、投标报价明细表</w:t>
      </w:r>
    </w:p>
    <w:p w14:paraId="17244CA6">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基本情况表</w:t>
      </w:r>
    </w:p>
    <w:p w14:paraId="6EAA2230">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类似项目业绩一览表</w:t>
      </w:r>
    </w:p>
    <w:p w14:paraId="2932EBC1">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六、商务、技术</w:t>
      </w:r>
      <w:r>
        <w:rPr>
          <w:rFonts w:hint="eastAsia" w:ascii="宋体" w:hAnsi="宋体" w:eastAsia="宋体" w:cs="宋体"/>
          <w:color w:val="auto"/>
          <w:sz w:val="24"/>
          <w:szCs w:val="24"/>
          <w:highlight w:val="none"/>
          <w:lang w:val="en-US" w:eastAsia="zh-CN"/>
        </w:rPr>
        <w:t>条款</w:t>
      </w:r>
      <w:r>
        <w:rPr>
          <w:rFonts w:hint="eastAsia" w:ascii="宋体" w:hAnsi="宋体" w:eastAsia="宋体" w:cs="宋体"/>
          <w:color w:val="auto"/>
          <w:sz w:val="24"/>
          <w:szCs w:val="24"/>
          <w:highlight w:val="none"/>
        </w:rPr>
        <w:t>偏离表</w:t>
      </w:r>
    </w:p>
    <w:p w14:paraId="5A4A8D2C">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商务条款偏离表</w:t>
      </w:r>
    </w:p>
    <w:p w14:paraId="68351607">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条款</w:t>
      </w:r>
      <w:r>
        <w:rPr>
          <w:rFonts w:hint="eastAsia" w:ascii="宋体" w:hAnsi="宋体" w:eastAsia="宋体" w:cs="宋体"/>
          <w:color w:val="auto"/>
          <w:sz w:val="24"/>
          <w:szCs w:val="24"/>
          <w:highlight w:val="none"/>
          <w:lang w:eastAsia="zh-CN"/>
        </w:rPr>
        <w:t>偏离表</w:t>
      </w:r>
    </w:p>
    <w:p w14:paraId="78270711">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技术方案</w:t>
      </w:r>
    </w:p>
    <w:p w14:paraId="3157BAD1">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政府采购政策</w:t>
      </w:r>
    </w:p>
    <w:p w14:paraId="460644E3">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供应商认为需要提供的资料</w:t>
      </w:r>
    </w:p>
    <w:p w14:paraId="5354C0FE">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投标保证金缴纳凭证</w:t>
      </w:r>
    </w:p>
    <w:p w14:paraId="0E6EF768">
      <w:pPr>
        <w:tabs>
          <w:tab w:val="left" w:pos="3480"/>
        </w:tabs>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（二）其他</w:t>
      </w:r>
    </w:p>
    <w:p w14:paraId="0371EF18">
      <w:pPr>
        <w:pStyle w:val="5"/>
        <w:spacing w:line="500" w:lineRule="exact"/>
        <w:ind w:firstLine="480"/>
        <w:rPr>
          <w:rFonts w:hint="eastAsia" w:ascii="宋体" w:hAnsi="宋体" w:eastAsia="宋体" w:cs="宋体"/>
          <w:color w:val="auto"/>
          <w:sz w:val="24"/>
          <w:szCs w:val="24"/>
          <w:highlight w:val="none"/>
        </w:rPr>
      </w:pPr>
    </w:p>
    <w:p w14:paraId="02EEBCF3">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应按以上目录顺序编排投标文件，并标注相应页码）。</w:t>
      </w:r>
    </w:p>
    <w:p w14:paraId="63253801">
      <w:pPr>
        <w:rPr>
          <w:rFonts w:hint="eastAsia" w:ascii="宋体" w:hAnsi="宋体" w:eastAsia="宋体" w:cs="宋体"/>
          <w:color w:val="auto"/>
          <w:sz w:val="24"/>
          <w:szCs w:val="24"/>
          <w:highlight w:val="none"/>
        </w:rPr>
      </w:pPr>
    </w:p>
    <w:p w14:paraId="6D7ACBF5">
      <w:pPr>
        <w:pStyle w:val="26"/>
        <w:rPr>
          <w:rFonts w:hint="eastAsia" w:ascii="宋体" w:hAnsi="宋体" w:eastAsia="宋体" w:cs="宋体"/>
          <w:color w:val="auto"/>
          <w:sz w:val="24"/>
          <w:szCs w:val="24"/>
          <w:highlight w:val="none"/>
        </w:rPr>
      </w:pPr>
    </w:p>
    <w:p w14:paraId="147D9276">
      <w:pPr>
        <w:rPr>
          <w:rFonts w:hint="eastAsia" w:ascii="宋体" w:hAnsi="宋体" w:eastAsia="宋体" w:cs="宋体"/>
          <w:color w:val="auto"/>
          <w:sz w:val="24"/>
          <w:szCs w:val="24"/>
          <w:highlight w:val="none"/>
        </w:rPr>
      </w:pPr>
    </w:p>
    <w:p w14:paraId="397CAC56">
      <w:pPr>
        <w:pStyle w:val="26"/>
        <w:rPr>
          <w:rFonts w:hint="eastAsia" w:ascii="宋体" w:hAnsi="宋体" w:eastAsia="宋体" w:cs="宋体"/>
          <w:color w:val="auto"/>
          <w:sz w:val="24"/>
          <w:szCs w:val="24"/>
          <w:highlight w:val="none"/>
        </w:rPr>
      </w:pPr>
    </w:p>
    <w:p w14:paraId="1BFEAA79">
      <w:pPr>
        <w:rPr>
          <w:rFonts w:hint="eastAsia" w:ascii="宋体" w:hAnsi="宋体" w:eastAsia="宋体" w:cs="宋体"/>
          <w:color w:val="auto"/>
          <w:sz w:val="24"/>
          <w:szCs w:val="24"/>
          <w:highlight w:val="none"/>
        </w:rPr>
      </w:pPr>
    </w:p>
    <w:p w14:paraId="765F75D5">
      <w:pPr>
        <w:spacing w:line="500" w:lineRule="exact"/>
        <w:rPr>
          <w:rFonts w:hint="eastAsia" w:ascii="宋体" w:hAnsi="宋体" w:eastAsia="宋体" w:cs="宋体"/>
          <w:color w:val="auto"/>
          <w:sz w:val="24"/>
          <w:szCs w:val="24"/>
          <w:highlight w:val="none"/>
        </w:rPr>
      </w:pPr>
    </w:p>
    <w:p w14:paraId="02D0B6E9">
      <w:pPr>
        <w:spacing w:line="500" w:lineRule="exact"/>
        <w:jc w:val="center"/>
        <w:rPr>
          <w:rFonts w:hint="eastAsia" w:ascii="宋体" w:hAnsi="宋体" w:eastAsia="宋体" w:cs="宋体"/>
          <w:color w:val="auto"/>
          <w:sz w:val="24"/>
          <w:szCs w:val="24"/>
          <w:highlight w:val="none"/>
        </w:rPr>
      </w:pPr>
    </w:p>
    <w:p w14:paraId="2588447C">
      <w:pPr>
        <w:rPr>
          <w:rFonts w:hint="eastAsia" w:ascii="宋体" w:hAnsi="宋体" w:eastAsia="宋体" w:cs="宋体"/>
          <w:color w:val="auto"/>
          <w:sz w:val="24"/>
          <w:szCs w:val="24"/>
          <w:highlight w:val="none"/>
        </w:rPr>
      </w:pPr>
    </w:p>
    <w:p w14:paraId="4C403AE7">
      <w:pPr>
        <w:pStyle w:val="26"/>
        <w:rPr>
          <w:rFonts w:hint="eastAsia" w:ascii="宋体" w:hAnsi="宋体" w:eastAsia="宋体" w:cs="宋体"/>
          <w:color w:val="auto"/>
          <w:sz w:val="24"/>
          <w:szCs w:val="24"/>
          <w:highlight w:val="none"/>
        </w:rPr>
      </w:pPr>
    </w:p>
    <w:p w14:paraId="53CC261D">
      <w:pPr>
        <w:rPr>
          <w:rFonts w:hint="eastAsia" w:ascii="宋体" w:hAnsi="宋体" w:eastAsia="宋体" w:cs="宋体"/>
          <w:color w:val="auto"/>
          <w:sz w:val="24"/>
          <w:szCs w:val="24"/>
          <w:highlight w:val="none"/>
        </w:rPr>
      </w:pPr>
    </w:p>
    <w:p w14:paraId="0650BEB8">
      <w:pPr>
        <w:pStyle w:val="26"/>
        <w:rPr>
          <w:rFonts w:hint="eastAsia" w:ascii="宋体" w:hAnsi="宋体" w:eastAsia="宋体" w:cs="宋体"/>
          <w:color w:val="auto"/>
          <w:sz w:val="24"/>
          <w:szCs w:val="24"/>
          <w:highlight w:val="none"/>
        </w:rPr>
      </w:pPr>
    </w:p>
    <w:p w14:paraId="798E9DDF">
      <w:pPr>
        <w:spacing w:line="500" w:lineRule="exact"/>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一、</w:t>
      </w:r>
      <w:bookmarkEnd w:id="140"/>
      <w:r>
        <w:rPr>
          <w:rFonts w:hint="eastAsia" w:ascii="宋体" w:hAnsi="宋体" w:eastAsia="宋体" w:cs="宋体"/>
          <w:b/>
          <w:bCs/>
          <w:color w:val="auto"/>
          <w:sz w:val="24"/>
          <w:szCs w:val="24"/>
          <w:highlight w:val="none"/>
        </w:rPr>
        <w:t>投标函</w:t>
      </w:r>
    </w:p>
    <w:p w14:paraId="232B5A2D">
      <w:pPr>
        <w:pStyle w:val="14"/>
        <w:spacing w:after="0" w:line="500" w:lineRule="exact"/>
        <w:ind w:left="0" w:leftChars="0" w:firstLine="0" w:firstLineChars="0"/>
        <w:rPr>
          <w:rFonts w:hint="eastAsia" w:ascii="宋体" w:hAnsi="宋体" w:eastAsia="宋体" w:cs="宋体"/>
          <w:bCs/>
          <w:color w:val="auto"/>
          <w:sz w:val="24"/>
          <w:szCs w:val="24"/>
          <w:highlight w:val="none"/>
        </w:rPr>
      </w:pPr>
      <w:bookmarkStart w:id="141" w:name="_Toc217446083"/>
      <w:r>
        <w:rPr>
          <w:rFonts w:hint="eastAsia" w:ascii="宋体" w:hAnsi="宋体" w:eastAsia="宋体" w:cs="宋体"/>
          <w:bCs/>
          <w:color w:val="auto"/>
          <w:sz w:val="24"/>
          <w:szCs w:val="24"/>
          <w:highlight w:val="none"/>
        </w:rPr>
        <w:t>__________（采购人）：</w:t>
      </w:r>
    </w:p>
    <w:p w14:paraId="66C8580A">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我方全面研究了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（项目名称、项目编号）”项目招标文件，决定参加贵单位组织的本项目投标。我方授权</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（姓名、职务）代表我方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供应商</w:t>
      </w:r>
      <w:r>
        <w:rPr>
          <w:rFonts w:hint="eastAsia" w:ascii="宋体" w:hAnsi="宋体" w:eastAsia="宋体" w:cs="宋体"/>
          <w:bCs/>
          <w:color w:val="auto"/>
          <w:sz w:val="24"/>
          <w:szCs w:val="24"/>
          <w:highlight w:val="none"/>
          <w:u w:val="single"/>
        </w:rPr>
        <w:t>的名称）</w:t>
      </w:r>
      <w:r>
        <w:rPr>
          <w:rFonts w:hint="eastAsia" w:ascii="宋体" w:hAnsi="宋体" w:eastAsia="宋体" w:cs="宋体"/>
          <w:bCs/>
          <w:color w:val="auto"/>
          <w:sz w:val="24"/>
          <w:szCs w:val="24"/>
          <w:highlight w:val="none"/>
        </w:rPr>
        <w:t>全权处理本项目投标的有关事宜。</w:t>
      </w:r>
    </w:p>
    <w:p w14:paraId="0A7DCDDC">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1、我方自愿按照招标文件规定的各项要求向采购人提供所需货物，总投标价为人民币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lang w:val="en-US" w:eastAsia="zh-CN"/>
        </w:rPr>
        <w:t>此次报价包括所投项目相关人工费、运费、</w:t>
      </w:r>
      <w:r>
        <w:rPr>
          <w:rFonts w:hint="eastAsia" w:ascii="宋体" w:hAnsi="宋体" w:eastAsia="宋体" w:cs="宋体"/>
          <w:color w:val="auto"/>
          <w:sz w:val="24"/>
          <w:szCs w:val="24"/>
          <w:highlight w:val="none"/>
        </w:rPr>
        <w:t>专利费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税费等所有技术和服务费用</w:t>
      </w:r>
      <w:r>
        <w:rPr>
          <w:rFonts w:hint="eastAsia" w:ascii="宋体" w:hAnsi="宋体" w:eastAsia="宋体" w:cs="宋体"/>
          <w:color w:val="auto"/>
          <w:sz w:val="24"/>
          <w:szCs w:val="24"/>
          <w:highlight w:val="none"/>
        </w:rPr>
        <w:t>以及考虑除不可抗力外的其他任何风险而增加的所有费用</w:t>
      </w:r>
      <w:r>
        <w:rPr>
          <w:rFonts w:hint="eastAsia" w:ascii="宋体" w:hAnsi="宋体" w:eastAsia="宋体" w:cs="宋体"/>
          <w:bCs/>
          <w:color w:val="auto"/>
          <w:sz w:val="24"/>
          <w:szCs w:val="24"/>
          <w:highlight w:val="none"/>
        </w:rPr>
        <w:t>），投标有效期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p>
    <w:p w14:paraId="23CFA967">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2、一旦我方成交，我方将严格履行合同规定的责任和义务，</w:t>
      </w:r>
      <w:r>
        <w:rPr>
          <w:rFonts w:hint="eastAsia" w:ascii="宋体" w:hAnsi="宋体" w:eastAsia="宋体" w:cs="宋体"/>
          <w:bCs/>
          <w:color w:val="auto"/>
          <w:sz w:val="24"/>
          <w:szCs w:val="24"/>
          <w:highlight w:val="none"/>
          <w:lang w:val="en-US" w:eastAsia="zh-CN"/>
        </w:rPr>
        <w:t>交</w:t>
      </w:r>
      <w:r>
        <w:rPr>
          <w:rFonts w:hint="eastAsia" w:ascii="宋体" w:hAnsi="宋体" w:eastAsia="宋体" w:cs="宋体"/>
          <w:bCs/>
          <w:color w:val="auto"/>
          <w:sz w:val="24"/>
          <w:szCs w:val="24"/>
          <w:highlight w:val="none"/>
        </w:rPr>
        <w:t>货期为：</w:t>
      </w:r>
      <w:r>
        <w:rPr>
          <w:rFonts w:hint="eastAsia" w:ascii="宋体" w:hAnsi="宋体" w:eastAsia="宋体" w:cs="宋体"/>
          <w:bCs/>
          <w:color w:val="auto"/>
          <w:sz w:val="24"/>
          <w:szCs w:val="24"/>
          <w:highlight w:val="none"/>
          <w:u w:val="single"/>
        </w:rPr>
        <w:t xml:space="preserve">        </w:t>
      </w:r>
    </w:p>
    <w:p w14:paraId="21E79D90">
      <w:pPr>
        <w:pStyle w:val="14"/>
        <w:spacing w:after="0" w:line="500" w:lineRule="exact"/>
        <w:ind w:left="0" w:left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送货到采购人指定地点，并达到采购人要求，质保期：</w:t>
      </w:r>
      <w:r>
        <w:rPr>
          <w:rFonts w:hint="eastAsia" w:ascii="宋体" w:hAnsi="宋体" w:eastAsia="宋体" w:cs="宋体"/>
          <w:bCs/>
          <w:color w:val="auto"/>
          <w:sz w:val="24"/>
          <w:szCs w:val="24"/>
          <w:highlight w:val="none"/>
          <w:u w:val="single"/>
        </w:rPr>
        <w:t xml:space="preserve">      。</w:t>
      </w:r>
    </w:p>
    <w:p w14:paraId="398A316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3、我方同意按照招标文件的要求，向贵单位缴纳人民币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）的投标保证金，并承诺如发生符合“第二章</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须知”第15.5条的任何情况时，我方将不要求退还投标保证金。</w:t>
      </w:r>
    </w:p>
    <w:p w14:paraId="0590B46E">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4、我方提交的投标文件满足招标文件实质性要求。</w:t>
      </w:r>
    </w:p>
    <w:p w14:paraId="71CD78A6">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5、我方愿意提供采购人可能另外要求的，与投标有关的文件资料，并保证我方已提供和将要提供的文件资料是真实、准确的。</w:t>
      </w:r>
    </w:p>
    <w:p w14:paraId="71EE57D3">
      <w:pPr>
        <w:pStyle w:val="14"/>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6、我方完全理解采购人不一定将合同授予最低报价的</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w:t>
      </w:r>
    </w:p>
    <w:p w14:paraId="12C2E2D3">
      <w:pPr>
        <w:pStyle w:val="14"/>
        <w:spacing w:after="0" w:line="500" w:lineRule="exact"/>
        <w:ind w:left="0" w:leftChars="0" w:firstLine="480" w:firstLineChars="200"/>
        <w:jc w:val="center"/>
        <w:rPr>
          <w:rFonts w:hint="eastAsia" w:ascii="宋体" w:hAnsi="宋体" w:eastAsia="宋体" w:cs="宋体"/>
          <w:bCs/>
          <w:color w:val="auto"/>
          <w:sz w:val="24"/>
          <w:szCs w:val="24"/>
          <w:highlight w:val="none"/>
        </w:rPr>
      </w:pPr>
    </w:p>
    <w:p w14:paraId="31BA24C9">
      <w:pPr>
        <w:pStyle w:val="14"/>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供应商</w:t>
      </w:r>
      <w:r>
        <w:rPr>
          <w:rFonts w:hint="eastAsia" w:ascii="宋体" w:hAnsi="宋体" w:eastAsia="宋体" w:cs="宋体"/>
          <w:bCs/>
          <w:color w:val="auto"/>
          <w:sz w:val="24"/>
          <w:szCs w:val="24"/>
          <w:highlight w:val="none"/>
        </w:rPr>
        <w:t>名称（盖章）：</w:t>
      </w:r>
    </w:p>
    <w:p w14:paraId="3CF564F4">
      <w:pPr>
        <w:pStyle w:val="14"/>
        <w:spacing w:after="0" w:line="500" w:lineRule="exact"/>
        <w:ind w:left="0" w:leftChars="0" w:firstLine="480" w:firstLineChars="2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2ED79EFE">
      <w:pPr>
        <w:pStyle w:val="14"/>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通讯地址：</w:t>
      </w:r>
    </w:p>
    <w:p w14:paraId="5E4AF76B">
      <w:pPr>
        <w:pStyle w:val="14"/>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p w14:paraId="109F7A8F">
      <w:pPr>
        <w:pStyle w:val="14"/>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    期：</w:t>
      </w:r>
    </w:p>
    <w:p w14:paraId="4BDF060A">
      <w:pPr>
        <w:pStyle w:val="81"/>
        <w:spacing w:line="460" w:lineRule="exact"/>
        <w:ind w:firstLine="3360" w:firstLineChars="1400"/>
        <w:rPr>
          <w:rFonts w:hint="eastAsia" w:ascii="宋体" w:hAnsi="宋体" w:eastAsia="宋体" w:cs="宋体"/>
          <w:bCs/>
          <w:color w:val="auto"/>
          <w:sz w:val="24"/>
          <w:szCs w:val="24"/>
          <w:highlight w:val="none"/>
        </w:rPr>
      </w:pPr>
    </w:p>
    <w:p w14:paraId="45237195">
      <w:pPr>
        <w:pStyle w:val="81"/>
        <w:spacing w:line="460" w:lineRule="exact"/>
        <w:ind w:firstLine="3360" w:firstLineChars="1400"/>
        <w:rPr>
          <w:rFonts w:hint="eastAsia" w:ascii="宋体" w:hAnsi="宋体" w:eastAsia="宋体" w:cs="宋体"/>
          <w:bCs/>
          <w:color w:val="auto"/>
          <w:sz w:val="24"/>
          <w:szCs w:val="24"/>
          <w:highlight w:val="none"/>
        </w:rPr>
      </w:pPr>
    </w:p>
    <w:p w14:paraId="1C761766">
      <w:pPr>
        <w:pStyle w:val="81"/>
        <w:spacing w:line="460" w:lineRule="exact"/>
        <w:ind w:firstLine="3360" w:firstLineChars="1400"/>
        <w:rPr>
          <w:rFonts w:hint="eastAsia" w:ascii="宋体" w:hAnsi="宋体" w:eastAsia="宋体" w:cs="宋体"/>
          <w:bCs/>
          <w:color w:val="auto"/>
          <w:sz w:val="24"/>
          <w:szCs w:val="24"/>
          <w:highlight w:val="none"/>
        </w:rPr>
      </w:pPr>
    </w:p>
    <w:p w14:paraId="0031F09D">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1"/>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法定代表人身份证明书及授权委托书</w:t>
      </w:r>
    </w:p>
    <w:p w14:paraId="494CC7FC">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身份证明书（</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为法人）</w:t>
      </w:r>
    </w:p>
    <w:p w14:paraId="688AE8EB">
      <w:pPr>
        <w:spacing w:line="500" w:lineRule="exact"/>
        <w:ind w:firstLine="480" w:firstLineChars="200"/>
        <w:rPr>
          <w:rFonts w:hint="eastAsia" w:ascii="宋体" w:hAnsi="宋体" w:eastAsia="宋体" w:cs="宋体"/>
          <w:b w:val="0"/>
          <w:bCs/>
          <w:color w:val="auto"/>
          <w:sz w:val="24"/>
          <w:szCs w:val="24"/>
          <w:highlight w:val="none"/>
          <w:u w:val="single"/>
          <w:lang w:val="en-US"/>
        </w:rPr>
      </w:pPr>
      <w:r>
        <w:rPr>
          <w:rFonts w:hint="eastAsia" w:ascii="宋体" w:hAnsi="宋体" w:eastAsia="宋体" w:cs="宋体"/>
          <w:b w:val="0"/>
          <w:bCs/>
          <w:color w:val="auto"/>
          <w:sz w:val="24"/>
          <w:szCs w:val="24"/>
          <w:highlight w:val="none"/>
        </w:rPr>
        <w:t>单位名称</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u w:val="single"/>
          <w:lang w:val="en-US" w:eastAsia="zh-CN"/>
        </w:rPr>
        <w:t xml:space="preserve">                                             </w:t>
      </w:r>
    </w:p>
    <w:p w14:paraId="6AF8477A">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地    址：</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p>
    <w:p w14:paraId="20376803">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姓    名：</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性别：</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年龄：</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职务：</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p>
    <w:p w14:paraId="36103777">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身份证号码：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p>
    <w:p w14:paraId="5A02E41A">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系</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的法定代表人，为具有参加</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（项目名称）的</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、签署上述</w:t>
      </w:r>
      <w:r>
        <w:rPr>
          <w:rFonts w:hint="eastAsia" w:ascii="宋体" w:hAnsi="宋体" w:eastAsia="宋体" w:cs="宋体"/>
          <w:b w:val="0"/>
          <w:bCs/>
          <w:color w:val="auto"/>
          <w:sz w:val="24"/>
          <w:szCs w:val="24"/>
          <w:highlight w:val="none"/>
          <w:lang w:val="en-US" w:eastAsia="zh-CN"/>
        </w:rPr>
        <w:t>响应</w:t>
      </w:r>
      <w:r>
        <w:rPr>
          <w:rFonts w:hint="eastAsia" w:ascii="宋体" w:hAnsi="宋体" w:eastAsia="宋体" w:cs="宋体"/>
          <w:b w:val="0"/>
          <w:bCs/>
          <w:color w:val="auto"/>
          <w:sz w:val="24"/>
          <w:szCs w:val="24"/>
          <w:highlight w:val="none"/>
        </w:rPr>
        <w:t>文件、进行合同谈判、签署合同和处理与之有关的一切事务权利的</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 xml:space="preserve">。 </w:t>
      </w:r>
    </w:p>
    <w:p w14:paraId="389DF9A9">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特此证明。</w:t>
      </w:r>
    </w:p>
    <w:p w14:paraId="148E46C0">
      <w:pPr>
        <w:spacing w:line="500" w:lineRule="exact"/>
        <w:ind w:firstLine="480" w:firstLineChars="200"/>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sz w:val="24"/>
          <w:szCs w:val="24"/>
          <w:highlight w:val="none"/>
        </w:rPr>
        <w:t>附</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法定代表人身份证正反面彩色扫描件</w:t>
      </w:r>
      <w:r>
        <w:rPr>
          <w:rFonts w:hint="eastAsia" w:ascii="宋体" w:hAnsi="宋体" w:eastAsia="宋体" w:cs="宋体"/>
          <w:b w:val="0"/>
          <w:bCs/>
          <w:color w:val="auto"/>
          <w:sz w:val="24"/>
          <w:szCs w:val="24"/>
          <w:highlight w:val="none"/>
          <w:lang w:eastAsia="zh-CN"/>
        </w:rPr>
        <w:t>。</w:t>
      </w:r>
    </w:p>
    <w:p w14:paraId="1CBE779F">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20C60D31">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388D5769">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0069B300">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strike w:val="0"/>
          <w:dstrike w:val="0"/>
          <w:color w:val="auto"/>
          <w:sz w:val="24"/>
          <w:szCs w:val="24"/>
          <w:highlight w:val="none"/>
        </w:rPr>
        <w:t>名称</w:t>
      </w:r>
      <w:r>
        <w:rPr>
          <w:rFonts w:hint="eastAsia" w:ascii="宋体" w:hAnsi="宋体" w:eastAsia="宋体" w:cs="宋体"/>
          <w:b w:val="0"/>
          <w:bCs/>
          <w:color w:val="auto"/>
          <w:sz w:val="24"/>
          <w:szCs w:val="24"/>
          <w:highlight w:val="none"/>
        </w:rPr>
        <w:t>（盖章）：</w:t>
      </w:r>
      <w:r>
        <w:rPr>
          <w:rFonts w:hint="eastAsia" w:ascii="宋体" w:hAnsi="宋体" w:eastAsia="宋体" w:cs="宋体"/>
          <w:b w:val="0"/>
          <w:bCs/>
          <w:color w:val="auto"/>
          <w:sz w:val="24"/>
          <w:szCs w:val="24"/>
          <w:highlight w:val="none"/>
          <w:u w:val="single"/>
        </w:rPr>
        <w:t xml:space="preserve">                  </w:t>
      </w:r>
    </w:p>
    <w:p w14:paraId="3FB94CB6">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lang w:val="en-US" w:eastAsia="zh-CN"/>
        </w:rPr>
        <w:t xml:space="preserve">  年   月   日</w:t>
      </w:r>
    </w:p>
    <w:p w14:paraId="33736911">
      <w:pPr>
        <w:spacing w:line="500" w:lineRule="exact"/>
        <w:ind w:firstLine="480" w:firstLineChars="200"/>
        <w:jc w:val="center"/>
        <w:rPr>
          <w:rFonts w:hint="eastAsia" w:ascii="宋体" w:hAnsi="宋体" w:eastAsia="宋体" w:cs="宋体"/>
          <w:b w:val="0"/>
          <w:bCs/>
          <w:color w:val="auto"/>
          <w:sz w:val="24"/>
          <w:szCs w:val="24"/>
          <w:highlight w:val="none"/>
        </w:rPr>
      </w:pPr>
    </w:p>
    <w:p w14:paraId="5A8ABF90">
      <w:pPr>
        <w:snapToGrid w:val="0"/>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br w:type="page"/>
      </w:r>
      <w:r>
        <w:rPr>
          <w:rFonts w:hint="eastAsia" w:ascii="宋体" w:hAnsi="宋体" w:eastAsia="宋体" w:cs="宋体"/>
          <w:b w:val="0"/>
          <w:bCs/>
          <w:color w:val="auto"/>
          <w:sz w:val="24"/>
          <w:szCs w:val="24"/>
          <w:highlight w:val="none"/>
        </w:rPr>
        <w:t>身份证明书（</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为</w:t>
      </w:r>
      <w:r>
        <w:rPr>
          <w:rFonts w:hint="eastAsia" w:ascii="宋体" w:hAnsi="宋体" w:eastAsia="宋体" w:cs="宋体"/>
          <w:b w:val="0"/>
          <w:bCs/>
          <w:color w:val="auto"/>
          <w:sz w:val="24"/>
          <w:szCs w:val="24"/>
          <w:highlight w:val="none"/>
          <w:lang w:val="en-US" w:eastAsia="zh-CN"/>
        </w:rPr>
        <w:t>非法人</w:t>
      </w:r>
      <w:r>
        <w:rPr>
          <w:rFonts w:hint="eastAsia" w:ascii="宋体" w:hAnsi="宋体" w:eastAsia="宋体" w:cs="宋体"/>
          <w:b w:val="0"/>
          <w:bCs/>
          <w:color w:val="auto"/>
          <w:sz w:val="24"/>
          <w:szCs w:val="24"/>
          <w:highlight w:val="none"/>
        </w:rPr>
        <w:t>）</w:t>
      </w:r>
    </w:p>
    <w:p w14:paraId="4BB2DA7E">
      <w:pPr>
        <w:snapToGrid w:val="0"/>
        <w:spacing w:line="500" w:lineRule="exact"/>
        <w:ind w:firstLine="480" w:firstLineChars="200"/>
        <w:rPr>
          <w:rFonts w:hint="eastAsia" w:ascii="宋体" w:hAnsi="宋体" w:eastAsia="宋体" w:cs="宋体"/>
          <w:b w:val="0"/>
          <w:bCs/>
          <w:color w:val="auto"/>
          <w:sz w:val="24"/>
          <w:szCs w:val="24"/>
          <w:highlight w:val="none"/>
        </w:rPr>
      </w:pPr>
    </w:p>
    <w:p w14:paraId="668EFE7A">
      <w:pPr>
        <w:snapToGrid w:val="0"/>
        <w:spacing w:line="500" w:lineRule="exact"/>
        <w:ind w:firstLine="480" w:firstLineChars="200"/>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姓    名：</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性别：</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年龄：</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职务：</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w:t>
      </w:r>
      <w:r>
        <w:rPr>
          <w:rFonts w:hint="eastAsia" w:ascii="宋体" w:hAnsi="宋体" w:eastAsia="宋体" w:cs="宋体"/>
          <w:b w:val="0"/>
          <w:bCs/>
          <w:color w:val="auto"/>
          <w:sz w:val="24"/>
          <w:szCs w:val="24"/>
          <w:highlight w:val="none"/>
          <w:u w:val="single"/>
        </w:rPr>
        <w:t xml:space="preserve">       </w:t>
      </w:r>
    </w:p>
    <w:p w14:paraId="39987035">
      <w:pPr>
        <w:snapToGrid w:val="0"/>
        <w:spacing w:line="500" w:lineRule="exact"/>
        <w:ind w:firstLine="480" w:firstLineChars="200"/>
        <w:rPr>
          <w:rFonts w:hint="eastAsia" w:ascii="宋体" w:hAnsi="宋体" w:eastAsia="宋体" w:cs="宋体"/>
          <w:b w:val="0"/>
          <w:bCs/>
          <w:color w:val="auto"/>
          <w:sz w:val="24"/>
          <w:szCs w:val="24"/>
          <w:highlight w:val="none"/>
          <w:u w:val="single"/>
          <w:lang w:eastAsia="zh-CN"/>
        </w:rPr>
      </w:pPr>
      <w:r>
        <w:rPr>
          <w:rFonts w:hint="eastAsia" w:ascii="宋体" w:hAnsi="宋体" w:eastAsia="宋体" w:cs="宋体"/>
          <w:b w:val="0"/>
          <w:bCs/>
          <w:color w:val="auto"/>
          <w:sz w:val="24"/>
          <w:szCs w:val="24"/>
          <w:highlight w:val="none"/>
        </w:rPr>
        <w:t>地    址：</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w:t>
      </w:r>
    </w:p>
    <w:p w14:paraId="00A3DE35">
      <w:pPr>
        <w:snapToGrid w:val="0"/>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身份证号码：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w:t>
      </w:r>
      <w:r>
        <w:rPr>
          <w:rFonts w:hint="eastAsia" w:ascii="宋体" w:hAnsi="宋体" w:eastAsia="宋体" w:cs="宋体"/>
          <w:b w:val="0"/>
          <w:bCs/>
          <w:color w:val="auto"/>
          <w:sz w:val="24"/>
          <w:szCs w:val="24"/>
          <w:highlight w:val="none"/>
          <w:u w:val="single"/>
        </w:rPr>
        <w:t xml:space="preserve">                                           </w:t>
      </w:r>
    </w:p>
    <w:p w14:paraId="5AA92CE4">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为具有参加</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（项目名称）的</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、签署上述</w:t>
      </w:r>
      <w:r>
        <w:rPr>
          <w:rFonts w:hint="eastAsia" w:ascii="宋体" w:hAnsi="宋体" w:eastAsia="宋体" w:cs="宋体"/>
          <w:b w:val="0"/>
          <w:bCs/>
          <w:color w:val="auto"/>
          <w:sz w:val="24"/>
          <w:szCs w:val="24"/>
          <w:highlight w:val="none"/>
          <w:lang w:val="en-US" w:eastAsia="zh-CN"/>
        </w:rPr>
        <w:t>响应</w:t>
      </w:r>
      <w:r>
        <w:rPr>
          <w:rFonts w:hint="eastAsia" w:ascii="宋体" w:hAnsi="宋体" w:eastAsia="宋体" w:cs="宋体"/>
          <w:b w:val="0"/>
          <w:bCs/>
          <w:color w:val="auto"/>
          <w:sz w:val="24"/>
          <w:szCs w:val="24"/>
          <w:highlight w:val="none"/>
        </w:rPr>
        <w:t>文件、进行合同谈判、签署合同和处理与之有关的一切事务权利的</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 xml:space="preserve">。 </w:t>
      </w:r>
    </w:p>
    <w:p w14:paraId="4843B1A9">
      <w:pPr>
        <w:snapToGrid w:val="0"/>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特此证明。</w:t>
      </w:r>
    </w:p>
    <w:p w14:paraId="071CE50E">
      <w:pPr>
        <w:snapToGrid w:val="0"/>
        <w:spacing w:line="500" w:lineRule="exact"/>
        <w:ind w:firstLine="480" w:firstLineChars="200"/>
        <w:rPr>
          <w:rFonts w:hint="eastAsia" w:ascii="宋体" w:hAnsi="宋体" w:eastAsia="宋体" w:cs="宋体"/>
          <w:b w:val="0"/>
          <w:bCs/>
          <w:color w:val="auto"/>
          <w:kern w:val="0"/>
          <w:sz w:val="24"/>
          <w:szCs w:val="24"/>
          <w:highlight w:val="none"/>
          <w:lang w:eastAsia="zh-CN"/>
        </w:rPr>
      </w:pPr>
      <w:r>
        <w:rPr>
          <w:rFonts w:hint="eastAsia" w:ascii="宋体" w:hAnsi="宋体" w:eastAsia="宋体" w:cs="宋体"/>
          <w:b w:val="0"/>
          <w:bCs/>
          <w:color w:val="auto"/>
          <w:sz w:val="24"/>
          <w:szCs w:val="24"/>
          <w:highlight w:val="none"/>
        </w:rPr>
        <w:t>附</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身份证正反面彩色扫描件</w:t>
      </w:r>
      <w:r>
        <w:rPr>
          <w:rFonts w:hint="eastAsia" w:ascii="宋体" w:hAnsi="宋体" w:eastAsia="宋体" w:cs="宋体"/>
          <w:b w:val="0"/>
          <w:bCs/>
          <w:color w:val="auto"/>
          <w:sz w:val="24"/>
          <w:szCs w:val="24"/>
          <w:highlight w:val="none"/>
          <w:lang w:eastAsia="zh-CN"/>
        </w:rPr>
        <w:t>。</w:t>
      </w:r>
    </w:p>
    <w:p w14:paraId="2F065CED">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4E9F294C">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157231F4">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07D35246">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p>
    <w:p w14:paraId="6D8946E2">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签字或</w:t>
      </w:r>
      <w:r>
        <w:rPr>
          <w:rFonts w:hint="eastAsia" w:ascii="宋体" w:hAnsi="宋体" w:eastAsia="宋体" w:cs="宋体"/>
          <w:b w:val="0"/>
          <w:bCs/>
          <w:color w:val="auto"/>
          <w:sz w:val="24"/>
          <w:szCs w:val="24"/>
          <w:highlight w:val="none"/>
        </w:rPr>
        <w:t>盖章</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u w:val="single"/>
        </w:rPr>
        <w:t xml:space="preserve">                  </w:t>
      </w:r>
    </w:p>
    <w:p w14:paraId="5986570C">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lang w:val="en-US" w:eastAsia="zh-CN"/>
        </w:rPr>
        <w:t xml:space="preserve">  年   月   日</w:t>
      </w:r>
    </w:p>
    <w:p w14:paraId="1083196D">
      <w:pPr>
        <w:snapToGrid w:val="0"/>
        <w:spacing w:line="500" w:lineRule="exact"/>
        <w:ind w:firstLine="480" w:firstLineChars="200"/>
        <w:jc w:val="center"/>
        <w:rPr>
          <w:rFonts w:hint="eastAsia" w:ascii="宋体" w:hAnsi="宋体" w:eastAsia="宋体" w:cs="宋体"/>
          <w:b w:val="0"/>
          <w:bCs/>
          <w:color w:val="auto"/>
          <w:sz w:val="24"/>
          <w:szCs w:val="24"/>
          <w:highlight w:val="none"/>
        </w:rPr>
      </w:pPr>
    </w:p>
    <w:p w14:paraId="194AC9E5">
      <w:pPr>
        <w:snapToGrid w:val="0"/>
        <w:spacing w:line="500" w:lineRule="exact"/>
        <w:ind w:firstLine="480" w:firstLineChars="200"/>
        <w:jc w:val="center"/>
        <w:rPr>
          <w:rFonts w:hint="eastAsia" w:ascii="宋体" w:hAnsi="宋体" w:eastAsia="宋体" w:cs="宋体"/>
          <w:b w:val="0"/>
          <w:bCs/>
          <w:color w:val="auto"/>
          <w:sz w:val="24"/>
          <w:szCs w:val="24"/>
          <w:highlight w:val="none"/>
        </w:rPr>
      </w:pPr>
    </w:p>
    <w:p w14:paraId="41139479">
      <w:pPr>
        <w:pStyle w:val="10"/>
        <w:rPr>
          <w:rFonts w:hint="eastAsia" w:ascii="宋体" w:hAnsi="宋体" w:eastAsia="宋体" w:cs="宋体"/>
          <w:b w:val="0"/>
          <w:bCs/>
          <w:color w:val="auto"/>
          <w:sz w:val="24"/>
          <w:szCs w:val="24"/>
          <w:highlight w:val="none"/>
        </w:rPr>
      </w:pPr>
    </w:p>
    <w:p w14:paraId="1D253D32">
      <w:pPr>
        <w:pStyle w:val="10"/>
        <w:rPr>
          <w:rFonts w:hint="eastAsia" w:ascii="宋体" w:hAnsi="宋体" w:eastAsia="宋体" w:cs="宋体"/>
          <w:b w:val="0"/>
          <w:bCs/>
          <w:color w:val="auto"/>
          <w:sz w:val="24"/>
          <w:szCs w:val="24"/>
          <w:highlight w:val="none"/>
        </w:rPr>
      </w:pPr>
    </w:p>
    <w:p w14:paraId="1AE88828">
      <w:pPr>
        <w:pStyle w:val="10"/>
        <w:rPr>
          <w:rFonts w:hint="eastAsia" w:ascii="宋体" w:hAnsi="宋体" w:eastAsia="宋体" w:cs="宋体"/>
          <w:b w:val="0"/>
          <w:bCs/>
          <w:color w:val="auto"/>
          <w:sz w:val="24"/>
          <w:szCs w:val="24"/>
          <w:highlight w:val="none"/>
        </w:rPr>
      </w:pPr>
    </w:p>
    <w:p w14:paraId="04A37496">
      <w:pPr>
        <w:pStyle w:val="10"/>
        <w:rPr>
          <w:rFonts w:hint="eastAsia" w:ascii="宋体" w:hAnsi="宋体" w:eastAsia="宋体" w:cs="宋体"/>
          <w:b w:val="0"/>
          <w:bCs/>
          <w:color w:val="auto"/>
          <w:sz w:val="24"/>
          <w:szCs w:val="24"/>
          <w:highlight w:val="none"/>
        </w:rPr>
      </w:pPr>
    </w:p>
    <w:p w14:paraId="6B7184E6">
      <w:pPr>
        <w:pStyle w:val="10"/>
        <w:rPr>
          <w:rFonts w:hint="eastAsia" w:ascii="宋体" w:hAnsi="宋体" w:eastAsia="宋体" w:cs="宋体"/>
          <w:b w:val="0"/>
          <w:bCs/>
          <w:color w:val="auto"/>
          <w:sz w:val="24"/>
          <w:szCs w:val="24"/>
          <w:highlight w:val="none"/>
        </w:rPr>
      </w:pPr>
    </w:p>
    <w:p w14:paraId="71EFF48F">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br w:type="page"/>
      </w:r>
      <w:r>
        <w:rPr>
          <w:rFonts w:hint="eastAsia" w:ascii="宋体" w:hAnsi="宋体" w:eastAsia="宋体" w:cs="宋体"/>
          <w:b w:val="0"/>
          <w:bCs/>
          <w:color w:val="auto"/>
          <w:sz w:val="24"/>
          <w:szCs w:val="24"/>
          <w:highlight w:val="none"/>
        </w:rPr>
        <w:t>法定代表人授权委托书（</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为法人）</w:t>
      </w:r>
    </w:p>
    <w:p w14:paraId="7AF1FA6B">
      <w:pPr>
        <w:pStyle w:val="26"/>
        <w:spacing w:line="500" w:lineRule="exact"/>
        <w:ind w:firstLine="480" w:firstLineChars="200"/>
        <w:rPr>
          <w:rFonts w:hint="eastAsia" w:ascii="宋体" w:hAnsi="宋体" w:eastAsia="宋体" w:cs="宋体"/>
          <w:b w:val="0"/>
          <w:bCs/>
          <w:color w:val="auto"/>
          <w:sz w:val="24"/>
          <w:szCs w:val="24"/>
          <w:highlight w:val="none"/>
        </w:rPr>
      </w:pPr>
    </w:p>
    <w:p w14:paraId="0E3134CF">
      <w:pPr>
        <w:spacing w:line="500" w:lineRule="exac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（采购人</w:t>
      </w:r>
      <w:r>
        <w:rPr>
          <w:rFonts w:hint="eastAsia" w:ascii="宋体" w:hAnsi="宋体" w:eastAsia="宋体" w:cs="宋体"/>
          <w:b w:val="0"/>
          <w:bCs/>
          <w:color w:val="auto"/>
          <w:sz w:val="24"/>
          <w:szCs w:val="24"/>
          <w:highlight w:val="none"/>
          <w:lang w:val="en-US" w:eastAsia="zh-CN"/>
        </w:rPr>
        <w:t>名称</w:t>
      </w:r>
      <w:r>
        <w:rPr>
          <w:rFonts w:hint="eastAsia" w:ascii="宋体" w:hAnsi="宋体" w:eastAsia="宋体" w:cs="宋体"/>
          <w:b w:val="0"/>
          <w:bCs/>
          <w:color w:val="auto"/>
          <w:sz w:val="24"/>
          <w:szCs w:val="24"/>
          <w:highlight w:val="none"/>
        </w:rPr>
        <w:t>）：</w:t>
      </w:r>
    </w:p>
    <w:p w14:paraId="76A51A26">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本授权声明：</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（法定代表人姓名、职务）授权</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（被授权人姓名、职务）为我方 “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（项目名称、项目编号）”项</w:t>
      </w:r>
      <w:r>
        <w:rPr>
          <w:rFonts w:hint="eastAsia" w:ascii="宋体" w:hAnsi="宋体" w:eastAsia="宋体" w:cs="宋体"/>
          <w:b w:val="0"/>
          <w:bCs/>
          <w:strike w:val="0"/>
          <w:dstrike w:val="0"/>
          <w:color w:val="auto"/>
          <w:sz w:val="24"/>
          <w:szCs w:val="24"/>
          <w:highlight w:val="none"/>
          <w:u w:val="none"/>
        </w:rPr>
        <w:t>目</w:t>
      </w:r>
      <w:r>
        <w:rPr>
          <w:rFonts w:hint="eastAsia" w:ascii="宋体" w:hAnsi="宋体" w:eastAsia="宋体" w:cs="宋体"/>
          <w:b w:val="0"/>
          <w:bCs/>
          <w:strike w:val="0"/>
          <w:dstrike w:val="0"/>
          <w:color w:val="auto"/>
          <w:sz w:val="24"/>
          <w:szCs w:val="24"/>
          <w:highlight w:val="none"/>
          <w:lang w:val="en-US" w:eastAsia="zh-CN"/>
        </w:rPr>
        <w:t>磋商</w:t>
      </w:r>
      <w:r>
        <w:rPr>
          <w:rFonts w:hint="eastAsia" w:ascii="宋体" w:hAnsi="宋体" w:eastAsia="宋体" w:cs="宋体"/>
          <w:b w:val="0"/>
          <w:bCs/>
          <w:color w:val="auto"/>
          <w:sz w:val="24"/>
          <w:szCs w:val="24"/>
          <w:highlight w:val="none"/>
        </w:rPr>
        <w:t>活动的合法代表，以我方名义全权处理该项目有关</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、签订合同以及执行合同等一切事宜。</w:t>
      </w:r>
    </w:p>
    <w:p w14:paraId="57303294">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被授权人无权转让本授权，</w:t>
      </w:r>
      <w:r>
        <w:rPr>
          <w:rFonts w:hint="eastAsia" w:ascii="宋体" w:hAnsi="宋体" w:eastAsia="宋体" w:cs="宋体"/>
          <w:b w:val="0"/>
          <w:bCs/>
          <w:color w:val="auto"/>
          <w:sz w:val="24"/>
          <w:szCs w:val="24"/>
          <w:highlight w:val="none"/>
        </w:rPr>
        <w:t>特此声明。</w:t>
      </w:r>
    </w:p>
    <w:p w14:paraId="5BF667AF">
      <w:pPr>
        <w:spacing w:line="500" w:lineRule="exact"/>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附：法定代表人及被授权人身份证正反面彩色扫描件</w:t>
      </w:r>
      <w:r>
        <w:rPr>
          <w:rFonts w:hint="eastAsia" w:ascii="宋体" w:hAnsi="宋体" w:eastAsia="宋体" w:cs="宋体"/>
          <w:b w:val="0"/>
          <w:bCs/>
          <w:color w:val="auto"/>
          <w:sz w:val="24"/>
          <w:szCs w:val="24"/>
          <w:highlight w:val="none"/>
          <w:lang w:eastAsia="zh-CN"/>
        </w:rPr>
        <w:t>。</w:t>
      </w:r>
    </w:p>
    <w:p w14:paraId="0EBE36C9">
      <w:pPr>
        <w:pStyle w:val="26"/>
        <w:spacing w:line="500" w:lineRule="exact"/>
        <w:ind w:firstLine="480" w:firstLineChars="200"/>
        <w:rPr>
          <w:rFonts w:hint="eastAsia" w:ascii="宋体" w:hAnsi="宋体" w:eastAsia="宋体" w:cs="宋体"/>
          <w:b w:val="0"/>
          <w:bCs/>
          <w:color w:val="auto"/>
          <w:sz w:val="24"/>
          <w:szCs w:val="24"/>
          <w:highlight w:val="none"/>
        </w:rPr>
      </w:pPr>
    </w:p>
    <w:p w14:paraId="6783BC78">
      <w:pPr>
        <w:spacing w:line="500" w:lineRule="exact"/>
        <w:ind w:firstLine="480" w:firstLineChars="200"/>
        <w:rPr>
          <w:rFonts w:hint="eastAsia" w:ascii="宋体" w:hAnsi="宋体" w:eastAsia="宋体" w:cs="宋体"/>
          <w:b w:val="0"/>
          <w:bCs/>
          <w:color w:val="auto"/>
          <w:sz w:val="24"/>
          <w:szCs w:val="24"/>
          <w:highlight w:val="none"/>
        </w:rPr>
      </w:pPr>
    </w:p>
    <w:p w14:paraId="49A72E07">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法定代表人（</w:t>
      </w:r>
      <w:r>
        <w:rPr>
          <w:rFonts w:hint="eastAsia" w:ascii="宋体" w:hAnsi="宋体" w:eastAsia="宋体" w:cs="宋体"/>
          <w:b w:val="0"/>
          <w:bCs/>
          <w:color w:val="auto"/>
          <w:sz w:val="24"/>
          <w:szCs w:val="24"/>
          <w:highlight w:val="none"/>
          <w:lang w:eastAsia="zh-CN"/>
        </w:rPr>
        <w:t>签字或盖章</w:t>
      </w:r>
      <w:r>
        <w:rPr>
          <w:rFonts w:hint="eastAsia" w:ascii="宋体" w:hAnsi="宋体" w:eastAsia="宋体" w:cs="宋体"/>
          <w:b w:val="0"/>
          <w:bCs/>
          <w:color w:val="auto"/>
          <w:sz w:val="24"/>
          <w:szCs w:val="24"/>
          <w:highlight w:val="none"/>
        </w:rPr>
        <w:t>）：</w:t>
      </w:r>
    </w:p>
    <w:p w14:paraId="61AE21BF">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被授权人（签字）：</w:t>
      </w:r>
    </w:p>
    <w:p w14:paraId="145462B6">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 xml:space="preserve">名称（盖章）：   </w:t>
      </w:r>
    </w:p>
    <w:p w14:paraId="6F4E54E3">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lang w:val="en-US" w:eastAsia="zh-CN"/>
        </w:rPr>
        <w:t xml:space="preserve">  年   月   日</w:t>
      </w:r>
    </w:p>
    <w:p w14:paraId="745050FD">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br w:type="page"/>
      </w:r>
      <w:r>
        <w:rPr>
          <w:rFonts w:hint="eastAsia" w:ascii="宋体" w:hAnsi="宋体" w:eastAsia="宋体" w:cs="宋体"/>
          <w:b w:val="0"/>
          <w:bCs/>
          <w:color w:val="auto"/>
          <w:sz w:val="24"/>
          <w:szCs w:val="24"/>
          <w:highlight w:val="none"/>
        </w:rPr>
        <w:t>授权委托书（</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为非法人）</w:t>
      </w:r>
    </w:p>
    <w:p w14:paraId="07A46C1F">
      <w:pPr>
        <w:spacing w:line="500" w:lineRule="exact"/>
        <w:ind w:firstLine="480" w:firstLineChars="200"/>
        <w:rPr>
          <w:rFonts w:hint="eastAsia" w:ascii="宋体" w:hAnsi="宋体" w:eastAsia="宋体" w:cs="宋体"/>
          <w:b w:val="0"/>
          <w:bCs/>
          <w:color w:val="auto"/>
          <w:sz w:val="24"/>
          <w:szCs w:val="24"/>
          <w:highlight w:val="none"/>
        </w:rPr>
      </w:pPr>
    </w:p>
    <w:p w14:paraId="680EA6E9">
      <w:pPr>
        <w:spacing w:line="500" w:lineRule="exac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_______（采购人</w:t>
      </w:r>
      <w:r>
        <w:rPr>
          <w:rFonts w:hint="eastAsia" w:ascii="宋体" w:hAnsi="宋体" w:eastAsia="宋体" w:cs="宋体"/>
          <w:b w:val="0"/>
          <w:bCs/>
          <w:color w:val="auto"/>
          <w:sz w:val="24"/>
          <w:szCs w:val="24"/>
          <w:highlight w:val="none"/>
          <w:lang w:val="en-US" w:eastAsia="zh-CN"/>
        </w:rPr>
        <w:t>名称</w:t>
      </w:r>
      <w:r>
        <w:rPr>
          <w:rFonts w:hint="eastAsia" w:ascii="宋体" w:hAnsi="宋体" w:eastAsia="宋体" w:cs="宋体"/>
          <w:b w:val="0"/>
          <w:bCs/>
          <w:color w:val="auto"/>
          <w:sz w:val="24"/>
          <w:szCs w:val="24"/>
          <w:highlight w:val="none"/>
        </w:rPr>
        <w:t>）：</w:t>
      </w:r>
    </w:p>
    <w:p w14:paraId="190A4E5C">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本授权声明：</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名称）授权</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（被授权人姓名、职务）</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为我方 “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（项目名称、项目编号）” 项目</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活动的合法代表，以我方名义全权处理该项目有关</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、签订合同以及执行合同等一切事宜。</w:t>
      </w:r>
    </w:p>
    <w:p w14:paraId="4F2A1CC5">
      <w:pPr>
        <w:spacing w:line="50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被授权人无权转让本授权，</w:t>
      </w:r>
      <w:r>
        <w:rPr>
          <w:rFonts w:hint="eastAsia" w:ascii="宋体" w:hAnsi="宋体" w:eastAsia="宋体" w:cs="宋体"/>
          <w:b w:val="0"/>
          <w:bCs/>
          <w:color w:val="auto"/>
          <w:sz w:val="24"/>
          <w:szCs w:val="24"/>
          <w:highlight w:val="none"/>
        </w:rPr>
        <w:t>特此声明。</w:t>
      </w:r>
    </w:p>
    <w:p w14:paraId="6328DD24">
      <w:pPr>
        <w:spacing w:line="500" w:lineRule="exact"/>
        <w:ind w:firstLine="480" w:firstLineChars="200"/>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附：授权人及被授权人身份证正反面彩色扫描件</w:t>
      </w:r>
      <w:r>
        <w:rPr>
          <w:rFonts w:hint="eastAsia" w:ascii="宋体" w:hAnsi="宋体" w:eastAsia="宋体" w:cs="宋体"/>
          <w:b w:val="0"/>
          <w:bCs/>
          <w:color w:val="auto"/>
          <w:sz w:val="24"/>
          <w:szCs w:val="24"/>
          <w:highlight w:val="none"/>
          <w:lang w:eastAsia="zh-CN"/>
        </w:rPr>
        <w:t>。</w:t>
      </w:r>
    </w:p>
    <w:p w14:paraId="56D811C9">
      <w:pPr>
        <w:pStyle w:val="26"/>
        <w:spacing w:line="500" w:lineRule="exact"/>
        <w:ind w:firstLine="480" w:firstLineChars="200"/>
        <w:rPr>
          <w:rFonts w:hint="eastAsia" w:ascii="宋体" w:hAnsi="宋体" w:eastAsia="宋体" w:cs="宋体"/>
          <w:b w:val="0"/>
          <w:bCs/>
          <w:color w:val="auto"/>
          <w:sz w:val="24"/>
          <w:szCs w:val="24"/>
          <w:highlight w:val="none"/>
        </w:rPr>
      </w:pPr>
    </w:p>
    <w:p w14:paraId="6E0B3272">
      <w:pPr>
        <w:spacing w:line="500" w:lineRule="exact"/>
        <w:ind w:firstLine="480" w:firstLineChars="200"/>
        <w:rPr>
          <w:rFonts w:hint="eastAsia" w:ascii="宋体" w:hAnsi="宋体" w:eastAsia="宋体" w:cs="宋体"/>
          <w:b w:val="0"/>
          <w:bCs/>
          <w:color w:val="auto"/>
          <w:sz w:val="24"/>
          <w:szCs w:val="24"/>
          <w:highlight w:val="none"/>
        </w:rPr>
      </w:pPr>
    </w:p>
    <w:p w14:paraId="28C3183A">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授权人（</w:t>
      </w:r>
      <w:r>
        <w:rPr>
          <w:rFonts w:hint="eastAsia" w:ascii="宋体" w:hAnsi="宋体" w:eastAsia="宋体" w:cs="宋体"/>
          <w:b w:val="0"/>
          <w:bCs/>
          <w:color w:val="auto"/>
          <w:sz w:val="24"/>
          <w:szCs w:val="24"/>
          <w:highlight w:val="none"/>
          <w:lang w:eastAsia="zh-CN"/>
        </w:rPr>
        <w:t>签字或盖章</w:t>
      </w:r>
      <w:r>
        <w:rPr>
          <w:rFonts w:hint="eastAsia" w:ascii="宋体" w:hAnsi="宋体" w:eastAsia="宋体" w:cs="宋体"/>
          <w:b w:val="0"/>
          <w:bCs/>
          <w:color w:val="auto"/>
          <w:sz w:val="24"/>
          <w:szCs w:val="24"/>
          <w:highlight w:val="none"/>
        </w:rPr>
        <w:t>）：</w:t>
      </w:r>
    </w:p>
    <w:p w14:paraId="7F79B70F">
      <w:pPr>
        <w:spacing w:line="500" w:lineRule="exact"/>
        <w:ind w:firstLine="480" w:firstLineChars="20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被授权人（签字）：</w:t>
      </w:r>
    </w:p>
    <w:p w14:paraId="395F4623">
      <w:pPr>
        <w:spacing w:line="500" w:lineRule="exact"/>
        <w:ind w:firstLine="480" w:firstLineChars="20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日    期：</w:t>
      </w:r>
      <w:r>
        <w:rPr>
          <w:rFonts w:hint="eastAsia" w:ascii="宋体" w:hAnsi="宋体" w:eastAsia="宋体" w:cs="宋体"/>
          <w:b w:val="0"/>
          <w:bCs/>
          <w:color w:val="auto"/>
          <w:sz w:val="24"/>
          <w:szCs w:val="24"/>
          <w:highlight w:val="none"/>
          <w:lang w:val="en-US" w:eastAsia="zh-CN"/>
        </w:rPr>
        <w:t xml:space="preserve">  年   月   日</w:t>
      </w:r>
    </w:p>
    <w:p w14:paraId="3AB97C0F">
      <w:pPr>
        <w:spacing w:line="500" w:lineRule="exact"/>
        <w:jc w:val="center"/>
        <w:outlineLvl w:val="1"/>
        <w:rPr>
          <w:rFonts w:hint="eastAsia" w:ascii="宋体" w:hAnsi="宋体" w:eastAsia="宋体" w:cs="宋体"/>
          <w:color w:val="auto"/>
          <w:sz w:val="24"/>
          <w:szCs w:val="24"/>
          <w:highlight w:val="none"/>
        </w:rPr>
      </w:pPr>
      <w:r>
        <w:rPr>
          <w:rFonts w:hint="eastAsia" w:ascii="宋体" w:hAnsi="宋体" w:eastAsia="宋体" w:cs="宋体"/>
          <w:b w:val="0"/>
          <w:bCs/>
          <w:color w:val="auto"/>
          <w:kern w:val="0"/>
          <w:sz w:val="24"/>
          <w:szCs w:val="24"/>
          <w:highlight w:val="none"/>
          <w:shd w:val="clear" w:color="auto" w:fill="auto"/>
          <w:lang w:val="en-US" w:eastAsia="zh-CN"/>
        </w:rPr>
        <w:br w:type="page"/>
      </w:r>
      <w:r>
        <w:rPr>
          <w:rFonts w:hint="eastAsia" w:ascii="宋体" w:hAnsi="宋体" w:eastAsia="宋体" w:cs="宋体"/>
          <w:b/>
          <w:bCs/>
          <w:color w:val="auto"/>
          <w:sz w:val="24"/>
          <w:szCs w:val="24"/>
          <w:highlight w:val="none"/>
        </w:rPr>
        <w:t>三、投标报价明细表</w:t>
      </w:r>
    </w:p>
    <w:p w14:paraId="6365EC31">
      <w:pPr>
        <w:spacing w:line="500" w:lineRule="exact"/>
        <w:jc w:val="left"/>
        <w:rPr>
          <w:rFonts w:hint="eastAsia" w:ascii="宋体" w:hAnsi="宋体" w:eastAsia="宋体" w:cs="宋体"/>
          <w:color w:val="auto"/>
          <w:sz w:val="24"/>
          <w:szCs w:val="24"/>
          <w:highlight w:val="none"/>
        </w:rPr>
      </w:pPr>
    </w:p>
    <w:p w14:paraId="08F56358">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货币单位：人民币</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w:t>
      </w:r>
    </w:p>
    <w:tbl>
      <w:tblPr>
        <w:tblStyle w:val="27"/>
        <w:tblW w:w="10718" w:type="dxa"/>
        <w:tblInd w:w="-10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08"/>
        <w:gridCol w:w="698"/>
        <w:gridCol w:w="1004"/>
        <w:gridCol w:w="1208"/>
        <w:gridCol w:w="1056"/>
        <w:gridCol w:w="753"/>
        <w:gridCol w:w="789"/>
        <w:gridCol w:w="718"/>
        <w:gridCol w:w="741"/>
        <w:gridCol w:w="781"/>
        <w:gridCol w:w="798"/>
      </w:tblGrid>
      <w:tr w14:paraId="1BFE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64" w:type="dxa"/>
            <w:vAlign w:val="center"/>
          </w:tcPr>
          <w:p w14:paraId="27F634FC">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序号</w:t>
            </w:r>
          </w:p>
        </w:tc>
        <w:tc>
          <w:tcPr>
            <w:tcW w:w="1408" w:type="dxa"/>
            <w:vAlign w:val="center"/>
          </w:tcPr>
          <w:p w14:paraId="46522AE9">
            <w:pPr>
              <w:spacing w:line="360" w:lineRule="auto"/>
              <w:jc w:val="center"/>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货物</w:t>
            </w:r>
            <w:r>
              <w:rPr>
                <w:rFonts w:hint="eastAsia" w:ascii="宋体" w:hAnsi="宋体" w:eastAsia="宋体" w:cs="宋体"/>
                <w:b w:val="0"/>
                <w:bCs w:val="0"/>
                <w:color w:val="auto"/>
                <w:sz w:val="24"/>
                <w:highlight w:val="none"/>
              </w:rPr>
              <w:t>名称</w:t>
            </w:r>
          </w:p>
        </w:tc>
        <w:tc>
          <w:tcPr>
            <w:tcW w:w="698" w:type="dxa"/>
            <w:vAlign w:val="center"/>
          </w:tcPr>
          <w:p w14:paraId="75DC798C">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品牌</w:t>
            </w:r>
          </w:p>
        </w:tc>
        <w:tc>
          <w:tcPr>
            <w:tcW w:w="1004" w:type="dxa"/>
            <w:vAlign w:val="center"/>
          </w:tcPr>
          <w:p w14:paraId="3ADC2E28">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型号规格</w:t>
            </w:r>
          </w:p>
        </w:tc>
        <w:tc>
          <w:tcPr>
            <w:tcW w:w="1208" w:type="dxa"/>
            <w:vAlign w:val="center"/>
          </w:tcPr>
          <w:p w14:paraId="31982729">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参数</w:t>
            </w:r>
          </w:p>
        </w:tc>
        <w:tc>
          <w:tcPr>
            <w:tcW w:w="1056" w:type="dxa"/>
            <w:vAlign w:val="center"/>
          </w:tcPr>
          <w:p w14:paraId="44F4ECF4">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制造商名称</w:t>
            </w:r>
          </w:p>
        </w:tc>
        <w:tc>
          <w:tcPr>
            <w:tcW w:w="753" w:type="dxa"/>
            <w:vAlign w:val="center"/>
          </w:tcPr>
          <w:p w14:paraId="772C50D7">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产地</w:t>
            </w:r>
          </w:p>
        </w:tc>
        <w:tc>
          <w:tcPr>
            <w:tcW w:w="789" w:type="dxa"/>
            <w:vAlign w:val="center"/>
          </w:tcPr>
          <w:p w14:paraId="35DD1FBA">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数量</w:t>
            </w:r>
          </w:p>
        </w:tc>
        <w:tc>
          <w:tcPr>
            <w:tcW w:w="718" w:type="dxa"/>
            <w:vAlign w:val="center"/>
          </w:tcPr>
          <w:p w14:paraId="46F4F995">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单位</w:t>
            </w:r>
          </w:p>
        </w:tc>
        <w:tc>
          <w:tcPr>
            <w:tcW w:w="741" w:type="dxa"/>
            <w:vAlign w:val="center"/>
          </w:tcPr>
          <w:p w14:paraId="3A94766E">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单价</w:t>
            </w:r>
          </w:p>
        </w:tc>
        <w:tc>
          <w:tcPr>
            <w:tcW w:w="781" w:type="dxa"/>
            <w:vAlign w:val="center"/>
          </w:tcPr>
          <w:p w14:paraId="2333CBFC">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合价</w:t>
            </w:r>
          </w:p>
        </w:tc>
        <w:tc>
          <w:tcPr>
            <w:tcW w:w="798" w:type="dxa"/>
            <w:vAlign w:val="center"/>
          </w:tcPr>
          <w:p w14:paraId="566F518C">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备注</w:t>
            </w:r>
          </w:p>
        </w:tc>
      </w:tr>
      <w:tr w14:paraId="7212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04387243">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p>
        </w:tc>
        <w:tc>
          <w:tcPr>
            <w:tcW w:w="1408" w:type="dxa"/>
            <w:vAlign w:val="center"/>
          </w:tcPr>
          <w:p w14:paraId="02F65421">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6B6672E9">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31508838">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251193E5">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25825A55">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5092F1B0">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4FE733E2">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279C73FE">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3D4AE9CC">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13CED7E4">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319EE036">
            <w:pPr>
              <w:spacing w:line="360" w:lineRule="auto"/>
              <w:jc w:val="center"/>
              <w:rPr>
                <w:rFonts w:hint="eastAsia" w:ascii="宋体" w:hAnsi="宋体" w:eastAsia="宋体" w:cs="宋体"/>
                <w:b w:val="0"/>
                <w:bCs w:val="0"/>
                <w:color w:val="auto"/>
                <w:sz w:val="24"/>
                <w:highlight w:val="none"/>
              </w:rPr>
            </w:pPr>
          </w:p>
        </w:tc>
      </w:tr>
      <w:tr w14:paraId="7573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354F7FD3">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w:t>
            </w:r>
          </w:p>
        </w:tc>
        <w:tc>
          <w:tcPr>
            <w:tcW w:w="1408" w:type="dxa"/>
            <w:vAlign w:val="center"/>
          </w:tcPr>
          <w:p w14:paraId="2994AFF6">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64849D6E">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2E33D72B">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066F0AD9">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7DAE4888">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7CEDB3F0">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26DACEAB">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33EA1A21">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46ED32FB">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1A8050AC">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56B582AA">
            <w:pPr>
              <w:spacing w:line="360" w:lineRule="auto"/>
              <w:jc w:val="center"/>
              <w:rPr>
                <w:rFonts w:hint="eastAsia" w:ascii="宋体" w:hAnsi="宋体" w:eastAsia="宋体" w:cs="宋体"/>
                <w:b w:val="0"/>
                <w:bCs w:val="0"/>
                <w:color w:val="auto"/>
                <w:sz w:val="24"/>
                <w:highlight w:val="none"/>
              </w:rPr>
            </w:pPr>
          </w:p>
        </w:tc>
      </w:tr>
      <w:tr w14:paraId="387F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15F28067">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w:t>
            </w:r>
          </w:p>
        </w:tc>
        <w:tc>
          <w:tcPr>
            <w:tcW w:w="1408" w:type="dxa"/>
            <w:vAlign w:val="center"/>
          </w:tcPr>
          <w:p w14:paraId="3378DB10">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0F37A8E7">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4FCA1E72">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5D9841B0">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284C80D6">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4295E2A8">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4EFFA208">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130A39E7">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4ABAA8D7">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2E792FC7">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68985582">
            <w:pPr>
              <w:spacing w:line="360" w:lineRule="auto"/>
              <w:jc w:val="center"/>
              <w:rPr>
                <w:rFonts w:hint="eastAsia" w:ascii="宋体" w:hAnsi="宋体" w:eastAsia="宋体" w:cs="宋体"/>
                <w:b w:val="0"/>
                <w:bCs w:val="0"/>
                <w:color w:val="auto"/>
                <w:sz w:val="24"/>
                <w:highlight w:val="none"/>
              </w:rPr>
            </w:pPr>
          </w:p>
        </w:tc>
      </w:tr>
      <w:tr w14:paraId="1113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1960CFA6">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w:t>
            </w:r>
          </w:p>
        </w:tc>
        <w:tc>
          <w:tcPr>
            <w:tcW w:w="1408" w:type="dxa"/>
            <w:vAlign w:val="center"/>
          </w:tcPr>
          <w:p w14:paraId="485B297D">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67A513A6">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2A3807E0">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397E4846">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2D70C04B">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42A93283">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5113DACD">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6783D8CF">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0B5486C6">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28E4A9CB">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1B06BAF2">
            <w:pPr>
              <w:spacing w:line="360" w:lineRule="auto"/>
              <w:jc w:val="center"/>
              <w:rPr>
                <w:rFonts w:hint="eastAsia" w:ascii="宋体" w:hAnsi="宋体" w:eastAsia="宋体" w:cs="宋体"/>
                <w:b w:val="0"/>
                <w:bCs w:val="0"/>
                <w:color w:val="auto"/>
                <w:sz w:val="24"/>
                <w:highlight w:val="none"/>
              </w:rPr>
            </w:pPr>
          </w:p>
        </w:tc>
      </w:tr>
      <w:tr w14:paraId="1FBB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20A5964C">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5</w:t>
            </w:r>
          </w:p>
        </w:tc>
        <w:tc>
          <w:tcPr>
            <w:tcW w:w="1408" w:type="dxa"/>
            <w:vAlign w:val="center"/>
          </w:tcPr>
          <w:p w14:paraId="7F2BEAC5">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0604ED27">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18274FC6">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47AF09A3">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1E204BDC">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4A01B3C0">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77DFDC63">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29212A27">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7CD313FF">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0C41D539">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296082B9">
            <w:pPr>
              <w:spacing w:line="360" w:lineRule="auto"/>
              <w:jc w:val="center"/>
              <w:rPr>
                <w:rFonts w:hint="eastAsia" w:ascii="宋体" w:hAnsi="宋体" w:eastAsia="宋体" w:cs="宋体"/>
                <w:b w:val="0"/>
                <w:bCs w:val="0"/>
                <w:color w:val="auto"/>
                <w:sz w:val="24"/>
                <w:highlight w:val="none"/>
              </w:rPr>
            </w:pPr>
          </w:p>
        </w:tc>
      </w:tr>
      <w:tr w14:paraId="4E6A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64" w:type="dxa"/>
            <w:vAlign w:val="center"/>
          </w:tcPr>
          <w:p w14:paraId="3E7BF7B5">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6</w:t>
            </w:r>
          </w:p>
        </w:tc>
        <w:tc>
          <w:tcPr>
            <w:tcW w:w="1408" w:type="dxa"/>
            <w:vAlign w:val="center"/>
          </w:tcPr>
          <w:p w14:paraId="77BF983D">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04A1D982">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32D98CF7">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5AA26D27">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70482F2B">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23113A99">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472E9ED6">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2D7566B7">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203591DB">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26884E32">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7792387C">
            <w:pPr>
              <w:spacing w:line="360" w:lineRule="auto"/>
              <w:jc w:val="center"/>
              <w:rPr>
                <w:rFonts w:hint="eastAsia" w:ascii="宋体" w:hAnsi="宋体" w:eastAsia="宋体" w:cs="宋体"/>
                <w:b w:val="0"/>
                <w:bCs w:val="0"/>
                <w:color w:val="auto"/>
                <w:sz w:val="24"/>
                <w:highlight w:val="none"/>
              </w:rPr>
            </w:pPr>
          </w:p>
        </w:tc>
      </w:tr>
      <w:tr w14:paraId="2813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4B0579F4">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7</w:t>
            </w:r>
          </w:p>
        </w:tc>
        <w:tc>
          <w:tcPr>
            <w:tcW w:w="1408" w:type="dxa"/>
            <w:vAlign w:val="center"/>
          </w:tcPr>
          <w:p w14:paraId="544D4EBB">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522DEF28">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6B20029A">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1B41E7AD">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3C6A439C">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634984D1">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1C8F895E">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4498FEE0">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07E51FC9">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4ADFF92C">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7D44FB67">
            <w:pPr>
              <w:spacing w:line="360" w:lineRule="auto"/>
              <w:jc w:val="center"/>
              <w:rPr>
                <w:rFonts w:hint="eastAsia" w:ascii="宋体" w:hAnsi="宋体" w:eastAsia="宋体" w:cs="宋体"/>
                <w:b w:val="0"/>
                <w:bCs w:val="0"/>
                <w:color w:val="auto"/>
                <w:sz w:val="24"/>
                <w:highlight w:val="none"/>
              </w:rPr>
            </w:pPr>
          </w:p>
        </w:tc>
      </w:tr>
      <w:tr w14:paraId="216C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64" w:type="dxa"/>
            <w:vAlign w:val="center"/>
          </w:tcPr>
          <w:p w14:paraId="3F9DD009">
            <w:pPr>
              <w:spacing w:line="360" w:lineRule="auto"/>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8</w:t>
            </w:r>
          </w:p>
        </w:tc>
        <w:tc>
          <w:tcPr>
            <w:tcW w:w="1408" w:type="dxa"/>
            <w:vAlign w:val="center"/>
          </w:tcPr>
          <w:p w14:paraId="00123850">
            <w:pPr>
              <w:spacing w:line="360" w:lineRule="auto"/>
              <w:jc w:val="center"/>
              <w:rPr>
                <w:rFonts w:hint="eastAsia" w:ascii="宋体" w:hAnsi="宋体" w:eastAsia="宋体" w:cs="宋体"/>
                <w:b w:val="0"/>
                <w:bCs w:val="0"/>
                <w:color w:val="auto"/>
                <w:sz w:val="24"/>
                <w:highlight w:val="none"/>
              </w:rPr>
            </w:pPr>
          </w:p>
        </w:tc>
        <w:tc>
          <w:tcPr>
            <w:tcW w:w="698" w:type="dxa"/>
            <w:vAlign w:val="center"/>
          </w:tcPr>
          <w:p w14:paraId="0BD75352">
            <w:pPr>
              <w:spacing w:line="360" w:lineRule="auto"/>
              <w:jc w:val="center"/>
              <w:rPr>
                <w:rFonts w:hint="eastAsia" w:ascii="宋体" w:hAnsi="宋体" w:eastAsia="宋体" w:cs="宋体"/>
                <w:b w:val="0"/>
                <w:bCs w:val="0"/>
                <w:color w:val="auto"/>
                <w:sz w:val="24"/>
                <w:highlight w:val="none"/>
              </w:rPr>
            </w:pPr>
          </w:p>
        </w:tc>
        <w:tc>
          <w:tcPr>
            <w:tcW w:w="1004" w:type="dxa"/>
            <w:vAlign w:val="center"/>
          </w:tcPr>
          <w:p w14:paraId="32B80022">
            <w:pPr>
              <w:spacing w:line="360" w:lineRule="auto"/>
              <w:jc w:val="center"/>
              <w:rPr>
                <w:rFonts w:hint="eastAsia" w:ascii="宋体" w:hAnsi="宋体" w:eastAsia="宋体" w:cs="宋体"/>
                <w:b w:val="0"/>
                <w:bCs w:val="0"/>
                <w:color w:val="auto"/>
                <w:sz w:val="24"/>
                <w:highlight w:val="none"/>
              </w:rPr>
            </w:pPr>
          </w:p>
        </w:tc>
        <w:tc>
          <w:tcPr>
            <w:tcW w:w="1208" w:type="dxa"/>
            <w:vAlign w:val="center"/>
          </w:tcPr>
          <w:p w14:paraId="49053F24">
            <w:pPr>
              <w:spacing w:line="360" w:lineRule="auto"/>
              <w:jc w:val="center"/>
              <w:rPr>
                <w:rFonts w:hint="eastAsia" w:ascii="宋体" w:hAnsi="宋体" w:eastAsia="宋体" w:cs="宋体"/>
                <w:b w:val="0"/>
                <w:bCs w:val="0"/>
                <w:color w:val="auto"/>
                <w:sz w:val="24"/>
                <w:highlight w:val="none"/>
              </w:rPr>
            </w:pPr>
          </w:p>
        </w:tc>
        <w:tc>
          <w:tcPr>
            <w:tcW w:w="1056" w:type="dxa"/>
            <w:vAlign w:val="center"/>
          </w:tcPr>
          <w:p w14:paraId="4A16572E">
            <w:pPr>
              <w:spacing w:line="360" w:lineRule="auto"/>
              <w:jc w:val="center"/>
              <w:rPr>
                <w:rFonts w:hint="eastAsia" w:ascii="宋体" w:hAnsi="宋体" w:eastAsia="宋体" w:cs="宋体"/>
                <w:b w:val="0"/>
                <w:bCs w:val="0"/>
                <w:color w:val="auto"/>
                <w:sz w:val="24"/>
                <w:highlight w:val="none"/>
              </w:rPr>
            </w:pPr>
          </w:p>
        </w:tc>
        <w:tc>
          <w:tcPr>
            <w:tcW w:w="753" w:type="dxa"/>
            <w:vAlign w:val="center"/>
          </w:tcPr>
          <w:p w14:paraId="202BB01C">
            <w:pPr>
              <w:spacing w:line="360" w:lineRule="auto"/>
              <w:jc w:val="center"/>
              <w:rPr>
                <w:rFonts w:hint="eastAsia" w:ascii="宋体" w:hAnsi="宋体" w:eastAsia="宋体" w:cs="宋体"/>
                <w:b w:val="0"/>
                <w:bCs w:val="0"/>
                <w:color w:val="auto"/>
                <w:sz w:val="24"/>
                <w:highlight w:val="none"/>
              </w:rPr>
            </w:pPr>
          </w:p>
        </w:tc>
        <w:tc>
          <w:tcPr>
            <w:tcW w:w="789" w:type="dxa"/>
            <w:vAlign w:val="center"/>
          </w:tcPr>
          <w:p w14:paraId="11F03EFC">
            <w:pPr>
              <w:spacing w:line="360" w:lineRule="auto"/>
              <w:jc w:val="center"/>
              <w:rPr>
                <w:rFonts w:hint="eastAsia" w:ascii="宋体" w:hAnsi="宋体" w:eastAsia="宋体" w:cs="宋体"/>
                <w:b w:val="0"/>
                <w:bCs w:val="0"/>
                <w:color w:val="auto"/>
                <w:sz w:val="24"/>
                <w:highlight w:val="none"/>
              </w:rPr>
            </w:pPr>
          </w:p>
        </w:tc>
        <w:tc>
          <w:tcPr>
            <w:tcW w:w="718" w:type="dxa"/>
            <w:vAlign w:val="center"/>
          </w:tcPr>
          <w:p w14:paraId="01F1E63D">
            <w:pPr>
              <w:spacing w:line="360" w:lineRule="auto"/>
              <w:jc w:val="center"/>
              <w:rPr>
                <w:rFonts w:hint="eastAsia" w:ascii="宋体" w:hAnsi="宋体" w:eastAsia="宋体" w:cs="宋体"/>
                <w:b w:val="0"/>
                <w:bCs w:val="0"/>
                <w:color w:val="auto"/>
                <w:sz w:val="24"/>
                <w:highlight w:val="none"/>
              </w:rPr>
            </w:pPr>
          </w:p>
        </w:tc>
        <w:tc>
          <w:tcPr>
            <w:tcW w:w="741" w:type="dxa"/>
            <w:vAlign w:val="center"/>
          </w:tcPr>
          <w:p w14:paraId="1DA8287D">
            <w:pPr>
              <w:spacing w:line="360" w:lineRule="auto"/>
              <w:jc w:val="center"/>
              <w:rPr>
                <w:rFonts w:hint="eastAsia" w:ascii="宋体" w:hAnsi="宋体" w:eastAsia="宋体" w:cs="宋体"/>
                <w:b w:val="0"/>
                <w:bCs w:val="0"/>
                <w:color w:val="auto"/>
                <w:sz w:val="24"/>
                <w:highlight w:val="none"/>
              </w:rPr>
            </w:pPr>
          </w:p>
        </w:tc>
        <w:tc>
          <w:tcPr>
            <w:tcW w:w="781" w:type="dxa"/>
            <w:vAlign w:val="center"/>
          </w:tcPr>
          <w:p w14:paraId="7A271C29">
            <w:pPr>
              <w:spacing w:line="360" w:lineRule="auto"/>
              <w:jc w:val="center"/>
              <w:rPr>
                <w:rFonts w:hint="eastAsia" w:ascii="宋体" w:hAnsi="宋体" w:eastAsia="宋体" w:cs="宋体"/>
                <w:b w:val="0"/>
                <w:bCs w:val="0"/>
                <w:color w:val="auto"/>
                <w:sz w:val="24"/>
                <w:highlight w:val="none"/>
              </w:rPr>
            </w:pPr>
          </w:p>
        </w:tc>
        <w:tc>
          <w:tcPr>
            <w:tcW w:w="798" w:type="dxa"/>
            <w:vAlign w:val="center"/>
          </w:tcPr>
          <w:p w14:paraId="7E104ABA">
            <w:pPr>
              <w:spacing w:line="360" w:lineRule="auto"/>
              <w:jc w:val="center"/>
              <w:rPr>
                <w:rFonts w:hint="eastAsia" w:ascii="宋体" w:hAnsi="宋体" w:eastAsia="宋体" w:cs="宋体"/>
                <w:b w:val="0"/>
                <w:bCs w:val="0"/>
                <w:color w:val="auto"/>
                <w:sz w:val="24"/>
                <w:highlight w:val="none"/>
              </w:rPr>
            </w:pPr>
          </w:p>
        </w:tc>
      </w:tr>
      <w:tr w14:paraId="7E2C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0718" w:type="dxa"/>
            <w:gridSpan w:val="12"/>
            <w:vAlign w:val="center"/>
          </w:tcPr>
          <w:p w14:paraId="315074E0">
            <w:pPr>
              <w:spacing w:line="360" w:lineRule="auto"/>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总价（元）：</w:t>
            </w:r>
            <w:r>
              <w:rPr>
                <w:rFonts w:hint="eastAsia" w:ascii="宋体" w:hAnsi="宋体" w:eastAsia="宋体" w:cs="宋体"/>
                <w:b w:val="0"/>
                <w:bCs w:val="0"/>
                <w:color w:val="auto"/>
                <w:sz w:val="24"/>
                <w:highlight w:val="none"/>
                <w:lang w:val="en-US" w:eastAsia="zh-CN"/>
              </w:rPr>
              <w:t xml:space="preserve">  小写：                              大写：</w:t>
            </w:r>
          </w:p>
        </w:tc>
      </w:tr>
    </w:tbl>
    <w:p w14:paraId="67CDB348">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2DA8D673">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w:t>
      </w:r>
      <w:r>
        <w:rPr>
          <w:rFonts w:hint="eastAsia" w:ascii="宋体" w:hAnsi="宋体" w:eastAsia="宋体" w:cs="宋体"/>
          <w:color w:val="auto"/>
          <w:kern w:val="0"/>
          <w:sz w:val="24"/>
          <w:szCs w:val="24"/>
          <w:highlight w:val="none"/>
        </w:rPr>
        <w:t>项目</w:t>
      </w:r>
      <w:r>
        <w:rPr>
          <w:rFonts w:hint="eastAsia" w:ascii="宋体" w:hAnsi="宋体" w:eastAsia="宋体" w:cs="宋体"/>
          <w:color w:val="auto"/>
          <w:sz w:val="24"/>
          <w:szCs w:val="24"/>
          <w:highlight w:val="none"/>
        </w:rPr>
        <w:t>和数量满足本项目招标范围，内容由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结合自身情况填写。</w:t>
      </w:r>
    </w:p>
    <w:p w14:paraId="49CDAB70">
      <w:pPr>
        <w:spacing w:line="500" w:lineRule="exact"/>
        <w:jc w:val="left"/>
        <w:rPr>
          <w:rFonts w:hint="eastAsia" w:ascii="宋体" w:hAnsi="宋体" w:eastAsia="宋体" w:cs="宋体"/>
          <w:strike/>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填报价格总价应与投标函载明价格一致，若不一致，以投标函为准。</w:t>
      </w:r>
    </w:p>
    <w:p w14:paraId="09F2FA8D">
      <w:pPr>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此次报价包括所投项目履行期限内产生的运输费、装卸费、差旅费、税费、试剂等所有费用。</w:t>
      </w:r>
    </w:p>
    <w:p w14:paraId="46ED5A86">
      <w:pPr>
        <w:spacing w:line="500" w:lineRule="exact"/>
        <w:rPr>
          <w:rFonts w:hint="eastAsia" w:ascii="宋体" w:hAnsi="宋体" w:eastAsia="宋体" w:cs="宋体"/>
          <w:color w:val="auto"/>
          <w:sz w:val="24"/>
          <w:szCs w:val="24"/>
          <w:highlight w:val="none"/>
        </w:rPr>
      </w:pPr>
    </w:p>
    <w:p w14:paraId="0098A718">
      <w:pPr>
        <w:adjustRightInd w:val="0"/>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名称（盖章）：         </w:t>
      </w:r>
    </w:p>
    <w:p w14:paraId="606C7E0A">
      <w:pPr>
        <w:adjustRightInd w:val="0"/>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法定代表人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6432DBDD">
      <w:pPr>
        <w:adjustRightInd w:val="0"/>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w:t>
      </w:r>
    </w:p>
    <w:p w14:paraId="0F7C583E">
      <w:pPr>
        <w:pStyle w:val="3"/>
        <w:spacing w:before="156" w:after="156" w:line="320" w:lineRule="exact"/>
        <w:ind w:firstLine="480" w:firstLineChars="200"/>
        <w:jc w:val="center"/>
        <w:rPr>
          <w:rFonts w:hint="eastAsia" w:ascii="宋体" w:hAnsi="宋体" w:eastAsia="宋体" w:cs="宋体"/>
          <w:bCs w:val="0"/>
          <w:color w:val="auto"/>
          <w:kern w:val="0"/>
          <w:sz w:val="24"/>
          <w:szCs w:val="24"/>
          <w:highlight w:val="none"/>
        </w:rPr>
      </w:pPr>
      <w:r>
        <w:rPr>
          <w:rFonts w:hint="eastAsia" w:ascii="宋体" w:hAnsi="宋体" w:eastAsia="宋体" w:cs="宋体"/>
          <w:color w:val="auto"/>
          <w:sz w:val="24"/>
          <w:szCs w:val="24"/>
          <w:highlight w:val="none"/>
        </w:rPr>
        <w:br w:type="page"/>
      </w:r>
      <w:bookmarkStart w:id="142" w:name="_Toc217446088"/>
      <w:r>
        <w:rPr>
          <w:rFonts w:hint="eastAsia" w:ascii="宋体" w:hAnsi="宋体" w:eastAsia="宋体" w:cs="宋体"/>
          <w:b/>
          <w:bCs/>
          <w:color w:val="auto"/>
          <w:kern w:val="0"/>
          <w:sz w:val="24"/>
          <w:szCs w:val="24"/>
          <w:highlight w:val="none"/>
        </w:rPr>
        <w:t>四、</w:t>
      </w:r>
      <w:r>
        <w:rPr>
          <w:rFonts w:hint="eastAsia" w:ascii="宋体" w:hAnsi="宋体" w:eastAsia="宋体" w:cs="宋体"/>
          <w:b/>
          <w:bCs/>
          <w:color w:val="auto"/>
          <w:kern w:val="0"/>
          <w:sz w:val="24"/>
          <w:szCs w:val="24"/>
          <w:highlight w:val="none"/>
          <w:lang w:eastAsia="zh-CN"/>
        </w:rPr>
        <w:t>供应商</w:t>
      </w:r>
      <w:r>
        <w:rPr>
          <w:rFonts w:hint="eastAsia" w:ascii="宋体" w:hAnsi="宋体" w:eastAsia="宋体" w:cs="宋体"/>
          <w:b/>
          <w:bCs/>
          <w:color w:val="auto"/>
          <w:kern w:val="0"/>
          <w:sz w:val="24"/>
          <w:szCs w:val="24"/>
          <w:highlight w:val="none"/>
        </w:rPr>
        <w:t>基本情况表</w:t>
      </w:r>
      <w:bookmarkEnd w:id="142"/>
    </w:p>
    <w:tbl>
      <w:tblPr>
        <w:tblStyle w:val="27"/>
        <w:tblW w:w="4999" w:type="pct"/>
        <w:jc w:val="center"/>
        <w:tblLayout w:type="autofit"/>
        <w:tblCellMar>
          <w:top w:w="0" w:type="dxa"/>
          <w:left w:w="108" w:type="dxa"/>
          <w:bottom w:w="0" w:type="dxa"/>
          <w:right w:w="108" w:type="dxa"/>
        </w:tblCellMar>
      </w:tblPr>
      <w:tblGrid>
        <w:gridCol w:w="1733"/>
        <w:gridCol w:w="982"/>
        <w:gridCol w:w="2364"/>
        <w:gridCol w:w="1437"/>
        <w:gridCol w:w="2004"/>
      </w:tblGrid>
      <w:tr w14:paraId="1421475B">
        <w:tblPrEx>
          <w:tblCellMar>
            <w:top w:w="0" w:type="dxa"/>
            <w:left w:w="108" w:type="dxa"/>
            <w:bottom w:w="0" w:type="dxa"/>
            <w:right w:w="108" w:type="dxa"/>
          </w:tblCellMar>
        </w:tblPrEx>
        <w:trPr>
          <w:trHeight w:val="1080" w:hRule="atLeast"/>
          <w:jc w:val="center"/>
        </w:trPr>
        <w:tc>
          <w:tcPr>
            <w:tcW w:w="1017" w:type="pct"/>
            <w:tcBorders>
              <w:top w:val="single" w:color="auto" w:sz="4" w:space="0"/>
              <w:left w:val="single" w:color="auto" w:sz="4" w:space="0"/>
              <w:bottom w:val="single" w:color="auto" w:sz="4" w:space="0"/>
              <w:right w:val="single" w:color="auto" w:sz="4" w:space="0"/>
            </w:tcBorders>
            <w:noWrap w:val="0"/>
            <w:vAlign w:val="center"/>
          </w:tcPr>
          <w:p w14:paraId="6D1A824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p>
        </w:tc>
        <w:tc>
          <w:tcPr>
            <w:tcW w:w="3982" w:type="pct"/>
            <w:gridSpan w:val="4"/>
            <w:tcBorders>
              <w:top w:val="single" w:color="auto" w:sz="4" w:space="0"/>
              <w:left w:val="nil"/>
              <w:bottom w:val="single" w:color="auto" w:sz="4" w:space="0"/>
              <w:right w:val="single" w:color="auto" w:sz="4" w:space="0"/>
            </w:tcBorders>
            <w:noWrap w:val="0"/>
            <w:vAlign w:val="center"/>
          </w:tcPr>
          <w:p w14:paraId="69A61A2C">
            <w:pPr>
              <w:jc w:val="center"/>
              <w:rPr>
                <w:rFonts w:hint="eastAsia" w:ascii="宋体" w:hAnsi="宋体" w:eastAsia="宋体" w:cs="宋体"/>
                <w:strike/>
                <w:color w:val="auto"/>
                <w:sz w:val="24"/>
                <w:szCs w:val="24"/>
                <w:highlight w:val="none"/>
              </w:rPr>
            </w:pPr>
          </w:p>
        </w:tc>
      </w:tr>
      <w:tr w14:paraId="350C1DDB">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151F218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1963" w:type="pct"/>
            <w:gridSpan w:val="2"/>
            <w:tcBorders>
              <w:top w:val="single" w:color="auto" w:sz="4" w:space="0"/>
              <w:left w:val="nil"/>
              <w:bottom w:val="single" w:color="auto" w:sz="4" w:space="0"/>
              <w:right w:val="single" w:color="000000" w:sz="4" w:space="0"/>
            </w:tcBorders>
            <w:noWrap w:val="0"/>
            <w:vAlign w:val="center"/>
          </w:tcPr>
          <w:p w14:paraId="0B23C679">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14DAAD3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175" w:type="pct"/>
            <w:tcBorders>
              <w:top w:val="nil"/>
              <w:left w:val="nil"/>
              <w:bottom w:val="single" w:color="auto" w:sz="4" w:space="0"/>
              <w:right w:val="single" w:color="auto" w:sz="4" w:space="0"/>
            </w:tcBorders>
            <w:noWrap w:val="0"/>
            <w:vAlign w:val="center"/>
          </w:tcPr>
          <w:p w14:paraId="32536FB7">
            <w:pPr>
              <w:jc w:val="center"/>
              <w:rPr>
                <w:rFonts w:hint="eastAsia" w:ascii="宋体" w:hAnsi="宋体" w:eastAsia="宋体" w:cs="宋体"/>
                <w:color w:val="auto"/>
                <w:sz w:val="24"/>
                <w:szCs w:val="24"/>
                <w:highlight w:val="none"/>
              </w:rPr>
            </w:pPr>
          </w:p>
        </w:tc>
      </w:tr>
      <w:tr w14:paraId="70660521">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5089C0D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1963" w:type="pct"/>
            <w:gridSpan w:val="2"/>
            <w:tcBorders>
              <w:top w:val="single" w:color="auto" w:sz="4" w:space="0"/>
              <w:left w:val="nil"/>
              <w:bottom w:val="single" w:color="auto" w:sz="4" w:space="0"/>
              <w:right w:val="single" w:color="000000" w:sz="4" w:space="0"/>
            </w:tcBorders>
            <w:noWrap w:val="0"/>
            <w:vAlign w:val="center"/>
          </w:tcPr>
          <w:p w14:paraId="4B392F4A">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6BB1B58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企业性质</w:t>
            </w:r>
          </w:p>
        </w:tc>
        <w:tc>
          <w:tcPr>
            <w:tcW w:w="1175" w:type="pct"/>
            <w:tcBorders>
              <w:top w:val="nil"/>
              <w:left w:val="nil"/>
              <w:bottom w:val="single" w:color="auto" w:sz="4" w:space="0"/>
              <w:right w:val="single" w:color="auto" w:sz="4" w:space="0"/>
            </w:tcBorders>
            <w:noWrap w:val="0"/>
            <w:vAlign w:val="center"/>
          </w:tcPr>
          <w:p w14:paraId="1E2FB2EE">
            <w:pPr>
              <w:jc w:val="center"/>
              <w:rPr>
                <w:rFonts w:hint="eastAsia" w:ascii="宋体" w:hAnsi="宋体" w:eastAsia="宋体" w:cs="宋体"/>
                <w:color w:val="auto"/>
                <w:sz w:val="24"/>
                <w:szCs w:val="24"/>
                <w:highlight w:val="none"/>
              </w:rPr>
            </w:pPr>
          </w:p>
        </w:tc>
      </w:tr>
      <w:tr w14:paraId="3C1049F2">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1EA91D1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社会统一信用代码</w:t>
            </w:r>
          </w:p>
        </w:tc>
        <w:tc>
          <w:tcPr>
            <w:tcW w:w="1963" w:type="pct"/>
            <w:gridSpan w:val="2"/>
            <w:tcBorders>
              <w:top w:val="single" w:color="auto" w:sz="4" w:space="0"/>
              <w:left w:val="nil"/>
              <w:bottom w:val="single" w:color="auto" w:sz="4" w:space="0"/>
              <w:right w:val="single" w:color="000000" w:sz="4" w:space="0"/>
            </w:tcBorders>
            <w:noWrap w:val="0"/>
            <w:vAlign w:val="center"/>
          </w:tcPr>
          <w:p w14:paraId="20EBB058">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38B4AD7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1175" w:type="pct"/>
            <w:tcBorders>
              <w:top w:val="nil"/>
              <w:left w:val="nil"/>
              <w:bottom w:val="single" w:color="auto" w:sz="4" w:space="0"/>
              <w:right w:val="single" w:color="auto" w:sz="4" w:space="0"/>
            </w:tcBorders>
            <w:noWrap w:val="0"/>
            <w:vAlign w:val="center"/>
          </w:tcPr>
          <w:p w14:paraId="1657A0F2">
            <w:pPr>
              <w:jc w:val="center"/>
              <w:rPr>
                <w:rFonts w:hint="eastAsia" w:ascii="宋体" w:hAnsi="宋体" w:eastAsia="宋体" w:cs="宋体"/>
                <w:color w:val="auto"/>
                <w:sz w:val="24"/>
                <w:szCs w:val="24"/>
                <w:highlight w:val="none"/>
              </w:rPr>
            </w:pPr>
          </w:p>
        </w:tc>
      </w:tr>
      <w:tr w14:paraId="7D9716C9">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7D18EA0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576" w:type="pct"/>
            <w:tcBorders>
              <w:top w:val="nil"/>
              <w:left w:val="nil"/>
              <w:bottom w:val="single" w:color="auto" w:sz="4" w:space="0"/>
              <w:right w:val="single" w:color="auto" w:sz="4" w:space="0"/>
            </w:tcBorders>
            <w:noWrap w:val="0"/>
            <w:vAlign w:val="center"/>
          </w:tcPr>
          <w:p w14:paraId="6C13F2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387" w:type="pct"/>
            <w:tcBorders>
              <w:top w:val="nil"/>
              <w:left w:val="nil"/>
              <w:bottom w:val="single" w:color="auto" w:sz="4" w:space="0"/>
              <w:right w:val="single" w:color="auto" w:sz="4" w:space="0"/>
            </w:tcBorders>
            <w:noWrap w:val="0"/>
            <w:vAlign w:val="center"/>
          </w:tcPr>
          <w:p w14:paraId="07509DF2">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1275BD0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175" w:type="pct"/>
            <w:tcBorders>
              <w:top w:val="nil"/>
              <w:left w:val="nil"/>
              <w:bottom w:val="single" w:color="auto" w:sz="4" w:space="0"/>
              <w:right w:val="single" w:color="auto" w:sz="4" w:space="0"/>
            </w:tcBorders>
            <w:noWrap w:val="0"/>
            <w:vAlign w:val="center"/>
          </w:tcPr>
          <w:p w14:paraId="4B4B35E7">
            <w:pPr>
              <w:jc w:val="center"/>
              <w:rPr>
                <w:rFonts w:hint="eastAsia" w:ascii="宋体" w:hAnsi="宋体" w:eastAsia="宋体" w:cs="宋体"/>
                <w:color w:val="auto"/>
                <w:sz w:val="24"/>
                <w:szCs w:val="24"/>
                <w:highlight w:val="none"/>
              </w:rPr>
            </w:pPr>
          </w:p>
        </w:tc>
      </w:tr>
      <w:tr w14:paraId="44E4D4EC">
        <w:tblPrEx>
          <w:tblCellMar>
            <w:top w:w="0" w:type="dxa"/>
            <w:left w:w="108" w:type="dxa"/>
            <w:bottom w:w="0" w:type="dxa"/>
            <w:right w:w="108" w:type="dxa"/>
          </w:tblCellMar>
        </w:tblPrEx>
        <w:trPr>
          <w:trHeight w:val="930" w:hRule="atLeast"/>
          <w:jc w:val="center"/>
        </w:trPr>
        <w:tc>
          <w:tcPr>
            <w:tcW w:w="1017" w:type="pct"/>
            <w:vMerge w:val="restart"/>
            <w:tcBorders>
              <w:top w:val="nil"/>
              <w:left w:val="single" w:color="auto" w:sz="4" w:space="0"/>
              <w:bottom w:val="single" w:color="auto" w:sz="4" w:space="0"/>
              <w:right w:val="single" w:color="auto" w:sz="4" w:space="0"/>
            </w:tcBorders>
            <w:noWrap w:val="0"/>
            <w:vAlign w:val="center"/>
          </w:tcPr>
          <w:p w14:paraId="69ADDA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576" w:type="pct"/>
            <w:tcBorders>
              <w:top w:val="nil"/>
              <w:left w:val="nil"/>
              <w:bottom w:val="single" w:color="auto" w:sz="4" w:space="0"/>
              <w:right w:val="single" w:color="auto" w:sz="4" w:space="0"/>
            </w:tcBorders>
            <w:noWrap w:val="0"/>
            <w:vAlign w:val="center"/>
          </w:tcPr>
          <w:p w14:paraId="6825501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1387" w:type="pct"/>
            <w:tcBorders>
              <w:top w:val="single" w:color="auto" w:sz="4" w:space="0"/>
              <w:left w:val="nil"/>
              <w:bottom w:val="single" w:color="auto" w:sz="4" w:space="0"/>
              <w:right w:val="single" w:color="000000" w:sz="4" w:space="0"/>
            </w:tcBorders>
            <w:noWrap w:val="0"/>
            <w:vAlign w:val="center"/>
          </w:tcPr>
          <w:p w14:paraId="6261C115">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4432E44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175" w:type="pct"/>
            <w:tcBorders>
              <w:top w:val="nil"/>
              <w:left w:val="nil"/>
              <w:bottom w:val="single" w:color="auto" w:sz="4" w:space="0"/>
              <w:right w:val="single" w:color="auto" w:sz="4" w:space="0"/>
            </w:tcBorders>
            <w:noWrap w:val="0"/>
            <w:vAlign w:val="center"/>
          </w:tcPr>
          <w:p w14:paraId="4B85B972">
            <w:pPr>
              <w:jc w:val="center"/>
              <w:rPr>
                <w:rFonts w:hint="eastAsia" w:ascii="宋体" w:hAnsi="宋体" w:eastAsia="宋体" w:cs="宋体"/>
                <w:color w:val="auto"/>
                <w:sz w:val="24"/>
                <w:szCs w:val="24"/>
                <w:highlight w:val="none"/>
              </w:rPr>
            </w:pPr>
          </w:p>
        </w:tc>
      </w:tr>
      <w:tr w14:paraId="4F8394DE">
        <w:tblPrEx>
          <w:tblCellMar>
            <w:top w:w="0" w:type="dxa"/>
            <w:left w:w="108" w:type="dxa"/>
            <w:bottom w:w="0" w:type="dxa"/>
            <w:right w:w="108" w:type="dxa"/>
          </w:tblCellMar>
        </w:tblPrEx>
        <w:trPr>
          <w:trHeight w:val="930" w:hRule="atLeast"/>
          <w:jc w:val="center"/>
        </w:trPr>
        <w:tc>
          <w:tcPr>
            <w:tcW w:w="1017" w:type="pct"/>
            <w:vMerge w:val="continue"/>
            <w:tcBorders>
              <w:top w:val="nil"/>
              <w:left w:val="single" w:color="auto" w:sz="4" w:space="0"/>
              <w:bottom w:val="single" w:color="auto" w:sz="4" w:space="0"/>
              <w:right w:val="single" w:color="auto" w:sz="4" w:space="0"/>
            </w:tcBorders>
            <w:noWrap w:val="0"/>
            <w:vAlign w:val="center"/>
          </w:tcPr>
          <w:p w14:paraId="5B6D49EF">
            <w:pPr>
              <w:jc w:val="center"/>
              <w:rPr>
                <w:rFonts w:hint="eastAsia" w:ascii="宋体" w:hAnsi="宋体" w:eastAsia="宋体" w:cs="宋体"/>
                <w:color w:val="auto"/>
                <w:sz w:val="24"/>
                <w:szCs w:val="24"/>
                <w:highlight w:val="none"/>
              </w:rPr>
            </w:pPr>
          </w:p>
        </w:tc>
        <w:tc>
          <w:tcPr>
            <w:tcW w:w="576" w:type="pct"/>
            <w:tcBorders>
              <w:top w:val="nil"/>
              <w:left w:val="nil"/>
              <w:bottom w:val="single" w:color="auto" w:sz="4" w:space="0"/>
              <w:right w:val="single" w:color="auto" w:sz="4" w:space="0"/>
            </w:tcBorders>
            <w:noWrap w:val="0"/>
            <w:vAlign w:val="center"/>
          </w:tcPr>
          <w:p w14:paraId="532B288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邮箱</w:t>
            </w:r>
          </w:p>
        </w:tc>
        <w:tc>
          <w:tcPr>
            <w:tcW w:w="1387" w:type="pct"/>
            <w:tcBorders>
              <w:top w:val="single" w:color="auto" w:sz="4" w:space="0"/>
              <w:left w:val="nil"/>
              <w:bottom w:val="single" w:color="auto" w:sz="4" w:space="0"/>
              <w:right w:val="single" w:color="000000" w:sz="4" w:space="0"/>
            </w:tcBorders>
            <w:noWrap w:val="0"/>
            <w:vAlign w:val="center"/>
          </w:tcPr>
          <w:p w14:paraId="0F944B98">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5018B6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1175" w:type="pct"/>
            <w:tcBorders>
              <w:top w:val="nil"/>
              <w:left w:val="nil"/>
              <w:bottom w:val="single" w:color="auto" w:sz="4" w:space="0"/>
              <w:right w:val="single" w:color="auto" w:sz="4" w:space="0"/>
            </w:tcBorders>
            <w:noWrap w:val="0"/>
            <w:vAlign w:val="center"/>
          </w:tcPr>
          <w:p w14:paraId="39DB131F">
            <w:pPr>
              <w:jc w:val="center"/>
              <w:rPr>
                <w:rFonts w:hint="eastAsia" w:ascii="宋体" w:hAnsi="宋体" w:eastAsia="宋体" w:cs="宋体"/>
                <w:color w:val="auto"/>
                <w:sz w:val="24"/>
                <w:szCs w:val="24"/>
                <w:highlight w:val="none"/>
              </w:rPr>
            </w:pPr>
          </w:p>
        </w:tc>
      </w:tr>
      <w:tr w14:paraId="0A4A4E36">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1884D39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1963" w:type="pct"/>
            <w:gridSpan w:val="2"/>
            <w:tcBorders>
              <w:top w:val="single" w:color="auto" w:sz="4" w:space="0"/>
              <w:left w:val="nil"/>
              <w:bottom w:val="single" w:color="auto" w:sz="4" w:space="0"/>
              <w:right w:val="single" w:color="000000" w:sz="4" w:space="0"/>
            </w:tcBorders>
            <w:noWrap w:val="0"/>
            <w:vAlign w:val="center"/>
          </w:tcPr>
          <w:p w14:paraId="37AE985E">
            <w:pPr>
              <w:jc w:val="center"/>
              <w:rPr>
                <w:rFonts w:hint="eastAsia" w:ascii="宋体" w:hAnsi="宋体" w:eastAsia="宋体" w:cs="宋体"/>
                <w:color w:val="auto"/>
                <w:sz w:val="24"/>
                <w:szCs w:val="24"/>
                <w:highlight w:val="none"/>
              </w:rPr>
            </w:pPr>
          </w:p>
        </w:tc>
        <w:tc>
          <w:tcPr>
            <w:tcW w:w="843" w:type="pct"/>
            <w:tcBorders>
              <w:top w:val="nil"/>
              <w:left w:val="nil"/>
              <w:bottom w:val="single" w:color="auto" w:sz="4" w:space="0"/>
              <w:right w:val="single" w:color="auto" w:sz="4" w:space="0"/>
            </w:tcBorders>
            <w:noWrap w:val="0"/>
            <w:vAlign w:val="center"/>
          </w:tcPr>
          <w:p w14:paraId="7A409B2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1175" w:type="pct"/>
            <w:tcBorders>
              <w:top w:val="nil"/>
              <w:left w:val="nil"/>
              <w:bottom w:val="single" w:color="auto" w:sz="4" w:space="0"/>
              <w:right w:val="single" w:color="auto" w:sz="4" w:space="0"/>
            </w:tcBorders>
            <w:noWrap w:val="0"/>
            <w:vAlign w:val="center"/>
          </w:tcPr>
          <w:p w14:paraId="050E4AD9">
            <w:pPr>
              <w:jc w:val="center"/>
              <w:rPr>
                <w:rFonts w:hint="eastAsia" w:ascii="宋体" w:hAnsi="宋体" w:eastAsia="宋体" w:cs="宋体"/>
                <w:color w:val="auto"/>
                <w:sz w:val="24"/>
                <w:szCs w:val="24"/>
                <w:highlight w:val="none"/>
              </w:rPr>
            </w:pPr>
          </w:p>
        </w:tc>
      </w:tr>
      <w:tr w14:paraId="353EF5B6">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617ED4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3982" w:type="pct"/>
            <w:gridSpan w:val="4"/>
            <w:tcBorders>
              <w:top w:val="single" w:color="auto" w:sz="4" w:space="0"/>
              <w:left w:val="nil"/>
              <w:bottom w:val="single" w:color="auto" w:sz="4" w:space="0"/>
              <w:right w:val="single" w:color="000000" w:sz="4" w:space="0"/>
            </w:tcBorders>
            <w:noWrap w:val="0"/>
            <w:vAlign w:val="center"/>
          </w:tcPr>
          <w:p w14:paraId="234AD5DD">
            <w:pPr>
              <w:jc w:val="center"/>
              <w:rPr>
                <w:rFonts w:hint="eastAsia" w:ascii="宋体" w:hAnsi="宋体" w:eastAsia="宋体" w:cs="宋体"/>
                <w:color w:val="auto"/>
                <w:sz w:val="24"/>
                <w:szCs w:val="24"/>
                <w:highlight w:val="none"/>
              </w:rPr>
            </w:pPr>
          </w:p>
        </w:tc>
      </w:tr>
      <w:tr w14:paraId="6142F9E4">
        <w:tblPrEx>
          <w:tblCellMar>
            <w:top w:w="0" w:type="dxa"/>
            <w:left w:w="108" w:type="dxa"/>
            <w:bottom w:w="0" w:type="dxa"/>
            <w:right w:w="108" w:type="dxa"/>
          </w:tblCellMar>
        </w:tblPrEx>
        <w:trPr>
          <w:trHeight w:val="930" w:hRule="atLeast"/>
          <w:jc w:val="center"/>
        </w:trPr>
        <w:tc>
          <w:tcPr>
            <w:tcW w:w="1017" w:type="pct"/>
            <w:tcBorders>
              <w:top w:val="nil"/>
              <w:left w:val="single" w:color="auto" w:sz="4" w:space="0"/>
              <w:bottom w:val="single" w:color="auto" w:sz="4" w:space="0"/>
              <w:right w:val="single" w:color="auto" w:sz="4" w:space="0"/>
            </w:tcBorders>
            <w:noWrap w:val="0"/>
            <w:vAlign w:val="center"/>
          </w:tcPr>
          <w:p w14:paraId="13F6A09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3982" w:type="pct"/>
            <w:gridSpan w:val="4"/>
            <w:tcBorders>
              <w:top w:val="single" w:color="auto" w:sz="4" w:space="0"/>
              <w:left w:val="nil"/>
              <w:bottom w:val="single" w:color="auto" w:sz="4" w:space="0"/>
              <w:right w:val="single" w:color="000000" w:sz="4" w:space="0"/>
            </w:tcBorders>
            <w:noWrap w:val="0"/>
            <w:vAlign w:val="center"/>
          </w:tcPr>
          <w:p w14:paraId="53BAAB8E">
            <w:pPr>
              <w:jc w:val="center"/>
              <w:rPr>
                <w:rFonts w:hint="eastAsia" w:ascii="宋体" w:hAnsi="宋体" w:eastAsia="宋体" w:cs="宋体"/>
                <w:color w:val="auto"/>
                <w:sz w:val="24"/>
                <w:szCs w:val="24"/>
                <w:highlight w:val="none"/>
              </w:rPr>
            </w:pPr>
          </w:p>
        </w:tc>
      </w:tr>
    </w:tbl>
    <w:p w14:paraId="0F49BAE5">
      <w:pPr>
        <w:adjustRightInd w:val="0"/>
        <w:spacing w:line="320" w:lineRule="exact"/>
        <w:ind w:firstLine="480" w:firstLineChars="200"/>
        <w:jc w:val="left"/>
        <w:rPr>
          <w:rFonts w:hint="eastAsia" w:ascii="宋体" w:hAnsi="宋体" w:eastAsia="宋体" w:cs="宋体"/>
          <w:bCs/>
          <w:color w:val="auto"/>
          <w:sz w:val="24"/>
          <w:szCs w:val="24"/>
          <w:highlight w:val="none"/>
        </w:rPr>
      </w:pPr>
    </w:p>
    <w:p w14:paraId="21835C25">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后附营业执照等相关</w:t>
      </w:r>
      <w:r>
        <w:rPr>
          <w:rFonts w:hint="eastAsia" w:ascii="宋体" w:hAnsi="宋体" w:eastAsia="宋体" w:cs="宋体"/>
          <w:color w:val="auto"/>
          <w:sz w:val="24"/>
          <w:szCs w:val="24"/>
          <w:highlight w:val="none"/>
          <w:lang w:val="en-US" w:eastAsia="zh-CN"/>
        </w:rPr>
        <w:t>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22770792">
      <w:pPr>
        <w:adjustRightInd w:val="0"/>
        <w:spacing w:line="500" w:lineRule="exact"/>
        <w:jc w:val="both"/>
        <w:rPr>
          <w:rFonts w:hint="eastAsia" w:ascii="宋体" w:hAnsi="宋体" w:eastAsia="宋体" w:cs="宋体"/>
          <w:bCs/>
          <w:color w:val="auto"/>
          <w:sz w:val="24"/>
          <w:szCs w:val="24"/>
          <w:highlight w:val="none"/>
        </w:rPr>
      </w:pPr>
      <w:bookmarkStart w:id="143" w:name="_Toc217446089"/>
    </w:p>
    <w:p w14:paraId="2ABAFD45">
      <w:pPr>
        <w:adjustRightInd w:val="0"/>
        <w:spacing w:line="500" w:lineRule="exact"/>
        <w:ind w:firstLine="480" w:firstLineChars="200"/>
        <w:jc w:val="center"/>
        <w:rPr>
          <w:rFonts w:hint="eastAsia" w:ascii="宋体" w:hAnsi="宋体" w:eastAsia="宋体" w:cs="宋体"/>
          <w:bCs/>
          <w:color w:val="auto"/>
          <w:sz w:val="24"/>
          <w:szCs w:val="24"/>
          <w:highlight w:val="none"/>
        </w:rPr>
      </w:pPr>
    </w:p>
    <w:p w14:paraId="7E78BAF9">
      <w:pPr>
        <w:adjustRightInd w:val="0"/>
        <w:spacing w:line="500" w:lineRule="exact"/>
        <w:ind w:firstLine="480" w:firstLineChars="200"/>
        <w:jc w:val="center"/>
        <w:rPr>
          <w:rFonts w:hint="eastAsia" w:ascii="宋体" w:hAnsi="宋体" w:eastAsia="宋体" w:cs="宋体"/>
          <w:bCs/>
          <w:color w:val="auto"/>
          <w:sz w:val="24"/>
          <w:szCs w:val="24"/>
          <w:highlight w:val="none"/>
        </w:rPr>
      </w:pPr>
    </w:p>
    <w:p w14:paraId="3CD1F161">
      <w:pPr>
        <w:adjustRightInd w:val="0"/>
        <w:spacing w:line="500" w:lineRule="exact"/>
        <w:ind w:firstLine="480" w:firstLineChars="200"/>
        <w:jc w:val="center"/>
        <w:outlineLvl w:val="1"/>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br w:type="page"/>
      </w:r>
      <w:r>
        <w:rPr>
          <w:rFonts w:hint="eastAsia" w:ascii="宋体" w:hAnsi="宋体" w:eastAsia="宋体" w:cs="宋体"/>
          <w:b/>
          <w:color w:val="auto"/>
          <w:sz w:val="24"/>
          <w:szCs w:val="24"/>
          <w:highlight w:val="none"/>
        </w:rPr>
        <w:t>五、</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类似项目业绩一览表</w:t>
      </w:r>
      <w:bookmarkEnd w:id="143"/>
    </w:p>
    <w:p w14:paraId="4AE74B39">
      <w:pPr>
        <w:spacing w:line="400" w:lineRule="exact"/>
        <w:rPr>
          <w:rFonts w:hint="eastAsia" w:ascii="宋体" w:hAnsi="宋体" w:eastAsia="宋体" w:cs="宋体"/>
          <w:color w:val="auto"/>
          <w:sz w:val="24"/>
          <w:szCs w:val="24"/>
          <w:highlight w:val="none"/>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06"/>
        <w:gridCol w:w="960"/>
        <w:gridCol w:w="1113"/>
        <w:gridCol w:w="1151"/>
        <w:gridCol w:w="1162"/>
        <w:gridCol w:w="1180"/>
        <w:gridCol w:w="1158"/>
        <w:gridCol w:w="1069"/>
        <w:gridCol w:w="10"/>
      </w:tblGrid>
      <w:tr w14:paraId="01D4F3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tcBorders>
              <w:top w:val="single" w:color="auto" w:sz="4" w:space="0"/>
            </w:tcBorders>
            <w:noWrap w:val="0"/>
            <w:vAlign w:val="center"/>
          </w:tcPr>
          <w:p w14:paraId="17EE8C28">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960" w:type="dxa"/>
            <w:noWrap w:val="0"/>
            <w:vAlign w:val="center"/>
          </w:tcPr>
          <w:p w14:paraId="35326EC3">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采购人</w:t>
            </w:r>
          </w:p>
        </w:tc>
        <w:tc>
          <w:tcPr>
            <w:tcW w:w="1113" w:type="dxa"/>
            <w:noWrap w:val="0"/>
            <w:vAlign w:val="center"/>
          </w:tcPr>
          <w:p w14:paraId="442CA18E">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联系人</w:t>
            </w:r>
          </w:p>
        </w:tc>
        <w:tc>
          <w:tcPr>
            <w:tcW w:w="1151" w:type="dxa"/>
            <w:noWrap w:val="0"/>
            <w:vAlign w:val="center"/>
          </w:tcPr>
          <w:p w14:paraId="1F509D58">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tc>
        <w:tc>
          <w:tcPr>
            <w:tcW w:w="1162" w:type="dxa"/>
            <w:noWrap w:val="0"/>
            <w:vAlign w:val="center"/>
          </w:tcPr>
          <w:p w14:paraId="356415B4">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1180" w:type="dxa"/>
            <w:noWrap w:val="0"/>
            <w:vAlign w:val="center"/>
          </w:tcPr>
          <w:p w14:paraId="12022BD5">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完成时间</w:t>
            </w:r>
          </w:p>
        </w:tc>
        <w:tc>
          <w:tcPr>
            <w:tcW w:w="1158" w:type="dxa"/>
            <w:noWrap w:val="0"/>
            <w:vAlign w:val="center"/>
          </w:tcPr>
          <w:p w14:paraId="648D5294">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tc>
        <w:tc>
          <w:tcPr>
            <w:tcW w:w="1079" w:type="dxa"/>
            <w:gridSpan w:val="2"/>
            <w:tcBorders>
              <w:right w:val="single" w:color="auto" w:sz="4" w:space="0"/>
            </w:tcBorders>
            <w:noWrap w:val="0"/>
            <w:vAlign w:val="center"/>
          </w:tcPr>
          <w:p w14:paraId="2A70454A">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项目描述</w:t>
            </w:r>
          </w:p>
        </w:tc>
      </w:tr>
      <w:tr w14:paraId="04E35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noWrap w:val="0"/>
            <w:vAlign w:val="center"/>
          </w:tcPr>
          <w:p w14:paraId="34199A25">
            <w:pPr>
              <w:spacing w:line="400" w:lineRule="exact"/>
              <w:jc w:val="center"/>
              <w:rPr>
                <w:rFonts w:hint="eastAsia" w:ascii="宋体" w:hAnsi="宋体" w:eastAsia="宋体" w:cs="宋体"/>
                <w:color w:val="auto"/>
                <w:sz w:val="24"/>
                <w:szCs w:val="24"/>
                <w:highlight w:val="none"/>
              </w:rPr>
            </w:pPr>
          </w:p>
        </w:tc>
        <w:tc>
          <w:tcPr>
            <w:tcW w:w="960" w:type="dxa"/>
            <w:noWrap w:val="0"/>
            <w:vAlign w:val="center"/>
          </w:tcPr>
          <w:p w14:paraId="48FAC11C">
            <w:pPr>
              <w:spacing w:line="400" w:lineRule="exact"/>
              <w:jc w:val="center"/>
              <w:rPr>
                <w:rFonts w:hint="eastAsia" w:ascii="宋体" w:hAnsi="宋体" w:eastAsia="宋体" w:cs="宋体"/>
                <w:color w:val="auto"/>
                <w:sz w:val="24"/>
                <w:szCs w:val="24"/>
                <w:highlight w:val="none"/>
              </w:rPr>
            </w:pPr>
          </w:p>
        </w:tc>
        <w:tc>
          <w:tcPr>
            <w:tcW w:w="1113" w:type="dxa"/>
            <w:noWrap w:val="0"/>
            <w:vAlign w:val="center"/>
          </w:tcPr>
          <w:p w14:paraId="2BDD3F67">
            <w:pPr>
              <w:spacing w:line="400" w:lineRule="exact"/>
              <w:jc w:val="center"/>
              <w:rPr>
                <w:rFonts w:hint="eastAsia" w:ascii="宋体" w:hAnsi="宋体" w:eastAsia="宋体" w:cs="宋体"/>
                <w:color w:val="auto"/>
                <w:sz w:val="24"/>
                <w:szCs w:val="24"/>
                <w:highlight w:val="none"/>
              </w:rPr>
            </w:pPr>
          </w:p>
        </w:tc>
        <w:tc>
          <w:tcPr>
            <w:tcW w:w="1151" w:type="dxa"/>
            <w:noWrap w:val="0"/>
            <w:vAlign w:val="center"/>
          </w:tcPr>
          <w:p w14:paraId="75B933ED">
            <w:pPr>
              <w:spacing w:line="400" w:lineRule="exact"/>
              <w:jc w:val="center"/>
              <w:rPr>
                <w:rFonts w:hint="eastAsia" w:ascii="宋体" w:hAnsi="宋体" w:eastAsia="宋体" w:cs="宋体"/>
                <w:color w:val="auto"/>
                <w:sz w:val="24"/>
                <w:szCs w:val="24"/>
                <w:highlight w:val="none"/>
              </w:rPr>
            </w:pPr>
          </w:p>
        </w:tc>
        <w:tc>
          <w:tcPr>
            <w:tcW w:w="1162" w:type="dxa"/>
            <w:noWrap w:val="0"/>
            <w:vAlign w:val="center"/>
          </w:tcPr>
          <w:p w14:paraId="03A8F7D6">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2A219208">
            <w:pPr>
              <w:spacing w:line="400" w:lineRule="exact"/>
              <w:jc w:val="center"/>
              <w:rPr>
                <w:rFonts w:hint="eastAsia" w:ascii="宋体" w:hAnsi="宋体" w:eastAsia="宋体" w:cs="宋体"/>
                <w:color w:val="auto"/>
                <w:sz w:val="24"/>
                <w:szCs w:val="24"/>
                <w:highlight w:val="none"/>
              </w:rPr>
            </w:pPr>
          </w:p>
        </w:tc>
        <w:tc>
          <w:tcPr>
            <w:tcW w:w="1158" w:type="dxa"/>
            <w:noWrap w:val="0"/>
            <w:vAlign w:val="center"/>
          </w:tcPr>
          <w:p w14:paraId="05EE13CB">
            <w:pPr>
              <w:spacing w:line="400" w:lineRule="exact"/>
              <w:jc w:val="center"/>
              <w:rPr>
                <w:rFonts w:hint="eastAsia" w:ascii="宋体" w:hAnsi="宋体" w:eastAsia="宋体" w:cs="宋体"/>
                <w:color w:val="auto"/>
                <w:sz w:val="24"/>
                <w:szCs w:val="24"/>
                <w:highlight w:val="none"/>
              </w:rPr>
            </w:pPr>
          </w:p>
        </w:tc>
        <w:tc>
          <w:tcPr>
            <w:tcW w:w="1079" w:type="dxa"/>
            <w:gridSpan w:val="2"/>
            <w:tcBorders>
              <w:right w:val="single" w:color="auto" w:sz="4" w:space="0"/>
            </w:tcBorders>
            <w:noWrap w:val="0"/>
            <w:vAlign w:val="center"/>
          </w:tcPr>
          <w:p w14:paraId="00518727">
            <w:pPr>
              <w:spacing w:line="400" w:lineRule="exact"/>
              <w:jc w:val="center"/>
              <w:rPr>
                <w:rFonts w:hint="eastAsia" w:ascii="宋体" w:hAnsi="宋体" w:eastAsia="宋体" w:cs="宋体"/>
                <w:color w:val="auto"/>
                <w:sz w:val="24"/>
                <w:szCs w:val="24"/>
                <w:highlight w:val="none"/>
              </w:rPr>
            </w:pPr>
          </w:p>
        </w:tc>
      </w:tr>
      <w:tr w14:paraId="30B90A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noWrap w:val="0"/>
            <w:vAlign w:val="center"/>
          </w:tcPr>
          <w:p w14:paraId="1DC0CB76">
            <w:pPr>
              <w:spacing w:line="400" w:lineRule="exact"/>
              <w:jc w:val="center"/>
              <w:rPr>
                <w:rFonts w:hint="eastAsia" w:ascii="宋体" w:hAnsi="宋体" w:eastAsia="宋体" w:cs="宋体"/>
                <w:color w:val="auto"/>
                <w:sz w:val="24"/>
                <w:szCs w:val="24"/>
                <w:highlight w:val="none"/>
              </w:rPr>
            </w:pPr>
          </w:p>
        </w:tc>
        <w:tc>
          <w:tcPr>
            <w:tcW w:w="960" w:type="dxa"/>
            <w:noWrap w:val="0"/>
            <w:vAlign w:val="center"/>
          </w:tcPr>
          <w:p w14:paraId="1B0E9971">
            <w:pPr>
              <w:spacing w:line="400" w:lineRule="exact"/>
              <w:jc w:val="center"/>
              <w:rPr>
                <w:rFonts w:hint="eastAsia" w:ascii="宋体" w:hAnsi="宋体" w:eastAsia="宋体" w:cs="宋体"/>
                <w:color w:val="auto"/>
                <w:sz w:val="24"/>
                <w:szCs w:val="24"/>
                <w:highlight w:val="none"/>
              </w:rPr>
            </w:pPr>
          </w:p>
        </w:tc>
        <w:tc>
          <w:tcPr>
            <w:tcW w:w="1113" w:type="dxa"/>
            <w:noWrap w:val="0"/>
            <w:vAlign w:val="center"/>
          </w:tcPr>
          <w:p w14:paraId="28132085">
            <w:pPr>
              <w:spacing w:line="400" w:lineRule="exact"/>
              <w:jc w:val="center"/>
              <w:rPr>
                <w:rFonts w:hint="eastAsia" w:ascii="宋体" w:hAnsi="宋体" w:eastAsia="宋体" w:cs="宋体"/>
                <w:color w:val="auto"/>
                <w:sz w:val="24"/>
                <w:szCs w:val="24"/>
                <w:highlight w:val="none"/>
              </w:rPr>
            </w:pPr>
          </w:p>
        </w:tc>
        <w:tc>
          <w:tcPr>
            <w:tcW w:w="1151" w:type="dxa"/>
            <w:noWrap w:val="0"/>
            <w:vAlign w:val="center"/>
          </w:tcPr>
          <w:p w14:paraId="4F7921C5">
            <w:pPr>
              <w:spacing w:line="400" w:lineRule="exact"/>
              <w:jc w:val="center"/>
              <w:rPr>
                <w:rFonts w:hint="eastAsia" w:ascii="宋体" w:hAnsi="宋体" w:eastAsia="宋体" w:cs="宋体"/>
                <w:color w:val="auto"/>
                <w:sz w:val="24"/>
                <w:szCs w:val="24"/>
                <w:highlight w:val="none"/>
              </w:rPr>
            </w:pPr>
          </w:p>
        </w:tc>
        <w:tc>
          <w:tcPr>
            <w:tcW w:w="1162" w:type="dxa"/>
            <w:noWrap w:val="0"/>
            <w:vAlign w:val="center"/>
          </w:tcPr>
          <w:p w14:paraId="08710D74">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11BE86CC">
            <w:pPr>
              <w:spacing w:line="400" w:lineRule="exact"/>
              <w:jc w:val="center"/>
              <w:rPr>
                <w:rFonts w:hint="eastAsia" w:ascii="宋体" w:hAnsi="宋体" w:eastAsia="宋体" w:cs="宋体"/>
                <w:color w:val="auto"/>
                <w:sz w:val="24"/>
                <w:szCs w:val="24"/>
                <w:highlight w:val="none"/>
              </w:rPr>
            </w:pPr>
          </w:p>
        </w:tc>
        <w:tc>
          <w:tcPr>
            <w:tcW w:w="1158" w:type="dxa"/>
            <w:noWrap w:val="0"/>
            <w:vAlign w:val="center"/>
          </w:tcPr>
          <w:p w14:paraId="34BF52CC">
            <w:pPr>
              <w:spacing w:line="400" w:lineRule="exact"/>
              <w:jc w:val="center"/>
              <w:rPr>
                <w:rFonts w:hint="eastAsia" w:ascii="宋体" w:hAnsi="宋体" w:eastAsia="宋体" w:cs="宋体"/>
                <w:color w:val="auto"/>
                <w:sz w:val="24"/>
                <w:szCs w:val="24"/>
                <w:highlight w:val="none"/>
              </w:rPr>
            </w:pPr>
          </w:p>
        </w:tc>
        <w:tc>
          <w:tcPr>
            <w:tcW w:w="1079" w:type="dxa"/>
            <w:gridSpan w:val="2"/>
            <w:tcBorders>
              <w:right w:val="single" w:color="auto" w:sz="4" w:space="0"/>
            </w:tcBorders>
            <w:noWrap w:val="0"/>
            <w:vAlign w:val="center"/>
          </w:tcPr>
          <w:p w14:paraId="132D7889">
            <w:pPr>
              <w:spacing w:line="400" w:lineRule="exact"/>
              <w:jc w:val="center"/>
              <w:rPr>
                <w:rFonts w:hint="eastAsia" w:ascii="宋体" w:hAnsi="宋体" w:eastAsia="宋体" w:cs="宋体"/>
                <w:color w:val="auto"/>
                <w:sz w:val="24"/>
                <w:szCs w:val="24"/>
                <w:highlight w:val="none"/>
              </w:rPr>
            </w:pPr>
          </w:p>
        </w:tc>
      </w:tr>
      <w:tr w14:paraId="478080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noWrap w:val="0"/>
            <w:vAlign w:val="center"/>
          </w:tcPr>
          <w:p w14:paraId="545CD27F">
            <w:pPr>
              <w:spacing w:line="400" w:lineRule="exact"/>
              <w:jc w:val="center"/>
              <w:rPr>
                <w:rFonts w:hint="eastAsia" w:ascii="宋体" w:hAnsi="宋体" w:eastAsia="宋体" w:cs="宋体"/>
                <w:color w:val="auto"/>
                <w:sz w:val="24"/>
                <w:szCs w:val="24"/>
                <w:highlight w:val="none"/>
              </w:rPr>
            </w:pPr>
          </w:p>
        </w:tc>
        <w:tc>
          <w:tcPr>
            <w:tcW w:w="960" w:type="dxa"/>
            <w:noWrap w:val="0"/>
            <w:vAlign w:val="center"/>
          </w:tcPr>
          <w:p w14:paraId="13E15A69">
            <w:pPr>
              <w:spacing w:line="400" w:lineRule="exact"/>
              <w:jc w:val="center"/>
              <w:rPr>
                <w:rFonts w:hint="eastAsia" w:ascii="宋体" w:hAnsi="宋体" w:eastAsia="宋体" w:cs="宋体"/>
                <w:color w:val="auto"/>
                <w:sz w:val="24"/>
                <w:szCs w:val="24"/>
                <w:highlight w:val="none"/>
              </w:rPr>
            </w:pPr>
          </w:p>
        </w:tc>
        <w:tc>
          <w:tcPr>
            <w:tcW w:w="1113" w:type="dxa"/>
            <w:noWrap w:val="0"/>
            <w:vAlign w:val="center"/>
          </w:tcPr>
          <w:p w14:paraId="315DC64C">
            <w:pPr>
              <w:spacing w:line="400" w:lineRule="exact"/>
              <w:jc w:val="center"/>
              <w:rPr>
                <w:rFonts w:hint="eastAsia" w:ascii="宋体" w:hAnsi="宋体" w:eastAsia="宋体" w:cs="宋体"/>
                <w:color w:val="auto"/>
                <w:sz w:val="24"/>
                <w:szCs w:val="24"/>
                <w:highlight w:val="none"/>
              </w:rPr>
            </w:pPr>
          </w:p>
        </w:tc>
        <w:tc>
          <w:tcPr>
            <w:tcW w:w="1151" w:type="dxa"/>
            <w:noWrap w:val="0"/>
            <w:vAlign w:val="center"/>
          </w:tcPr>
          <w:p w14:paraId="65B861B8">
            <w:pPr>
              <w:spacing w:line="400" w:lineRule="exact"/>
              <w:jc w:val="center"/>
              <w:rPr>
                <w:rFonts w:hint="eastAsia" w:ascii="宋体" w:hAnsi="宋体" w:eastAsia="宋体" w:cs="宋体"/>
                <w:color w:val="auto"/>
                <w:sz w:val="24"/>
                <w:szCs w:val="24"/>
                <w:highlight w:val="none"/>
              </w:rPr>
            </w:pPr>
          </w:p>
        </w:tc>
        <w:tc>
          <w:tcPr>
            <w:tcW w:w="1162" w:type="dxa"/>
            <w:noWrap w:val="0"/>
            <w:vAlign w:val="center"/>
          </w:tcPr>
          <w:p w14:paraId="48541C21">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1BD82A10">
            <w:pPr>
              <w:spacing w:line="400" w:lineRule="exact"/>
              <w:jc w:val="center"/>
              <w:rPr>
                <w:rFonts w:hint="eastAsia" w:ascii="宋体" w:hAnsi="宋体" w:eastAsia="宋体" w:cs="宋体"/>
                <w:color w:val="auto"/>
                <w:sz w:val="24"/>
                <w:szCs w:val="24"/>
                <w:highlight w:val="none"/>
              </w:rPr>
            </w:pPr>
          </w:p>
        </w:tc>
        <w:tc>
          <w:tcPr>
            <w:tcW w:w="1158" w:type="dxa"/>
            <w:noWrap w:val="0"/>
            <w:vAlign w:val="center"/>
          </w:tcPr>
          <w:p w14:paraId="6D0109D0">
            <w:pPr>
              <w:spacing w:line="400" w:lineRule="exact"/>
              <w:jc w:val="center"/>
              <w:rPr>
                <w:rFonts w:hint="eastAsia" w:ascii="宋体" w:hAnsi="宋体" w:eastAsia="宋体" w:cs="宋体"/>
                <w:color w:val="auto"/>
                <w:sz w:val="24"/>
                <w:szCs w:val="24"/>
                <w:highlight w:val="none"/>
              </w:rPr>
            </w:pPr>
          </w:p>
        </w:tc>
        <w:tc>
          <w:tcPr>
            <w:tcW w:w="1079" w:type="dxa"/>
            <w:gridSpan w:val="2"/>
            <w:tcBorders>
              <w:right w:val="single" w:color="auto" w:sz="4" w:space="0"/>
            </w:tcBorders>
            <w:noWrap w:val="0"/>
            <w:vAlign w:val="center"/>
          </w:tcPr>
          <w:p w14:paraId="49759BDB">
            <w:pPr>
              <w:spacing w:line="400" w:lineRule="exact"/>
              <w:jc w:val="center"/>
              <w:rPr>
                <w:rFonts w:hint="eastAsia" w:ascii="宋体" w:hAnsi="宋体" w:eastAsia="宋体" w:cs="宋体"/>
                <w:color w:val="auto"/>
                <w:sz w:val="24"/>
                <w:szCs w:val="24"/>
                <w:highlight w:val="none"/>
              </w:rPr>
            </w:pPr>
          </w:p>
        </w:tc>
      </w:tr>
      <w:tr w14:paraId="6A49C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noWrap w:val="0"/>
            <w:vAlign w:val="center"/>
          </w:tcPr>
          <w:p w14:paraId="47A08A05">
            <w:pPr>
              <w:spacing w:line="400" w:lineRule="exact"/>
              <w:jc w:val="center"/>
              <w:rPr>
                <w:rFonts w:hint="eastAsia" w:ascii="宋体" w:hAnsi="宋体" w:eastAsia="宋体" w:cs="宋体"/>
                <w:color w:val="auto"/>
                <w:sz w:val="24"/>
                <w:szCs w:val="24"/>
                <w:highlight w:val="none"/>
              </w:rPr>
            </w:pPr>
          </w:p>
        </w:tc>
        <w:tc>
          <w:tcPr>
            <w:tcW w:w="960" w:type="dxa"/>
            <w:tcBorders>
              <w:right w:val="single" w:color="auto" w:sz="4" w:space="0"/>
            </w:tcBorders>
            <w:noWrap w:val="0"/>
            <w:vAlign w:val="center"/>
          </w:tcPr>
          <w:p w14:paraId="53F2CC3D">
            <w:pPr>
              <w:spacing w:line="400" w:lineRule="exact"/>
              <w:jc w:val="center"/>
              <w:rPr>
                <w:rFonts w:hint="eastAsia" w:ascii="宋体" w:hAnsi="宋体" w:eastAsia="宋体" w:cs="宋体"/>
                <w:color w:val="auto"/>
                <w:sz w:val="24"/>
                <w:szCs w:val="24"/>
                <w:highlight w:val="none"/>
              </w:rPr>
            </w:pPr>
          </w:p>
        </w:tc>
        <w:tc>
          <w:tcPr>
            <w:tcW w:w="1113" w:type="dxa"/>
            <w:tcBorders>
              <w:left w:val="single" w:color="auto" w:sz="4" w:space="0"/>
            </w:tcBorders>
            <w:noWrap w:val="0"/>
            <w:vAlign w:val="center"/>
          </w:tcPr>
          <w:p w14:paraId="0CD57646">
            <w:pPr>
              <w:spacing w:line="400" w:lineRule="exact"/>
              <w:jc w:val="center"/>
              <w:rPr>
                <w:rFonts w:hint="eastAsia" w:ascii="宋体" w:hAnsi="宋体" w:eastAsia="宋体" w:cs="宋体"/>
                <w:color w:val="auto"/>
                <w:sz w:val="24"/>
                <w:szCs w:val="24"/>
                <w:highlight w:val="none"/>
              </w:rPr>
            </w:pPr>
          </w:p>
        </w:tc>
        <w:tc>
          <w:tcPr>
            <w:tcW w:w="1151" w:type="dxa"/>
            <w:tcBorders>
              <w:left w:val="single" w:color="auto" w:sz="4" w:space="0"/>
            </w:tcBorders>
            <w:noWrap w:val="0"/>
            <w:vAlign w:val="center"/>
          </w:tcPr>
          <w:p w14:paraId="50113721">
            <w:pPr>
              <w:spacing w:line="400" w:lineRule="exact"/>
              <w:jc w:val="center"/>
              <w:rPr>
                <w:rFonts w:hint="eastAsia" w:ascii="宋体" w:hAnsi="宋体" w:eastAsia="宋体" w:cs="宋体"/>
                <w:color w:val="auto"/>
                <w:sz w:val="24"/>
                <w:szCs w:val="24"/>
                <w:highlight w:val="none"/>
              </w:rPr>
            </w:pPr>
          </w:p>
        </w:tc>
        <w:tc>
          <w:tcPr>
            <w:tcW w:w="1162" w:type="dxa"/>
            <w:tcBorders>
              <w:left w:val="single" w:color="auto" w:sz="4" w:space="0"/>
            </w:tcBorders>
            <w:noWrap w:val="0"/>
            <w:vAlign w:val="center"/>
          </w:tcPr>
          <w:p w14:paraId="2305E5FA">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2082A0A7">
            <w:pPr>
              <w:spacing w:line="400" w:lineRule="exact"/>
              <w:jc w:val="center"/>
              <w:rPr>
                <w:rFonts w:hint="eastAsia" w:ascii="宋体" w:hAnsi="宋体" w:eastAsia="宋体" w:cs="宋体"/>
                <w:color w:val="auto"/>
                <w:sz w:val="24"/>
                <w:szCs w:val="24"/>
                <w:highlight w:val="none"/>
              </w:rPr>
            </w:pPr>
          </w:p>
        </w:tc>
        <w:tc>
          <w:tcPr>
            <w:tcW w:w="1158" w:type="dxa"/>
            <w:noWrap w:val="0"/>
            <w:vAlign w:val="center"/>
          </w:tcPr>
          <w:p w14:paraId="7F46E064">
            <w:pPr>
              <w:spacing w:line="400" w:lineRule="exact"/>
              <w:jc w:val="center"/>
              <w:rPr>
                <w:rFonts w:hint="eastAsia" w:ascii="宋体" w:hAnsi="宋体" w:eastAsia="宋体" w:cs="宋体"/>
                <w:color w:val="auto"/>
                <w:sz w:val="24"/>
                <w:szCs w:val="24"/>
                <w:highlight w:val="none"/>
              </w:rPr>
            </w:pPr>
          </w:p>
        </w:tc>
        <w:tc>
          <w:tcPr>
            <w:tcW w:w="1079" w:type="dxa"/>
            <w:gridSpan w:val="2"/>
            <w:tcBorders>
              <w:right w:val="single" w:color="auto" w:sz="4" w:space="0"/>
            </w:tcBorders>
            <w:noWrap w:val="0"/>
            <w:vAlign w:val="center"/>
          </w:tcPr>
          <w:p w14:paraId="5E631C55">
            <w:pPr>
              <w:spacing w:line="400" w:lineRule="exact"/>
              <w:jc w:val="center"/>
              <w:rPr>
                <w:rFonts w:hint="eastAsia" w:ascii="宋体" w:hAnsi="宋体" w:eastAsia="宋体" w:cs="宋体"/>
                <w:color w:val="auto"/>
                <w:sz w:val="24"/>
                <w:szCs w:val="24"/>
                <w:highlight w:val="none"/>
              </w:rPr>
            </w:pPr>
          </w:p>
        </w:tc>
      </w:tr>
      <w:tr w14:paraId="2B5AED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06" w:type="dxa"/>
            <w:tcBorders>
              <w:right w:val="single" w:color="auto" w:sz="4" w:space="0"/>
            </w:tcBorders>
            <w:noWrap w:val="0"/>
            <w:vAlign w:val="center"/>
          </w:tcPr>
          <w:p w14:paraId="241AEFF8">
            <w:pPr>
              <w:spacing w:line="400" w:lineRule="exact"/>
              <w:rPr>
                <w:rFonts w:hint="eastAsia" w:ascii="宋体" w:hAnsi="宋体" w:eastAsia="宋体" w:cs="宋体"/>
                <w:color w:val="auto"/>
                <w:sz w:val="24"/>
                <w:szCs w:val="24"/>
                <w:highlight w:val="none"/>
              </w:rPr>
            </w:pPr>
          </w:p>
        </w:tc>
        <w:tc>
          <w:tcPr>
            <w:tcW w:w="960" w:type="dxa"/>
            <w:tcBorders>
              <w:left w:val="single" w:color="auto" w:sz="4" w:space="0"/>
              <w:right w:val="single" w:color="auto" w:sz="4" w:space="0"/>
            </w:tcBorders>
            <w:noWrap w:val="0"/>
            <w:vAlign w:val="center"/>
          </w:tcPr>
          <w:p w14:paraId="023AC120">
            <w:pPr>
              <w:spacing w:line="400" w:lineRule="exact"/>
              <w:rPr>
                <w:rFonts w:hint="eastAsia" w:ascii="宋体" w:hAnsi="宋体" w:eastAsia="宋体" w:cs="宋体"/>
                <w:color w:val="auto"/>
                <w:sz w:val="24"/>
                <w:szCs w:val="24"/>
                <w:highlight w:val="none"/>
              </w:rPr>
            </w:pPr>
          </w:p>
        </w:tc>
        <w:tc>
          <w:tcPr>
            <w:tcW w:w="1113" w:type="dxa"/>
            <w:tcBorders>
              <w:left w:val="single" w:color="auto" w:sz="4" w:space="0"/>
              <w:right w:val="single" w:color="auto" w:sz="4" w:space="0"/>
            </w:tcBorders>
            <w:noWrap w:val="0"/>
            <w:vAlign w:val="center"/>
          </w:tcPr>
          <w:p w14:paraId="51A60A67">
            <w:pPr>
              <w:spacing w:line="400" w:lineRule="exact"/>
              <w:rPr>
                <w:rFonts w:hint="eastAsia" w:ascii="宋体" w:hAnsi="宋体" w:eastAsia="宋体" w:cs="宋体"/>
                <w:color w:val="auto"/>
                <w:sz w:val="24"/>
                <w:szCs w:val="24"/>
                <w:highlight w:val="none"/>
              </w:rPr>
            </w:pPr>
          </w:p>
        </w:tc>
        <w:tc>
          <w:tcPr>
            <w:tcW w:w="1151" w:type="dxa"/>
            <w:tcBorders>
              <w:left w:val="single" w:color="auto" w:sz="4" w:space="0"/>
              <w:right w:val="single" w:color="auto" w:sz="4" w:space="0"/>
            </w:tcBorders>
            <w:noWrap w:val="0"/>
            <w:vAlign w:val="center"/>
          </w:tcPr>
          <w:p w14:paraId="3C7765A3">
            <w:pPr>
              <w:spacing w:line="400" w:lineRule="exact"/>
              <w:rPr>
                <w:rFonts w:hint="eastAsia" w:ascii="宋体" w:hAnsi="宋体" w:eastAsia="宋体" w:cs="宋体"/>
                <w:color w:val="auto"/>
                <w:sz w:val="24"/>
                <w:szCs w:val="24"/>
                <w:highlight w:val="none"/>
              </w:rPr>
            </w:pPr>
          </w:p>
        </w:tc>
        <w:tc>
          <w:tcPr>
            <w:tcW w:w="1162" w:type="dxa"/>
            <w:tcBorders>
              <w:left w:val="single" w:color="auto" w:sz="4" w:space="0"/>
              <w:right w:val="single" w:color="auto" w:sz="4" w:space="0"/>
            </w:tcBorders>
            <w:noWrap w:val="0"/>
            <w:vAlign w:val="center"/>
          </w:tcPr>
          <w:p w14:paraId="33584FAB">
            <w:pPr>
              <w:spacing w:line="400" w:lineRule="exact"/>
              <w:rPr>
                <w:rFonts w:hint="eastAsia" w:ascii="宋体" w:hAnsi="宋体" w:eastAsia="宋体" w:cs="宋体"/>
                <w:color w:val="auto"/>
                <w:sz w:val="24"/>
                <w:szCs w:val="24"/>
                <w:highlight w:val="none"/>
              </w:rPr>
            </w:pPr>
          </w:p>
        </w:tc>
        <w:tc>
          <w:tcPr>
            <w:tcW w:w="1180" w:type="dxa"/>
            <w:tcBorders>
              <w:left w:val="single" w:color="auto" w:sz="4" w:space="0"/>
              <w:right w:val="single" w:color="auto" w:sz="4" w:space="0"/>
            </w:tcBorders>
            <w:noWrap w:val="0"/>
            <w:vAlign w:val="center"/>
          </w:tcPr>
          <w:p w14:paraId="5ECE8E42">
            <w:pPr>
              <w:spacing w:line="400" w:lineRule="exact"/>
              <w:rPr>
                <w:rFonts w:hint="eastAsia" w:ascii="宋体" w:hAnsi="宋体" w:eastAsia="宋体" w:cs="宋体"/>
                <w:color w:val="auto"/>
                <w:sz w:val="24"/>
                <w:szCs w:val="24"/>
                <w:highlight w:val="none"/>
              </w:rPr>
            </w:pPr>
          </w:p>
        </w:tc>
        <w:tc>
          <w:tcPr>
            <w:tcW w:w="1158" w:type="dxa"/>
            <w:tcBorders>
              <w:left w:val="single" w:color="auto" w:sz="4" w:space="0"/>
              <w:right w:val="single" w:color="auto" w:sz="4" w:space="0"/>
            </w:tcBorders>
            <w:noWrap w:val="0"/>
            <w:vAlign w:val="center"/>
          </w:tcPr>
          <w:p w14:paraId="3339B959">
            <w:pPr>
              <w:spacing w:line="400" w:lineRule="exact"/>
              <w:rPr>
                <w:rFonts w:hint="eastAsia" w:ascii="宋体" w:hAnsi="宋体" w:eastAsia="宋体" w:cs="宋体"/>
                <w:color w:val="auto"/>
                <w:sz w:val="24"/>
                <w:szCs w:val="24"/>
                <w:highlight w:val="none"/>
              </w:rPr>
            </w:pPr>
          </w:p>
        </w:tc>
        <w:tc>
          <w:tcPr>
            <w:tcW w:w="1079" w:type="dxa"/>
            <w:gridSpan w:val="2"/>
            <w:tcBorders>
              <w:left w:val="single" w:color="auto" w:sz="4" w:space="0"/>
              <w:right w:val="single" w:color="auto" w:sz="4" w:space="0"/>
            </w:tcBorders>
            <w:noWrap w:val="0"/>
            <w:vAlign w:val="center"/>
          </w:tcPr>
          <w:p w14:paraId="42BED50F">
            <w:pPr>
              <w:spacing w:line="400" w:lineRule="exact"/>
              <w:rPr>
                <w:rFonts w:hint="eastAsia" w:ascii="宋体" w:hAnsi="宋体" w:eastAsia="宋体" w:cs="宋体"/>
                <w:color w:val="auto"/>
                <w:sz w:val="24"/>
                <w:szCs w:val="24"/>
                <w:highlight w:val="none"/>
              </w:rPr>
            </w:pPr>
          </w:p>
        </w:tc>
      </w:tr>
      <w:tr w14:paraId="449460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606" w:type="dxa"/>
            <w:noWrap w:val="0"/>
            <w:vAlign w:val="center"/>
          </w:tcPr>
          <w:p w14:paraId="0CA88F43">
            <w:pPr>
              <w:spacing w:line="400" w:lineRule="exact"/>
              <w:rPr>
                <w:rFonts w:hint="eastAsia" w:ascii="宋体" w:hAnsi="宋体" w:eastAsia="宋体" w:cs="宋体"/>
                <w:color w:val="auto"/>
                <w:sz w:val="24"/>
                <w:szCs w:val="24"/>
                <w:highlight w:val="none"/>
              </w:rPr>
            </w:pPr>
          </w:p>
        </w:tc>
        <w:tc>
          <w:tcPr>
            <w:tcW w:w="960" w:type="dxa"/>
            <w:noWrap w:val="0"/>
            <w:vAlign w:val="center"/>
          </w:tcPr>
          <w:p w14:paraId="499B35BA">
            <w:pPr>
              <w:spacing w:line="400" w:lineRule="exact"/>
              <w:rPr>
                <w:rFonts w:hint="eastAsia" w:ascii="宋体" w:hAnsi="宋体" w:eastAsia="宋体" w:cs="宋体"/>
                <w:color w:val="auto"/>
                <w:sz w:val="24"/>
                <w:szCs w:val="24"/>
                <w:highlight w:val="none"/>
              </w:rPr>
            </w:pPr>
          </w:p>
        </w:tc>
        <w:tc>
          <w:tcPr>
            <w:tcW w:w="1113" w:type="dxa"/>
            <w:noWrap w:val="0"/>
            <w:vAlign w:val="center"/>
          </w:tcPr>
          <w:p w14:paraId="6B661E86">
            <w:pPr>
              <w:spacing w:line="400" w:lineRule="exact"/>
              <w:rPr>
                <w:rFonts w:hint="eastAsia" w:ascii="宋体" w:hAnsi="宋体" w:eastAsia="宋体" w:cs="宋体"/>
                <w:color w:val="auto"/>
                <w:sz w:val="24"/>
                <w:szCs w:val="24"/>
                <w:highlight w:val="none"/>
              </w:rPr>
            </w:pPr>
          </w:p>
        </w:tc>
        <w:tc>
          <w:tcPr>
            <w:tcW w:w="1151" w:type="dxa"/>
            <w:noWrap w:val="0"/>
            <w:vAlign w:val="center"/>
          </w:tcPr>
          <w:p w14:paraId="6294A695">
            <w:pPr>
              <w:spacing w:line="400" w:lineRule="exact"/>
              <w:rPr>
                <w:rFonts w:hint="eastAsia" w:ascii="宋体" w:hAnsi="宋体" w:eastAsia="宋体" w:cs="宋体"/>
                <w:color w:val="auto"/>
                <w:sz w:val="24"/>
                <w:szCs w:val="24"/>
                <w:highlight w:val="none"/>
              </w:rPr>
            </w:pPr>
          </w:p>
        </w:tc>
        <w:tc>
          <w:tcPr>
            <w:tcW w:w="1162" w:type="dxa"/>
            <w:noWrap w:val="0"/>
            <w:vAlign w:val="center"/>
          </w:tcPr>
          <w:p w14:paraId="23345391">
            <w:pPr>
              <w:spacing w:line="400" w:lineRule="exact"/>
              <w:rPr>
                <w:rFonts w:hint="eastAsia" w:ascii="宋体" w:hAnsi="宋体" w:eastAsia="宋体" w:cs="宋体"/>
                <w:color w:val="auto"/>
                <w:sz w:val="24"/>
                <w:szCs w:val="24"/>
                <w:highlight w:val="none"/>
              </w:rPr>
            </w:pPr>
          </w:p>
        </w:tc>
        <w:tc>
          <w:tcPr>
            <w:tcW w:w="1180" w:type="dxa"/>
            <w:noWrap w:val="0"/>
            <w:vAlign w:val="center"/>
          </w:tcPr>
          <w:p w14:paraId="641B0854">
            <w:pPr>
              <w:spacing w:line="400" w:lineRule="exact"/>
              <w:rPr>
                <w:rFonts w:hint="eastAsia" w:ascii="宋体" w:hAnsi="宋体" w:eastAsia="宋体" w:cs="宋体"/>
                <w:color w:val="auto"/>
                <w:sz w:val="24"/>
                <w:szCs w:val="24"/>
                <w:highlight w:val="none"/>
              </w:rPr>
            </w:pPr>
          </w:p>
        </w:tc>
        <w:tc>
          <w:tcPr>
            <w:tcW w:w="1158" w:type="dxa"/>
            <w:tcBorders>
              <w:right w:val="single" w:color="auto" w:sz="4" w:space="0"/>
            </w:tcBorders>
            <w:noWrap w:val="0"/>
            <w:vAlign w:val="center"/>
          </w:tcPr>
          <w:p w14:paraId="471EC685">
            <w:pPr>
              <w:spacing w:line="400" w:lineRule="exact"/>
              <w:rPr>
                <w:rFonts w:hint="eastAsia" w:ascii="宋体" w:hAnsi="宋体" w:eastAsia="宋体" w:cs="宋体"/>
                <w:color w:val="auto"/>
                <w:sz w:val="24"/>
                <w:szCs w:val="24"/>
                <w:highlight w:val="none"/>
              </w:rPr>
            </w:pPr>
          </w:p>
        </w:tc>
        <w:tc>
          <w:tcPr>
            <w:tcW w:w="1069" w:type="dxa"/>
            <w:tcBorders>
              <w:left w:val="single" w:color="auto" w:sz="4" w:space="0"/>
              <w:right w:val="single" w:color="auto" w:sz="4" w:space="0"/>
            </w:tcBorders>
            <w:noWrap w:val="0"/>
            <w:vAlign w:val="center"/>
          </w:tcPr>
          <w:p w14:paraId="351C2C38">
            <w:pPr>
              <w:spacing w:line="400" w:lineRule="exact"/>
              <w:rPr>
                <w:rFonts w:hint="eastAsia" w:ascii="宋体" w:hAnsi="宋体" w:eastAsia="宋体" w:cs="宋体"/>
                <w:color w:val="auto"/>
                <w:sz w:val="24"/>
                <w:szCs w:val="24"/>
                <w:highlight w:val="none"/>
              </w:rPr>
            </w:pPr>
          </w:p>
        </w:tc>
      </w:tr>
      <w:tr w14:paraId="7315B3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606" w:type="dxa"/>
            <w:noWrap w:val="0"/>
            <w:vAlign w:val="center"/>
          </w:tcPr>
          <w:p w14:paraId="79909576">
            <w:pPr>
              <w:spacing w:line="400" w:lineRule="exact"/>
              <w:jc w:val="center"/>
              <w:rPr>
                <w:rFonts w:hint="eastAsia" w:ascii="宋体" w:hAnsi="宋体" w:eastAsia="宋体" w:cs="宋体"/>
                <w:color w:val="auto"/>
                <w:sz w:val="24"/>
                <w:szCs w:val="24"/>
                <w:highlight w:val="none"/>
              </w:rPr>
            </w:pPr>
          </w:p>
        </w:tc>
        <w:tc>
          <w:tcPr>
            <w:tcW w:w="960" w:type="dxa"/>
            <w:noWrap w:val="0"/>
            <w:vAlign w:val="center"/>
          </w:tcPr>
          <w:p w14:paraId="7796E974">
            <w:pPr>
              <w:spacing w:line="400" w:lineRule="exact"/>
              <w:jc w:val="center"/>
              <w:rPr>
                <w:rFonts w:hint="eastAsia" w:ascii="宋体" w:hAnsi="宋体" w:eastAsia="宋体" w:cs="宋体"/>
                <w:color w:val="auto"/>
                <w:sz w:val="24"/>
                <w:szCs w:val="24"/>
                <w:highlight w:val="none"/>
              </w:rPr>
            </w:pPr>
          </w:p>
        </w:tc>
        <w:tc>
          <w:tcPr>
            <w:tcW w:w="1113" w:type="dxa"/>
            <w:noWrap w:val="0"/>
            <w:vAlign w:val="center"/>
          </w:tcPr>
          <w:p w14:paraId="7106B90F">
            <w:pPr>
              <w:spacing w:line="400" w:lineRule="exact"/>
              <w:jc w:val="center"/>
              <w:rPr>
                <w:rFonts w:hint="eastAsia" w:ascii="宋体" w:hAnsi="宋体" w:eastAsia="宋体" w:cs="宋体"/>
                <w:color w:val="auto"/>
                <w:sz w:val="24"/>
                <w:szCs w:val="24"/>
                <w:highlight w:val="none"/>
              </w:rPr>
            </w:pPr>
          </w:p>
        </w:tc>
        <w:tc>
          <w:tcPr>
            <w:tcW w:w="1151" w:type="dxa"/>
            <w:noWrap w:val="0"/>
            <w:vAlign w:val="center"/>
          </w:tcPr>
          <w:p w14:paraId="46C33857">
            <w:pPr>
              <w:spacing w:line="400" w:lineRule="exact"/>
              <w:jc w:val="center"/>
              <w:rPr>
                <w:rFonts w:hint="eastAsia" w:ascii="宋体" w:hAnsi="宋体" w:eastAsia="宋体" w:cs="宋体"/>
                <w:color w:val="auto"/>
                <w:sz w:val="24"/>
                <w:szCs w:val="24"/>
                <w:highlight w:val="none"/>
              </w:rPr>
            </w:pPr>
          </w:p>
        </w:tc>
        <w:tc>
          <w:tcPr>
            <w:tcW w:w="1162" w:type="dxa"/>
            <w:noWrap w:val="0"/>
            <w:vAlign w:val="center"/>
          </w:tcPr>
          <w:p w14:paraId="54B592DF">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72CDE01A">
            <w:pPr>
              <w:spacing w:line="400" w:lineRule="exact"/>
              <w:jc w:val="center"/>
              <w:rPr>
                <w:rFonts w:hint="eastAsia" w:ascii="宋体" w:hAnsi="宋体" w:eastAsia="宋体" w:cs="宋体"/>
                <w:color w:val="auto"/>
                <w:sz w:val="24"/>
                <w:szCs w:val="24"/>
                <w:highlight w:val="none"/>
              </w:rPr>
            </w:pPr>
          </w:p>
        </w:tc>
        <w:tc>
          <w:tcPr>
            <w:tcW w:w="1158" w:type="dxa"/>
            <w:tcBorders>
              <w:right w:val="single" w:color="auto" w:sz="4" w:space="0"/>
            </w:tcBorders>
            <w:noWrap w:val="0"/>
            <w:vAlign w:val="center"/>
          </w:tcPr>
          <w:p w14:paraId="36FAD61A">
            <w:pPr>
              <w:spacing w:line="400" w:lineRule="exact"/>
              <w:jc w:val="center"/>
              <w:rPr>
                <w:rFonts w:hint="eastAsia" w:ascii="宋体" w:hAnsi="宋体" w:eastAsia="宋体" w:cs="宋体"/>
                <w:color w:val="auto"/>
                <w:sz w:val="24"/>
                <w:szCs w:val="24"/>
                <w:highlight w:val="none"/>
              </w:rPr>
            </w:pPr>
          </w:p>
        </w:tc>
        <w:tc>
          <w:tcPr>
            <w:tcW w:w="1069" w:type="dxa"/>
            <w:tcBorders>
              <w:left w:val="single" w:color="auto" w:sz="4" w:space="0"/>
              <w:right w:val="single" w:color="auto" w:sz="4" w:space="0"/>
            </w:tcBorders>
            <w:noWrap w:val="0"/>
            <w:vAlign w:val="center"/>
          </w:tcPr>
          <w:p w14:paraId="47E39D5A">
            <w:pPr>
              <w:spacing w:line="400" w:lineRule="exact"/>
              <w:jc w:val="center"/>
              <w:rPr>
                <w:rFonts w:hint="eastAsia" w:ascii="宋体" w:hAnsi="宋体" w:eastAsia="宋体" w:cs="宋体"/>
                <w:color w:val="auto"/>
                <w:sz w:val="24"/>
                <w:szCs w:val="24"/>
                <w:highlight w:val="none"/>
              </w:rPr>
            </w:pPr>
          </w:p>
        </w:tc>
      </w:tr>
      <w:tr w14:paraId="75AA24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606" w:type="dxa"/>
            <w:noWrap w:val="0"/>
            <w:vAlign w:val="center"/>
          </w:tcPr>
          <w:p w14:paraId="69622225">
            <w:pPr>
              <w:spacing w:line="400" w:lineRule="exact"/>
              <w:jc w:val="center"/>
              <w:rPr>
                <w:rFonts w:hint="eastAsia" w:ascii="宋体" w:hAnsi="宋体" w:eastAsia="宋体" w:cs="宋体"/>
                <w:color w:val="auto"/>
                <w:sz w:val="24"/>
                <w:szCs w:val="24"/>
                <w:highlight w:val="none"/>
              </w:rPr>
            </w:pPr>
          </w:p>
        </w:tc>
        <w:tc>
          <w:tcPr>
            <w:tcW w:w="960" w:type="dxa"/>
            <w:noWrap w:val="0"/>
            <w:vAlign w:val="center"/>
          </w:tcPr>
          <w:p w14:paraId="5C452956">
            <w:pPr>
              <w:spacing w:line="400" w:lineRule="exact"/>
              <w:jc w:val="center"/>
              <w:rPr>
                <w:rFonts w:hint="eastAsia" w:ascii="宋体" w:hAnsi="宋体" w:eastAsia="宋体" w:cs="宋体"/>
                <w:color w:val="auto"/>
                <w:sz w:val="24"/>
                <w:szCs w:val="24"/>
                <w:highlight w:val="none"/>
              </w:rPr>
            </w:pPr>
          </w:p>
        </w:tc>
        <w:tc>
          <w:tcPr>
            <w:tcW w:w="1113" w:type="dxa"/>
            <w:noWrap w:val="0"/>
            <w:vAlign w:val="center"/>
          </w:tcPr>
          <w:p w14:paraId="4DD54D87">
            <w:pPr>
              <w:spacing w:line="400" w:lineRule="exact"/>
              <w:jc w:val="center"/>
              <w:rPr>
                <w:rFonts w:hint="eastAsia" w:ascii="宋体" w:hAnsi="宋体" w:eastAsia="宋体" w:cs="宋体"/>
                <w:color w:val="auto"/>
                <w:sz w:val="24"/>
                <w:szCs w:val="24"/>
                <w:highlight w:val="none"/>
              </w:rPr>
            </w:pPr>
          </w:p>
        </w:tc>
        <w:tc>
          <w:tcPr>
            <w:tcW w:w="1151" w:type="dxa"/>
            <w:noWrap w:val="0"/>
            <w:vAlign w:val="center"/>
          </w:tcPr>
          <w:p w14:paraId="676EFBCD">
            <w:pPr>
              <w:spacing w:line="400" w:lineRule="exact"/>
              <w:jc w:val="center"/>
              <w:rPr>
                <w:rFonts w:hint="eastAsia" w:ascii="宋体" w:hAnsi="宋体" w:eastAsia="宋体" w:cs="宋体"/>
                <w:color w:val="auto"/>
                <w:sz w:val="24"/>
                <w:szCs w:val="24"/>
                <w:highlight w:val="none"/>
              </w:rPr>
            </w:pPr>
          </w:p>
        </w:tc>
        <w:tc>
          <w:tcPr>
            <w:tcW w:w="1162" w:type="dxa"/>
            <w:noWrap w:val="0"/>
            <w:vAlign w:val="center"/>
          </w:tcPr>
          <w:p w14:paraId="6557E44E">
            <w:pPr>
              <w:spacing w:line="400" w:lineRule="exact"/>
              <w:jc w:val="center"/>
              <w:rPr>
                <w:rFonts w:hint="eastAsia" w:ascii="宋体" w:hAnsi="宋体" w:eastAsia="宋体" w:cs="宋体"/>
                <w:color w:val="auto"/>
                <w:sz w:val="24"/>
                <w:szCs w:val="24"/>
                <w:highlight w:val="none"/>
              </w:rPr>
            </w:pPr>
          </w:p>
        </w:tc>
        <w:tc>
          <w:tcPr>
            <w:tcW w:w="1180" w:type="dxa"/>
            <w:noWrap w:val="0"/>
            <w:vAlign w:val="center"/>
          </w:tcPr>
          <w:p w14:paraId="188570AE">
            <w:pPr>
              <w:spacing w:line="400" w:lineRule="exact"/>
              <w:jc w:val="center"/>
              <w:rPr>
                <w:rFonts w:hint="eastAsia" w:ascii="宋体" w:hAnsi="宋体" w:eastAsia="宋体" w:cs="宋体"/>
                <w:color w:val="auto"/>
                <w:sz w:val="24"/>
                <w:szCs w:val="24"/>
                <w:highlight w:val="none"/>
              </w:rPr>
            </w:pPr>
          </w:p>
        </w:tc>
        <w:tc>
          <w:tcPr>
            <w:tcW w:w="1158" w:type="dxa"/>
            <w:tcBorders>
              <w:right w:val="single" w:color="auto" w:sz="4" w:space="0"/>
            </w:tcBorders>
            <w:noWrap w:val="0"/>
            <w:vAlign w:val="center"/>
          </w:tcPr>
          <w:p w14:paraId="46A5D573">
            <w:pPr>
              <w:spacing w:line="400" w:lineRule="exact"/>
              <w:jc w:val="center"/>
              <w:rPr>
                <w:rFonts w:hint="eastAsia" w:ascii="宋体" w:hAnsi="宋体" w:eastAsia="宋体" w:cs="宋体"/>
                <w:color w:val="auto"/>
                <w:sz w:val="24"/>
                <w:szCs w:val="24"/>
                <w:highlight w:val="none"/>
              </w:rPr>
            </w:pPr>
          </w:p>
        </w:tc>
        <w:tc>
          <w:tcPr>
            <w:tcW w:w="1069" w:type="dxa"/>
            <w:tcBorders>
              <w:left w:val="single" w:color="auto" w:sz="4" w:space="0"/>
              <w:right w:val="single" w:color="auto" w:sz="4" w:space="0"/>
            </w:tcBorders>
            <w:noWrap w:val="0"/>
            <w:vAlign w:val="center"/>
          </w:tcPr>
          <w:p w14:paraId="272DC44E">
            <w:pPr>
              <w:spacing w:line="400" w:lineRule="exact"/>
              <w:jc w:val="center"/>
              <w:rPr>
                <w:rFonts w:hint="eastAsia" w:ascii="宋体" w:hAnsi="宋体" w:eastAsia="宋体" w:cs="宋体"/>
                <w:color w:val="auto"/>
                <w:sz w:val="24"/>
                <w:szCs w:val="24"/>
                <w:highlight w:val="none"/>
              </w:rPr>
            </w:pPr>
          </w:p>
        </w:tc>
      </w:tr>
      <w:tr w14:paraId="54B1A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510" w:hRule="atLeast"/>
          <w:jc w:val="center"/>
        </w:trPr>
        <w:tc>
          <w:tcPr>
            <w:tcW w:w="606" w:type="dxa"/>
            <w:tcBorders>
              <w:bottom w:val="single" w:color="auto" w:sz="4" w:space="0"/>
            </w:tcBorders>
            <w:noWrap w:val="0"/>
            <w:vAlign w:val="center"/>
          </w:tcPr>
          <w:p w14:paraId="26D64037">
            <w:pPr>
              <w:spacing w:line="400" w:lineRule="exact"/>
              <w:jc w:val="center"/>
              <w:rPr>
                <w:rFonts w:hint="eastAsia" w:ascii="宋体" w:hAnsi="宋体" w:eastAsia="宋体" w:cs="宋体"/>
                <w:color w:val="auto"/>
                <w:sz w:val="24"/>
                <w:szCs w:val="24"/>
                <w:highlight w:val="none"/>
              </w:rPr>
            </w:pPr>
          </w:p>
        </w:tc>
        <w:tc>
          <w:tcPr>
            <w:tcW w:w="960" w:type="dxa"/>
            <w:tcBorders>
              <w:bottom w:val="single" w:color="auto" w:sz="4" w:space="0"/>
            </w:tcBorders>
            <w:noWrap w:val="0"/>
            <w:vAlign w:val="center"/>
          </w:tcPr>
          <w:p w14:paraId="5DEBFC87">
            <w:pPr>
              <w:spacing w:line="400" w:lineRule="exact"/>
              <w:jc w:val="center"/>
              <w:rPr>
                <w:rFonts w:hint="eastAsia" w:ascii="宋体" w:hAnsi="宋体" w:eastAsia="宋体" w:cs="宋体"/>
                <w:color w:val="auto"/>
                <w:sz w:val="24"/>
                <w:szCs w:val="24"/>
                <w:highlight w:val="none"/>
              </w:rPr>
            </w:pPr>
          </w:p>
        </w:tc>
        <w:tc>
          <w:tcPr>
            <w:tcW w:w="1113" w:type="dxa"/>
            <w:tcBorders>
              <w:bottom w:val="single" w:color="auto" w:sz="4" w:space="0"/>
            </w:tcBorders>
            <w:noWrap w:val="0"/>
            <w:vAlign w:val="center"/>
          </w:tcPr>
          <w:p w14:paraId="2A9F1132">
            <w:pPr>
              <w:spacing w:line="400" w:lineRule="exact"/>
              <w:jc w:val="center"/>
              <w:rPr>
                <w:rFonts w:hint="eastAsia" w:ascii="宋体" w:hAnsi="宋体" w:eastAsia="宋体" w:cs="宋体"/>
                <w:color w:val="auto"/>
                <w:sz w:val="24"/>
                <w:szCs w:val="24"/>
                <w:highlight w:val="none"/>
              </w:rPr>
            </w:pPr>
          </w:p>
        </w:tc>
        <w:tc>
          <w:tcPr>
            <w:tcW w:w="1151" w:type="dxa"/>
            <w:tcBorders>
              <w:bottom w:val="single" w:color="auto" w:sz="4" w:space="0"/>
            </w:tcBorders>
            <w:noWrap w:val="0"/>
            <w:vAlign w:val="center"/>
          </w:tcPr>
          <w:p w14:paraId="3CA9C39A">
            <w:pPr>
              <w:spacing w:line="400" w:lineRule="exact"/>
              <w:jc w:val="center"/>
              <w:rPr>
                <w:rFonts w:hint="eastAsia" w:ascii="宋体" w:hAnsi="宋体" w:eastAsia="宋体" w:cs="宋体"/>
                <w:color w:val="auto"/>
                <w:sz w:val="24"/>
                <w:szCs w:val="24"/>
                <w:highlight w:val="none"/>
              </w:rPr>
            </w:pPr>
          </w:p>
        </w:tc>
        <w:tc>
          <w:tcPr>
            <w:tcW w:w="1162" w:type="dxa"/>
            <w:tcBorders>
              <w:bottom w:val="single" w:color="auto" w:sz="4" w:space="0"/>
            </w:tcBorders>
            <w:noWrap w:val="0"/>
            <w:vAlign w:val="center"/>
          </w:tcPr>
          <w:p w14:paraId="4DD63BB5">
            <w:pPr>
              <w:spacing w:line="400" w:lineRule="exact"/>
              <w:jc w:val="center"/>
              <w:rPr>
                <w:rFonts w:hint="eastAsia" w:ascii="宋体" w:hAnsi="宋体" w:eastAsia="宋体" w:cs="宋体"/>
                <w:color w:val="auto"/>
                <w:sz w:val="24"/>
                <w:szCs w:val="24"/>
                <w:highlight w:val="none"/>
              </w:rPr>
            </w:pPr>
          </w:p>
        </w:tc>
        <w:tc>
          <w:tcPr>
            <w:tcW w:w="1180" w:type="dxa"/>
            <w:tcBorders>
              <w:bottom w:val="single" w:color="auto" w:sz="4" w:space="0"/>
            </w:tcBorders>
            <w:noWrap w:val="0"/>
            <w:vAlign w:val="center"/>
          </w:tcPr>
          <w:p w14:paraId="57BC9061">
            <w:pPr>
              <w:spacing w:line="400" w:lineRule="exact"/>
              <w:jc w:val="center"/>
              <w:rPr>
                <w:rFonts w:hint="eastAsia" w:ascii="宋体" w:hAnsi="宋体" w:eastAsia="宋体" w:cs="宋体"/>
                <w:color w:val="auto"/>
                <w:sz w:val="24"/>
                <w:szCs w:val="24"/>
                <w:highlight w:val="none"/>
              </w:rPr>
            </w:pPr>
          </w:p>
        </w:tc>
        <w:tc>
          <w:tcPr>
            <w:tcW w:w="1158" w:type="dxa"/>
            <w:tcBorders>
              <w:bottom w:val="single" w:color="auto" w:sz="4" w:space="0"/>
              <w:right w:val="single" w:color="auto" w:sz="4" w:space="0"/>
            </w:tcBorders>
            <w:noWrap w:val="0"/>
            <w:vAlign w:val="center"/>
          </w:tcPr>
          <w:p w14:paraId="2494C1AC">
            <w:pPr>
              <w:spacing w:line="400" w:lineRule="exact"/>
              <w:jc w:val="center"/>
              <w:rPr>
                <w:rFonts w:hint="eastAsia" w:ascii="宋体" w:hAnsi="宋体" w:eastAsia="宋体" w:cs="宋体"/>
                <w:color w:val="auto"/>
                <w:sz w:val="24"/>
                <w:szCs w:val="24"/>
                <w:highlight w:val="none"/>
              </w:rPr>
            </w:pPr>
          </w:p>
        </w:tc>
        <w:tc>
          <w:tcPr>
            <w:tcW w:w="1069" w:type="dxa"/>
            <w:tcBorders>
              <w:left w:val="single" w:color="auto" w:sz="4" w:space="0"/>
              <w:bottom w:val="single" w:color="auto" w:sz="4" w:space="0"/>
              <w:right w:val="single" w:color="auto" w:sz="4" w:space="0"/>
            </w:tcBorders>
            <w:noWrap w:val="0"/>
            <w:vAlign w:val="center"/>
          </w:tcPr>
          <w:p w14:paraId="5607A55E">
            <w:pPr>
              <w:spacing w:line="400" w:lineRule="exact"/>
              <w:jc w:val="center"/>
              <w:rPr>
                <w:rFonts w:hint="eastAsia" w:ascii="宋体" w:hAnsi="宋体" w:eastAsia="宋体" w:cs="宋体"/>
                <w:color w:val="auto"/>
                <w:sz w:val="24"/>
                <w:szCs w:val="24"/>
                <w:highlight w:val="none"/>
              </w:rPr>
            </w:pPr>
          </w:p>
        </w:tc>
      </w:tr>
      <w:tr w14:paraId="3C37D5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15" w:hRule="atLeast"/>
          <w:jc w:val="center"/>
        </w:trPr>
        <w:tc>
          <w:tcPr>
            <w:tcW w:w="606" w:type="dxa"/>
            <w:tcBorders>
              <w:top w:val="single" w:color="auto" w:sz="4" w:space="0"/>
              <w:bottom w:val="single" w:color="auto" w:sz="4" w:space="0"/>
            </w:tcBorders>
            <w:noWrap w:val="0"/>
            <w:vAlign w:val="center"/>
          </w:tcPr>
          <w:p w14:paraId="25EE8589">
            <w:pPr>
              <w:spacing w:line="400" w:lineRule="exact"/>
              <w:jc w:val="center"/>
              <w:rPr>
                <w:rFonts w:hint="eastAsia" w:ascii="宋体" w:hAnsi="宋体" w:eastAsia="宋体" w:cs="宋体"/>
                <w:color w:val="auto"/>
                <w:sz w:val="24"/>
                <w:szCs w:val="24"/>
                <w:highlight w:val="none"/>
              </w:rPr>
            </w:pPr>
          </w:p>
        </w:tc>
        <w:tc>
          <w:tcPr>
            <w:tcW w:w="960" w:type="dxa"/>
            <w:tcBorders>
              <w:top w:val="single" w:color="auto" w:sz="4" w:space="0"/>
              <w:bottom w:val="single" w:color="auto" w:sz="4" w:space="0"/>
            </w:tcBorders>
            <w:noWrap w:val="0"/>
            <w:vAlign w:val="center"/>
          </w:tcPr>
          <w:p w14:paraId="75DBEB54">
            <w:pPr>
              <w:spacing w:line="400" w:lineRule="exact"/>
              <w:jc w:val="center"/>
              <w:rPr>
                <w:rFonts w:hint="eastAsia" w:ascii="宋体" w:hAnsi="宋体" w:eastAsia="宋体" w:cs="宋体"/>
                <w:color w:val="auto"/>
                <w:sz w:val="24"/>
                <w:szCs w:val="24"/>
                <w:highlight w:val="none"/>
              </w:rPr>
            </w:pPr>
          </w:p>
        </w:tc>
        <w:tc>
          <w:tcPr>
            <w:tcW w:w="1113" w:type="dxa"/>
            <w:tcBorders>
              <w:top w:val="single" w:color="auto" w:sz="4" w:space="0"/>
              <w:bottom w:val="single" w:color="auto" w:sz="4" w:space="0"/>
            </w:tcBorders>
            <w:noWrap w:val="0"/>
            <w:vAlign w:val="center"/>
          </w:tcPr>
          <w:p w14:paraId="04E3ED88">
            <w:pPr>
              <w:spacing w:line="400" w:lineRule="exact"/>
              <w:jc w:val="center"/>
              <w:rPr>
                <w:rFonts w:hint="eastAsia" w:ascii="宋体" w:hAnsi="宋体" w:eastAsia="宋体" w:cs="宋体"/>
                <w:color w:val="auto"/>
                <w:sz w:val="24"/>
                <w:szCs w:val="24"/>
                <w:highlight w:val="none"/>
              </w:rPr>
            </w:pPr>
          </w:p>
        </w:tc>
        <w:tc>
          <w:tcPr>
            <w:tcW w:w="1151" w:type="dxa"/>
            <w:tcBorders>
              <w:top w:val="single" w:color="auto" w:sz="4" w:space="0"/>
              <w:bottom w:val="single" w:color="auto" w:sz="4" w:space="0"/>
            </w:tcBorders>
            <w:noWrap w:val="0"/>
            <w:vAlign w:val="center"/>
          </w:tcPr>
          <w:p w14:paraId="4A9ABACE">
            <w:pPr>
              <w:spacing w:line="400" w:lineRule="exact"/>
              <w:jc w:val="center"/>
              <w:rPr>
                <w:rFonts w:hint="eastAsia" w:ascii="宋体" w:hAnsi="宋体" w:eastAsia="宋体" w:cs="宋体"/>
                <w:color w:val="auto"/>
                <w:sz w:val="24"/>
                <w:szCs w:val="24"/>
                <w:highlight w:val="none"/>
              </w:rPr>
            </w:pPr>
          </w:p>
        </w:tc>
        <w:tc>
          <w:tcPr>
            <w:tcW w:w="1162" w:type="dxa"/>
            <w:tcBorders>
              <w:top w:val="single" w:color="auto" w:sz="4" w:space="0"/>
              <w:bottom w:val="single" w:color="auto" w:sz="4" w:space="0"/>
            </w:tcBorders>
            <w:noWrap w:val="0"/>
            <w:vAlign w:val="center"/>
          </w:tcPr>
          <w:p w14:paraId="62DA0BE2">
            <w:pPr>
              <w:spacing w:line="400" w:lineRule="exact"/>
              <w:jc w:val="center"/>
              <w:rPr>
                <w:rFonts w:hint="eastAsia" w:ascii="宋体" w:hAnsi="宋体" w:eastAsia="宋体" w:cs="宋体"/>
                <w:color w:val="auto"/>
                <w:sz w:val="24"/>
                <w:szCs w:val="24"/>
                <w:highlight w:val="none"/>
              </w:rPr>
            </w:pPr>
          </w:p>
        </w:tc>
        <w:tc>
          <w:tcPr>
            <w:tcW w:w="1180" w:type="dxa"/>
            <w:tcBorders>
              <w:top w:val="single" w:color="auto" w:sz="4" w:space="0"/>
              <w:bottom w:val="single" w:color="auto" w:sz="4" w:space="0"/>
            </w:tcBorders>
            <w:noWrap w:val="0"/>
            <w:vAlign w:val="center"/>
          </w:tcPr>
          <w:p w14:paraId="423BDF92">
            <w:pPr>
              <w:spacing w:line="400" w:lineRule="exact"/>
              <w:jc w:val="center"/>
              <w:rPr>
                <w:rFonts w:hint="eastAsia" w:ascii="宋体" w:hAnsi="宋体" w:eastAsia="宋体" w:cs="宋体"/>
                <w:color w:val="auto"/>
                <w:sz w:val="24"/>
                <w:szCs w:val="24"/>
                <w:highlight w:val="none"/>
              </w:rPr>
            </w:pPr>
          </w:p>
        </w:tc>
        <w:tc>
          <w:tcPr>
            <w:tcW w:w="1158" w:type="dxa"/>
            <w:tcBorders>
              <w:top w:val="single" w:color="auto" w:sz="4" w:space="0"/>
              <w:bottom w:val="single" w:color="auto" w:sz="4" w:space="0"/>
              <w:right w:val="single" w:color="auto" w:sz="4" w:space="0"/>
            </w:tcBorders>
            <w:noWrap w:val="0"/>
            <w:vAlign w:val="center"/>
          </w:tcPr>
          <w:p w14:paraId="63A71D77">
            <w:pPr>
              <w:spacing w:line="400" w:lineRule="exact"/>
              <w:jc w:val="center"/>
              <w:rPr>
                <w:rFonts w:hint="eastAsia" w:ascii="宋体" w:hAnsi="宋体" w:eastAsia="宋体" w:cs="宋体"/>
                <w:color w:val="auto"/>
                <w:sz w:val="24"/>
                <w:szCs w:val="24"/>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1F8C4F27">
            <w:pPr>
              <w:spacing w:line="400" w:lineRule="exact"/>
              <w:jc w:val="center"/>
              <w:rPr>
                <w:rFonts w:hint="eastAsia" w:ascii="宋体" w:hAnsi="宋体" w:eastAsia="宋体" w:cs="宋体"/>
                <w:color w:val="auto"/>
                <w:sz w:val="24"/>
                <w:szCs w:val="24"/>
                <w:highlight w:val="none"/>
              </w:rPr>
            </w:pPr>
          </w:p>
        </w:tc>
      </w:tr>
      <w:tr w14:paraId="331ED7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15" w:hRule="atLeast"/>
          <w:jc w:val="center"/>
        </w:trPr>
        <w:tc>
          <w:tcPr>
            <w:tcW w:w="606" w:type="dxa"/>
            <w:tcBorders>
              <w:top w:val="single" w:color="auto" w:sz="4" w:space="0"/>
              <w:bottom w:val="single" w:color="auto" w:sz="4" w:space="0"/>
            </w:tcBorders>
            <w:noWrap w:val="0"/>
            <w:vAlign w:val="center"/>
          </w:tcPr>
          <w:p w14:paraId="27B5F523">
            <w:pPr>
              <w:spacing w:line="400" w:lineRule="exact"/>
              <w:jc w:val="center"/>
              <w:rPr>
                <w:rFonts w:hint="eastAsia" w:ascii="宋体" w:hAnsi="宋体" w:eastAsia="宋体" w:cs="宋体"/>
                <w:color w:val="auto"/>
                <w:sz w:val="24"/>
                <w:szCs w:val="24"/>
                <w:highlight w:val="none"/>
              </w:rPr>
            </w:pPr>
          </w:p>
        </w:tc>
        <w:tc>
          <w:tcPr>
            <w:tcW w:w="960" w:type="dxa"/>
            <w:tcBorders>
              <w:top w:val="single" w:color="auto" w:sz="4" w:space="0"/>
              <w:bottom w:val="single" w:color="auto" w:sz="4" w:space="0"/>
            </w:tcBorders>
            <w:noWrap w:val="0"/>
            <w:vAlign w:val="center"/>
          </w:tcPr>
          <w:p w14:paraId="063D3A4A">
            <w:pPr>
              <w:spacing w:line="400" w:lineRule="exact"/>
              <w:jc w:val="center"/>
              <w:rPr>
                <w:rFonts w:hint="eastAsia" w:ascii="宋体" w:hAnsi="宋体" w:eastAsia="宋体" w:cs="宋体"/>
                <w:color w:val="auto"/>
                <w:sz w:val="24"/>
                <w:szCs w:val="24"/>
                <w:highlight w:val="none"/>
              </w:rPr>
            </w:pPr>
          </w:p>
        </w:tc>
        <w:tc>
          <w:tcPr>
            <w:tcW w:w="1113" w:type="dxa"/>
            <w:tcBorders>
              <w:top w:val="single" w:color="auto" w:sz="4" w:space="0"/>
              <w:bottom w:val="single" w:color="auto" w:sz="4" w:space="0"/>
            </w:tcBorders>
            <w:noWrap w:val="0"/>
            <w:vAlign w:val="center"/>
          </w:tcPr>
          <w:p w14:paraId="35226924">
            <w:pPr>
              <w:spacing w:line="400" w:lineRule="exact"/>
              <w:jc w:val="center"/>
              <w:rPr>
                <w:rFonts w:hint="eastAsia" w:ascii="宋体" w:hAnsi="宋体" w:eastAsia="宋体" w:cs="宋体"/>
                <w:color w:val="auto"/>
                <w:sz w:val="24"/>
                <w:szCs w:val="24"/>
                <w:highlight w:val="none"/>
              </w:rPr>
            </w:pPr>
          </w:p>
        </w:tc>
        <w:tc>
          <w:tcPr>
            <w:tcW w:w="1151" w:type="dxa"/>
            <w:tcBorders>
              <w:top w:val="single" w:color="auto" w:sz="4" w:space="0"/>
              <w:bottom w:val="single" w:color="auto" w:sz="4" w:space="0"/>
            </w:tcBorders>
            <w:noWrap w:val="0"/>
            <w:vAlign w:val="center"/>
          </w:tcPr>
          <w:p w14:paraId="24AE44B4">
            <w:pPr>
              <w:spacing w:line="400" w:lineRule="exact"/>
              <w:jc w:val="center"/>
              <w:rPr>
                <w:rFonts w:hint="eastAsia" w:ascii="宋体" w:hAnsi="宋体" w:eastAsia="宋体" w:cs="宋体"/>
                <w:color w:val="auto"/>
                <w:sz w:val="24"/>
                <w:szCs w:val="24"/>
                <w:highlight w:val="none"/>
              </w:rPr>
            </w:pPr>
          </w:p>
        </w:tc>
        <w:tc>
          <w:tcPr>
            <w:tcW w:w="1162" w:type="dxa"/>
            <w:tcBorders>
              <w:top w:val="single" w:color="auto" w:sz="4" w:space="0"/>
              <w:bottom w:val="single" w:color="auto" w:sz="4" w:space="0"/>
            </w:tcBorders>
            <w:noWrap w:val="0"/>
            <w:vAlign w:val="center"/>
          </w:tcPr>
          <w:p w14:paraId="5FF120D7">
            <w:pPr>
              <w:spacing w:line="400" w:lineRule="exact"/>
              <w:jc w:val="center"/>
              <w:rPr>
                <w:rFonts w:hint="eastAsia" w:ascii="宋体" w:hAnsi="宋体" w:eastAsia="宋体" w:cs="宋体"/>
                <w:color w:val="auto"/>
                <w:sz w:val="24"/>
                <w:szCs w:val="24"/>
                <w:highlight w:val="none"/>
              </w:rPr>
            </w:pPr>
          </w:p>
        </w:tc>
        <w:tc>
          <w:tcPr>
            <w:tcW w:w="1180" w:type="dxa"/>
            <w:tcBorders>
              <w:top w:val="single" w:color="auto" w:sz="4" w:space="0"/>
              <w:bottom w:val="single" w:color="auto" w:sz="4" w:space="0"/>
            </w:tcBorders>
            <w:noWrap w:val="0"/>
            <w:vAlign w:val="center"/>
          </w:tcPr>
          <w:p w14:paraId="3C58199E">
            <w:pPr>
              <w:spacing w:line="400" w:lineRule="exact"/>
              <w:jc w:val="center"/>
              <w:rPr>
                <w:rFonts w:hint="eastAsia" w:ascii="宋体" w:hAnsi="宋体" w:eastAsia="宋体" w:cs="宋体"/>
                <w:color w:val="auto"/>
                <w:sz w:val="24"/>
                <w:szCs w:val="24"/>
                <w:highlight w:val="none"/>
              </w:rPr>
            </w:pPr>
          </w:p>
        </w:tc>
        <w:tc>
          <w:tcPr>
            <w:tcW w:w="1158" w:type="dxa"/>
            <w:tcBorders>
              <w:top w:val="single" w:color="auto" w:sz="4" w:space="0"/>
              <w:bottom w:val="single" w:color="auto" w:sz="4" w:space="0"/>
              <w:right w:val="single" w:color="auto" w:sz="4" w:space="0"/>
            </w:tcBorders>
            <w:noWrap w:val="0"/>
            <w:vAlign w:val="center"/>
          </w:tcPr>
          <w:p w14:paraId="76804157">
            <w:pPr>
              <w:spacing w:line="400" w:lineRule="exact"/>
              <w:jc w:val="center"/>
              <w:rPr>
                <w:rFonts w:hint="eastAsia" w:ascii="宋体" w:hAnsi="宋体" w:eastAsia="宋体" w:cs="宋体"/>
                <w:color w:val="auto"/>
                <w:sz w:val="24"/>
                <w:szCs w:val="24"/>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18BA3B31">
            <w:pPr>
              <w:spacing w:line="400" w:lineRule="exact"/>
              <w:jc w:val="center"/>
              <w:rPr>
                <w:rFonts w:hint="eastAsia" w:ascii="宋体" w:hAnsi="宋体" w:eastAsia="宋体" w:cs="宋体"/>
                <w:color w:val="auto"/>
                <w:sz w:val="24"/>
                <w:szCs w:val="24"/>
                <w:highlight w:val="none"/>
              </w:rPr>
            </w:pPr>
          </w:p>
        </w:tc>
      </w:tr>
      <w:tr w14:paraId="3A50E8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450" w:hRule="atLeast"/>
          <w:jc w:val="center"/>
        </w:trPr>
        <w:tc>
          <w:tcPr>
            <w:tcW w:w="606" w:type="dxa"/>
            <w:tcBorders>
              <w:top w:val="single" w:color="auto" w:sz="4" w:space="0"/>
              <w:bottom w:val="single" w:color="auto" w:sz="4" w:space="0"/>
            </w:tcBorders>
            <w:noWrap w:val="0"/>
            <w:vAlign w:val="center"/>
          </w:tcPr>
          <w:p w14:paraId="3058A647">
            <w:pPr>
              <w:spacing w:line="400" w:lineRule="exact"/>
              <w:jc w:val="center"/>
              <w:rPr>
                <w:rFonts w:hint="eastAsia" w:ascii="宋体" w:hAnsi="宋体" w:eastAsia="宋体" w:cs="宋体"/>
                <w:color w:val="auto"/>
                <w:sz w:val="24"/>
                <w:szCs w:val="24"/>
                <w:highlight w:val="none"/>
              </w:rPr>
            </w:pPr>
          </w:p>
        </w:tc>
        <w:tc>
          <w:tcPr>
            <w:tcW w:w="960" w:type="dxa"/>
            <w:tcBorders>
              <w:top w:val="single" w:color="auto" w:sz="4" w:space="0"/>
              <w:bottom w:val="single" w:color="auto" w:sz="4" w:space="0"/>
            </w:tcBorders>
            <w:noWrap w:val="0"/>
            <w:vAlign w:val="center"/>
          </w:tcPr>
          <w:p w14:paraId="1BB314A3">
            <w:pPr>
              <w:spacing w:line="400" w:lineRule="exact"/>
              <w:jc w:val="center"/>
              <w:rPr>
                <w:rFonts w:hint="eastAsia" w:ascii="宋体" w:hAnsi="宋体" w:eastAsia="宋体" w:cs="宋体"/>
                <w:color w:val="auto"/>
                <w:sz w:val="24"/>
                <w:szCs w:val="24"/>
                <w:highlight w:val="none"/>
              </w:rPr>
            </w:pPr>
          </w:p>
        </w:tc>
        <w:tc>
          <w:tcPr>
            <w:tcW w:w="1113" w:type="dxa"/>
            <w:tcBorders>
              <w:top w:val="single" w:color="auto" w:sz="4" w:space="0"/>
              <w:bottom w:val="single" w:color="auto" w:sz="4" w:space="0"/>
            </w:tcBorders>
            <w:noWrap w:val="0"/>
            <w:vAlign w:val="center"/>
          </w:tcPr>
          <w:p w14:paraId="36AA2BD7">
            <w:pPr>
              <w:spacing w:line="400" w:lineRule="exact"/>
              <w:jc w:val="center"/>
              <w:rPr>
                <w:rFonts w:hint="eastAsia" w:ascii="宋体" w:hAnsi="宋体" w:eastAsia="宋体" w:cs="宋体"/>
                <w:color w:val="auto"/>
                <w:sz w:val="24"/>
                <w:szCs w:val="24"/>
                <w:highlight w:val="none"/>
              </w:rPr>
            </w:pPr>
          </w:p>
        </w:tc>
        <w:tc>
          <w:tcPr>
            <w:tcW w:w="1151" w:type="dxa"/>
            <w:tcBorders>
              <w:top w:val="single" w:color="auto" w:sz="4" w:space="0"/>
              <w:bottom w:val="single" w:color="auto" w:sz="4" w:space="0"/>
            </w:tcBorders>
            <w:noWrap w:val="0"/>
            <w:vAlign w:val="center"/>
          </w:tcPr>
          <w:p w14:paraId="49E84A4B">
            <w:pPr>
              <w:spacing w:line="400" w:lineRule="exact"/>
              <w:jc w:val="center"/>
              <w:rPr>
                <w:rFonts w:hint="eastAsia" w:ascii="宋体" w:hAnsi="宋体" w:eastAsia="宋体" w:cs="宋体"/>
                <w:color w:val="auto"/>
                <w:sz w:val="24"/>
                <w:szCs w:val="24"/>
                <w:highlight w:val="none"/>
              </w:rPr>
            </w:pPr>
          </w:p>
        </w:tc>
        <w:tc>
          <w:tcPr>
            <w:tcW w:w="1162" w:type="dxa"/>
            <w:tcBorders>
              <w:top w:val="single" w:color="auto" w:sz="4" w:space="0"/>
              <w:bottom w:val="single" w:color="auto" w:sz="4" w:space="0"/>
            </w:tcBorders>
            <w:noWrap w:val="0"/>
            <w:vAlign w:val="center"/>
          </w:tcPr>
          <w:p w14:paraId="1F72CEFC">
            <w:pPr>
              <w:spacing w:line="400" w:lineRule="exact"/>
              <w:jc w:val="center"/>
              <w:rPr>
                <w:rFonts w:hint="eastAsia" w:ascii="宋体" w:hAnsi="宋体" w:eastAsia="宋体" w:cs="宋体"/>
                <w:color w:val="auto"/>
                <w:sz w:val="24"/>
                <w:szCs w:val="24"/>
                <w:highlight w:val="none"/>
              </w:rPr>
            </w:pPr>
          </w:p>
        </w:tc>
        <w:tc>
          <w:tcPr>
            <w:tcW w:w="1180" w:type="dxa"/>
            <w:tcBorders>
              <w:top w:val="single" w:color="auto" w:sz="4" w:space="0"/>
              <w:bottom w:val="single" w:color="auto" w:sz="4" w:space="0"/>
            </w:tcBorders>
            <w:noWrap w:val="0"/>
            <w:vAlign w:val="center"/>
          </w:tcPr>
          <w:p w14:paraId="0876B9E6">
            <w:pPr>
              <w:spacing w:line="400" w:lineRule="exact"/>
              <w:jc w:val="center"/>
              <w:rPr>
                <w:rFonts w:hint="eastAsia" w:ascii="宋体" w:hAnsi="宋体" w:eastAsia="宋体" w:cs="宋体"/>
                <w:color w:val="auto"/>
                <w:sz w:val="24"/>
                <w:szCs w:val="24"/>
                <w:highlight w:val="none"/>
              </w:rPr>
            </w:pPr>
          </w:p>
        </w:tc>
        <w:tc>
          <w:tcPr>
            <w:tcW w:w="1158" w:type="dxa"/>
            <w:tcBorders>
              <w:top w:val="single" w:color="auto" w:sz="4" w:space="0"/>
              <w:bottom w:val="single" w:color="auto" w:sz="4" w:space="0"/>
              <w:right w:val="single" w:color="auto" w:sz="4" w:space="0"/>
            </w:tcBorders>
            <w:noWrap w:val="0"/>
            <w:vAlign w:val="center"/>
          </w:tcPr>
          <w:p w14:paraId="1C9EC6B9">
            <w:pPr>
              <w:spacing w:line="400" w:lineRule="exact"/>
              <w:jc w:val="center"/>
              <w:rPr>
                <w:rFonts w:hint="eastAsia" w:ascii="宋体" w:hAnsi="宋体" w:eastAsia="宋体" w:cs="宋体"/>
                <w:color w:val="auto"/>
                <w:sz w:val="24"/>
                <w:szCs w:val="24"/>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14:paraId="584374D0">
            <w:pPr>
              <w:spacing w:line="400" w:lineRule="exact"/>
              <w:jc w:val="center"/>
              <w:rPr>
                <w:rFonts w:hint="eastAsia" w:ascii="宋体" w:hAnsi="宋体" w:eastAsia="宋体" w:cs="宋体"/>
                <w:color w:val="auto"/>
                <w:sz w:val="24"/>
                <w:szCs w:val="24"/>
                <w:highlight w:val="none"/>
              </w:rPr>
            </w:pPr>
          </w:p>
        </w:tc>
      </w:tr>
      <w:tr w14:paraId="0BF03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435" w:hRule="atLeast"/>
          <w:jc w:val="center"/>
        </w:trPr>
        <w:tc>
          <w:tcPr>
            <w:tcW w:w="606" w:type="dxa"/>
            <w:tcBorders>
              <w:top w:val="single" w:color="auto" w:sz="4" w:space="0"/>
            </w:tcBorders>
            <w:noWrap w:val="0"/>
            <w:vAlign w:val="center"/>
          </w:tcPr>
          <w:p w14:paraId="0F2B912A">
            <w:pPr>
              <w:spacing w:line="400" w:lineRule="exact"/>
              <w:jc w:val="center"/>
              <w:rPr>
                <w:rFonts w:hint="eastAsia" w:ascii="宋体" w:hAnsi="宋体" w:eastAsia="宋体" w:cs="宋体"/>
                <w:color w:val="auto"/>
                <w:sz w:val="24"/>
                <w:szCs w:val="24"/>
                <w:highlight w:val="none"/>
              </w:rPr>
            </w:pPr>
          </w:p>
        </w:tc>
        <w:tc>
          <w:tcPr>
            <w:tcW w:w="960" w:type="dxa"/>
            <w:tcBorders>
              <w:top w:val="single" w:color="auto" w:sz="4" w:space="0"/>
            </w:tcBorders>
            <w:noWrap w:val="0"/>
            <w:vAlign w:val="center"/>
          </w:tcPr>
          <w:p w14:paraId="20EC2F05">
            <w:pPr>
              <w:spacing w:line="400" w:lineRule="exact"/>
              <w:jc w:val="center"/>
              <w:rPr>
                <w:rFonts w:hint="eastAsia" w:ascii="宋体" w:hAnsi="宋体" w:eastAsia="宋体" w:cs="宋体"/>
                <w:color w:val="auto"/>
                <w:sz w:val="24"/>
                <w:szCs w:val="24"/>
                <w:highlight w:val="none"/>
              </w:rPr>
            </w:pPr>
          </w:p>
        </w:tc>
        <w:tc>
          <w:tcPr>
            <w:tcW w:w="1113" w:type="dxa"/>
            <w:tcBorders>
              <w:top w:val="single" w:color="auto" w:sz="4" w:space="0"/>
            </w:tcBorders>
            <w:noWrap w:val="0"/>
            <w:vAlign w:val="center"/>
          </w:tcPr>
          <w:p w14:paraId="00172F0C">
            <w:pPr>
              <w:spacing w:line="400" w:lineRule="exact"/>
              <w:jc w:val="center"/>
              <w:rPr>
                <w:rFonts w:hint="eastAsia" w:ascii="宋体" w:hAnsi="宋体" w:eastAsia="宋体" w:cs="宋体"/>
                <w:color w:val="auto"/>
                <w:sz w:val="24"/>
                <w:szCs w:val="24"/>
                <w:highlight w:val="none"/>
              </w:rPr>
            </w:pPr>
          </w:p>
        </w:tc>
        <w:tc>
          <w:tcPr>
            <w:tcW w:w="1151" w:type="dxa"/>
            <w:tcBorders>
              <w:top w:val="single" w:color="auto" w:sz="4" w:space="0"/>
            </w:tcBorders>
            <w:noWrap w:val="0"/>
            <w:vAlign w:val="center"/>
          </w:tcPr>
          <w:p w14:paraId="29FBE075">
            <w:pPr>
              <w:spacing w:line="400" w:lineRule="exact"/>
              <w:jc w:val="center"/>
              <w:rPr>
                <w:rFonts w:hint="eastAsia" w:ascii="宋体" w:hAnsi="宋体" w:eastAsia="宋体" w:cs="宋体"/>
                <w:color w:val="auto"/>
                <w:sz w:val="24"/>
                <w:szCs w:val="24"/>
                <w:highlight w:val="none"/>
              </w:rPr>
            </w:pPr>
          </w:p>
        </w:tc>
        <w:tc>
          <w:tcPr>
            <w:tcW w:w="1162" w:type="dxa"/>
            <w:tcBorders>
              <w:top w:val="single" w:color="auto" w:sz="4" w:space="0"/>
            </w:tcBorders>
            <w:noWrap w:val="0"/>
            <w:vAlign w:val="center"/>
          </w:tcPr>
          <w:p w14:paraId="7F57EC94">
            <w:pPr>
              <w:spacing w:line="400" w:lineRule="exact"/>
              <w:jc w:val="center"/>
              <w:rPr>
                <w:rFonts w:hint="eastAsia" w:ascii="宋体" w:hAnsi="宋体" w:eastAsia="宋体" w:cs="宋体"/>
                <w:color w:val="auto"/>
                <w:sz w:val="24"/>
                <w:szCs w:val="24"/>
                <w:highlight w:val="none"/>
              </w:rPr>
            </w:pPr>
          </w:p>
        </w:tc>
        <w:tc>
          <w:tcPr>
            <w:tcW w:w="1180" w:type="dxa"/>
            <w:tcBorders>
              <w:top w:val="single" w:color="auto" w:sz="4" w:space="0"/>
            </w:tcBorders>
            <w:noWrap w:val="0"/>
            <w:vAlign w:val="center"/>
          </w:tcPr>
          <w:p w14:paraId="5BF43A4C">
            <w:pPr>
              <w:spacing w:line="400" w:lineRule="exact"/>
              <w:jc w:val="center"/>
              <w:rPr>
                <w:rFonts w:hint="eastAsia" w:ascii="宋体" w:hAnsi="宋体" w:eastAsia="宋体" w:cs="宋体"/>
                <w:color w:val="auto"/>
                <w:sz w:val="24"/>
                <w:szCs w:val="24"/>
                <w:highlight w:val="none"/>
              </w:rPr>
            </w:pPr>
          </w:p>
        </w:tc>
        <w:tc>
          <w:tcPr>
            <w:tcW w:w="1158" w:type="dxa"/>
            <w:tcBorders>
              <w:top w:val="single" w:color="auto" w:sz="4" w:space="0"/>
              <w:right w:val="single" w:color="auto" w:sz="4" w:space="0"/>
            </w:tcBorders>
            <w:noWrap w:val="0"/>
            <w:vAlign w:val="center"/>
          </w:tcPr>
          <w:p w14:paraId="6E6F6ADF">
            <w:pPr>
              <w:spacing w:line="400" w:lineRule="exact"/>
              <w:jc w:val="center"/>
              <w:rPr>
                <w:rFonts w:hint="eastAsia" w:ascii="宋体" w:hAnsi="宋体" w:eastAsia="宋体" w:cs="宋体"/>
                <w:color w:val="auto"/>
                <w:sz w:val="24"/>
                <w:szCs w:val="24"/>
                <w:highlight w:val="none"/>
              </w:rPr>
            </w:pPr>
          </w:p>
        </w:tc>
        <w:tc>
          <w:tcPr>
            <w:tcW w:w="1069" w:type="dxa"/>
            <w:tcBorders>
              <w:top w:val="single" w:color="auto" w:sz="4" w:space="0"/>
              <w:left w:val="single" w:color="auto" w:sz="4" w:space="0"/>
              <w:right w:val="single" w:color="auto" w:sz="4" w:space="0"/>
            </w:tcBorders>
            <w:noWrap w:val="0"/>
            <w:vAlign w:val="center"/>
          </w:tcPr>
          <w:p w14:paraId="38532D5F">
            <w:pPr>
              <w:spacing w:line="400" w:lineRule="exact"/>
              <w:jc w:val="center"/>
              <w:rPr>
                <w:rFonts w:hint="eastAsia" w:ascii="宋体" w:hAnsi="宋体" w:eastAsia="宋体" w:cs="宋体"/>
                <w:color w:val="auto"/>
                <w:sz w:val="24"/>
                <w:szCs w:val="24"/>
                <w:highlight w:val="none"/>
              </w:rPr>
            </w:pPr>
          </w:p>
        </w:tc>
      </w:tr>
    </w:tbl>
    <w:p w14:paraId="0CB7441C">
      <w:pPr>
        <w:spacing w:line="360" w:lineRule="auto"/>
        <w:jc w:val="left"/>
        <w:rPr>
          <w:rFonts w:hint="eastAsia" w:ascii="宋体" w:hAnsi="宋体" w:eastAsia="宋体" w:cs="宋体"/>
          <w:bCs/>
          <w:color w:val="auto"/>
          <w:sz w:val="24"/>
          <w:szCs w:val="24"/>
          <w:highlight w:val="none"/>
        </w:rPr>
      </w:pPr>
    </w:p>
    <w:p w14:paraId="7DD69AD0">
      <w:pPr>
        <w:spacing w:line="400" w:lineRule="exact"/>
        <w:ind w:left="360"/>
        <w:jc w:val="center"/>
        <w:rPr>
          <w:rFonts w:hint="eastAsia" w:ascii="宋体" w:hAnsi="宋体" w:eastAsia="宋体" w:cs="宋体"/>
          <w:color w:val="auto"/>
          <w:sz w:val="24"/>
          <w:szCs w:val="24"/>
          <w:highlight w:val="none"/>
        </w:rPr>
      </w:pPr>
    </w:p>
    <w:p w14:paraId="74445FEB">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名称（盖章）：         </w:t>
      </w:r>
    </w:p>
    <w:p w14:paraId="4A32FAE7">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2C77FB75">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282E94A8">
      <w:pPr>
        <w:adjustRightInd w:val="0"/>
        <w:spacing w:line="500" w:lineRule="exact"/>
        <w:jc w:val="both"/>
        <w:rPr>
          <w:rFonts w:hint="eastAsia" w:ascii="宋体" w:hAnsi="宋体" w:eastAsia="宋体" w:cs="宋体"/>
          <w:bCs/>
          <w:color w:val="auto"/>
          <w:kern w:val="2"/>
          <w:sz w:val="24"/>
          <w:szCs w:val="24"/>
          <w:highlight w:val="none"/>
          <w:lang w:val="en-US" w:eastAsia="zh-CN" w:bidi="ar-SA"/>
        </w:rPr>
      </w:pPr>
      <w:bookmarkStart w:id="144" w:name="_Toc217446090"/>
      <w:bookmarkStart w:id="145" w:name="_Toc217446091"/>
      <w:r>
        <w:rPr>
          <w:rFonts w:hint="eastAsia" w:ascii="宋体" w:hAnsi="宋体" w:eastAsia="宋体" w:cs="宋体"/>
          <w:bCs w:val="0"/>
          <w:color w:val="auto"/>
          <w:kern w:val="0"/>
          <w:sz w:val="24"/>
          <w:szCs w:val="24"/>
          <w:highlight w:val="none"/>
        </w:rPr>
        <w:br w:type="page"/>
      </w:r>
      <w:bookmarkEnd w:id="144"/>
    </w:p>
    <w:p w14:paraId="76A7B1C4">
      <w:pPr>
        <w:pStyle w:val="4"/>
        <w:numPr>
          <w:ilvl w:val="2"/>
          <w:numId w:val="0"/>
        </w:numPr>
        <w:spacing w:before="0" w:after="0" w:line="500" w:lineRule="exact"/>
        <w:ind w:left="567" w:leftChars="0" w:firstLine="0" w:firstLineChars="0"/>
        <w:jc w:val="center"/>
        <w:outlineLvl w:val="2"/>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拟配备人员情况</w:t>
      </w:r>
    </w:p>
    <w:tbl>
      <w:tblPr>
        <w:tblStyle w:val="27"/>
        <w:tblpPr w:leftFromText="180" w:rightFromText="180" w:vertAnchor="text" w:horzAnchor="page" w:tblpX="1897" w:tblpY="1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44"/>
        <w:gridCol w:w="894"/>
        <w:gridCol w:w="844"/>
        <w:gridCol w:w="1040"/>
        <w:gridCol w:w="1028"/>
        <w:gridCol w:w="709"/>
        <w:gridCol w:w="1178"/>
        <w:gridCol w:w="741"/>
        <w:gridCol w:w="741"/>
      </w:tblGrid>
      <w:tr w14:paraId="10B9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01" w:type="dxa"/>
            <w:vMerge w:val="restart"/>
            <w:noWrap w:val="0"/>
            <w:vAlign w:val="center"/>
          </w:tcPr>
          <w:p w14:paraId="7D9A4F17">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44" w:type="dxa"/>
            <w:vMerge w:val="restart"/>
            <w:noWrap w:val="0"/>
            <w:vAlign w:val="center"/>
          </w:tcPr>
          <w:p w14:paraId="0316B289">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94" w:type="dxa"/>
            <w:vMerge w:val="restart"/>
            <w:noWrap w:val="0"/>
            <w:vAlign w:val="center"/>
          </w:tcPr>
          <w:p w14:paraId="79151EAC">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844" w:type="dxa"/>
            <w:vMerge w:val="restart"/>
            <w:noWrap w:val="0"/>
            <w:vAlign w:val="center"/>
          </w:tcPr>
          <w:p w14:paraId="73BD0EBA">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职称或岗位证书</w:t>
            </w:r>
          </w:p>
        </w:tc>
        <w:tc>
          <w:tcPr>
            <w:tcW w:w="1040" w:type="dxa"/>
            <w:vMerge w:val="restart"/>
            <w:noWrap w:val="0"/>
            <w:vAlign w:val="center"/>
          </w:tcPr>
          <w:p w14:paraId="17B5AE1D">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拟担任本项目职务/岗位</w:t>
            </w:r>
          </w:p>
        </w:tc>
        <w:tc>
          <w:tcPr>
            <w:tcW w:w="4397" w:type="dxa"/>
            <w:gridSpan w:val="5"/>
            <w:noWrap w:val="0"/>
            <w:vAlign w:val="center"/>
          </w:tcPr>
          <w:p w14:paraId="18992FC4">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资格证明</w:t>
            </w:r>
          </w:p>
        </w:tc>
      </w:tr>
      <w:tr w14:paraId="60B0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501" w:type="dxa"/>
            <w:vMerge w:val="continue"/>
            <w:noWrap w:val="0"/>
            <w:vAlign w:val="center"/>
          </w:tcPr>
          <w:p w14:paraId="7C14BEAC">
            <w:pPr>
              <w:spacing w:line="400" w:lineRule="exact"/>
              <w:jc w:val="center"/>
              <w:rPr>
                <w:rFonts w:hint="eastAsia" w:ascii="宋体" w:hAnsi="宋体" w:eastAsia="宋体" w:cs="宋体"/>
                <w:color w:val="auto"/>
                <w:sz w:val="24"/>
                <w:szCs w:val="24"/>
                <w:highlight w:val="none"/>
              </w:rPr>
            </w:pPr>
          </w:p>
        </w:tc>
        <w:tc>
          <w:tcPr>
            <w:tcW w:w="844" w:type="dxa"/>
            <w:vMerge w:val="continue"/>
            <w:noWrap w:val="0"/>
            <w:vAlign w:val="center"/>
          </w:tcPr>
          <w:p w14:paraId="4DA22B4D">
            <w:pPr>
              <w:spacing w:line="400" w:lineRule="exact"/>
              <w:jc w:val="center"/>
              <w:rPr>
                <w:rFonts w:hint="eastAsia" w:ascii="宋体" w:hAnsi="宋体" w:eastAsia="宋体" w:cs="宋体"/>
                <w:color w:val="auto"/>
                <w:sz w:val="24"/>
                <w:szCs w:val="24"/>
                <w:highlight w:val="none"/>
              </w:rPr>
            </w:pPr>
          </w:p>
        </w:tc>
        <w:tc>
          <w:tcPr>
            <w:tcW w:w="894" w:type="dxa"/>
            <w:vMerge w:val="continue"/>
            <w:noWrap w:val="0"/>
            <w:vAlign w:val="center"/>
          </w:tcPr>
          <w:p w14:paraId="58E35B9E">
            <w:pPr>
              <w:spacing w:line="400" w:lineRule="exact"/>
              <w:jc w:val="center"/>
              <w:rPr>
                <w:rFonts w:hint="eastAsia" w:ascii="宋体" w:hAnsi="宋体" w:eastAsia="宋体" w:cs="宋体"/>
                <w:color w:val="auto"/>
                <w:sz w:val="24"/>
                <w:szCs w:val="24"/>
                <w:highlight w:val="none"/>
              </w:rPr>
            </w:pPr>
          </w:p>
        </w:tc>
        <w:tc>
          <w:tcPr>
            <w:tcW w:w="844" w:type="dxa"/>
            <w:vMerge w:val="continue"/>
            <w:noWrap w:val="0"/>
            <w:vAlign w:val="center"/>
          </w:tcPr>
          <w:p w14:paraId="3AB35560">
            <w:pPr>
              <w:spacing w:line="400" w:lineRule="exact"/>
              <w:jc w:val="center"/>
              <w:rPr>
                <w:rFonts w:hint="eastAsia" w:ascii="宋体" w:hAnsi="宋体" w:eastAsia="宋体" w:cs="宋体"/>
                <w:color w:val="auto"/>
                <w:sz w:val="24"/>
                <w:szCs w:val="24"/>
                <w:highlight w:val="none"/>
              </w:rPr>
            </w:pPr>
          </w:p>
        </w:tc>
        <w:tc>
          <w:tcPr>
            <w:tcW w:w="1040" w:type="dxa"/>
            <w:vMerge w:val="continue"/>
            <w:noWrap w:val="0"/>
            <w:vAlign w:val="center"/>
          </w:tcPr>
          <w:p w14:paraId="24D5BFB3">
            <w:pPr>
              <w:spacing w:line="400" w:lineRule="exact"/>
              <w:jc w:val="center"/>
              <w:rPr>
                <w:rFonts w:hint="eastAsia" w:ascii="宋体" w:hAnsi="宋体" w:eastAsia="宋体" w:cs="宋体"/>
                <w:color w:val="auto"/>
                <w:sz w:val="24"/>
                <w:szCs w:val="24"/>
                <w:highlight w:val="none"/>
              </w:rPr>
            </w:pPr>
          </w:p>
        </w:tc>
        <w:tc>
          <w:tcPr>
            <w:tcW w:w="1028" w:type="dxa"/>
            <w:noWrap w:val="0"/>
            <w:vAlign w:val="center"/>
          </w:tcPr>
          <w:p w14:paraId="347FCD5D">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证书名称</w:t>
            </w:r>
          </w:p>
        </w:tc>
        <w:tc>
          <w:tcPr>
            <w:tcW w:w="709" w:type="dxa"/>
            <w:noWrap w:val="0"/>
            <w:vAlign w:val="center"/>
          </w:tcPr>
          <w:p w14:paraId="65C4D431">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级别</w:t>
            </w:r>
          </w:p>
        </w:tc>
        <w:tc>
          <w:tcPr>
            <w:tcW w:w="1178" w:type="dxa"/>
            <w:noWrap w:val="0"/>
            <w:vAlign w:val="center"/>
          </w:tcPr>
          <w:p w14:paraId="6CC539BE">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发证时间</w:t>
            </w:r>
          </w:p>
        </w:tc>
        <w:tc>
          <w:tcPr>
            <w:tcW w:w="741" w:type="dxa"/>
            <w:noWrap w:val="0"/>
            <w:vAlign w:val="center"/>
          </w:tcPr>
          <w:p w14:paraId="0062DD04">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证书号</w:t>
            </w:r>
          </w:p>
        </w:tc>
        <w:tc>
          <w:tcPr>
            <w:tcW w:w="741" w:type="dxa"/>
            <w:noWrap w:val="0"/>
            <w:vAlign w:val="center"/>
          </w:tcPr>
          <w:p w14:paraId="384BF7F2">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r>
      <w:tr w14:paraId="7BC0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230D831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4" w:type="dxa"/>
            <w:noWrap w:val="0"/>
            <w:vAlign w:val="top"/>
          </w:tcPr>
          <w:p w14:paraId="00DE4D90">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21B094B7">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6AA0BCF5">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5DB1CD52">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62AE497A">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5D35484A">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68958722">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1BD971AA">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28333E3E">
            <w:pPr>
              <w:spacing w:line="500" w:lineRule="exact"/>
              <w:jc w:val="center"/>
              <w:rPr>
                <w:rFonts w:hint="eastAsia" w:ascii="宋体" w:hAnsi="宋体" w:eastAsia="宋体" w:cs="宋体"/>
                <w:color w:val="auto"/>
                <w:sz w:val="24"/>
                <w:szCs w:val="24"/>
                <w:highlight w:val="none"/>
              </w:rPr>
            </w:pPr>
          </w:p>
        </w:tc>
      </w:tr>
      <w:tr w14:paraId="57E7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4C9B2F7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4" w:type="dxa"/>
            <w:noWrap w:val="0"/>
            <w:vAlign w:val="top"/>
          </w:tcPr>
          <w:p w14:paraId="1444C336">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1133D36B">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0CAB8000">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23C9D2F8">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7DEEF646">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487FF7C0">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31538551">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4ED02C80">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078AD94E">
            <w:pPr>
              <w:spacing w:line="500" w:lineRule="exact"/>
              <w:jc w:val="center"/>
              <w:rPr>
                <w:rFonts w:hint="eastAsia" w:ascii="宋体" w:hAnsi="宋体" w:eastAsia="宋体" w:cs="宋体"/>
                <w:color w:val="auto"/>
                <w:sz w:val="24"/>
                <w:szCs w:val="24"/>
                <w:highlight w:val="none"/>
              </w:rPr>
            </w:pPr>
          </w:p>
        </w:tc>
      </w:tr>
      <w:tr w14:paraId="2CB9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13EB62A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4" w:type="dxa"/>
            <w:noWrap w:val="0"/>
            <w:vAlign w:val="top"/>
          </w:tcPr>
          <w:p w14:paraId="3892947C">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171AFB76">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23684271">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30DE4551">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2608747A">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245E3244">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5C5CC2EB">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656C9F17">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297509ED">
            <w:pPr>
              <w:spacing w:line="500" w:lineRule="exact"/>
              <w:jc w:val="center"/>
              <w:rPr>
                <w:rFonts w:hint="eastAsia" w:ascii="宋体" w:hAnsi="宋体" w:eastAsia="宋体" w:cs="宋体"/>
                <w:color w:val="auto"/>
                <w:sz w:val="24"/>
                <w:szCs w:val="24"/>
                <w:highlight w:val="none"/>
              </w:rPr>
            </w:pPr>
          </w:p>
        </w:tc>
      </w:tr>
      <w:tr w14:paraId="7491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152DC2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4" w:type="dxa"/>
            <w:noWrap w:val="0"/>
            <w:vAlign w:val="top"/>
          </w:tcPr>
          <w:p w14:paraId="36717E98">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13F4CFDE">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6DA55FCB">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1BA08DBA">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59BB3278">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519654AB">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2BA2728D">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6FFEC856">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3A6AFFB1">
            <w:pPr>
              <w:spacing w:line="500" w:lineRule="exact"/>
              <w:jc w:val="center"/>
              <w:rPr>
                <w:rFonts w:hint="eastAsia" w:ascii="宋体" w:hAnsi="宋体" w:eastAsia="宋体" w:cs="宋体"/>
                <w:color w:val="auto"/>
                <w:sz w:val="24"/>
                <w:szCs w:val="24"/>
                <w:highlight w:val="none"/>
              </w:rPr>
            </w:pPr>
          </w:p>
        </w:tc>
      </w:tr>
      <w:tr w14:paraId="43CB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275A6204">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44" w:type="dxa"/>
            <w:noWrap w:val="0"/>
            <w:vAlign w:val="top"/>
          </w:tcPr>
          <w:p w14:paraId="025AB5D7">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73A3664F">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4DEAD67C">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5C5ABD1A">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55E4F5A1">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792895B6">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7978F908">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01BE4F2C">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268068D1">
            <w:pPr>
              <w:spacing w:line="500" w:lineRule="exact"/>
              <w:jc w:val="center"/>
              <w:rPr>
                <w:rFonts w:hint="eastAsia" w:ascii="宋体" w:hAnsi="宋体" w:eastAsia="宋体" w:cs="宋体"/>
                <w:color w:val="auto"/>
                <w:sz w:val="24"/>
                <w:szCs w:val="24"/>
                <w:highlight w:val="none"/>
              </w:rPr>
            </w:pPr>
          </w:p>
        </w:tc>
      </w:tr>
      <w:tr w14:paraId="2CAC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501" w:type="dxa"/>
            <w:noWrap w:val="0"/>
            <w:vAlign w:val="center"/>
          </w:tcPr>
          <w:p w14:paraId="29EAA0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44" w:type="dxa"/>
            <w:noWrap w:val="0"/>
            <w:vAlign w:val="top"/>
          </w:tcPr>
          <w:p w14:paraId="65D96C88">
            <w:pPr>
              <w:spacing w:line="500" w:lineRule="exact"/>
              <w:jc w:val="center"/>
              <w:rPr>
                <w:rFonts w:hint="eastAsia" w:ascii="宋体" w:hAnsi="宋体" w:eastAsia="宋体" w:cs="宋体"/>
                <w:color w:val="auto"/>
                <w:sz w:val="24"/>
                <w:szCs w:val="24"/>
                <w:highlight w:val="none"/>
              </w:rPr>
            </w:pPr>
          </w:p>
        </w:tc>
        <w:tc>
          <w:tcPr>
            <w:tcW w:w="894" w:type="dxa"/>
            <w:noWrap w:val="0"/>
            <w:vAlign w:val="top"/>
          </w:tcPr>
          <w:p w14:paraId="11244200">
            <w:pPr>
              <w:spacing w:line="500" w:lineRule="exact"/>
              <w:jc w:val="center"/>
              <w:rPr>
                <w:rFonts w:hint="eastAsia" w:ascii="宋体" w:hAnsi="宋体" w:eastAsia="宋体" w:cs="宋体"/>
                <w:color w:val="auto"/>
                <w:sz w:val="24"/>
                <w:szCs w:val="24"/>
                <w:highlight w:val="none"/>
              </w:rPr>
            </w:pPr>
          </w:p>
        </w:tc>
        <w:tc>
          <w:tcPr>
            <w:tcW w:w="844" w:type="dxa"/>
            <w:noWrap w:val="0"/>
            <w:vAlign w:val="top"/>
          </w:tcPr>
          <w:p w14:paraId="6140BAC0">
            <w:pPr>
              <w:spacing w:line="500" w:lineRule="exact"/>
              <w:jc w:val="center"/>
              <w:rPr>
                <w:rFonts w:hint="eastAsia" w:ascii="宋体" w:hAnsi="宋体" w:eastAsia="宋体" w:cs="宋体"/>
                <w:color w:val="auto"/>
                <w:sz w:val="24"/>
                <w:szCs w:val="24"/>
                <w:highlight w:val="none"/>
              </w:rPr>
            </w:pPr>
          </w:p>
        </w:tc>
        <w:tc>
          <w:tcPr>
            <w:tcW w:w="1040" w:type="dxa"/>
            <w:noWrap w:val="0"/>
            <w:vAlign w:val="top"/>
          </w:tcPr>
          <w:p w14:paraId="2D57FB6D">
            <w:pPr>
              <w:spacing w:line="500" w:lineRule="exact"/>
              <w:jc w:val="center"/>
              <w:rPr>
                <w:rFonts w:hint="eastAsia" w:ascii="宋体" w:hAnsi="宋体" w:eastAsia="宋体" w:cs="宋体"/>
                <w:color w:val="auto"/>
                <w:sz w:val="24"/>
                <w:szCs w:val="24"/>
                <w:highlight w:val="none"/>
              </w:rPr>
            </w:pPr>
          </w:p>
        </w:tc>
        <w:tc>
          <w:tcPr>
            <w:tcW w:w="1028" w:type="dxa"/>
            <w:noWrap w:val="0"/>
            <w:vAlign w:val="top"/>
          </w:tcPr>
          <w:p w14:paraId="03697745">
            <w:pPr>
              <w:spacing w:line="500" w:lineRule="exact"/>
              <w:jc w:val="center"/>
              <w:rPr>
                <w:rFonts w:hint="eastAsia" w:ascii="宋体" w:hAnsi="宋体" w:eastAsia="宋体" w:cs="宋体"/>
                <w:color w:val="auto"/>
                <w:sz w:val="24"/>
                <w:szCs w:val="24"/>
                <w:highlight w:val="none"/>
              </w:rPr>
            </w:pPr>
          </w:p>
        </w:tc>
        <w:tc>
          <w:tcPr>
            <w:tcW w:w="709" w:type="dxa"/>
            <w:noWrap w:val="0"/>
            <w:vAlign w:val="top"/>
          </w:tcPr>
          <w:p w14:paraId="15F0F9D4">
            <w:pPr>
              <w:spacing w:line="500" w:lineRule="exact"/>
              <w:jc w:val="center"/>
              <w:rPr>
                <w:rFonts w:hint="eastAsia" w:ascii="宋体" w:hAnsi="宋体" w:eastAsia="宋体" w:cs="宋体"/>
                <w:color w:val="auto"/>
                <w:sz w:val="24"/>
                <w:szCs w:val="24"/>
                <w:highlight w:val="none"/>
              </w:rPr>
            </w:pPr>
          </w:p>
        </w:tc>
        <w:tc>
          <w:tcPr>
            <w:tcW w:w="1178" w:type="dxa"/>
            <w:noWrap w:val="0"/>
            <w:vAlign w:val="top"/>
          </w:tcPr>
          <w:p w14:paraId="6BC6393C">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7E9F3F5F">
            <w:pPr>
              <w:spacing w:line="500" w:lineRule="exact"/>
              <w:jc w:val="center"/>
              <w:rPr>
                <w:rFonts w:hint="eastAsia" w:ascii="宋体" w:hAnsi="宋体" w:eastAsia="宋体" w:cs="宋体"/>
                <w:color w:val="auto"/>
                <w:sz w:val="24"/>
                <w:szCs w:val="24"/>
                <w:highlight w:val="none"/>
              </w:rPr>
            </w:pPr>
          </w:p>
        </w:tc>
        <w:tc>
          <w:tcPr>
            <w:tcW w:w="741" w:type="dxa"/>
            <w:noWrap w:val="0"/>
            <w:vAlign w:val="top"/>
          </w:tcPr>
          <w:p w14:paraId="6D2FB9DA">
            <w:pPr>
              <w:spacing w:line="500" w:lineRule="exact"/>
              <w:jc w:val="center"/>
              <w:rPr>
                <w:rFonts w:hint="eastAsia" w:ascii="宋体" w:hAnsi="宋体" w:eastAsia="宋体" w:cs="宋体"/>
                <w:color w:val="auto"/>
                <w:sz w:val="24"/>
                <w:szCs w:val="24"/>
                <w:highlight w:val="none"/>
              </w:rPr>
            </w:pPr>
          </w:p>
        </w:tc>
      </w:tr>
    </w:tbl>
    <w:p w14:paraId="78B5246B">
      <w:pPr>
        <w:adjustRightInd w:val="0"/>
        <w:spacing w:line="360" w:lineRule="auto"/>
        <w:ind w:firstLine="900" w:firstLineChars="3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注：后附人员相关证书彩色扫描件。</w:t>
      </w:r>
    </w:p>
    <w:p w14:paraId="20140C26">
      <w:pPr>
        <w:rPr>
          <w:rFonts w:hint="eastAsia" w:ascii="宋体" w:hAnsi="宋体" w:eastAsia="宋体" w:cs="宋体"/>
          <w:color w:val="auto"/>
          <w:sz w:val="24"/>
          <w:szCs w:val="24"/>
          <w:highlight w:val="none"/>
        </w:rPr>
      </w:pPr>
    </w:p>
    <w:p w14:paraId="27F45F9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1381E8F9">
      <w:pPr>
        <w:pStyle w:val="3"/>
        <w:numPr>
          <w:ilvl w:val="0"/>
          <w:numId w:val="5"/>
        </w:numPr>
        <w:spacing w:before="156" w:after="156"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en-US" w:eastAsia="zh-CN"/>
        </w:rPr>
        <w:t>条款</w:t>
      </w:r>
      <w:r>
        <w:rPr>
          <w:rFonts w:hint="eastAsia" w:ascii="宋体" w:hAnsi="宋体" w:eastAsia="宋体" w:cs="宋体"/>
          <w:color w:val="auto"/>
          <w:sz w:val="24"/>
          <w:szCs w:val="24"/>
          <w:highlight w:val="none"/>
        </w:rPr>
        <w:t>偏离表</w:t>
      </w:r>
    </w:p>
    <w:p w14:paraId="30124BD0">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商务条款偏离表</w:t>
      </w:r>
    </w:p>
    <w:p w14:paraId="3C6F6D4A">
      <w:pPr>
        <w:rPr>
          <w:rFonts w:hint="eastAsia" w:ascii="宋体" w:hAnsi="宋体" w:eastAsia="宋体" w:cs="宋体"/>
          <w:color w:val="auto"/>
          <w:sz w:val="24"/>
          <w:szCs w:val="24"/>
          <w:highlight w:val="none"/>
        </w:rPr>
      </w:pPr>
    </w:p>
    <w:tbl>
      <w:tblPr>
        <w:tblStyle w:val="27"/>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850"/>
        <w:gridCol w:w="1008"/>
        <w:gridCol w:w="1164"/>
      </w:tblGrid>
      <w:tr w14:paraId="0BE0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shd w:val="clear" w:color="auto" w:fill="FFFFFF"/>
            <w:noWrap w:val="0"/>
            <w:vAlign w:val="center"/>
          </w:tcPr>
          <w:p w14:paraId="0F9D809B">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5850" w:type="dxa"/>
            <w:shd w:val="clear" w:color="auto" w:fill="FFFFFF"/>
            <w:noWrap w:val="0"/>
            <w:vAlign w:val="center"/>
          </w:tcPr>
          <w:p w14:paraId="21082C3F">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主要商务条款</w:t>
            </w:r>
          </w:p>
        </w:tc>
        <w:tc>
          <w:tcPr>
            <w:tcW w:w="1008" w:type="dxa"/>
            <w:shd w:val="clear" w:color="auto" w:fill="FFFFFF"/>
            <w:noWrap w:val="0"/>
            <w:vAlign w:val="center"/>
          </w:tcPr>
          <w:p w14:paraId="01ADD55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w:t>
            </w:r>
          </w:p>
          <w:p w14:paraId="082903D9">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响应</w:t>
            </w:r>
          </w:p>
        </w:tc>
        <w:tc>
          <w:tcPr>
            <w:tcW w:w="1164" w:type="dxa"/>
            <w:shd w:val="clear" w:color="auto" w:fill="FFFFFF"/>
            <w:noWrap w:val="0"/>
            <w:vAlign w:val="center"/>
          </w:tcPr>
          <w:p w14:paraId="2A73F14A">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偏离说明</w:t>
            </w:r>
          </w:p>
        </w:tc>
      </w:tr>
      <w:tr w14:paraId="0F9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0F0383C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850" w:type="dxa"/>
            <w:noWrap w:val="0"/>
            <w:vAlign w:val="center"/>
          </w:tcPr>
          <w:p w14:paraId="68A691C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、合格的货物质量和服务要求；</w:t>
            </w:r>
          </w:p>
        </w:tc>
        <w:tc>
          <w:tcPr>
            <w:tcW w:w="1008" w:type="dxa"/>
            <w:noWrap w:val="0"/>
            <w:vAlign w:val="center"/>
          </w:tcPr>
          <w:p w14:paraId="72F379C3">
            <w:pPr>
              <w:pStyle w:val="93"/>
              <w:keepNext w:val="0"/>
              <w:adjustRightInd/>
              <w:spacing w:before="0" w:after="0" w:line="240" w:lineRule="auto"/>
              <w:textAlignment w:val="auto"/>
              <w:rPr>
                <w:rFonts w:hint="eastAsia" w:ascii="宋体" w:hAnsi="宋体" w:eastAsia="宋体" w:cs="宋体"/>
                <w:color w:val="auto"/>
                <w:spacing w:val="0"/>
                <w:kern w:val="2"/>
                <w:sz w:val="24"/>
                <w:szCs w:val="24"/>
                <w:highlight w:val="none"/>
              </w:rPr>
            </w:pPr>
          </w:p>
        </w:tc>
        <w:tc>
          <w:tcPr>
            <w:tcW w:w="1164" w:type="dxa"/>
            <w:noWrap w:val="0"/>
            <w:vAlign w:val="center"/>
          </w:tcPr>
          <w:p w14:paraId="5AA5AD57">
            <w:pPr>
              <w:jc w:val="center"/>
              <w:rPr>
                <w:rFonts w:hint="eastAsia" w:ascii="宋体" w:hAnsi="宋体" w:eastAsia="宋体" w:cs="宋体"/>
                <w:color w:val="auto"/>
                <w:sz w:val="24"/>
                <w:szCs w:val="24"/>
                <w:highlight w:val="none"/>
              </w:rPr>
            </w:pPr>
          </w:p>
        </w:tc>
      </w:tr>
      <w:tr w14:paraId="4C5A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13D06E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850" w:type="dxa"/>
            <w:noWrap w:val="0"/>
            <w:vAlign w:val="center"/>
          </w:tcPr>
          <w:p w14:paraId="6599F40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的各项须知、规约要求和责任义务；</w:t>
            </w:r>
          </w:p>
        </w:tc>
        <w:tc>
          <w:tcPr>
            <w:tcW w:w="1008" w:type="dxa"/>
            <w:noWrap w:val="0"/>
            <w:vAlign w:val="center"/>
          </w:tcPr>
          <w:p w14:paraId="6D9BE2F3">
            <w:pPr>
              <w:jc w:val="center"/>
              <w:rPr>
                <w:rFonts w:hint="eastAsia" w:ascii="宋体" w:hAnsi="宋体" w:eastAsia="宋体" w:cs="宋体"/>
                <w:color w:val="auto"/>
                <w:sz w:val="24"/>
                <w:szCs w:val="24"/>
                <w:highlight w:val="none"/>
              </w:rPr>
            </w:pPr>
          </w:p>
        </w:tc>
        <w:tc>
          <w:tcPr>
            <w:tcW w:w="1164" w:type="dxa"/>
            <w:noWrap w:val="0"/>
            <w:vAlign w:val="center"/>
          </w:tcPr>
          <w:p w14:paraId="0BF9C0B7">
            <w:pPr>
              <w:ind w:right="-35"/>
              <w:jc w:val="center"/>
              <w:rPr>
                <w:rFonts w:hint="eastAsia" w:ascii="宋体" w:hAnsi="宋体" w:eastAsia="宋体" w:cs="宋体"/>
                <w:color w:val="auto"/>
                <w:sz w:val="24"/>
                <w:szCs w:val="24"/>
                <w:highlight w:val="none"/>
              </w:rPr>
            </w:pPr>
          </w:p>
        </w:tc>
      </w:tr>
      <w:tr w14:paraId="6A64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5D0F841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850" w:type="dxa"/>
            <w:noWrap w:val="0"/>
            <w:vAlign w:val="center"/>
          </w:tcPr>
          <w:p w14:paraId="2EC985B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同意接受拟签订的合同文本所列述的各项条款；</w:t>
            </w:r>
          </w:p>
        </w:tc>
        <w:tc>
          <w:tcPr>
            <w:tcW w:w="1008" w:type="dxa"/>
            <w:noWrap w:val="0"/>
            <w:vAlign w:val="center"/>
          </w:tcPr>
          <w:p w14:paraId="01B58156">
            <w:pPr>
              <w:jc w:val="center"/>
              <w:rPr>
                <w:rFonts w:hint="eastAsia" w:ascii="宋体" w:hAnsi="宋体" w:eastAsia="宋体" w:cs="宋体"/>
                <w:color w:val="auto"/>
                <w:sz w:val="24"/>
                <w:szCs w:val="24"/>
                <w:highlight w:val="none"/>
              </w:rPr>
            </w:pPr>
          </w:p>
        </w:tc>
        <w:tc>
          <w:tcPr>
            <w:tcW w:w="1164" w:type="dxa"/>
            <w:noWrap w:val="0"/>
            <w:vAlign w:val="center"/>
          </w:tcPr>
          <w:p w14:paraId="1D0CC806">
            <w:pPr>
              <w:ind w:right="-35"/>
              <w:jc w:val="center"/>
              <w:rPr>
                <w:rFonts w:hint="eastAsia" w:ascii="宋体" w:hAnsi="宋体" w:eastAsia="宋体" w:cs="宋体"/>
                <w:color w:val="auto"/>
                <w:sz w:val="24"/>
                <w:szCs w:val="24"/>
                <w:highlight w:val="none"/>
              </w:rPr>
            </w:pPr>
          </w:p>
        </w:tc>
      </w:tr>
      <w:tr w14:paraId="0C06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3D99A36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5850" w:type="dxa"/>
            <w:noWrap w:val="0"/>
            <w:vAlign w:val="center"/>
          </w:tcPr>
          <w:p w14:paraId="54E2D29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同意按本项目要求缴付相关款项；</w:t>
            </w:r>
          </w:p>
        </w:tc>
        <w:tc>
          <w:tcPr>
            <w:tcW w:w="1008" w:type="dxa"/>
            <w:noWrap w:val="0"/>
            <w:vAlign w:val="center"/>
          </w:tcPr>
          <w:p w14:paraId="014C654A">
            <w:pPr>
              <w:jc w:val="center"/>
              <w:rPr>
                <w:rFonts w:hint="eastAsia" w:ascii="宋体" w:hAnsi="宋体" w:eastAsia="宋体" w:cs="宋体"/>
                <w:color w:val="auto"/>
                <w:sz w:val="24"/>
                <w:szCs w:val="24"/>
                <w:highlight w:val="none"/>
              </w:rPr>
            </w:pPr>
          </w:p>
        </w:tc>
        <w:tc>
          <w:tcPr>
            <w:tcW w:w="1164" w:type="dxa"/>
            <w:noWrap w:val="0"/>
            <w:vAlign w:val="center"/>
          </w:tcPr>
          <w:p w14:paraId="6FA3AF9A">
            <w:pPr>
              <w:ind w:right="-35"/>
              <w:jc w:val="center"/>
              <w:rPr>
                <w:rFonts w:hint="eastAsia" w:ascii="宋体" w:hAnsi="宋体" w:eastAsia="宋体" w:cs="宋体"/>
                <w:color w:val="auto"/>
                <w:sz w:val="24"/>
                <w:szCs w:val="24"/>
                <w:highlight w:val="none"/>
              </w:rPr>
            </w:pPr>
          </w:p>
        </w:tc>
      </w:tr>
      <w:tr w14:paraId="42D3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3" w:type="dxa"/>
            <w:noWrap w:val="0"/>
            <w:vAlign w:val="center"/>
          </w:tcPr>
          <w:p w14:paraId="61367DA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5850" w:type="dxa"/>
            <w:noWrap w:val="0"/>
            <w:vAlign w:val="center"/>
          </w:tcPr>
          <w:p w14:paraId="337BDB0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可提供货物供货来源证明或供货渠道与品质的合法性证明；</w:t>
            </w:r>
          </w:p>
        </w:tc>
        <w:tc>
          <w:tcPr>
            <w:tcW w:w="1008" w:type="dxa"/>
            <w:noWrap w:val="0"/>
            <w:vAlign w:val="center"/>
          </w:tcPr>
          <w:p w14:paraId="62FCE0C2">
            <w:pPr>
              <w:jc w:val="center"/>
              <w:rPr>
                <w:rFonts w:hint="eastAsia" w:ascii="宋体" w:hAnsi="宋体" w:eastAsia="宋体" w:cs="宋体"/>
                <w:color w:val="auto"/>
                <w:sz w:val="24"/>
                <w:szCs w:val="24"/>
                <w:highlight w:val="none"/>
              </w:rPr>
            </w:pPr>
          </w:p>
        </w:tc>
        <w:tc>
          <w:tcPr>
            <w:tcW w:w="1164" w:type="dxa"/>
            <w:noWrap w:val="0"/>
            <w:vAlign w:val="center"/>
          </w:tcPr>
          <w:p w14:paraId="2E7AC23C">
            <w:pPr>
              <w:ind w:right="-35"/>
              <w:jc w:val="center"/>
              <w:rPr>
                <w:rFonts w:hint="eastAsia" w:ascii="宋体" w:hAnsi="宋体" w:eastAsia="宋体" w:cs="宋体"/>
                <w:color w:val="auto"/>
                <w:sz w:val="24"/>
                <w:szCs w:val="24"/>
                <w:highlight w:val="none"/>
              </w:rPr>
            </w:pPr>
          </w:p>
        </w:tc>
      </w:tr>
      <w:tr w14:paraId="60D4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3" w:type="dxa"/>
            <w:noWrap w:val="0"/>
            <w:vAlign w:val="center"/>
          </w:tcPr>
          <w:p w14:paraId="2F3F68A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5850" w:type="dxa"/>
            <w:noWrap w:val="0"/>
            <w:vAlign w:val="center"/>
          </w:tcPr>
          <w:p w14:paraId="0D0733EB">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有效期</w:t>
            </w:r>
            <w:r>
              <w:rPr>
                <w:rFonts w:hint="eastAsia" w:ascii="宋体" w:hAnsi="宋体" w:eastAsia="宋体" w:cs="宋体"/>
                <w:color w:val="auto"/>
                <w:sz w:val="24"/>
                <w:szCs w:val="24"/>
                <w:highlight w:val="none"/>
                <w:lang w:eastAsia="zh-CN"/>
              </w:rPr>
              <w:t>；</w:t>
            </w:r>
          </w:p>
        </w:tc>
        <w:tc>
          <w:tcPr>
            <w:tcW w:w="1008" w:type="dxa"/>
            <w:noWrap w:val="0"/>
            <w:vAlign w:val="center"/>
          </w:tcPr>
          <w:p w14:paraId="66C5EB85">
            <w:pPr>
              <w:jc w:val="center"/>
              <w:rPr>
                <w:rFonts w:hint="eastAsia" w:ascii="宋体" w:hAnsi="宋体" w:eastAsia="宋体" w:cs="宋体"/>
                <w:color w:val="auto"/>
                <w:sz w:val="24"/>
                <w:szCs w:val="24"/>
                <w:highlight w:val="none"/>
              </w:rPr>
            </w:pPr>
          </w:p>
        </w:tc>
        <w:tc>
          <w:tcPr>
            <w:tcW w:w="1164" w:type="dxa"/>
            <w:noWrap w:val="0"/>
            <w:vAlign w:val="center"/>
          </w:tcPr>
          <w:p w14:paraId="564D3A57">
            <w:pPr>
              <w:ind w:right="-35"/>
              <w:jc w:val="center"/>
              <w:rPr>
                <w:rFonts w:hint="eastAsia" w:ascii="宋体" w:hAnsi="宋体" w:eastAsia="宋体" w:cs="宋体"/>
                <w:color w:val="auto"/>
                <w:sz w:val="24"/>
                <w:szCs w:val="24"/>
                <w:highlight w:val="none"/>
              </w:rPr>
            </w:pPr>
          </w:p>
        </w:tc>
      </w:tr>
      <w:tr w14:paraId="0A37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3F478D1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5850" w:type="dxa"/>
            <w:noWrap w:val="0"/>
            <w:vAlign w:val="center"/>
          </w:tcPr>
          <w:p w14:paraId="48108D6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投标内容均涵盖招标要求及一切费用和伴随服务；</w:t>
            </w:r>
          </w:p>
        </w:tc>
        <w:tc>
          <w:tcPr>
            <w:tcW w:w="1008" w:type="dxa"/>
            <w:noWrap w:val="0"/>
            <w:vAlign w:val="center"/>
          </w:tcPr>
          <w:p w14:paraId="521A2EED">
            <w:pPr>
              <w:jc w:val="center"/>
              <w:rPr>
                <w:rFonts w:hint="eastAsia" w:ascii="宋体" w:hAnsi="宋体" w:eastAsia="宋体" w:cs="宋体"/>
                <w:color w:val="auto"/>
                <w:sz w:val="24"/>
                <w:szCs w:val="24"/>
                <w:highlight w:val="none"/>
              </w:rPr>
            </w:pPr>
          </w:p>
        </w:tc>
        <w:tc>
          <w:tcPr>
            <w:tcW w:w="1164" w:type="dxa"/>
            <w:noWrap w:val="0"/>
            <w:vAlign w:val="center"/>
          </w:tcPr>
          <w:p w14:paraId="227801AB">
            <w:pPr>
              <w:pStyle w:val="93"/>
              <w:keepNext w:val="0"/>
              <w:adjustRightInd/>
              <w:spacing w:before="0" w:after="0" w:line="240" w:lineRule="auto"/>
              <w:textAlignment w:val="auto"/>
              <w:rPr>
                <w:rFonts w:hint="eastAsia" w:ascii="宋体" w:hAnsi="宋体" w:eastAsia="宋体" w:cs="宋体"/>
                <w:color w:val="auto"/>
                <w:spacing w:val="0"/>
                <w:kern w:val="2"/>
                <w:sz w:val="24"/>
                <w:szCs w:val="24"/>
                <w:highlight w:val="none"/>
              </w:rPr>
            </w:pPr>
          </w:p>
        </w:tc>
      </w:tr>
      <w:tr w14:paraId="59B1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4C8754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5850" w:type="dxa"/>
            <w:noWrap w:val="0"/>
            <w:vAlign w:val="center"/>
          </w:tcPr>
          <w:p w14:paraId="14B08A1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同意接受本项目供货期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质保期</w:t>
            </w:r>
            <w:r>
              <w:rPr>
                <w:rFonts w:hint="eastAsia" w:ascii="宋体" w:hAnsi="宋体" w:eastAsia="宋体" w:cs="宋体"/>
                <w:color w:val="auto"/>
                <w:sz w:val="24"/>
                <w:szCs w:val="24"/>
                <w:highlight w:val="none"/>
              </w:rPr>
              <w:t>或相关进度安排要求；</w:t>
            </w:r>
          </w:p>
        </w:tc>
        <w:tc>
          <w:tcPr>
            <w:tcW w:w="1008" w:type="dxa"/>
            <w:noWrap w:val="0"/>
            <w:vAlign w:val="center"/>
          </w:tcPr>
          <w:p w14:paraId="1D72E607">
            <w:pPr>
              <w:jc w:val="center"/>
              <w:rPr>
                <w:rFonts w:hint="eastAsia" w:ascii="宋体" w:hAnsi="宋体" w:eastAsia="宋体" w:cs="宋体"/>
                <w:color w:val="auto"/>
                <w:sz w:val="24"/>
                <w:szCs w:val="24"/>
                <w:highlight w:val="none"/>
              </w:rPr>
            </w:pPr>
          </w:p>
        </w:tc>
        <w:tc>
          <w:tcPr>
            <w:tcW w:w="1164" w:type="dxa"/>
            <w:noWrap w:val="0"/>
            <w:vAlign w:val="center"/>
          </w:tcPr>
          <w:p w14:paraId="37F62392">
            <w:pPr>
              <w:jc w:val="center"/>
              <w:rPr>
                <w:rFonts w:hint="eastAsia" w:ascii="宋体" w:hAnsi="宋体" w:eastAsia="宋体" w:cs="宋体"/>
                <w:color w:val="auto"/>
                <w:sz w:val="24"/>
                <w:szCs w:val="24"/>
                <w:highlight w:val="none"/>
              </w:rPr>
            </w:pPr>
          </w:p>
        </w:tc>
      </w:tr>
      <w:tr w14:paraId="7D4B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1BAD5C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5850" w:type="dxa"/>
            <w:noWrap w:val="0"/>
            <w:vAlign w:val="center"/>
          </w:tcPr>
          <w:p w14:paraId="61C4B7F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同意接受本项目的验收要求及验收标准；</w:t>
            </w:r>
          </w:p>
        </w:tc>
        <w:tc>
          <w:tcPr>
            <w:tcW w:w="1008" w:type="dxa"/>
            <w:noWrap w:val="0"/>
            <w:vAlign w:val="center"/>
          </w:tcPr>
          <w:p w14:paraId="1F052942">
            <w:pPr>
              <w:jc w:val="center"/>
              <w:rPr>
                <w:rFonts w:hint="eastAsia" w:ascii="宋体" w:hAnsi="宋体" w:eastAsia="宋体" w:cs="宋体"/>
                <w:color w:val="auto"/>
                <w:sz w:val="24"/>
                <w:szCs w:val="24"/>
                <w:highlight w:val="none"/>
              </w:rPr>
            </w:pPr>
          </w:p>
        </w:tc>
        <w:tc>
          <w:tcPr>
            <w:tcW w:w="1164" w:type="dxa"/>
            <w:noWrap w:val="0"/>
            <w:vAlign w:val="center"/>
          </w:tcPr>
          <w:p w14:paraId="30B8004B">
            <w:pPr>
              <w:jc w:val="center"/>
              <w:rPr>
                <w:rFonts w:hint="eastAsia" w:ascii="宋体" w:hAnsi="宋体" w:eastAsia="宋体" w:cs="宋体"/>
                <w:color w:val="auto"/>
                <w:sz w:val="24"/>
                <w:szCs w:val="24"/>
                <w:highlight w:val="none"/>
              </w:rPr>
            </w:pPr>
          </w:p>
        </w:tc>
      </w:tr>
      <w:tr w14:paraId="7636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noWrap w:val="0"/>
            <w:vAlign w:val="center"/>
          </w:tcPr>
          <w:p w14:paraId="7CF6064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5850" w:type="dxa"/>
            <w:noWrap w:val="0"/>
            <w:vAlign w:val="center"/>
          </w:tcPr>
          <w:p w14:paraId="3F9DBDCF">
            <w:pPr>
              <w:pStyle w:val="19"/>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rPr>
              <w:t>同意采购人以任何形式对我方的投标文件内容的真实性和有效性进行审查、验证；</w:t>
            </w:r>
          </w:p>
        </w:tc>
        <w:tc>
          <w:tcPr>
            <w:tcW w:w="1008" w:type="dxa"/>
            <w:noWrap w:val="0"/>
            <w:vAlign w:val="center"/>
          </w:tcPr>
          <w:p w14:paraId="29DF7D89">
            <w:pPr>
              <w:pStyle w:val="94"/>
              <w:numPr>
                <w:ilvl w:val="0"/>
                <w:numId w:val="0"/>
              </w:numPr>
              <w:rPr>
                <w:rFonts w:hint="eastAsia" w:ascii="宋体" w:hAnsi="宋体" w:eastAsia="宋体" w:cs="宋体"/>
                <w:color w:val="auto"/>
                <w:sz w:val="24"/>
                <w:szCs w:val="24"/>
                <w:highlight w:val="none"/>
              </w:rPr>
            </w:pPr>
          </w:p>
        </w:tc>
        <w:tc>
          <w:tcPr>
            <w:tcW w:w="1164" w:type="dxa"/>
            <w:noWrap w:val="0"/>
            <w:vAlign w:val="center"/>
          </w:tcPr>
          <w:p w14:paraId="3416E3E2">
            <w:pPr>
              <w:pStyle w:val="93"/>
              <w:keepNext w:val="0"/>
              <w:adjustRightInd/>
              <w:spacing w:before="0" w:after="0" w:line="240" w:lineRule="auto"/>
              <w:jc w:val="both"/>
              <w:textAlignment w:val="auto"/>
              <w:rPr>
                <w:rFonts w:hint="eastAsia" w:ascii="宋体" w:hAnsi="宋体" w:eastAsia="宋体" w:cs="宋体"/>
                <w:color w:val="auto"/>
                <w:spacing w:val="0"/>
                <w:kern w:val="2"/>
                <w:sz w:val="24"/>
                <w:szCs w:val="24"/>
                <w:highlight w:val="none"/>
              </w:rPr>
            </w:pPr>
          </w:p>
        </w:tc>
      </w:tr>
      <w:tr w14:paraId="033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3" w:type="dxa"/>
            <w:noWrap w:val="0"/>
            <w:vAlign w:val="center"/>
          </w:tcPr>
          <w:p w14:paraId="3E3BDE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5850" w:type="dxa"/>
            <w:noWrap w:val="0"/>
            <w:vAlign w:val="center"/>
          </w:tcPr>
          <w:p w14:paraId="376DD991">
            <w:pPr>
              <w:pStyle w:val="19"/>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同意接受本项目付款的各项要求。</w:t>
            </w:r>
          </w:p>
        </w:tc>
        <w:tc>
          <w:tcPr>
            <w:tcW w:w="1008" w:type="dxa"/>
            <w:noWrap w:val="0"/>
            <w:vAlign w:val="center"/>
          </w:tcPr>
          <w:p w14:paraId="5BCBBA0E">
            <w:pPr>
              <w:pStyle w:val="94"/>
              <w:numPr>
                <w:ilvl w:val="0"/>
                <w:numId w:val="0"/>
              </w:numPr>
              <w:rPr>
                <w:rFonts w:hint="eastAsia" w:ascii="宋体" w:hAnsi="宋体" w:eastAsia="宋体" w:cs="宋体"/>
                <w:color w:val="auto"/>
                <w:sz w:val="24"/>
                <w:szCs w:val="24"/>
                <w:highlight w:val="none"/>
              </w:rPr>
            </w:pPr>
          </w:p>
        </w:tc>
        <w:tc>
          <w:tcPr>
            <w:tcW w:w="1164" w:type="dxa"/>
            <w:noWrap w:val="0"/>
            <w:vAlign w:val="center"/>
          </w:tcPr>
          <w:p w14:paraId="167EED52">
            <w:pPr>
              <w:pStyle w:val="93"/>
              <w:keepNext w:val="0"/>
              <w:adjustRightInd/>
              <w:spacing w:before="0" w:after="0" w:line="240" w:lineRule="auto"/>
              <w:jc w:val="both"/>
              <w:textAlignment w:val="auto"/>
              <w:rPr>
                <w:rFonts w:hint="eastAsia" w:ascii="宋体" w:hAnsi="宋体" w:eastAsia="宋体" w:cs="宋体"/>
                <w:color w:val="auto"/>
                <w:spacing w:val="0"/>
                <w:kern w:val="2"/>
                <w:sz w:val="24"/>
                <w:szCs w:val="24"/>
                <w:highlight w:val="none"/>
              </w:rPr>
            </w:pPr>
          </w:p>
        </w:tc>
      </w:tr>
    </w:tbl>
    <w:p w14:paraId="2BBF2477">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5624D3FA">
      <w:pPr>
        <w:numPr>
          <w:ilvl w:val="0"/>
          <w:numId w:val="6"/>
        </w:numPr>
        <w:spacing w:line="500" w:lineRule="exact"/>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GB"/>
        </w:rPr>
        <w:t>于上述要求，如</w:t>
      </w:r>
      <w:r>
        <w:rPr>
          <w:rFonts w:hint="eastAsia" w:ascii="宋体" w:hAnsi="宋体" w:eastAsia="宋体" w:cs="宋体"/>
          <w:color w:val="auto"/>
          <w:sz w:val="24"/>
          <w:szCs w:val="24"/>
          <w:highlight w:val="none"/>
          <w:lang w:val="en-GB" w:eastAsia="zh-CN"/>
        </w:rPr>
        <w:t>供应商</w:t>
      </w:r>
      <w:r>
        <w:rPr>
          <w:rFonts w:hint="eastAsia" w:ascii="宋体" w:hAnsi="宋体" w:eastAsia="宋体" w:cs="宋体"/>
          <w:color w:val="auto"/>
          <w:sz w:val="24"/>
          <w:szCs w:val="24"/>
          <w:highlight w:val="none"/>
          <w:lang w:val="en-GB"/>
        </w:rPr>
        <w:t>完全响应，则请在“是否响应”栏内打“√”，对打“×”视为偏离，请在“偏离说明”栏内扼要说明偏离情况；</w:t>
      </w:r>
    </w:p>
    <w:p w14:paraId="2D7F8526">
      <w:pPr>
        <w:numPr>
          <w:ilvl w:val="0"/>
          <w:numId w:val="6"/>
        </w:numPr>
        <w:spacing w:line="500" w:lineRule="exact"/>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eastAsia="zh-CN"/>
        </w:rPr>
        <w:t>供应商</w:t>
      </w:r>
      <w:r>
        <w:rPr>
          <w:rFonts w:hint="eastAsia" w:ascii="宋体" w:hAnsi="宋体" w:eastAsia="宋体" w:cs="宋体"/>
          <w:color w:val="auto"/>
          <w:sz w:val="24"/>
          <w:szCs w:val="24"/>
          <w:highlight w:val="none"/>
          <w:lang w:val="en-GB"/>
        </w:rPr>
        <w:t>应认真填写本响应表，若评标委员会在</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GB"/>
        </w:rPr>
        <w:t>期间，发现有虚假填写本响应表的，则将可能被视为存在两个</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GB"/>
        </w:rPr>
        <w:t>方案，评标委员会将按本招标文件相关规定执行；</w:t>
      </w:r>
    </w:p>
    <w:p w14:paraId="0218C968">
      <w:pPr>
        <w:numPr>
          <w:ilvl w:val="0"/>
          <w:numId w:val="6"/>
        </w:numPr>
        <w:spacing w:line="500" w:lineRule="exact"/>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本表内容不得擅自修改。</w:t>
      </w:r>
    </w:p>
    <w:p w14:paraId="703B3A17">
      <w:pPr>
        <w:rPr>
          <w:rFonts w:hint="eastAsia" w:ascii="宋体" w:hAnsi="宋体" w:eastAsia="宋体" w:cs="宋体"/>
          <w:color w:val="auto"/>
          <w:sz w:val="24"/>
          <w:szCs w:val="24"/>
          <w:highlight w:val="none"/>
        </w:rPr>
      </w:pPr>
    </w:p>
    <w:p w14:paraId="42FD3E0E">
      <w:pPr>
        <w:pStyle w:val="14"/>
        <w:spacing w:line="360" w:lineRule="auto"/>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名称（盖章）：</w:t>
      </w:r>
    </w:p>
    <w:p w14:paraId="31593BC3">
      <w:pPr>
        <w:pStyle w:val="14"/>
        <w:spacing w:line="360" w:lineRule="auto"/>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4951C87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58CDED26">
      <w:pPr>
        <w:spacing w:line="360" w:lineRule="auto"/>
        <w:rPr>
          <w:rFonts w:hint="eastAsia" w:ascii="宋体" w:hAnsi="宋体" w:eastAsia="宋体" w:cs="宋体"/>
          <w:color w:val="auto"/>
          <w:sz w:val="24"/>
          <w:szCs w:val="24"/>
          <w:highlight w:val="none"/>
        </w:rPr>
      </w:pPr>
    </w:p>
    <w:p w14:paraId="719E74CB">
      <w:pPr>
        <w:pStyle w:val="26"/>
        <w:rPr>
          <w:rFonts w:hint="eastAsia" w:ascii="宋体" w:hAnsi="宋体" w:eastAsia="宋体" w:cs="宋体"/>
          <w:color w:val="auto"/>
          <w:sz w:val="24"/>
          <w:szCs w:val="24"/>
          <w:highlight w:val="none"/>
        </w:rPr>
      </w:pPr>
    </w:p>
    <w:p w14:paraId="08F0E958">
      <w:pPr>
        <w:pStyle w:val="26"/>
        <w:rPr>
          <w:rFonts w:hint="eastAsia" w:ascii="宋体" w:hAnsi="宋体" w:eastAsia="宋体" w:cs="宋体"/>
          <w:color w:val="auto"/>
          <w:sz w:val="24"/>
          <w:szCs w:val="24"/>
          <w:highlight w:val="none"/>
        </w:rPr>
      </w:pPr>
    </w:p>
    <w:p w14:paraId="10900836">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技术条款</w:t>
      </w:r>
      <w:r>
        <w:rPr>
          <w:rFonts w:hint="eastAsia" w:ascii="宋体" w:hAnsi="宋体" w:eastAsia="宋体" w:cs="宋体"/>
          <w:b/>
          <w:bCs/>
          <w:color w:val="auto"/>
          <w:sz w:val="24"/>
          <w:szCs w:val="24"/>
          <w:highlight w:val="none"/>
        </w:rPr>
        <w:t>偏离表</w:t>
      </w:r>
    </w:p>
    <w:tbl>
      <w:tblPr>
        <w:tblStyle w:val="27"/>
        <w:tblW w:w="4998" w:type="pct"/>
        <w:tblInd w:w="0" w:type="dxa"/>
        <w:tblLayout w:type="autofit"/>
        <w:tblCellMar>
          <w:top w:w="0" w:type="dxa"/>
          <w:left w:w="108" w:type="dxa"/>
          <w:bottom w:w="0" w:type="dxa"/>
          <w:right w:w="108" w:type="dxa"/>
        </w:tblCellMar>
      </w:tblPr>
      <w:tblGrid>
        <w:gridCol w:w="521"/>
        <w:gridCol w:w="2430"/>
        <w:gridCol w:w="1166"/>
        <w:gridCol w:w="994"/>
        <w:gridCol w:w="1014"/>
        <w:gridCol w:w="1145"/>
        <w:gridCol w:w="1249"/>
      </w:tblGrid>
      <w:tr w14:paraId="26551546">
        <w:tblPrEx>
          <w:tblCellMar>
            <w:top w:w="0" w:type="dxa"/>
            <w:left w:w="108" w:type="dxa"/>
            <w:bottom w:w="0" w:type="dxa"/>
            <w:right w:w="108" w:type="dxa"/>
          </w:tblCellMar>
        </w:tblPrEx>
        <w:trPr>
          <w:trHeight w:val="530" w:hRule="atLeast"/>
        </w:trPr>
        <w:tc>
          <w:tcPr>
            <w:tcW w:w="1732" w:type="pct"/>
            <w:gridSpan w:val="2"/>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636D58AC">
            <w:pPr>
              <w:widowControl/>
              <w:spacing w:line="30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招标文件的要求</w:t>
            </w:r>
          </w:p>
        </w:tc>
        <w:tc>
          <w:tcPr>
            <w:tcW w:w="3267" w:type="pct"/>
            <w:gridSpan w:val="5"/>
            <w:tcBorders>
              <w:top w:val="single" w:color="000000" w:sz="8" w:space="0"/>
              <w:left w:val="single" w:color="000000" w:sz="4" w:space="0"/>
              <w:right w:val="single" w:color="000000" w:sz="4" w:space="0"/>
            </w:tcBorders>
            <w:shd w:val="clear" w:color="FFFFFF" w:fill="FFFFFF"/>
            <w:noWrap w:val="0"/>
            <w:vAlign w:val="center"/>
          </w:tcPr>
          <w:p w14:paraId="6D31615A">
            <w:pPr>
              <w:spacing w:line="300" w:lineRule="exact"/>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sz w:val="24"/>
                <w:szCs w:val="24"/>
                <w:highlight w:val="none"/>
              </w:rPr>
              <w:t>投标文件的响应</w:t>
            </w:r>
          </w:p>
        </w:tc>
      </w:tr>
      <w:tr w14:paraId="40C80127">
        <w:tblPrEx>
          <w:tblCellMar>
            <w:top w:w="0" w:type="dxa"/>
            <w:left w:w="108" w:type="dxa"/>
            <w:bottom w:w="0" w:type="dxa"/>
            <w:right w:w="108" w:type="dxa"/>
          </w:tblCellMar>
        </w:tblPrEx>
        <w:trPr>
          <w:trHeight w:val="1730" w:hRule="atLeast"/>
        </w:trPr>
        <w:tc>
          <w:tcPr>
            <w:tcW w:w="306" w:type="pc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14:paraId="68BAB3EF">
            <w:pPr>
              <w:widowControl/>
              <w:spacing w:line="3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1425" w:type="pc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14:paraId="2A309F6F">
            <w:pPr>
              <w:widowControl/>
              <w:spacing w:line="3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技术参数要求</w:t>
            </w:r>
          </w:p>
        </w:tc>
        <w:tc>
          <w:tcPr>
            <w:tcW w:w="684" w:type="pct"/>
            <w:tcBorders>
              <w:top w:val="single" w:color="000000" w:sz="8" w:space="0"/>
              <w:left w:val="single" w:color="000000" w:sz="4" w:space="0"/>
              <w:right w:val="single" w:color="000000" w:sz="4" w:space="0"/>
            </w:tcBorders>
            <w:shd w:val="clear" w:color="FFFFFF" w:fill="FFFFFF"/>
            <w:noWrap w:val="0"/>
            <w:vAlign w:val="center"/>
          </w:tcPr>
          <w:p w14:paraId="3E7D05CA">
            <w:pPr>
              <w:spacing w:line="3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响应情况</w:t>
            </w:r>
          </w:p>
        </w:tc>
        <w:tc>
          <w:tcPr>
            <w:tcW w:w="583" w:type="pct"/>
            <w:tcBorders>
              <w:top w:val="single" w:color="000000" w:sz="8" w:space="0"/>
              <w:left w:val="single" w:color="000000" w:sz="4" w:space="0"/>
              <w:right w:val="single" w:color="000000" w:sz="4" w:space="0"/>
            </w:tcBorders>
            <w:shd w:val="clear" w:color="FFFFFF" w:fill="FFFFFF"/>
            <w:noWrap w:val="0"/>
            <w:vAlign w:val="center"/>
          </w:tcPr>
          <w:p w14:paraId="3EBDEFB6">
            <w:pPr>
              <w:spacing w:line="3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偏离</w:t>
            </w:r>
            <w:r>
              <w:rPr>
                <w:rFonts w:hint="eastAsia" w:ascii="宋体" w:hAnsi="宋体" w:eastAsia="宋体" w:cs="宋体"/>
                <w:color w:val="auto"/>
                <w:sz w:val="24"/>
                <w:szCs w:val="24"/>
                <w:highlight w:val="none"/>
                <w:lang w:val="en-US" w:eastAsia="zh-CN"/>
              </w:rPr>
              <w:t>情况</w:t>
            </w:r>
          </w:p>
        </w:tc>
        <w:tc>
          <w:tcPr>
            <w:tcW w:w="595" w:type="pct"/>
            <w:tcBorders>
              <w:top w:val="single" w:color="000000" w:sz="8" w:space="0"/>
              <w:left w:val="single" w:color="000000" w:sz="4" w:space="0"/>
              <w:right w:val="single" w:color="000000" w:sz="4" w:space="0"/>
            </w:tcBorders>
            <w:shd w:val="clear" w:color="FFFFFF" w:fill="FFFFFF"/>
            <w:noWrap w:val="0"/>
            <w:vAlign w:val="center"/>
          </w:tcPr>
          <w:p w14:paraId="4427514C">
            <w:pPr>
              <w:spacing w:line="3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证明材料</w:t>
            </w:r>
          </w:p>
        </w:tc>
        <w:tc>
          <w:tcPr>
            <w:tcW w:w="672" w:type="pct"/>
            <w:tcBorders>
              <w:top w:val="single" w:color="000000" w:sz="8" w:space="0"/>
              <w:left w:val="single" w:color="000000" w:sz="4" w:space="0"/>
              <w:right w:val="single" w:color="000000" w:sz="4" w:space="0"/>
            </w:tcBorders>
            <w:shd w:val="clear" w:color="FFFFFF" w:fill="FFFFFF"/>
            <w:noWrap w:val="0"/>
            <w:vAlign w:val="center"/>
          </w:tcPr>
          <w:p w14:paraId="360563B4">
            <w:pPr>
              <w:spacing w:line="30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lang w:val="en-US" w:eastAsia="zh-CN"/>
              </w:rPr>
              <w:t>证明材料页码</w:t>
            </w:r>
          </w:p>
        </w:tc>
        <w:tc>
          <w:tcPr>
            <w:tcW w:w="732" w:type="pct"/>
            <w:tcBorders>
              <w:top w:val="single" w:color="000000" w:sz="8" w:space="0"/>
              <w:left w:val="single" w:color="000000" w:sz="4" w:space="0"/>
              <w:right w:val="single" w:color="000000" w:sz="4" w:space="0"/>
            </w:tcBorders>
            <w:shd w:val="clear" w:color="FFFFFF" w:fill="FFFFFF"/>
            <w:noWrap w:val="0"/>
            <w:vAlign w:val="center"/>
          </w:tcPr>
          <w:p w14:paraId="7B5B510D">
            <w:pPr>
              <w:spacing w:line="300" w:lineRule="exact"/>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备注</w:t>
            </w:r>
          </w:p>
        </w:tc>
      </w:tr>
      <w:tr w14:paraId="4B98A1DA">
        <w:tblPrEx>
          <w:tblCellMar>
            <w:top w:w="0" w:type="dxa"/>
            <w:left w:w="108" w:type="dxa"/>
            <w:bottom w:w="0" w:type="dxa"/>
            <w:right w:w="108" w:type="dxa"/>
          </w:tblCellMar>
        </w:tblPrEx>
        <w:trPr>
          <w:trHeight w:val="90" w:hRule="atLeast"/>
        </w:trPr>
        <w:tc>
          <w:tcPr>
            <w:tcW w:w="306" w:type="pct"/>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14:paraId="052BB2B2">
            <w:pPr>
              <w:widowControl/>
              <w:spacing w:line="30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1425"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4F0D0B7">
            <w:pPr>
              <w:spacing w:line="300" w:lineRule="exact"/>
              <w:jc w:val="center"/>
              <w:rPr>
                <w:rFonts w:hint="eastAsia" w:ascii="宋体" w:hAnsi="宋体" w:eastAsia="宋体" w:cs="宋体"/>
                <w:color w:val="auto"/>
                <w:sz w:val="24"/>
                <w:szCs w:val="24"/>
                <w:highlight w:val="none"/>
              </w:rPr>
            </w:pPr>
          </w:p>
        </w:tc>
        <w:tc>
          <w:tcPr>
            <w:tcW w:w="684"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35DDCC67">
            <w:pPr>
              <w:spacing w:line="300" w:lineRule="exact"/>
              <w:jc w:val="center"/>
              <w:rPr>
                <w:rFonts w:hint="eastAsia" w:ascii="宋体" w:hAnsi="宋体" w:eastAsia="宋体" w:cs="宋体"/>
                <w:color w:val="auto"/>
                <w:sz w:val="24"/>
                <w:szCs w:val="24"/>
                <w:highlight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5732240F">
            <w:pPr>
              <w:spacing w:line="300" w:lineRule="exact"/>
              <w:jc w:val="center"/>
              <w:rPr>
                <w:rFonts w:hint="eastAsia" w:ascii="宋体" w:hAnsi="宋体" w:eastAsia="宋体" w:cs="宋体"/>
                <w:color w:val="auto"/>
                <w:sz w:val="24"/>
                <w:szCs w:val="24"/>
                <w:highlight w:val="none"/>
              </w:rPr>
            </w:pPr>
          </w:p>
        </w:tc>
        <w:tc>
          <w:tcPr>
            <w:tcW w:w="595"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14C148B2">
            <w:pPr>
              <w:spacing w:line="300" w:lineRule="exact"/>
              <w:jc w:val="center"/>
              <w:rPr>
                <w:rFonts w:hint="eastAsia" w:ascii="宋体" w:hAnsi="宋体" w:eastAsia="宋体" w:cs="宋体"/>
                <w:color w:val="auto"/>
                <w:sz w:val="24"/>
                <w:szCs w:val="24"/>
                <w:highlight w:val="none"/>
              </w:rPr>
            </w:pPr>
          </w:p>
        </w:tc>
        <w:tc>
          <w:tcPr>
            <w:tcW w:w="67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37223332">
            <w:pPr>
              <w:spacing w:line="300" w:lineRule="exact"/>
              <w:jc w:val="center"/>
              <w:rPr>
                <w:rFonts w:hint="eastAsia" w:ascii="宋体" w:hAnsi="宋体" w:eastAsia="宋体" w:cs="宋体"/>
                <w:color w:val="auto"/>
                <w:sz w:val="24"/>
                <w:szCs w:val="24"/>
                <w:highlight w:val="none"/>
              </w:rPr>
            </w:pPr>
          </w:p>
        </w:tc>
        <w:tc>
          <w:tcPr>
            <w:tcW w:w="73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67514276">
            <w:pPr>
              <w:spacing w:line="300" w:lineRule="exact"/>
              <w:jc w:val="center"/>
              <w:rPr>
                <w:rFonts w:hint="eastAsia" w:ascii="宋体" w:hAnsi="宋体" w:eastAsia="宋体" w:cs="宋体"/>
                <w:color w:val="auto"/>
                <w:sz w:val="24"/>
                <w:szCs w:val="24"/>
                <w:highlight w:val="none"/>
              </w:rPr>
            </w:pPr>
          </w:p>
        </w:tc>
      </w:tr>
      <w:tr w14:paraId="45BD728D">
        <w:tblPrEx>
          <w:tblCellMar>
            <w:top w:w="0" w:type="dxa"/>
            <w:left w:w="108" w:type="dxa"/>
            <w:bottom w:w="0" w:type="dxa"/>
            <w:right w:w="108" w:type="dxa"/>
          </w:tblCellMar>
        </w:tblPrEx>
        <w:trPr>
          <w:trHeight w:val="90" w:hRule="atLeast"/>
        </w:trPr>
        <w:tc>
          <w:tcPr>
            <w:tcW w:w="306" w:type="pct"/>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14:paraId="785951D0">
            <w:pPr>
              <w:widowControl/>
              <w:spacing w:line="3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1425"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051DCD">
            <w:pPr>
              <w:spacing w:line="300" w:lineRule="exact"/>
              <w:jc w:val="center"/>
              <w:rPr>
                <w:rFonts w:hint="eastAsia" w:ascii="宋体" w:hAnsi="宋体" w:eastAsia="宋体" w:cs="宋体"/>
                <w:color w:val="auto"/>
                <w:sz w:val="24"/>
                <w:szCs w:val="24"/>
                <w:highlight w:val="none"/>
              </w:rPr>
            </w:pPr>
          </w:p>
        </w:tc>
        <w:tc>
          <w:tcPr>
            <w:tcW w:w="684"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74EE006F">
            <w:pPr>
              <w:spacing w:line="300" w:lineRule="exact"/>
              <w:jc w:val="center"/>
              <w:rPr>
                <w:rFonts w:hint="eastAsia" w:ascii="宋体" w:hAnsi="宋体" w:eastAsia="宋体" w:cs="宋体"/>
                <w:color w:val="auto"/>
                <w:sz w:val="24"/>
                <w:szCs w:val="24"/>
                <w:highlight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06C95E04">
            <w:pPr>
              <w:spacing w:line="300" w:lineRule="exact"/>
              <w:jc w:val="center"/>
              <w:rPr>
                <w:rFonts w:hint="eastAsia" w:ascii="宋体" w:hAnsi="宋体" w:eastAsia="宋体" w:cs="宋体"/>
                <w:color w:val="auto"/>
                <w:sz w:val="24"/>
                <w:szCs w:val="24"/>
                <w:highlight w:val="none"/>
              </w:rPr>
            </w:pPr>
          </w:p>
        </w:tc>
        <w:tc>
          <w:tcPr>
            <w:tcW w:w="595"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237EE8DB">
            <w:pPr>
              <w:spacing w:line="300" w:lineRule="exact"/>
              <w:jc w:val="center"/>
              <w:rPr>
                <w:rFonts w:hint="eastAsia" w:ascii="宋体" w:hAnsi="宋体" w:eastAsia="宋体" w:cs="宋体"/>
                <w:color w:val="auto"/>
                <w:sz w:val="24"/>
                <w:szCs w:val="24"/>
                <w:highlight w:val="none"/>
              </w:rPr>
            </w:pPr>
          </w:p>
        </w:tc>
        <w:tc>
          <w:tcPr>
            <w:tcW w:w="67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3DAAFBA5">
            <w:pPr>
              <w:spacing w:line="300" w:lineRule="exact"/>
              <w:jc w:val="center"/>
              <w:rPr>
                <w:rFonts w:hint="eastAsia" w:ascii="宋体" w:hAnsi="宋体" w:eastAsia="宋体" w:cs="宋体"/>
                <w:color w:val="auto"/>
                <w:sz w:val="24"/>
                <w:szCs w:val="24"/>
                <w:highlight w:val="none"/>
              </w:rPr>
            </w:pPr>
          </w:p>
        </w:tc>
        <w:tc>
          <w:tcPr>
            <w:tcW w:w="73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5195FA5F">
            <w:pPr>
              <w:spacing w:line="300" w:lineRule="exact"/>
              <w:jc w:val="center"/>
              <w:rPr>
                <w:rFonts w:hint="eastAsia" w:ascii="宋体" w:hAnsi="宋体" w:eastAsia="宋体" w:cs="宋体"/>
                <w:color w:val="auto"/>
                <w:sz w:val="24"/>
                <w:szCs w:val="24"/>
                <w:highlight w:val="none"/>
              </w:rPr>
            </w:pPr>
          </w:p>
        </w:tc>
      </w:tr>
      <w:tr w14:paraId="750AFD56">
        <w:tblPrEx>
          <w:tblCellMar>
            <w:top w:w="0" w:type="dxa"/>
            <w:left w:w="108" w:type="dxa"/>
            <w:bottom w:w="0" w:type="dxa"/>
            <w:right w:w="108" w:type="dxa"/>
          </w:tblCellMar>
        </w:tblPrEx>
        <w:trPr>
          <w:trHeight w:val="90" w:hRule="atLeast"/>
        </w:trPr>
        <w:tc>
          <w:tcPr>
            <w:tcW w:w="306" w:type="pct"/>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14:paraId="022CF25E">
            <w:pPr>
              <w:widowControl/>
              <w:spacing w:line="3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1425"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F11E560">
            <w:pPr>
              <w:spacing w:line="300" w:lineRule="exact"/>
              <w:jc w:val="center"/>
              <w:rPr>
                <w:rFonts w:hint="eastAsia" w:ascii="宋体" w:hAnsi="宋体" w:eastAsia="宋体" w:cs="宋体"/>
                <w:color w:val="auto"/>
                <w:sz w:val="24"/>
                <w:szCs w:val="24"/>
                <w:highlight w:val="none"/>
              </w:rPr>
            </w:pPr>
          </w:p>
        </w:tc>
        <w:tc>
          <w:tcPr>
            <w:tcW w:w="684"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6D26A97A">
            <w:pPr>
              <w:spacing w:line="300" w:lineRule="exact"/>
              <w:jc w:val="center"/>
              <w:rPr>
                <w:rFonts w:hint="eastAsia" w:ascii="宋体" w:hAnsi="宋体" w:eastAsia="宋体" w:cs="宋体"/>
                <w:color w:val="auto"/>
                <w:sz w:val="24"/>
                <w:szCs w:val="24"/>
                <w:highlight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6D89EB18">
            <w:pPr>
              <w:spacing w:line="300" w:lineRule="exact"/>
              <w:jc w:val="center"/>
              <w:rPr>
                <w:rFonts w:hint="eastAsia" w:ascii="宋体" w:hAnsi="宋体" w:eastAsia="宋体" w:cs="宋体"/>
                <w:color w:val="auto"/>
                <w:sz w:val="24"/>
                <w:szCs w:val="24"/>
                <w:highlight w:val="none"/>
              </w:rPr>
            </w:pPr>
          </w:p>
        </w:tc>
        <w:tc>
          <w:tcPr>
            <w:tcW w:w="595"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5B54B792">
            <w:pPr>
              <w:spacing w:line="300" w:lineRule="exact"/>
              <w:jc w:val="center"/>
              <w:rPr>
                <w:rFonts w:hint="eastAsia" w:ascii="宋体" w:hAnsi="宋体" w:eastAsia="宋体" w:cs="宋体"/>
                <w:color w:val="auto"/>
                <w:sz w:val="24"/>
                <w:szCs w:val="24"/>
                <w:highlight w:val="none"/>
              </w:rPr>
            </w:pPr>
          </w:p>
        </w:tc>
        <w:tc>
          <w:tcPr>
            <w:tcW w:w="67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79A75F9D">
            <w:pPr>
              <w:spacing w:line="300" w:lineRule="exact"/>
              <w:jc w:val="center"/>
              <w:rPr>
                <w:rFonts w:hint="eastAsia" w:ascii="宋体" w:hAnsi="宋体" w:eastAsia="宋体" w:cs="宋体"/>
                <w:color w:val="auto"/>
                <w:sz w:val="24"/>
                <w:szCs w:val="24"/>
                <w:highlight w:val="none"/>
              </w:rPr>
            </w:pPr>
          </w:p>
        </w:tc>
        <w:tc>
          <w:tcPr>
            <w:tcW w:w="73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45A0D7F9">
            <w:pPr>
              <w:spacing w:line="300" w:lineRule="exact"/>
              <w:jc w:val="center"/>
              <w:rPr>
                <w:rFonts w:hint="eastAsia" w:ascii="宋体" w:hAnsi="宋体" w:eastAsia="宋体" w:cs="宋体"/>
                <w:color w:val="auto"/>
                <w:sz w:val="24"/>
                <w:szCs w:val="24"/>
                <w:highlight w:val="none"/>
              </w:rPr>
            </w:pPr>
          </w:p>
        </w:tc>
      </w:tr>
      <w:tr w14:paraId="2F71C12A">
        <w:tblPrEx>
          <w:tblCellMar>
            <w:top w:w="0" w:type="dxa"/>
            <w:left w:w="108" w:type="dxa"/>
            <w:bottom w:w="0" w:type="dxa"/>
            <w:right w:w="108" w:type="dxa"/>
          </w:tblCellMar>
        </w:tblPrEx>
        <w:trPr>
          <w:trHeight w:val="90" w:hRule="atLeast"/>
        </w:trPr>
        <w:tc>
          <w:tcPr>
            <w:tcW w:w="306" w:type="pct"/>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14:paraId="3809AA3A">
            <w:pPr>
              <w:widowControl/>
              <w:spacing w:line="30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1425" w:type="pc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A51E1BE">
            <w:pPr>
              <w:spacing w:line="300" w:lineRule="exact"/>
              <w:jc w:val="center"/>
              <w:rPr>
                <w:rFonts w:hint="eastAsia" w:ascii="宋体" w:hAnsi="宋体" w:eastAsia="宋体" w:cs="宋体"/>
                <w:color w:val="auto"/>
                <w:sz w:val="24"/>
                <w:szCs w:val="24"/>
                <w:highlight w:val="none"/>
              </w:rPr>
            </w:pPr>
          </w:p>
        </w:tc>
        <w:tc>
          <w:tcPr>
            <w:tcW w:w="684"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12DC6596">
            <w:pPr>
              <w:spacing w:line="300" w:lineRule="exact"/>
              <w:jc w:val="center"/>
              <w:rPr>
                <w:rFonts w:hint="eastAsia" w:ascii="宋体" w:hAnsi="宋体" w:eastAsia="宋体" w:cs="宋体"/>
                <w:color w:val="auto"/>
                <w:sz w:val="24"/>
                <w:szCs w:val="24"/>
                <w:highlight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0673100C">
            <w:pPr>
              <w:spacing w:line="300" w:lineRule="exact"/>
              <w:jc w:val="center"/>
              <w:rPr>
                <w:rFonts w:hint="eastAsia" w:ascii="宋体" w:hAnsi="宋体" w:eastAsia="宋体" w:cs="宋体"/>
                <w:color w:val="auto"/>
                <w:sz w:val="24"/>
                <w:szCs w:val="24"/>
                <w:highlight w:val="none"/>
              </w:rPr>
            </w:pPr>
          </w:p>
        </w:tc>
        <w:tc>
          <w:tcPr>
            <w:tcW w:w="595"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1D19AD12">
            <w:pPr>
              <w:spacing w:line="300" w:lineRule="exact"/>
              <w:jc w:val="center"/>
              <w:rPr>
                <w:rFonts w:hint="eastAsia" w:ascii="宋体" w:hAnsi="宋体" w:eastAsia="宋体" w:cs="宋体"/>
                <w:color w:val="auto"/>
                <w:sz w:val="24"/>
                <w:szCs w:val="24"/>
                <w:highlight w:val="none"/>
              </w:rPr>
            </w:pPr>
          </w:p>
        </w:tc>
        <w:tc>
          <w:tcPr>
            <w:tcW w:w="67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47E3D2B8">
            <w:pPr>
              <w:spacing w:line="300" w:lineRule="exact"/>
              <w:jc w:val="center"/>
              <w:rPr>
                <w:rFonts w:hint="eastAsia" w:ascii="宋体" w:hAnsi="宋体" w:eastAsia="宋体" w:cs="宋体"/>
                <w:color w:val="auto"/>
                <w:sz w:val="24"/>
                <w:szCs w:val="24"/>
                <w:highlight w:val="none"/>
              </w:rPr>
            </w:pPr>
          </w:p>
        </w:tc>
        <w:tc>
          <w:tcPr>
            <w:tcW w:w="732" w:type="pct"/>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14:paraId="4FD6B8A4">
            <w:pPr>
              <w:spacing w:line="300" w:lineRule="exact"/>
              <w:jc w:val="center"/>
              <w:rPr>
                <w:rFonts w:hint="eastAsia" w:ascii="宋体" w:hAnsi="宋体" w:eastAsia="宋体" w:cs="宋体"/>
                <w:color w:val="auto"/>
                <w:sz w:val="24"/>
                <w:szCs w:val="24"/>
                <w:highlight w:val="none"/>
              </w:rPr>
            </w:pPr>
          </w:p>
        </w:tc>
      </w:tr>
    </w:tbl>
    <w:p w14:paraId="47D01D00">
      <w:pPr>
        <w:pStyle w:val="5"/>
        <w:rPr>
          <w:rFonts w:hint="eastAsia" w:ascii="宋体" w:hAnsi="宋体" w:eastAsia="宋体" w:cs="宋体"/>
          <w:color w:val="auto"/>
          <w:sz w:val="24"/>
          <w:szCs w:val="24"/>
          <w:highlight w:val="none"/>
        </w:rPr>
      </w:pPr>
    </w:p>
    <w:p w14:paraId="03CC5DAA">
      <w:pPr>
        <w:spacing w:line="3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应对照招标文件“第四章</w:t>
      </w:r>
      <w:r>
        <w:rPr>
          <w:rFonts w:hint="eastAsia" w:ascii="宋体" w:hAnsi="宋体" w:eastAsia="宋体" w:cs="宋体"/>
          <w:color w:val="auto"/>
          <w:sz w:val="24"/>
          <w:szCs w:val="24"/>
          <w:highlight w:val="none"/>
          <w:lang w:eastAsia="zh-CN"/>
        </w:rPr>
        <w:t>项目采购需求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中相关“技术参数”</w:t>
      </w:r>
      <w:r>
        <w:rPr>
          <w:rFonts w:hint="eastAsia" w:ascii="宋体" w:hAnsi="宋体" w:eastAsia="宋体" w:cs="宋体"/>
          <w:color w:val="auto"/>
          <w:sz w:val="24"/>
          <w:szCs w:val="24"/>
          <w:highlight w:val="none"/>
        </w:rPr>
        <w:t>逐项填写，</w:t>
      </w:r>
      <w:r>
        <w:rPr>
          <w:rFonts w:hint="eastAsia" w:ascii="宋体" w:hAnsi="宋体" w:eastAsia="宋体" w:cs="宋体"/>
          <w:color w:val="auto"/>
          <w:sz w:val="24"/>
          <w:szCs w:val="24"/>
          <w:highlight w:val="none"/>
          <w:lang w:val="en-US" w:eastAsia="zh-CN"/>
        </w:rPr>
        <w:t>在“技术条款偏离表”中的“</w:t>
      </w:r>
      <w:r>
        <w:rPr>
          <w:rFonts w:hint="eastAsia" w:ascii="宋体" w:hAnsi="宋体" w:eastAsia="宋体" w:cs="宋体"/>
          <w:color w:val="auto"/>
          <w:sz w:val="24"/>
          <w:szCs w:val="24"/>
          <w:highlight w:val="none"/>
        </w:rPr>
        <w:t>偏离</w:t>
      </w:r>
      <w:r>
        <w:rPr>
          <w:rFonts w:hint="eastAsia" w:ascii="宋体" w:hAnsi="宋体" w:eastAsia="宋体" w:cs="宋体"/>
          <w:color w:val="auto"/>
          <w:sz w:val="24"/>
          <w:szCs w:val="24"/>
          <w:highlight w:val="none"/>
          <w:lang w:val="en-US" w:eastAsia="zh-CN"/>
        </w:rPr>
        <w:t>”注明“正偏离”或“无偏离”，</w:t>
      </w:r>
      <w:r>
        <w:rPr>
          <w:rFonts w:hint="eastAsia" w:ascii="宋体" w:hAnsi="宋体" w:eastAsia="宋体" w:cs="宋体"/>
          <w:color w:val="auto"/>
          <w:sz w:val="24"/>
          <w:szCs w:val="24"/>
          <w:highlight w:val="none"/>
        </w:rPr>
        <w:t>不得虚假响应，否则将视为未实质性响应招标文件要求，响应无效</w:t>
      </w:r>
      <w:r>
        <w:rPr>
          <w:rFonts w:hint="eastAsia" w:ascii="宋体" w:hAnsi="宋体" w:eastAsia="宋体" w:cs="宋体"/>
          <w:color w:val="auto"/>
          <w:sz w:val="24"/>
          <w:szCs w:val="24"/>
          <w:highlight w:val="none"/>
          <w:lang w:eastAsia="zh-CN"/>
        </w:rPr>
        <w:t>；</w:t>
      </w:r>
    </w:p>
    <w:p w14:paraId="0DC0B0D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220D24EB">
      <w:pPr>
        <w:spacing w:line="340" w:lineRule="exact"/>
        <w:rPr>
          <w:rFonts w:hint="eastAsia" w:ascii="宋体" w:hAnsi="宋体" w:eastAsia="宋体" w:cs="宋体"/>
          <w:color w:val="auto"/>
          <w:sz w:val="24"/>
          <w:szCs w:val="24"/>
          <w:highlight w:val="none"/>
          <w:lang w:val="en-US" w:eastAsia="zh-CN"/>
        </w:rPr>
      </w:pPr>
    </w:p>
    <w:p w14:paraId="2B04B475">
      <w:pPr>
        <w:spacing w:line="360" w:lineRule="atLeast"/>
        <w:rPr>
          <w:rFonts w:hint="eastAsia" w:ascii="宋体" w:hAnsi="宋体" w:eastAsia="宋体" w:cs="宋体"/>
          <w:color w:val="auto"/>
          <w:sz w:val="24"/>
          <w:szCs w:val="24"/>
          <w:highlight w:val="none"/>
        </w:rPr>
      </w:pPr>
    </w:p>
    <w:p w14:paraId="24B10D59">
      <w:pPr>
        <w:pStyle w:val="14"/>
        <w:spacing w:line="360" w:lineRule="atLeast"/>
        <w:ind w:left="0" w:leftChars="0"/>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名称（盖章）：</w:t>
      </w:r>
    </w:p>
    <w:p w14:paraId="3F749768">
      <w:pPr>
        <w:pStyle w:val="14"/>
        <w:spacing w:line="360" w:lineRule="atLeast"/>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或被授权人（签字或盖章）</w:t>
      </w:r>
      <w:r>
        <w:rPr>
          <w:rFonts w:hint="eastAsia" w:ascii="宋体" w:hAnsi="宋体" w:eastAsia="宋体" w:cs="宋体"/>
          <w:bCs/>
          <w:color w:val="auto"/>
          <w:sz w:val="24"/>
          <w:szCs w:val="24"/>
          <w:highlight w:val="none"/>
        </w:rPr>
        <w:t>：</w:t>
      </w:r>
    </w:p>
    <w:p w14:paraId="0619A5F4">
      <w:pPr>
        <w:spacing w:line="36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bookmarkEnd w:id="145"/>
    <w:p w14:paraId="03F89E3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kern w:val="0"/>
          <w:sz w:val="24"/>
          <w:szCs w:val="24"/>
          <w:highlight w:val="none"/>
          <w:lang w:eastAsia="zh-CN"/>
        </w:rPr>
        <w:t>七、技术方案</w:t>
      </w:r>
    </w:p>
    <w:p w14:paraId="55F576E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120509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color w:val="auto"/>
          <w:spacing w:val="6"/>
          <w:kern w:val="0"/>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应根据本招标文件要求和项目的具体情况，自行编制</w:t>
      </w:r>
      <w:r>
        <w:rPr>
          <w:rFonts w:hint="eastAsia" w:ascii="宋体" w:hAnsi="宋体" w:eastAsia="宋体" w:cs="宋体"/>
          <w:color w:val="auto"/>
          <w:sz w:val="24"/>
          <w:szCs w:val="24"/>
          <w:highlight w:val="none"/>
          <w:lang w:eastAsia="zh-CN"/>
        </w:rPr>
        <w:t>技术方案</w:t>
      </w:r>
      <w:r>
        <w:rPr>
          <w:rFonts w:hint="eastAsia" w:ascii="宋体" w:hAnsi="宋体" w:eastAsia="宋体" w:cs="宋体"/>
          <w:color w:val="auto"/>
          <w:sz w:val="24"/>
          <w:szCs w:val="24"/>
          <w:highlight w:val="none"/>
        </w:rPr>
        <w:t>，格式自拟</w:t>
      </w:r>
      <w:bookmarkEnd w:id="141"/>
      <w:bookmarkStart w:id="146" w:name="_Toc31271_WPSOffice_Level1"/>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6"/>
          <w:kern w:val="0"/>
          <w:sz w:val="24"/>
          <w:szCs w:val="24"/>
          <w:highlight w:val="none"/>
          <w:lang w:val="en-US" w:eastAsia="zh-CN"/>
        </w:rPr>
        <w:br w:type="page"/>
      </w:r>
    </w:p>
    <w:p w14:paraId="46EC3486">
      <w:pPr>
        <w:pStyle w:val="13"/>
        <w:spacing w:line="460" w:lineRule="exact"/>
        <w:ind w:firstLine="482" w:firstLineChars="200"/>
        <w:jc w:val="center"/>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八</w:t>
      </w:r>
      <w:r>
        <w:rPr>
          <w:rFonts w:hint="eastAsia" w:ascii="宋体" w:hAnsi="宋体" w:eastAsia="宋体" w:cs="宋体"/>
          <w:b/>
          <w:bCs/>
          <w:color w:val="auto"/>
          <w:kern w:val="0"/>
          <w:sz w:val="24"/>
          <w:szCs w:val="24"/>
          <w:highlight w:val="none"/>
        </w:rPr>
        <w:t>、政府采购政策</w:t>
      </w:r>
    </w:p>
    <w:p w14:paraId="1907E4A5">
      <w:pPr>
        <w:spacing w:line="46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1、以下《中小微企业声明函》、《监狱企业的证明文件》及《残疾人福利性单位声明函》</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根据自身的实际情况选用（如有）。</w:t>
      </w:r>
    </w:p>
    <w:p w14:paraId="652475A0">
      <w:pPr>
        <w:pStyle w:val="26"/>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同时为小型（或微型）企业、监狱企业、残疾人福利性单位任两种或以上情况的，评审中只享受一次价格扣除（或评审得分优惠），不重复进行价格扣除。</w:t>
      </w:r>
    </w:p>
    <w:p w14:paraId="1ECD9C0F">
      <w:pPr>
        <w:pStyle w:val="26"/>
        <w:ind w:left="0" w:leftChars="0"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3.中小企业划型标准规定</w:t>
      </w:r>
    </w:p>
    <w:p w14:paraId="27042CB7">
      <w:pPr>
        <w:pStyle w:val="26"/>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一、根据《中华人民共和国中小企业促进法》和《国务院关于进一步促进中小企业发展的若干意见》(（国发[2009]36号)，制定本规定。</w:t>
      </w:r>
    </w:p>
    <w:p w14:paraId="7F29DF57">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二、中小企业划分为中型、小型、微型三种类型，具体标准根据企业从业人员、营业收入、资产总额等指标，结合行业特点制定。</w:t>
      </w:r>
    </w:p>
    <w:p w14:paraId="03A73E1D">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E3DF6AF">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四、各行业划型标准为：</w:t>
      </w:r>
    </w:p>
    <w:p w14:paraId="653AAF97">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（一）农、林、牧、渔业。营业收入20000万元以下的为中小微型企业。其中，营业收入500万元及以上的为中型企业，营业收入50万元及以上的为小型企业，营业收入50万元以下的为微型企业。</w:t>
      </w:r>
    </w:p>
    <w:p w14:paraId="7757B84C">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3F37150">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169B9B5">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CFB509F">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7CDCC54">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450589F">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0CFF2E2">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598A5F0">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F348719">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28238F5">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FFF0E47">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04B7F36">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F9EAFF2">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F93430">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233478D">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（十六）其他未列明行业。从业人员300人以下的为中小微型企业。其中，从业人员100人及以上的为中型企业；从业人员10人及以上的为小型企业；从业人员10人以下的为微型企业。</w:t>
      </w:r>
    </w:p>
    <w:p w14:paraId="5553288A">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五、企业类型的划分以统计部门的统计数据为依据。</w:t>
      </w:r>
    </w:p>
    <w:p w14:paraId="4BF8B2FF">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六、本规定适用于在中华人民共和国境内依法设立的各类所有制和各种组织形式的企业。个体工商户和本规定以外的行业，参照本规定进行划型。</w:t>
      </w:r>
    </w:p>
    <w:p w14:paraId="70F10F70">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七、本规定的中型企业标准上限即为大型企业标准的下限，国家统计部门据此制定大中小微型企业的统计分类。国务院有关部门据此进行相关数据分析，不得制定与本规定不一致的企业划型标准。</w:t>
      </w:r>
    </w:p>
    <w:p w14:paraId="7D1A39EB">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八、本规定由工业和信息化部、国家统计局会同有关部门根据《国民经济行业分类》修订情况和企业发展变化情况适时修订。</w:t>
      </w:r>
    </w:p>
    <w:p w14:paraId="57429D4C">
      <w:pPr>
        <w:pStyle w:val="26"/>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九、本规定由工业和信息化部、国家统计局会同有关部门负责解释。</w:t>
      </w:r>
    </w:p>
    <w:p w14:paraId="7D97821D">
      <w:pPr>
        <w:pStyle w:val="13"/>
        <w:pageBreakBefore w:val="0"/>
        <w:shd w:val="clear" w:color="auto" w:fill="auto"/>
        <w:kinsoku/>
        <w:wordWrap/>
        <w:overflowPunct/>
        <w:topLinePunct w:val="0"/>
        <w:bidi w:val="0"/>
        <w:spacing w:line="460" w:lineRule="exact"/>
        <w:ind w:left="0" w:leftChars="0" w:right="0" w:rightChars="0" w:firstLine="480" w:firstLineChars="200"/>
        <w:jc w:val="left"/>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十、本规定自发布之日起执行，原国家经贸委、原国家计委、财政部和国家统计局2003年颁布的《中小企业标准暂行规定》同时废止。</w:t>
      </w:r>
    </w:p>
    <w:p w14:paraId="3B6A2DCA">
      <w:pPr>
        <w:pStyle w:val="13"/>
        <w:pageBreakBefore w:val="0"/>
        <w:shd w:val="clear" w:color="auto" w:fill="auto"/>
        <w:kinsoku/>
        <w:wordWrap/>
        <w:overflowPunct/>
        <w:topLinePunct w:val="0"/>
        <w:bidi w:val="0"/>
        <w:spacing w:line="460" w:lineRule="exact"/>
        <w:ind w:left="0" w:leftChars="0" w:right="0" w:rightChars="0" w:firstLine="480" w:firstLineChars="200"/>
        <w:jc w:val="left"/>
        <w:outlineLvl w:val="9"/>
        <w:rPr>
          <w:rFonts w:hint="eastAsia" w:ascii="宋体" w:hAnsi="宋体" w:eastAsia="宋体" w:cs="宋体"/>
          <w:bCs/>
          <w:color w:val="auto"/>
          <w:sz w:val="24"/>
          <w:szCs w:val="24"/>
          <w:highlight w:val="none"/>
          <w:lang w:val="en-US" w:eastAsia="zh-CN"/>
        </w:rPr>
      </w:pPr>
    </w:p>
    <w:p w14:paraId="3BBB74EF">
      <w:pPr>
        <w:spacing w:line="460" w:lineRule="exact"/>
        <w:rPr>
          <w:rFonts w:hint="eastAsia" w:ascii="宋体" w:hAnsi="宋体" w:eastAsia="宋体" w:cs="宋体"/>
          <w:bCs/>
          <w:color w:val="auto"/>
          <w:sz w:val="24"/>
          <w:szCs w:val="24"/>
          <w:highlight w:val="none"/>
        </w:rPr>
      </w:pPr>
    </w:p>
    <w:p w14:paraId="5370E1EE">
      <w:pPr>
        <w:spacing w:line="360" w:lineRule="auto"/>
        <w:rPr>
          <w:rFonts w:hint="eastAsia" w:ascii="宋体" w:hAnsi="宋体" w:eastAsia="宋体" w:cs="宋体"/>
          <w:bCs/>
          <w:color w:val="auto"/>
          <w:sz w:val="24"/>
          <w:szCs w:val="24"/>
          <w:highlight w:val="none"/>
        </w:rPr>
      </w:pPr>
      <w:r>
        <w:rPr>
          <w:rFonts w:hint="eastAsia" w:ascii="宋体" w:hAnsi="宋体" w:eastAsia="宋体" w:cs="宋体"/>
          <w:b w:val="0"/>
          <w:bCs/>
          <w:color w:val="auto"/>
          <w:sz w:val="24"/>
          <w:szCs w:val="24"/>
          <w:highlight w:val="none"/>
          <w:shd w:val="clear" w:color="auto" w:fill="auto"/>
          <w:lang w:eastAsia="zh-CN"/>
        </w:rPr>
        <w:br w:type="page"/>
      </w:r>
      <w:r>
        <w:rPr>
          <w:rFonts w:hint="eastAsia" w:ascii="宋体" w:hAnsi="宋体" w:eastAsia="宋体" w:cs="宋体"/>
          <w:bCs/>
          <w:color w:val="auto"/>
          <w:sz w:val="24"/>
          <w:szCs w:val="24"/>
          <w:highlight w:val="none"/>
        </w:rPr>
        <w:t>1、以下《中小微企业声明函》、《监狱企业的证明文件》及《残疾人福利性单位声明函》</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根据自身的实际情况选用（如有）。</w:t>
      </w:r>
    </w:p>
    <w:p w14:paraId="32F4AEFA">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同时为小型（或微型）企业、监狱企业、残疾人福利性单位任两种或以上情况的，评审中只享受一次价格扣除（或评审得分优惠），不重复进行价格扣除。</w:t>
      </w:r>
    </w:p>
    <w:p w14:paraId="3CBD19A3">
      <w:pPr>
        <w:pStyle w:val="13"/>
        <w:spacing w:line="360" w:lineRule="auto"/>
        <w:ind w:firstLine="480" w:firstLineChars="200"/>
        <w:jc w:val="cente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（一）中小企业声明函</w:t>
      </w:r>
    </w:p>
    <w:p w14:paraId="7A9D634D">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w:t>
      </w:r>
      <w:r>
        <w:rPr>
          <w:rFonts w:hint="eastAsia" w:ascii="宋体" w:hAnsi="宋体" w:eastAsia="宋体" w:cs="宋体"/>
          <w:color w:val="auto"/>
          <w:sz w:val="24"/>
          <w:szCs w:val="24"/>
          <w:highlight w:val="none"/>
          <w:lang w:val="en-US" w:eastAsia="zh-CN"/>
        </w:rPr>
        <w:t>提供的货物</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en-US" w:eastAsia="zh-CN"/>
        </w:rPr>
        <w:t>由</w:t>
      </w:r>
      <w:r>
        <w:rPr>
          <w:rFonts w:hint="eastAsia" w:ascii="宋体" w:hAnsi="宋体" w:eastAsia="宋体" w:cs="宋体"/>
          <w:color w:val="auto"/>
          <w:sz w:val="24"/>
          <w:szCs w:val="24"/>
          <w:highlight w:val="none"/>
        </w:rPr>
        <w:t>符合政策要求的中小企业</w:t>
      </w:r>
      <w:r>
        <w:rPr>
          <w:rFonts w:hint="eastAsia" w:ascii="宋体" w:hAnsi="宋体" w:eastAsia="宋体" w:cs="宋体"/>
          <w:color w:val="auto"/>
          <w:sz w:val="24"/>
          <w:szCs w:val="24"/>
          <w:highlight w:val="none"/>
          <w:lang w:val="en-US" w:eastAsia="zh-CN"/>
        </w:rPr>
        <w:t>制造。</w:t>
      </w:r>
      <w:r>
        <w:rPr>
          <w:rFonts w:hint="eastAsia" w:ascii="宋体" w:hAnsi="宋体" w:eastAsia="宋体" w:cs="宋体"/>
          <w:color w:val="auto"/>
          <w:sz w:val="24"/>
          <w:szCs w:val="24"/>
          <w:highlight w:val="none"/>
        </w:rPr>
        <w:t>相关企业（含联合体中的中小企业、签订分包意向协议的中小企业）的具体情况如下：</w:t>
      </w:r>
    </w:p>
    <w:p w14:paraId="3CDA1A7E">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招标文件</w:t>
      </w:r>
      <w:r>
        <w:rPr>
          <w:rFonts w:hint="eastAsia" w:ascii="宋体" w:hAnsi="宋体" w:eastAsia="宋体" w:cs="宋体"/>
          <w:color w:val="auto"/>
          <w:sz w:val="24"/>
          <w:szCs w:val="24"/>
          <w:highlight w:val="none"/>
          <w:u w:val="single"/>
        </w:rPr>
        <w:t>中明确的所属行业）</w:t>
      </w:r>
      <w:r>
        <w:rPr>
          <w:rFonts w:hint="eastAsia" w:ascii="宋体" w:hAnsi="宋体" w:eastAsia="宋体" w:cs="宋体"/>
          <w:color w:val="auto"/>
          <w:sz w:val="24"/>
          <w:szCs w:val="24"/>
          <w:highlight w:val="none"/>
          <w:u w:val="single"/>
          <w:lang w:val="en-US" w:eastAsia="zh-CN"/>
        </w:rPr>
        <w:t>行业</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vertAlign w:val="superscript"/>
        </w:rPr>
        <w:t>1</w:t>
      </w:r>
      <w:r>
        <w:rPr>
          <w:rFonts w:hint="eastAsia" w:ascii="宋体" w:hAnsi="宋体" w:eastAsia="宋体" w:cs="宋体"/>
          <w:color w:val="auto"/>
          <w:sz w:val="24"/>
          <w:szCs w:val="24"/>
          <w:highlight w:val="none"/>
        </w:rPr>
        <w:t>，属于（中型企业、小型企业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微型企业</w:t>
      </w:r>
      <w:r>
        <w:rPr>
          <w:rFonts w:hint="eastAsia" w:ascii="宋体" w:hAnsi="宋体" w:eastAsia="宋体" w:cs="宋体"/>
          <w:color w:val="auto"/>
          <w:sz w:val="24"/>
          <w:szCs w:val="24"/>
          <w:highlight w:val="none"/>
        </w:rPr>
        <w:t>）；</w:t>
      </w:r>
    </w:p>
    <w:p w14:paraId="4CC4469F">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招标文件</w:t>
      </w:r>
      <w:r>
        <w:rPr>
          <w:rFonts w:hint="eastAsia" w:ascii="宋体" w:hAnsi="宋体" w:eastAsia="宋体" w:cs="宋体"/>
          <w:color w:val="auto"/>
          <w:sz w:val="24"/>
          <w:szCs w:val="24"/>
          <w:highlight w:val="none"/>
          <w:u w:val="single"/>
        </w:rPr>
        <w:t>中明确的所属行业）行业</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00BD84E">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29168616">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58D1320A">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727B6F15">
      <w:pPr>
        <w:pStyle w:val="13"/>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5FF4A930">
      <w:pPr>
        <w:pStyle w:val="13"/>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20184AA1">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w:t>
      </w:r>
      <w:r>
        <w:rPr>
          <w:rFonts w:hint="eastAsia" w:ascii="宋体" w:hAnsi="宋体" w:eastAsia="宋体" w:cs="宋体"/>
          <w:color w:val="auto"/>
          <w:sz w:val="24"/>
          <w:szCs w:val="24"/>
          <w:highlight w:val="none"/>
        </w:rPr>
        <w:t>从业人员、营业收入、资产总额填报上一年度数据，无上一年度数据的新成立企业可不填报</w:t>
      </w:r>
    </w:p>
    <w:p w14:paraId="4AD6EF47">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所属行业：工业。</w:t>
      </w:r>
    </w:p>
    <w:p w14:paraId="751A20C2">
      <w:pPr>
        <w:pStyle w:val="13"/>
        <w:spacing w:line="360" w:lineRule="auto"/>
        <w:ind w:firstLine="480" w:firstLineChars="200"/>
        <w:rPr>
          <w:rFonts w:hint="eastAsia" w:ascii="宋体" w:hAnsi="宋体" w:eastAsia="宋体" w:cs="宋体"/>
          <w:color w:val="auto"/>
          <w:sz w:val="24"/>
          <w:szCs w:val="24"/>
          <w:highlight w:val="none"/>
        </w:rPr>
      </w:pPr>
    </w:p>
    <w:p w14:paraId="63F8DDBF">
      <w:pPr>
        <w:spacing w:line="360" w:lineRule="auto"/>
        <w:jc w:val="center"/>
        <w:rPr>
          <w:rFonts w:hint="eastAsia" w:ascii="宋体" w:hAnsi="宋体" w:eastAsia="宋体" w:cs="宋体"/>
          <w:b/>
          <w:bCs/>
          <w:color w:val="auto"/>
          <w:sz w:val="24"/>
          <w:szCs w:val="24"/>
          <w:highlight w:val="none"/>
        </w:rPr>
      </w:pPr>
    </w:p>
    <w:p w14:paraId="330C8D0A">
      <w:pPr>
        <w:pStyle w:val="2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p>
    <w:p w14:paraId="4880CACD">
      <w:pPr>
        <w:spacing w:line="360" w:lineRule="auto"/>
        <w:rPr>
          <w:rFonts w:hint="eastAsia" w:ascii="宋体" w:hAnsi="宋体" w:eastAsia="宋体" w:cs="宋体"/>
          <w:color w:val="auto"/>
          <w:sz w:val="24"/>
          <w:szCs w:val="24"/>
          <w:highlight w:val="none"/>
        </w:rPr>
      </w:pPr>
    </w:p>
    <w:p w14:paraId="359EF68E">
      <w:pPr>
        <w:spacing w:line="360" w:lineRule="auto"/>
        <w:jc w:val="center"/>
        <w:outlineLvl w:val="2"/>
        <w:rPr>
          <w:rFonts w:hint="eastAsia" w:ascii="宋体" w:hAnsi="宋体" w:eastAsia="宋体" w:cs="宋体"/>
          <w:b/>
          <w:color w:val="auto"/>
          <w:spacing w:val="6"/>
          <w:sz w:val="24"/>
          <w:szCs w:val="24"/>
          <w:highlight w:val="none"/>
          <w:lang w:eastAsia="zh-CN"/>
        </w:rPr>
      </w:pPr>
      <w:r>
        <w:rPr>
          <w:rFonts w:hint="eastAsia" w:ascii="宋体" w:hAnsi="宋体" w:eastAsia="宋体" w:cs="宋体"/>
          <w:b/>
          <w:bCs/>
          <w:color w:val="auto"/>
          <w:sz w:val="24"/>
          <w:szCs w:val="24"/>
          <w:highlight w:val="none"/>
        </w:rPr>
        <w:t>（二）</w:t>
      </w:r>
      <w:bookmarkStart w:id="147" w:name="OLE_LINK14"/>
      <w:bookmarkStart w:id="148" w:name="OLE_LINK13"/>
      <w:r>
        <w:rPr>
          <w:rFonts w:hint="eastAsia" w:ascii="宋体" w:hAnsi="宋体" w:eastAsia="宋体" w:cs="宋体"/>
          <w:b/>
          <w:color w:val="auto"/>
          <w:spacing w:val="6"/>
          <w:sz w:val="24"/>
          <w:szCs w:val="24"/>
          <w:highlight w:val="none"/>
        </w:rPr>
        <w:t>残疾人福利性单位声明函</w:t>
      </w:r>
      <w:r>
        <w:rPr>
          <w:rFonts w:hint="eastAsia" w:ascii="宋体" w:hAnsi="宋体" w:eastAsia="宋体" w:cs="宋体"/>
          <w:b/>
          <w:color w:val="auto"/>
          <w:spacing w:val="6"/>
          <w:sz w:val="24"/>
          <w:szCs w:val="24"/>
          <w:highlight w:val="none"/>
          <w:lang w:eastAsia="zh-CN"/>
        </w:rPr>
        <w:t>（</w:t>
      </w:r>
      <w:r>
        <w:rPr>
          <w:rFonts w:hint="eastAsia" w:ascii="宋体" w:hAnsi="宋体" w:eastAsia="宋体" w:cs="宋体"/>
          <w:b/>
          <w:color w:val="auto"/>
          <w:spacing w:val="6"/>
          <w:sz w:val="24"/>
          <w:szCs w:val="24"/>
          <w:highlight w:val="none"/>
          <w:lang w:val="en-US" w:eastAsia="zh-CN"/>
        </w:rPr>
        <w:t>如有</w:t>
      </w:r>
      <w:r>
        <w:rPr>
          <w:rFonts w:hint="eastAsia" w:ascii="宋体" w:hAnsi="宋体" w:eastAsia="宋体" w:cs="宋体"/>
          <w:b/>
          <w:color w:val="auto"/>
          <w:spacing w:val="6"/>
          <w:sz w:val="24"/>
          <w:szCs w:val="24"/>
          <w:highlight w:val="none"/>
          <w:lang w:eastAsia="zh-CN"/>
        </w:rPr>
        <w:t>）</w:t>
      </w:r>
    </w:p>
    <w:bookmarkEnd w:id="147"/>
    <w:bookmarkEnd w:id="148"/>
    <w:p w14:paraId="78306ECD">
      <w:pPr>
        <w:spacing w:line="360" w:lineRule="auto"/>
        <w:rPr>
          <w:rFonts w:hint="eastAsia" w:ascii="宋体" w:hAnsi="宋体" w:eastAsia="宋体" w:cs="宋体"/>
          <w:b/>
          <w:color w:val="auto"/>
          <w:spacing w:val="6"/>
          <w:sz w:val="24"/>
          <w:szCs w:val="24"/>
          <w:highlight w:val="none"/>
        </w:rPr>
      </w:pPr>
    </w:p>
    <w:p w14:paraId="0601EFB6">
      <w:pP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单位的</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项目采购活动提供本单位制造的服务（由本单位承担工程/提供服务），或者提供其他残疾人福利性单位制造的货物（不包括使用非残疾人福利性单位注册商标的货物）。</w:t>
      </w:r>
    </w:p>
    <w:p w14:paraId="5AA7F41C">
      <w:pP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14:paraId="7B8B3E4F">
      <w:pPr>
        <w:spacing w:line="360" w:lineRule="auto"/>
        <w:ind w:firstLine="504" w:firstLineChars="200"/>
        <w:rPr>
          <w:rFonts w:hint="eastAsia" w:ascii="宋体" w:hAnsi="宋体" w:eastAsia="宋体" w:cs="宋体"/>
          <w:color w:val="auto"/>
          <w:spacing w:val="6"/>
          <w:sz w:val="24"/>
          <w:szCs w:val="24"/>
          <w:highlight w:val="none"/>
        </w:rPr>
      </w:pPr>
    </w:p>
    <w:p w14:paraId="266B29C1">
      <w:pPr>
        <w:spacing w:line="360" w:lineRule="auto"/>
        <w:ind w:firstLine="504" w:firstLineChars="200"/>
        <w:rPr>
          <w:rFonts w:hint="eastAsia" w:ascii="宋体" w:hAnsi="宋体" w:eastAsia="宋体" w:cs="宋体"/>
          <w:color w:val="auto"/>
          <w:spacing w:val="6"/>
          <w:sz w:val="24"/>
          <w:szCs w:val="24"/>
          <w:highlight w:val="none"/>
        </w:rPr>
      </w:pPr>
    </w:p>
    <w:p w14:paraId="3EF1D7A0">
      <w:pPr>
        <w:tabs>
          <w:tab w:val="left" w:pos="4860"/>
        </w:tabs>
        <w:spacing w:line="360" w:lineRule="auto"/>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单位名称（盖章）：</w:t>
      </w:r>
    </w:p>
    <w:p w14:paraId="23EF1006">
      <w:pPr>
        <w:tabs>
          <w:tab w:val="left" w:pos="4860"/>
        </w:tabs>
        <w:spacing w:line="360" w:lineRule="auto"/>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日  期：</w:t>
      </w:r>
    </w:p>
    <w:p w14:paraId="78F52214">
      <w:pPr>
        <w:widowControl/>
        <w:adjustRightInd w:val="0"/>
        <w:snapToGrid w:val="0"/>
        <w:spacing w:line="360" w:lineRule="auto"/>
        <w:rPr>
          <w:rFonts w:hint="eastAsia" w:ascii="宋体" w:hAnsi="宋体" w:eastAsia="宋体" w:cs="宋体"/>
          <w:color w:val="auto"/>
          <w:sz w:val="24"/>
          <w:szCs w:val="24"/>
          <w:highlight w:val="none"/>
        </w:rPr>
      </w:pPr>
    </w:p>
    <w:p w14:paraId="5B1561F9">
      <w:pPr>
        <w:spacing w:line="360" w:lineRule="auto"/>
        <w:jc w:val="left"/>
        <w:rPr>
          <w:rFonts w:hint="eastAsia" w:ascii="宋体" w:hAnsi="宋体" w:eastAsia="宋体" w:cs="宋体"/>
          <w:bCs/>
          <w:color w:val="auto"/>
          <w:sz w:val="24"/>
          <w:szCs w:val="24"/>
          <w:highlight w:val="none"/>
        </w:rPr>
      </w:pPr>
    </w:p>
    <w:p w14:paraId="48013425">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w:t>
      </w:r>
      <w:r>
        <w:rPr>
          <w:rFonts w:hint="eastAsia" w:ascii="宋体" w:hAnsi="宋体" w:eastAsia="宋体" w:cs="宋体"/>
          <w:color w:val="auto"/>
          <w:sz w:val="24"/>
          <w:szCs w:val="24"/>
          <w:highlight w:val="none"/>
        </w:rPr>
        <w:t>：须提供证明材料（能反映出企业残疾人的占比等情况的材料及残疾人证等）。</w:t>
      </w:r>
    </w:p>
    <w:p w14:paraId="159EC27A">
      <w:pPr>
        <w:spacing w:line="360" w:lineRule="auto"/>
        <w:jc w:val="center"/>
        <w:rPr>
          <w:rFonts w:hint="eastAsia" w:ascii="宋体" w:hAnsi="宋体" w:eastAsia="宋体" w:cs="宋体"/>
          <w:b/>
          <w:bCs/>
          <w:color w:val="auto"/>
          <w:sz w:val="24"/>
          <w:szCs w:val="24"/>
          <w:highlight w:val="none"/>
        </w:rPr>
      </w:pPr>
    </w:p>
    <w:p w14:paraId="5906ED8B">
      <w:pPr>
        <w:spacing w:line="360" w:lineRule="auto"/>
        <w:jc w:val="center"/>
        <w:rPr>
          <w:rFonts w:hint="eastAsia" w:ascii="宋体" w:hAnsi="宋体" w:eastAsia="宋体" w:cs="宋体"/>
          <w:b/>
          <w:bCs/>
          <w:color w:val="auto"/>
          <w:sz w:val="24"/>
          <w:szCs w:val="24"/>
          <w:highlight w:val="none"/>
        </w:rPr>
      </w:pPr>
    </w:p>
    <w:p w14:paraId="573B751A">
      <w:pPr>
        <w:widowControl/>
        <w:spacing w:line="360" w:lineRule="auto"/>
        <w:jc w:val="center"/>
        <w:outlineLvl w:val="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（三）监狱企业证明文件（如有）</w:t>
      </w:r>
    </w:p>
    <w:p w14:paraId="2874739E">
      <w:pPr>
        <w:spacing w:line="360" w:lineRule="auto"/>
        <w:ind w:firstLine="480" w:firstLineChars="200"/>
        <w:jc w:val="left"/>
        <w:rPr>
          <w:rFonts w:hint="eastAsia" w:ascii="宋体" w:hAnsi="宋体" w:eastAsia="宋体" w:cs="宋体"/>
          <w:color w:val="auto"/>
          <w:sz w:val="24"/>
          <w:szCs w:val="24"/>
          <w:highlight w:val="none"/>
        </w:rPr>
      </w:pPr>
    </w:p>
    <w:p w14:paraId="234CAEC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监狱企业证明（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BAF6D22">
      <w:pPr>
        <w:pStyle w:val="13"/>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2.证明材料加盖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p>
    <w:p w14:paraId="43F0F731">
      <w:pPr>
        <w:rPr>
          <w:rFonts w:hint="eastAsia" w:ascii="宋体" w:hAnsi="宋体" w:eastAsia="宋体" w:cs="宋体"/>
          <w:b/>
          <w:bCs/>
          <w:color w:val="auto"/>
          <w:kern w:val="0"/>
          <w:sz w:val="24"/>
          <w:szCs w:val="24"/>
          <w:highlight w:val="none"/>
          <w:lang w:eastAsia="zh-CN"/>
        </w:rPr>
      </w:pPr>
    </w:p>
    <w:p w14:paraId="78A96848">
      <w:pPr>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br w:type="page"/>
      </w:r>
    </w:p>
    <w:p w14:paraId="2D7F10DC">
      <w:pPr>
        <w:pStyle w:val="13"/>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1"/>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九</w:t>
      </w:r>
      <w:r>
        <w:rPr>
          <w:rFonts w:hint="eastAsia" w:ascii="宋体" w:hAnsi="宋体" w:eastAsia="宋体" w:cs="宋体"/>
          <w:b/>
          <w:bCs/>
          <w:color w:val="auto"/>
          <w:kern w:val="0"/>
          <w:sz w:val="24"/>
          <w:szCs w:val="24"/>
          <w:highlight w:val="none"/>
          <w:lang w:val="en-US" w:eastAsia="zh-CN"/>
        </w:rPr>
        <w:t>、</w:t>
      </w:r>
      <w:r>
        <w:rPr>
          <w:rFonts w:hint="eastAsia" w:ascii="宋体" w:hAnsi="宋体" w:eastAsia="宋体" w:cs="宋体"/>
          <w:b/>
          <w:bCs/>
          <w:color w:val="auto"/>
          <w:kern w:val="0"/>
          <w:sz w:val="24"/>
          <w:szCs w:val="24"/>
          <w:highlight w:val="none"/>
          <w:lang w:eastAsia="zh-CN"/>
        </w:rPr>
        <w:t>供应商认为需要提供的资料</w:t>
      </w:r>
    </w:p>
    <w:p w14:paraId="13FA22B1">
      <w:pPr>
        <w:pStyle w:val="13"/>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投标保证金缴纳凭证</w:t>
      </w:r>
    </w:p>
    <w:p w14:paraId="1A5875BA">
      <w:pPr>
        <w:pStyle w:val="13"/>
        <w:spacing w:line="460" w:lineRule="exact"/>
        <w:jc w:val="center"/>
        <w:rPr>
          <w:rFonts w:hint="eastAsia" w:ascii="宋体" w:hAnsi="宋体" w:eastAsia="宋体" w:cs="宋体"/>
          <w:color w:val="auto"/>
          <w:sz w:val="24"/>
          <w:szCs w:val="24"/>
          <w:highlight w:val="none"/>
        </w:rPr>
      </w:pPr>
    </w:p>
    <w:tbl>
      <w:tblPr>
        <w:tblStyle w:val="2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0C7A3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8522" w:type="dxa"/>
            <w:tcBorders>
              <w:top w:val="single" w:color="auto" w:sz="4" w:space="0"/>
              <w:bottom w:val="single" w:color="auto" w:sz="4" w:space="0"/>
            </w:tcBorders>
            <w:noWrap w:val="0"/>
            <w:vAlign w:val="center"/>
          </w:tcPr>
          <w:p w14:paraId="139B65AA">
            <w:pPr>
              <w:pStyle w:val="13"/>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投标保证金缴纳凭证</w:t>
            </w:r>
          </w:p>
        </w:tc>
      </w:tr>
    </w:tbl>
    <w:p w14:paraId="0B6DB27B">
      <w:pPr>
        <w:adjustRightInd w:val="0"/>
        <w:snapToGrid w:val="0"/>
        <w:spacing w:line="460" w:lineRule="exact"/>
        <w:ind w:firstLine="480" w:firstLineChars="200"/>
        <w:rPr>
          <w:rFonts w:hint="eastAsia" w:ascii="宋体" w:hAnsi="宋体" w:eastAsia="宋体" w:cs="宋体"/>
          <w:color w:val="auto"/>
          <w:sz w:val="24"/>
          <w:szCs w:val="24"/>
          <w:highlight w:val="none"/>
        </w:rPr>
      </w:pPr>
    </w:p>
    <w:p w14:paraId="1D77241F">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14:paraId="25450922">
      <w:pPr>
        <w:widowControl w:val="0"/>
        <w:spacing w:line="500" w:lineRule="exact"/>
        <w:jc w:val="center"/>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（二）关于符合本国产品标准的声明函或财政部规定的其他证明文件</w:t>
      </w:r>
    </w:p>
    <w:p w14:paraId="01BFFEDB">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供应商可根据所投产品情况自行填写此声明函</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也</w:t>
      </w:r>
      <w:r>
        <w:rPr>
          <w:rFonts w:hint="eastAsia" w:ascii="宋体" w:hAnsi="宋体" w:eastAsia="宋体" w:cs="宋体"/>
          <w:b/>
          <w:bCs/>
          <w:color w:val="auto"/>
          <w:sz w:val="24"/>
          <w:szCs w:val="24"/>
          <w:highlight w:val="none"/>
        </w:rPr>
        <w:t>可自行删除</w:t>
      </w:r>
      <w:r>
        <w:rPr>
          <w:rFonts w:hint="eastAsia" w:ascii="宋体" w:hAnsi="宋体" w:eastAsia="宋体" w:cs="宋体"/>
          <w:b/>
          <w:bCs/>
          <w:color w:val="auto"/>
          <w:sz w:val="24"/>
          <w:szCs w:val="24"/>
          <w:highlight w:val="none"/>
          <w:lang w:val="en-US" w:eastAsia="zh-CN"/>
        </w:rPr>
        <w:t>或不填此项</w:t>
      </w:r>
      <w:r>
        <w:rPr>
          <w:rFonts w:hint="eastAsia" w:ascii="宋体" w:hAnsi="宋体" w:eastAsia="宋体" w:cs="宋体"/>
          <w:b/>
          <w:bCs/>
          <w:color w:val="auto"/>
          <w:sz w:val="24"/>
          <w:szCs w:val="24"/>
          <w:highlight w:val="none"/>
        </w:rPr>
        <w:t>）</w:t>
      </w:r>
    </w:p>
    <w:p w14:paraId="1B2D2CBA">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24"/>
          <w:szCs w:val="24"/>
          <w:highlight w:val="none"/>
          <w:lang w:val="en-US" w:eastAsia="zh-CN"/>
        </w:rPr>
      </w:pPr>
    </w:p>
    <w:p w14:paraId="700677EF">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（1）关于符合本国产品标准的声明函</w:t>
      </w:r>
    </w:p>
    <w:p w14:paraId="62A30BE2">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p>
    <w:p w14:paraId="25B2B737">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146C39E3">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u w:val="single"/>
          <w:lang w:val="en-US" w:eastAsia="zh-CN" w:bidi="ar"/>
        </w:rPr>
        <w:t>（产品名称1）</w:t>
      </w:r>
      <w:r>
        <w:rPr>
          <w:rFonts w:hint="eastAsia" w:ascii="宋体" w:hAnsi="宋体" w:eastAsia="宋体" w:cs="宋体"/>
          <w:color w:val="auto"/>
          <w:kern w:val="0"/>
          <w:sz w:val="24"/>
          <w:szCs w:val="24"/>
          <w:highlight w:val="none"/>
          <w:lang w:val="en-US" w:eastAsia="zh-CN" w:bidi="ar"/>
        </w:rPr>
        <w:t>1，生产厂为</w:t>
      </w:r>
      <w:r>
        <w:rPr>
          <w:rFonts w:hint="eastAsia" w:ascii="宋体" w:hAnsi="宋体" w:eastAsia="宋体" w:cs="宋体"/>
          <w:color w:val="auto"/>
          <w:kern w:val="0"/>
          <w:sz w:val="24"/>
          <w:szCs w:val="24"/>
          <w:highlight w:val="none"/>
          <w:u w:val="single"/>
          <w:lang w:val="en-US" w:eastAsia="zh-CN" w:bidi="ar"/>
        </w:rPr>
        <w:t>（厂名）</w:t>
      </w:r>
      <w:r>
        <w:rPr>
          <w:rFonts w:hint="eastAsia" w:ascii="宋体" w:hAnsi="宋体" w:eastAsia="宋体" w:cs="宋体"/>
          <w:color w:val="auto"/>
          <w:kern w:val="0"/>
          <w:sz w:val="24"/>
          <w:szCs w:val="24"/>
          <w:highlight w:val="none"/>
          <w:lang w:val="en-US" w:eastAsia="zh-CN" w:bidi="ar"/>
        </w:rPr>
        <w:t>2，厂址为</w:t>
      </w:r>
      <w:r>
        <w:rPr>
          <w:rFonts w:hint="eastAsia" w:ascii="宋体" w:hAnsi="宋体" w:eastAsia="宋体" w:cs="宋体"/>
          <w:color w:val="auto"/>
          <w:kern w:val="0"/>
          <w:sz w:val="24"/>
          <w:szCs w:val="24"/>
          <w:highlight w:val="none"/>
          <w:u w:val="single"/>
          <w:lang w:val="en-US" w:eastAsia="zh-CN" w:bidi="ar"/>
        </w:rPr>
        <w:t>（生产厂址）</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u w:val="single"/>
          <w:lang w:val="en-US" w:eastAsia="zh-CN" w:bidi="ar"/>
        </w:rPr>
        <w:t>（产品名称1）</w:t>
      </w:r>
      <w:r>
        <w:rPr>
          <w:rFonts w:hint="eastAsia" w:ascii="宋体" w:hAnsi="宋体" w:eastAsia="宋体" w:cs="宋体"/>
          <w:color w:val="auto"/>
          <w:kern w:val="0"/>
          <w:sz w:val="24"/>
          <w:szCs w:val="24"/>
          <w:highlight w:val="none"/>
          <w:lang w:val="en-US" w:eastAsia="zh-CN" w:bidi="ar"/>
        </w:rPr>
        <w:t>的中国境内生产的组件成本占比≥</w:t>
      </w:r>
      <w:r>
        <w:rPr>
          <w:rFonts w:hint="eastAsia" w:ascii="宋体" w:hAnsi="宋体" w:eastAsia="宋体" w:cs="宋体"/>
          <w:color w:val="auto"/>
          <w:kern w:val="0"/>
          <w:sz w:val="24"/>
          <w:szCs w:val="24"/>
          <w:highlight w:val="none"/>
          <w:u w:val="single"/>
          <w:lang w:val="en-US" w:eastAsia="zh-CN" w:bidi="ar"/>
        </w:rPr>
        <w:t>（规定比例）</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u w:val="single"/>
          <w:lang w:val="en-US" w:eastAsia="zh-CN" w:bidi="ar"/>
        </w:rPr>
        <w:t>（产品名称1）</w:t>
      </w:r>
      <w:r>
        <w:rPr>
          <w:rFonts w:hint="eastAsia" w:ascii="宋体" w:hAnsi="宋体" w:eastAsia="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u w:val="single"/>
          <w:lang w:val="en-US" w:eastAsia="zh-CN" w:bidi="ar"/>
        </w:rPr>
        <w:t>（关键组件）</w:t>
      </w:r>
      <w:r>
        <w:rPr>
          <w:rFonts w:hint="eastAsia" w:ascii="宋体" w:hAnsi="宋体" w:eastAsia="宋体" w:cs="宋体"/>
          <w:color w:val="auto"/>
          <w:kern w:val="0"/>
          <w:sz w:val="24"/>
          <w:szCs w:val="24"/>
          <w:highlight w:val="none"/>
          <w:lang w:val="en-US" w:eastAsia="zh-CN" w:bidi="ar"/>
        </w:rPr>
        <w:t>4在中国境内生产。</w:t>
      </w:r>
      <w:r>
        <w:rPr>
          <w:rFonts w:hint="eastAsia" w:ascii="宋体" w:hAnsi="宋体" w:eastAsia="宋体" w:cs="宋体"/>
          <w:color w:val="auto"/>
          <w:kern w:val="0"/>
          <w:sz w:val="24"/>
          <w:szCs w:val="24"/>
          <w:highlight w:val="none"/>
          <w:u w:val="single"/>
          <w:lang w:val="en-US" w:eastAsia="zh-CN" w:bidi="ar"/>
        </w:rPr>
        <w:t>（产品名称1）</w:t>
      </w:r>
      <w:r>
        <w:rPr>
          <w:rFonts w:hint="eastAsia" w:ascii="宋体" w:hAnsi="宋体" w:eastAsia="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u w:val="single"/>
          <w:lang w:val="en-US" w:eastAsia="zh-CN" w:bidi="ar"/>
        </w:rPr>
        <w:t>（关键工序）</w:t>
      </w:r>
      <w:r>
        <w:rPr>
          <w:rFonts w:hint="eastAsia" w:ascii="宋体" w:hAnsi="宋体" w:eastAsia="宋体" w:cs="宋体"/>
          <w:color w:val="auto"/>
          <w:kern w:val="0"/>
          <w:sz w:val="24"/>
          <w:szCs w:val="24"/>
          <w:highlight w:val="none"/>
          <w:lang w:val="en-US" w:eastAsia="zh-CN" w:bidi="ar"/>
        </w:rPr>
        <w:t>5在中国境内完成。</w:t>
      </w:r>
    </w:p>
    <w:p w14:paraId="7C44CABD">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u w:val="single"/>
          <w:lang w:val="en-US" w:eastAsia="zh-CN" w:bidi="ar"/>
        </w:rPr>
        <w:t>（产品名称2）</w:t>
      </w:r>
      <w:r>
        <w:rPr>
          <w:rFonts w:hint="eastAsia" w:ascii="宋体" w:hAnsi="宋体" w:eastAsia="宋体" w:cs="宋体"/>
          <w:color w:val="auto"/>
          <w:kern w:val="0"/>
          <w:sz w:val="24"/>
          <w:szCs w:val="24"/>
          <w:highlight w:val="none"/>
          <w:lang w:val="en-US" w:eastAsia="zh-CN" w:bidi="ar"/>
        </w:rPr>
        <w:t>，生产厂为</w:t>
      </w:r>
      <w:r>
        <w:rPr>
          <w:rFonts w:hint="eastAsia" w:ascii="宋体" w:hAnsi="宋体" w:eastAsia="宋体" w:cs="宋体"/>
          <w:color w:val="auto"/>
          <w:kern w:val="0"/>
          <w:sz w:val="24"/>
          <w:szCs w:val="24"/>
          <w:highlight w:val="none"/>
          <w:u w:val="single"/>
          <w:lang w:val="en-US" w:eastAsia="zh-CN" w:bidi="ar"/>
        </w:rPr>
        <w:t>（厂名）</w:t>
      </w:r>
      <w:r>
        <w:rPr>
          <w:rFonts w:hint="eastAsia" w:ascii="宋体" w:hAnsi="宋体" w:eastAsia="宋体" w:cs="宋体"/>
          <w:color w:val="auto"/>
          <w:kern w:val="0"/>
          <w:sz w:val="24"/>
          <w:szCs w:val="24"/>
          <w:highlight w:val="none"/>
          <w:lang w:val="en-US" w:eastAsia="zh-CN" w:bidi="ar"/>
        </w:rPr>
        <w:t>，厂址为</w:t>
      </w:r>
      <w:r>
        <w:rPr>
          <w:rFonts w:hint="eastAsia" w:ascii="宋体" w:hAnsi="宋体" w:eastAsia="宋体" w:cs="宋体"/>
          <w:color w:val="auto"/>
          <w:kern w:val="0"/>
          <w:sz w:val="24"/>
          <w:szCs w:val="24"/>
          <w:highlight w:val="none"/>
          <w:u w:val="single"/>
          <w:lang w:val="en-US" w:eastAsia="zh-CN" w:bidi="ar"/>
        </w:rPr>
        <w:t>（生产厂址）</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u w:val="single"/>
          <w:lang w:val="en-US" w:eastAsia="zh-CN" w:bidi="ar"/>
        </w:rPr>
        <w:t>（产品名称2）</w:t>
      </w:r>
      <w:r>
        <w:rPr>
          <w:rFonts w:hint="eastAsia" w:ascii="宋体" w:hAnsi="宋体" w:eastAsia="宋体" w:cs="宋体"/>
          <w:color w:val="auto"/>
          <w:kern w:val="0"/>
          <w:sz w:val="24"/>
          <w:szCs w:val="24"/>
          <w:highlight w:val="none"/>
          <w:lang w:val="en-US" w:eastAsia="zh-CN" w:bidi="ar"/>
        </w:rPr>
        <w:t>的中国境内生产的组件成本占比≥</w:t>
      </w:r>
      <w:r>
        <w:rPr>
          <w:rFonts w:hint="eastAsia" w:ascii="宋体" w:hAnsi="宋体" w:eastAsia="宋体" w:cs="宋体"/>
          <w:color w:val="auto"/>
          <w:kern w:val="0"/>
          <w:sz w:val="24"/>
          <w:szCs w:val="24"/>
          <w:highlight w:val="none"/>
          <w:u w:val="single"/>
          <w:lang w:val="en-US" w:eastAsia="zh-CN" w:bidi="ar"/>
        </w:rPr>
        <w:t>（规定比例）</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u w:val="single"/>
          <w:lang w:val="en-US" w:eastAsia="zh-CN" w:bidi="ar"/>
        </w:rPr>
        <w:t>（产品名称2）</w:t>
      </w:r>
      <w:r>
        <w:rPr>
          <w:rFonts w:hint="eastAsia" w:ascii="宋体" w:hAnsi="宋体" w:eastAsia="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u w:val="single"/>
          <w:lang w:val="en-US" w:eastAsia="zh-CN" w:bidi="ar"/>
        </w:rPr>
        <w:t>（关键组件）</w:t>
      </w:r>
      <w:r>
        <w:rPr>
          <w:rFonts w:hint="eastAsia" w:ascii="宋体" w:hAnsi="宋体" w:eastAsia="宋体" w:cs="宋体"/>
          <w:color w:val="auto"/>
          <w:kern w:val="0"/>
          <w:sz w:val="24"/>
          <w:szCs w:val="24"/>
          <w:highlight w:val="none"/>
          <w:lang w:val="en-US" w:eastAsia="zh-CN" w:bidi="ar"/>
        </w:rPr>
        <w:t>在中国境内生产。</w:t>
      </w:r>
      <w:r>
        <w:rPr>
          <w:rFonts w:hint="eastAsia" w:ascii="宋体" w:hAnsi="宋体" w:eastAsia="宋体" w:cs="宋体"/>
          <w:color w:val="auto"/>
          <w:kern w:val="0"/>
          <w:sz w:val="24"/>
          <w:szCs w:val="24"/>
          <w:highlight w:val="none"/>
          <w:u w:val="single"/>
          <w:lang w:val="en-US" w:eastAsia="zh-CN" w:bidi="ar"/>
        </w:rPr>
        <w:t>（产品名称2）</w:t>
      </w:r>
      <w:r>
        <w:rPr>
          <w:rFonts w:hint="eastAsia" w:ascii="宋体" w:hAnsi="宋体" w:eastAsia="宋体" w:cs="宋体"/>
          <w:color w:val="auto"/>
          <w:kern w:val="0"/>
          <w:sz w:val="24"/>
          <w:szCs w:val="24"/>
          <w:highlight w:val="none"/>
          <w:lang w:val="en-US" w:eastAsia="zh-CN" w:bidi="ar"/>
        </w:rPr>
        <w:t>的（关键工序）在中国境内完成。</w:t>
      </w:r>
    </w:p>
    <w:p w14:paraId="77F231ED">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p w14:paraId="41E12048">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本公司（单位）对上述声明内容的真实性负责。如有虚假，愿承担相应法律责任。</w:t>
      </w:r>
    </w:p>
    <w:p w14:paraId="2F70F59B">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公司（单位）名称（盖章）：　        </w:t>
      </w:r>
    </w:p>
    <w:p w14:paraId="6AEB548B">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　  年　  月　  日         </w:t>
      </w:r>
    </w:p>
    <w:p w14:paraId="380AF39A">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val="en-US" w:eastAsia="zh-CN"/>
        </w:rPr>
      </w:pPr>
    </w:p>
    <w:p w14:paraId="6402B67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p>
    <w:p w14:paraId="4B85553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1.产品如有型号，请在“产品名称”栏一并填写。</w:t>
      </w:r>
    </w:p>
    <w:p w14:paraId="36B5657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2.生产厂名与厂址应与生产厂营业执照载明的相关信息保持一致。</w:t>
      </w:r>
    </w:p>
    <w:p w14:paraId="70D34AA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3.该产品的中国境内生产的组件成本占比相关要求实施前，“规定比例”栏可不填，下同。</w:t>
      </w:r>
    </w:p>
    <w:p w14:paraId="2565182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4.该产品的关键组件要求实施前，“关键组件”栏可不填，下同。</w:t>
      </w:r>
    </w:p>
    <w:p w14:paraId="3A10997D">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5.该产品的关键工序要求实施前，“关键工序”栏可不填，下同。</w:t>
      </w:r>
    </w:p>
    <w:p w14:paraId="1FA6D984">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7063218E">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（2）本国产品成本占比承诺函</w:t>
      </w:r>
    </w:p>
    <w:p w14:paraId="24C9805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p>
    <w:p w14:paraId="6D10FD9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致:[采购人/采购代理机构名称]</w:t>
      </w:r>
    </w:p>
    <w:p w14:paraId="1A9B672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本单位就参与[</w:t>
      </w:r>
      <w:r>
        <w:rPr>
          <w:rFonts w:hint="eastAsia" w:ascii="宋体" w:hAnsi="宋体" w:eastAsia="宋体" w:cs="宋体"/>
          <w:color w:val="auto"/>
          <w:sz w:val="24"/>
          <w:szCs w:val="24"/>
          <w:highlight w:val="none"/>
          <w:u w:val="single"/>
          <w:lang w:val="en-US" w:eastAsia="zh-CN"/>
        </w:rPr>
        <w:t xml:space="preserve">项目名称           、编号          </w:t>
      </w:r>
      <w:r>
        <w:rPr>
          <w:rFonts w:hint="eastAsia" w:ascii="宋体" w:hAnsi="宋体" w:eastAsia="宋体" w:cs="宋体"/>
          <w:color w:val="auto"/>
          <w:sz w:val="24"/>
          <w:szCs w:val="24"/>
          <w:highlight w:val="none"/>
          <w:lang w:val="en-US" w:eastAsia="zh-CN"/>
        </w:rPr>
        <w:t>]政府采购项目，郑重承诺如下:</w:t>
      </w:r>
    </w:p>
    <w:p w14:paraId="6475EA6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本单位为该项目(或采购包)提供的符合本国产品标准的产品成本之和，占所提供全部产品成本之和的比例为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%。本承诺内容真实有效，若存在虚假承诺，愿意承担相应法律责任，放弃中标(成交)资格，并接受政府采购监管部门处罚。</w:t>
      </w:r>
    </w:p>
    <w:p w14:paraId="40D12CC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p>
    <w:p w14:paraId="4CAA1B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承诺人(供应商公章)：</w:t>
      </w:r>
    </w:p>
    <w:p w14:paraId="226DB74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法定代表人(签/章)：</w:t>
      </w:r>
    </w:p>
    <w:p w14:paraId="3AC4B80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  年  月  日</w:t>
      </w:r>
    </w:p>
    <w:p w14:paraId="08EC857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p>
    <w:p w14:paraId="1B527E9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注：若供应商所投产品均符合本国产品标准，且已提供《声明函》，可不填写《承诺函》。</w:t>
      </w:r>
    </w:p>
    <w:p w14:paraId="2D5952F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lang w:val="en-US" w:eastAsia="zh-CN"/>
        </w:rPr>
      </w:pPr>
    </w:p>
    <w:p w14:paraId="309180AE">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098300BD">
      <w:pPr>
        <w:pStyle w:val="4"/>
        <w:keepNext/>
        <w:keepLines/>
        <w:pageBreakBefore w:val="0"/>
        <w:widowControl w:val="0"/>
        <w:numPr>
          <w:ilvl w:val="-1"/>
          <w:numId w:val="0"/>
        </w:numPr>
        <w:kinsoku/>
        <w:wordWrap/>
        <w:overflowPunct/>
        <w:topLinePunct w:val="0"/>
        <w:autoSpaceDE w:val="0"/>
        <w:autoSpaceDN w:val="0"/>
        <w:bidi w:val="0"/>
        <w:adjustRightInd w:val="0"/>
        <w:snapToGrid/>
        <w:spacing w:before="0" w:after="120" w:line="440" w:lineRule="exact"/>
        <w:jc w:val="center"/>
        <w:textAlignment w:val="auto"/>
        <w:outlineLvl w:val="2"/>
        <w:rPr>
          <w:rFonts w:hint="eastAsia" w:ascii="宋体" w:hAnsi="宋体" w:eastAsia="宋体" w:cs="宋体"/>
          <w:b/>
          <w:bCs/>
          <w:color w:val="auto"/>
          <w:kern w:val="2"/>
          <w:sz w:val="24"/>
          <w:szCs w:val="24"/>
          <w:highlight w:val="none"/>
          <w:lang w:val="en-US" w:eastAsia="zh-CN" w:bidi="ar-SA"/>
        </w:rPr>
      </w:pPr>
      <w:bookmarkStart w:id="149" w:name="_Toc30016"/>
      <w:r>
        <w:rPr>
          <w:rFonts w:hint="eastAsia" w:ascii="宋体" w:hAnsi="宋体" w:eastAsia="宋体" w:cs="宋体"/>
          <w:b/>
          <w:bCs/>
          <w:color w:val="auto"/>
          <w:kern w:val="2"/>
          <w:sz w:val="24"/>
          <w:szCs w:val="24"/>
          <w:highlight w:val="none"/>
          <w:lang w:val="en-US" w:eastAsia="zh-CN" w:bidi="ar-SA"/>
        </w:rPr>
        <w:t>（三）供应商关联单位的说明（格式自拟）</w:t>
      </w:r>
      <w:bookmarkEnd w:id="149"/>
    </w:p>
    <w:p w14:paraId="3822E38D">
      <w:pPr>
        <w:widowControl w:val="0"/>
        <w:autoSpaceDE w:val="0"/>
        <w:autoSpaceDN w:val="0"/>
        <w:adjustRightInd w:val="0"/>
        <w:spacing w:line="40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说明：供应商应当如实披露与本单位存在下列关联关系的单位名称：</w:t>
      </w:r>
    </w:p>
    <w:p w14:paraId="29FB4E65">
      <w:pPr>
        <w:widowControl w:val="0"/>
        <w:autoSpaceDE w:val="0"/>
        <w:autoSpaceDN w:val="0"/>
        <w:adjustRightInd w:val="0"/>
        <w:spacing w:line="400" w:lineRule="exact"/>
        <w:ind w:firstLine="960" w:firstLineChars="4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（1）与供应商单位负责人为同一人的其他单位；</w:t>
      </w:r>
    </w:p>
    <w:p w14:paraId="5EFFC766">
      <w:pPr>
        <w:widowControl w:val="0"/>
        <w:autoSpaceDE w:val="0"/>
        <w:autoSpaceDN w:val="0"/>
        <w:adjustRightInd w:val="0"/>
        <w:spacing w:line="400" w:lineRule="exact"/>
        <w:ind w:firstLine="480" w:firstLineChars="2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    （2）与供应商存在直接控股、管理关系的其他单位。</w:t>
      </w:r>
    </w:p>
    <w:p w14:paraId="223B66D4">
      <w:pPr>
        <w:rPr>
          <w:rFonts w:hint="eastAsia" w:ascii="宋体" w:hAnsi="宋体" w:eastAsia="宋体" w:cs="宋体"/>
          <w:b/>
          <w:bCs/>
          <w:color w:val="auto"/>
          <w:sz w:val="24"/>
          <w:szCs w:val="24"/>
          <w:highlight w:val="none"/>
        </w:rPr>
      </w:pPr>
    </w:p>
    <w:p w14:paraId="7A195543">
      <w:pPr>
        <w:rPr>
          <w:rFonts w:hint="eastAsia" w:ascii="宋体" w:hAnsi="宋体" w:eastAsia="宋体" w:cs="宋体"/>
          <w:b/>
          <w:bCs/>
          <w:color w:val="auto"/>
          <w:sz w:val="24"/>
          <w:szCs w:val="24"/>
          <w:highlight w:val="none"/>
        </w:rPr>
      </w:pPr>
    </w:p>
    <w:p w14:paraId="78119AC0">
      <w:pPr>
        <w:pStyle w:val="13"/>
        <w:spacing w:line="500" w:lineRule="exact"/>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）其他</w:t>
      </w:r>
    </w:p>
    <w:p w14:paraId="7A82560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应当仔细核对</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中有关</w:t>
      </w:r>
      <w:r>
        <w:rPr>
          <w:rFonts w:hint="eastAsia" w:ascii="宋体" w:hAnsi="宋体" w:eastAsia="宋体" w:cs="宋体"/>
          <w:b/>
          <w:bCs/>
          <w:color w:val="auto"/>
          <w:sz w:val="24"/>
          <w:szCs w:val="24"/>
          <w:highlight w:val="none"/>
        </w:rPr>
        <w:t>“响应无效”、“拒收”</w:t>
      </w:r>
      <w:r>
        <w:rPr>
          <w:rFonts w:hint="eastAsia" w:ascii="宋体" w:hAnsi="宋体" w:eastAsia="宋体" w:cs="宋体"/>
          <w:color w:val="auto"/>
          <w:sz w:val="24"/>
          <w:szCs w:val="24"/>
          <w:highlight w:val="none"/>
        </w:rPr>
        <w:t>和评审标准等条款内容，提供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认为应当附加的其它内容，以充分证明其</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响应符合</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要求，并为评审提供充分依据。</w:t>
      </w:r>
    </w:p>
    <w:p w14:paraId="7C99D3CB">
      <w:pPr>
        <w:spacing w:line="480" w:lineRule="exact"/>
        <w:ind w:firstLine="482" w:firstLineChars="200"/>
        <w:jc w:val="center"/>
        <w:rPr>
          <w:rFonts w:hint="eastAsia" w:ascii="宋体" w:hAnsi="宋体" w:eastAsia="宋体" w:cs="宋体"/>
          <w:b/>
          <w:bCs/>
          <w:color w:val="auto"/>
          <w:sz w:val="24"/>
          <w:szCs w:val="24"/>
          <w:highlight w:val="none"/>
        </w:rPr>
      </w:pPr>
    </w:p>
    <w:p w14:paraId="3250C036">
      <w:pPr>
        <w:widowControl/>
        <w:shd w:val="clear" w:color="auto" w:fill="FFFFFF"/>
        <w:spacing w:line="460" w:lineRule="exact"/>
        <w:jc w:val="left"/>
        <w:rPr>
          <w:rFonts w:hint="eastAsia" w:ascii="宋体" w:hAnsi="宋体" w:eastAsia="宋体" w:cs="宋体"/>
          <w:color w:val="auto"/>
          <w:kern w:val="0"/>
          <w:sz w:val="24"/>
          <w:szCs w:val="24"/>
          <w:highlight w:val="none"/>
        </w:rPr>
      </w:pPr>
    </w:p>
    <w:p w14:paraId="12302807">
      <w:pPr>
        <w:spacing w:line="460" w:lineRule="exact"/>
        <w:rPr>
          <w:rFonts w:hint="eastAsia" w:ascii="宋体" w:hAnsi="宋体" w:eastAsia="宋体" w:cs="宋体"/>
          <w:color w:val="auto"/>
          <w:sz w:val="24"/>
          <w:szCs w:val="24"/>
          <w:highlight w:val="none"/>
        </w:rPr>
      </w:pPr>
    </w:p>
    <w:bookmarkEnd w:id="146"/>
    <w:p w14:paraId="3DA00E6B">
      <w:pPr>
        <w:spacing w:line="500" w:lineRule="exact"/>
        <w:rPr>
          <w:rFonts w:hint="eastAsia" w:ascii="宋体" w:hAnsi="宋体" w:eastAsia="宋体" w:cs="宋体"/>
          <w:color w:val="auto"/>
          <w:sz w:val="24"/>
          <w:szCs w:val="24"/>
          <w:highlight w:val="none"/>
        </w:rPr>
      </w:pPr>
    </w:p>
    <w:p w14:paraId="6BE10547">
      <w:pPr>
        <w:pStyle w:val="82"/>
        <w:keepNext w:val="0"/>
        <w:keepLines w:val="0"/>
        <w:pageBreakBefore w:val="0"/>
        <w:widowControl/>
        <w:numPr>
          <w:ilvl w:val="0"/>
          <w:numId w:val="7"/>
        </w:numPr>
        <w:kinsoku/>
        <w:wordWrap/>
        <w:overflowPunct/>
        <w:topLinePunct w:val="0"/>
        <w:autoSpaceDE/>
        <w:autoSpaceDN/>
        <w:bidi w:val="0"/>
        <w:adjustRightInd/>
        <w:snapToGrid/>
        <w:spacing w:after="0" w:line="440" w:lineRule="exact"/>
        <w:ind w:left="0" w:right="0" w:rightChars="0" w:firstLine="0"/>
        <w:jc w:val="center"/>
        <w:textAlignment w:val="auto"/>
        <w:outlineLvl w:val="0"/>
        <w:rPr>
          <w:rFonts w:hint="eastAsia" w:ascii="宋体" w:hAnsi="宋体" w:eastAsia="宋体" w:cs="宋体"/>
          <w:b/>
          <w:bCs/>
          <w:color w:val="auto"/>
          <w:kern w:val="2"/>
          <w:sz w:val="24"/>
          <w:szCs w:val="24"/>
          <w:highlight w:val="none"/>
          <w:lang w:eastAsia="zh-CN"/>
        </w:rPr>
        <w:sectPr>
          <w:footerReference r:id="rId5" w:type="default"/>
          <w:type w:val="continuous"/>
          <w:pgSz w:w="11906" w:h="16838"/>
          <w:pgMar w:top="1440" w:right="1800" w:bottom="1440" w:left="1800" w:header="851" w:footer="992" w:gutter="0"/>
          <w:pgNumType w:fmt="decimal" w:start="1"/>
          <w:cols w:space="720" w:num="1"/>
          <w:docGrid w:type="lines" w:linePitch="312" w:charSpace="0"/>
        </w:sectPr>
      </w:pPr>
    </w:p>
    <w:p w14:paraId="40BDDD2A">
      <w:pPr>
        <w:pStyle w:val="82"/>
        <w:keepNext w:val="0"/>
        <w:keepLines w:val="0"/>
        <w:pageBreakBefore w:val="0"/>
        <w:widowControl/>
        <w:numPr>
          <w:ilvl w:val="0"/>
          <w:numId w:val="0"/>
        </w:numPr>
        <w:kinsoku/>
        <w:wordWrap/>
        <w:overflowPunct/>
        <w:topLinePunct w:val="0"/>
        <w:autoSpaceDE/>
        <w:autoSpaceDN/>
        <w:bidi w:val="0"/>
        <w:adjustRightInd/>
        <w:snapToGrid/>
        <w:spacing w:after="0" w:line="440" w:lineRule="exact"/>
        <w:ind w:left="0" w:leftChars="0" w:right="0" w:rightChars="0" w:firstLine="0" w:firstLineChars="0"/>
        <w:jc w:val="center"/>
        <w:textAlignment w:val="auto"/>
        <w:outlineLvl w:val="0"/>
        <w:rPr>
          <w:rFonts w:hint="eastAsia" w:ascii="宋体" w:hAnsi="宋体" w:eastAsia="宋体" w:cs="宋体"/>
          <w:b/>
          <w:bCs/>
          <w:color w:val="auto"/>
          <w:kern w:val="2"/>
          <w:sz w:val="24"/>
          <w:szCs w:val="24"/>
          <w:highlight w:val="none"/>
          <w:lang w:val="en-US" w:eastAsia="zh-CN" w:bidi="ar-SA"/>
        </w:rPr>
      </w:pPr>
      <w:bookmarkStart w:id="150" w:name="_Toc14831"/>
      <w:r>
        <w:rPr>
          <w:rFonts w:hint="eastAsia" w:ascii="宋体" w:hAnsi="宋体" w:eastAsia="宋体" w:cs="宋体"/>
          <w:b/>
          <w:bCs/>
          <w:color w:val="auto"/>
          <w:kern w:val="2"/>
          <w:sz w:val="24"/>
          <w:szCs w:val="24"/>
          <w:highlight w:val="none"/>
          <w:lang w:val="en-US" w:eastAsia="zh-CN" w:bidi="ar-SA"/>
        </w:rPr>
        <w:t>第四章  项目采购需求</w:t>
      </w:r>
      <w:bookmarkEnd w:id="150"/>
    </w:p>
    <w:p w14:paraId="5CD6FEF8">
      <w:pPr>
        <w:outlineLvl w:val="1"/>
        <w:rPr>
          <w:rFonts w:hint="eastAsia" w:ascii="宋体" w:hAnsi="宋体" w:eastAsia="宋体" w:cs="宋体"/>
          <w:b/>
          <w:color w:val="auto"/>
          <w:sz w:val="28"/>
          <w:szCs w:val="28"/>
          <w:highlight w:val="none"/>
          <w:lang w:val="en-US" w:eastAsia="zh-CN"/>
        </w:rPr>
      </w:pPr>
      <w:bookmarkStart w:id="151" w:name="_Toc15082"/>
      <w:bookmarkStart w:id="152" w:name="_Toc17884_WPSOffice_Level1"/>
      <w:r>
        <w:rPr>
          <w:rFonts w:hint="eastAsia" w:ascii="宋体" w:hAnsi="宋体" w:eastAsia="宋体" w:cs="宋体"/>
          <w:b/>
          <w:color w:val="auto"/>
          <w:sz w:val="28"/>
          <w:szCs w:val="28"/>
          <w:highlight w:val="none"/>
          <w:lang w:val="en-US" w:eastAsia="zh-CN"/>
        </w:rPr>
        <w:t>一、采购需求</w:t>
      </w:r>
    </w:p>
    <w:p w14:paraId="36F16DF4">
      <w:pPr>
        <w:ind w:firstLine="562" w:firstLineChars="200"/>
        <w:jc w:val="left"/>
        <w:outlineLvl w:val="9"/>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本项目</w:t>
      </w:r>
      <w:r>
        <w:rPr>
          <w:rFonts w:hint="eastAsia" w:ascii="宋体" w:hAnsi="宋体" w:eastAsia="宋体" w:cs="宋体"/>
          <w:b/>
          <w:color w:val="auto"/>
          <w:sz w:val="28"/>
          <w:szCs w:val="28"/>
          <w:highlight w:val="none"/>
          <w:lang w:val="en-US" w:eastAsia="zh-CN"/>
        </w:rPr>
        <w:t>核心产品</w:t>
      </w:r>
      <w:r>
        <w:rPr>
          <w:rFonts w:hint="eastAsia" w:ascii="宋体" w:hAnsi="宋体" w:cs="宋体"/>
          <w:b/>
          <w:color w:val="auto"/>
          <w:sz w:val="28"/>
          <w:szCs w:val="28"/>
          <w:highlight w:val="none"/>
          <w:lang w:val="en-US" w:eastAsia="zh-CN"/>
        </w:rPr>
        <w:t>：</w:t>
      </w:r>
      <w:r>
        <w:rPr>
          <w:rFonts w:hint="eastAsia" w:ascii="宋体" w:hAnsi="宋体" w:eastAsia="宋体" w:cs="宋体"/>
          <w:b/>
          <w:color w:val="auto"/>
          <w:sz w:val="28"/>
          <w:szCs w:val="28"/>
          <w:highlight w:val="none"/>
          <w:lang w:val="en-US" w:eastAsia="zh-CN"/>
        </w:rPr>
        <w:t>应急指挥帐篷</w:t>
      </w:r>
      <w:r>
        <w:rPr>
          <w:rFonts w:hint="eastAsia" w:ascii="宋体" w:hAnsi="宋体" w:cs="宋体"/>
          <w:b/>
          <w:color w:val="auto"/>
          <w:sz w:val="28"/>
          <w:szCs w:val="28"/>
          <w:highlight w:val="none"/>
          <w:lang w:val="en-US" w:eastAsia="zh-CN"/>
        </w:rPr>
        <w:t>。</w:t>
      </w:r>
    </w:p>
    <w:p w14:paraId="2E4D80BE">
      <w:pPr>
        <w:jc w:val="center"/>
        <w:outlineLvl w:val="2"/>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（一）应急物资</w:t>
      </w:r>
    </w:p>
    <w:tbl>
      <w:tblPr>
        <w:tblStyle w:val="27"/>
        <w:tblW w:w="150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1"/>
        <w:gridCol w:w="1247"/>
        <w:gridCol w:w="579"/>
        <w:gridCol w:w="612"/>
        <w:gridCol w:w="8409"/>
        <w:gridCol w:w="2818"/>
        <w:gridCol w:w="903"/>
      </w:tblGrid>
      <w:tr w14:paraId="4398AF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bottom w:val="single" w:color="000000" w:sz="4" w:space="0"/>
              <w:right w:val="single" w:color="000000" w:sz="4" w:space="0"/>
            </w:tcBorders>
            <w:shd w:val="clear" w:color="auto" w:fill="auto"/>
            <w:vAlign w:val="center"/>
          </w:tcPr>
          <w:p w14:paraId="47159CA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247" w:type="dxa"/>
            <w:tcBorders>
              <w:bottom w:val="single" w:color="000000" w:sz="4" w:space="0"/>
              <w:right w:val="single" w:color="000000" w:sz="4" w:space="0"/>
            </w:tcBorders>
            <w:shd w:val="clear" w:color="auto" w:fill="auto"/>
            <w:vAlign w:val="center"/>
          </w:tcPr>
          <w:p w14:paraId="76BBF1CC">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货物名称</w:t>
            </w:r>
          </w:p>
        </w:tc>
        <w:tc>
          <w:tcPr>
            <w:tcW w:w="579" w:type="dxa"/>
            <w:tcBorders>
              <w:left w:val="single" w:color="000000" w:sz="4" w:space="0"/>
              <w:bottom w:val="single" w:color="000000" w:sz="4" w:space="0"/>
              <w:right w:val="single" w:color="000000" w:sz="4" w:space="0"/>
            </w:tcBorders>
            <w:shd w:val="clear" w:color="auto" w:fill="auto"/>
            <w:vAlign w:val="center"/>
          </w:tcPr>
          <w:p w14:paraId="58F4EA8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612" w:type="dxa"/>
            <w:tcBorders>
              <w:left w:val="single" w:color="000000" w:sz="4" w:space="0"/>
              <w:bottom w:val="single" w:color="000000" w:sz="4" w:space="0"/>
              <w:right w:val="single" w:color="000000" w:sz="4" w:space="0"/>
            </w:tcBorders>
            <w:shd w:val="clear" w:color="auto" w:fill="auto"/>
            <w:vAlign w:val="center"/>
          </w:tcPr>
          <w:p w14:paraId="21BD392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409" w:type="dxa"/>
            <w:tcBorders>
              <w:left w:val="single" w:color="000000" w:sz="4" w:space="0"/>
              <w:bottom w:val="single" w:color="000000" w:sz="4" w:space="0"/>
              <w:right w:val="single" w:color="000000" w:sz="4" w:space="0"/>
            </w:tcBorders>
            <w:shd w:val="clear" w:color="auto" w:fill="auto"/>
            <w:noWrap/>
            <w:vAlign w:val="center"/>
          </w:tcPr>
          <w:p w14:paraId="55E93EAA">
            <w:pPr>
              <w:keepNext w:val="0"/>
              <w:keepLines w:val="0"/>
              <w:pageBreakBefore w:val="0"/>
              <w:widowControl w:val="0"/>
              <w:kinsoku/>
              <w:wordWrap w:val="0"/>
              <w:overflowPunct/>
              <w:topLinePunct w:val="0"/>
              <w:autoSpaceDE/>
              <w:autoSpaceDN/>
              <w:bidi w:val="0"/>
              <w:adjustRightInd/>
              <w:snapToGrid/>
              <w:jc w:val="center"/>
              <w:rPr>
                <w:rFonts w:hint="eastAsia" w:ascii="宋体" w:hAnsi="宋体" w:eastAsia="宋体" w:cs="宋体"/>
                <w:b/>
                <w:bCs/>
                <w:i w:val="0"/>
                <w:iCs w:val="0"/>
                <w:color w:val="000000"/>
                <w:sz w:val="24"/>
                <w:szCs w:val="24"/>
                <w:highlight w:val="none"/>
                <w:u w:val="none"/>
                <w:lang w:val="en-US" w:eastAsia="zh-CN"/>
              </w:rPr>
            </w:pPr>
            <w:r>
              <w:rPr>
                <w:rFonts w:hint="eastAsia" w:ascii="宋体" w:hAnsi="宋体" w:cs="宋体"/>
                <w:b/>
                <w:bCs/>
                <w:i w:val="0"/>
                <w:iCs w:val="0"/>
                <w:color w:val="000000"/>
                <w:sz w:val="24"/>
                <w:szCs w:val="24"/>
                <w:highlight w:val="none"/>
                <w:u w:val="none"/>
                <w:lang w:val="en-US" w:eastAsia="zh-CN"/>
              </w:rPr>
              <w:t>技术</w:t>
            </w:r>
            <w:r>
              <w:rPr>
                <w:rFonts w:hint="eastAsia" w:ascii="宋体" w:hAnsi="宋体" w:eastAsia="宋体" w:cs="宋体"/>
                <w:b/>
                <w:bCs/>
                <w:i w:val="0"/>
                <w:iCs w:val="0"/>
                <w:color w:val="000000"/>
                <w:sz w:val="24"/>
                <w:szCs w:val="24"/>
                <w:highlight w:val="none"/>
                <w:u w:val="none"/>
                <w:lang w:val="en-US" w:eastAsia="zh-CN"/>
              </w:rPr>
              <w:t>参数</w:t>
            </w:r>
          </w:p>
        </w:tc>
        <w:tc>
          <w:tcPr>
            <w:tcW w:w="2818" w:type="dxa"/>
            <w:tcBorders>
              <w:left w:val="single" w:color="000000" w:sz="4" w:space="0"/>
              <w:bottom w:val="single" w:color="000000" w:sz="4" w:space="0"/>
              <w:right w:val="single" w:color="000000" w:sz="4" w:space="0"/>
            </w:tcBorders>
            <w:shd w:val="clear" w:color="auto" w:fill="auto"/>
            <w:noWrap/>
            <w:vAlign w:val="center"/>
          </w:tcPr>
          <w:p w14:paraId="14260FD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sz w:val="24"/>
                <w:szCs w:val="24"/>
                <w:highlight w:val="none"/>
                <w:u w:val="none"/>
                <w:lang w:val="en-US" w:eastAsia="zh-CN"/>
              </w:rPr>
            </w:pPr>
            <w:r>
              <w:rPr>
                <w:rFonts w:hint="eastAsia" w:ascii="宋体" w:hAnsi="宋体" w:eastAsia="宋体" w:cs="宋体"/>
                <w:b/>
                <w:bCs/>
                <w:i w:val="0"/>
                <w:iCs w:val="0"/>
                <w:color w:val="000000"/>
                <w:sz w:val="24"/>
                <w:szCs w:val="24"/>
                <w:highlight w:val="none"/>
                <w:u w:val="none"/>
                <w:lang w:val="en-US" w:eastAsia="zh-CN"/>
              </w:rPr>
              <w:t>参考图片</w:t>
            </w:r>
          </w:p>
        </w:tc>
        <w:tc>
          <w:tcPr>
            <w:tcW w:w="903" w:type="dxa"/>
            <w:tcBorders>
              <w:left w:val="single" w:color="000000" w:sz="4" w:space="0"/>
              <w:bottom w:val="single" w:color="000000" w:sz="4" w:space="0"/>
            </w:tcBorders>
            <w:shd w:val="clear" w:color="auto" w:fill="auto"/>
            <w:noWrap/>
            <w:vAlign w:val="center"/>
          </w:tcPr>
          <w:p w14:paraId="1C80A71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highlight w:val="none"/>
                <w:u w:val="none"/>
                <w:lang w:val="en-US" w:eastAsia="zh-CN" w:bidi="ar-SA"/>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774A92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1F81056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247" w:type="dxa"/>
            <w:tcBorders>
              <w:top w:val="single" w:color="000000" w:sz="4" w:space="0"/>
              <w:bottom w:val="single" w:color="000000" w:sz="4" w:space="0"/>
              <w:right w:val="single" w:color="000000" w:sz="4" w:space="0"/>
            </w:tcBorders>
            <w:shd w:val="clear" w:color="auto" w:fill="auto"/>
            <w:vAlign w:val="center"/>
          </w:tcPr>
          <w:p w14:paraId="6A89EE4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库房摄像系统</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2AC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7C2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F4E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摄像系统：</w:t>
            </w:r>
          </w:p>
          <w:p w14:paraId="14F1FF3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color w:val="000000"/>
                <w:sz w:val="24"/>
                <w:szCs w:val="24"/>
                <w:highlight w:val="none"/>
                <w:u w:val="none"/>
                <w:lang w:val="en-US" w:eastAsia="zh-CN" w:bidi="ar"/>
              </w:rPr>
              <w:t>POE摄像头，POE供电，稳定性高，无需电源线，H.265编码，低码率，存储减半，采用800万超清数字镜头，摄像可达100米，视频储存30天，录像存储自动循环，系统会自动覆盖最前面一天，不需要手动删除覆盖的。数量是摄像头+支架= x2台，送19寸高清显示器 x1台，4+2口交换机x1台，4路录像机x1台， 支持GB/T 国标28181系统，自带国标28181接入功能。包括安装布控，接入我单位视频摄像系统。</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277C">
            <w:pPr>
              <w:keepNext w:val="0"/>
              <w:keepLines w:val="0"/>
              <w:pageBreakBefore w:val="0"/>
              <w:widowControl w:val="0"/>
              <w:kinsoku/>
              <w:wordWrap w:val="0"/>
              <w:overflowPunct/>
              <w:topLinePunct w:val="0"/>
              <w:autoSpaceDE/>
              <w:autoSpaceDN/>
              <w:bidi w:val="0"/>
              <w:adjustRightInd/>
              <w:snapToGrid/>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520190" cy="1509395"/>
                  <wp:effectExtent l="0" t="0" r="3810" b="14605"/>
                  <wp:docPr id="38" name="图片_9"/>
                  <wp:cNvGraphicFramePr/>
                  <a:graphic xmlns:a="http://schemas.openxmlformats.org/drawingml/2006/main">
                    <a:graphicData uri="http://schemas.openxmlformats.org/drawingml/2006/picture">
                      <pic:pic xmlns:pic="http://schemas.openxmlformats.org/drawingml/2006/picture">
                        <pic:nvPicPr>
                          <pic:cNvPr id="38" name="图片_9"/>
                          <pic:cNvPicPr/>
                        </pic:nvPicPr>
                        <pic:blipFill>
                          <a:blip r:embed="rId8"/>
                          <a:stretch>
                            <a:fillRect/>
                          </a:stretch>
                        </pic:blipFill>
                        <pic:spPr>
                          <a:xfrm>
                            <a:off x="0" y="0"/>
                            <a:ext cx="1520190" cy="150939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1CAF606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应急物资智能管理系统组成部分</w:t>
            </w:r>
          </w:p>
        </w:tc>
      </w:tr>
      <w:tr w14:paraId="51434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155EBA3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1247" w:type="dxa"/>
            <w:tcBorders>
              <w:top w:val="single" w:color="000000" w:sz="4" w:space="0"/>
              <w:bottom w:val="single" w:color="000000" w:sz="4" w:space="0"/>
              <w:right w:val="single" w:color="000000" w:sz="4" w:space="0"/>
            </w:tcBorders>
            <w:shd w:val="clear" w:color="auto" w:fill="auto"/>
            <w:vAlign w:val="center"/>
          </w:tcPr>
          <w:p w14:paraId="3BEF4DA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净水装置</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0B7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F49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287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集成式净水装置：</w:t>
            </w:r>
          </w:p>
          <w:p w14:paraId="6CBE667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滤材:</w:t>
            </w:r>
            <w:r>
              <w:rPr>
                <w:rFonts w:hint="eastAsia" w:ascii="宋体" w:hAnsi="宋体" w:eastAsia="宋体" w:cs="宋体"/>
                <w:b w:val="0"/>
                <w:bCs w:val="0"/>
                <w:i w:val="0"/>
                <w:iCs w:val="0"/>
                <w:color w:val="000000"/>
                <w:kern w:val="0"/>
                <w:sz w:val="24"/>
                <w:szCs w:val="24"/>
                <w:highlight w:val="none"/>
                <w:u w:val="none"/>
                <w:lang w:val="en-US" w:eastAsia="zh-CN" w:bidi="ar"/>
              </w:rPr>
              <w:t>过滤精度不低于0.1微米，滤料组合应包含但不限于：PP棉、双控制膜陶瓷膜滤芯、RO反渗透膜、活性炭等。</w:t>
            </w:r>
          </w:p>
          <w:p w14:paraId="2B0AC8E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致病菌去除率大于99.9999%(包括大肠杆菌、金黄色葡萄球菌、伤寒沙门氏菌、霍乱菌、军团菌、铜绿假单胞菌等);有效降低重金属离子(如铅、镉、铬等)的浓度;有效去除有机微污染物，可将25ppmCODm(国标限值5倍)降低至国标限值以下、高效除农药残留，并改善口感。</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适用水源：IV类及以上地表水或地下水，细菌去除率:≥99.9999%，浑浊度去除率：95%，耗氧量去除率氯甲烷去除率:79%，三氯甲烷去除率:99.9%，</w:t>
            </w:r>
            <w:r>
              <w:rPr>
                <w:rFonts w:hint="eastAsia" w:ascii="宋体" w:hAnsi="宋体" w:eastAsia="宋体" w:cs="宋体"/>
                <w:b w:val="0"/>
                <w:bCs w:val="0"/>
                <w:i w:val="0"/>
                <w:iCs w:val="0"/>
                <w:color w:val="000000"/>
                <w:kern w:val="0"/>
                <w:sz w:val="24"/>
                <w:szCs w:val="24"/>
                <w:highlight w:val="none"/>
                <w:u w:val="none"/>
                <w:shd w:val="clear"/>
                <w:lang w:val="en-US" w:eastAsia="zh-CN" w:bidi="ar"/>
              </w:rPr>
              <w:t>净水流量：≥70L/h；生活用水流量：≥280L/h；额定总净水量：≥10m³；重量：≤28kg；设备尺寸：长≤600mm，宽≤400mm，高≤500mm；可根据需求调整；</w:t>
            </w:r>
            <w:r>
              <w:rPr>
                <w:rFonts w:hint="eastAsia" w:ascii="宋体" w:hAnsi="宋体" w:eastAsia="宋体" w:cs="宋体"/>
                <w:b w:val="0"/>
                <w:bCs w:val="0"/>
                <w:i w:val="0"/>
                <w:iCs w:val="0"/>
                <w:color w:val="000000"/>
                <w:kern w:val="0"/>
                <w:sz w:val="24"/>
                <w:szCs w:val="24"/>
                <w:highlight w:val="none"/>
                <w:u w:val="none"/>
                <w:lang w:val="en-US" w:eastAsia="zh-CN" w:bidi="ar"/>
              </w:rPr>
              <w:t>动</w:t>
            </w:r>
            <w:r>
              <w:rPr>
                <w:rFonts w:hint="eastAsia" w:ascii="宋体" w:hAnsi="宋体" w:eastAsia="宋体" w:cs="宋体"/>
                <w:i w:val="0"/>
                <w:iCs w:val="0"/>
                <w:color w:val="000000"/>
                <w:kern w:val="0"/>
                <w:sz w:val="24"/>
                <w:szCs w:val="24"/>
                <w:highlight w:val="none"/>
                <w:u w:val="none"/>
                <w:lang w:val="en-US" w:eastAsia="zh-CN" w:bidi="ar"/>
              </w:rPr>
              <w:t>力来源：手动/电动一体式，适用电源：AC220V或DC24V。</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81C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327150" cy="1071880"/>
                  <wp:effectExtent l="0" t="0" r="1397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1327150" cy="107188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9D8C05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模块化野外生活保障单元组成部分</w:t>
            </w:r>
          </w:p>
        </w:tc>
      </w:tr>
      <w:tr w14:paraId="5FBAF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7C587DF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1247" w:type="dxa"/>
            <w:tcBorders>
              <w:top w:val="single" w:color="000000" w:sz="4" w:space="0"/>
              <w:bottom w:val="single" w:color="000000" w:sz="4" w:space="0"/>
              <w:right w:val="single" w:color="000000" w:sz="4" w:space="0"/>
            </w:tcBorders>
            <w:shd w:val="clear" w:color="auto" w:fill="auto"/>
            <w:vAlign w:val="center"/>
          </w:tcPr>
          <w:p w14:paraId="42D313E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应急指挥帐篷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27E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9E1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3DA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color w:val="000000"/>
                <w:sz w:val="24"/>
                <w:szCs w:val="24"/>
                <w:highlight w:val="none"/>
                <w:u w:val="none"/>
                <w:lang w:val="en-US" w:eastAsia="zh-CN" w:bidi="ar"/>
              </w:rPr>
            </w:pPr>
          </w:p>
          <w:p w14:paraId="15D345E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color w:val="000000"/>
                <w:sz w:val="24"/>
                <w:szCs w:val="24"/>
                <w:highlight w:val="none"/>
                <w:u w:val="none"/>
                <w:lang w:val="en-US" w:eastAsia="zh-CN" w:bidi="ar"/>
              </w:rPr>
              <w:t>40平米充气帐篷参数及标准：</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1、面积：</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color w:val="000000"/>
                <w:sz w:val="24"/>
                <w:szCs w:val="24"/>
                <w:highlight w:val="none"/>
                <w:u w:val="none"/>
                <w:lang w:val="en-US" w:eastAsia="zh-CN" w:bidi="ar"/>
              </w:rPr>
              <w:t>宽5m*长8m*高3.3m，投影面积≥40㎡；</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5、内衬：210D平纹舒美绸，颜色白色。单位面积质量≥70g/㎡，断裂强力：经向≥750N/5cm，纬向≥450N/5cm。撕破强力：经向≥29N，纬向≥20N。</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6、地布：500g加厚环保PVC地布，颜色为绿色/灰色。厚度≥0.4mm，断裂强力：经向≥2500N/5cm，纬向≥1800N/5cm。撕破强力：经向≥150N，纬向≥95N。剥离强度：经纬向均无法完整剥离。阻燃性能续燃时间≤0.0S。</w:t>
            </w:r>
          </w:p>
          <w:p w14:paraId="78C3A7B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color w:val="000000"/>
                <w:sz w:val="24"/>
                <w:szCs w:val="24"/>
                <w:highlight w:val="none"/>
                <w:u w:val="none"/>
                <w:lang w:val="en-US" w:eastAsia="zh-CN" w:bidi="ar"/>
              </w:rPr>
              <w:t>7、配件：快充、排气阀，多功能充、排气阀，安全阀。需配备Q235带管三角环，涤纶包芯绳。</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8、门尺寸：≥1500mm宽*2000mm高（可定制）</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9、窗户尺寸：≥900mm宽*700mm高 （可定制）</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10、气柱上安装阀3个（ 1 个充排阀、1 个安全阀,1个补气阀；）</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 xml:space="preserve">11、电动充排泵1台 </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（1）额定电压：220V-240V；</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（2）额定频率：50-60Hz；</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（3）额定输入功率：1900W；</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（4）气压：5.0PSI</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（5）重量：≤5kg</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（6）充排气时间：充气≤10分钟，排气≤15分钟；</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12、帐篷应配备：修补包1套，固定配件1套（军用带扣抗风拉绳，军用地钎、手锤）。</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 xml:space="preserve">13、帐篷配暖风/冷风口 2个。 </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14、气柱主体结构使用高频热合热封工艺制作，必须双层拼接，保证牢固性。</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15、底部气柱做抗风拉环，在恶劣环境下起到加固作用。</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16、抗风等级：≥9级（20.8m/s 0.5h）（依据：GJB 6645-2009)</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17、工作压力：18~22Kpa，极限气压50Kpa。</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18、适应温度：-50℃~+70℃。（温度试验应满足：GJB 150.4A-2009  GJB 150.3A-2009）</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19、抗雪载：≥10kg/m².1h（依据：GJB 6645-2009)</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20、防雨试验：≥100L/（m².h）（依据：GJB 2711-1996)</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21、防水高度≥25cm。（用直尺测量帐篷底部气柱直径)。</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22、盐雾试验：盐雾试验箱的温度为35℃，氯化钠溶液的浓度为 5%。试验时间共≥96h后均无锈蚀。（依据：GJB150.11A-2009）</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23、包装样式为军用帆布包+提手，方便搬运。</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23、低气压试验：海拔高度≥5000m，气压≥50kpa，1h后无变形。（依据：GJB150.2A-2009）</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24、包装样式为军用帆布包+提手，方便搬运。</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25、场地适应性：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F93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98905" cy="1298575"/>
                  <wp:effectExtent l="0" t="0" r="3175" b="12065"/>
                  <wp:docPr id="29" name="图片_51"/>
                  <wp:cNvGraphicFramePr/>
                  <a:graphic xmlns:a="http://schemas.openxmlformats.org/drawingml/2006/main">
                    <a:graphicData uri="http://schemas.openxmlformats.org/drawingml/2006/picture">
                      <pic:pic xmlns:pic="http://schemas.openxmlformats.org/drawingml/2006/picture">
                        <pic:nvPicPr>
                          <pic:cNvPr id="29" name="图片_51"/>
                          <pic:cNvPicPr/>
                        </pic:nvPicPr>
                        <pic:blipFill>
                          <a:blip r:embed="rId10"/>
                          <a:stretch>
                            <a:fillRect/>
                          </a:stretch>
                        </pic:blipFill>
                        <pic:spPr>
                          <a:xfrm>
                            <a:off x="0" y="0"/>
                            <a:ext cx="1398905" cy="129857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5DE9817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40平方应急指挥帐篷</w:t>
            </w:r>
            <w:r>
              <w:rPr>
                <w:rFonts w:hint="eastAsia" w:ascii="宋体" w:hAnsi="宋体" w:cs="宋体"/>
                <w:i w:val="0"/>
                <w:iCs w:val="0"/>
                <w:color w:val="000000"/>
                <w:kern w:val="0"/>
                <w:sz w:val="24"/>
                <w:szCs w:val="24"/>
                <w:highlight w:val="none"/>
                <w:u w:val="none"/>
                <w:lang w:val="en-US" w:eastAsia="zh-CN" w:bidi="ar"/>
              </w:rPr>
              <w:t>(</w:t>
            </w:r>
          </w:p>
          <w:p w14:paraId="1BDF9A6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467A6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8FE077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1247" w:type="dxa"/>
            <w:tcBorders>
              <w:top w:val="single" w:color="000000" w:sz="4" w:space="0"/>
              <w:bottom w:val="single" w:color="000000" w:sz="4" w:space="0"/>
              <w:right w:val="single" w:color="000000" w:sz="4" w:space="0"/>
            </w:tcBorders>
            <w:shd w:val="clear" w:color="auto" w:fill="auto"/>
            <w:vAlign w:val="center"/>
          </w:tcPr>
          <w:p w14:paraId="2344CEF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现场指挥作业平台</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C47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338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CFE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color w:val="000000"/>
                <w:sz w:val="24"/>
                <w:szCs w:val="24"/>
                <w:highlight w:val="none"/>
                <w:u w:val="none"/>
                <w:lang w:val="en-US" w:eastAsia="zh-CN" w:bidi="ar"/>
              </w:rPr>
              <w:t>折叠箱组，展开可组成3×2m的会议桌。</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1、材质：高强度滚塑PE/航空级改性HDPE，防水、防腐蚀、抗冲击、耐高低温（-30℃~60℃）</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2、结构：箱桌一体，折叠收纳为滚塑箱，展开为指挥桌；内置2把折叠椅+抽屉</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3、展开尺寸：约1900×500×750mm（双人作业桌）</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4、收纳尺寸：约530×640×750mm（紧凑箱型，带提手/滚轮）</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5、重量：≤25kg，单人可搬运</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6、部署时间：10秒快速展开，落地即用</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7、功能：桌面平整（放地图/终端/对讲机）、线路收纳孔、抽屉储物、桌椅一体</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8、防护等级：IP65，防尘防水，适应野外/恶劣环境。</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b/>
                <w:bCs/>
                <w:color w:val="000000"/>
                <w:sz w:val="24"/>
                <w:szCs w:val="24"/>
                <w:highlight w:val="none"/>
                <w:u w:val="none"/>
                <w:lang w:val="en-US" w:eastAsia="zh-CN" w:bidi="ar"/>
              </w:rPr>
              <w:t>配置清单</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1、指挥作业平台主体 ×1</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2、内置折叠椅 ×2</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3、储物抽屉 ×2（大小各一）</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4、加固锁扣/提手 ×1套</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5、说明书/保修卡 ×1</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4DC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090930" cy="1219835"/>
                  <wp:effectExtent l="0" t="0" r="6350" b="14605"/>
                  <wp:docPr id="36" name="图片_7"/>
                  <wp:cNvGraphicFramePr/>
                  <a:graphic xmlns:a="http://schemas.openxmlformats.org/drawingml/2006/main">
                    <a:graphicData uri="http://schemas.openxmlformats.org/drawingml/2006/picture">
                      <pic:pic xmlns:pic="http://schemas.openxmlformats.org/drawingml/2006/picture">
                        <pic:nvPicPr>
                          <pic:cNvPr id="36" name="图片_7"/>
                          <pic:cNvPicPr/>
                        </pic:nvPicPr>
                        <pic:blipFill>
                          <a:blip r:embed="rId11"/>
                          <a:stretch>
                            <a:fillRect/>
                          </a:stretch>
                        </pic:blipFill>
                        <pic:spPr>
                          <a:xfrm>
                            <a:off x="0" y="0"/>
                            <a:ext cx="1090930" cy="121983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3D0F489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展开可组成3×2m的会议桌</w:t>
            </w:r>
          </w:p>
        </w:tc>
      </w:tr>
      <w:tr w14:paraId="6329D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02CB986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1247" w:type="dxa"/>
            <w:tcBorders>
              <w:top w:val="single" w:color="000000" w:sz="4" w:space="0"/>
              <w:bottom w:val="single" w:color="000000" w:sz="4" w:space="0"/>
              <w:right w:val="single" w:color="000000" w:sz="4" w:space="0"/>
            </w:tcBorders>
            <w:shd w:val="clear" w:color="auto" w:fill="auto"/>
            <w:vAlign w:val="center"/>
          </w:tcPr>
          <w:p w14:paraId="63E8D63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专业应急帐篷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D5E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C13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4B2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color w:val="000000"/>
                <w:sz w:val="24"/>
                <w:szCs w:val="24"/>
                <w:highlight w:val="none"/>
                <w:u w:val="none"/>
                <w:lang w:val="en-US" w:eastAsia="zh-CN" w:bidi="ar"/>
              </w:rPr>
              <w:t>20平米充气帐篷参数及标准：</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yellow"/>
                <w:u w:val="none"/>
                <w:lang w:val="en-US" w:eastAsia="zh-CN" w:bidi="ar"/>
              </w:rPr>
              <w:t>1、面积：≥</w:t>
            </w:r>
            <w:r>
              <w:rPr>
                <w:rFonts w:hint="eastAsia" w:ascii="宋体" w:hAnsi="宋体" w:eastAsia="宋体" w:cs="宋体"/>
                <w:b/>
                <w:bCs/>
                <w:color w:val="000000"/>
                <w:sz w:val="24"/>
                <w:szCs w:val="24"/>
                <w:highlight w:val="yellow"/>
                <w:u w:val="none"/>
                <w:lang w:val="en-US" w:eastAsia="zh-CN" w:bidi="ar"/>
              </w:rPr>
              <w:t>宽4m*长5m*高2.7m</w:t>
            </w:r>
            <w:r>
              <w:rPr>
                <w:rFonts w:hint="eastAsia" w:ascii="宋体" w:hAnsi="宋体" w:eastAsia="宋体" w:cs="宋体"/>
                <w:b w:val="0"/>
                <w:bCs w:val="0"/>
                <w:color w:val="000000"/>
                <w:sz w:val="24"/>
                <w:szCs w:val="24"/>
                <w:highlight w:val="yellow"/>
                <w:u w:val="none"/>
                <w:lang w:val="en-US" w:eastAsia="zh-CN" w:bidi="ar"/>
              </w:rPr>
              <w:t>，投影面积≥20㎡；</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bookmarkStart w:id="178" w:name="_GoBack"/>
            <w:bookmarkEnd w:id="178"/>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5、内衬：210D平纹舒美绸，颜色白色。单位面积质量≥70g/㎡，断裂强力：经向≥750N/5cm，纬向≥450N/5cm。撕破强力：经向≥29N，纬向≥20N。</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6、地布：500g加厚环保PVC地布，颜色为绿色/灰色。厚度≥0.4mm，断裂强力：经向≥2500N/5cm，纬向≥1800N/5cm。撕破强力：经向≥150N，纬向≥95N。剥离强度：经纬向均无法完整剥离。阻燃性能续燃时间≤0.0S。</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7、配件：快充、排气阀，多功能充、排气阀，安全阀。需配备Q235带管三角环，涤纶包芯绳。</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8、门尺寸：1500mm宽*2000mm高（可定制）</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9、窗户尺寸：800mm宽*600mm高 （可定制）</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10、气柱上安装阀3个（ 1 个充排阀、1 个安全阀,1个补气阀；）</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 xml:space="preserve">11、电动充排泵1台 </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（1）额定电压：220V-240V；</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（2）额定频率：50-60Hz；</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（3）额定输入功率：1900W；</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（4）气压：5.0PSI</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（5）重量：≤5kg</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（6）充排气时间：充气≤5分钟，排气≤12分钟；</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12、帐篷应配备：修补包1套，固定配件1套（军用带扣抗风拉绳，军用地钎、手锤）。</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 xml:space="preserve">13、帐篷配暖风/冷风口 2个。 </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14、气柱主体结构使用高频热合热封工艺制作，必须双层拼接，保证牢固性。</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15</w:t>
            </w:r>
            <w:r>
              <w:rPr>
                <w:rFonts w:hint="eastAsia" w:ascii="宋体" w:hAnsi="宋体" w:eastAsia="宋体" w:cs="宋体"/>
                <w:b w:val="0"/>
                <w:bCs w:val="0"/>
                <w:color w:val="000000"/>
                <w:sz w:val="24"/>
                <w:szCs w:val="24"/>
                <w:highlight w:val="none"/>
                <w:u w:val="none"/>
                <w:lang w:val="en-US" w:eastAsia="zh-CN" w:bidi="ar"/>
              </w:rPr>
              <w:t>、底部气柱做抗风拉环，在恶劣环境下起到加固作用。</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16、抗风等级：≥9级（20.8m/s 0.5h）（依据：GJB 6645-2009)</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17、工作压力：18~22Kpa，极限气压50Kpa。</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18、适应温度：-50℃~+70℃。（温度试验应满足：GJB 150.4A-2009  GJB 150.3A-2009）</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19、抗雪载：≥10kg/m².1h（依据：GJB 6645-2009)</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20、防雨试验：≥100L/（m².h）（依据：GJB 2711-1996)</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21、防水高度≥25cm。（用直尺测量帐篷底部气柱直径)。</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22、盐雾试验：盐雾试验箱的温度为35℃，氯化钠溶液的浓度为 5%。试验时间共≥96h后均无锈蚀。（依据：GJB150.11A-2009）</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23、包装样式为军用帆布包+提手，方便搬运。</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24、低气压试验：海拔高度≥5000m，气压≥50kpa，1h后无变形。（依据：GJB150.2A-2009）</w:t>
            </w:r>
            <w:r>
              <w:rPr>
                <w:rFonts w:hint="eastAsia" w:ascii="宋体" w:hAnsi="宋体" w:eastAsia="宋体" w:cs="宋体"/>
                <w:b w:val="0"/>
                <w:bCs w:val="0"/>
                <w:color w:val="000000"/>
                <w:sz w:val="24"/>
                <w:szCs w:val="24"/>
                <w:highlight w:val="none"/>
                <w:u w:val="none"/>
                <w:lang w:val="en-US" w:eastAsia="zh-CN" w:bidi="ar"/>
              </w:rPr>
              <w:br w:type="textWrapping"/>
            </w:r>
            <w:r>
              <w:rPr>
                <w:rFonts w:hint="eastAsia" w:ascii="宋体" w:hAnsi="宋体" w:eastAsia="宋体" w:cs="宋体"/>
                <w:b w:val="0"/>
                <w:bCs w:val="0"/>
                <w:color w:val="000000"/>
                <w:sz w:val="24"/>
                <w:szCs w:val="24"/>
                <w:highlight w:val="none"/>
                <w:u w:val="none"/>
                <w:lang w:val="en-US" w:eastAsia="zh-CN" w:bidi="ar"/>
              </w:rPr>
              <w:t>25、包装样式为军用帆布</w:t>
            </w:r>
            <w:r>
              <w:rPr>
                <w:rFonts w:hint="eastAsia" w:ascii="宋体" w:hAnsi="宋体" w:eastAsia="宋体" w:cs="宋体"/>
                <w:color w:val="000000"/>
                <w:sz w:val="24"/>
                <w:szCs w:val="24"/>
                <w:highlight w:val="none"/>
                <w:u w:val="none"/>
                <w:lang w:val="en-US" w:eastAsia="zh-CN" w:bidi="ar"/>
              </w:rPr>
              <w:t>包+提手，方便搬运。</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26、场地适应性：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C72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171575" cy="1341755"/>
                  <wp:effectExtent l="0" t="0" r="1905" b="14605"/>
                  <wp:docPr id="35" name="图片_54"/>
                  <wp:cNvGraphicFramePr/>
                  <a:graphic xmlns:a="http://schemas.openxmlformats.org/drawingml/2006/main">
                    <a:graphicData uri="http://schemas.openxmlformats.org/drawingml/2006/picture">
                      <pic:pic xmlns:pic="http://schemas.openxmlformats.org/drawingml/2006/picture">
                        <pic:nvPicPr>
                          <pic:cNvPr id="35" name="图片_54"/>
                          <pic:cNvPicPr/>
                        </pic:nvPicPr>
                        <pic:blipFill>
                          <a:blip r:embed="rId12"/>
                          <a:stretch>
                            <a:fillRect/>
                          </a:stretch>
                        </pic:blipFill>
                        <pic:spPr>
                          <a:xfrm>
                            <a:off x="0" y="0"/>
                            <a:ext cx="1171575" cy="134175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080D659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20平方专业应急帐篷</w:t>
            </w:r>
            <w:r>
              <w:rPr>
                <w:rFonts w:hint="eastAsia" w:ascii="宋体" w:hAnsi="宋体" w:cs="宋体"/>
                <w:i w:val="0"/>
                <w:iCs w:val="0"/>
                <w:color w:val="000000"/>
                <w:kern w:val="0"/>
                <w:sz w:val="24"/>
                <w:szCs w:val="24"/>
                <w:highlight w:val="none"/>
                <w:u w:val="none"/>
                <w:lang w:val="en-US" w:eastAsia="zh-CN" w:bidi="ar"/>
              </w:rPr>
              <w:t>(</w:t>
            </w:r>
          </w:p>
          <w:p w14:paraId="0B337F7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67B3E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3CD73F9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c>
          <w:tcPr>
            <w:tcW w:w="1247" w:type="dxa"/>
            <w:tcBorders>
              <w:top w:val="single" w:color="000000" w:sz="4" w:space="0"/>
              <w:bottom w:val="single" w:color="000000" w:sz="4" w:space="0"/>
              <w:right w:val="single" w:color="000000" w:sz="4" w:space="0"/>
            </w:tcBorders>
            <w:shd w:val="clear" w:color="auto" w:fill="auto"/>
            <w:vAlign w:val="center"/>
          </w:tcPr>
          <w:p w14:paraId="5F1885D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检验组专用帐篷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BC5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EFC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18E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内置工作台，侧壁设“双门互锁传递窗”：</w:t>
            </w:r>
          </w:p>
          <w:p w14:paraId="522C7AF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60平米充气帐篷参数及标准：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1、面</w:t>
            </w:r>
            <w:r>
              <w:rPr>
                <w:rFonts w:hint="eastAsia" w:ascii="宋体" w:hAnsi="宋体" w:eastAsia="宋体" w:cs="宋体"/>
                <w:b w:val="0"/>
                <w:bCs w:val="0"/>
                <w:i w:val="0"/>
                <w:iCs w:val="0"/>
                <w:color w:val="000000"/>
                <w:kern w:val="0"/>
                <w:sz w:val="24"/>
                <w:szCs w:val="24"/>
                <w:highlight w:val="none"/>
                <w:u w:val="none"/>
                <w:lang w:val="en-US" w:eastAsia="zh-CN" w:bidi="ar"/>
              </w:rPr>
              <w:t>积：</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b w:val="0"/>
                <w:bCs w:val="0"/>
                <w:i w:val="0"/>
                <w:iCs w:val="0"/>
                <w:color w:val="000000"/>
                <w:kern w:val="0"/>
                <w:sz w:val="24"/>
                <w:szCs w:val="24"/>
                <w:highlight w:val="none"/>
                <w:u w:val="none"/>
                <w:lang w:val="en-US" w:eastAsia="zh-CN" w:bidi="ar"/>
              </w:rPr>
              <w:t>宽6m*长10m*高3.8m，投影面积≥60㎡；</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5、内衬：210D平纹舒美绸，颜色白色。单位面积质量≥70g/㎡，断裂强力：经向≥750N/5cm，纬向≥450N/5cm。撕破强力：经向≥29N，纬向≥20N。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6、地布：500g加厚环保PVC地布，颜色为绿色/灰色。厚度≥0.4mm，断裂强力：经向≥2500N/5cm，纬向≥1800N/5cm。撕破强力：经向≥150N，纬向≥95N。剥离强度：经纬向均无法完整剥离。阻燃性能续燃时间≤0.0S。</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7、配件：快充、排气阀，多功能充、排气阀，安全阀。需配备Q235带管三角环，涤纶包芯绳。</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8、门尺寸：1500mm宽*2000mm高（可定制）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9、窗户尺寸：900mm宽*700mm高 （可定制）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10、气柱上安装阀3个（ 1 个充排阀、1 个安全阀,1个补气阀；）</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11、电动充排泵1台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（1）额定电压：220V-240V；</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（2）额定频率：50-60Hz；</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（3）额定输入功率：1900W；</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（4）气压：5.0PSI</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（5）重量：≤5kg</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（6）充排气时间：充气≤15分钟，排气≤20分钟；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12、帐篷应配备：修补包1套，固定配件1套（军用带扣抗风拉绳，军用地钎、手锤）。</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13、帐篷配暖风/冷风口 2个。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14、气柱主体结构使用高频热合热封工艺制作，必须双层拼接，保证牢固性。</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15、底部气柱做抗风拉环，在恶劣环境下起到加固作用。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16、抗风等级：≥9级（20.8m/s 0.5h）（依据：GJB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17、工作压力：18~22Kpa，极限气压50Kpa。</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18、适应温度：-50℃~+70℃。（温度试验应满足：GJB 150.4A-2009  GJB 150.3A-2009）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19、抗雪载：≥10kg/m².1h（依据：GJB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20、防雨试验：≥100L/（m².h）（依据：GJB 2711-1996)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21、防水高度≥25cm。（用直尺测量帐篷底部气柱直径)。</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22、盐雾试验：盐雾试验箱的温度为35℃，氯化钠溶液的浓度为 5%。试验时间共≥96h后均无锈蚀。（依据：GJB150.11A-2009）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23、包装样式为军用帆布包+提手，方便搬运。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24、低气压试验：海拔高度≥5000m，气压≥50kpa，1h后无变形。（依据：GJB150.2A-2009）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25、包装样式为军用帆布包+提手，方便搬运。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26、场地适应性</w:t>
            </w:r>
            <w:r>
              <w:rPr>
                <w:rFonts w:hint="eastAsia" w:ascii="宋体" w:hAnsi="宋体" w:eastAsia="宋体" w:cs="宋体"/>
                <w:i w:val="0"/>
                <w:iCs w:val="0"/>
                <w:color w:val="000000"/>
                <w:kern w:val="0"/>
                <w:sz w:val="24"/>
                <w:szCs w:val="24"/>
                <w:highlight w:val="none"/>
                <w:u w:val="none"/>
                <w:lang w:val="en-US" w:eastAsia="zh-CN" w:bidi="ar"/>
              </w:rPr>
              <w:t>：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715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50645" cy="895985"/>
                  <wp:effectExtent l="0" t="0" r="5715" b="3175"/>
                  <wp:docPr id="31" name="图片_55"/>
                  <wp:cNvGraphicFramePr/>
                  <a:graphic xmlns:a="http://schemas.openxmlformats.org/drawingml/2006/main">
                    <a:graphicData uri="http://schemas.openxmlformats.org/drawingml/2006/picture">
                      <pic:pic xmlns:pic="http://schemas.openxmlformats.org/drawingml/2006/picture">
                        <pic:nvPicPr>
                          <pic:cNvPr id="31" name="图片_55"/>
                          <pic:cNvPicPr/>
                        </pic:nvPicPr>
                        <pic:blipFill>
                          <a:blip r:embed="rId13"/>
                          <a:stretch>
                            <a:fillRect/>
                          </a:stretch>
                        </pic:blipFill>
                        <pic:spPr>
                          <a:xfrm>
                            <a:off x="0" y="0"/>
                            <a:ext cx="1350645" cy="89598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07FF497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专业充气式应急帐篷组成部分</w:t>
            </w:r>
            <w:r>
              <w:rPr>
                <w:rFonts w:hint="eastAsia" w:ascii="宋体" w:hAnsi="宋体" w:cs="宋体"/>
                <w:i w:val="0"/>
                <w:iCs w:val="0"/>
                <w:color w:val="000000"/>
                <w:kern w:val="0"/>
                <w:sz w:val="24"/>
                <w:szCs w:val="24"/>
                <w:highlight w:val="none"/>
                <w:u w:val="none"/>
                <w:lang w:val="en-US" w:eastAsia="zh-CN" w:bidi="ar"/>
              </w:rPr>
              <w:t>(</w:t>
            </w:r>
          </w:p>
          <w:p w14:paraId="6EB4915C">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7B8C2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27D9BEB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w:t>
            </w:r>
          </w:p>
        </w:tc>
        <w:tc>
          <w:tcPr>
            <w:tcW w:w="1247" w:type="dxa"/>
            <w:tcBorders>
              <w:top w:val="single" w:color="000000" w:sz="4" w:space="0"/>
              <w:bottom w:val="single" w:color="000000" w:sz="4" w:space="0"/>
              <w:right w:val="single" w:color="000000" w:sz="4" w:space="0"/>
            </w:tcBorders>
            <w:shd w:val="clear" w:color="auto" w:fill="auto"/>
            <w:vAlign w:val="center"/>
          </w:tcPr>
          <w:p w14:paraId="6EBA8B3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住宿帐篷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CBE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6E2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E9A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30平米充气帐篷参数及标准：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1、面积：</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宽5m*长6m*高3.3m，投影面积</w:t>
            </w:r>
            <w:r>
              <w:rPr>
                <w:rFonts w:hint="eastAsia" w:ascii="宋体" w:hAnsi="宋体" w:eastAsia="宋体" w:cs="宋体"/>
                <w:b w:val="0"/>
                <w:bCs w:val="0"/>
                <w:i w:val="0"/>
                <w:iCs w:val="0"/>
                <w:color w:val="000000"/>
                <w:kern w:val="0"/>
                <w:sz w:val="24"/>
                <w:szCs w:val="24"/>
                <w:highlight w:val="none"/>
                <w:u w:val="none"/>
                <w:lang w:val="en-US" w:eastAsia="zh-CN" w:bidi="ar"/>
              </w:rPr>
              <w:t>≥30㎡；</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5、内衬：210D平纹舒美绸，颜色白色。单位面积质量≥70g/㎡，断裂强力：经向≥750N/5cm，纬向≥450N/5cm。撕破强力：经向≥29N，纬向≥20N。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6、地布：500g加厚环保PVC地布，颜色为绿色/灰色。厚度≥0.4mm，断裂强力：经向≥2500N/5cm，纬向≥1800N/5cm。撕破强力：经向≥150N，纬向≥95N。剥离强度：经纬向均无法完整剥离。阻燃性能续燃时间≤0.0S。</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7、配件：快充、排气阀，多功能充、排气阀，安全阀。需配备Q235带管三角环，涤纶包芯绳。</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8、门尺寸：1500mm宽*2000mm高（可定制）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9、窗户尺寸：900mm宽*700mm高 （可定制）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10、气柱上安装阀3个（ 1 个充排阀、1 个安全阀,1个补气阀；）</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11、电动充排泵1台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（1）额定电压：220V-240V；</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（2）额定频率：50-60Hz；</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（3）额定输入功率：1900W；</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（4）气压：5.0PSI</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（5）重量：≤5kg</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（6）充排气时间：充气≤10分钟，排气≤15分钟；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12、帐篷应配备：修补包1套，固定配件1套（军用带扣抗风拉绳，军用地钎、手锤）。</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13、帐篷配暖风/冷风口 2个。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14、气柱主体结构使用高频热合热封工艺制作，必须双层拼接，保证牢固性。</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15、底部气柱做抗风拉环，在恶劣环境下起到加固作用。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16、抗风等级：≥9级（20.8m/s 0.5h）（依据：GJB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17、工作压力：18~22Kpa，极限气压50Kpa。</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18、适应温度：-50℃~+70℃。（温度试验应满足：GJB 150.4A-2009  GJB 150.3A-2009）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19、抗雪载：≥10kg/m².1h（依据：GJB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20、防雨试验：≥100L/（m².h）（依据：GJB 2711-1996)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21、防水高度≥25cm。（用直尺测量帐篷底部气柱直径)。</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22、盐雾试验：盐雾试验箱的温度为35℃，氯化钠溶液的浓度为 5%。试验时间共≥96h后均无锈蚀。（依据：GJB150.11A-2009）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23、包装样式为军用帆布包+提手，方便搬运。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24、低气压试验：海拔高度≥5000m，气压≥50kpa，1h后无变形。（依据：GJB150.2A-2009）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25、包装样式为军用帆布包+提手，方便搬运。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26、场地适应性：适用于水泥地、沙土地、混凝土地、无坚硬杂草的草地；搭接：搭接应</w:t>
            </w:r>
            <w:r>
              <w:rPr>
                <w:rFonts w:hint="eastAsia" w:ascii="宋体" w:hAnsi="宋体" w:eastAsia="宋体" w:cs="宋体"/>
                <w:i w:val="0"/>
                <w:iCs w:val="0"/>
                <w:color w:val="000000"/>
                <w:kern w:val="0"/>
                <w:sz w:val="24"/>
                <w:szCs w:val="24"/>
                <w:highlight w:val="none"/>
                <w:u w:val="none"/>
                <w:lang w:val="en-US" w:eastAsia="zh-CN" w:bidi="ar"/>
              </w:rPr>
              <w:t>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540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549400" cy="1151890"/>
                  <wp:effectExtent l="0" t="0" r="5080"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4"/>
                          <a:stretch>
                            <a:fillRect/>
                          </a:stretch>
                        </pic:blipFill>
                        <pic:spPr>
                          <a:xfrm>
                            <a:off x="0" y="0"/>
                            <a:ext cx="1549400" cy="115189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3205382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30平方住宿帐篷</w:t>
            </w:r>
            <w:r>
              <w:rPr>
                <w:rFonts w:hint="eastAsia" w:ascii="宋体" w:hAnsi="宋体" w:cs="宋体"/>
                <w:i w:val="0"/>
                <w:iCs w:val="0"/>
                <w:color w:val="000000"/>
                <w:kern w:val="0"/>
                <w:sz w:val="24"/>
                <w:szCs w:val="24"/>
                <w:highlight w:val="none"/>
                <w:u w:val="none"/>
                <w:lang w:val="en-US" w:eastAsia="zh-CN" w:bidi="ar"/>
              </w:rPr>
              <w:t>(</w:t>
            </w:r>
          </w:p>
          <w:p w14:paraId="60F2100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4EF6E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0DA429AC">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c>
          <w:tcPr>
            <w:tcW w:w="1247" w:type="dxa"/>
            <w:tcBorders>
              <w:top w:val="single" w:color="000000" w:sz="4" w:space="0"/>
              <w:bottom w:val="single" w:color="000000" w:sz="4" w:space="0"/>
              <w:right w:val="single" w:color="000000" w:sz="4" w:space="0"/>
            </w:tcBorders>
            <w:shd w:val="clear" w:color="auto" w:fill="auto"/>
            <w:vAlign w:val="center"/>
          </w:tcPr>
          <w:p w14:paraId="7C6F3E7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厕所帐篷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D83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BDB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BCE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便携式厕所帐篷：</w:t>
            </w:r>
          </w:p>
          <w:p w14:paraId="747CB73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6平米充气帐篷参数及标准：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1、面</w:t>
            </w:r>
            <w:r>
              <w:rPr>
                <w:rFonts w:hint="eastAsia" w:ascii="宋体" w:hAnsi="宋体" w:eastAsia="宋体" w:cs="宋体"/>
                <w:b w:val="0"/>
                <w:bCs w:val="0"/>
                <w:i w:val="0"/>
                <w:iCs w:val="0"/>
                <w:color w:val="000000"/>
                <w:kern w:val="0"/>
                <w:sz w:val="24"/>
                <w:szCs w:val="24"/>
                <w:highlight w:val="none"/>
                <w:u w:val="none"/>
                <w:lang w:val="en-US" w:eastAsia="zh-CN" w:bidi="ar"/>
              </w:rPr>
              <w:t>积：</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b w:val="0"/>
                <w:bCs w:val="0"/>
                <w:i w:val="0"/>
                <w:iCs w:val="0"/>
                <w:color w:val="000000"/>
                <w:kern w:val="0"/>
                <w:sz w:val="24"/>
                <w:szCs w:val="24"/>
                <w:highlight w:val="none"/>
                <w:u w:val="none"/>
                <w:lang w:val="en-US" w:eastAsia="zh-CN" w:bidi="ar"/>
              </w:rPr>
              <w:t>宽2m*长3m*高2.6m，投影面积≥6㎡；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5、地布：500g加厚环保PVC地布，颜色为绿色/灰色。厚度≥0.4mm，断裂强力：经向≥2500N/5cm，纬向≥1800N/5cm。撕破强力：经向≥150N，纬向≥95N。剥离强度：经纬向均无法完整剥离。阻燃性能续燃时间≤0.0S。</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6、配件：快充、排气阀，多功能充、排气阀，安全阀。需配备Q235带管三角环，涤纶包芯绳。</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7、门尺寸：2000mm宽*2000mm高（可定制）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8、窗户尺寸：800mm宽*600mm高 （可定制）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9、气柱上安装阀3个（ 1 个充排阀、1 个安全阀,1个补气阀；）</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10、电动充排泵1台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（1）额定电压：220V-240V；</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（2）额定输入功率：1200W；</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（3）充排气时间：充气≤5分钟，排气≤10分钟；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11、帐篷应配备：修补包1套，固定配件1套（军用带扣抗风拉绳，军用地钎、手锤）。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12、气柱主体结构使用高频热合热封工艺制作，必须双层拼接，保证牢固性。</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13、底部气柱做抗风拉环，在恶劣环境下起到加固作用。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14、抗风等级：≥9级（20.8m/s 0.5h）（依据：GJB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15、工作压力：18~22Kpa，极限气压50Kpa。</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16、适应温度：-50℃~+70℃。（温度试验应满足：GJB 150.4A-2009  GJB 150.3A-2009）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17、抗雪载：≥10kg/m².1h（依据：GJB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18、防雨试验：≥100L/（m².h）（依据：GJB 2711-1996)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19、防水高度≥25cm。（用直尺测量帐篷底部气柱直径)。</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20、盐雾试验：盐雾试验箱的温度为35℃，氯化钠溶液的浓度为 5%。试验时间共≥96h后均无锈蚀。（依据：GJB150.11A-2009）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21、包装样式为军用帆布包+提手，方便搬运。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22、低气压试验：海拔高度≥5000m，气压≥50kpa，1h后无变形。（依据：GJB150.2A-2009）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23、包装样式</w:t>
            </w:r>
            <w:r>
              <w:rPr>
                <w:rFonts w:hint="eastAsia" w:ascii="宋体" w:hAnsi="宋体" w:eastAsia="宋体" w:cs="宋体"/>
                <w:i w:val="0"/>
                <w:iCs w:val="0"/>
                <w:color w:val="000000"/>
                <w:kern w:val="0"/>
                <w:sz w:val="24"/>
                <w:szCs w:val="24"/>
                <w:highlight w:val="none"/>
                <w:u w:val="none"/>
                <w:lang w:val="en-US" w:eastAsia="zh-CN" w:bidi="ar"/>
              </w:rPr>
              <w:t>为军用帆布包+提手，方便搬运。</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24、场地适应性：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B6A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461770" cy="1779270"/>
                  <wp:effectExtent l="0" t="0" r="1270" b="3810"/>
                  <wp:docPr id="26" name="图片_57"/>
                  <wp:cNvGraphicFramePr/>
                  <a:graphic xmlns:a="http://schemas.openxmlformats.org/drawingml/2006/main">
                    <a:graphicData uri="http://schemas.openxmlformats.org/drawingml/2006/picture">
                      <pic:pic xmlns:pic="http://schemas.openxmlformats.org/drawingml/2006/picture">
                        <pic:nvPicPr>
                          <pic:cNvPr id="26" name="图片_57"/>
                          <pic:cNvPicPr/>
                        </pic:nvPicPr>
                        <pic:blipFill>
                          <a:blip r:embed="rId15"/>
                          <a:stretch>
                            <a:fillRect/>
                          </a:stretch>
                        </pic:blipFill>
                        <pic:spPr>
                          <a:xfrm>
                            <a:off x="0" y="0"/>
                            <a:ext cx="1461770" cy="177927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2422BAE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模块化野外生活保障单元组成部分</w:t>
            </w:r>
            <w:r>
              <w:rPr>
                <w:rFonts w:hint="eastAsia" w:ascii="宋体" w:hAnsi="宋体" w:cs="宋体"/>
                <w:i w:val="0"/>
                <w:iCs w:val="0"/>
                <w:color w:val="000000"/>
                <w:kern w:val="0"/>
                <w:sz w:val="24"/>
                <w:szCs w:val="24"/>
                <w:highlight w:val="none"/>
                <w:u w:val="none"/>
                <w:lang w:val="en-US" w:eastAsia="zh-CN" w:bidi="ar"/>
              </w:rPr>
              <w:t>(</w:t>
            </w:r>
          </w:p>
          <w:p w14:paraId="70A9B7B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2D16C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3098D7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c>
          <w:tcPr>
            <w:tcW w:w="1247" w:type="dxa"/>
            <w:tcBorders>
              <w:top w:val="single" w:color="000000" w:sz="4" w:space="0"/>
              <w:bottom w:val="single" w:color="000000" w:sz="4" w:space="0"/>
              <w:right w:val="single" w:color="000000" w:sz="4" w:space="0"/>
            </w:tcBorders>
            <w:shd w:val="clear" w:color="auto" w:fill="auto"/>
            <w:vAlign w:val="center"/>
          </w:tcPr>
          <w:p w14:paraId="758462C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淋浴帐篷</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177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13C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B14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4平米充气帐篷参数及标准：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1、面积：</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宽</w:t>
            </w:r>
            <w:r>
              <w:rPr>
                <w:rFonts w:hint="eastAsia" w:ascii="宋体" w:hAnsi="宋体" w:eastAsia="宋体" w:cs="宋体"/>
                <w:b w:val="0"/>
                <w:bCs w:val="0"/>
                <w:i w:val="0"/>
                <w:iCs w:val="0"/>
                <w:color w:val="000000"/>
                <w:kern w:val="0"/>
                <w:sz w:val="24"/>
                <w:szCs w:val="24"/>
                <w:highlight w:val="none"/>
                <w:u w:val="none"/>
                <w:lang w:val="en-US" w:eastAsia="zh-CN" w:bidi="ar"/>
              </w:rPr>
              <w:t>2m*长2m*高2.6m，投影面积≥4㎡；</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2、形体结构：整体呈双破屋脊型，帐篷与帐篷连接处做好防风防雨处理，帐篷外观标识可根据使用方要求定制。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外篷布：600D单面涂覆PVC牛津布（颜色可定制）。厚度≥0.4mm。单位面积质量：≥420g。断裂强力：经向≥1800N/5cm，纬向≥1200N/5cm。撕破强力：经向≥80N，纬向≥60N。剥离强度：经纬向均≥130N。断裂伸长率：径向≥40%，纬向≥35%。</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气柱：双面涂敷PVC夹网气密布，厚度≥0.7mm。单位面积质量≥850g/㎡。断裂强力：经向≥3000N/5cm，纬向≥2600N/5cm。撕破强力：经向≥190N，纬向≥140N。剥离强度：经纬向均无法完整剥离。阻燃性能续燃时间≤0.0S，损毁长度经纬向均≤15mm。气柱抗穿刺强度≥660N。</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5、地布：500g加厚环保PVC地布，颜色为绿色/灰色。厚度≥0.4mm，断裂强力：经向≥2500N/5cm，纬向≥1800N/5cm。撕破强力：经向≥150N，纬向≥95N。剥离强度：经纬向均无法完整剥离。阻燃性能续燃时间≤0.0S。</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6、配件：快充、排气阀，多功能充、排气阀，安全阀。需配备Q235带管三角环，涤纶包芯绳。</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7、门尺寸：2000mm宽*2000mm高（可定制）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8、窗户尺寸：800mm宽*600mm高 （可定制）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9、气柱上安装阀3个（ 1 个充排阀、1 个安全阀,1个补气阀；）</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10、电动充排泵1台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（1）额定电压：220V-240V；</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（2）额定输入功率：1200W；</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（3）充排气时间：充气≤5分钟，排气≤10分钟；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 xml:space="preserve">11、帐篷应配备：修补包1套，固定配件1套（军用带扣抗风拉绳，军用地钎、手锤）。 </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12、气柱主体结构使用高频热合热封工艺制作，必须双层拼接，保证牢固性。</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13、底部气柱做抗风拉环，在恶劣环境下起到加固作用。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14、抗风等级：≥9级（20.8m/s 0.5h）（依据：GJB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15、工作压力：18~22Kpa，极限气压50Kpa。</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16、适应温度：-50℃~+70℃。（温度试验应满足：GJB 150.4A-2009  GJB 150.3A-2009）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17、抗雪载：≥10kg/m².1h（依据：GJB 6645-2009)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18、防雨试验：≥100L/（m².h）（依据：GJB 2711-1996)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19、防水高度≥25cm。（用直尺测量帐篷底部气柱直径)。</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20、盐雾试验：盐雾试验箱的温度为35℃，氯化钠溶液的浓度为 5%。试验时间共≥96h后均无锈蚀。（依据：GJB150.11A-2009）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21、包装样式为军用帆布包+提手，方便搬运。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22、低气压试验：海拔高度≥5000m，气压≥50kpa，1h后无变形。（依据：GJB150.2A-2009）</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23、包装样式为军用帆布包+提手，方便搬运。</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24、场地适应性：适用于水泥地、沙土地、混凝土地、无坚硬杂草的草地；搭接：搭接应满足雨雪天气等要求，各搭接处应牢固、可靠、平滑，无脱扣、翘起等现象；系固点：各系固点周围有加强块，且牢固、可靠，且不得有脱胶、漏气等现象。系固点满足抗风、抗雪等要求。</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967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296670" cy="2356485"/>
                  <wp:effectExtent l="0" t="0" r="13970" b="5715"/>
                  <wp:docPr id="28" name="图片_58"/>
                  <wp:cNvGraphicFramePr/>
                  <a:graphic xmlns:a="http://schemas.openxmlformats.org/drawingml/2006/main">
                    <a:graphicData uri="http://schemas.openxmlformats.org/drawingml/2006/picture">
                      <pic:pic xmlns:pic="http://schemas.openxmlformats.org/drawingml/2006/picture">
                        <pic:nvPicPr>
                          <pic:cNvPr id="28" name="图片_58"/>
                          <pic:cNvPicPr/>
                        </pic:nvPicPr>
                        <pic:blipFill>
                          <a:blip r:embed="rId16"/>
                          <a:stretch>
                            <a:fillRect/>
                          </a:stretch>
                        </pic:blipFill>
                        <pic:spPr>
                          <a:xfrm>
                            <a:off x="0" y="0"/>
                            <a:ext cx="1296670" cy="235648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0293159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模块化野外生活保障单元组成部分</w:t>
            </w:r>
            <w:r>
              <w:rPr>
                <w:rFonts w:hint="eastAsia" w:ascii="宋体" w:hAnsi="宋体" w:cs="宋体"/>
                <w:i w:val="0"/>
                <w:iCs w:val="0"/>
                <w:color w:val="000000"/>
                <w:kern w:val="0"/>
                <w:sz w:val="24"/>
                <w:szCs w:val="24"/>
                <w:highlight w:val="none"/>
                <w:u w:val="none"/>
                <w:lang w:val="en-US" w:eastAsia="zh-CN" w:bidi="ar"/>
              </w:rPr>
              <w:t>(</w:t>
            </w:r>
          </w:p>
          <w:p w14:paraId="67696DE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需在帐篷明显处加印“中国卫生”字样)</w:t>
            </w:r>
          </w:p>
        </w:tc>
      </w:tr>
      <w:tr w14:paraId="25B406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0C226E4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c>
          <w:tcPr>
            <w:tcW w:w="1247" w:type="dxa"/>
            <w:tcBorders>
              <w:top w:val="single" w:color="000000" w:sz="4" w:space="0"/>
              <w:bottom w:val="single" w:color="000000" w:sz="4" w:space="0"/>
              <w:right w:val="single" w:color="000000" w:sz="4" w:space="0"/>
            </w:tcBorders>
            <w:shd w:val="clear" w:color="auto" w:fill="auto"/>
            <w:vAlign w:val="center"/>
          </w:tcPr>
          <w:p w14:paraId="0B95A16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野外炊事箱组</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371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0B3C">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DC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野战炊事设备：</w:t>
            </w:r>
          </w:p>
          <w:p w14:paraId="42336F3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1.总重量：≤105kg（分2箱，单箱≤55kg）</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2.箱体：高强度滚塑箱，防水抗冲击</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3.加工能力：1小时完成36人份主副热食。</w:t>
            </w:r>
          </w:p>
          <w:p w14:paraId="2464B52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配置清单（全套）：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1.野战燃油炉灶：1套（燃烧器×2、油罐×1、输油管×2、备件包×1）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2.行军锅：30L铝锅×1、30L铁锅×1</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3.炊具：34cm不锈钢菜盆×6、蒸盘×2、全套炊事工具（刀/铲/勺/夹/漏勺）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4.储运：7.5L软体油桶×1、20L送饭/背水袋×3</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5.携行：背架×3、单元箱×2、固定绑带×1套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6.附件：应急灯×1、清洁工具×1套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（1）燃料：柴油/汽油/煤油通用（野战燃油炉）</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（2）展开/撤收：≤3分钟</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（3）携行：配3付背架，单兵携行≤25kg，泅渡可漂浮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（4）材质：食品级铝合金/不锈钢/加厚碳钢</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B2F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72870" cy="1443990"/>
                  <wp:effectExtent l="0" t="0" r="13970" b="3810"/>
                  <wp:docPr id="30" name="图片_12"/>
                  <wp:cNvGraphicFramePr/>
                  <a:graphic xmlns:a="http://schemas.openxmlformats.org/drawingml/2006/main">
                    <a:graphicData uri="http://schemas.openxmlformats.org/drawingml/2006/picture">
                      <pic:pic xmlns:pic="http://schemas.openxmlformats.org/drawingml/2006/picture">
                        <pic:nvPicPr>
                          <pic:cNvPr id="30" name="图片_12"/>
                          <pic:cNvPicPr/>
                        </pic:nvPicPr>
                        <pic:blipFill>
                          <a:blip r:embed="rId17"/>
                          <a:stretch>
                            <a:fillRect/>
                          </a:stretch>
                        </pic:blipFill>
                        <pic:spPr>
                          <a:xfrm>
                            <a:off x="0" y="0"/>
                            <a:ext cx="1372870" cy="144399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6AA30AB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模块化野外生活保障单元组成部分</w:t>
            </w:r>
          </w:p>
        </w:tc>
      </w:tr>
      <w:tr w14:paraId="378C33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6D5BFE6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c>
          <w:tcPr>
            <w:tcW w:w="1247" w:type="dxa"/>
            <w:tcBorders>
              <w:top w:val="single" w:color="000000" w:sz="4" w:space="0"/>
              <w:bottom w:val="single" w:color="000000" w:sz="4" w:space="0"/>
              <w:right w:val="single" w:color="000000" w:sz="4" w:space="0"/>
            </w:tcBorders>
            <w:shd w:val="clear" w:color="auto" w:fill="auto"/>
            <w:vAlign w:val="center"/>
          </w:tcPr>
          <w:p w14:paraId="1133334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食品冷藏箱</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7FA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49F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C71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color w:val="000000"/>
                <w:sz w:val="24"/>
                <w:szCs w:val="24"/>
                <w:highlight w:val="none"/>
                <w:u w:val="none"/>
                <w:lang w:val="en-US" w:eastAsia="zh-CN" w:bidi="ar"/>
              </w:rPr>
            </w:pPr>
            <w:r>
              <w:rPr>
                <w:rFonts w:hint="eastAsia" w:ascii="宋体" w:hAnsi="宋体" w:eastAsia="宋体" w:cs="宋体"/>
                <w:color w:val="000000"/>
                <w:sz w:val="24"/>
                <w:szCs w:val="24"/>
                <w:highlight w:val="none"/>
                <w:u w:val="none"/>
                <w:lang w:val="en-US" w:eastAsia="zh-CN" w:bidi="ar"/>
              </w:rPr>
              <w:t>1.冰箱容量：≥55L</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2.温度范围：-20℃～20℃（单温区，冷藏/冷冻可切换）</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3.制冷方式：直冷，R600a环保制冷剂</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4.能效：一级能效，日耗电0.38～0.41kWh。</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5.材质：钢板外壳+压花铝内胆，食品级安全</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6.顶开门，带把手</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7.功能：阻霜减霜、断电保温、可移动底脚，额定功率：55W，冰箱外尺寸：</w:t>
            </w:r>
            <w:r>
              <w:rPr>
                <w:rFonts w:hint="eastAsia" w:ascii="宋体" w:hAnsi="宋体" w:eastAsia="宋体" w:cs="宋体"/>
                <w:b/>
                <w:bCs/>
                <w:color w:val="000000"/>
                <w:sz w:val="24"/>
                <w:szCs w:val="24"/>
                <w:highlight w:val="none"/>
                <w:u w:val="none"/>
                <w:lang w:val="en-US" w:eastAsia="zh-CN" w:bidi="ar"/>
              </w:rPr>
              <w:t>≥</w:t>
            </w:r>
            <w:r>
              <w:rPr>
                <w:rFonts w:hint="eastAsia" w:ascii="宋体" w:hAnsi="宋体" w:eastAsia="宋体" w:cs="宋体"/>
                <w:b w:val="0"/>
                <w:bCs w:val="0"/>
                <w:color w:val="000000"/>
                <w:sz w:val="24"/>
                <w:szCs w:val="24"/>
                <w:highlight w:val="none"/>
                <w:u w:val="none"/>
                <w:lang w:val="en-US" w:eastAsia="zh-CN" w:bidi="ar"/>
              </w:rPr>
              <w:t>600*350*500mm”）</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 xml:space="preserve">8.电压：220V/50Hz   </w:t>
            </w:r>
          </w:p>
          <w:p w14:paraId="089D43F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bCs/>
                <w:color w:val="000000"/>
                <w:sz w:val="24"/>
                <w:szCs w:val="24"/>
                <w:highlight w:val="none"/>
                <w:u w:val="none"/>
                <w:lang w:val="en-US" w:eastAsia="zh-CN" w:bidi="ar"/>
              </w:rPr>
            </w:pPr>
            <w:r>
              <w:rPr>
                <w:rFonts w:hint="eastAsia" w:ascii="宋体" w:hAnsi="宋体" w:eastAsia="宋体" w:cs="宋体"/>
                <w:b/>
                <w:bCs/>
                <w:color w:val="000000"/>
                <w:sz w:val="24"/>
                <w:szCs w:val="24"/>
                <w:highlight w:val="none"/>
                <w:u w:val="none"/>
                <w:lang w:val="en-US" w:eastAsia="zh-CN" w:bidi="ar"/>
              </w:rPr>
              <w:t>配置清单：</w:t>
            </w:r>
          </w:p>
          <w:p w14:paraId="25789F7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color w:val="000000"/>
                <w:sz w:val="24"/>
                <w:szCs w:val="24"/>
                <w:highlight w:val="none"/>
                <w:u w:val="none"/>
                <w:lang w:val="en-US" w:eastAsia="zh-CN" w:bidi="ar"/>
              </w:rPr>
              <w:t>冷藏箱主机 ×1,说明书/保修卡 ×1,底脚 ×4</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70C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355090" cy="995680"/>
                  <wp:effectExtent l="0" t="0" r="127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8"/>
                          <a:stretch>
                            <a:fillRect/>
                          </a:stretch>
                        </pic:blipFill>
                        <pic:spPr>
                          <a:xfrm>
                            <a:off x="0" y="0"/>
                            <a:ext cx="1355090" cy="99568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5BDBA9F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食品级冷藏箱</w:t>
            </w:r>
          </w:p>
        </w:tc>
      </w:tr>
      <w:tr w14:paraId="202577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0E29FF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12</w:t>
            </w:r>
          </w:p>
        </w:tc>
        <w:tc>
          <w:tcPr>
            <w:tcW w:w="1247" w:type="dxa"/>
            <w:tcBorders>
              <w:top w:val="single" w:color="000000" w:sz="4" w:space="0"/>
              <w:bottom w:val="single" w:color="000000" w:sz="4" w:space="0"/>
              <w:right w:val="single" w:color="000000" w:sz="4" w:space="0"/>
            </w:tcBorders>
            <w:shd w:val="clear" w:color="auto" w:fill="auto"/>
            <w:vAlign w:val="center"/>
          </w:tcPr>
          <w:p w14:paraId="343290C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微波炉</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CF6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8EA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E1A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color w:val="000000"/>
                <w:sz w:val="24"/>
                <w:szCs w:val="24"/>
                <w:highlight w:val="none"/>
                <w:u w:val="none"/>
                <w:lang w:val="en-US" w:eastAsia="zh-CN" w:bidi="ar"/>
              </w:rPr>
              <w:t>1.容积：25L ，五档变频火力，微波功率：900W</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2.额定电压：220V，微波功率：900W，额定频率:50Hz</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3.底盘类型：平板式；外机尺寸：</w:t>
            </w:r>
            <w:r>
              <w:rPr>
                <w:rFonts w:hint="eastAsia" w:ascii="宋体" w:hAnsi="宋体" w:eastAsia="宋体" w:cs="宋体"/>
                <w:b w:val="0"/>
                <w:bCs w:val="0"/>
                <w:color w:val="000000"/>
                <w:sz w:val="24"/>
                <w:szCs w:val="24"/>
                <w:highlight w:val="none"/>
                <w:u w:val="none"/>
                <w:lang w:val="en-US" w:eastAsia="zh-CN" w:bidi="ar"/>
              </w:rPr>
              <w:t>≥500*400*300mm</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4.功能：烧烤功能、快速加热</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5.烧烤管材质：石英</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6.类别:微烤一体机</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7.烧烤功率：＜1100W ，转盘/平板：平板</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8.变频/定频:变频 ，内胆材质：涂层</w:t>
            </w:r>
            <w:r>
              <w:rPr>
                <w:rFonts w:hint="eastAsia" w:ascii="宋体" w:hAnsi="宋体" w:eastAsia="宋体" w:cs="宋体"/>
                <w:color w:val="000000"/>
                <w:sz w:val="24"/>
                <w:szCs w:val="24"/>
                <w:highlight w:val="none"/>
                <w:u w:val="none"/>
                <w:lang w:val="en-US" w:eastAsia="zh-CN" w:bidi="ar"/>
              </w:rPr>
              <w:br w:type="textWrapping"/>
            </w:r>
            <w:r>
              <w:rPr>
                <w:rFonts w:hint="eastAsia" w:ascii="宋体" w:hAnsi="宋体" w:eastAsia="宋体" w:cs="宋体"/>
                <w:color w:val="000000"/>
                <w:sz w:val="24"/>
                <w:szCs w:val="24"/>
                <w:highlight w:val="none"/>
                <w:u w:val="none"/>
                <w:lang w:val="en-US" w:eastAsia="zh-CN" w:bidi="ar"/>
              </w:rPr>
              <w:t>9.操控方式：电子式，能效等级：一级能效</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CA9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12545" cy="1444625"/>
                  <wp:effectExtent l="0" t="0" r="13335" b="3175"/>
                  <wp:docPr id="34" name="图片_5"/>
                  <wp:cNvGraphicFramePr/>
                  <a:graphic xmlns:a="http://schemas.openxmlformats.org/drawingml/2006/main">
                    <a:graphicData uri="http://schemas.openxmlformats.org/drawingml/2006/picture">
                      <pic:pic xmlns:pic="http://schemas.openxmlformats.org/drawingml/2006/picture">
                        <pic:nvPicPr>
                          <pic:cNvPr id="34" name="图片_5"/>
                          <pic:cNvPicPr/>
                        </pic:nvPicPr>
                        <pic:blipFill>
                          <a:blip r:embed="rId19"/>
                          <a:stretch>
                            <a:fillRect/>
                          </a:stretch>
                        </pic:blipFill>
                        <pic:spPr>
                          <a:xfrm>
                            <a:off x="0" y="0"/>
                            <a:ext cx="1312545" cy="144462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6571987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可用于户外</w:t>
            </w:r>
          </w:p>
        </w:tc>
      </w:tr>
      <w:tr w14:paraId="573E5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3F4978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c>
          <w:tcPr>
            <w:tcW w:w="1247" w:type="dxa"/>
            <w:tcBorders>
              <w:top w:val="single" w:color="000000" w:sz="4" w:space="0"/>
              <w:bottom w:val="single" w:color="000000" w:sz="4" w:space="0"/>
              <w:right w:val="single" w:color="000000" w:sz="4" w:space="0"/>
            </w:tcBorders>
            <w:shd w:val="clear" w:color="auto" w:fill="auto"/>
            <w:vAlign w:val="center"/>
          </w:tcPr>
          <w:p w14:paraId="0E65961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帐篷照明箱</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720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17E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1E7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1.箱式，轻质铝合金外壳，ip67防护等级，3×12w。</w:t>
            </w:r>
          </w:p>
          <w:p w14:paraId="2813782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2.是否可充电：可充电，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3.最长续航：＞100h</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4.是否可调焦：不可调焦，电源方式：充电-USB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5.电池是否可拆卸：不可拆卸</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6.最大流明：200-500lm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7.适用场景：日常，材质：ABS+铝合金</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8.是否防水：防水，电源方式：充电-C口</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670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977265" cy="1311910"/>
                  <wp:effectExtent l="0" t="0" r="13335" b="13970"/>
                  <wp:docPr id="37" name="图片_40"/>
                  <wp:cNvGraphicFramePr/>
                  <a:graphic xmlns:a="http://schemas.openxmlformats.org/drawingml/2006/main">
                    <a:graphicData uri="http://schemas.openxmlformats.org/drawingml/2006/picture">
                      <pic:pic xmlns:pic="http://schemas.openxmlformats.org/drawingml/2006/picture">
                        <pic:nvPicPr>
                          <pic:cNvPr id="37" name="图片_40"/>
                          <pic:cNvPicPr/>
                        </pic:nvPicPr>
                        <pic:blipFill>
                          <a:blip r:embed="rId20"/>
                          <a:stretch>
                            <a:fillRect/>
                          </a:stretch>
                        </pic:blipFill>
                        <pic:spPr>
                          <a:xfrm>
                            <a:off x="0" y="0"/>
                            <a:ext cx="977265" cy="131191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E03C54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长续航帐篷照明</w:t>
            </w:r>
          </w:p>
        </w:tc>
      </w:tr>
      <w:tr w14:paraId="3C130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0DA49EF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c>
          <w:tcPr>
            <w:tcW w:w="1247" w:type="dxa"/>
            <w:tcBorders>
              <w:top w:val="single" w:color="000000" w:sz="4" w:space="0"/>
              <w:bottom w:val="single" w:color="000000" w:sz="4" w:space="0"/>
              <w:right w:val="single" w:color="000000" w:sz="4" w:space="0"/>
            </w:tcBorders>
            <w:shd w:val="clear" w:color="auto" w:fill="auto"/>
            <w:vAlign w:val="center"/>
          </w:tcPr>
          <w:p w14:paraId="2E60DC5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场地照明灯</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9A9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477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CC1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1.100w led，续航8h</w:t>
            </w:r>
          </w:p>
          <w:p w14:paraId="05FFAC4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2.电源方式：充电-C口</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3.最大流明：≥3000lm</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4.是否可调焦：不可调焦</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5.最长续航：15-20h(含)</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6.是否防水：防水</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7.电池是否可拆卸：不可拆卸</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8.是否可充电：可充电</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包装清单：</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充电灯*1，数据线*1，合格证说明书*1，遥控*1</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549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227455" cy="1682750"/>
                  <wp:effectExtent l="0" t="0" r="6985" b="8890"/>
                  <wp:docPr id="25" name="图片_41"/>
                  <wp:cNvGraphicFramePr/>
                  <a:graphic xmlns:a="http://schemas.openxmlformats.org/drawingml/2006/main">
                    <a:graphicData uri="http://schemas.openxmlformats.org/drawingml/2006/picture">
                      <pic:pic xmlns:pic="http://schemas.openxmlformats.org/drawingml/2006/picture">
                        <pic:nvPicPr>
                          <pic:cNvPr id="25" name="图片_41"/>
                          <pic:cNvPicPr/>
                        </pic:nvPicPr>
                        <pic:blipFill>
                          <a:blip r:embed="rId21"/>
                          <a:stretch>
                            <a:fillRect/>
                          </a:stretch>
                        </pic:blipFill>
                        <pic:spPr>
                          <a:xfrm>
                            <a:off x="0" y="0"/>
                            <a:ext cx="1227455" cy="168275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78EDF1A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充电式场地照明灯</w:t>
            </w:r>
          </w:p>
        </w:tc>
      </w:tr>
      <w:tr w14:paraId="43E36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1AFD349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c>
          <w:tcPr>
            <w:tcW w:w="1247" w:type="dxa"/>
            <w:tcBorders>
              <w:top w:val="single" w:color="000000" w:sz="4" w:space="0"/>
              <w:bottom w:val="single" w:color="000000" w:sz="4" w:space="0"/>
              <w:right w:val="single" w:color="000000" w:sz="4" w:space="0"/>
            </w:tcBorders>
            <w:shd w:val="clear" w:color="auto" w:fill="auto"/>
            <w:vAlign w:val="center"/>
          </w:tcPr>
          <w:p w14:paraId="04BFCA9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户外应急物资电动手推车</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637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辆</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31E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838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1.工作面：100*60</w:t>
            </w:r>
          </w:p>
          <w:p w14:paraId="101F1D3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2.整车尺寸：≥110*60</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3.电机：650W</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4.刹车方式：鼓刹</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5.电瓶：48V 12A</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6.轮胎：充气胎</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7.档位:高低速</w:t>
            </w:r>
          </w:p>
          <w:p w14:paraId="1B3A795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8.台面高度:≥40厘米</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C6C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506855" cy="1240790"/>
                  <wp:effectExtent l="0" t="0" r="190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1506855" cy="124079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159A007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户外应急手推车（电动）</w:t>
            </w:r>
          </w:p>
        </w:tc>
      </w:tr>
      <w:tr w14:paraId="28812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2EAF7CF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w:t>
            </w:r>
          </w:p>
        </w:tc>
        <w:tc>
          <w:tcPr>
            <w:tcW w:w="1247" w:type="dxa"/>
            <w:tcBorders>
              <w:top w:val="single" w:color="000000" w:sz="4" w:space="0"/>
              <w:bottom w:val="single" w:color="000000" w:sz="4" w:space="0"/>
              <w:right w:val="single" w:color="000000" w:sz="4" w:space="0"/>
            </w:tcBorders>
            <w:shd w:val="clear" w:color="auto" w:fill="auto"/>
            <w:vAlign w:val="center"/>
          </w:tcPr>
          <w:p w14:paraId="27CF8B9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扎营工具箱组</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AF1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8CB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D4D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1.层数：3层以上</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2.是否可折叠：不可折叠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3.是否可堆叠：不可堆叠</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4.尺寸：30寸以上；</w:t>
            </w:r>
          </w:p>
          <w:p w14:paraId="11548B3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5.内装：折叠工兵铲、多功能锤、撬棍、防水工具盒、帐篷修补套装</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0C1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014730" cy="745490"/>
                  <wp:effectExtent l="0" t="0" r="6350" b="1270"/>
                  <wp:docPr id="2" name="图片_43"/>
                  <wp:cNvGraphicFramePr/>
                  <a:graphic xmlns:a="http://schemas.openxmlformats.org/drawingml/2006/main">
                    <a:graphicData uri="http://schemas.openxmlformats.org/drawingml/2006/picture">
                      <pic:pic xmlns:pic="http://schemas.openxmlformats.org/drawingml/2006/picture">
                        <pic:nvPicPr>
                          <pic:cNvPr id="2" name="图片_43"/>
                          <pic:cNvPicPr/>
                        </pic:nvPicPr>
                        <pic:blipFill>
                          <a:blip r:embed="rId23"/>
                          <a:stretch>
                            <a:fillRect/>
                          </a:stretch>
                        </pic:blipFill>
                        <pic:spPr>
                          <a:xfrm>
                            <a:off x="0" y="0"/>
                            <a:ext cx="1014730" cy="74549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2C2CA4E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户外工具箱</w:t>
            </w:r>
          </w:p>
        </w:tc>
      </w:tr>
      <w:tr w14:paraId="4BCAE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5D1581C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17</w:t>
            </w:r>
          </w:p>
        </w:tc>
        <w:tc>
          <w:tcPr>
            <w:tcW w:w="1247" w:type="dxa"/>
            <w:tcBorders>
              <w:top w:val="single" w:color="000000" w:sz="4" w:space="0"/>
              <w:bottom w:val="single" w:color="000000" w:sz="4" w:space="0"/>
              <w:right w:val="single" w:color="000000" w:sz="4" w:space="0"/>
            </w:tcBorders>
            <w:shd w:val="clear" w:color="auto" w:fill="auto"/>
            <w:vAlign w:val="center"/>
          </w:tcPr>
          <w:p w14:paraId="65545EC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个人防护装备</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B0B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3D0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A93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包含：医用防护口罩、全面性呼吸防护器、防护服、乳胶手套、护目镜、面屏、头套等</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49B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98270" cy="1012825"/>
                  <wp:effectExtent l="0" t="0" r="3810" b="8255"/>
                  <wp:docPr id="10" name="图片_44"/>
                  <wp:cNvGraphicFramePr/>
                  <a:graphic xmlns:a="http://schemas.openxmlformats.org/drawingml/2006/main">
                    <a:graphicData uri="http://schemas.openxmlformats.org/drawingml/2006/picture">
                      <pic:pic xmlns:pic="http://schemas.openxmlformats.org/drawingml/2006/picture">
                        <pic:nvPicPr>
                          <pic:cNvPr id="10" name="图片_44"/>
                          <pic:cNvPicPr/>
                        </pic:nvPicPr>
                        <pic:blipFill>
                          <a:blip r:embed="rId24"/>
                          <a:stretch>
                            <a:fillRect/>
                          </a:stretch>
                        </pic:blipFill>
                        <pic:spPr>
                          <a:xfrm>
                            <a:off x="0" y="0"/>
                            <a:ext cx="1398270" cy="101282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5D769A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套装户外个人防护装备</w:t>
            </w:r>
          </w:p>
        </w:tc>
      </w:tr>
      <w:tr w14:paraId="41B92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58FCEC7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c>
          <w:tcPr>
            <w:tcW w:w="1247" w:type="dxa"/>
            <w:tcBorders>
              <w:top w:val="single" w:color="000000" w:sz="4" w:space="0"/>
              <w:bottom w:val="single" w:color="000000" w:sz="4" w:space="0"/>
              <w:right w:val="single" w:color="000000" w:sz="4" w:space="0"/>
            </w:tcBorders>
            <w:shd w:val="clear" w:color="auto" w:fill="auto"/>
            <w:vAlign w:val="center"/>
          </w:tcPr>
          <w:p w14:paraId="39038B6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应急食品</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C19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份</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AFC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180</w:t>
            </w:r>
          </w:p>
        </w:tc>
        <w:tc>
          <w:tcPr>
            <w:tcW w:w="8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98C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压缩饼干（应急/户外款）参数：</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1.每100g能量≥450kcal（军用≥500kcal），碳水≥60g，蛋白质≥8g，脂肪20-35g，水分≤5.0%。</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2.符合 GB 7100-2024（饼干安全）、GB 24154-2015（运动营养），维生素/矿物质强化遵循 GB 14880。</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3.单块25-50g，高压成型（密度为普通饼干1/3-1/5），遇水缓慢膨胀，单包抗饿5-12小时。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4.户外徒步、应急储备、高原补给（优先选含维生素/矿物质强化款）。</w:t>
            </w:r>
          </w:p>
          <w:p w14:paraId="43FB8ED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面包参数：</w:t>
            </w:r>
          </w:p>
          <w:p w14:paraId="557146B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通用营养（每100g）：能量207-280kcal，碳水42-46g（白面包更高），蛋白质7.9-9.4g，脂肪1.6-5g（起酥款可达20g+）。</w:t>
            </w:r>
          </w:p>
          <w:p w14:paraId="7638FB9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泡面参数：</w:t>
            </w:r>
          </w:p>
          <w:p w14:paraId="18CB80D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 xml:space="preserve">1.净含量：整包重量通常在120g-150g 之间。 </w:t>
            </w:r>
          </w:p>
          <w:p w14:paraId="091B823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2.面饼：约 70g-90g（主流为80g），决定饱腹感。</w:t>
            </w:r>
          </w:p>
          <w:p w14:paraId="40AB7ED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3.调料包：约 30g-50g，包含粉包、酱包、蔬菜包。</w:t>
            </w:r>
          </w:p>
          <w:p w14:paraId="7E378CC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4.水分含量：面饼水分 ≤ 10.0%</w:t>
            </w:r>
          </w:p>
        </w:tc>
        <w:tc>
          <w:tcPr>
            <w:tcW w:w="2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352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273175" cy="922655"/>
                  <wp:effectExtent l="0" t="0" r="6985" b="6985"/>
                  <wp:docPr id="13" name="图片_26"/>
                  <wp:cNvGraphicFramePr/>
                  <a:graphic xmlns:a="http://schemas.openxmlformats.org/drawingml/2006/main">
                    <a:graphicData uri="http://schemas.openxmlformats.org/drawingml/2006/picture">
                      <pic:pic xmlns:pic="http://schemas.openxmlformats.org/drawingml/2006/picture">
                        <pic:nvPicPr>
                          <pic:cNvPr id="13" name="图片_26"/>
                          <pic:cNvPicPr/>
                        </pic:nvPicPr>
                        <pic:blipFill>
                          <a:blip r:embed="rId25"/>
                          <a:stretch>
                            <a:fillRect/>
                          </a:stretch>
                        </pic:blipFill>
                        <pic:spPr>
                          <a:xfrm>
                            <a:off x="0" y="0"/>
                            <a:ext cx="1273175" cy="922655"/>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149350" cy="953770"/>
                  <wp:effectExtent l="0" t="0" r="8890" b="6350"/>
                  <wp:docPr id="12" name="图片_49"/>
                  <wp:cNvGraphicFramePr/>
                  <a:graphic xmlns:a="http://schemas.openxmlformats.org/drawingml/2006/main">
                    <a:graphicData uri="http://schemas.openxmlformats.org/drawingml/2006/picture">
                      <pic:pic xmlns:pic="http://schemas.openxmlformats.org/drawingml/2006/picture">
                        <pic:nvPicPr>
                          <pic:cNvPr id="12" name="图片_49"/>
                          <pic:cNvPicPr/>
                        </pic:nvPicPr>
                        <pic:blipFill>
                          <a:blip r:embed="rId26"/>
                          <a:stretch>
                            <a:fillRect/>
                          </a:stretch>
                        </pic:blipFill>
                        <pic:spPr>
                          <a:xfrm>
                            <a:off x="0" y="0"/>
                            <a:ext cx="1149350" cy="953770"/>
                          </a:xfrm>
                          <a:prstGeom prst="rect">
                            <a:avLst/>
                          </a:prstGeom>
                          <a:noFill/>
                          <a:ln>
                            <a:noFill/>
                          </a:ln>
                        </pic:spPr>
                      </pic:pic>
                    </a:graphicData>
                  </a:graphic>
                </wp:inline>
              </w:drawing>
            </w: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020445" cy="920115"/>
                  <wp:effectExtent l="0" t="0" r="635" b="9525"/>
                  <wp:docPr id="8" name="图片_50"/>
                  <wp:cNvGraphicFramePr/>
                  <a:graphic xmlns:a="http://schemas.openxmlformats.org/drawingml/2006/main">
                    <a:graphicData uri="http://schemas.openxmlformats.org/drawingml/2006/picture">
                      <pic:pic xmlns:pic="http://schemas.openxmlformats.org/drawingml/2006/picture">
                        <pic:nvPicPr>
                          <pic:cNvPr id="8" name="图片_50"/>
                          <pic:cNvPicPr/>
                        </pic:nvPicPr>
                        <pic:blipFill>
                          <a:blip r:embed="rId27"/>
                          <a:stretch>
                            <a:fillRect/>
                          </a:stretch>
                        </pic:blipFill>
                        <pic:spPr>
                          <a:xfrm>
                            <a:off x="0" y="0"/>
                            <a:ext cx="1020445" cy="92011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7641FA1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应急食品与饮水包组成部分</w:t>
            </w:r>
          </w:p>
        </w:tc>
      </w:tr>
      <w:tr w14:paraId="50C0C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3345363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w:t>
            </w:r>
          </w:p>
        </w:tc>
        <w:tc>
          <w:tcPr>
            <w:tcW w:w="1247" w:type="dxa"/>
            <w:tcBorders>
              <w:top w:val="single" w:color="000000" w:sz="4" w:space="0"/>
              <w:bottom w:val="single" w:color="000000" w:sz="4" w:space="0"/>
              <w:right w:val="single" w:color="000000" w:sz="4" w:space="0"/>
            </w:tcBorders>
            <w:shd w:val="clear" w:color="auto" w:fill="auto"/>
            <w:vAlign w:val="center"/>
          </w:tcPr>
          <w:p w14:paraId="3427DBD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便携洗手装置</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5DB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355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117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1.脚踏式，pe材质，双槽，内置水箱，带皂液器</w:t>
            </w:r>
          </w:p>
          <w:p w14:paraId="23FFCFD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2.水箱配置：单清水箱≥10L</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3.尺寸：整机约450×380×850mm（折叠/简易支架）</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4.重量：约8kg，轻便手提/简易滚轮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5.功能：不锈钢龙头、简易皂液器、伸缩排水管（30–60cm）</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6.部署：开箱即用，无需接水接电，快速搭建</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6C4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400175" cy="1301750"/>
                  <wp:effectExtent l="0" t="0" r="1905" b="8890"/>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28"/>
                          <a:stretch>
                            <a:fillRect/>
                          </a:stretch>
                        </pic:blipFill>
                        <pic:spPr>
                          <a:xfrm>
                            <a:off x="0" y="0"/>
                            <a:ext cx="1400175" cy="130175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B3D7BE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便携洗手装置</w:t>
            </w:r>
          </w:p>
        </w:tc>
      </w:tr>
      <w:tr w14:paraId="75541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C4CF59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w:t>
            </w:r>
          </w:p>
        </w:tc>
        <w:tc>
          <w:tcPr>
            <w:tcW w:w="1247" w:type="dxa"/>
            <w:tcBorders>
              <w:top w:val="single" w:color="000000" w:sz="4" w:space="0"/>
              <w:bottom w:val="single" w:color="000000" w:sz="4" w:space="0"/>
              <w:right w:val="single" w:color="000000" w:sz="4" w:space="0"/>
            </w:tcBorders>
            <w:shd w:val="clear" w:color="auto" w:fill="auto"/>
            <w:vAlign w:val="center"/>
          </w:tcPr>
          <w:p w14:paraId="43E2407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志愿者马甲</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6C0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254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FAC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1.面料：优质加厚涤纶针织布/网眼布，透气耐磨，不易起球变形</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2.颜色：红色/荧光黄/蓝色（常规志愿色）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3.款式：无袖马甲，宽松版型，前后可印字</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4.反光：前后带高亮反光条，夜间安全警示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5.结构：拉链开合，左右侧口袋，可调节松紧下摆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6.尺码：M/L/XL/XXL，成人通用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7.工艺：锁边工整，耐水洗，不掉色</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8.适用：志愿服务、公益活动、文明劝导、应急值守</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D84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63980" cy="1297940"/>
                  <wp:effectExtent l="0" t="0" r="7620" b="12700"/>
                  <wp:docPr id="7" name="图片_46"/>
                  <wp:cNvGraphicFramePr/>
                  <a:graphic xmlns:a="http://schemas.openxmlformats.org/drawingml/2006/main">
                    <a:graphicData uri="http://schemas.openxmlformats.org/drawingml/2006/picture">
                      <pic:pic xmlns:pic="http://schemas.openxmlformats.org/drawingml/2006/picture">
                        <pic:nvPicPr>
                          <pic:cNvPr id="7" name="图片_46"/>
                          <pic:cNvPicPr/>
                        </pic:nvPicPr>
                        <pic:blipFill>
                          <a:blip r:embed="rId29"/>
                          <a:stretch>
                            <a:fillRect/>
                          </a:stretch>
                        </pic:blipFill>
                        <pic:spPr>
                          <a:xfrm>
                            <a:off x="0" y="0"/>
                            <a:ext cx="1363980" cy="129794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7931910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耐磨志愿者马甲</w:t>
            </w:r>
            <w:r>
              <w:rPr>
                <w:rFonts w:hint="eastAsia" w:ascii="宋体" w:hAnsi="宋体" w:cs="宋体"/>
                <w:i w:val="0"/>
                <w:iCs w:val="0"/>
                <w:color w:val="000000"/>
                <w:kern w:val="0"/>
                <w:sz w:val="24"/>
                <w:szCs w:val="24"/>
                <w:highlight w:val="none"/>
                <w:u w:val="none"/>
                <w:lang w:val="en-US" w:eastAsia="zh-CN" w:bidi="ar"/>
              </w:rPr>
              <w:t>(</w:t>
            </w:r>
          </w:p>
          <w:p w14:paraId="7ED1F75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cs="宋体"/>
                <w:b w:val="0"/>
                <w:bCs w:val="0"/>
                <w:i w:val="0"/>
                <w:iCs w:val="0"/>
                <w:color w:val="000000"/>
                <w:kern w:val="0"/>
                <w:sz w:val="24"/>
                <w:szCs w:val="24"/>
                <w:highlight w:val="none"/>
                <w:u w:val="none"/>
                <w:lang w:val="en-US" w:eastAsia="zh-CN" w:bidi="ar"/>
              </w:rPr>
              <w:t>需在服装明显处加印“中国卫生”字样)</w:t>
            </w:r>
          </w:p>
        </w:tc>
      </w:tr>
      <w:tr w14:paraId="04C425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AC71A9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c>
          <w:tcPr>
            <w:tcW w:w="1247" w:type="dxa"/>
            <w:tcBorders>
              <w:top w:val="single" w:color="000000" w:sz="4" w:space="0"/>
              <w:bottom w:val="single" w:color="000000" w:sz="4" w:space="0"/>
              <w:right w:val="single" w:color="000000" w:sz="4" w:space="0"/>
            </w:tcBorders>
            <w:shd w:val="clear" w:color="auto" w:fill="auto"/>
            <w:vAlign w:val="center"/>
          </w:tcPr>
          <w:p w14:paraId="46BCDA9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对讲机</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1DF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C70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905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1.特质：长续航 快速充电</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2.电池容量：4000mAh以上</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3.有无显示屏：无显示屏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4.信道数量：16个</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5.功率：5W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b/>
                <w:bCs/>
                <w:i w:val="0"/>
                <w:iCs w:val="0"/>
                <w:color w:val="000000"/>
                <w:kern w:val="0"/>
                <w:sz w:val="24"/>
                <w:szCs w:val="24"/>
                <w:highlight w:val="none"/>
                <w:u w:val="none"/>
                <w:lang w:val="en-US" w:eastAsia="zh-CN" w:bidi="ar"/>
              </w:rPr>
              <w:t>包装清单：</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主机x2，电池x2，USB充电线x2，背夹*2，电源插头x1，说明书x1；</w:t>
            </w:r>
          </w:p>
          <w:p w14:paraId="3DA7867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C22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029335" cy="1346200"/>
                  <wp:effectExtent l="0" t="0" r="6985" b="1016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0"/>
                          <a:stretch>
                            <a:fillRect/>
                          </a:stretch>
                        </pic:blipFill>
                        <pic:spPr>
                          <a:xfrm>
                            <a:off x="0" y="0"/>
                            <a:ext cx="1029335" cy="134620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2FA4805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适合多场景对讲机</w:t>
            </w:r>
          </w:p>
        </w:tc>
      </w:tr>
      <w:tr w14:paraId="54A80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19F45BD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22</w:t>
            </w:r>
          </w:p>
        </w:tc>
        <w:tc>
          <w:tcPr>
            <w:tcW w:w="1247" w:type="dxa"/>
            <w:tcBorders>
              <w:top w:val="single" w:color="000000" w:sz="4" w:space="0"/>
              <w:bottom w:val="single" w:color="000000" w:sz="4" w:space="0"/>
              <w:right w:val="single" w:color="000000" w:sz="4" w:space="0"/>
            </w:tcBorders>
            <w:shd w:val="clear" w:color="auto" w:fill="auto"/>
            <w:vAlign w:val="center"/>
          </w:tcPr>
          <w:p w14:paraId="6E81D3F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卫星WIFI</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6DF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D60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E80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移动卫星WIFI：</w:t>
            </w:r>
          </w:p>
          <w:p w14:paraId="6F44B068">
            <w:pPr>
              <w:keepNext w:val="0"/>
              <w:keepLines w:val="0"/>
              <w:pageBreakBefore w:val="0"/>
              <w:widowControl w:val="0"/>
              <w:numPr>
                <w:ilvl w:val="0"/>
                <w:numId w:val="0"/>
              </w:numPr>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lang w:val="en-US" w:eastAsia="zh-CN" w:bidi="ar"/>
              </w:rPr>
            </w:pPr>
            <w:r>
              <w:rPr>
                <w:rFonts w:hint="eastAsia" w:ascii="宋体" w:hAnsi="宋体" w:eastAsia="宋体" w:cs="宋体"/>
                <w:b w:val="0"/>
                <w:bCs w:val="0"/>
                <w:i w:val="0"/>
                <w:iCs w:val="0"/>
                <w:color w:val="000000"/>
                <w:kern w:val="0"/>
                <w:sz w:val="24"/>
                <w:szCs w:val="24"/>
                <w:highlight w:val="none"/>
                <w:lang w:val="en-US" w:eastAsia="zh-CN" w:bidi="ar"/>
              </w:rPr>
              <w:t>1.电池容量：3000mAh</w:t>
            </w:r>
            <w:r>
              <w:rPr>
                <w:rFonts w:hint="eastAsia" w:ascii="宋体" w:hAnsi="宋体" w:eastAsia="宋体" w:cs="宋体"/>
                <w:b w:val="0"/>
                <w:bCs w:val="0"/>
                <w:i w:val="0"/>
                <w:iCs w:val="0"/>
                <w:color w:val="000000"/>
                <w:kern w:val="0"/>
                <w:sz w:val="24"/>
                <w:szCs w:val="24"/>
                <w:highlight w:val="none"/>
                <w:lang w:val="en-US" w:eastAsia="zh-CN" w:bidi="ar"/>
              </w:rPr>
              <w:br w:type="textWrapping"/>
            </w:r>
            <w:r>
              <w:rPr>
                <w:rFonts w:hint="eastAsia" w:ascii="宋体" w:hAnsi="宋体" w:eastAsia="宋体" w:cs="宋体"/>
                <w:b w:val="0"/>
                <w:bCs w:val="0"/>
                <w:i w:val="0"/>
                <w:iCs w:val="0"/>
                <w:color w:val="000000"/>
                <w:kern w:val="0"/>
                <w:sz w:val="24"/>
                <w:szCs w:val="24"/>
                <w:highlight w:val="none"/>
                <w:lang w:val="en-US" w:eastAsia="zh-CN" w:bidi="ar"/>
              </w:rPr>
              <w:t>2.下行最大支持：150Mbps</w:t>
            </w:r>
            <w:r>
              <w:rPr>
                <w:rFonts w:hint="eastAsia" w:ascii="宋体" w:hAnsi="宋体" w:eastAsia="宋体" w:cs="宋体"/>
                <w:b w:val="0"/>
                <w:bCs w:val="0"/>
                <w:i w:val="0"/>
                <w:iCs w:val="0"/>
                <w:color w:val="000000"/>
                <w:kern w:val="0"/>
                <w:sz w:val="24"/>
                <w:szCs w:val="24"/>
                <w:highlight w:val="none"/>
                <w:lang w:val="en-US" w:eastAsia="zh-CN" w:bidi="ar"/>
              </w:rPr>
              <w:br w:type="textWrapping"/>
            </w:r>
            <w:r>
              <w:rPr>
                <w:rFonts w:hint="eastAsia" w:ascii="宋体" w:hAnsi="宋体" w:eastAsia="宋体" w:cs="宋体"/>
                <w:b w:val="0"/>
                <w:bCs w:val="0"/>
                <w:i w:val="0"/>
                <w:iCs w:val="0"/>
                <w:color w:val="000000"/>
                <w:kern w:val="0"/>
                <w:sz w:val="24"/>
                <w:szCs w:val="24"/>
                <w:highlight w:val="none"/>
                <w:lang w:val="en-US" w:eastAsia="zh-CN" w:bidi="ar"/>
              </w:rPr>
              <w:t>3.资费卡兼容类型、资费类型、机卡绑定：设备为全网通版本（支持中国移动、中国电信、中国联通等主要运营商网络），不得锁定特定运营商或资费计划。</w:t>
            </w:r>
          </w:p>
          <w:p w14:paraId="0171C74D">
            <w:pPr>
              <w:keepNext w:val="0"/>
              <w:keepLines w:val="0"/>
              <w:pageBreakBefore w:val="0"/>
              <w:widowControl w:val="0"/>
              <w:numPr>
                <w:ilvl w:val="0"/>
                <w:numId w:val="0"/>
              </w:numPr>
              <w:suppressLineNumbers w:val="0"/>
              <w:kinsoku/>
              <w:wordWrap w:val="0"/>
              <w:overflowPunct/>
              <w:topLinePunct w:val="0"/>
              <w:autoSpaceDE/>
              <w:autoSpaceDN/>
              <w:bidi w:val="0"/>
              <w:adjustRightInd/>
              <w:snapToGrid/>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lang w:val="en-US" w:eastAsia="zh-CN" w:bidi="ar"/>
              </w:rPr>
              <w:t>4.产品净重（kg）：≤0.1kg</w:t>
            </w:r>
            <w:r>
              <w:rPr>
                <w:rFonts w:hint="eastAsia" w:ascii="宋体" w:hAnsi="宋体" w:eastAsia="宋体" w:cs="宋体"/>
                <w:b w:val="0"/>
                <w:bCs w:val="0"/>
                <w:i w:val="0"/>
                <w:iCs w:val="0"/>
                <w:color w:val="000000"/>
                <w:kern w:val="0"/>
                <w:sz w:val="24"/>
                <w:szCs w:val="24"/>
                <w:highlight w:val="none"/>
                <w:lang w:val="en-US" w:eastAsia="zh-CN" w:bidi="ar"/>
              </w:rPr>
              <w:br w:type="textWrapping"/>
            </w:r>
            <w:r>
              <w:rPr>
                <w:rFonts w:hint="eastAsia" w:ascii="宋体" w:hAnsi="宋体" w:eastAsia="宋体" w:cs="宋体"/>
                <w:b w:val="0"/>
                <w:bCs w:val="0"/>
                <w:i w:val="0"/>
                <w:iCs w:val="0"/>
                <w:color w:val="000000"/>
                <w:kern w:val="0"/>
                <w:sz w:val="24"/>
                <w:szCs w:val="24"/>
                <w:highlight w:val="none"/>
                <w:lang w:val="en-US" w:eastAsia="zh-CN" w:bidi="ar"/>
              </w:rPr>
              <w:t>5.上行最大支持：150Mbps</w:t>
            </w:r>
            <w:r>
              <w:rPr>
                <w:rFonts w:hint="eastAsia" w:ascii="宋体" w:hAnsi="宋体" w:eastAsia="宋体" w:cs="宋体"/>
                <w:b w:val="0"/>
                <w:bCs w:val="0"/>
                <w:i w:val="0"/>
                <w:iCs w:val="0"/>
                <w:color w:val="000000"/>
                <w:kern w:val="0"/>
                <w:sz w:val="24"/>
                <w:szCs w:val="24"/>
                <w:highlight w:val="none"/>
                <w:lang w:val="en-US" w:eastAsia="zh-CN" w:bidi="ar"/>
              </w:rPr>
              <w:br w:type="textWrapping"/>
            </w:r>
            <w:r>
              <w:rPr>
                <w:rFonts w:hint="eastAsia" w:ascii="宋体" w:hAnsi="宋体" w:eastAsia="宋体" w:cs="宋体"/>
                <w:b w:val="0"/>
                <w:bCs w:val="0"/>
                <w:i w:val="0"/>
                <w:iCs w:val="0"/>
                <w:color w:val="000000"/>
                <w:kern w:val="0"/>
                <w:sz w:val="24"/>
                <w:szCs w:val="24"/>
                <w:highlight w:val="none"/>
                <w:lang w:val="en-US" w:eastAsia="zh-CN" w:bidi="ar"/>
              </w:rPr>
              <w:t>6.产品尺寸：≥长100mm 宽60mm 高15mm</w:t>
            </w:r>
            <w:r>
              <w:rPr>
                <w:rFonts w:hint="eastAsia" w:ascii="宋体" w:hAnsi="宋体" w:eastAsia="宋体" w:cs="宋体"/>
                <w:b w:val="0"/>
                <w:bCs w:val="0"/>
                <w:i w:val="0"/>
                <w:iCs w:val="0"/>
                <w:color w:val="000000"/>
                <w:kern w:val="0"/>
                <w:sz w:val="24"/>
                <w:szCs w:val="24"/>
                <w:highlight w:val="none"/>
                <w:lang w:val="en-US" w:eastAsia="zh-CN" w:bidi="ar"/>
              </w:rPr>
              <w:br w:type="textWrapping"/>
            </w:r>
            <w:r>
              <w:rPr>
                <w:rFonts w:hint="eastAsia" w:ascii="宋体" w:hAnsi="宋体" w:eastAsia="宋体" w:cs="宋体"/>
                <w:b w:val="0"/>
                <w:bCs w:val="0"/>
                <w:i w:val="0"/>
                <w:iCs w:val="0"/>
                <w:color w:val="000000"/>
                <w:kern w:val="0"/>
                <w:sz w:val="24"/>
                <w:szCs w:val="24"/>
                <w:highlight w:val="none"/>
                <w:lang w:val="en-US" w:eastAsia="zh-CN" w:bidi="ar"/>
              </w:rPr>
              <w:t>7.储存</w:t>
            </w:r>
            <w:r>
              <w:rPr>
                <w:rFonts w:hint="eastAsia" w:ascii="宋体" w:hAnsi="宋体" w:eastAsia="宋体" w:cs="宋体"/>
                <w:b w:val="0"/>
                <w:bCs w:val="0"/>
                <w:i w:val="0"/>
                <w:iCs w:val="0"/>
                <w:color w:val="000000"/>
                <w:kern w:val="0"/>
                <w:sz w:val="24"/>
                <w:szCs w:val="24"/>
                <w:highlight w:val="none"/>
                <w:u w:val="none"/>
                <w:lang w:val="en-US" w:eastAsia="zh-CN" w:bidi="ar"/>
              </w:rPr>
              <w:t>温度：常温</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8.工作温度：常温</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9.网络制式：中国移动、中国电信 、中国联通</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10.产品形态；MIFI</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11.网络支持：4G</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12.是否内置防火墙：有内置防火墙</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13.是否需插卡：无需插卡</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14.运营商：三网通</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15.无线协议：Wi-Fi 6</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16.无线速率：150M及以下</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17.最多可连接用户：≥10人</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18.有线传输率:无</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19.APP控制:支持APP控制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20.是否带USB:无USB接口</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21.类别:随身Wi-Fi</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22.天线</w:t>
            </w:r>
            <w:r>
              <w:rPr>
                <w:rFonts w:hint="eastAsia" w:ascii="宋体" w:hAnsi="宋体" w:eastAsia="宋体" w:cs="宋体"/>
                <w:i w:val="0"/>
                <w:iCs w:val="0"/>
                <w:color w:val="000000"/>
                <w:kern w:val="0"/>
                <w:sz w:val="24"/>
                <w:szCs w:val="24"/>
                <w:highlight w:val="none"/>
                <w:u w:val="none"/>
                <w:lang w:val="en-US" w:eastAsia="zh-CN" w:bidi="ar"/>
              </w:rPr>
              <w:t>:内置天线</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b/>
                <w:bCs/>
                <w:i w:val="0"/>
                <w:iCs w:val="0"/>
                <w:color w:val="000000"/>
                <w:kern w:val="0"/>
                <w:sz w:val="24"/>
                <w:szCs w:val="24"/>
                <w:highlight w:val="none"/>
                <w:u w:val="none"/>
                <w:lang w:val="en-US" w:eastAsia="zh-CN" w:bidi="ar"/>
              </w:rPr>
              <w:t>包装清单:</w:t>
            </w:r>
          </w:p>
          <w:p w14:paraId="1803B45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移动WiFi*1，电池*1，数据线*1</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E67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184275" cy="1971675"/>
                  <wp:effectExtent l="0" t="0" r="4445" b="9525"/>
                  <wp:docPr id="15" name="图片_48"/>
                  <wp:cNvGraphicFramePr/>
                  <a:graphic xmlns:a="http://schemas.openxmlformats.org/drawingml/2006/main">
                    <a:graphicData uri="http://schemas.openxmlformats.org/drawingml/2006/picture">
                      <pic:pic xmlns:pic="http://schemas.openxmlformats.org/drawingml/2006/picture">
                        <pic:nvPicPr>
                          <pic:cNvPr id="15" name="图片_48"/>
                          <pic:cNvPicPr/>
                        </pic:nvPicPr>
                        <pic:blipFill>
                          <a:blip r:embed="rId31"/>
                          <a:stretch>
                            <a:fillRect/>
                          </a:stretch>
                        </pic:blipFill>
                        <pic:spPr>
                          <a:xfrm>
                            <a:off x="0" y="0"/>
                            <a:ext cx="1184275" cy="197167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0CA9384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机卡一体卫星WiFi</w:t>
            </w:r>
          </w:p>
        </w:tc>
      </w:tr>
      <w:tr w14:paraId="2CAEB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6F97345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23</w:t>
            </w:r>
          </w:p>
        </w:tc>
        <w:tc>
          <w:tcPr>
            <w:tcW w:w="1247" w:type="dxa"/>
            <w:tcBorders>
              <w:top w:val="single" w:color="000000" w:sz="4" w:space="0"/>
              <w:bottom w:val="single" w:color="000000" w:sz="4" w:space="0"/>
              <w:right w:val="single" w:color="000000" w:sz="4" w:space="0"/>
            </w:tcBorders>
            <w:shd w:val="clear" w:color="auto" w:fill="auto"/>
            <w:vAlign w:val="center"/>
          </w:tcPr>
          <w:p w14:paraId="53B539D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无人机</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A65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架</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068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A5D5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1.电池容量:≥19Wh</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2.最大抗风速:12m/s</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3.数据传输:有线传输</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4.无线电发射设备型号核准证:是</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5.最大飞行时间:≥45分钟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6.实时图传质量:1080p</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7.支持接口类型：</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8.操控方式：遥控器控制</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9.主摄像素数：5000万</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10.视频拍摄能力：4K 120P</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11.主摄CMOS尺寸：1英寸</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12.感知系统类型：多方向避障</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13.最大信号有效距离：9km以上</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CF0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297940" cy="1541780"/>
                  <wp:effectExtent l="0" t="0" r="12700" b="12700"/>
                  <wp:docPr id="4" name="图片_25"/>
                  <wp:cNvGraphicFramePr/>
                  <a:graphic xmlns:a="http://schemas.openxmlformats.org/drawingml/2006/main">
                    <a:graphicData uri="http://schemas.openxmlformats.org/drawingml/2006/picture">
                      <pic:pic xmlns:pic="http://schemas.openxmlformats.org/drawingml/2006/picture">
                        <pic:nvPicPr>
                          <pic:cNvPr id="4" name="图片_25"/>
                          <pic:cNvPicPr/>
                        </pic:nvPicPr>
                        <pic:blipFill>
                          <a:blip r:embed="rId32"/>
                          <a:srcRect t="30445"/>
                          <a:stretch>
                            <a:fillRect/>
                          </a:stretch>
                        </pic:blipFill>
                        <pic:spPr>
                          <a:xfrm>
                            <a:off x="0" y="0"/>
                            <a:ext cx="1297940" cy="154178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5431FD6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户外高清无人机</w:t>
            </w:r>
          </w:p>
        </w:tc>
      </w:tr>
      <w:tr w14:paraId="2547A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77A6F0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c>
          <w:tcPr>
            <w:tcW w:w="1247" w:type="dxa"/>
            <w:tcBorders>
              <w:top w:val="single" w:color="000000" w:sz="4" w:space="0"/>
              <w:bottom w:val="single" w:color="000000" w:sz="4" w:space="0"/>
              <w:right w:val="single" w:color="000000" w:sz="4" w:space="0"/>
            </w:tcBorders>
            <w:shd w:val="clear" w:color="auto" w:fill="auto"/>
            <w:vAlign w:val="center"/>
          </w:tcPr>
          <w:p w14:paraId="500A4FC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运动相机设备</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327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D3D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64B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运动型图像、视频采集设备：</w:t>
            </w:r>
          </w:p>
          <w:p w14:paraId="6A6A5FB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1.电池续航时间：240分钟</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2.电池可拆卸：可拆卸</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3.单镜头像素：3800万像素</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4.镜头防抖：电子防抖</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5.广角拍摄：支持广角拍摄</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6.充电可拍摄：支持</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7.机身材质；合成金属</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8.视频格式；MP4格式</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9.语言：中文</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10.全景拍摄：支持</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11.防水能力：20米</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12.主摄像头像素：3800万</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13.存储介质；TF（MicroSD）卡</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14.分辨率：4K</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15.功能：裸机防水</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16.视频拍摄能力：4K 60P</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733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539875" cy="1082040"/>
                  <wp:effectExtent l="0" t="0" r="14605"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3"/>
                          <a:stretch>
                            <a:fillRect/>
                          </a:stretch>
                        </pic:blipFill>
                        <pic:spPr>
                          <a:xfrm>
                            <a:off x="0" y="0"/>
                            <a:ext cx="1539875" cy="108204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9F143B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高清运动相机设备</w:t>
            </w:r>
          </w:p>
        </w:tc>
      </w:tr>
      <w:tr w14:paraId="3FD759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784642DC">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25</w:t>
            </w:r>
          </w:p>
        </w:tc>
        <w:tc>
          <w:tcPr>
            <w:tcW w:w="1247" w:type="dxa"/>
            <w:tcBorders>
              <w:top w:val="single" w:color="000000" w:sz="4" w:space="0"/>
              <w:bottom w:val="single" w:color="000000" w:sz="4" w:space="0"/>
              <w:right w:val="single" w:color="000000" w:sz="4" w:space="0"/>
            </w:tcBorders>
            <w:shd w:val="clear" w:color="auto" w:fill="auto"/>
            <w:vAlign w:val="center"/>
          </w:tcPr>
          <w:p w14:paraId="26DE724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执法记录仪</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259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E38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0F6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1.显示屏2.4英寸 TFT LCD，240*320，电容触摸屏,</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2.CPU：8 核 64 位处理器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3.内存：4GB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4.视频输入主机内置摄像机录像分辨率：1920*1080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5.视频录像视频分辨率最高为：1080P/30FPS，1280*720/30FPS720*576/30FPS可</w:t>
            </w:r>
            <w:r>
              <w:rPr>
                <w:rFonts w:hint="eastAsia" w:ascii="宋体" w:hAnsi="宋体" w:eastAsia="宋体" w:cs="宋体"/>
                <w:b w:val="0"/>
                <w:bCs w:val="0"/>
                <w:i w:val="0"/>
                <w:iCs w:val="0"/>
                <w:color w:val="000000"/>
                <w:kern w:val="0"/>
                <w:sz w:val="24"/>
                <w:szCs w:val="24"/>
                <w:highlight w:val="none"/>
                <w:u w:val="none"/>
                <w:lang w:val="en-US" w:eastAsia="zh-CN" w:bidi="ar"/>
              </w:rPr>
              <w:t>选；</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6.支持视频双码流技术，实时图传分辨率≥720P</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7.视频编码格式：H.264/H.265</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8.照片格式：JPG，主相机3000 万像素</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9.快门：电子快门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10.红外夜视：自动红外夜视灯开/关，滤光片自动切换</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11.白平衡：自动</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12.具有红外夜视，可配白光补光/拍照辅助照明</w:t>
            </w:r>
            <w:r>
              <w:rPr>
                <w:rFonts w:hint="eastAsia" w:ascii="宋体" w:hAnsi="宋体" w:eastAsia="宋体" w:cs="宋体"/>
                <w:b w:val="0"/>
                <w:bCs w:val="0"/>
                <w:i w:val="0"/>
                <w:iCs w:val="0"/>
                <w:color w:val="000000"/>
                <w:kern w:val="0"/>
                <w:sz w:val="24"/>
                <w:szCs w:val="24"/>
                <w:highlight w:val="none"/>
                <w:u w:val="none"/>
                <w:lang w:val="en-US" w:eastAsia="zh-CN" w:bidi="ar"/>
              </w:rPr>
              <w:br w:type="textWrapping"/>
            </w:r>
            <w:r>
              <w:rPr>
                <w:rFonts w:hint="eastAsia" w:ascii="宋体" w:hAnsi="宋体" w:eastAsia="宋体" w:cs="宋体"/>
                <w:b w:val="0"/>
                <w:bCs w:val="0"/>
                <w:i w:val="0"/>
                <w:iCs w:val="0"/>
                <w:color w:val="000000"/>
                <w:kern w:val="0"/>
                <w:sz w:val="24"/>
                <w:szCs w:val="24"/>
                <w:highlight w:val="none"/>
                <w:u w:val="none"/>
                <w:lang w:val="en-US" w:eastAsia="zh-CN" w:bidi="ar"/>
              </w:rPr>
              <w:t>13.存储介质容量：EMMC，标配存储芯片容量64</w:t>
            </w:r>
            <w:r>
              <w:rPr>
                <w:rFonts w:hint="eastAsia" w:ascii="宋体" w:hAnsi="宋体" w:eastAsia="宋体" w:cs="宋体"/>
                <w:i w:val="0"/>
                <w:iCs w:val="0"/>
                <w:color w:val="000000"/>
                <w:kern w:val="0"/>
                <w:sz w:val="24"/>
                <w:szCs w:val="24"/>
                <w:highlight w:val="none"/>
                <w:u w:val="none"/>
                <w:lang w:val="en-US" w:eastAsia="zh-CN" w:bidi="ar"/>
              </w:rPr>
              <w:t>GB（可选 128GB 256GB）</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14.卫星定位：内置 GPS 和北斗二代组合定位功能</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C2C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drawing>
                <wp:inline distT="0" distB="0" distL="114300" distR="114300">
                  <wp:extent cx="1297940" cy="1091565"/>
                  <wp:effectExtent l="0" t="0" r="12700" b="571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4"/>
                          <a:stretch>
                            <a:fillRect/>
                          </a:stretch>
                        </pic:blipFill>
                        <pic:spPr>
                          <a:xfrm>
                            <a:off x="0" y="0"/>
                            <a:ext cx="1297940" cy="109156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7BF6C76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高清执法记录仪</w:t>
            </w:r>
          </w:p>
        </w:tc>
      </w:tr>
      <w:tr w14:paraId="3B069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51E7EF9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c>
          <w:tcPr>
            <w:tcW w:w="1247" w:type="dxa"/>
            <w:tcBorders>
              <w:top w:val="single" w:color="000000" w:sz="4" w:space="0"/>
              <w:bottom w:val="single" w:color="000000" w:sz="4" w:space="0"/>
              <w:right w:val="single" w:color="000000" w:sz="4" w:space="0"/>
            </w:tcBorders>
            <w:shd w:val="clear" w:color="auto" w:fill="auto"/>
            <w:vAlign w:val="center"/>
          </w:tcPr>
          <w:p w14:paraId="710B7B6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空气微生物采样箱</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030C">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4CB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BE5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包含空气微生物采样器等10项仪器设备：</w:t>
            </w:r>
          </w:p>
          <w:p w14:paraId="21A2265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1.空气微生物采样器：撞击式采样器，1套。</w:t>
            </w:r>
          </w:p>
          <w:p w14:paraId="61C5FFC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2.六级采样器三角架：铝合金材料，采样高度1.5米，可调节高度，1个。</w:t>
            </w:r>
          </w:p>
          <w:p w14:paraId="3E7EAE5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3.主机三角架：铝合金材料，可调节高度，1个。</w:t>
            </w:r>
          </w:p>
          <w:p w14:paraId="20270F6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4.主机托盘：方形，1个。</w:t>
            </w:r>
          </w:p>
          <w:p w14:paraId="7EFE4A3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5.采样器托盘：塑料材质，1个。</w:t>
            </w:r>
          </w:p>
          <w:p w14:paraId="368FB59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6.硅胶管：1根。</w:t>
            </w:r>
          </w:p>
          <w:p w14:paraId="54872A9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7.外接电源线：2m，1根。</w:t>
            </w:r>
          </w:p>
          <w:p w14:paraId="659E762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8.微机控制充电器：6v，1个。</w:t>
            </w:r>
          </w:p>
          <w:p w14:paraId="64A7C40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9.塑料平皿：直径90mm，10个。10.铝合金外箱：1个。</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B15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238250" cy="878840"/>
                  <wp:effectExtent l="0" t="0" r="11430" b="5080"/>
                  <wp:docPr id="20" name="图片_2"/>
                  <wp:cNvGraphicFramePr/>
                  <a:graphic xmlns:a="http://schemas.openxmlformats.org/drawingml/2006/main">
                    <a:graphicData uri="http://schemas.openxmlformats.org/drawingml/2006/picture">
                      <pic:pic xmlns:pic="http://schemas.openxmlformats.org/drawingml/2006/picture">
                        <pic:nvPicPr>
                          <pic:cNvPr id="20" name="图片_2"/>
                          <pic:cNvPicPr/>
                        </pic:nvPicPr>
                        <pic:blipFill>
                          <a:blip r:embed="rId35"/>
                          <a:stretch>
                            <a:fillRect/>
                          </a:stretch>
                        </pic:blipFill>
                        <pic:spPr>
                          <a:xfrm>
                            <a:off x="0" y="0"/>
                            <a:ext cx="1238250" cy="87884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0CCE98D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空气微生物采样箱</w:t>
            </w:r>
          </w:p>
        </w:tc>
      </w:tr>
      <w:tr w14:paraId="37BAE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7CD4DA1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27</w:t>
            </w:r>
          </w:p>
        </w:tc>
        <w:tc>
          <w:tcPr>
            <w:tcW w:w="1247" w:type="dxa"/>
            <w:tcBorders>
              <w:top w:val="single" w:color="000000" w:sz="4" w:space="0"/>
              <w:bottom w:val="single" w:color="000000" w:sz="4" w:space="0"/>
              <w:right w:val="single" w:color="000000" w:sz="4" w:space="0"/>
            </w:tcBorders>
            <w:shd w:val="clear" w:color="auto" w:fill="auto"/>
            <w:vAlign w:val="center"/>
          </w:tcPr>
          <w:p w14:paraId="726EA17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急救安全箱</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4FB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B25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32F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1.材质为 ABS 工程塑料</w:t>
            </w:r>
          </w:p>
          <w:p w14:paraId="0C09719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2.防护等级为 IP54 </w:t>
            </w:r>
          </w:p>
          <w:p w14:paraId="33C1F1A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3.尺寸多样</w:t>
            </w:r>
          </w:p>
          <w:p w14:paraId="3A8F96A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4.重量约 5kg</w:t>
            </w:r>
          </w:p>
          <w:p w14:paraId="1A9FFAD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5.内部配置包含清创、止血、包扎等多种急救用品。</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595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34135" cy="857250"/>
                  <wp:effectExtent l="0" t="0" r="6985" b="11430"/>
                  <wp:docPr id="6" name="图片_38"/>
                  <wp:cNvGraphicFramePr/>
                  <a:graphic xmlns:a="http://schemas.openxmlformats.org/drawingml/2006/main">
                    <a:graphicData uri="http://schemas.openxmlformats.org/drawingml/2006/picture">
                      <pic:pic xmlns:pic="http://schemas.openxmlformats.org/drawingml/2006/picture">
                        <pic:nvPicPr>
                          <pic:cNvPr id="6" name="图片_38"/>
                          <pic:cNvPicPr/>
                        </pic:nvPicPr>
                        <pic:blipFill>
                          <a:blip r:embed="rId36"/>
                          <a:stretch>
                            <a:fillRect/>
                          </a:stretch>
                        </pic:blipFill>
                        <pic:spPr>
                          <a:xfrm>
                            <a:off x="0" y="0"/>
                            <a:ext cx="1334135" cy="85725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19F0194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包含队员所需医疗耗材、急救药品等</w:t>
            </w:r>
          </w:p>
        </w:tc>
      </w:tr>
      <w:tr w14:paraId="61BA6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22EE506C">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28</w:t>
            </w:r>
          </w:p>
        </w:tc>
        <w:tc>
          <w:tcPr>
            <w:tcW w:w="1247" w:type="dxa"/>
            <w:tcBorders>
              <w:top w:val="single" w:color="000000" w:sz="4" w:space="0"/>
              <w:bottom w:val="single" w:color="000000" w:sz="4" w:space="0"/>
              <w:right w:val="single" w:color="000000" w:sz="4" w:space="0"/>
            </w:tcBorders>
            <w:shd w:val="clear" w:color="auto" w:fill="auto"/>
            <w:vAlign w:val="center"/>
          </w:tcPr>
          <w:p w14:paraId="0E081662">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心肺复苏训练模型</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193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1F95">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3E6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简易半身模型，基础电子提示：</w:t>
            </w:r>
          </w:p>
          <w:p w14:paraId="14803C0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采用仿生硅胶材质，具备解剖标志，可模拟胸外按压深度（5-6cm）、频率（100-120次/分）及人工呼吸潮气量（500-600ml），并提供实时反馈（语音、灯光、数码计数），具备瞳孔变化和颈动脉搏动模拟功能。</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5BC7">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870585" cy="674370"/>
                  <wp:effectExtent l="0" t="0" r="13335" b="11430"/>
                  <wp:docPr id="19" name="图片_21"/>
                  <wp:cNvGraphicFramePr/>
                  <a:graphic xmlns:a="http://schemas.openxmlformats.org/drawingml/2006/main">
                    <a:graphicData uri="http://schemas.openxmlformats.org/drawingml/2006/picture">
                      <pic:pic xmlns:pic="http://schemas.openxmlformats.org/drawingml/2006/picture">
                        <pic:nvPicPr>
                          <pic:cNvPr id="19" name="图片_21"/>
                          <pic:cNvPicPr/>
                        </pic:nvPicPr>
                        <pic:blipFill>
                          <a:blip r:embed="rId37"/>
                          <a:stretch>
                            <a:fillRect/>
                          </a:stretch>
                        </pic:blipFill>
                        <pic:spPr>
                          <a:xfrm>
                            <a:off x="0" y="0"/>
                            <a:ext cx="870585" cy="67437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4164807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模拟心肺复苏</w:t>
            </w:r>
          </w:p>
        </w:tc>
      </w:tr>
      <w:tr w14:paraId="0A21E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172D5C0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29</w:t>
            </w:r>
          </w:p>
        </w:tc>
        <w:tc>
          <w:tcPr>
            <w:tcW w:w="1247" w:type="dxa"/>
            <w:tcBorders>
              <w:top w:val="single" w:color="000000" w:sz="4" w:space="0"/>
              <w:bottom w:val="single" w:color="000000" w:sz="4" w:space="0"/>
              <w:right w:val="single" w:color="000000" w:sz="4" w:space="0"/>
            </w:tcBorders>
            <w:shd w:val="clear" w:color="auto" w:fill="auto"/>
            <w:vAlign w:val="center"/>
          </w:tcPr>
          <w:p w14:paraId="5182134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鼻咽拭子模型</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EB10">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988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3DD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透密外壳，可换黏膜：</w:t>
            </w:r>
          </w:p>
          <w:p w14:paraId="12153B8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训练用模型，模拟真实鼻咽腔结构；采样拭子常用尼龙植绒头+ABS杆，总长约 150mm，采样头直径3-4mm，设有折断点（通常在距头部 3-8cm 处）。</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4DB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186815" cy="640080"/>
                  <wp:effectExtent l="0" t="0" r="1905" b="0"/>
                  <wp:docPr id="24" name="图片_36"/>
                  <wp:cNvGraphicFramePr/>
                  <a:graphic xmlns:a="http://schemas.openxmlformats.org/drawingml/2006/main">
                    <a:graphicData uri="http://schemas.openxmlformats.org/drawingml/2006/picture">
                      <pic:pic xmlns:pic="http://schemas.openxmlformats.org/drawingml/2006/picture">
                        <pic:nvPicPr>
                          <pic:cNvPr id="24" name="图片_36"/>
                          <pic:cNvPicPr/>
                        </pic:nvPicPr>
                        <pic:blipFill>
                          <a:blip r:embed="rId38"/>
                          <a:stretch>
                            <a:fillRect/>
                          </a:stretch>
                        </pic:blipFill>
                        <pic:spPr>
                          <a:xfrm>
                            <a:off x="0" y="0"/>
                            <a:ext cx="1186815" cy="64008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105F478C">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训练用鼻咽拭子模型</w:t>
            </w:r>
          </w:p>
        </w:tc>
      </w:tr>
      <w:tr w14:paraId="083FB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051" w:hRule="atLeast"/>
        </w:trPr>
        <w:tc>
          <w:tcPr>
            <w:tcW w:w="521" w:type="dxa"/>
            <w:tcBorders>
              <w:top w:val="single" w:color="000000" w:sz="4" w:space="0"/>
              <w:bottom w:val="single" w:color="000000" w:sz="4" w:space="0"/>
              <w:right w:val="single" w:color="000000" w:sz="4" w:space="0"/>
            </w:tcBorders>
            <w:shd w:val="clear" w:color="auto" w:fill="auto"/>
            <w:vAlign w:val="center"/>
          </w:tcPr>
          <w:p w14:paraId="609D095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w:t>
            </w:r>
          </w:p>
        </w:tc>
        <w:tc>
          <w:tcPr>
            <w:tcW w:w="1247" w:type="dxa"/>
            <w:tcBorders>
              <w:top w:val="single" w:color="000000" w:sz="4" w:space="0"/>
              <w:bottom w:val="single" w:color="000000" w:sz="4" w:space="0"/>
              <w:right w:val="single" w:color="000000" w:sz="4" w:space="0"/>
            </w:tcBorders>
            <w:shd w:val="clear" w:color="auto" w:fill="auto"/>
            <w:vAlign w:val="center"/>
          </w:tcPr>
          <w:p w14:paraId="64D960A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标准静脉穿刺手臂</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AE7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CE8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9AF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高分子皮肤、乳胶血管、血管定位清晰，皮肤血管可更换：</w:t>
            </w:r>
          </w:p>
          <w:p w14:paraId="7FFDC90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模拟成人手臂，包含贵要静脉、头静脉等主要血管，皮肤和血管可更换，穿刺时有落空感和模拟回血，</w:t>
            </w:r>
            <w:r>
              <w:rPr>
                <w:rFonts w:hint="eastAsia" w:ascii="宋体" w:hAnsi="宋体" w:eastAsia="宋体" w:cs="宋体"/>
                <w:b w:val="0"/>
                <w:bCs w:val="0"/>
                <w:i w:val="0"/>
                <w:iCs w:val="0"/>
                <w:color w:val="000000"/>
                <w:kern w:val="0"/>
                <w:sz w:val="24"/>
                <w:szCs w:val="24"/>
                <w:highlight w:val="none"/>
                <w:u w:val="none"/>
                <w:lang w:val="en-US" w:eastAsia="zh-CN" w:bidi="ar"/>
              </w:rPr>
              <w:t>配备电子血液循环装置，模拟真实血压和血流。</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48A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806450" cy="575945"/>
                  <wp:effectExtent l="0" t="0" r="1270" b="3175"/>
                  <wp:docPr id="27" name="图片_20"/>
                  <wp:cNvGraphicFramePr/>
                  <a:graphic xmlns:a="http://schemas.openxmlformats.org/drawingml/2006/main">
                    <a:graphicData uri="http://schemas.openxmlformats.org/drawingml/2006/picture">
                      <pic:pic xmlns:pic="http://schemas.openxmlformats.org/drawingml/2006/picture">
                        <pic:nvPicPr>
                          <pic:cNvPr id="27" name="图片_20"/>
                          <pic:cNvPicPr/>
                        </pic:nvPicPr>
                        <pic:blipFill>
                          <a:blip r:embed="rId39"/>
                          <a:stretch>
                            <a:fillRect/>
                          </a:stretch>
                        </pic:blipFill>
                        <pic:spPr>
                          <a:xfrm>
                            <a:off x="0" y="0"/>
                            <a:ext cx="806450" cy="57594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6836336D">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标准静脉穿刺手臂</w:t>
            </w:r>
          </w:p>
        </w:tc>
      </w:tr>
      <w:tr w14:paraId="4F43AF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70245CB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c>
          <w:tcPr>
            <w:tcW w:w="1247" w:type="dxa"/>
            <w:tcBorders>
              <w:top w:val="single" w:color="000000" w:sz="4" w:space="0"/>
              <w:bottom w:val="single" w:color="000000" w:sz="4" w:space="0"/>
              <w:right w:val="single" w:color="000000" w:sz="4" w:space="0"/>
            </w:tcBorders>
            <w:shd w:val="clear" w:color="auto" w:fill="auto"/>
            <w:vAlign w:val="center"/>
          </w:tcPr>
          <w:p w14:paraId="73B8A38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冷风机</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26DA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6BD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079F">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移动冷风机：</w:t>
            </w:r>
          </w:p>
          <w:p w14:paraId="05D2D1A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1.移动类型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2.风量：500-2000 m³/h，</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3.功率：100-500W，</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4.适用面积：覆盖 </w:t>
            </w:r>
            <w:r>
              <w:rPr>
                <w:rFonts w:hint="eastAsia" w:ascii="宋体" w:hAnsi="宋体" w:eastAsia="宋体" w:cs="宋体"/>
                <w:b w:val="0"/>
                <w:bCs w:val="0"/>
                <w:i w:val="0"/>
                <w:iCs w:val="0"/>
                <w:color w:val="000000"/>
                <w:kern w:val="0"/>
                <w:sz w:val="24"/>
                <w:szCs w:val="24"/>
                <w:highlight w:val="none"/>
                <w:u w:val="none"/>
                <w:lang w:val="en-US" w:eastAsia="zh-CN" w:bidi="ar"/>
              </w:rPr>
              <w:t>≥100㎡。</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5.噪音：噪音约 70-80dB。</w:t>
            </w:r>
            <w:r>
              <w:rPr>
                <w:rFonts w:hint="eastAsia" w:ascii="宋体" w:hAnsi="宋体" w:eastAsia="宋体" w:cs="宋体"/>
                <w:i w:val="0"/>
                <w:iCs w:val="0"/>
                <w:color w:val="000000"/>
                <w:kern w:val="0"/>
                <w:sz w:val="24"/>
                <w:szCs w:val="24"/>
                <w:highlight w:val="none"/>
                <w:u w:val="none"/>
                <w:lang w:val="en-US" w:eastAsia="zh-CN" w:bidi="ar"/>
              </w:rPr>
              <w:br w:type="textWrapping"/>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4D3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904240" cy="1160780"/>
                  <wp:effectExtent l="0" t="0" r="10160" b="12700"/>
                  <wp:docPr id="40" name="图片_19"/>
                  <wp:cNvGraphicFramePr/>
                  <a:graphic xmlns:a="http://schemas.openxmlformats.org/drawingml/2006/main">
                    <a:graphicData uri="http://schemas.openxmlformats.org/drawingml/2006/picture">
                      <pic:pic xmlns:pic="http://schemas.openxmlformats.org/drawingml/2006/picture">
                        <pic:nvPicPr>
                          <pic:cNvPr id="40" name="图片_19"/>
                          <pic:cNvPicPr/>
                        </pic:nvPicPr>
                        <pic:blipFill>
                          <a:blip r:embed="rId40"/>
                          <a:stretch>
                            <a:fillRect/>
                          </a:stretch>
                        </pic:blipFill>
                        <pic:spPr>
                          <a:xfrm>
                            <a:off x="0" y="0"/>
                            <a:ext cx="904240" cy="116078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3ADCDE2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适用于多场景冷风机</w:t>
            </w:r>
          </w:p>
        </w:tc>
      </w:tr>
      <w:tr w14:paraId="4A1B5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211D6E1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32</w:t>
            </w:r>
          </w:p>
        </w:tc>
        <w:tc>
          <w:tcPr>
            <w:tcW w:w="1247" w:type="dxa"/>
            <w:tcBorders>
              <w:top w:val="single" w:color="000000" w:sz="4" w:space="0"/>
              <w:bottom w:val="single" w:color="000000" w:sz="4" w:space="0"/>
              <w:right w:val="single" w:color="000000" w:sz="4" w:space="0"/>
            </w:tcBorders>
            <w:shd w:val="clear" w:color="auto" w:fill="auto"/>
            <w:vAlign w:val="center"/>
          </w:tcPr>
          <w:p w14:paraId="16D1EBE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增强现实（AR）眼镜</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ECD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副</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6A6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9DB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p>
          <w:p w14:paraId="55FCDFC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1.分辨率（单眼 1080P 或更高）</w:t>
            </w:r>
          </w:p>
          <w:p w14:paraId="38FF58D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2.视场角（FOV，通常 40-57 度）</w:t>
            </w:r>
          </w:p>
          <w:p w14:paraId="4FBCDA3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3.刷新率（120Hz）</w:t>
            </w:r>
          </w:p>
          <w:p w14:paraId="44540124">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4.重量（70-100g）</w:t>
            </w:r>
          </w:p>
          <w:p w14:paraId="3DD01D4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8"/>
                <w:szCs w:val="28"/>
                <w:highlight w:val="none"/>
                <w:u w:val="none"/>
                <w:bdr w:val="single" w:color="000000" w:sz="4" w:space="0"/>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5.交互方式（如 3DoF/6DoF 头部追踪，全面屏效果</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33E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047750" cy="702310"/>
                  <wp:effectExtent l="0" t="0" r="3810" b="13970"/>
                  <wp:docPr id="14" name="图片_18"/>
                  <wp:cNvGraphicFramePr/>
                  <a:graphic xmlns:a="http://schemas.openxmlformats.org/drawingml/2006/main">
                    <a:graphicData uri="http://schemas.openxmlformats.org/drawingml/2006/picture">
                      <pic:pic xmlns:pic="http://schemas.openxmlformats.org/drawingml/2006/picture">
                        <pic:nvPicPr>
                          <pic:cNvPr id="14" name="图片_18"/>
                          <pic:cNvPicPr/>
                        </pic:nvPicPr>
                        <pic:blipFill>
                          <a:blip r:embed="rId41"/>
                          <a:stretch>
                            <a:fillRect/>
                          </a:stretch>
                        </pic:blipFill>
                        <pic:spPr>
                          <a:xfrm>
                            <a:off x="0" y="0"/>
                            <a:ext cx="1047750" cy="70231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5F3DDF08">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纳米级护眼AR眼镜</w:t>
            </w:r>
          </w:p>
        </w:tc>
      </w:tr>
      <w:tr w14:paraId="3E715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07369E3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33</w:t>
            </w:r>
          </w:p>
        </w:tc>
        <w:tc>
          <w:tcPr>
            <w:tcW w:w="1247" w:type="dxa"/>
            <w:tcBorders>
              <w:top w:val="single" w:color="000000" w:sz="4" w:space="0"/>
              <w:bottom w:val="single" w:color="000000" w:sz="4" w:space="0"/>
              <w:right w:val="single" w:color="000000" w:sz="4" w:space="0"/>
            </w:tcBorders>
            <w:shd w:val="clear" w:color="auto" w:fill="auto"/>
            <w:vAlign w:val="center"/>
          </w:tcPr>
          <w:p w14:paraId="76450B6B">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诱蚊灯</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CD8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A03B">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EFE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1.灭蚊原理：吸入式</w:t>
            </w:r>
          </w:p>
          <w:p w14:paraId="110DD5F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2.灭蚊方式：CCFL冷阴激光源</w:t>
            </w:r>
          </w:p>
          <w:p w14:paraId="4089417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3.是否可充电：不可充电。</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9686">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09370" cy="1382395"/>
                  <wp:effectExtent l="0" t="0" r="1270" b="4445"/>
                  <wp:docPr id="17" name="图片_1"/>
                  <wp:cNvGraphicFramePr/>
                  <a:graphic xmlns:a="http://schemas.openxmlformats.org/drawingml/2006/main">
                    <a:graphicData uri="http://schemas.openxmlformats.org/drawingml/2006/picture">
                      <pic:pic xmlns:pic="http://schemas.openxmlformats.org/drawingml/2006/picture">
                        <pic:nvPicPr>
                          <pic:cNvPr id="17" name="图片_1"/>
                          <pic:cNvPicPr/>
                        </pic:nvPicPr>
                        <pic:blipFill>
                          <a:blip r:embed="rId42"/>
                          <a:stretch>
                            <a:fillRect/>
                          </a:stretch>
                        </pic:blipFill>
                        <pic:spPr>
                          <a:xfrm>
                            <a:off x="0" y="0"/>
                            <a:ext cx="1309370" cy="138239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3CA07F3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户外诱蚊灯</w:t>
            </w:r>
          </w:p>
        </w:tc>
      </w:tr>
      <w:tr w14:paraId="76940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5EED637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34</w:t>
            </w:r>
          </w:p>
        </w:tc>
        <w:tc>
          <w:tcPr>
            <w:tcW w:w="1247" w:type="dxa"/>
            <w:tcBorders>
              <w:top w:val="single" w:color="000000" w:sz="4" w:space="0"/>
              <w:bottom w:val="single" w:color="000000" w:sz="4" w:space="0"/>
              <w:right w:val="single" w:color="000000" w:sz="4" w:space="0"/>
            </w:tcBorders>
            <w:shd w:val="clear" w:color="auto" w:fill="auto"/>
            <w:vAlign w:val="center"/>
          </w:tcPr>
          <w:p w14:paraId="7F5A8165">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捕鼠夹</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31B1">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DC42">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sz w:val="24"/>
                <w:szCs w:val="24"/>
                <w:highlight w:val="none"/>
                <w:u w:val="none"/>
                <w:lang w:val="en-US"/>
              </w:rPr>
            </w:pPr>
            <w:r>
              <w:rPr>
                <w:rFonts w:hint="eastAsia" w:ascii="宋体" w:hAnsi="宋体" w:eastAsia="宋体" w:cs="宋体"/>
                <w:b w:val="0"/>
                <w:bCs w:val="0"/>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C8E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 xml:space="preserve">1.灵敏度：采用精密冲压钢片触发器，触发灵敏度可调，能够对小型啮齿类动物（如小家鼠）的活动产生响应，远高于传统鼠夹（5-10g），能捕捉更小的老鼠。 </w:t>
            </w:r>
          </w:p>
          <w:p w14:paraId="35EB5646">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2.材质与耐用性：</w:t>
            </w:r>
            <w:r>
              <w:rPr>
                <w:rFonts w:hint="eastAsia" w:ascii="宋体" w:hAnsi="宋体" w:eastAsia="宋体" w:cs="宋体"/>
                <w:b w:val="0"/>
                <w:bCs w:val="0"/>
                <w:i w:val="0"/>
                <w:iCs w:val="0"/>
                <w:color w:val="000000"/>
                <w:sz w:val="24"/>
                <w:szCs w:val="24"/>
                <w:highlight w:val="none"/>
                <w:u w:val="none"/>
                <w:lang w:val="en-US" w:eastAsia="zh-CN" w:bidi="ar"/>
              </w:rPr>
              <w:t>主体材质应具备防锈耐腐蚀性能，符合相关国家标准要求</w:t>
            </w:r>
            <w:r>
              <w:rPr>
                <w:rFonts w:hint="eastAsia" w:ascii="宋体" w:hAnsi="宋体" w:eastAsia="宋体" w:cs="宋体"/>
                <w:b w:val="0"/>
                <w:bCs w:val="0"/>
                <w:color w:val="000000"/>
                <w:sz w:val="24"/>
                <w:szCs w:val="24"/>
                <w:highlight w:val="none"/>
                <w:u w:val="none"/>
                <w:lang w:val="en-US" w:eastAsia="zh-CN" w:bidi="ar"/>
              </w:rPr>
              <w:t>，可通过 500 小时盐雾测试，底部防滑设计确保稳定性。</w:t>
            </w:r>
          </w:p>
          <w:p w14:paraId="07FAD05A">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3.安全设计：配备透明防护罩和儿童安全锁，符合机械安全标准，有效防止意外夹伤。</w:t>
            </w:r>
          </w:p>
          <w:p w14:paraId="3C5C3A0E">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color w:val="000000"/>
                <w:sz w:val="24"/>
                <w:szCs w:val="24"/>
                <w:highlight w:val="none"/>
                <w:u w:val="none"/>
                <w:lang w:val="en-US" w:eastAsia="zh-CN" w:bidi="ar"/>
              </w:rPr>
              <w:t>4.结构强度：关键受力部位加强筋设计，结构牢固，在正常使用及意外踩踏情况下不应发生结构失效。</w:t>
            </w:r>
            <w:r>
              <w:rPr>
                <w:rFonts w:hint="eastAsia" w:ascii="宋体" w:hAnsi="宋体" w:eastAsia="宋体" w:cs="宋体"/>
                <w:b w:val="0"/>
                <w:bCs w:val="0"/>
                <w:color w:val="000000"/>
                <w:sz w:val="24"/>
                <w:szCs w:val="24"/>
                <w:highlight w:val="none"/>
                <w:u w:val="none"/>
                <w:lang w:val="en-US" w:eastAsia="zh-CN" w:bidi="ar"/>
              </w:rPr>
              <w:br w:type="textWrapping"/>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506A">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drawing>
                <wp:inline distT="0" distB="0" distL="114300" distR="114300">
                  <wp:extent cx="1170305" cy="1098550"/>
                  <wp:effectExtent l="0" t="0" r="3175" b="13970"/>
                  <wp:docPr id="16" name="图片_31"/>
                  <wp:cNvGraphicFramePr/>
                  <a:graphic xmlns:a="http://schemas.openxmlformats.org/drawingml/2006/main">
                    <a:graphicData uri="http://schemas.openxmlformats.org/drawingml/2006/picture">
                      <pic:pic xmlns:pic="http://schemas.openxmlformats.org/drawingml/2006/picture">
                        <pic:nvPicPr>
                          <pic:cNvPr id="16" name="图片_31"/>
                          <pic:cNvPicPr/>
                        </pic:nvPicPr>
                        <pic:blipFill>
                          <a:blip r:embed="rId43"/>
                          <a:stretch>
                            <a:fillRect/>
                          </a:stretch>
                        </pic:blipFill>
                        <pic:spPr>
                          <a:xfrm>
                            <a:off x="0" y="0"/>
                            <a:ext cx="1170305" cy="1098550"/>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1753560E">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户外捕鼠夹，粘螂板</w:t>
            </w:r>
          </w:p>
        </w:tc>
      </w:tr>
      <w:tr w14:paraId="45B7B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21" w:type="dxa"/>
            <w:tcBorders>
              <w:top w:val="single" w:color="000000" w:sz="4" w:space="0"/>
              <w:bottom w:val="single" w:color="000000" w:sz="4" w:space="0"/>
              <w:right w:val="single" w:color="000000" w:sz="4" w:space="0"/>
            </w:tcBorders>
            <w:shd w:val="clear" w:color="auto" w:fill="auto"/>
            <w:vAlign w:val="center"/>
          </w:tcPr>
          <w:p w14:paraId="451CAF30">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35</w:t>
            </w:r>
          </w:p>
        </w:tc>
        <w:tc>
          <w:tcPr>
            <w:tcW w:w="1247" w:type="dxa"/>
            <w:tcBorders>
              <w:top w:val="single" w:color="000000" w:sz="4" w:space="0"/>
              <w:bottom w:val="single" w:color="000000" w:sz="4" w:space="0"/>
              <w:right w:val="single" w:color="000000" w:sz="4" w:space="0"/>
            </w:tcBorders>
            <w:shd w:val="clear" w:color="auto" w:fill="auto"/>
            <w:vAlign w:val="center"/>
          </w:tcPr>
          <w:p w14:paraId="2E150139">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粘蟑板</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9424">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个</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2B5F">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10</w:t>
            </w:r>
          </w:p>
        </w:tc>
        <w:tc>
          <w:tcPr>
            <w:tcW w:w="8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B50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1.粘胶技术：采用改性丙烯酸酯或生物基复合压敏胶，</w:t>
            </w:r>
            <w:r>
              <w:rPr>
                <w:rFonts w:hint="eastAsia" w:ascii="宋体" w:hAnsi="宋体" w:eastAsia="宋体" w:cs="宋体"/>
                <w:b w:val="0"/>
                <w:bCs w:val="0"/>
                <w:i w:val="0"/>
                <w:iCs w:val="0"/>
                <w:color w:val="000000"/>
                <w:sz w:val="24"/>
                <w:szCs w:val="24"/>
                <w:highlight w:val="none"/>
                <w:u w:val="none"/>
                <w:lang w:val="en-US" w:eastAsia="zh-CN" w:bidi="ar"/>
              </w:rPr>
              <w:t>在实验室条件下，持粘时间不低于72小时，剥离强度不低于2.7N/cm。</w:t>
            </w:r>
          </w:p>
          <w:p w14:paraId="414EE218">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2.环保要求：VOC释放量应符合国家室内空气质量标准要求；</w:t>
            </w:r>
          </w:p>
          <w:p w14:paraId="0D3893A3">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color w:val="000000"/>
                <w:sz w:val="24"/>
                <w:szCs w:val="24"/>
                <w:highlight w:val="none"/>
                <w:u w:val="none"/>
                <w:lang w:val="en-US" w:eastAsia="zh-CN" w:bidi="ar"/>
              </w:rPr>
            </w:pPr>
            <w:r>
              <w:rPr>
                <w:rFonts w:hint="eastAsia" w:ascii="宋体" w:hAnsi="宋体" w:eastAsia="宋体" w:cs="宋体"/>
                <w:b w:val="0"/>
                <w:bCs w:val="0"/>
                <w:color w:val="000000"/>
                <w:sz w:val="24"/>
                <w:szCs w:val="24"/>
                <w:highlight w:val="none"/>
                <w:u w:val="none"/>
                <w:lang w:val="en-US" w:eastAsia="zh-CN" w:bidi="ar"/>
              </w:rPr>
              <w:t>3.引诱方式：可采用物理引诱或内含引诱物质等方式，能够有效吸引蟑螂等害虫；</w:t>
            </w:r>
          </w:p>
          <w:p w14:paraId="2FE40341">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val="0"/>
                <w:bCs w:val="0"/>
                <w:color w:val="000000"/>
                <w:sz w:val="24"/>
                <w:szCs w:val="24"/>
                <w:highlight w:val="none"/>
                <w:u w:val="none"/>
                <w:lang w:val="en-US" w:eastAsia="zh-CN" w:bidi="ar"/>
              </w:rPr>
              <w:t>4.粘板尺寸：长度14-16cm，宽度9-10cm。</w:t>
            </w:r>
          </w:p>
        </w:tc>
        <w:tc>
          <w:tcPr>
            <w:tcW w:w="2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1E39">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bdr w:val="single" w:color="000000" w:sz="4" w:space="0"/>
                <w:lang w:val="en-US" w:eastAsia="zh-CN" w:bidi="ar"/>
              </w:rPr>
              <w:drawing>
                <wp:inline distT="0" distB="0" distL="114300" distR="114300">
                  <wp:extent cx="1069975" cy="821055"/>
                  <wp:effectExtent l="0" t="0" r="12065" b="1905"/>
                  <wp:docPr id="48" name="图片_16"/>
                  <wp:cNvGraphicFramePr/>
                  <a:graphic xmlns:a="http://schemas.openxmlformats.org/drawingml/2006/main">
                    <a:graphicData uri="http://schemas.openxmlformats.org/drawingml/2006/picture">
                      <pic:pic xmlns:pic="http://schemas.openxmlformats.org/drawingml/2006/picture">
                        <pic:nvPicPr>
                          <pic:cNvPr id="48" name="图片_16"/>
                          <pic:cNvPicPr/>
                        </pic:nvPicPr>
                        <pic:blipFill>
                          <a:blip r:embed="rId44"/>
                          <a:stretch>
                            <a:fillRect/>
                          </a:stretch>
                        </pic:blipFill>
                        <pic:spPr>
                          <a:xfrm>
                            <a:off x="0" y="0"/>
                            <a:ext cx="1069975" cy="821055"/>
                          </a:xfrm>
                          <a:prstGeom prst="rect">
                            <a:avLst/>
                          </a:prstGeom>
                          <a:noFill/>
                          <a:ln>
                            <a:noFill/>
                          </a:ln>
                        </pic:spPr>
                      </pic:pic>
                    </a:graphicData>
                  </a:graphic>
                </wp:inline>
              </w:drawing>
            </w:r>
          </w:p>
        </w:tc>
        <w:tc>
          <w:tcPr>
            <w:tcW w:w="903" w:type="dxa"/>
            <w:tcBorders>
              <w:top w:val="single" w:color="000000" w:sz="4" w:space="0"/>
              <w:left w:val="single" w:color="000000" w:sz="4" w:space="0"/>
              <w:bottom w:val="single" w:color="000000" w:sz="4" w:space="0"/>
            </w:tcBorders>
            <w:shd w:val="clear" w:color="auto" w:fill="auto"/>
            <w:vAlign w:val="center"/>
          </w:tcPr>
          <w:p w14:paraId="22AB2373">
            <w:pPr>
              <w:keepNext w:val="0"/>
              <w:keepLines w:val="0"/>
              <w:pageBreakBefore w:val="0"/>
              <w:widowControl w:val="0"/>
              <w:suppressLineNumbers w:val="0"/>
              <w:kinsoku/>
              <w:wordWrap w:val="0"/>
              <w:overflowPunct/>
              <w:topLinePunct w:val="0"/>
              <w:autoSpaceDE/>
              <w:autoSpaceDN/>
              <w:bidi w:val="0"/>
              <w:adjustRightInd/>
              <w:snapToGrid/>
              <w:jc w:val="center"/>
              <w:textAlignment w:val="center"/>
              <w:rPr>
                <w:rFonts w:hint="eastAsia" w:ascii="宋体" w:hAnsi="宋体" w:eastAsia="宋体" w:cs="宋体"/>
                <w:b w:val="0"/>
                <w:bCs w:val="0"/>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粘螂板</w:t>
            </w:r>
          </w:p>
        </w:tc>
      </w:tr>
      <w:tr w14:paraId="6A80D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5089" w:type="dxa"/>
            <w:gridSpan w:val="7"/>
            <w:tcBorders>
              <w:top w:val="single" w:color="000000" w:sz="4" w:space="0"/>
              <w:bottom w:val="single" w:color="000000" w:sz="4" w:space="0"/>
            </w:tcBorders>
            <w:shd w:val="clear" w:color="auto" w:fill="auto"/>
            <w:vAlign w:val="center"/>
          </w:tcPr>
          <w:p w14:paraId="5FF3C187">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说明：</w:t>
            </w:r>
          </w:p>
          <w:p w14:paraId="09FB8BFD">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1、上列物品标注“▲”的技术参数为</w:t>
            </w:r>
            <w:r>
              <w:rPr>
                <w:rFonts w:hint="eastAsia" w:ascii="宋体" w:hAnsi="宋体" w:cs="宋体"/>
                <w:b/>
                <w:bCs/>
                <w:i w:val="0"/>
                <w:iCs w:val="0"/>
                <w:color w:val="000000"/>
                <w:kern w:val="0"/>
                <w:sz w:val="24"/>
                <w:szCs w:val="24"/>
                <w:highlight w:val="none"/>
                <w:u w:val="none"/>
                <w:lang w:val="en-US" w:eastAsia="zh-CN" w:bidi="ar"/>
              </w:rPr>
              <w:t>重要</w:t>
            </w:r>
            <w:r>
              <w:rPr>
                <w:rFonts w:hint="eastAsia" w:ascii="宋体" w:hAnsi="宋体" w:eastAsia="宋体" w:cs="宋体"/>
                <w:b/>
                <w:bCs/>
                <w:i w:val="0"/>
                <w:iCs w:val="0"/>
                <w:color w:val="000000"/>
                <w:kern w:val="0"/>
                <w:sz w:val="24"/>
                <w:szCs w:val="24"/>
                <w:highlight w:val="none"/>
                <w:u w:val="none"/>
                <w:lang w:val="en-US" w:eastAsia="zh-CN" w:bidi="ar"/>
              </w:rPr>
              <w:t>参数，供应商应按要求提供相应的佐证材料。</w:t>
            </w:r>
          </w:p>
          <w:p w14:paraId="2ED893CC">
            <w:pPr>
              <w:keepNext w:val="0"/>
              <w:keepLines w:val="0"/>
              <w:pageBreakBefore w:val="0"/>
              <w:widowControl w:val="0"/>
              <w:suppressLineNumbers w:val="0"/>
              <w:kinsoku/>
              <w:wordWrap w:val="0"/>
              <w:overflowPunct/>
              <w:topLinePunct w:val="0"/>
              <w:autoSpaceDE/>
              <w:autoSpaceDN/>
              <w:bidi w:val="0"/>
              <w:adjustRightInd/>
              <w:snapToGrid/>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2、所有参数或图片描述如出现特定品牌均为参考或相当于其标准。</w:t>
            </w:r>
          </w:p>
        </w:tc>
      </w:tr>
    </w:tbl>
    <w:p w14:paraId="54BC6BA1">
      <w:pPr>
        <w:numPr>
          <w:ilvl w:val="0"/>
          <w:numId w:val="0"/>
        </w:numPr>
        <w:spacing w:before="183" w:line="340" w:lineRule="exact"/>
        <w:outlineLvl w:val="1"/>
        <w:rPr>
          <w:rFonts w:hint="eastAsia" w:ascii="宋体" w:hAnsi="宋体" w:eastAsia="宋体" w:cs="宋体"/>
          <w:b w:val="0"/>
          <w:bCs w:val="0"/>
          <w:spacing w:val="11"/>
          <w:position w:val="2"/>
          <w:sz w:val="24"/>
          <w:szCs w:val="24"/>
          <w:highlight w:val="none"/>
          <w:lang w:val="en-US" w:eastAsia="zh-CN"/>
          <w14:textOutline w14:w="3795" w14:cap="sq" w14:cmpd="sng">
            <w14:solidFill>
              <w14:srgbClr w14:val="000000"/>
            </w14:solidFill>
            <w14:prstDash w14:val="solid"/>
            <w14:bevel/>
          </w14:textOutline>
        </w:rPr>
        <w:sectPr>
          <w:type w:val="continuous"/>
          <w:pgSz w:w="16838" w:h="11906" w:orient="landscape"/>
          <w:pgMar w:top="1800" w:right="1440" w:bottom="1800" w:left="1440" w:header="851" w:footer="992" w:gutter="0"/>
          <w:pgNumType w:fmt="decimal"/>
          <w:cols w:space="720" w:num="1"/>
          <w:docGrid w:type="lines" w:linePitch="312" w:charSpace="0"/>
        </w:sectPr>
      </w:pPr>
    </w:p>
    <w:p w14:paraId="049F2888">
      <w:pPr>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pPr>
      <w:r>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br w:type="page"/>
      </w:r>
    </w:p>
    <w:p w14:paraId="3EC93570">
      <w:pPr>
        <w:numPr>
          <w:ilvl w:val="0"/>
          <w:numId w:val="0"/>
        </w:numPr>
        <w:spacing w:before="183" w:line="340" w:lineRule="exact"/>
        <w:jc w:val="center"/>
        <w:outlineLvl w:val="2"/>
        <w:rPr>
          <w:rFonts w:hint="eastAsia" w:ascii="宋体" w:hAnsi="宋体" w:eastAsia="宋体" w:cs="宋体"/>
          <w:b w:val="0"/>
          <w:bCs w:val="0"/>
          <w:color w:val="FFFFFF"/>
          <w:spacing w:val="11"/>
          <w:position w:val="2"/>
          <w:sz w:val="28"/>
          <w:szCs w:val="28"/>
          <w:highlight w:val="none"/>
          <w:lang w:val="en-US" w:eastAsia="zh-CN"/>
          <w14:textOutline w14:w="3795" w14:cap="sq" w14:cmpd="sng">
            <w14:solidFill>
              <w14:srgbClr w14:val="000000"/>
            </w14:solidFill>
            <w14:prstDash w14:val="solid"/>
            <w14:bevel/>
          </w14:textOutline>
        </w:rPr>
      </w:pPr>
      <w:r>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t>（二）</w:t>
      </w:r>
      <w:r>
        <w:rPr>
          <w:rFonts w:hint="eastAsia" w:ascii="宋体" w:hAnsi="宋体" w:eastAsia="宋体" w:cs="宋体"/>
          <w:b w:val="0"/>
          <w:bCs w:val="0"/>
          <w:color w:val="FFFFFF"/>
          <w:spacing w:val="11"/>
          <w:position w:val="2"/>
          <w:sz w:val="28"/>
          <w:szCs w:val="28"/>
          <w:highlight w:val="none"/>
          <w:lang w:val="en-US" w:eastAsia="zh-CN"/>
          <w14:textOutline w14:w="3795" w14:cap="sq" w14:cmpd="sng">
            <w14:solidFill>
              <w14:srgbClr w14:val="000000"/>
            </w14:solidFill>
            <w14:prstDash w14:val="solid"/>
            <w14:bevel/>
          </w14:textOutline>
        </w:rPr>
        <w:t>应急物资智能管理软件平台</w:t>
      </w:r>
    </w:p>
    <w:tbl>
      <w:tblPr>
        <w:tblStyle w:val="27"/>
        <w:tblW w:w="140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1"/>
        <w:gridCol w:w="851"/>
        <w:gridCol w:w="825"/>
        <w:gridCol w:w="855"/>
        <w:gridCol w:w="7089"/>
        <w:gridCol w:w="2325"/>
        <w:gridCol w:w="1230"/>
      </w:tblGrid>
      <w:tr w14:paraId="378DC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851" w:type="dxa"/>
            <w:tcBorders>
              <w:top w:val="single" w:color="000000" w:sz="4" w:space="0"/>
              <w:bottom w:val="single" w:color="000000" w:sz="4" w:space="0"/>
              <w:right w:val="single" w:color="000000" w:sz="4" w:space="0"/>
            </w:tcBorders>
            <w:shd w:val="clear" w:color="auto" w:fill="auto"/>
            <w:vAlign w:val="center"/>
          </w:tcPr>
          <w:p w14:paraId="7547DE7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851" w:type="dxa"/>
            <w:tcBorders>
              <w:top w:val="single" w:color="000000" w:sz="4" w:space="0"/>
              <w:bottom w:val="single" w:color="000000" w:sz="4" w:space="0"/>
              <w:right w:val="single" w:color="000000" w:sz="4" w:space="0"/>
            </w:tcBorders>
            <w:shd w:val="clear" w:color="auto" w:fill="auto"/>
            <w:vAlign w:val="center"/>
          </w:tcPr>
          <w:p w14:paraId="58C963C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货物名称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9B0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计量</w:t>
            </w:r>
            <w:r>
              <w:rPr>
                <w:rFonts w:hint="eastAsia" w:ascii="宋体" w:hAnsi="宋体" w:eastAsia="宋体" w:cs="宋体"/>
                <w:b/>
                <w:bCs/>
                <w:i w:val="0"/>
                <w:iCs w:val="0"/>
                <w:color w:val="000000"/>
                <w:kern w:val="0"/>
                <w:sz w:val="24"/>
                <w:szCs w:val="24"/>
                <w:highlight w:val="none"/>
                <w:u w:val="none"/>
                <w:lang w:val="en-US" w:eastAsia="zh-CN" w:bidi="ar"/>
              </w:rPr>
              <w:br w:type="textWrapping"/>
            </w:r>
            <w:r>
              <w:rPr>
                <w:rFonts w:hint="eastAsia" w:ascii="宋体" w:hAnsi="宋体" w:eastAsia="宋体" w:cs="宋体"/>
                <w:b/>
                <w:bCs/>
                <w:i w:val="0"/>
                <w:iCs w:val="0"/>
                <w:color w:val="000000"/>
                <w:kern w:val="0"/>
                <w:sz w:val="24"/>
                <w:szCs w:val="24"/>
                <w:highlight w:val="none"/>
                <w:u w:val="none"/>
                <w:lang w:val="en-US" w:eastAsia="zh-CN" w:bidi="ar"/>
              </w:rPr>
              <w:t>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EAA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7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827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rPr>
              <w:t>技术参数</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27A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sz w:val="24"/>
                <w:szCs w:val="24"/>
                <w:highlight w:val="none"/>
                <w:u w:val="none"/>
                <w:lang w:val="en-US" w:eastAsia="zh-CN"/>
              </w:rPr>
              <w:t>参考图片</w:t>
            </w:r>
          </w:p>
        </w:tc>
        <w:tc>
          <w:tcPr>
            <w:tcW w:w="1230" w:type="dxa"/>
            <w:tcBorders>
              <w:top w:val="single" w:color="000000" w:sz="4" w:space="0"/>
              <w:left w:val="single" w:color="000000" w:sz="4" w:space="0"/>
              <w:bottom w:val="single" w:color="000000" w:sz="4" w:space="0"/>
            </w:tcBorders>
            <w:shd w:val="clear" w:color="auto" w:fill="auto"/>
            <w:vAlign w:val="center"/>
          </w:tcPr>
          <w:p w14:paraId="3EFC6A8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4E2E4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86" w:hRule="atLeast"/>
        </w:trPr>
        <w:tc>
          <w:tcPr>
            <w:tcW w:w="851" w:type="dxa"/>
            <w:tcBorders>
              <w:top w:val="single" w:color="000000" w:sz="4" w:space="0"/>
              <w:bottom w:val="single" w:color="000000" w:sz="4" w:space="0"/>
              <w:right w:val="single" w:color="000000" w:sz="4" w:space="0"/>
            </w:tcBorders>
            <w:shd w:val="clear" w:color="auto" w:fill="auto"/>
            <w:vAlign w:val="center"/>
          </w:tcPr>
          <w:p w14:paraId="3534C55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851" w:type="dxa"/>
            <w:tcBorders>
              <w:top w:val="single" w:color="000000" w:sz="4" w:space="0"/>
              <w:bottom w:val="single" w:color="000000" w:sz="4" w:space="0"/>
              <w:right w:val="single" w:color="000000" w:sz="4" w:space="0"/>
            </w:tcBorders>
            <w:shd w:val="clear" w:color="auto" w:fill="auto"/>
            <w:vAlign w:val="center"/>
          </w:tcPr>
          <w:p w14:paraId="46A6983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应急物资智能管理软件平台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38F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772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7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9C2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1.功能模块：物资建档、出入库/调拨、领用审批、台账导出、过期预警；库存上下限预警、消耗统计报表、移动端扫码出入库；支持局域网/公网访问</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2.配置要求：服务器≥4核/16G/1TB SSD，客户端电脑≥双核/8G/256G SSD（Win10/11）；配套RFID标签/读写器、扫码终端、条码打印机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3.部署方式：支持本地服务器（内网）或政务云部署，客户端通过网络访问</w:t>
            </w:r>
          </w:p>
          <w:p w14:paraId="563498F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AE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155700" cy="1247775"/>
                  <wp:effectExtent l="0" t="0" r="6350" b="0"/>
                  <wp:docPr id="41" name="图片_3"/>
                  <wp:cNvGraphicFramePr/>
                  <a:graphic xmlns:a="http://schemas.openxmlformats.org/drawingml/2006/main">
                    <a:graphicData uri="http://schemas.openxmlformats.org/drawingml/2006/picture">
                      <pic:pic xmlns:pic="http://schemas.openxmlformats.org/drawingml/2006/picture">
                        <pic:nvPicPr>
                          <pic:cNvPr id="41" name="图片_3"/>
                          <pic:cNvPicPr/>
                        </pic:nvPicPr>
                        <pic:blipFill>
                          <a:blip r:embed="rId45"/>
                          <a:stretch>
                            <a:fillRect/>
                          </a:stretch>
                        </pic:blipFill>
                        <pic:spPr>
                          <a:xfrm>
                            <a:off x="0" y="0"/>
                            <a:ext cx="1155700" cy="12477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tcBorders>
            <w:shd w:val="clear" w:color="auto" w:fill="auto"/>
            <w:vAlign w:val="center"/>
          </w:tcPr>
          <w:p w14:paraId="08D65C02">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应急物资智能管理系统组成部分</w:t>
            </w:r>
          </w:p>
        </w:tc>
      </w:tr>
    </w:tbl>
    <w:p w14:paraId="758DDB61">
      <w:pPr>
        <w:numPr>
          <w:ilvl w:val="0"/>
          <w:numId w:val="0"/>
        </w:numPr>
        <w:spacing w:before="183" w:line="340" w:lineRule="exact"/>
        <w:jc w:val="center"/>
        <w:outlineLvl w:val="9"/>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pPr>
    </w:p>
    <w:p w14:paraId="4831820B">
      <w:pPr>
        <w:numPr>
          <w:ilvl w:val="0"/>
          <w:numId w:val="0"/>
        </w:numPr>
        <w:spacing w:before="183" w:line="340" w:lineRule="exact"/>
        <w:jc w:val="center"/>
        <w:outlineLvl w:val="9"/>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pPr>
      <w:r>
        <w:rPr>
          <w:rFonts w:hint="eastAsia" w:ascii="宋体" w:hAnsi="宋体" w:eastAsia="宋体" w:cs="宋体"/>
          <w:b w:val="0"/>
          <w:bCs w:val="0"/>
          <w:spacing w:val="11"/>
          <w:position w:val="2"/>
          <w:sz w:val="28"/>
          <w:szCs w:val="28"/>
          <w:highlight w:val="none"/>
          <w:lang w:val="en-US" w:eastAsia="zh-CN"/>
          <w14:textOutline w14:w="3795" w14:cap="sq" w14:cmpd="sng">
            <w14:solidFill>
              <w14:srgbClr w14:val="000000"/>
            </w14:solidFill>
            <w14:prstDash w14:val="solid"/>
            <w14:bevel/>
          </w14:textOutline>
        </w:rPr>
        <w:t>应急物资智能管理软件平台技术参数：</w:t>
      </w:r>
    </w:p>
    <w:tbl>
      <w:tblPr>
        <w:tblStyle w:val="27"/>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1"/>
        <w:gridCol w:w="1785"/>
        <w:gridCol w:w="1470"/>
        <w:gridCol w:w="1983"/>
        <w:gridCol w:w="7437"/>
        <w:gridCol w:w="707"/>
      </w:tblGrid>
      <w:tr w14:paraId="799EC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32" w:hRule="atLeast"/>
        </w:trPr>
        <w:tc>
          <w:tcPr>
            <w:tcW w:w="275" w:type="pct"/>
            <w:tcBorders>
              <w:tl2br w:val="nil"/>
              <w:tr2bl w:val="nil"/>
            </w:tcBorders>
            <w:shd w:val="clear" w:color="auto" w:fill="auto"/>
            <w:noWrap/>
            <w:vAlign w:val="center"/>
          </w:tcPr>
          <w:p w14:paraId="242D2CED">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630" w:type="pct"/>
            <w:tcBorders>
              <w:tl2br w:val="nil"/>
              <w:tr2bl w:val="nil"/>
            </w:tcBorders>
            <w:shd w:val="clear" w:color="auto" w:fill="auto"/>
            <w:noWrap/>
            <w:vAlign w:val="center"/>
          </w:tcPr>
          <w:p w14:paraId="1D5BD0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系统名称</w:t>
            </w:r>
          </w:p>
        </w:tc>
        <w:tc>
          <w:tcPr>
            <w:tcW w:w="518" w:type="pct"/>
            <w:tcBorders>
              <w:tl2br w:val="nil"/>
              <w:tr2bl w:val="nil"/>
            </w:tcBorders>
            <w:shd w:val="clear" w:color="auto" w:fill="auto"/>
            <w:noWrap/>
            <w:vAlign w:val="center"/>
          </w:tcPr>
          <w:p w14:paraId="0DEF78E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模块名称</w:t>
            </w:r>
          </w:p>
        </w:tc>
        <w:tc>
          <w:tcPr>
            <w:tcW w:w="700" w:type="pct"/>
            <w:tcBorders>
              <w:tl2br w:val="nil"/>
              <w:tr2bl w:val="nil"/>
            </w:tcBorders>
            <w:shd w:val="clear" w:color="auto" w:fill="auto"/>
            <w:vAlign w:val="center"/>
          </w:tcPr>
          <w:p w14:paraId="3647EBE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二级模块</w:t>
            </w:r>
          </w:p>
        </w:tc>
        <w:tc>
          <w:tcPr>
            <w:tcW w:w="2625" w:type="pct"/>
            <w:tcBorders>
              <w:tl2br w:val="nil"/>
              <w:tr2bl w:val="nil"/>
            </w:tcBorders>
            <w:shd w:val="clear" w:color="auto" w:fill="auto"/>
            <w:vAlign w:val="center"/>
          </w:tcPr>
          <w:p w14:paraId="46495AB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功能简介</w:t>
            </w:r>
          </w:p>
        </w:tc>
        <w:tc>
          <w:tcPr>
            <w:tcW w:w="249" w:type="pct"/>
            <w:tcBorders>
              <w:tl2br w:val="nil"/>
              <w:tr2bl w:val="nil"/>
            </w:tcBorders>
            <w:shd w:val="clear" w:color="auto" w:fill="auto"/>
            <w:vAlign w:val="center"/>
          </w:tcPr>
          <w:p w14:paraId="0DC02496">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数量</w:t>
            </w:r>
          </w:p>
        </w:tc>
      </w:tr>
      <w:tr w14:paraId="5E45B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restart"/>
            <w:tcBorders>
              <w:tl2br w:val="nil"/>
              <w:tr2bl w:val="nil"/>
            </w:tcBorders>
            <w:shd w:val="clear" w:color="auto" w:fill="auto"/>
            <w:noWrap/>
            <w:vAlign w:val="center"/>
          </w:tcPr>
          <w:p w14:paraId="6B53643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630" w:type="pct"/>
            <w:vMerge w:val="restart"/>
            <w:tcBorders>
              <w:tl2br w:val="nil"/>
              <w:tr2bl w:val="nil"/>
            </w:tcBorders>
            <w:shd w:val="clear" w:color="auto" w:fill="auto"/>
            <w:noWrap/>
            <w:vAlign w:val="center"/>
          </w:tcPr>
          <w:p w14:paraId="30BEA00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后台管理系统</w:t>
            </w:r>
          </w:p>
        </w:tc>
        <w:tc>
          <w:tcPr>
            <w:tcW w:w="518" w:type="pct"/>
            <w:tcBorders>
              <w:tl2br w:val="nil"/>
              <w:tr2bl w:val="nil"/>
            </w:tcBorders>
            <w:shd w:val="clear" w:color="auto" w:fill="auto"/>
            <w:noWrap/>
            <w:vAlign w:val="center"/>
          </w:tcPr>
          <w:p w14:paraId="7B3F4C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主控面板</w:t>
            </w:r>
          </w:p>
        </w:tc>
        <w:tc>
          <w:tcPr>
            <w:tcW w:w="700" w:type="pct"/>
            <w:tcBorders>
              <w:tl2br w:val="nil"/>
              <w:tr2bl w:val="nil"/>
            </w:tcBorders>
            <w:shd w:val="clear" w:color="auto" w:fill="auto"/>
            <w:vAlign w:val="center"/>
          </w:tcPr>
          <w:p w14:paraId="7D2BEC2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统计图表</w:t>
            </w:r>
          </w:p>
        </w:tc>
        <w:tc>
          <w:tcPr>
            <w:tcW w:w="2625" w:type="pct"/>
            <w:tcBorders>
              <w:tl2br w:val="nil"/>
              <w:tr2bl w:val="nil"/>
            </w:tcBorders>
            <w:shd w:val="clear" w:color="auto" w:fill="auto"/>
            <w:vAlign w:val="center"/>
          </w:tcPr>
          <w:p w14:paraId="7573BAC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对其他模块的信息进行汇总并进行可视化展示</w:t>
            </w:r>
          </w:p>
        </w:tc>
        <w:tc>
          <w:tcPr>
            <w:tcW w:w="249" w:type="pct"/>
            <w:vMerge w:val="restart"/>
            <w:tcBorders>
              <w:tl2br w:val="nil"/>
              <w:tr2bl w:val="nil"/>
            </w:tcBorders>
            <w:shd w:val="clear" w:color="auto" w:fill="auto"/>
            <w:vAlign w:val="center"/>
          </w:tcPr>
          <w:p w14:paraId="512BFB03">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1套</w:t>
            </w:r>
          </w:p>
        </w:tc>
      </w:tr>
      <w:tr w14:paraId="7DA2B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11D0CF82">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C6C8463">
            <w:pPr>
              <w:jc w:val="center"/>
              <w:rPr>
                <w:rFonts w:hint="eastAsia" w:ascii="宋体" w:hAnsi="宋体" w:eastAsia="宋体" w:cs="宋体"/>
                <w:i w:val="0"/>
                <w:iCs w:val="0"/>
                <w:color w:val="000000"/>
                <w:sz w:val="24"/>
                <w:szCs w:val="24"/>
                <w:highlight w:val="none"/>
                <w:u w:val="none"/>
              </w:rPr>
            </w:pPr>
          </w:p>
        </w:tc>
        <w:tc>
          <w:tcPr>
            <w:tcW w:w="518" w:type="pct"/>
            <w:tcBorders>
              <w:tl2br w:val="nil"/>
              <w:tr2bl w:val="nil"/>
            </w:tcBorders>
            <w:shd w:val="clear" w:color="auto" w:fill="auto"/>
            <w:noWrap/>
            <w:vAlign w:val="center"/>
          </w:tcPr>
          <w:p w14:paraId="777E047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资产获取</w:t>
            </w:r>
          </w:p>
        </w:tc>
        <w:tc>
          <w:tcPr>
            <w:tcW w:w="700" w:type="pct"/>
            <w:tcBorders>
              <w:tl2br w:val="nil"/>
              <w:tr2bl w:val="nil"/>
            </w:tcBorders>
            <w:shd w:val="clear" w:color="auto" w:fill="auto"/>
            <w:vAlign w:val="center"/>
          </w:tcPr>
          <w:p w14:paraId="5769D9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采购订单表</w:t>
            </w:r>
          </w:p>
        </w:tc>
        <w:tc>
          <w:tcPr>
            <w:tcW w:w="2625" w:type="pct"/>
            <w:tcBorders>
              <w:tl2br w:val="nil"/>
              <w:tr2bl w:val="nil"/>
            </w:tcBorders>
            <w:shd w:val="clear" w:color="auto" w:fill="auto"/>
            <w:vAlign w:val="center"/>
          </w:tcPr>
          <w:p w14:paraId="62AD7E2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对资产按照采购单的方式进行入库添加</w:t>
            </w:r>
          </w:p>
        </w:tc>
        <w:tc>
          <w:tcPr>
            <w:tcW w:w="249" w:type="pct"/>
            <w:vMerge w:val="continue"/>
            <w:tcBorders>
              <w:tl2br w:val="nil"/>
              <w:tr2bl w:val="nil"/>
            </w:tcBorders>
            <w:shd w:val="clear" w:color="auto" w:fill="auto"/>
            <w:vAlign w:val="center"/>
          </w:tcPr>
          <w:p w14:paraId="1CEDA80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19398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438EE753">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1593C39">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1C6BE8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基础信息管理</w:t>
            </w:r>
          </w:p>
        </w:tc>
        <w:tc>
          <w:tcPr>
            <w:tcW w:w="700" w:type="pct"/>
            <w:tcBorders>
              <w:tl2br w:val="nil"/>
              <w:tr2bl w:val="nil"/>
            </w:tcBorders>
            <w:shd w:val="clear" w:color="auto" w:fill="auto"/>
            <w:vAlign w:val="center"/>
          </w:tcPr>
          <w:p w14:paraId="6297CE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计量单位管理</w:t>
            </w:r>
          </w:p>
        </w:tc>
        <w:tc>
          <w:tcPr>
            <w:tcW w:w="2625" w:type="pct"/>
            <w:tcBorders>
              <w:tl2br w:val="nil"/>
              <w:tr2bl w:val="nil"/>
            </w:tcBorders>
            <w:shd w:val="clear" w:color="auto" w:fill="auto"/>
            <w:vAlign w:val="center"/>
          </w:tcPr>
          <w:p w14:paraId="0A83465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该模块属于对资产计量单位的维护</w:t>
            </w:r>
          </w:p>
        </w:tc>
        <w:tc>
          <w:tcPr>
            <w:tcW w:w="249" w:type="pct"/>
            <w:vMerge w:val="continue"/>
            <w:tcBorders>
              <w:tl2br w:val="nil"/>
              <w:tr2bl w:val="nil"/>
            </w:tcBorders>
            <w:shd w:val="clear" w:color="auto" w:fill="auto"/>
            <w:vAlign w:val="center"/>
          </w:tcPr>
          <w:p w14:paraId="7E0FFEB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62DB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FD59ABA">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0714ED2">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650192B6">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46514F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员工信息登记</w:t>
            </w:r>
          </w:p>
        </w:tc>
        <w:tc>
          <w:tcPr>
            <w:tcW w:w="2625" w:type="pct"/>
            <w:tcBorders>
              <w:tl2br w:val="nil"/>
              <w:tr2bl w:val="nil"/>
            </w:tcBorders>
            <w:shd w:val="clear" w:color="auto" w:fill="auto"/>
            <w:vAlign w:val="center"/>
          </w:tcPr>
          <w:p w14:paraId="4B29340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对资产所用单位的员工信息进行维护，支持按照固定的模板批量导入</w:t>
            </w:r>
          </w:p>
        </w:tc>
        <w:tc>
          <w:tcPr>
            <w:tcW w:w="249" w:type="pct"/>
            <w:vMerge w:val="continue"/>
            <w:tcBorders>
              <w:tl2br w:val="nil"/>
              <w:tr2bl w:val="nil"/>
            </w:tcBorders>
            <w:shd w:val="clear" w:color="auto" w:fill="auto"/>
            <w:vAlign w:val="center"/>
          </w:tcPr>
          <w:p w14:paraId="1D9578D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711D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C85D232">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8018B60">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00AFD9D1">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2D16ECB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资产类别</w:t>
            </w:r>
          </w:p>
        </w:tc>
        <w:tc>
          <w:tcPr>
            <w:tcW w:w="2625" w:type="pct"/>
            <w:tcBorders>
              <w:tl2br w:val="nil"/>
              <w:tr2bl w:val="nil"/>
            </w:tcBorders>
            <w:shd w:val="clear" w:color="auto" w:fill="auto"/>
            <w:vAlign w:val="center"/>
          </w:tcPr>
          <w:p w14:paraId="403E2A7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属于对资产的分类，可对类别进行二级管理</w:t>
            </w:r>
          </w:p>
        </w:tc>
        <w:tc>
          <w:tcPr>
            <w:tcW w:w="249" w:type="pct"/>
            <w:vMerge w:val="continue"/>
            <w:tcBorders>
              <w:tl2br w:val="nil"/>
              <w:tr2bl w:val="nil"/>
            </w:tcBorders>
            <w:shd w:val="clear" w:color="auto" w:fill="auto"/>
            <w:vAlign w:val="center"/>
          </w:tcPr>
          <w:p w14:paraId="011BCE5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C49E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45218456">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7D2D16E7">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26F92F95">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4CD935E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部门管理</w:t>
            </w:r>
          </w:p>
        </w:tc>
        <w:tc>
          <w:tcPr>
            <w:tcW w:w="2625" w:type="pct"/>
            <w:tcBorders>
              <w:tl2br w:val="nil"/>
              <w:tr2bl w:val="nil"/>
            </w:tcBorders>
            <w:shd w:val="clear" w:color="auto" w:fill="auto"/>
            <w:vAlign w:val="center"/>
          </w:tcPr>
          <w:p w14:paraId="63C5F97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对单位的组织架构进行定义集团</w:t>
            </w:r>
            <w:r>
              <w:rPr>
                <w:rFonts w:hint="eastAsia" w:ascii="宋体" w:hAnsi="宋体" w:eastAsia="宋体" w:cs="宋体"/>
                <w:color w:val="00000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分公司（子公司）</w:t>
            </w:r>
            <w:r>
              <w:rPr>
                <w:rFonts w:hint="eastAsia" w:ascii="宋体" w:hAnsi="宋体" w:eastAsia="宋体" w:cs="宋体"/>
                <w:color w:val="00000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事业部</w:t>
            </w:r>
            <w:r>
              <w:rPr>
                <w:rFonts w:hint="eastAsia" w:ascii="宋体" w:hAnsi="宋体" w:eastAsia="宋体" w:cs="宋体"/>
                <w:color w:val="00000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管理部门</w:t>
            </w:r>
          </w:p>
        </w:tc>
        <w:tc>
          <w:tcPr>
            <w:tcW w:w="249" w:type="pct"/>
            <w:vMerge w:val="continue"/>
            <w:tcBorders>
              <w:tl2br w:val="nil"/>
              <w:tr2bl w:val="nil"/>
            </w:tcBorders>
            <w:shd w:val="clear" w:color="auto" w:fill="auto"/>
            <w:vAlign w:val="center"/>
          </w:tcPr>
          <w:p w14:paraId="3CEBDDD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2499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79049DE6">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E3E5669">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3CB25549">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617529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存放位置表</w:t>
            </w:r>
          </w:p>
        </w:tc>
        <w:tc>
          <w:tcPr>
            <w:tcW w:w="2625" w:type="pct"/>
            <w:tcBorders>
              <w:tl2br w:val="nil"/>
              <w:tr2bl w:val="nil"/>
            </w:tcBorders>
            <w:shd w:val="clear" w:color="auto" w:fill="auto"/>
            <w:vAlign w:val="center"/>
          </w:tcPr>
          <w:p w14:paraId="741D2AF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资产存放位置信息的维护</w:t>
            </w:r>
          </w:p>
        </w:tc>
        <w:tc>
          <w:tcPr>
            <w:tcW w:w="249" w:type="pct"/>
            <w:vMerge w:val="continue"/>
            <w:tcBorders>
              <w:tl2br w:val="nil"/>
              <w:tr2bl w:val="nil"/>
            </w:tcBorders>
            <w:shd w:val="clear" w:color="auto" w:fill="auto"/>
            <w:vAlign w:val="center"/>
          </w:tcPr>
          <w:p w14:paraId="7C2F94B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9D93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1A7DAD3D">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0F73555E">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D65356D">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B95DB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资产属性</w:t>
            </w:r>
          </w:p>
        </w:tc>
        <w:tc>
          <w:tcPr>
            <w:tcW w:w="2625" w:type="pct"/>
            <w:tcBorders>
              <w:tl2br w:val="nil"/>
              <w:tr2bl w:val="nil"/>
            </w:tcBorders>
            <w:shd w:val="clear" w:color="auto" w:fill="auto"/>
            <w:vAlign w:val="center"/>
          </w:tcPr>
          <w:p w14:paraId="23B5FD5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对资产的当前状态进行定义</w:t>
            </w:r>
          </w:p>
        </w:tc>
        <w:tc>
          <w:tcPr>
            <w:tcW w:w="249" w:type="pct"/>
            <w:vMerge w:val="continue"/>
            <w:tcBorders>
              <w:tl2br w:val="nil"/>
              <w:tr2bl w:val="nil"/>
            </w:tcBorders>
            <w:shd w:val="clear" w:color="auto" w:fill="auto"/>
            <w:vAlign w:val="center"/>
          </w:tcPr>
          <w:p w14:paraId="39E55C9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7DBE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85A5981">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2E311D24">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65A7CEDE">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080572E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打印模板管理</w:t>
            </w:r>
          </w:p>
        </w:tc>
        <w:tc>
          <w:tcPr>
            <w:tcW w:w="2625" w:type="pct"/>
            <w:tcBorders>
              <w:tl2br w:val="nil"/>
              <w:tr2bl w:val="nil"/>
            </w:tcBorders>
            <w:shd w:val="clear" w:color="auto" w:fill="auto"/>
            <w:vAlign w:val="center"/>
          </w:tcPr>
          <w:p w14:paraId="7078CF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资产标识卡模板的选择，可自行选择</w:t>
            </w:r>
          </w:p>
        </w:tc>
        <w:tc>
          <w:tcPr>
            <w:tcW w:w="249" w:type="pct"/>
            <w:vMerge w:val="continue"/>
            <w:tcBorders>
              <w:tl2br w:val="nil"/>
              <w:tr2bl w:val="nil"/>
            </w:tcBorders>
            <w:shd w:val="clear" w:color="auto" w:fill="auto"/>
            <w:vAlign w:val="center"/>
          </w:tcPr>
          <w:p w14:paraId="6CC27A5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F9B1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CD48E6F">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3973634B">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558005F8">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20BD6D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折旧计算方式</w:t>
            </w:r>
          </w:p>
        </w:tc>
        <w:tc>
          <w:tcPr>
            <w:tcW w:w="2625" w:type="pct"/>
            <w:tcBorders>
              <w:tl2br w:val="nil"/>
              <w:tr2bl w:val="nil"/>
            </w:tcBorders>
            <w:shd w:val="clear" w:color="auto" w:fill="auto"/>
            <w:vAlign w:val="center"/>
          </w:tcPr>
          <w:p w14:paraId="07A3C43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对资产折旧方式的定义，可自行选择</w:t>
            </w:r>
          </w:p>
        </w:tc>
        <w:tc>
          <w:tcPr>
            <w:tcW w:w="249" w:type="pct"/>
            <w:vMerge w:val="continue"/>
            <w:tcBorders>
              <w:tl2br w:val="nil"/>
              <w:tr2bl w:val="nil"/>
            </w:tcBorders>
            <w:shd w:val="clear" w:color="auto" w:fill="auto"/>
            <w:vAlign w:val="center"/>
          </w:tcPr>
          <w:p w14:paraId="120EC09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B061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19CDA87B">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342104DF">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38A4723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资产管理</w:t>
            </w:r>
          </w:p>
        </w:tc>
        <w:tc>
          <w:tcPr>
            <w:tcW w:w="700" w:type="pct"/>
            <w:tcBorders>
              <w:tl2br w:val="nil"/>
              <w:tr2bl w:val="nil"/>
            </w:tcBorders>
            <w:shd w:val="clear" w:color="auto" w:fill="auto"/>
            <w:vAlign w:val="center"/>
          </w:tcPr>
          <w:p w14:paraId="754B437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资产列表</w:t>
            </w:r>
          </w:p>
        </w:tc>
        <w:tc>
          <w:tcPr>
            <w:tcW w:w="2625" w:type="pct"/>
            <w:tcBorders>
              <w:tl2br w:val="nil"/>
              <w:tr2bl w:val="nil"/>
            </w:tcBorders>
            <w:shd w:val="clear" w:color="auto" w:fill="auto"/>
            <w:vAlign w:val="center"/>
          </w:tcPr>
          <w:p w14:paraId="1BBE706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建立资产的基本信息库，本模块记录当前资产的基本信息，字段根据现有表格自定义。支持资产卡片的打印，资产登记审批等功能</w:t>
            </w:r>
          </w:p>
        </w:tc>
        <w:tc>
          <w:tcPr>
            <w:tcW w:w="249" w:type="pct"/>
            <w:vMerge w:val="continue"/>
            <w:tcBorders>
              <w:tl2br w:val="nil"/>
              <w:tr2bl w:val="nil"/>
            </w:tcBorders>
            <w:shd w:val="clear" w:color="auto" w:fill="auto"/>
            <w:vAlign w:val="center"/>
          </w:tcPr>
          <w:p w14:paraId="220A76F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015A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77B2381B">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47972D40">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2001922">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4CE2D9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资产入库</w:t>
            </w:r>
          </w:p>
        </w:tc>
        <w:tc>
          <w:tcPr>
            <w:tcW w:w="2625" w:type="pct"/>
            <w:tcBorders>
              <w:tl2br w:val="nil"/>
              <w:tr2bl w:val="nil"/>
            </w:tcBorders>
            <w:shd w:val="clear" w:color="auto" w:fill="auto"/>
            <w:vAlign w:val="center"/>
          </w:tcPr>
          <w:p w14:paraId="18E8C27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出来通过采购单的方式入库外，还可通过单一录入的方式进行入库</w:t>
            </w:r>
          </w:p>
        </w:tc>
        <w:tc>
          <w:tcPr>
            <w:tcW w:w="249" w:type="pct"/>
            <w:vMerge w:val="continue"/>
            <w:tcBorders>
              <w:tl2br w:val="nil"/>
              <w:tr2bl w:val="nil"/>
            </w:tcBorders>
            <w:shd w:val="clear" w:color="auto" w:fill="auto"/>
            <w:vAlign w:val="center"/>
          </w:tcPr>
          <w:p w14:paraId="475008C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0878B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710FB7A">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6BE8729C">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68E74640">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129FDBA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资产出库</w:t>
            </w:r>
          </w:p>
        </w:tc>
        <w:tc>
          <w:tcPr>
            <w:tcW w:w="2625" w:type="pct"/>
            <w:tcBorders>
              <w:tl2br w:val="nil"/>
              <w:tr2bl w:val="nil"/>
            </w:tcBorders>
            <w:shd w:val="clear" w:color="auto" w:fill="auto"/>
            <w:vAlign w:val="center"/>
          </w:tcPr>
          <w:p w14:paraId="38FBDF9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选择在库的且处于可领用状态的资产，同时完善其他信息，实现资产的出库</w:t>
            </w:r>
          </w:p>
        </w:tc>
        <w:tc>
          <w:tcPr>
            <w:tcW w:w="249" w:type="pct"/>
            <w:vMerge w:val="continue"/>
            <w:tcBorders>
              <w:tl2br w:val="nil"/>
              <w:tr2bl w:val="nil"/>
            </w:tcBorders>
            <w:shd w:val="clear" w:color="auto" w:fill="auto"/>
            <w:vAlign w:val="center"/>
          </w:tcPr>
          <w:p w14:paraId="4F685C1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01E0E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1DBB5419">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489EB20A">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13B43EB">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B3283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资产统计</w:t>
            </w:r>
          </w:p>
        </w:tc>
        <w:tc>
          <w:tcPr>
            <w:tcW w:w="2625" w:type="pct"/>
            <w:tcBorders>
              <w:tl2br w:val="nil"/>
              <w:tr2bl w:val="nil"/>
            </w:tcBorders>
            <w:shd w:val="clear" w:color="auto" w:fill="auto"/>
            <w:vAlign w:val="center"/>
          </w:tcPr>
          <w:p w14:paraId="4D2752E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该模块主要是记录各种资产所在部门的状态统计，比如在用、待报废、报废、报修中、故障、待修等状态</w:t>
            </w:r>
          </w:p>
        </w:tc>
        <w:tc>
          <w:tcPr>
            <w:tcW w:w="249" w:type="pct"/>
            <w:vMerge w:val="continue"/>
            <w:tcBorders>
              <w:tl2br w:val="nil"/>
              <w:tr2bl w:val="nil"/>
            </w:tcBorders>
            <w:shd w:val="clear" w:color="auto" w:fill="auto"/>
            <w:vAlign w:val="center"/>
          </w:tcPr>
          <w:p w14:paraId="761192C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F612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598ECC83">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39B11E4">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B3605CB">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551EDC6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折旧报表</w:t>
            </w:r>
          </w:p>
        </w:tc>
        <w:tc>
          <w:tcPr>
            <w:tcW w:w="2625" w:type="pct"/>
            <w:tcBorders>
              <w:tl2br w:val="nil"/>
              <w:tr2bl w:val="nil"/>
            </w:tcBorders>
            <w:shd w:val="clear" w:color="auto" w:fill="auto"/>
            <w:vAlign w:val="center"/>
          </w:tcPr>
          <w:p w14:paraId="5D542DE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资产原值、残值、折旧率等信息的统计报表</w:t>
            </w:r>
          </w:p>
        </w:tc>
        <w:tc>
          <w:tcPr>
            <w:tcW w:w="249" w:type="pct"/>
            <w:vMerge w:val="continue"/>
            <w:tcBorders>
              <w:tl2br w:val="nil"/>
              <w:tr2bl w:val="nil"/>
            </w:tcBorders>
            <w:shd w:val="clear" w:color="auto" w:fill="auto"/>
            <w:vAlign w:val="center"/>
          </w:tcPr>
          <w:p w14:paraId="578BF61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A3A7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FFB21E7">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7BFA2A81">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4E3C298D">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26CC18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资产查询</w:t>
            </w:r>
          </w:p>
        </w:tc>
        <w:tc>
          <w:tcPr>
            <w:tcW w:w="2625" w:type="pct"/>
            <w:tcBorders>
              <w:tl2br w:val="nil"/>
              <w:tr2bl w:val="nil"/>
            </w:tcBorders>
            <w:shd w:val="clear" w:color="auto" w:fill="auto"/>
            <w:vAlign w:val="center"/>
          </w:tcPr>
          <w:p w14:paraId="210DFE7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对资产的全局查询</w:t>
            </w:r>
          </w:p>
        </w:tc>
        <w:tc>
          <w:tcPr>
            <w:tcW w:w="249" w:type="pct"/>
            <w:vMerge w:val="continue"/>
            <w:tcBorders>
              <w:tl2br w:val="nil"/>
              <w:tr2bl w:val="nil"/>
            </w:tcBorders>
            <w:shd w:val="clear" w:color="auto" w:fill="auto"/>
            <w:vAlign w:val="center"/>
          </w:tcPr>
          <w:p w14:paraId="4CB4423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9B4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286B78F">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61A9D35E">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34EB7E7">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2922E0D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到期资产</w:t>
            </w:r>
          </w:p>
        </w:tc>
        <w:tc>
          <w:tcPr>
            <w:tcW w:w="2625" w:type="pct"/>
            <w:tcBorders>
              <w:tl2br w:val="nil"/>
              <w:tr2bl w:val="nil"/>
            </w:tcBorders>
            <w:shd w:val="clear" w:color="auto" w:fill="auto"/>
            <w:vAlign w:val="center"/>
          </w:tcPr>
          <w:p w14:paraId="3769CD3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对已到期的资产进行汇总展示</w:t>
            </w:r>
          </w:p>
        </w:tc>
        <w:tc>
          <w:tcPr>
            <w:tcW w:w="249" w:type="pct"/>
            <w:vMerge w:val="continue"/>
            <w:tcBorders>
              <w:tl2br w:val="nil"/>
              <w:tr2bl w:val="nil"/>
            </w:tcBorders>
            <w:shd w:val="clear" w:color="auto" w:fill="auto"/>
            <w:vAlign w:val="center"/>
          </w:tcPr>
          <w:p w14:paraId="570E25F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9EAF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63C079F5">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81FD958">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1432675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领用&amp;租赁&amp;归还</w:t>
            </w:r>
          </w:p>
        </w:tc>
        <w:tc>
          <w:tcPr>
            <w:tcW w:w="700" w:type="pct"/>
            <w:tcBorders>
              <w:tl2br w:val="nil"/>
              <w:tr2bl w:val="nil"/>
            </w:tcBorders>
            <w:shd w:val="clear" w:color="auto" w:fill="auto"/>
            <w:vAlign w:val="center"/>
          </w:tcPr>
          <w:p w14:paraId="73B99E4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领用列表</w:t>
            </w:r>
          </w:p>
        </w:tc>
        <w:tc>
          <w:tcPr>
            <w:tcW w:w="2625" w:type="pct"/>
            <w:tcBorders>
              <w:tl2br w:val="nil"/>
              <w:tr2bl w:val="nil"/>
            </w:tcBorders>
            <w:shd w:val="clear" w:color="auto" w:fill="auto"/>
            <w:vAlign w:val="center"/>
          </w:tcPr>
          <w:p w14:paraId="56AEE41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该模块是对需要领用的资产进行申请，结合审批功能，支持单据的打印等。</w:t>
            </w:r>
          </w:p>
        </w:tc>
        <w:tc>
          <w:tcPr>
            <w:tcW w:w="249" w:type="pct"/>
            <w:vMerge w:val="continue"/>
            <w:tcBorders>
              <w:tl2br w:val="nil"/>
              <w:tr2bl w:val="nil"/>
            </w:tcBorders>
            <w:shd w:val="clear" w:color="auto" w:fill="auto"/>
            <w:vAlign w:val="center"/>
          </w:tcPr>
          <w:p w14:paraId="31FD85D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B64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3EDBECD1">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3D5BB516">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F888D03">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600A74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租赁表</w:t>
            </w:r>
          </w:p>
        </w:tc>
        <w:tc>
          <w:tcPr>
            <w:tcW w:w="2625" w:type="pct"/>
            <w:tcBorders>
              <w:tl2br w:val="nil"/>
              <w:tr2bl w:val="nil"/>
            </w:tcBorders>
            <w:shd w:val="clear" w:color="auto" w:fill="auto"/>
            <w:vAlign w:val="center"/>
          </w:tcPr>
          <w:p w14:paraId="2A015C5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记录固定资产对外的借出情况，可制作租赁表单，结合审批功能。</w:t>
            </w:r>
          </w:p>
        </w:tc>
        <w:tc>
          <w:tcPr>
            <w:tcW w:w="249" w:type="pct"/>
            <w:vMerge w:val="continue"/>
            <w:tcBorders>
              <w:tl2br w:val="nil"/>
              <w:tr2bl w:val="nil"/>
            </w:tcBorders>
            <w:shd w:val="clear" w:color="auto" w:fill="auto"/>
            <w:vAlign w:val="center"/>
          </w:tcPr>
          <w:p w14:paraId="26FAF63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07CD1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F79ABF0">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FC3BA3B">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4344B159">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2C1E4D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归还列表</w:t>
            </w:r>
          </w:p>
        </w:tc>
        <w:tc>
          <w:tcPr>
            <w:tcW w:w="2625" w:type="pct"/>
            <w:tcBorders>
              <w:tl2br w:val="nil"/>
              <w:tr2bl w:val="nil"/>
            </w:tcBorders>
            <w:shd w:val="clear" w:color="auto" w:fill="auto"/>
            <w:vAlign w:val="center"/>
          </w:tcPr>
          <w:p w14:paraId="2296A39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该模块是对被领用的资产进行归还处理，结合审批功能，支持报表的导出。</w:t>
            </w:r>
          </w:p>
        </w:tc>
        <w:tc>
          <w:tcPr>
            <w:tcW w:w="249" w:type="pct"/>
            <w:vMerge w:val="continue"/>
            <w:tcBorders>
              <w:tl2br w:val="nil"/>
              <w:tr2bl w:val="nil"/>
            </w:tcBorders>
            <w:shd w:val="clear" w:color="auto" w:fill="auto"/>
            <w:vAlign w:val="center"/>
          </w:tcPr>
          <w:p w14:paraId="6717EFE1">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A01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89AF0AE">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4AC4CC49">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5B74D6A5">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66140B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资产处置</w:t>
            </w:r>
          </w:p>
        </w:tc>
        <w:tc>
          <w:tcPr>
            <w:tcW w:w="2625" w:type="pct"/>
            <w:tcBorders>
              <w:tl2br w:val="nil"/>
              <w:tr2bl w:val="nil"/>
            </w:tcBorders>
            <w:shd w:val="clear" w:color="auto" w:fill="auto"/>
            <w:vAlign w:val="center"/>
          </w:tcPr>
          <w:p w14:paraId="2970801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可直接改写某一资产当前的状态，如领用、变卖等</w:t>
            </w:r>
          </w:p>
        </w:tc>
        <w:tc>
          <w:tcPr>
            <w:tcW w:w="249" w:type="pct"/>
            <w:vMerge w:val="continue"/>
            <w:tcBorders>
              <w:tl2br w:val="nil"/>
              <w:tr2bl w:val="nil"/>
            </w:tcBorders>
            <w:shd w:val="clear" w:color="auto" w:fill="auto"/>
            <w:vAlign w:val="center"/>
          </w:tcPr>
          <w:p w14:paraId="159573C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4571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2465CE1">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00F72E2">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3EFF56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kern w:val="0"/>
                <w:sz w:val="24"/>
                <w:szCs w:val="24"/>
                <w:highlight w:val="none"/>
                <w:u w:val="none"/>
                <w:lang w:val="en-US" w:eastAsia="zh-CN" w:bidi="ar"/>
              </w:rPr>
              <w:t>调拨&amp;转移&amp;保养</w:t>
            </w:r>
          </w:p>
        </w:tc>
        <w:tc>
          <w:tcPr>
            <w:tcW w:w="700" w:type="pct"/>
            <w:tcBorders>
              <w:tl2br w:val="nil"/>
              <w:tr2bl w:val="nil"/>
            </w:tcBorders>
            <w:shd w:val="clear" w:color="auto" w:fill="auto"/>
            <w:vAlign w:val="center"/>
          </w:tcPr>
          <w:p w14:paraId="669085E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调拨管理</w:t>
            </w:r>
          </w:p>
        </w:tc>
        <w:tc>
          <w:tcPr>
            <w:tcW w:w="2625" w:type="pct"/>
            <w:tcBorders>
              <w:tl2br w:val="nil"/>
              <w:tr2bl w:val="nil"/>
            </w:tcBorders>
            <w:shd w:val="clear" w:color="auto" w:fill="auto"/>
            <w:vAlign w:val="center"/>
          </w:tcPr>
          <w:p w14:paraId="131B961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该模块主要是管理闲置资产部门或科室间的调拨</w:t>
            </w:r>
          </w:p>
        </w:tc>
        <w:tc>
          <w:tcPr>
            <w:tcW w:w="249" w:type="pct"/>
            <w:vMerge w:val="continue"/>
            <w:tcBorders>
              <w:tl2br w:val="nil"/>
              <w:tr2bl w:val="nil"/>
            </w:tcBorders>
            <w:shd w:val="clear" w:color="auto" w:fill="auto"/>
            <w:vAlign w:val="center"/>
          </w:tcPr>
          <w:p w14:paraId="0FC0047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16A32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1F5E8EA8">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36415312">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352EE23B">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429B0E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转移管理</w:t>
            </w:r>
          </w:p>
        </w:tc>
        <w:tc>
          <w:tcPr>
            <w:tcW w:w="2625" w:type="pct"/>
            <w:tcBorders>
              <w:tl2br w:val="nil"/>
              <w:tr2bl w:val="nil"/>
            </w:tcBorders>
            <w:shd w:val="clear" w:color="auto" w:fill="auto"/>
            <w:vAlign w:val="center"/>
          </w:tcPr>
          <w:p w14:paraId="37032D5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该模块主要是管理在用资产在公司内部的转移，比如资产在部门员工名下之间的转移，同时具备审核功能</w:t>
            </w:r>
          </w:p>
        </w:tc>
        <w:tc>
          <w:tcPr>
            <w:tcW w:w="249" w:type="pct"/>
            <w:vMerge w:val="continue"/>
            <w:tcBorders>
              <w:tl2br w:val="nil"/>
              <w:tr2bl w:val="nil"/>
            </w:tcBorders>
            <w:shd w:val="clear" w:color="auto" w:fill="auto"/>
            <w:vAlign w:val="center"/>
          </w:tcPr>
          <w:p w14:paraId="45B2113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4AADC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3916C27D">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1F45830">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0B545E96">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65C2DC9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保养管理</w:t>
            </w:r>
          </w:p>
        </w:tc>
        <w:tc>
          <w:tcPr>
            <w:tcW w:w="2625" w:type="pct"/>
            <w:tcBorders>
              <w:tl2br w:val="nil"/>
              <w:tr2bl w:val="nil"/>
            </w:tcBorders>
            <w:shd w:val="clear" w:color="auto" w:fill="auto"/>
            <w:vAlign w:val="center"/>
          </w:tcPr>
          <w:p w14:paraId="1365B4FF">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可通过预设的保养规则，在临近保养节点时进行通知提醒并做保养记录</w:t>
            </w:r>
          </w:p>
        </w:tc>
        <w:tc>
          <w:tcPr>
            <w:tcW w:w="249" w:type="pct"/>
            <w:vMerge w:val="continue"/>
            <w:tcBorders>
              <w:tl2br w:val="nil"/>
              <w:tr2bl w:val="nil"/>
            </w:tcBorders>
            <w:shd w:val="clear" w:color="auto" w:fill="auto"/>
            <w:vAlign w:val="center"/>
          </w:tcPr>
          <w:p w14:paraId="5EE070E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6867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7C548F00">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9CE17B4">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115588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报修&amp;报废管理</w:t>
            </w:r>
          </w:p>
        </w:tc>
        <w:tc>
          <w:tcPr>
            <w:tcW w:w="700" w:type="pct"/>
            <w:tcBorders>
              <w:tl2br w:val="nil"/>
              <w:tr2bl w:val="nil"/>
            </w:tcBorders>
            <w:shd w:val="clear" w:color="auto" w:fill="auto"/>
            <w:vAlign w:val="center"/>
          </w:tcPr>
          <w:p w14:paraId="523084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报修列表</w:t>
            </w:r>
          </w:p>
        </w:tc>
        <w:tc>
          <w:tcPr>
            <w:tcW w:w="2625" w:type="pct"/>
            <w:tcBorders>
              <w:tl2br w:val="nil"/>
              <w:tr2bl w:val="nil"/>
            </w:tcBorders>
            <w:shd w:val="clear" w:color="auto" w:fill="auto"/>
            <w:vAlign w:val="center"/>
          </w:tcPr>
          <w:p w14:paraId="64E571D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对需要维修的资产进行申请审核，预约维修，维修之后的处理方案进行记录。</w:t>
            </w:r>
          </w:p>
        </w:tc>
        <w:tc>
          <w:tcPr>
            <w:tcW w:w="249" w:type="pct"/>
            <w:vMerge w:val="continue"/>
            <w:tcBorders>
              <w:tl2br w:val="nil"/>
              <w:tr2bl w:val="nil"/>
            </w:tcBorders>
            <w:shd w:val="clear" w:color="auto" w:fill="auto"/>
            <w:vAlign w:val="center"/>
          </w:tcPr>
          <w:p w14:paraId="1DDC13B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005F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0F8FC7B7">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4EDF3B4">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2C97A074">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9A217F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报废列表</w:t>
            </w:r>
          </w:p>
        </w:tc>
        <w:tc>
          <w:tcPr>
            <w:tcW w:w="2625" w:type="pct"/>
            <w:tcBorders>
              <w:tl2br w:val="nil"/>
              <w:tr2bl w:val="nil"/>
            </w:tcBorders>
            <w:shd w:val="clear" w:color="auto" w:fill="auto"/>
            <w:vAlign w:val="center"/>
          </w:tcPr>
          <w:p w14:paraId="5D8C26A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支持资产报废审核，对资产的报废时间，操作人等信息进行记录。</w:t>
            </w:r>
          </w:p>
        </w:tc>
        <w:tc>
          <w:tcPr>
            <w:tcW w:w="249" w:type="pct"/>
            <w:vMerge w:val="continue"/>
            <w:tcBorders>
              <w:tl2br w:val="nil"/>
              <w:tr2bl w:val="nil"/>
            </w:tcBorders>
            <w:shd w:val="clear" w:color="auto" w:fill="auto"/>
            <w:vAlign w:val="center"/>
          </w:tcPr>
          <w:p w14:paraId="728ABCBC">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715F9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62219601">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DE2C7EB">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2F4E7A3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耗材管理</w:t>
            </w:r>
          </w:p>
        </w:tc>
        <w:tc>
          <w:tcPr>
            <w:tcW w:w="700" w:type="pct"/>
            <w:tcBorders>
              <w:tl2br w:val="nil"/>
              <w:tr2bl w:val="nil"/>
            </w:tcBorders>
            <w:shd w:val="clear" w:color="auto" w:fill="auto"/>
            <w:vAlign w:val="center"/>
          </w:tcPr>
          <w:p w14:paraId="3E28AFF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耗材列表</w:t>
            </w:r>
          </w:p>
        </w:tc>
        <w:tc>
          <w:tcPr>
            <w:tcW w:w="2625" w:type="pct"/>
            <w:tcBorders>
              <w:tl2br w:val="nil"/>
              <w:tr2bl w:val="nil"/>
            </w:tcBorders>
            <w:shd w:val="clear" w:color="auto" w:fill="auto"/>
            <w:vAlign w:val="center"/>
          </w:tcPr>
          <w:p w14:paraId="0E1B2D8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建立耗材的基本信息库，并可对耗材信息进行查询</w:t>
            </w:r>
          </w:p>
        </w:tc>
        <w:tc>
          <w:tcPr>
            <w:tcW w:w="249" w:type="pct"/>
            <w:vMerge w:val="continue"/>
            <w:tcBorders>
              <w:tl2br w:val="nil"/>
              <w:tr2bl w:val="nil"/>
            </w:tcBorders>
            <w:shd w:val="clear" w:color="auto" w:fill="auto"/>
            <w:vAlign w:val="center"/>
          </w:tcPr>
          <w:p w14:paraId="770CFF6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53450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6D730E72">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9F3BF3F">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3B360764">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120174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耗材入库</w:t>
            </w:r>
          </w:p>
        </w:tc>
        <w:tc>
          <w:tcPr>
            <w:tcW w:w="2625" w:type="pct"/>
            <w:tcBorders>
              <w:tl2br w:val="nil"/>
              <w:tr2bl w:val="nil"/>
            </w:tcBorders>
            <w:shd w:val="clear" w:color="auto" w:fill="auto"/>
            <w:vAlign w:val="center"/>
          </w:tcPr>
          <w:p w14:paraId="41F9181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耗材入库的唯一方式，构建其基础信息，如数量、名称等</w:t>
            </w:r>
          </w:p>
        </w:tc>
        <w:tc>
          <w:tcPr>
            <w:tcW w:w="249" w:type="pct"/>
            <w:vMerge w:val="continue"/>
            <w:tcBorders>
              <w:tl2br w:val="nil"/>
              <w:tr2bl w:val="nil"/>
            </w:tcBorders>
            <w:shd w:val="clear" w:color="auto" w:fill="auto"/>
            <w:vAlign w:val="center"/>
          </w:tcPr>
          <w:p w14:paraId="69367AE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71D52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4E23A7BE">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68B6C98B">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475F846E">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9C8D96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耗材出库</w:t>
            </w:r>
          </w:p>
        </w:tc>
        <w:tc>
          <w:tcPr>
            <w:tcW w:w="2625" w:type="pct"/>
            <w:tcBorders>
              <w:tl2br w:val="nil"/>
              <w:tr2bl w:val="nil"/>
            </w:tcBorders>
            <w:shd w:val="clear" w:color="auto" w:fill="auto"/>
            <w:vAlign w:val="center"/>
          </w:tcPr>
          <w:p w14:paraId="3369954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选择相应资产及信号，填写出库数量及其他信息完成对耗材的出库</w:t>
            </w:r>
          </w:p>
        </w:tc>
        <w:tc>
          <w:tcPr>
            <w:tcW w:w="249" w:type="pct"/>
            <w:vMerge w:val="continue"/>
            <w:tcBorders>
              <w:tl2br w:val="nil"/>
              <w:tr2bl w:val="nil"/>
            </w:tcBorders>
            <w:shd w:val="clear" w:color="auto" w:fill="auto"/>
            <w:vAlign w:val="center"/>
          </w:tcPr>
          <w:p w14:paraId="4F3DB72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4CEB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3EDCE41F">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0C9EC735">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67FC09B6">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162F7C59">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耗材预警</w:t>
            </w:r>
          </w:p>
        </w:tc>
        <w:tc>
          <w:tcPr>
            <w:tcW w:w="2625" w:type="pct"/>
            <w:tcBorders>
              <w:tl2br w:val="nil"/>
              <w:tr2bl w:val="nil"/>
            </w:tcBorders>
            <w:shd w:val="clear" w:color="auto" w:fill="auto"/>
            <w:vAlign w:val="center"/>
          </w:tcPr>
          <w:p w14:paraId="02C1363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对临近有效期的耗材进行预警，耗材不管理到个体层面，只对整批耗材进行预警</w:t>
            </w:r>
          </w:p>
        </w:tc>
        <w:tc>
          <w:tcPr>
            <w:tcW w:w="249" w:type="pct"/>
            <w:vMerge w:val="continue"/>
            <w:tcBorders>
              <w:tl2br w:val="nil"/>
              <w:tr2bl w:val="nil"/>
            </w:tcBorders>
            <w:shd w:val="clear" w:color="auto" w:fill="auto"/>
            <w:vAlign w:val="center"/>
          </w:tcPr>
          <w:p w14:paraId="6CA6D8A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64E1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31CC20AC">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C567867">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7A3CD282">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BD930B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耗材报废</w:t>
            </w:r>
          </w:p>
        </w:tc>
        <w:tc>
          <w:tcPr>
            <w:tcW w:w="2625" w:type="pct"/>
            <w:tcBorders>
              <w:tl2br w:val="nil"/>
              <w:tr2bl w:val="nil"/>
            </w:tcBorders>
            <w:shd w:val="clear" w:color="auto" w:fill="auto"/>
            <w:vAlign w:val="center"/>
          </w:tcPr>
          <w:p w14:paraId="74C1179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可对到期耗材进行报废处理，耗材不管理到个体层面，只对整批耗材进行报废</w:t>
            </w:r>
          </w:p>
        </w:tc>
        <w:tc>
          <w:tcPr>
            <w:tcW w:w="249" w:type="pct"/>
            <w:vMerge w:val="continue"/>
            <w:tcBorders>
              <w:tl2br w:val="nil"/>
              <w:tr2bl w:val="nil"/>
            </w:tcBorders>
            <w:shd w:val="clear" w:color="auto" w:fill="auto"/>
            <w:vAlign w:val="center"/>
          </w:tcPr>
          <w:p w14:paraId="4611D7C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C5A4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5895B2E0">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E7C6E45">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15BA409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盘点管理</w:t>
            </w:r>
          </w:p>
        </w:tc>
        <w:tc>
          <w:tcPr>
            <w:tcW w:w="700" w:type="pct"/>
            <w:tcBorders>
              <w:tl2br w:val="nil"/>
              <w:tr2bl w:val="nil"/>
            </w:tcBorders>
            <w:shd w:val="clear" w:color="auto" w:fill="auto"/>
            <w:vAlign w:val="center"/>
          </w:tcPr>
          <w:p w14:paraId="0455094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盘点计划</w:t>
            </w:r>
          </w:p>
        </w:tc>
        <w:tc>
          <w:tcPr>
            <w:tcW w:w="2625" w:type="pct"/>
            <w:tcBorders>
              <w:tl2br w:val="nil"/>
              <w:tr2bl w:val="nil"/>
            </w:tcBorders>
            <w:shd w:val="clear" w:color="auto" w:fill="auto"/>
            <w:vAlign w:val="center"/>
          </w:tcPr>
          <w:p w14:paraId="2CE4220D">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根据部门自定义对资产进行筛选制定计划。对盘点计划表进行实际盘点之后，自动生成的盘盈盘亏表，支持按照现有报表导出。</w:t>
            </w:r>
          </w:p>
        </w:tc>
        <w:tc>
          <w:tcPr>
            <w:tcW w:w="249" w:type="pct"/>
            <w:vMerge w:val="continue"/>
            <w:tcBorders>
              <w:tl2br w:val="nil"/>
              <w:tr2bl w:val="nil"/>
            </w:tcBorders>
            <w:shd w:val="clear" w:color="auto" w:fill="auto"/>
            <w:vAlign w:val="center"/>
          </w:tcPr>
          <w:p w14:paraId="2556FDA5">
            <w:pPr>
              <w:keepNext w:val="0"/>
              <w:keepLines w:val="0"/>
              <w:widowControl/>
              <w:suppressLineNumbers w:val="0"/>
              <w:jc w:val="center"/>
              <w:textAlignment w:val="top"/>
              <w:rPr>
                <w:rFonts w:hint="eastAsia" w:ascii="宋体" w:hAnsi="宋体" w:eastAsia="宋体" w:cs="宋体"/>
                <w:i w:val="0"/>
                <w:iCs w:val="0"/>
                <w:color w:val="000000"/>
                <w:kern w:val="0"/>
                <w:sz w:val="24"/>
                <w:szCs w:val="24"/>
                <w:highlight w:val="none"/>
                <w:u w:val="none"/>
                <w:lang w:val="en-US" w:eastAsia="zh-CN" w:bidi="ar"/>
              </w:rPr>
            </w:pPr>
          </w:p>
        </w:tc>
      </w:tr>
      <w:tr w14:paraId="22DD9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3D82E4A9">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738E4DB1">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7D906FFF">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76702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盘点处理</w:t>
            </w:r>
          </w:p>
        </w:tc>
        <w:tc>
          <w:tcPr>
            <w:tcW w:w="2625" w:type="pct"/>
            <w:tcBorders>
              <w:tl2br w:val="nil"/>
              <w:tr2bl w:val="nil"/>
            </w:tcBorders>
            <w:shd w:val="clear" w:color="auto" w:fill="auto"/>
            <w:vAlign w:val="center"/>
          </w:tcPr>
          <w:p w14:paraId="3E0EFDEE">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可对盘点结果的差异——盘盈盘亏等，进行归库、转移、消库处理</w:t>
            </w:r>
          </w:p>
        </w:tc>
        <w:tc>
          <w:tcPr>
            <w:tcW w:w="249" w:type="pct"/>
            <w:vMerge w:val="continue"/>
            <w:tcBorders>
              <w:tl2br w:val="nil"/>
              <w:tr2bl w:val="nil"/>
            </w:tcBorders>
            <w:shd w:val="clear" w:color="auto" w:fill="auto"/>
            <w:vAlign w:val="center"/>
          </w:tcPr>
          <w:p w14:paraId="1244BF1B">
            <w:pPr>
              <w:keepNext w:val="0"/>
              <w:keepLines w:val="0"/>
              <w:widowControl/>
              <w:suppressLineNumbers w:val="0"/>
              <w:jc w:val="center"/>
              <w:textAlignment w:val="top"/>
              <w:rPr>
                <w:rFonts w:hint="eastAsia" w:ascii="宋体" w:hAnsi="宋体" w:eastAsia="宋体" w:cs="宋体"/>
                <w:i w:val="0"/>
                <w:iCs w:val="0"/>
                <w:color w:val="000000"/>
                <w:kern w:val="0"/>
                <w:sz w:val="24"/>
                <w:szCs w:val="24"/>
                <w:highlight w:val="none"/>
                <w:u w:val="none"/>
                <w:lang w:val="en-US" w:eastAsia="zh-CN" w:bidi="ar"/>
              </w:rPr>
            </w:pPr>
          </w:p>
        </w:tc>
      </w:tr>
      <w:tr w14:paraId="1D495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71D5E7B1">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237EB2F0">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00DDCA8A">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608C1B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处理记录</w:t>
            </w:r>
          </w:p>
        </w:tc>
        <w:tc>
          <w:tcPr>
            <w:tcW w:w="2625" w:type="pct"/>
            <w:tcBorders>
              <w:tl2br w:val="nil"/>
              <w:tr2bl w:val="nil"/>
            </w:tcBorders>
            <w:shd w:val="clear" w:color="auto" w:fill="auto"/>
            <w:vAlign w:val="center"/>
          </w:tcPr>
          <w:p w14:paraId="0B3CEABA">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对盘点处理进行操作记录。</w:t>
            </w:r>
          </w:p>
        </w:tc>
        <w:tc>
          <w:tcPr>
            <w:tcW w:w="249" w:type="pct"/>
            <w:vMerge w:val="continue"/>
            <w:tcBorders>
              <w:tl2br w:val="nil"/>
              <w:tr2bl w:val="nil"/>
            </w:tcBorders>
            <w:shd w:val="clear" w:color="auto" w:fill="auto"/>
            <w:vAlign w:val="center"/>
          </w:tcPr>
          <w:p w14:paraId="06283CC5">
            <w:pPr>
              <w:keepNext w:val="0"/>
              <w:keepLines w:val="0"/>
              <w:widowControl/>
              <w:suppressLineNumbers w:val="0"/>
              <w:jc w:val="center"/>
              <w:textAlignment w:val="top"/>
              <w:rPr>
                <w:rFonts w:hint="eastAsia" w:ascii="宋体" w:hAnsi="宋体" w:eastAsia="宋体" w:cs="宋体"/>
                <w:i w:val="0"/>
                <w:iCs w:val="0"/>
                <w:color w:val="000000"/>
                <w:kern w:val="0"/>
                <w:sz w:val="24"/>
                <w:szCs w:val="24"/>
                <w:highlight w:val="none"/>
                <w:u w:val="none"/>
                <w:lang w:val="en-US" w:eastAsia="zh-CN" w:bidi="ar"/>
              </w:rPr>
            </w:pPr>
          </w:p>
        </w:tc>
      </w:tr>
      <w:tr w14:paraId="7080F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472D2BDF">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6A15B455">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0932A4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系统管理</w:t>
            </w:r>
          </w:p>
        </w:tc>
        <w:tc>
          <w:tcPr>
            <w:tcW w:w="700" w:type="pct"/>
            <w:tcBorders>
              <w:tl2br w:val="nil"/>
              <w:tr2bl w:val="nil"/>
            </w:tcBorders>
            <w:shd w:val="clear" w:color="auto" w:fill="auto"/>
            <w:vAlign w:val="center"/>
          </w:tcPr>
          <w:p w14:paraId="794A862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账户管理</w:t>
            </w:r>
          </w:p>
        </w:tc>
        <w:tc>
          <w:tcPr>
            <w:tcW w:w="2625" w:type="pct"/>
            <w:tcBorders>
              <w:tl2br w:val="nil"/>
              <w:tr2bl w:val="nil"/>
            </w:tcBorders>
            <w:shd w:val="clear" w:color="auto" w:fill="auto"/>
            <w:vAlign w:val="center"/>
          </w:tcPr>
          <w:p w14:paraId="2AF7C1A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建立账户的账号密码，分配权限，查看权限等的设置。</w:t>
            </w:r>
          </w:p>
        </w:tc>
        <w:tc>
          <w:tcPr>
            <w:tcW w:w="249" w:type="pct"/>
            <w:vMerge w:val="continue"/>
            <w:tcBorders>
              <w:tl2br w:val="nil"/>
              <w:tr2bl w:val="nil"/>
            </w:tcBorders>
            <w:shd w:val="clear" w:color="auto" w:fill="auto"/>
            <w:vAlign w:val="center"/>
          </w:tcPr>
          <w:p w14:paraId="0E55EB6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24166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4551605F">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EDB4815">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7515B513">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118A278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角色管理</w:t>
            </w:r>
          </w:p>
        </w:tc>
        <w:tc>
          <w:tcPr>
            <w:tcW w:w="2625" w:type="pct"/>
            <w:tcBorders>
              <w:tl2br w:val="nil"/>
              <w:tr2bl w:val="nil"/>
            </w:tcBorders>
            <w:shd w:val="clear" w:color="auto" w:fill="auto"/>
            <w:vAlign w:val="center"/>
          </w:tcPr>
          <w:p w14:paraId="2C0301E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对角色的自定义设置。</w:t>
            </w:r>
          </w:p>
        </w:tc>
        <w:tc>
          <w:tcPr>
            <w:tcW w:w="249" w:type="pct"/>
            <w:vMerge w:val="continue"/>
            <w:tcBorders>
              <w:tl2br w:val="nil"/>
              <w:tr2bl w:val="nil"/>
            </w:tcBorders>
            <w:shd w:val="clear" w:color="auto" w:fill="auto"/>
            <w:vAlign w:val="center"/>
          </w:tcPr>
          <w:p w14:paraId="2CB90C9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160B4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560922BA">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5F7C2D44">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61A1CC06">
            <w:pPr>
              <w:jc w:val="center"/>
              <w:rPr>
                <w:rFonts w:hint="eastAsia" w:ascii="宋体" w:hAnsi="宋体" w:eastAsia="宋体" w:cs="宋体"/>
                <w:i w:val="0"/>
                <w:iCs w:val="0"/>
                <w:color w:val="000000"/>
                <w:sz w:val="24"/>
                <w:szCs w:val="24"/>
                <w:highlight w:val="none"/>
                <w:u w:val="none"/>
              </w:rPr>
            </w:pPr>
          </w:p>
        </w:tc>
        <w:tc>
          <w:tcPr>
            <w:tcW w:w="700" w:type="pct"/>
            <w:tcBorders>
              <w:tl2br w:val="nil"/>
              <w:tr2bl w:val="nil"/>
            </w:tcBorders>
            <w:shd w:val="clear" w:color="auto" w:fill="auto"/>
            <w:vAlign w:val="center"/>
          </w:tcPr>
          <w:p w14:paraId="7FFA9B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数据备份</w:t>
            </w:r>
          </w:p>
        </w:tc>
        <w:tc>
          <w:tcPr>
            <w:tcW w:w="2625" w:type="pct"/>
            <w:tcBorders>
              <w:tl2br w:val="nil"/>
              <w:tr2bl w:val="nil"/>
            </w:tcBorders>
            <w:shd w:val="clear" w:color="auto" w:fill="auto"/>
            <w:vAlign w:val="center"/>
          </w:tcPr>
          <w:p w14:paraId="21A9E9D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对系统的数据进行备份，也可设定自动备份</w:t>
            </w:r>
          </w:p>
        </w:tc>
        <w:tc>
          <w:tcPr>
            <w:tcW w:w="249" w:type="pct"/>
            <w:vMerge w:val="continue"/>
            <w:tcBorders>
              <w:tl2br w:val="nil"/>
              <w:tr2bl w:val="nil"/>
            </w:tcBorders>
            <w:shd w:val="clear" w:color="auto" w:fill="auto"/>
            <w:vAlign w:val="center"/>
          </w:tcPr>
          <w:p w14:paraId="6AF5CEB6">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62AE2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6AB9626A">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79E02B76">
            <w:pPr>
              <w:jc w:val="center"/>
              <w:rPr>
                <w:rFonts w:hint="eastAsia" w:ascii="宋体" w:hAnsi="宋体" w:eastAsia="宋体" w:cs="宋体"/>
                <w:i w:val="0"/>
                <w:iCs w:val="0"/>
                <w:color w:val="000000"/>
                <w:sz w:val="24"/>
                <w:szCs w:val="24"/>
                <w:highlight w:val="none"/>
                <w:u w:val="none"/>
              </w:rPr>
            </w:pPr>
          </w:p>
        </w:tc>
        <w:tc>
          <w:tcPr>
            <w:tcW w:w="518" w:type="pct"/>
            <w:vMerge w:val="restart"/>
            <w:tcBorders>
              <w:tl2br w:val="nil"/>
              <w:tr2bl w:val="nil"/>
            </w:tcBorders>
            <w:shd w:val="clear" w:color="auto" w:fill="auto"/>
            <w:noWrap/>
            <w:vAlign w:val="center"/>
          </w:tcPr>
          <w:p w14:paraId="15C475CC">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硬件基础</w:t>
            </w:r>
          </w:p>
        </w:tc>
        <w:tc>
          <w:tcPr>
            <w:tcW w:w="700" w:type="pct"/>
            <w:tcBorders>
              <w:tl2br w:val="nil"/>
              <w:tr2bl w:val="nil"/>
            </w:tcBorders>
            <w:shd w:val="clear" w:color="auto" w:fill="auto"/>
            <w:vAlign w:val="center"/>
          </w:tcPr>
          <w:p w14:paraId="2345773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台式电脑</w:t>
            </w:r>
          </w:p>
        </w:tc>
        <w:tc>
          <w:tcPr>
            <w:tcW w:w="2625" w:type="pct"/>
            <w:tcBorders>
              <w:tl2br w:val="nil"/>
              <w:tr2bl w:val="nil"/>
            </w:tcBorders>
            <w:shd w:val="clear" w:color="auto" w:fill="auto"/>
            <w:vAlign w:val="center"/>
          </w:tcPr>
          <w:p w14:paraId="5A47D79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CPU：I5-14400</w:t>
            </w:r>
          </w:p>
          <w:p w14:paraId="3CA44B6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运行内存：8G DDR5</w:t>
            </w:r>
          </w:p>
          <w:p w14:paraId="257FC76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硬盘：1TB SSD</w:t>
            </w:r>
          </w:p>
          <w:p w14:paraId="32C4950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电源：360W</w:t>
            </w:r>
          </w:p>
          <w:p w14:paraId="2FDA1F1B">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显示器：se2425hm</w:t>
            </w:r>
          </w:p>
          <w:p w14:paraId="7F053F6E">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其他：WIFI6</w:t>
            </w:r>
          </w:p>
        </w:tc>
        <w:tc>
          <w:tcPr>
            <w:tcW w:w="249" w:type="pct"/>
            <w:vMerge w:val="continue"/>
            <w:tcBorders>
              <w:tl2br w:val="nil"/>
              <w:tr2bl w:val="nil"/>
            </w:tcBorders>
            <w:shd w:val="clear" w:color="auto" w:fill="auto"/>
            <w:vAlign w:val="center"/>
          </w:tcPr>
          <w:p w14:paraId="5E720B25">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710E2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FED3024">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3B9707D3">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032FF741">
            <w:pPr>
              <w:jc w:val="center"/>
              <w:rPr>
                <w:rFonts w:hint="eastAsia" w:ascii="宋体" w:hAnsi="宋体" w:eastAsia="宋体" w:cs="宋体"/>
                <w:i w:val="0"/>
                <w:iCs w:val="0"/>
                <w:color w:val="000000"/>
                <w:sz w:val="24"/>
                <w:szCs w:val="24"/>
                <w:highlight w:val="none"/>
                <w:u w:val="none"/>
                <w:lang w:val="en-US" w:eastAsia="zh-CN"/>
              </w:rPr>
            </w:pPr>
          </w:p>
        </w:tc>
        <w:tc>
          <w:tcPr>
            <w:tcW w:w="700" w:type="pct"/>
            <w:tcBorders>
              <w:tl2br w:val="nil"/>
              <w:tr2bl w:val="nil"/>
            </w:tcBorders>
            <w:shd w:val="clear" w:color="auto" w:fill="auto"/>
            <w:vAlign w:val="center"/>
          </w:tcPr>
          <w:p w14:paraId="5B98C44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交换机</w:t>
            </w:r>
          </w:p>
        </w:tc>
        <w:tc>
          <w:tcPr>
            <w:tcW w:w="2625" w:type="pct"/>
            <w:tcBorders>
              <w:tl2br w:val="nil"/>
              <w:tr2bl w:val="nil"/>
            </w:tcBorders>
            <w:shd w:val="clear" w:color="auto" w:fill="auto"/>
            <w:vAlign w:val="center"/>
          </w:tcPr>
          <w:p w14:paraId="1562B43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接口数目≥ 24 个接口；交换机类型：千兆网络；传输速度：≥1000Mbps</w:t>
            </w:r>
          </w:p>
        </w:tc>
        <w:tc>
          <w:tcPr>
            <w:tcW w:w="249" w:type="pct"/>
            <w:vMerge w:val="continue"/>
            <w:tcBorders>
              <w:tl2br w:val="nil"/>
              <w:tr2bl w:val="nil"/>
            </w:tcBorders>
            <w:shd w:val="clear" w:color="auto" w:fill="auto"/>
            <w:vAlign w:val="center"/>
          </w:tcPr>
          <w:p w14:paraId="2FC96938">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7461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2FE6F5F9">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1C9FA4F7">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3320BF71">
            <w:pPr>
              <w:jc w:val="center"/>
              <w:rPr>
                <w:rFonts w:hint="eastAsia" w:ascii="宋体" w:hAnsi="宋体" w:eastAsia="宋体" w:cs="宋体"/>
                <w:i w:val="0"/>
                <w:iCs w:val="0"/>
                <w:color w:val="000000"/>
                <w:sz w:val="24"/>
                <w:szCs w:val="24"/>
                <w:highlight w:val="none"/>
                <w:u w:val="none"/>
                <w:lang w:val="en-US" w:eastAsia="zh-CN"/>
              </w:rPr>
            </w:pPr>
          </w:p>
        </w:tc>
        <w:tc>
          <w:tcPr>
            <w:tcW w:w="700" w:type="pct"/>
            <w:tcBorders>
              <w:tl2br w:val="nil"/>
              <w:tr2bl w:val="nil"/>
            </w:tcBorders>
            <w:shd w:val="clear" w:color="auto" w:fill="auto"/>
            <w:vAlign w:val="center"/>
          </w:tcPr>
          <w:p w14:paraId="698268AF">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服务器</w:t>
            </w:r>
          </w:p>
        </w:tc>
        <w:tc>
          <w:tcPr>
            <w:tcW w:w="2625" w:type="pct"/>
            <w:tcBorders>
              <w:tl2br w:val="nil"/>
              <w:tr2bl w:val="nil"/>
            </w:tcBorders>
            <w:shd w:val="clear" w:color="auto" w:fill="auto"/>
            <w:vAlign w:val="center"/>
          </w:tcPr>
          <w:p w14:paraId="56A89D5B">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处理器:i7 8550U</w:t>
            </w:r>
          </w:p>
          <w:p w14:paraId="298714EF">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内存:2*DDR3支持16G</w:t>
            </w:r>
          </w:p>
          <w:p w14:paraId="6073B63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存储:1*M.2+1*SATA(2.5”机械硬盘容量&lt;2TB)</w:t>
            </w:r>
          </w:p>
          <w:p w14:paraId="5198373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网络:RTL8111E千兆网卡</w:t>
            </w:r>
          </w:p>
          <w:p w14:paraId="44BA55C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其他接口:1*HDMI、1*VGA　2*USB3.0、4*USB2.0、1*GP10(可选)、6*COM(2×COM可选232/485)、1*AUDIO扩展插槽:1*minipcie（Wifi或者4G)二选一</w:t>
            </w:r>
          </w:p>
          <w:p w14:paraId="38583FE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系统:Windows8\10\11、LINUX(ubuntu, centos)</w:t>
            </w:r>
          </w:p>
        </w:tc>
        <w:tc>
          <w:tcPr>
            <w:tcW w:w="249" w:type="pct"/>
            <w:vMerge w:val="continue"/>
            <w:tcBorders>
              <w:tl2br w:val="nil"/>
              <w:tr2bl w:val="nil"/>
            </w:tcBorders>
            <w:shd w:val="clear" w:color="auto" w:fill="auto"/>
            <w:vAlign w:val="center"/>
          </w:tcPr>
          <w:p w14:paraId="4EE2461D">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172F2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75" w:type="pct"/>
            <w:vMerge w:val="continue"/>
            <w:tcBorders>
              <w:tl2br w:val="nil"/>
              <w:tr2bl w:val="nil"/>
            </w:tcBorders>
            <w:shd w:val="clear" w:color="auto" w:fill="auto"/>
            <w:noWrap/>
            <w:vAlign w:val="center"/>
          </w:tcPr>
          <w:p w14:paraId="5BEEF37C">
            <w:pPr>
              <w:jc w:val="center"/>
              <w:rPr>
                <w:rFonts w:hint="eastAsia" w:ascii="宋体" w:hAnsi="宋体" w:eastAsia="宋体" w:cs="宋体"/>
                <w:i w:val="0"/>
                <w:iCs w:val="0"/>
                <w:color w:val="000000"/>
                <w:sz w:val="24"/>
                <w:szCs w:val="24"/>
                <w:highlight w:val="none"/>
                <w:u w:val="none"/>
              </w:rPr>
            </w:pPr>
          </w:p>
        </w:tc>
        <w:tc>
          <w:tcPr>
            <w:tcW w:w="630" w:type="pct"/>
            <w:vMerge w:val="continue"/>
            <w:tcBorders>
              <w:tl2br w:val="nil"/>
              <w:tr2bl w:val="nil"/>
            </w:tcBorders>
            <w:shd w:val="clear" w:color="auto" w:fill="auto"/>
            <w:noWrap/>
            <w:vAlign w:val="center"/>
          </w:tcPr>
          <w:p w14:paraId="4D3DB360">
            <w:pPr>
              <w:jc w:val="center"/>
              <w:rPr>
                <w:rFonts w:hint="eastAsia" w:ascii="宋体" w:hAnsi="宋体" w:eastAsia="宋体" w:cs="宋体"/>
                <w:i w:val="0"/>
                <w:iCs w:val="0"/>
                <w:color w:val="000000"/>
                <w:sz w:val="24"/>
                <w:szCs w:val="24"/>
                <w:highlight w:val="none"/>
                <w:u w:val="none"/>
              </w:rPr>
            </w:pPr>
          </w:p>
        </w:tc>
        <w:tc>
          <w:tcPr>
            <w:tcW w:w="518" w:type="pct"/>
            <w:vMerge w:val="continue"/>
            <w:tcBorders>
              <w:tl2br w:val="nil"/>
              <w:tr2bl w:val="nil"/>
            </w:tcBorders>
            <w:shd w:val="clear" w:color="auto" w:fill="auto"/>
            <w:noWrap/>
            <w:vAlign w:val="center"/>
          </w:tcPr>
          <w:p w14:paraId="12A2E5B5">
            <w:pPr>
              <w:jc w:val="center"/>
              <w:rPr>
                <w:rFonts w:hint="eastAsia" w:ascii="宋体" w:hAnsi="宋体" w:eastAsia="宋体" w:cs="宋体"/>
                <w:i w:val="0"/>
                <w:iCs w:val="0"/>
                <w:color w:val="000000"/>
                <w:sz w:val="24"/>
                <w:szCs w:val="24"/>
                <w:highlight w:val="none"/>
                <w:u w:val="none"/>
                <w:lang w:val="en-US" w:eastAsia="zh-CN"/>
              </w:rPr>
            </w:pPr>
          </w:p>
        </w:tc>
        <w:tc>
          <w:tcPr>
            <w:tcW w:w="700" w:type="pct"/>
            <w:tcBorders>
              <w:tl2br w:val="nil"/>
              <w:tr2bl w:val="nil"/>
            </w:tcBorders>
            <w:shd w:val="clear" w:color="auto" w:fill="auto"/>
            <w:vAlign w:val="center"/>
          </w:tcPr>
          <w:p w14:paraId="1355E610">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摄像系统</w:t>
            </w:r>
          </w:p>
        </w:tc>
        <w:tc>
          <w:tcPr>
            <w:tcW w:w="2625" w:type="pct"/>
            <w:tcBorders>
              <w:tl2br w:val="nil"/>
              <w:tr2bl w:val="nil"/>
            </w:tcBorders>
            <w:shd w:val="clear" w:color="auto" w:fill="auto"/>
            <w:vAlign w:val="center"/>
          </w:tcPr>
          <w:p w14:paraId="74BB314D">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视频</w:t>
            </w:r>
          </w:p>
          <w:p w14:paraId="6BD6B20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最大图像尺寸：1920 × 1080</w:t>
            </w:r>
          </w:p>
          <w:p w14:paraId="052C6BF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主码流帧率分辨率：50 Hz：25 fps（1920 × 1080，1280 × 720）</w:t>
            </w:r>
          </w:p>
          <w:p w14:paraId="2529D8B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子码流帧率分辨率：50 Hz：25 fps（640 × 480，640 × 360）</w:t>
            </w:r>
          </w:p>
          <w:p w14:paraId="6C01BD7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视频压缩标准：</w:t>
            </w:r>
          </w:p>
          <w:p w14:paraId="2F4E989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主码流：H.265/H.264，支持超级智能编码 子码流：H.265/H.264/MJPEG</w:t>
            </w:r>
          </w:p>
          <w:p w14:paraId="2C8EAE6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视频压缩码率：32 Kbps~8 Mbps</w:t>
            </w:r>
          </w:p>
          <w:p w14:paraId="2ED8B68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H.264编码类型：BaseLine Profile/Main Profile/High Profile</w:t>
            </w:r>
          </w:p>
          <w:p w14:paraId="26A627A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H.265编码类型：Main Profile</w:t>
            </w:r>
          </w:p>
          <w:p w14:paraId="3B4224C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码率控制：定码率，变码率</w:t>
            </w:r>
          </w:p>
          <w:p w14:paraId="7A14A6B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ROI：支持主码流设置1个固定区域</w:t>
            </w:r>
          </w:p>
          <w:p w14:paraId="571D6881">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事件</w:t>
            </w:r>
          </w:p>
          <w:p w14:paraId="3C088DA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报警触发：移动侦测（支持人形/车形侦测），异常</w:t>
            </w:r>
          </w:p>
          <w:p w14:paraId="2E85AD85">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Smart事件：区域入侵侦测，越界侦测，进入区域侦测，离开区域侦测（支持人形、车形检测）</w:t>
            </w:r>
          </w:p>
          <w:p w14:paraId="51182561">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音频</w:t>
            </w:r>
          </w:p>
          <w:p w14:paraId="3D8EACE2">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音频环境噪声过滤：支持</w:t>
            </w:r>
          </w:p>
          <w:p w14:paraId="228B63DE">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网络传输</w:t>
            </w:r>
          </w:p>
          <w:p w14:paraId="73181D93">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同时预览路数：最多6路</w:t>
            </w:r>
          </w:p>
          <w:p w14:paraId="25CC1AF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用户管理：最多32个用户 可配置管理员、操作员、普通用户</w:t>
            </w:r>
          </w:p>
          <w:p w14:paraId="3CE951E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浏览器：使用本地服务预览：Chrome 80+，Firefox 80+，Edge 89+</w:t>
            </w:r>
          </w:p>
          <w:p w14:paraId="3733770F">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接口协议（API）：开放型网络视频接口，ISAPI，SDK，GB28181</w:t>
            </w:r>
          </w:p>
          <w:p w14:paraId="3FAF9F7C">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图像</w:t>
            </w:r>
          </w:p>
          <w:p w14:paraId="56807A1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日夜转换模式：白天，夜晚，自动，定时切换</w:t>
            </w:r>
          </w:p>
          <w:p w14:paraId="6BC0A73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图像增强：背光补偿，强光抑制，3D数字降噪</w:t>
            </w:r>
          </w:p>
          <w:p w14:paraId="27EB1CA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图像设置：镜像，饱和度，亮度，对比度，锐度，AGC，白平衡通过客户端或者浏览器可调</w:t>
            </w:r>
          </w:p>
          <w:p w14:paraId="7FC1E087">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接口</w:t>
            </w:r>
          </w:p>
          <w:p w14:paraId="76F4751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音频：支持1个内置麦克风 支持1个内置扬声器</w:t>
            </w:r>
          </w:p>
          <w:p w14:paraId="08CA519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网络：1个RJ45 10 M/100 M自适应以太网口</w:t>
            </w:r>
          </w:p>
          <w:p w14:paraId="69F8CBE5">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摄像机</w:t>
            </w:r>
          </w:p>
          <w:p w14:paraId="5C374742">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传感器类型：1/2.7" Progressive Scan CMOS</w:t>
            </w:r>
          </w:p>
          <w:p w14:paraId="3085DC7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最低照度：彩色：0.0005 Lux</w:t>
            </w:r>
          </w:p>
          <w:p w14:paraId="2300B3D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快门：1 s~1/100,000 s</w:t>
            </w:r>
          </w:p>
          <w:p w14:paraId="6FE2F7B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宽动态：120 dB</w:t>
            </w:r>
          </w:p>
          <w:p w14:paraId="42049B3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调节角度：水平：0°~360°，垂直：0°~75°，旋转：0°~360°</w:t>
            </w:r>
          </w:p>
          <w:p w14:paraId="7C497084">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镜头</w:t>
            </w:r>
          </w:p>
          <w:p w14:paraId="63A1B5B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镜头尺寸接口：2.8/4/6 mm：M12</w:t>
            </w:r>
          </w:p>
          <w:p w14:paraId="0E621CE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光圈类型：固定光圈</w:t>
            </w:r>
          </w:p>
          <w:p w14:paraId="7A49000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最大光圈数：F1.0</w:t>
            </w:r>
          </w:p>
          <w:p w14:paraId="2872C6D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景深范围：2.8 mm：1.5 m~∞ 4 mm：2.1 m~∞ 6 mm：4.6 m~∞</w:t>
            </w:r>
          </w:p>
          <w:p w14:paraId="44ACA371">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焦距&amp;视场角：2.8 mm，水平视场角：106°，垂直视场角：57°，对角视场角：127° 4 mm，水平视场角：84°，垂直视场角：45°，对角视场角：99° 6 mm，水平视场角：55°，垂直视场角：30°，对角视场角：63°</w:t>
            </w:r>
          </w:p>
          <w:p w14:paraId="378A179A">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补光</w:t>
            </w:r>
          </w:p>
          <w:p w14:paraId="31355501">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补光距离：最远可达30 m</w:t>
            </w:r>
          </w:p>
          <w:p w14:paraId="64EFBED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防补光过曝：支持</w:t>
            </w:r>
          </w:p>
          <w:p w14:paraId="02B9FC4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补光灯类型：柔光灯</w:t>
            </w:r>
          </w:p>
          <w:p w14:paraId="590A0186">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认证</w:t>
            </w:r>
          </w:p>
          <w:p w14:paraId="3B05640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电气安全防护：IP67</w:t>
            </w:r>
          </w:p>
          <w:p w14:paraId="7542655D">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一般规格</w:t>
            </w:r>
          </w:p>
          <w:p w14:paraId="356446E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联动方式：上传FTP，上传中心，邮件，录像，抓图，声音报警</w:t>
            </w:r>
          </w:p>
          <w:p w14:paraId="49F1305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通用功能：心跳，密码保护，水印技术，像素计算器，视频遮盖</w:t>
            </w:r>
          </w:p>
          <w:p w14:paraId="23A3805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恢复出厂设置：支持客户端或浏览器恢复</w:t>
            </w:r>
          </w:p>
          <w:p w14:paraId="20C635FB">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启动和工作温湿度：-30 ℃~60 ℃，湿度小于95%（无凝结）</w:t>
            </w:r>
          </w:p>
          <w:p w14:paraId="2335EF7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供电方式：DC：12 V ± 25%，支持防反接保护 PoE：IEEE 802.3af，Class 3</w:t>
            </w:r>
          </w:p>
          <w:p w14:paraId="328A17E2">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电流及功耗：DC： 12 V，0.75 A，最大功耗：9 W PoE：IEEE 802.3af，Class 3，36 V~57 V，最大功耗：10.5 W</w:t>
            </w:r>
          </w:p>
        </w:tc>
        <w:tc>
          <w:tcPr>
            <w:tcW w:w="249" w:type="pct"/>
            <w:vMerge w:val="continue"/>
            <w:tcBorders>
              <w:tl2br w:val="nil"/>
              <w:tr2bl w:val="nil"/>
            </w:tcBorders>
            <w:shd w:val="clear" w:color="auto" w:fill="auto"/>
            <w:vAlign w:val="center"/>
          </w:tcPr>
          <w:p w14:paraId="4352F31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18588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56" w:hRule="atLeast"/>
        </w:trPr>
        <w:tc>
          <w:tcPr>
            <w:tcW w:w="275" w:type="pct"/>
            <w:tcBorders>
              <w:tl2br w:val="nil"/>
              <w:tr2bl w:val="nil"/>
            </w:tcBorders>
            <w:shd w:val="clear" w:color="auto" w:fill="auto"/>
            <w:vAlign w:val="center"/>
          </w:tcPr>
          <w:p w14:paraId="1453833E">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630" w:type="pct"/>
            <w:tcBorders>
              <w:tl2br w:val="nil"/>
              <w:tr2bl w:val="nil"/>
            </w:tcBorders>
            <w:shd w:val="clear" w:color="auto" w:fill="auto"/>
            <w:vAlign w:val="center"/>
          </w:tcPr>
          <w:p w14:paraId="504A8D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标签发卡打印软件</w:t>
            </w:r>
          </w:p>
        </w:tc>
        <w:tc>
          <w:tcPr>
            <w:tcW w:w="518" w:type="pct"/>
            <w:tcBorders>
              <w:tl2br w:val="nil"/>
              <w:tr2bl w:val="nil"/>
            </w:tcBorders>
            <w:shd w:val="clear" w:color="auto" w:fill="auto"/>
            <w:vAlign w:val="center"/>
          </w:tcPr>
          <w:p w14:paraId="235135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标签发卡打印软件</w:t>
            </w:r>
          </w:p>
        </w:tc>
        <w:tc>
          <w:tcPr>
            <w:tcW w:w="700" w:type="pct"/>
            <w:tcBorders>
              <w:tl2br w:val="nil"/>
              <w:tr2bl w:val="nil"/>
            </w:tcBorders>
            <w:shd w:val="clear" w:color="auto" w:fill="auto"/>
            <w:vAlign w:val="center"/>
          </w:tcPr>
          <w:p w14:paraId="340BED8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标签发卡打印管理</w:t>
            </w:r>
          </w:p>
        </w:tc>
        <w:tc>
          <w:tcPr>
            <w:tcW w:w="2625" w:type="pct"/>
            <w:tcBorders>
              <w:tl2br w:val="nil"/>
              <w:tr2bl w:val="nil"/>
            </w:tcBorders>
            <w:shd w:val="clear" w:color="auto" w:fill="auto"/>
            <w:vAlign w:val="center"/>
          </w:tcPr>
          <w:p w14:paraId="07E6C4AA">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实现</w:t>
            </w:r>
            <w:r>
              <w:rPr>
                <w:rFonts w:hint="eastAsia" w:ascii="宋体" w:hAnsi="宋体" w:eastAsia="宋体" w:cs="宋体"/>
                <w:b w:val="0"/>
                <w:bCs w:val="0"/>
                <w:color w:val="000000"/>
                <w:sz w:val="24"/>
                <w:szCs w:val="24"/>
                <w:highlight w:val="none"/>
                <w:u w:val="none"/>
                <w:lang w:val="en-US" w:eastAsia="zh-CN" w:bidi="ar"/>
              </w:rPr>
              <w:t>RFID</w:t>
            </w:r>
            <w:r>
              <w:rPr>
                <w:rFonts w:hint="eastAsia" w:ascii="宋体" w:hAnsi="宋体" w:eastAsia="宋体" w:cs="宋体"/>
                <w:b w:val="0"/>
                <w:bCs w:val="0"/>
                <w:i w:val="0"/>
                <w:iCs w:val="0"/>
                <w:color w:val="000000"/>
                <w:kern w:val="0"/>
                <w:sz w:val="24"/>
                <w:szCs w:val="24"/>
                <w:highlight w:val="none"/>
                <w:u w:val="none"/>
                <w:lang w:val="en-US" w:eastAsia="zh-CN" w:bidi="ar"/>
              </w:rPr>
              <w:t>桌面发卡器对柔性抗金属标签、</w:t>
            </w:r>
            <w:r>
              <w:rPr>
                <w:rFonts w:hint="eastAsia" w:ascii="宋体" w:hAnsi="宋体" w:eastAsia="宋体" w:cs="宋体"/>
                <w:b w:val="0"/>
                <w:bCs w:val="0"/>
                <w:color w:val="000000"/>
                <w:sz w:val="24"/>
                <w:szCs w:val="24"/>
                <w:highlight w:val="none"/>
                <w:u w:val="none"/>
                <w:lang w:val="en-US" w:eastAsia="zh-CN" w:bidi="ar"/>
              </w:rPr>
              <w:t>PCB</w:t>
            </w:r>
            <w:r>
              <w:rPr>
                <w:rFonts w:hint="eastAsia" w:ascii="宋体" w:hAnsi="宋体" w:eastAsia="宋体" w:cs="宋体"/>
                <w:b w:val="0"/>
                <w:bCs w:val="0"/>
                <w:i w:val="0"/>
                <w:iCs w:val="0"/>
                <w:color w:val="000000"/>
                <w:kern w:val="0"/>
                <w:sz w:val="24"/>
                <w:szCs w:val="24"/>
                <w:highlight w:val="none"/>
                <w:u w:val="none"/>
                <w:lang w:val="en-US" w:eastAsia="zh-CN" w:bidi="ar"/>
              </w:rPr>
              <w:t>抗金属电子标签单张发卡，</w:t>
            </w:r>
            <w:r>
              <w:rPr>
                <w:rFonts w:hint="eastAsia" w:ascii="宋体" w:hAnsi="宋体" w:eastAsia="宋体" w:cs="宋体"/>
                <w:b w:val="0"/>
                <w:bCs w:val="0"/>
                <w:color w:val="000000"/>
                <w:sz w:val="24"/>
                <w:szCs w:val="24"/>
                <w:highlight w:val="none"/>
                <w:u w:val="none"/>
                <w:lang w:val="en-US" w:eastAsia="zh-CN" w:bidi="ar"/>
              </w:rPr>
              <w:t>RFID</w:t>
            </w:r>
            <w:r>
              <w:rPr>
                <w:rFonts w:hint="eastAsia" w:ascii="宋体" w:hAnsi="宋体" w:eastAsia="宋体" w:cs="宋体"/>
                <w:b w:val="0"/>
                <w:bCs w:val="0"/>
                <w:i w:val="0"/>
                <w:iCs w:val="0"/>
                <w:color w:val="000000"/>
                <w:kern w:val="0"/>
                <w:sz w:val="24"/>
                <w:szCs w:val="24"/>
                <w:highlight w:val="none"/>
                <w:u w:val="none"/>
                <w:lang w:val="en-US" w:eastAsia="zh-CN" w:bidi="ar"/>
              </w:rPr>
              <w:t>打印机同时自动打印发卡配套的普通资产标签。</w:t>
            </w:r>
          </w:p>
          <w:p w14:paraId="0B76C00C">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RFID纸质标签：</w:t>
            </w:r>
          </w:p>
          <w:p w14:paraId="3ACCD96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尺寸：≥70*20*0.2mm</w:t>
            </w:r>
          </w:p>
          <w:p w14:paraId="02824579">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工作频段：920.5-924.5Mhz</w:t>
            </w:r>
          </w:p>
          <w:p w14:paraId="12D38BA2">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读取距离：≥4米</w:t>
            </w:r>
          </w:p>
          <w:p w14:paraId="045AD9A8">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芯片：兼容EPC Global Class 1 Gen 2或ISO 18000-6C标准（不支持单一芯片规格限制）</w:t>
            </w:r>
          </w:p>
          <w:p w14:paraId="3EC652C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数据保存：10 年</w:t>
            </w:r>
          </w:p>
          <w:p w14:paraId="4BDEC9E4">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配套数量：2000张</w:t>
            </w:r>
          </w:p>
          <w:p w14:paraId="54B2703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RFID柔性抗金属：</w:t>
            </w:r>
          </w:p>
          <w:p w14:paraId="0BAC37AE">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1、材质：PET/铝箔/泡棉；</w:t>
            </w:r>
          </w:p>
          <w:p w14:paraId="19B6DF3C">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2、尺寸:70x40x1mm(长x宽x厚)；</w:t>
            </w:r>
          </w:p>
          <w:p w14:paraId="553984C5">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3、工作温度:-40~+85℃，贮存温度:-40~+120℃；</w:t>
            </w:r>
          </w:p>
          <w:p w14:paraId="129F5AC2">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4、EPC 内存:128bits，用户区内存：32bits；</w:t>
            </w:r>
          </w:p>
          <w:p w14:paraId="272CAA73">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5、美标读取距离(2W ERP):金属表面6m；</w:t>
            </w:r>
          </w:p>
          <w:p w14:paraId="45F62C28">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6、数据存储:＞10 年；</w:t>
            </w:r>
          </w:p>
          <w:p w14:paraId="0D10577F">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7、擦写次数:100,000 次。</w:t>
            </w:r>
          </w:p>
          <w:p w14:paraId="391258FE">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8、配套数量：2000张</w:t>
            </w:r>
          </w:p>
          <w:p w14:paraId="44A41AC8">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RFID打印机：</w:t>
            </w:r>
          </w:p>
          <w:p w14:paraId="4B57BF56">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1、支持RFID打印，写入；</w:t>
            </w:r>
          </w:p>
          <w:p w14:paraId="583B624C">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2、耗材容量大，可容纳外径≥127mm的纸卷和300米长度的碳带，减少日常使用中更换耗材的次数，提高了工作效率；</w:t>
            </w:r>
          </w:p>
          <w:p w14:paraId="43FD6C22">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3、打印速度≥8英寸/s，具有超强耗材适应性，适应热敏纸、铜版纸、PET、PVC等多种类型标签打印。支持各种一维条码和二维条码打印(包括电子标签)；</w:t>
            </w:r>
          </w:p>
          <w:p w14:paraId="1379CEED">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4、进纸宽度≥118毫米；</w:t>
            </w:r>
          </w:p>
          <w:p w14:paraId="5E14B927">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5、内存≥64MB（或含更高存储容量）</w:t>
            </w:r>
          </w:p>
          <w:p w14:paraId="2D920D4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6、打印宽度≥108毫米；</w:t>
            </w:r>
          </w:p>
          <w:p w14:paraId="576F4A86">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7、分辨率：200DPI/300dpi；</w:t>
            </w:r>
          </w:p>
          <w:p w14:paraId="72B58B78">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8、rfid功能：RFID标签，写入方式:同时支持标签表面信息打印和RFID信息写入。</w:t>
            </w:r>
          </w:p>
        </w:tc>
        <w:tc>
          <w:tcPr>
            <w:tcW w:w="249" w:type="pct"/>
            <w:tcBorders>
              <w:tl2br w:val="nil"/>
              <w:tr2bl w:val="nil"/>
            </w:tcBorders>
            <w:shd w:val="clear" w:color="auto" w:fill="auto"/>
            <w:vAlign w:val="center"/>
          </w:tcPr>
          <w:p w14:paraId="7EA8C52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1套</w:t>
            </w:r>
          </w:p>
        </w:tc>
      </w:tr>
      <w:tr w14:paraId="332CE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275" w:type="pct"/>
            <w:tcBorders>
              <w:tl2br w:val="nil"/>
              <w:tr2bl w:val="nil"/>
            </w:tcBorders>
            <w:shd w:val="clear" w:color="auto" w:fill="auto"/>
            <w:vAlign w:val="center"/>
          </w:tcPr>
          <w:p w14:paraId="0AA6A75A">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630" w:type="pct"/>
            <w:tcBorders>
              <w:tl2br w:val="nil"/>
              <w:tr2bl w:val="nil"/>
            </w:tcBorders>
            <w:shd w:val="clear" w:color="auto" w:fill="auto"/>
            <w:vAlign w:val="center"/>
          </w:tcPr>
          <w:p w14:paraId="144E530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移动端</w:t>
            </w:r>
          </w:p>
        </w:tc>
        <w:tc>
          <w:tcPr>
            <w:tcW w:w="518" w:type="pct"/>
            <w:tcBorders>
              <w:tl2br w:val="nil"/>
              <w:tr2bl w:val="nil"/>
            </w:tcBorders>
            <w:shd w:val="clear" w:color="auto" w:fill="auto"/>
            <w:vAlign w:val="center"/>
          </w:tcPr>
          <w:p w14:paraId="659338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手持终端APP</w:t>
            </w:r>
          </w:p>
        </w:tc>
        <w:tc>
          <w:tcPr>
            <w:tcW w:w="700" w:type="pct"/>
            <w:tcBorders>
              <w:tl2br w:val="nil"/>
              <w:tr2bl w:val="nil"/>
            </w:tcBorders>
            <w:shd w:val="clear" w:color="auto" w:fill="auto"/>
            <w:vAlign w:val="center"/>
          </w:tcPr>
          <w:p w14:paraId="60E5161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手持终端APP</w:t>
            </w:r>
          </w:p>
        </w:tc>
        <w:tc>
          <w:tcPr>
            <w:tcW w:w="2625" w:type="pct"/>
            <w:tcBorders>
              <w:tl2br w:val="nil"/>
              <w:tr2bl w:val="nil"/>
            </w:tcBorders>
            <w:shd w:val="clear" w:color="auto" w:fill="auto"/>
            <w:vAlign w:val="center"/>
          </w:tcPr>
          <w:p w14:paraId="356A157E">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支持二维码、</w:t>
            </w:r>
            <w:r>
              <w:rPr>
                <w:rFonts w:hint="eastAsia" w:ascii="宋体" w:hAnsi="宋体" w:eastAsia="宋体" w:cs="宋体"/>
                <w:b w:val="0"/>
                <w:bCs w:val="0"/>
                <w:color w:val="000000"/>
                <w:sz w:val="24"/>
                <w:szCs w:val="24"/>
                <w:highlight w:val="none"/>
                <w:u w:val="none"/>
                <w:lang w:val="en-US" w:eastAsia="zh-CN" w:bidi="ar"/>
              </w:rPr>
              <w:t>RFID</w:t>
            </w:r>
            <w:r>
              <w:rPr>
                <w:rFonts w:hint="eastAsia" w:ascii="宋体" w:hAnsi="宋体" w:eastAsia="宋体" w:cs="宋体"/>
                <w:b w:val="0"/>
                <w:bCs w:val="0"/>
                <w:i w:val="0"/>
                <w:iCs w:val="0"/>
                <w:color w:val="000000"/>
                <w:kern w:val="0"/>
                <w:sz w:val="24"/>
                <w:szCs w:val="24"/>
                <w:highlight w:val="none"/>
                <w:u w:val="none"/>
                <w:lang w:val="en-US" w:eastAsia="zh-CN" w:bidi="ar"/>
              </w:rPr>
              <w:t>，包含查询、入库、领用、盘点、归还、调拨、转移、报废、报修。</w:t>
            </w:r>
          </w:p>
          <w:p w14:paraId="051A33F2">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1、尺寸：≥170（长）*75（宽）*15(厚度)mm</w:t>
            </w:r>
          </w:p>
          <w:p w14:paraId="4CD4520F">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2、重量：整机小于300g（含电池）；</w:t>
            </w:r>
          </w:p>
          <w:p w14:paraId="2A1E353D">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3、显示屏：≥6.0英寸，FHD+ 分辨率2160*1080，400流明；</w:t>
            </w:r>
          </w:p>
          <w:p w14:paraId="0158E98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4、触摸屏：五点触摸屏；</w:t>
            </w:r>
          </w:p>
          <w:p w14:paraId="1A975FF8">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5、通知方式：声音、震动；</w:t>
            </w:r>
          </w:p>
          <w:p w14:paraId="7A173FBC">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6、电池：可拆卸聚合物锂离子电池,容量：11200mAh；4.4V 正7、常使用时间：大于8小时，待机时间：300小时；</w:t>
            </w:r>
          </w:p>
          <w:p w14:paraId="15B16BB7">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8、操作系统：Android 9.0（可选安卓12.0）；</w:t>
            </w:r>
          </w:p>
          <w:p w14:paraId="237A02F1">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9、内存：4GB RAM/64GB ROM；</w:t>
            </w:r>
          </w:p>
          <w:p w14:paraId="5B345D14">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val="0"/>
                <w:bCs w:val="0"/>
                <w:i w:val="0"/>
                <w:iCs w:val="0"/>
                <w:color w:val="000000"/>
                <w:kern w:val="0"/>
                <w:sz w:val="24"/>
                <w:szCs w:val="24"/>
                <w:highlight w:val="none"/>
                <w:u w:val="none"/>
                <w:lang w:val="en-US" w:eastAsia="zh-CN" w:bidi="ar"/>
              </w:rPr>
              <w:t>10、音频：麦克风、扬声器、听筒；</w:t>
            </w:r>
          </w:p>
        </w:tc>
        <w:tc>
          <w:tcPr>
            <w:tcW w:w="249" w:type="pct"/>
            <w:tcBorders>
              <w:tl2br w:val="nil"/>
              <w:tr2bl w:val="nil"/>
            </w:tcBorders>
            <w:shd w:val="clear" w:color="auto" w:fill="auto"/>
            <w:vAlign w:val="center"/>
          </w:tcPr>
          <w:p w14:paraId="7DCF6267">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1套</w:t>
            </w:r>
          </w:p>
        </w:tc>
      </w:tr>
      <w:tr w14:paraId="58901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0" w:hRule="atLeast"/>
        </w:trPr>
        <w:tc>
          <w:tcPr>
            <w:tcW w:w="5000" w:type="pct"/>
            <w:gridSpan w:val="6"/>
            <w:tcBorders>
              <w:tl2br w:val="nil"/>
              <w:tr2bl w:val="nil"/>
            </w:tcBorders>
            <w:shd w:val="clear" w:color="auto" w:fill="auto"/>
            <w:vAlign w:val="center"/>
          </w:tcPr>
          <w:p w14:paraId="3BFB747A">
            <w:pPr>
              <w:keepNext w:val="0"/>
              <w:keepLines w:val="0"/>
              <w:widowControl/>
              <w:suppressLineNumbers w:val="0"/>
              <w:ind w:firstLine="241" w:firstLineChars="10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说明：1、上列物品标注“▲”的技术参数为重要参数，供应商应按要求提供相应的佐证材料。</w:t>
            </w:r>
          </w:p>
          <w:p w14:paraId="649C2ECF">
            <w:pPr>
              <w:keepNext w:val="0"/>
              <w:keepLines w:val="0"/>
              <w:widowControl/>
              <w:suppressLineNumbers w:val="0"/>
              <w:ind w:firstLine="241" w:firstLineChars="10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2、所有参数或图片描述如出现特定品牌均为参考或相当于其标准。</w:t>
            </w:r>
          </w:p>
        </w:tc>
      </w:tr>
    </w:tbl>
    <w:p w14:paraId="7F5D21D1">
      <w:pPr>
        <w:rPr>
          <w:rFonts w:hint="eastAsia" w:ascii="宋体" w:hAnsi="宋体" w:eastAsia="宋体" w:cs="宋体"/>
          <w:sz w:val="24"/>
          <w:szCs w:val="24"/>
          <w:highlight w:val="none"/>
          <w:lang w:val="en-US" w:eastAsia="zh-CN"/>
        </w:rPr>
        <w:sectPr>
          <w:type w:val="continuous"/>
          <w:pgSz w:w="16838" w:h="11906" w:orient="landscape"/>
          <w:pgMar w:top="1800" w:right="1440" w:bottom="1800" w:left="1440" w:header="851" w:footer="992" w:gutter="0"/>
          <w:pgNumType w:fmt="decimal"/>
          <w:cols w:space="720" w:num="1"/>
          <w:docGrid w:type="lines" w:linePitch="312" w:charSpace="0"/>
        </w:sectPr>
      </w:pPr>
    </w:p>
    <w:p w14:paraId="19C4CCED">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both"/>
        <w:textAlignment w:val="baseline"/>
        <w:outlineLvl w:val="2"/>
        <w:rPr>
          <w:rFonts w:hint="eastAsia" w:ascii="宋体" w:hAnsi="宋体" w:eastAsia="宋体" w:cs="宋体"/>
          <w:b/>
          <w:bCs/>
          <w:snapToGrid w:val="0"/>
          <w:color w:val="000000"/>
          <w:spacing w:val="6"/>
          <w:kern w:val="0"/>
          <w:sz w:val="28"/>
          <w:szCs w:val="28"/>
          <w:highlight w:val="none"/>
          <w:lang w:val="en-US" w:eastAsia="en-US"/>
        </w:rPr>
      </w:pPr>
      <w:r>
        <w:rPr>
          <w:rFonts w:hint="eastAsia" w:ascii="宋体" w:hAnsi="宋体" w:eastAsia="宋体" w:cs="宋体"/>
          <w:b/>
          <w:bCs/>
          <w:snapToGrid w:val="0"/>
          <w:color w:val="000000"/>
          <w:spacing w:val="6"/>
          <w:kern w:val="0"/>
          <w:sz w:val="28"/>
          <w:szCs w:val="28"/>
          <w:highlight w:val="none"/>
          <w:lang w:val="en-US" w:eastAsia="zh-CN"/>
        </w:rPr>
        <w:t>（三）1个人用品背囊</w:t>
      </w:r>
    </w:p>
    <w:tbl>
      <w:tblPr>
        <w:tblStyle w:val="27"/>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6"/>
        <w:gridCol w:w="1517"/>
        <w:gridCol w:w="852"/>
        <w:gridCol w:w="784"/>
        <w:gridCol w:w="7453"/>
        <w:gridCol w:w="2580"/>
        <w:gridCol w:w="1390"/>
      </w:tblGrid>
      <w:tr w14:paraId="133E28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28" w:type="pct"/>
            <w:tcBorders>
              <w:top w:val="single" w:color="000000" w:sz="4" w:space="0"/>
              <w:bottom w:val="single" w:color="000000" w:sz="4" w:space="0"/>
              <w:right w:val="single" w:color="000000" w:sz="4" w:space="0"/>
            </w:tcBorders>
            <w:shd w:val="clear" w:color="auto" w:fill="auto"/>
            <w:vAlign w:val="center"/>
          </w:tcPr>
          <w:p w14:paraId="2773BC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C93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名称</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1479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单位</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6DF0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数量</w:t>
            </w:r>
          </w:p>
        </w:tc>
        <w:tc>
          <w:tcPr>
            <w:tcW w:w="2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42D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2"/>
                <w:sz w:val="24"/>
                <w:szCs w:val="24"/>
                <w:highlight w:val="none"/>
                <w:lang w:val="en-US" w:eastAsia="zh-CN" w:bidi="ar"/>
              </w:rPr>
              <w:t>技术参数</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5E8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kern w:val="2"/>
                <w:sz w:val="24"/>
                <w:szCs w:val="24"/>
                <w:highlight w:val="none"/>
                <w:lang w:val="en-US" w:eastAsia="zh-CN" w:bidi="ar"/>
              </w:rPr>
              <w:t>参考图片</w:t>
            </w:r>
          </w:p>
        </w:tc>
        <w:tc>
          <w:tcPr>
            <w:tcW w:w="445" w:type="pct"/>
            <w:tcBorders>
              <w:top w:val="single" w:color="000000" w:sz="4" w:space="0"/>
              <w:left w:val="single" w:color="000000" w:sz="4" w:space="0"/>
              <w:bottom w:val="single" w:color="000000" w:sz="4" w:space="0"/>
            </w:tcBorders>
            <w:shd w:val="clear" w:color="auto" w:fill="auto"/>
            <w:vAlign w:val="center"/>
          </w:tcPr>
          <w:p w14:paraId="7DF2D9A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备注</w:t>
            </w:r>
          </w:p>
        </w:tc>
      </w:tr>
      <w:tr w14:paraId="0E0EF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163" w:hRule="atLeast"/>
        </w:trPr>
        <w:tc>
          <w:tcPr>
            <w:tcW w:w="328" w:type="pct"/>
            <w:tcBorders>
              <w:top w:val="single" w:color="000000" w:sz="4" w:space="0"/>
              <w:bottom w:val="single" w:color="000000" w:sz="4" w:space="0"/>
              <w:right w:val="single" w:color="000000" w:sz="4" w:space="0"/>
            </w:tcBorders>
            <w:shd w:val="clear" w:color="auto" w:fill="auto"/>
            <w:vAlign w:val="center"/>
          </w:tcPr>
          <w:p w14:paraId="62C991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4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5640">
            <w:pPr>
              <w:keepNext w:val="0"/>
              <w:keepLines w:val="0"/>
              <w:widowControl/>
              <w:suppressLineNumbers w:val="0"/>
              <w:jc w:val="left"/>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1个人用品背囊</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E4AA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6A9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2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718A">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1.面料：1680D优质尼龙布，环保防水涂层</w:t>
            </w:r>
          </w:p>
          <w:p w14:paraId="5A9A34EE">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2.里料：210D锦纶加密材料，优力胶涂层，防水耐磨抗撕裂</w:t>
            </w:r>
          </w:p>
          <w:p w14:paraId="6BE00BB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3.尺寸：≥宽35cm*厚28cm*高85cm</w:t>
            </w:r>
          </w:p>
          <w:p w14:paraId="0FD2D50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4.容积：≥80L+20L(可扩充)</w:t>
            </w:r>
          </w:p>
          <w:p w14:paraId="5A20C49F">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配置清单：</w:t>
            </w:r>
          </w:p>
          <w:p w14:paraId="1962189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背囊1个，对讲机1个；GPS定位器1个；多功能充电器1个；手动式发电装置1个；指南针1个；头灯1套；手电筒1支；救生荧光棒2根；驱蚊剂1支；防晒霜/预留空间；雨衣1件；劳动保护手套1双；医用防护口罩10个；单人急救包1套；药品/预留空间；智能手环1个；单人帐篷1顶；自充式气垫1张；睡袋(防寒)1套；防潮垫1张；帐灯1个；水壶1个；餐具及餐盒1套；单兵净水器1个；洗漱用具包1套；折叠式脸盆1个；多功能防水袋1个；物品收纳袋（小）5个；物品收纳袋（大）1个；</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61D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1333500" cy="1332230"/>
                  <wp:effectExtent l="0" t="0" r="0" b="1270"/>
                  <wp:docPr id="42" name="图片_11"/>
                  <wp:cNvGraphicFramePr/>
                  <a:graphic xmlns:a="http://schemas.openxmlformats.org/drawingml/2006/main">
                    <a:graphicData uri="http://schemas.openxmlformats.org/drawingml/2006/picture">
                      <pic:pic xmlns:pic="http://schemas.openxmlformats.org/drawingml/2006/picture">
                        <pic:nvPicPr>
                          <pic:cNvPr id="42" name="图片_11"/>
                          <pic:cNvPicPr/>
                        </pic:nvPicPr>
                        <pic:blipFill>
                          <a:blip r:embed="rId46"/>
                          <a:stretch>
                            <a:fillRect/>
                          </a:stretch>
                        </pic:blipFill>
                        <pic:spPr>
                          <a:xfrm>
                            <a:off x="0" y="0"/>
                            <a:ext cx="1333500" cy="1332230"/>
                          </a:xfrm>
                          <a:prstGeom prst="rect">
                            <a:avLst/>
                          </a:prstGeom>
                          <a:noFill/>
                          <a:ln>
                            <a:noFill/>
                          </a:ln>
                        </pic:spPr>
                      </pic:pic>
                    </a:graphicData>
                  </a:graphic>
                </wp:inline>
              </w:drawing>
            </w:r>
          </w:p>
        </w:tc>
        <w:tc>
          <w:tcPr>
            <w:tcW w:w="445" w:type="pct"/>
            <w:tcBorders>
              <w:top w:val="single" w:color="000000" w:sz="4" w:space="0"/>
              <w:left w:val="single" w:color="000000" w:sz="4" w:space="0"/>
              <w:bottom w:val="single" w:color="000000" w:sz="4" w:space="0"/>
            </w:tcBorders>
            <w:shd w:val="clear" w:color="auto" w:fill="auto"/>
            <w:vAlign w:val="center"/>
          </w:tcPr>
          <w:p w14:paraId="3E941CD4">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2"/>
                <w:sz w:val="24"/>
                <w:szCs w:val="24"/>
                <w:highlight w:val="none"/>
                <w:u w:val="none"/>
                <w:lang w:val="en-US" w:eastAsia="zh-CN" w:bidi="ar-SA"/>
              </w:rPr>
              <w:t>户外个人用品背囊</w:t>
            </w:r>
          </w:p>
        </w:tc>
      </w:tr>
    </w:tbl>
    <w:p w14:paraId="11D06B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06" w:firstLineChars="200"/>
        <w:jc w:val="center"/>
        <w:textAlignment w:val="baseline"/>
        <w:outlineLvl w:val="9"/>
        <w:rPr>
          <w:rFonts w:hint="eastAsia" w:ascii="宋体" w:hAnsi="宋体" w:eastAsia="宋体" w:cs="宋体"/>
          <w:b/>
          <w:bCs/>
          <w:snapToGrid w:val="0"/>
          <w:color w:val="000000"/>
          <w:spacing w:val="6"/>
          <w:kern w:val="0"/>
          <w:sz w:val="24"/>
          <w:szCs w:val="24"/>
          <w:highlight w:val="none"/>
          <w:lang w:val="en-US" w:eastAsia="zh-CN"/>
        </w:rPr>
      </w:pPr>
    </w:p>
    <w:p w14:paraId="2D2E300E">
      <w:pPr>
        <w:rPr>
          <w:rFonts w:hint="eastAsia" w:ascii="宋体" w:hAnsi="宋体" w:eastAsia="宋体" w:cs="宋体"/>
          <w:b/>
          <w:bCs/>
          <w:snapToGrid w:val="0"/>
          <w:color w:val="000000"/>
          <w:spacing w:val="6"/>
          <w:kern w:val="0"/>
          <w:sz w:val="24"/>
          <w:szCs w:val="24"/>
          <w:highlight w:val="none"/>
          <w:lang w:val="en-US" w:eastAsia="zh-CN"/>
        </w:rPr>
      </w:pPr>
      <w:r>
        <w:rPr>
          <w:rFonts w:hint="eastAsia" w:ascii="宋体" w:hAnsi="宋体" w:eastAsia="宋体" w:cs="宋体"/>
          <w:b/>
          <w:bCs/>
          <w:snapToGrid w:val="0"/>
          <w:color w:val="000000"/>
          <w:spacing w:val="6"/>
          <w:kern w:val="0"/>
          <w:sz w:val="24"/>
          <w:szCs w:val="24"/>
          <w:highlight w:val="none"/>
          <w:lang w:val="en-US" w:eastAsia="zh-CN"/>
        </w:rPr>
        <w:br w:type="page"/>
      </w:r>
    </w:p>
    <w:p w14:paraId="694A5BDC">
      <w:pPr>
        <w:jc w:val="center"/>
        <w:rPr>
          <w:rFonts w:hint="eastAsia" w:ascii="宋体" w:hAnsi="宋体" w:eastAsia="宋体" w:cs="宋体"/>
          <w:b/>
          <w:bCs/>
          <w:snapToGrid w:val="0"/>
          <w:color w:val="000000"/>
          <w:spacing w:val="6"/>
          <w:kern w:val="0"/>
          <w:sz w:val="24"/>
          <w:szCs w:val="24"/>
          <w:highlight w:val="none"/>
          <w:lang w:val="en-US" w:eastAsia="zh-CN"/>
        </w:rPr>
      </w:pPr>
      <w:r>
        <w:rPr>
          <w:rFonts w:hint="eastAsia" w:ascii="宋体" w:hAnsi="宋体" w:eastAsia="宋体" w:cs="宋体"/>
          <w:b/>
          <w:bCs/>
          <w:snapToGrid w:val="0"/>
          <w:color w:val="000000"/>
          <w:spacing w:val="6"/>
          <w:kern w:val="0"/>
          <w:sz w:val="24"/>
          <w:szCs w:val="24"/>
          <w:highlight w:val="none"/>
          <w:lang w:val="en-US" w:eastAsia="zh-CN"/>
        </w:rPr>
        <w:t>1个人用品背囊技术参数</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170"/>
        <w:gridCol w:w="12676"/>
      </w:tblGrid>
      <w:tr w14:paraId="3C44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noWrap w:val="0"/>
            <w:vAlign w:val="center"/>
          </w:tcPr>
          <w:p w14:paraId="07CBBC6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i w:val="0"/>
                <w:iCs w:val="0"/>
                <w:snapToGrid w:val="0"/>
                <w:color w:val="000000"/>
                <w:kern w:val="0"/>
                <w:sz w:val="24"/>
                <w:szCs w:val="24"/>
                <w:highlight w:val="none"/>
                <w:u w:val="none"/>
                <w:lang w:val="en-US" w:eastAsia="zh-CN" w:bidi="ar"/>
              </w:rPr>
            </w:pPr>
            <w:r>
              <w:rPr>
                <w:rFonts w:hint="eastAsia" w:ascii="宋体" w:hAnsi="宋体" w:eastAsia="宋体" w:cs="宋体"/>
                <w:b/>
                <w:bCs/>
                <w:i w:val="0"/>
                <w:iCs w:val="0"/>
                <w:snapToGrid w:val="0"/>
                <w:color w:val="000000"/>
                <w:kern w:val="0"/>
                <w:sz w:val="24"/>
                <w:szCs w:val="24"/>
                <w:highlight w:val="none"/>
                <w:u w:val="none"/>
                <w:lang w:val="en-US" w:eastAsia="zh-CN" w:bidi="ar"/>
              </w:rPr>
              <w:t>序号</w:t>
            </w:r>
          </w:p>
        </w:tc>
        <w:tc>
          <w:tcPr>
            <w:tcW w:w="695" w:type="pct"/>
            <w:noWrap w:val="0"/>
            <w:vAlign w:val="center"/>
          </w:tcPr>
          <w:p w14:paraId="5A6A425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i w:val="0"/>
                <w:iCs w:val="0"/>
                <w:snapToGrid w:val="0"/>
                <w:color w:val="000000"/>
                <w:kern w:val="0"/>
                <w:sz w:val="24"/>
                <w:szCs w:val="24"/>
                <w:highlight w:val="none"/>
                <w:u w:val="none"/>
                <w:lang w:val="en-US" w:eastAsia="zh-CN" w:bidi="ar"/>
              </w:rPr>
            </w:pPr>
            <w:r>
              <w:rPr>
                <w:rFonts w:hint="eastAsia" w:ascii="宋体" w:hAnsi="宋体" w:eastAsia="宋体" w:cs="宋体"/>
                <w:b/>
                <w:bCs/>
                <w:i w:val="0"/>
                <w:iCs w:val="0"/>
                <w:snapToGrid w:val="0"/>
                <w:color w:val="000000"/>
                <w:kern w:val="0"/>
                <w:sz w:val="24"/>
                <w:szCs w:val="24"/>
                <w:highlight w:val="none"/>
                <w:u w:val="none"/>
                <w:lang w:val="en-US" w:eastAsia="zh-CN" w:bidi="ar"/>
              </w:rPr>
              <w:t>名称</w:t>
            </w:r>
          </w:p>
        </w:tc>
        <w:tc>
          <w:tcPr>
            <w:tcW w:w="4059" w:type="pct"/>
            <w:noWrap w:val="0"/>
            <w:vAlign w:val="center"/>
          </w:tcPr>
          <w:p w14:paraId="3366A2F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i w:val="0"/>
                <w:iCs w:val="0"/>
                <w:snapToGrid w:val="0"/>
                <w:color w:val="000000"/>
                <w:kern w:val="0"/>
                <w:sz w:val="24"/>
                <w:szCs w:val="24"/>
                <w:highlight w:val="none"/>
                <w:u w:val="none"/>
                <w:lang w:val="en-US" w:eastAsia="en-US"/>
              </w:rPr>
            </w:pPr>
            <w:r>
              <w:rPr>
                <w:rFonts w:hint="eastAsia" w:ascii="宋体" w:hAnsi="宋体" w:eastAsia="宋体" w:cs="宋体"/>
                <w:b/>
                <w:bCs/>
                <w:i w:val="0"/>
                <w:iCs w:val="0"/>
                <w:snapToGrid w:val="0"/>
                <w:color w:val="000000"/>
                <w:kern w:val="0"/>
                <w:sz w:val="24"/>
                <w:szCs w:val="24"/>
                <w:highlight w:val="none"/>
                <w:u w:val="none"/>
                <w:lang w:val="en-US" w:eastAsia="zh-CN" w:bidi="ar"/>
              </w:rPr>
              <w:t>技术参数</w:t>
            </w:r>
          </w:p>
        </w:tc>
      </w:tr>
      <w:tr w14:paraId="2407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vMerge w:val="restart"/>
            <w:noWrap w:val="0"/>
            <w:vAlign w:val="center"/>
          </w:tcPr>
          <w:p w14:paraId="41EF390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w:t>
            </w:r>
          </w:p>
        </w:tc>
        <w:tc>
          <w:tcPr>
            <w:tcW w:w="695" w:type="pct"/>
            <w:vMerge w:val="restart"/>
            <w:noWrap w:val="0"/>
            <w:vAlign w:val="center"/>
          </w:tcPr>
          <w:p w14:paraId="7435BC5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rPr>
            </w:pPr>
            <w:r>
              <w:rPr>
                <w:rFonts w:hint="eastAsia" w:ascii="宋体" w:hAnsi="宋体" w:eastAsia="宋体" w:cs="宋体"/>
                <w:b w:val="0"/>
                <w:bCs w:val="0"/>
                <w:i w:val="0"/>
                <w:iCs w:val="0"/>
                <w:snapToGrid w:val="0"/>
                <w:color w:val="000000"/>
                <w:kern w:val="0"/>
                <w:sz w:val="24"/>
                <w:szCs w:val="24"/>
                <w:highlight w:val="none"/>
                <w:u w:val="none"/>
                <w:lang w:val="en-US" w:eastAsia="zh-CN"/>
              </w:rPr>
              <w:t>背囊</w:t>
            </w:r>
          </w:p>
        </w:tc>
        <w:tc>
          <w:tcPr>
            <w:tcW w:w="4059" w:type="pct"/>
            <w:noWrap w:val="0"/>
            <w:vAlign w:val="center"/>
          </w:tcPr>
          <w:p w14:paraId="7EC2CDDC">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1.结构形式</w:t>
            </w:r>
          </w:p>
          <w:p w14:paraId="4C9EFEA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（1）构成：由双肩背囊和内装装备构成；</w:t>
            </w:r>
          </w:p>
          <w:p w14:paraId="29F96D4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（2）系统各组成部分的功用及主要技术形式A、包囊囊体：主要用于贮放和携带装备；双肩背负式，具备多方位隐藏可拓展空间；B、器材设备：直接装载于包囊内。</w:t>
            </w:r>
          </w:p>
          <w:p w14:paraId="6BD0C0B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（3）内部分区合理，方便拿取；同时具备隐藏式便携系统。</w:t>
            </w:r>
          </w:p>
          <w:p w14:paraId="3274865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2.技术指标</w:t>
            </w:r>
          </w:p>
          <w:p w14:paraId="1925F59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2.1外形尺寸（长×宽×高）：背囊长宽高：30cm×24cm×76cm</w:t>
            </w:r>
          </w:p>
          <w:p w14:paraId="50E765D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2.2整备重量：背囊空囊2.2kg；实装14.35kg；</w:t>
            </w:r>
          </w:p>
          <w:p w14:paraId="7AF04E4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2.3面料缝合强度：符合GB/T 3923.1-2013检测标准</w:t>
            </w:r>
          </w:p>
          <w:p w14:paraId="331331A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2.4环境适应性</w:t>
            </w:r>
          </w:p>
          <w:p w14:paraId="7583D0E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2.4.1使用温度：低温-41℃,高温70℃</w:t>
            </w:r>
          </w:p>
          <w:p w14:paraId="232BEB5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2.4.2储存极限温度：为避免背囊长时间在极限环境下存放时，材料涂层及防水胶条等部位受损，背囊存储极限温度应符合低温-55℃,高温70℃。</w:t>
            </w:r>
          </w:p>
          <w:p w14:paraId="7F0A9FC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2.4.3湿热：适应湿度95％（40℃)环境</w:t>
            </w:r>
          </w:p>
          <w:p w14:paraId="0595950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▲2.4.4淋雨：降雨强度10cm/h，试验时间50min，背囊内无明显渗水</w:t>
            </w:r>
          </w:p>
          <w:p w14:paraId="7AA19F6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▲2.4.5跌落：从190厘米高度跌落后，背囊应无破损，内装物无松脱和损坏</w:t>
            </w:r>
          </w:p>
          <w:p w14:paraId="6685EC5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2.5外观</w:t>
            </w:r>
          </w:p>
          <w:p w14:paraId="704ECB6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2.5.1缝线要求：车缝工艺，缝线平顺，不能有爆线、跳针、漏针、未回针、针距不均，线迹歪斜现象；车缝线的颜色与布料颜色要匹配；针距每厘米3～5针；车缝后线头必须剪净，线头长度≤3mm</w:t>
            </w:r>
          </w:p>
          <w:p w14:paraId="5E876BB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2.5.2背囊外表面：应无断经、断纬，无跳丝、跳线，无印道、瑕点、污点和划痕</w:t>
            </w:r>
          </w:p>
          <w:p w14:paraId="42D3B4A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2.5.3背负系统：背带、腰带与插扣配合应紧固，不得出现自行松脱现象。</w:t>
            </w:r>
          </w:p>
          <w:p w14:paraId="4D8EE7A0">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2.5.4拉链：拉链缝合平直，边距一致，误差≤2mm。</w:t>
            </w:r>
          </w:p>
        </w:tc>
      </w:tr>
      <w:tr w14:paraId="07F0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vMerge w:val="continue"/>
            <w:noWrap w:val="0"/>
            <w:vAlign w:val="center"/>
          </w:tcPr>
          <w:p w14:paraId="4B3A825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p>
        </w:tc>
        <w:tc>
          <w:tcPr>
            <w:tcW w:w="695" w:type="pct"/>
            <w:vMerge w:val="continue"/>
            <w:noWrap w:val="0"/>
            <w:vAlign w:val="center"/>
          </w:tcPr>
          <w:p w14:paraId="69CB4E5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rPr>
            </w:pPr>
          </w:p>
        </w:tc>
        <w:tc>
          <w:tcPr>
            <w:tcW w:w="4059" w:type="pct"/>
            <w:noWrap w:val="0"/>
            <w:vAlign w:val="center"/>
          </w:tcPr>
          <w:p w14:paraId="3FF5CB1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2.6原材料</w:t>
            </w:r>
          </w:p>
          <w:p w14:paraId="4F5A673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▲2.6.1背囊面料</w:t>
            </w:r>
            <w:r>
              <w:rPr>
                <w:rFonts w:hint="eastAsia" w:ascii="宋体" w:hAnsi="宋体" w:eastAsia="宋体" w:cs="宋体"/>
                <w:b w:val="0"/>
                <w:bCs w:val="0"/>
                <w:i w:val="0"/>
                <w:iCs w:val="0"/>
                <w:snapToGrid w:val="0"/>
                <w:color w:val="000000"/>
                <w:kern w:val="0"/>
                <w:sz w:val="24"/>
                <w:szCs w:val="24"/>
                <w:highlight w:val="none"/>
                <w:u w:val="none"/>
                <w:lang w:val="en-US" w:eastAsia="en-US"/>
              </w:rPr>
              <w:tab/>
            </w:r>
          </w:p>
          <w:p w14:paraId="3D0D5E8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（1）背囊面料采用600D牛津涂层布，颜色为国旗红。</w:t>
            </w:r>
          </w:p>
          <w:p w14:paraId="1B7FECF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（2）断裂强力经向3500N、纬向3100N；撕破强力经向440N、纬向380N；耐磨性10000次；静水压初始40kPa、洗5次后15kPa；</w:t>
            </w:r>
          </w:p>
          <w:p w14:paraId="26E1A65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（3）垂直燃烧续燃时间1.5S、阴燃时间均0s;垂直燃烧损毁长度经向90mm、纬向78mm；抗粘连性：无粘连；耐低温-50℃无破裂或龟裂；</w:t>
            </w:r>
          </w:p>
          <w:p w14:paraId="1CEF360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（4）缝纫损伤率2.3，布料沾水等级(级)：4级；布料色牢度：干摩擦色牢度5级，湿摩擦色牢度5级；</w:t>
            </w:r>
          </w:p>
          <w:p w14:paraId="70C14B4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（5）背囊各连接部位抗拉力550N,背带抗拉力800N;</w:t>
            </w:r>
          </w:p>
          <w:p w14:paraId="1A47104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2.6.2拉链</w:t>
            </w:r>
            <w:r>
              <w:rPr>
                <w:rFonts w:hint="eastAsia" w:ascii="宋体" w:hAnsi="宋体" w:eastAsia="宋体" w:cs="宋体"/>
                <w:b w:val="0"/>
                <w:bCs w:val="0"/>
                <w:i w:val="0"/>
                <w:iCs w:val="0"/>
                <w:snapToGrid w:val="0"/>
                <w:color w:val="000000"/>
                <w:kern w:val="0"/>
                <w:sz w:val="24"/>
                <w:szCs w:val="24"/>
                <w:highlight w:val="none"/>
                <w:u w:val="none"/>
                <w:lang w:val="en-US" w:eastAsia="en-US"/>
              </w:rPr>
              <w:tab/>
            </w:r>
          </w:p>
          <w:p w14:paraId="4E7A4F6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（1）拉链耐用度6000次，无掉牙、错牙、损坏等缺陷；</w:t>
            </w:r>
          </w:p>
          <w:p w14:paraId="4FE4CB9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（2）10号拉链，平拉强度1700N、轻滑度3.2N、拉头拉片结合强力1138N、拉头拉片抗扭力矩1.82Nm；</w:t>
            </w:r>
          </w:p>
          <w:p w14:paraId="0E70F7B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（3）8号拉链，平拉强度1300N、轻滑度1.2N、拉头拉片结合强力735N、拉头拉片抗扭力矩1.48Nm；</w:t>
            </w:r>
          </w:p>
          <w:p w14:paraId="55CB636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2.6.3粘扣带：粘扣带，外观质量和尺寸允差应满足GB/T2331512N/m2、剥离强度3.2N/m、抗疲劳性能（离合5000次）剪切强度8.7N/m2、抗疲劳性能（离合5000次）剥离强度2.6N/m</w:t>
            </w:r>
          </w:p>
          <w:p w14:paraId="629C201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2.6.4插扣和受力环扣断裂强力：插扣断裂强力1100N、受力环扣断裂强力950N。</w:t>
            </w:r>
          </w:p>
          <w:p w14:paraId="6269082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2.6.5其他辅助性塑料或金属件：表面应平滑，色泽均匀，无毛刺，无锈蚀，没有起泡、起皮、划痕</w:t>
            </w:r>
          </w:p>
          <w:p w14:paraId="7EBA809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2.7标志标识：背囊正面的部位，有白底红十字中国卫生标志及背囊名称，外观协调美观，便于识别。背囊具有夜间警示功能，可根据采购人指定标识制作。</w:t>
            </w:r>
          </w:p>
          <w:p w14:paraId="5EAED350">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2.8包装：采用双瓦楞纸箱包装，纸箱文字和图示标志应按照GB/T191包装储运图示标志要求进行设计和印刷</w:t>
            </w:r>
          </w:p>
        </w:tc>
      </w:tr>
      <w:tr w14:paraId="176A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4235FEF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w:t>
            </w:r>
          </w:p>
        </w:tc>
        <w:tc>
          <w:tcPr>
            <w:tcW w:w="695" w:type="pct"/>
            <w:noWrap w:val="0"/>
            <w:vAlign w:val="center"/>
          </w:tcPr>
          <w:p w14:paraId="1215F22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对讲机</w:t>
            </w:r>
          </w:p>
        </w:tc>
        <w:tc>
          <w:tcPr>
            <w:tcW w:w="4059" w:type="pct"/>
            <w:noWrap w:val="0"/>
            <w:vAlign w:val="center"/>
          </w:tcPr>
          <w:p w14:paraId="30D46AB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（1）防水、防摔、防震，距离：＞10公里，楼层：1-100层；</w:t>
            </w:r>
          </w:p>
          <w:p w14:paraId="3ED3EDF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（2）电池：≥1500mAh可充电锂电池，待机时间：≥3天，</w:t>
            </w:r>
          </w:p>
          <w:p w14:paraId="77B3CE7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（3）信道数：不少于16个；</w:t>
            </w:r>
          </w:p>
          <w:p w14:paraId="737D689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（4）三种充电方式：USB直充、电池单充、整机座充，防尘防水。</w:t>
            </w:r>
          </w:p>
        </w:tc>
      </w:tr>
      <w:tr w14:paraId="2EDE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69696D2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w:t>
            </w:r>
          </w:p>
        </w:tc>
        <w:tc>
          <w:tcPr>
            <w:tcW w:w="695" w:type="pct"/>
            <w:noWrap w:val="0"/>
            <w:vAlign w:val="center"/>
          </w:tcPr>
          <w:p w14:paraId="4A400E6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GPS定位器</w:t>
            </w:r>
          </w:p>
        </w:tc>
        <w:tc>
          <w:tcPr>
            <w:tcW w:w="4059" w:type="pct"/>
            <w:noWrap w:val="0"/>
            <w:vAlign w:val="center"/>
          </w:tcPr>
          <w:p w14:paraId="10C3D48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zh-CN"/>
              </w:rPr>
            </w:pPr>
            <w:r>
              <w:rPr>
                <w:rFonts w:hint="eastAsia" w:ascii="宋体" w:hAnsi="宋体" w:eastAsia="宋体" w:cs="宋体"/>
                <w:b w:val="0"/>
                <w:bCs w:val="0"/>
                <w:i w:val="0"/>
                <w:iCs w:val="0"/>
                <w:snapToGrid w:val="0"/>
                <w:color w:val="000000"/>
                <w:kern w:val="0"/>
                <w:sz w:val="24"/>
                <w:szCs w:val="24"/>
                <w:highlight w:val="none"/>
                <w:u w:val="none"/>
                <w:lang w:val="en-US" w:eastAsia="en-US"/>
              </w:rPr>
              <w:t>定位模式：北斗+GPS+LBS+WIFI+5G，尺寸4.8cmx3.4cmx1.8cm,公差±0.5cm,内置GPS定位芯片，可记录≥160个历史轨迹</w:t>
            </w:r>
            <w:r>
              <w:rPr>
                <w:rFonts w:hint="eastAsia" w:ascii="宋体" w:hAnsi="宋体" w:eastAsia="宋体" w:cs="宋体"/>
                <w:b w:val="0"/>
                <w:bCs w:val="0"/>
                <w:i w:val="0"/>
                <w:iCs w:val="0"/>
                <w:snapToGrid w:val="0"/>
                <w:color w:val="000000"/>
                <w:kern w:val="0"/>
                <w:sz w:val="24"/>
                <w:szCs w:val="24"/>
                <w:highlight w:val="none"/>
                <w:u w:val="none"/>
                <w:lang w:val="en-US" w:eastAsia="zh-CN"/>
              </w:rPr>
              <w:t>。</w:t>
            </w:r>
          </w:p>
        </w:tc>
      </w:tr>
      <w:tr w14:paraId="6187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659C9E9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4</w:t>
            </w:r>
          </w:p>
        </w:tc>
        <w:tc>
          <w:tcPr>
            <w:tcW w:w="695" w:type="pct"/>
            <w:noWrap w:val="0"/>
            <w:vAlign w:val="center"/>
          </w:tcPr>
          <w:p w14:paraId="20268BA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多功能充电器</w:t>
            </w:r>
          </w:p>
        </w:tc>
        <w:tc>
          <w:tcPr>
            <w:tcW w:w="4059" w:type="pct"/>
            <w:noWrap w:val="0"/>
            <w:vAlign w:val="center"/>
          </w:tcPr>
          <w:p w14:paraId="1949264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65W氮化镓充电器。100W，Type-C、Micro-B、lightning三合一充电线</w:t>
            </w:r>
          </w:p>
        </w:tc>
      </w:tr>
      <w:tr w14:paraId="550F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76F5546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5</w:t>
            </w:r>
          </w:p>
        </w:tc>
        <w:tc>
          <w:tcPr>
            <w:tcW w:w="695" w:type="pct"/>
            <w:noWrap w:val="0"/>
            <w:vAlign w:val="center"/>
          </w:tcPr>
          <w:p w14:paraId="32C9B2C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手动式发电装置</w:t>
            </w:r>
          </w:p>
        </w:tc>
        <w:tc>
          <w:tcPr>
            <w:tcW w:w="4059" w:type="pct"/>
            <w:noWrap w:val="0"/>
            <w:vAlign w:val="center"/>
          </w:tcPr>
          <w:p w14:paraId="07DA511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最大输出电流≥1000mA，最大输出功率≥2W，具备电量显示和手电筒功能。</w:t>
            </w:r>
          </w:p>
        </w:tc>
      </w:tr>
      <w:tr w14:paraId="2BFB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659AFB9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6</w:t>
            </w:r>
          </w:p>
        </w:tc>
        <w:tc>
          <w:tcPr>
            <w:tcW w:w="695" w:type="pct"/>
            <w:noWrap w:val="0"/>
            <w:vAlign w:val="center"/>
          </w:tcPr>
          <w:p w14:paraId="3EB473F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指南针</w:t>
            </w:r>
          </w:p>
        </w:tc>
        <w:tc>
          <w:tcPr>
            <w:tcW w:w="4059" w:type="pct"/>
            <w:noWrap w:val="0"/>
            <w:vAlign w:val="center"/>
          </w:tcPr>
          <w:p w14:paraId="2575562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多种功能合一：指南针+温度显示+LED灯+放大镜+口哨+反光镜</w:t>
            </w:r>
          </w:p>
        </w:tc>
      </w:tr>
      <w:tr w14:paraId="1997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0F8B6C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7</w:t>
            </w:r>
          </w:p>
        </w:tc>
        <w:tc>
          <w:tcPr>
            <w:tcW w:w="695" w:type="pct"/>
            <w:noWrap w:val="0"/>
            <w:vAlign w:val="center"/>
          </w:tcPr>
          <w:p w14:paraId="1A8AB38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头灯</w:t>
            </w:r>
          </w:p>
        </w:tc>
        <w:tc>
          <w:tcPr>
            <w:tcW w:w="4059" w:type="pct"/>
            <w:noWrap w:val="0"/>
            <w:vAlign w:val="center"/>
          </w:tcPr>
          <w:p w14:paraId="5458820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（1）产品尺寸：约85mm。</w:t>
            </w:r>
          </w:p>
          <w:p w14:paraId="62DD152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（2）材质：铝塑结合。</w:t>
            </w:r>
          </w:p>
          <w:p w14:paraId="7891B85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（3）防水等级IPX65，续航时间：强光≥10H、工作灯≥14H。</w:t>
            </w:r>
          </w:p>
          <w:p w14:paraId="5A1DBD7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（4）电源：可充电锂电池。</w:t>
            </w:r>
          </w:p>
        </w:tc>
      </w:tr>
      <w:tr w14:paraId="0A67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72097D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8</w:t>
            </w:r>
          </w:p>
        </w:tc>
        <w:tc>
          <w:tcPr>
            <w:tcW w:w="695" w:type="pct"/>
            <w:noWrap w:val="0"/>
            <w:vAlign w:val="center"/>
          </w:tcPr>
          <w:p w14:paraId="0C403F0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手电筒</w:t>
            </w:r>
          </w:p>
        </w:tc>
        <w:tc>
          <w:tcPr>
            <w:tcW w:w="4059" w:type="pct"/>
            <w:noWrap w:val="0"/>
            <w:vAlign w:val="center"/>
          </w:tcPr>
          <w:p w14:paraId="642B003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笔式，可充电，满电续航时间≥12h，白黄双光源。</w:t>
            </w:r>
          </w:p>
        </w:tc>
      </w:tr>
      <w:tr w14:paraId="76B2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6139304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9</w:t>
            </w:r>
          </w:p>
        </w:tc>
        <w:tc>
          <w:tcPr>
            <w:tcW w:w="695" w:type="pct"/>
            <w:noWrap w:val="0"/>
            <w:vAlign w:val="center"/>
          </w:tcPr>
          <w:p w14:paraId="030CBD0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救生荧光棒</w:t>
            </w:r>
          </w:p>
        </w:tc>
        <w:tc>
          <w:tcPr>
            <w:tcW w:w="4059" w:type="pct"/>
            <w:noWrap w:val="0"/>
            <w:vAlign w:val="center"/>
          </w:tcPr>
          <w:p w14:paraId="716D7B0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4h～12h稳定的发光亮度；长度≥15cm,主动式发光。</w:t>
            </w:r>
          </w:p>
        </w:tc>
      </w:tr>
      <w:tr w14:paraId="44C4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5FD9EDE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10</w:t>
            </w:r>
          </w:p>
        </w:tc>
        <w:tc>
          <w:tcPr>
            <w:tcW w:w="695" w:type="pct"/>
            <w:noWrap w:val="0"/>
            <w:vAlign w:val="center"/>
          </w:tcPr>
          <w:p w14:paraId="38FDADD0">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驱蚊剂</w:t>
            </w:r>
          </w:p>
        </w:tc>
        <w:tc>
          <w:tcPr>
            <w:tcW w:w="4059" w:type="pct"/>
            <w:noWrap w:val="0"/>
            <w:vAlign w:val="center"/>
          </w:tcPr>
          <w:p w14:paraId="0D86519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50ml，≥15%避蚊胺，6H长效强力驱蚊，成分安全不刺激，防水防汗。</w:t>
            </w:r>
          </w:p>
        </w:tc>
      </w:tr>
      <w:tr w14:paraId="3BCC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A5A1C0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11</w:t>
            </w:r>
          </w:p>
        </w:tc>
        <w:tc>
          <w:tcPr>
            <w:tcW w:w="695" w:type="pct"/>
            <w:noWrap w:val="0"/>
            <w:vAlign w:val="center"/>
          </w:tcPr>
          <w:p w14:paraId="0238D50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防晒霜</w:t>
            </w:r>
          </w:p>
        </w:tc>
        <w:tc>
          <w:tcPr>
            <w:tcW w:w="4059" w:type="pct"/>
            <w:noWrap w:val="0"/>
            <w:vAlign w:val="center"/>
          </w:tcPr>
          <w:p w14:paraId="348146F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预留空间</w:t>
            </w:r>
          </w:p>
        </w:tc>
      </w:tr>
      <w:tr w14:paraId="076D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001E4E1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12</w:t>
            </w:r>
          </w:p>
        </w:tc>
        <w:tc>
          <w:tcPr>
            <w:tcW w:w="695" w:type="pct"/>
            <w:noWrap w:val="0"/>
            <w:vAlign w:val="center"/>
          </w:tcPr>
          <w:p w14:paraId="0D01489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雨衣</w:t>
            </w:r>
          </w:p>
        </w:tc>
        <w:tc>
          <w:tcPr>
            <w:tcW w:w="4059" w:type="pct"/>
            <w:noWrap w:val="0"/>
            <w:vAlign w:val="center"/>
          </w:tcPr>
          <w:p w14:paraId="2A20470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材质为压纹PVC,质量轻，便于携带，可重复使用。</w:t>
            </w:r>
          </w:p>
        </w:tc>
      </w:tr>
      <w:tr w14:paraId="4236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7C98E34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13</w:t>
            </w:r>
          </w:p>
        </w:tc>
        <w:tc>
          <w:tcPr>
            <w:tcW w:w="695" w:type="pct"/>
            <w:noWrap w:val="0"/>
            <w:vAlign w:val="center"/>
          </w:tcPr>
          <w:p w14:paraId="10EF2CA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劳动保护手套</w:t>
            </w:r>
          </w:p>
        </w:tc>
        <w:tc>
          <w:tcPr>
            <w:tcW w:w="4059" w:type="pct"/>
            <w:noWrap w:val="0"/>
            <w:vAlign w:val="center"/>
          </w:tcPr>
          <w:p w14:paraId="44E57AD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人体工程学手型设计，提高舒适性和灵敏度，防滑耐磨耐用。</w:t>
            </w:r>
          </w:p>
        </w:tc>
      </w:tr>
      <w:tr w14:paraId="15DC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5C4BDED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14</w:t>
            </w:r>
          </w:p>
        </w:tc>
        <w:tc>
          <w:tcPr>
            <w:tcW w:w="695" w:type="pct"/>
            <w:noWrap w:val="0"/>
            <w:vAlign w:val="center"/>
          </w:tcPr>
          <w:p w14:paraId="101C344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医用防护口罩</w:t>
            </w:r>
          </w:p>
        </w:tc>
        <w:tc>
          <w:tcPr>
            <w:tcW w:w="4059" w:type="pct"/>
            <w:noWrap w:val="0"/>
            <w:vAlign w:val="center"/>
          </w:tcPr>
          <w:p w14:paraId="2959CF1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（1）一次性外科口罩和N95口罩各10个。</w:t>
            </w:r>
          </w:p>
          <w:p w14:paraId="345CE980">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（2）一次性外科口罩：平面，适用于医务人员或相关人员的基本防护，以及在有创操作过程中阻止体液和喷溅物传播的防护。由非织造布与过滤层、口罩带、鼻夹组成。符合YY0469-2011《医用外科口罩》的要求。</w:t>
            </w:r>
          </w:p>
          <w:p w14:paraId="2CA6DD5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（3）N95口罩：头戴式，符合GB19083-2010《医用防护口罩技术要求》，口罩断裂强力≥10N，过滤效率≥95%。</w:t>
            </w:r>
          </w:p>
        </w:tc>
      </w:tr>
      <w:tr w14:paraId="2D92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010F8D2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15</w:t>
            </w:r>
          </w:p>
        </w:tc>
        <w:tc>
          <w:tcPr>
            <w:tcW w:w="695" w:type="pct"/>
            <w:noWrap w:val="0"/>
            <w:vAlign w:val="center"/>
          </w:tcPr>
          <w:p w14:paraId="0BD6625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单人急救包</w:t>
            </w:r>
          </w:p>
        </w:tc>
        <w:tc>
          <w:tcPr>
            <w:tcW w:w="4059" w:type="pct"/>
            <w:noWrap w:val="0"/>
            <w:vAlign w:val="center"/>
          </w:tcPr>
          <w:p w14:paraId="4FF1E2A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创可贴5片，碘伏棉签5个，无菌棉绷带一卷，酒精棉片5片，烧伤敷料1包，生理盐水15ml1支，止血带，医用胶带1卷，医用纱布块2块，医用剪刀1把，三角巾1个。</w:t>
            </w:r>
          </w:p>
        </w:tc>
      </w:tr>
      <w:tr w14:paraId="77AB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5EE3353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16</w:t>
            </w:r>
          </w:p>
        </w:tc>
        <w:tc>
          <w:tcPr>
            <w:tcW w:w="695" w:type="pct"/>
            <w:noWrap w:val="0"/>
            <w:vAlign w:val="center"/>
          </w:tcPr>
          <w:p w14:paraId="7FFBA2CC">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药品</w:t>
            </w:r>
          </w:p>
        </w:tc>
        <w:tc>
          <w:tcPr>
            <w:tcW w:w="4059" w:type="pct"/>
            <w:noWrap w:val="0"/>
            <w:vAlign w:val="center"/>
          </w:tcPr>
          <w:p w14:paraId="2F92596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预留位置，位置标识清晰。</w:t>
            </w:r>
          </w:p>
        </w:tc>
      </w:tr>
      <w:tr w14:paraId="43C6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741F56B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17</w:t>
            </w:r>
          </w:p>
        </w:tc>
        <w:tc>
          <w:tcPr>
            <w:tcW w:w="695" w:type="pct"/>
            <w:noWrap w:val="0"/>
            <w:vAlign w:val="center"/>
          </w:tcPr>
          <w:p w14:paraId="332AD05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智能手环</w:t>
            </w:r>
          </w:p>
        </w:tc>
        <w:tc>
          <w:tcPr>
            <w:tcW w:w="4059" w:type="pct"/>
            <w:noWrap w:val="0"/>
            <w:vAlign w:val="center"/>
          </w:tcPr>
          <w:p w14:paraId="7E4C0F9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1.62英寸AMOLED屏，50米防水，续航时间15天。工作温度：≥-30℃,≤50℃支持：心率监测、血氧监测、红外佩戴、多种运动模式。</w:t>
            </w:r>
          </w:p>
        </w:tc>
      </w:tr>
      <w:tr w14:paraId="20A3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FE5E359">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18</w:t>
            </w:r>
          </w:p>
        </w:tc>
        <w:tc>
          <w:tcPr>
            <w:tcW w:w="695" w:type="pct"/>
            <w:noWrap w:val="0"/>
            <w:vAlign w:val="center"/>
          </w:tcPr>
          <w:p w14:paraId="3F39FBD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单人帐篷</w:t>
            </w:r>
          </w:p>
        </w:tc>
        <w:tc>
          <w:tcPr>
            <w:tcW w:w="4059" w:type="pct"/>
            <w:noWrap w:val="0"/>
            <w:vAlign w:val="center"/>
          </w:tcPr>
          <w:p w14:paraId="757EE81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（1）产品尺寸：长宽高≥2.1*1.0*0.8米；</w:t>
            </w:r>
          </w:p>
          <w:p w14:paraId="0740A07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（2）包装尺寸：长宽35*22cm，重量≤5千克；</w:t>
            </w:r>
          </w:p>
          <w:p w14:paraId="31DC810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▲（3）帐篷篷布主材为涤纶防水布，静水压15kpa；拒油及易去污性能等级5级。</w:t>
            </w:r>
          </w:p>
          <w:p w14:paraId="790BFAC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（4）骨架为玻璃纤维杆，质轻高强。</w:t>
            </w:r>
          </w:p>
        </w:tc>
      </w:tr>
      <w:tr w14:paraId="2966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blHeader/>
        </w:trPr>
        <w:tc>
          <w:tcPr>
            <w:tcW w:w="245" w:type="pct"/>
            <w:shd w:val="clear" w:color="auto" w:fill="auto"/>
            <w:noWrap w:val="0"/>
            <w:vAlign w:val="center"/>
          </w:tcPr>
          <w:p w14:paraId="286CA24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19</w:t>
            </w:r>
          </w:p>
        </w:tc>
        <w:tc>
          <w:tcPr>
            <w:tcW w:w="695" w:type="pct"/>
            <w:noWrap w:val="0"/>
            <w:vAlign w:val="center"/>
          </w:tcPr>
          <w:p w14:paraId="78540CDC">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自充式气垫</w:t>
            </w:r>
          </w:p>
        </w:tc>
        <w:tc>
          <w:tcPr>
            <w:tcW w:w="4059" w:type="pct"/>
            <w:noWrap w:val="0"/>
            <w:vAlign w:val="center"/>
          </w:tcPr>
          <w:p w14:paraId="749B32F8">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双层复合PVC贴合面料，内里覆压海绵，外加铜制气嘴，全长1.8mx0.8m，重量2.2公斤。</w:t>
            </w:r>
          </w:p>
        </w:tc>
      </w:tr>
      <w:tr w14:paraId="18B7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03BC96A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20</w:t>
            </w:r>
          </w:p>
        </w:tc>
        <w:tc>
          <w:tcPr>
            <w:tcW w:w="695" w:type="pct"/>
            <w:noWrap w:val="0"/>
            <w:vAlign w:val="center"/>
          </w:tcPr>
          <w:p w14:paraId="5DC6594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睡袋(防寒)</w:t>
            </w:r>
          </w:p>
        </w:tc>
        <w:tc>
          <w:tcPr>
            <w:tcW w:w="4059" w:type="pct"/>
            <w:noWrap w:val="0"/>
            <w:vAlign w:val="center"/>
          </w:tcPr>
          <w:p w14:paraId="17BA81D5">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（1）面料：320T涤纶</w:t>
            </w:r>
          </w:p>
          <w:p w14:paraId="6FCDFB70">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（2）里料：320T涤纶</w:t>
            </w:r>
          </w:p>
          <w:p w14:paraId="5CF5773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（3）填充：羽绒，≥1500克，可抵御≤-25℃低温</w:t>
            </w:r>
          </w:p>
          <w:p w14:paraId="18B75F2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（4）尺寸：210*80cm</w:t>
            </w:r>
          </w:p>
          <w:p w14:paraId="47A2B3A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（5）总重量：≤2500克</w:t>
            </w:r>
          </w:p>
          <w:p w14:paraId="4EF8651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（6）收纳体积：≤45*32*32cm</w:t>
            </w:r>
          </w:p>
        </w:tc>
      </w:tr>
      <w:tr w14:paraId="2458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5710023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21</w:t>
            </w:r>
          </w:p>
        </w:tc>
        <w:tc>
          <w:tcPr>
            <w:tcW w:w="695" w:type="pct"/>
            <w:noWrap w:val="0"/>
            <w:vAlign w:val="center"/>
          </w:tcPr>
          <w:p w14:paraId="035584F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防潮垫</w:t>
            </w:r>
          </w:p>
        </w:tc>
        <w:tc>
          <w:tcPr>
            <w:tcW w:w="4059" w:type="pct"/>
            <w:noWrap w:val="0"/>
            <w:vAlign w:val="center"/>
          </w:tcPr>
          <w:p w14:paraId="48C0D2F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长200cm</w:t>
            </w:r>
            <w:r>
              <w:rPr>
                <w:rFonts w:hint="eastAsia" w:ascii="宋体" w:hAnsi="宋体" w:eastAsia="宋体" w:cs="宋体"/>
                <w:b w:val="0"/>
                <w:bCs w:val="0"/>
                <w:i w:val="0"/>
                <w:iCs w:val="0"/>
                <w:snapToGrid w:val="0"/>
                <w:color w:val="000000"/>
                <w:kern w:val="0"/>
                <w:sz w:val="24"/>
                <w:szCs w:val="24"/>
                <w:highlight w:val="none"/>
                <w:u w:val="none"/>
                <w:lang w:val="en-US" w:eastAsia="zh-CN"/>
              </w:rPr>
              <w:t>*</w:t>
            </w:r>
            <w:r>
              <w:rPr>
                <w:rFonts w:hint="eastAsia" w:ascii="宋体" w:hAnsi="宋体" w:eastAsia="宋体" w:cs="宋体"/>
                <w:b w:val="0"/>
                <w:bCs w:val="0"/>
                <w:i w:val="0"/>
                <w:iCs w:val="0"/>
                <w:snapToGrid w:val="0"/>
                <w:color w:val="000000"/>
                <w:kern w:val="0"/>
                <w:sz w:val="24"/>
                <w:szCs w:val="24"/>
                <w:highlight w:val="none"/>
                <w:u w:val="none"/>
                <w:lang w:val="en-US" w:eastAsia="en-US"/>
              </w:rPr>
              <w:t>宽75cm</w:t>
            </w:r>
          </w:p>
        </w:tc>
      </w:tr>
      <w:tr w14:paraId="7FBF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253CC74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22</w:t>
            </w:r>
          </w:p>
        </w:tc>
        <w:tc>
          <w:tcPr>
            <w:tcW w:w="695" w:type="pct"/>
            <w:noWrap w:val="0"/>
            <w:vAlign w:val="center"/>
          </w:tcPr>
          <w:p w14:paraId="7275D12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帐灯</w:t>
            </w:r>
          </w:p>
        </w:tc>
        <w:tc>
          <w:tcPr>
            <w:tcW w:w="4059" w:type="pct"/>
            <w:noWrap w:val="0"/>
            <w:vAlign w:val="center"/>
          </w:tcPr>
          <w:p w14:paraId="0C8C5C3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强光-弱光-爆闪-SOS模式，手提/挂扣使用，1200mAh电池，可边充电边照明，LED灯芯</w:t>
            </w:r>
          </w:p>
        </w:tc>
      </w:tr>
      <w:tr w14:paraId="7621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47B6511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23</w:t>
            </w:r>
          </w:p>
        </w:tc>
        <w:tc>
          <w:tcPr>
            <w:tcW w:w="695" w:type="pct"/>
            <w:noWrap w:val="0"/>
            <w:vAlign w:val="center"/>
          </w:tcPr>
          <w:p w14:paraId="0354B2CE">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水壶</w:t>
            </w:r>
          </w:p>
        </w:tc>
        <w:tc>
          <w:tcPr>
            <w:tcW w:w="4059" w:type="pct"/>
            <w:noWrap w:val="0"/>
            <w:vAlign w:val="center"/>
          </w:tcPr>
          <w:p w14:paraId="45A6C32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容量1000ml，保温隔热</w:t>
            </w:r>
          </w:p>
        </w:tc>
      </w:tr>
      <w:tr w14:paraId="6362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012CEC6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24</w:t>
            </w:r>
          </w:p>
        </w:tc>
        <w:tc>
          <w:tcPr>
            <w:tcW w:w="695" w:type="pct"/>
            <w:noWrap w:val="0"/>
            <w:vAlign w:val="center"/>
          </w:tcPr>
          <w:p w14:paraId="4C09484C">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餐具及餐盒</w:t>
            </w:r>
          </w:p>
        </w:tc>
        <w:tc>
          <w:tcPr>
            <w:tcW w:w="4059" w:type="pct"/>
            <w:noWrap w:val="0"/>
            <w:vAlign w:val="center"/>
          </w:tcPr>
          <w:p w14:paraId="5283421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不锈钢便携式饭盒，耐高温、耐刮擦，盒盖使用活扣连接，含折叠便携餐具(勺、叉、筷子）一套</w:t>
            </w:r>
          </w:p>
        </w:tc>
      </w:tr>
      <w:tr w14:paraId="5CFE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13B3B4B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25</w:t>
            </w:r>
          </w:p>
        </w:tc>
        <w:tc>
          <w:tcPr>
            <w:tcW w:w="695" w:type="pct"/>
            <w:noWrap w:val="0"/>
            <w:vAlign w:val="center"/>
          </w:tcPr>
          <w:p w14:paraId="202E0284">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单兵净水器</w:t>
            </w:r>
          </w:p>
        </w:tc>
        <w:tc>
          <w:tcPr>
            <w:tcW w:w="4059" w:type="pct"/>
            <w:noWrap w:val="0"/>
            <w:vAlign w:val="center"/>
          </w:tcPr>
          <w:p w14:paraId="3BB259A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净水流速600ml/min，使用寿命：5000L</w:t>
            </w:r>
          </w:p>
        </w:tc>
      </w:tr>
      <w:tr w14:paraId="694D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33D1AD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26</w:t>
            </w:r>
          </w:p>
        </w:tc>
        <w:tc>
          <w:tcPr>
            <w:tcW w:w="695" w:type="pct"/>
            <w:noWrap w:val="0"/>
            <w:vAlign w:val="center"/>
          </w:tcPr>
          <w:p w14:paraId="3E87FA66">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rPr>
            </w:pPr>
            <w:r>
              <w:rPr>
                <w:rFonts w:hint="eastAsia" w:ascii="宋体" w:hAnsi="宋体" w:eastAsia="宋体" w:cs="宋体"/>
                <w:b w:val="0"/>
                <w:bCs w:val="0"/>
                <w:i w:val="0"/>
                <w:iCs w:val="0"/>
                <w:snapToGrid w:val="0"/>
                <w:color w:val="000000"/>
                <w:kern w:val="0"/>
                <w:sz w:val="24"/>
                <w:szCs w:val="24"/>
                <w:highlight w:val="none"/>
                <w:u w:val="none"/>
                <w:lang w:val="en-US" w:eastAsia="en-US"/>
              </w:rPr>
              <w:t>洗漱用具</w:t>
            </w:r>
            <w:r>
              <w:rPr>
                <w:rFonts w:hint="eastAsia" w:ascii="宋体" w:hAnsi="宋体" w:eastAsia="宋体" w:cs="宋体"/>
                <w:b w:val="0"/>
                <w:bCs w:val="0"/>
                <w:i w:val="0"/>
                <w:iCs w:val="0"/>
                <w:snapToGrid w:val="0"/>
                <w:color w:val="000000"/>
                <w:kern w:val="0"/>
                <w:sz w:val="24"/>
                <w:szCs w:val="24"/>
                <w:highlight w:val="none"/>
                <w:u w:val="none"/>
                <w:lang w:val="en-US" w:eastAsia="zh-CN"/>
              </w:rPr>
              <w:t>包</w:t>
            </w:r>
          </w:p>
        </w:tc>
        <w:tc>
          <w:tcPr>
            <w:tcW w:w="4059" w:type="pct"/>
            <w:noWrap w:val="0"/>
            <w:vAlign w:val="center"/>
          </w:tcPr>
          <w:p w14:paraId="3A7954B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含毛巾、牙刷、牙膏、香皂、漱口杯、指甲刀、剃须刀、免洗手液、洗发水1套。</w:t>
            </w:r>
          </w:p>
        </w:tc>
      </w:tr>
      <w:tr w14:paraId="6B71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0E7BAF13">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27</w:t>
            </w:r>
          </w:p>
        </w:tc>
        <w:tc>
          <w:tcPr>
            <w:tcW w:w="695" w:type="pct"/>
            <w:noWrap w:val="0"/>
            <w:vAlign w:val="center"/>
          </w:tcPr>
          <w:p w14:paraId="523ED6C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折叠式脸盆</w:t>
            </w:r>
          </w:p>
        </w:tc>
        <w:tc>
          <w:tcPr>
            <w:tcW w:w="4059" w:type="pct"/>
            <w:noWrap w:val="0"/>
            <w:vAlign w:val="center"/>
          </w:tcPr>
          <w:p w14:paraId="6E4CA9EB">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防水牛津布材质，容量12L</w:t>
            </w:r>
          </w:p>
        </w:tc>
      </w:tr>
      <w:tr w14:paraId="242E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5C8EF77D">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28</w:t>
            </w:r>
          </w:p>
        </w:tc>
        <w:tc>
          <w:tcPr>
            <w:tcW w:w="695" w:type="pct"/>
            <w:noWrap w:val="0"/>
            <w:vAlign w:val="center"/>
          </w:tcPr>
          <w:p w14:paraId="34D21D9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多功能防水袋</w:t>
            </w:r>
          </w:p>
        </w:tc>
        <w:tc>
          <w:tcPr>
            <w:tcW w:w="4059" w:type="pct"/>
            <w:noWrap w:val="0"/>
            <w:vAlign w:val="center"/>
          </w:tcPr>
          <w:p w14:paraId="1404D37F">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尺寸：330*235*1mm，厚度：12S，材质：PP，防水防污</w:t>
            </w:r>
          </w:p>
        </w:tc>
      </w:tr>
      <w:tr w14:paraId="7BAE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399FEE02">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29</w:t>
            </w:r>
          </w:p>
        </w:tc>
        <w:tc>
          <w:tcPr>
            <w:tcW w:w="695" w:type="pct"/>
            <w:noWrap w:val="0"/>
            <w:vAlign w:val="center"/>
          </w:tcPr>
          <w:p w14:paraId="1881956C">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物品收纳袋（小）</w:t>
            </w:r>
          </w:p>
        </w:tc>
        <w:tc>
          <w:tcPr>
            <w:tcW w:w="4059" w:type="pct"/>
            <w:noWrap w:val="0"/>
            <w:vAlign w:val="center"/>
          </w:tcPr>
          <w:p w14:paraId="661179D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可视化物资收纳袋，210D尼龙材质，22厘米</w:t>
            </w:r>
            <w:r>
              <w:rPr>
                <w:rFonts w:hint="eastAsia" w:ascii="宋体" w:hAnsi="宋体" w:eastAsia="宋体" w:cs="宋体"/>
                <w:b w:val="0"/>
                <w:bCs w:val="0"/>
                <w:i w:val="0"/>
                <w:iCs w:val="0"/>
                <w:snapToGrid w:val="0"/>
                <w:color w:val="000000"/>
                <w:kern w:val="0"/>
                <w:sz w:val="24"/>
                <w:szCs w:val="24"/>
                <w:highlight w:val="none"/>
                <w:u w:val="none"/>
                <w:lang w:val="en-US" w:eastAsia="zh-CN"/>
              </w:rPr>
              <w:t>*</w:t>
            </w:r>
            <w:r>
              <w:rPr>
                <w:rFonts w:hint="eastAsia" w:ascii="宋体" w:hAnsi="宋体" w:eastAsia="宋体" w:cs="宋体"/>
                <w:b w:val="0"/>
                <w:bCs w:val="0"/>
                <w:i w:val="0"/>
                <w:iCs w:val="0"/>
                <w:snapToGrid w:val="0"/>
                <w:color w:val="000000"/>
                <w:kern w:val="0"/>
                <w:sz w:val="24"/>
                <w:szCs w:val="24"/>
                <w:highlight w:val="none"/>
                <w:u w:val="none"/>
                <w:lang w:val="en-US" w:eastAsia="en-US"/>
              </w:rPr>
              <w:t>17厘米</w:t>
            </w:r>
            <w:r>
              <w:rPr>
                <w:rFonts w:hint="eastAsia" w:ascii="宋体" w:hAnsi="宋体" w:eastAsia="宋体" w:cs="宋体"/>
                <w:b w:val="0"/>
                <w:bCs w:val="0"/>
                <w:i w:val="0"/>
                <w:iCs w:val="0"/>
                <w:snapToGrid w:val="0"/>
                <w:color w:val="000000"/>
                <w:kern w:val="0"/>
                <w:sz w:val="24"/>
                <w:szCs w:val="24"/>
                <w:highlight w:val="none"/>
                <w:u w:val="none"/>
                <w:lang w:val="en-US" w:eastAsia="zh-CN"/>
              </w:rPr>
              <w:t>*</w:t>
            </w:r>
            <w:r>
              <w:rPr>
                <w:rFonts w:hint="eastAsia" w:ascii="宋体" w:hAnsi="宋体" w:eastAsia="宋体" w:cs="宋体"/>
                <w:b w:val="0"/>
                <w:bCs w:val="0"/>
                <w:i w:val="0"/>
                <w:iCs w:val="0"/>
                <w:snapToGrid w:val="0"/>
                <w:color w:val="000000"/>
                <w:kern w:val="0"/>
                <w:sz w:val="24"/>
                <w:szCs w:val="24"/>
                <w:highlight w:val="none"/>
                <w:u w:val="none"/>
                <w:lang w:val="en-US" w:eastAsia="en-US"/>
              </w:rPr>
              <w:t>6厘米</w:t>
            </w:r>
          </w:p>
        </w:tc>
      </w:tr>
      <w:tr w14:paraId="31F1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45" w:type="pct"/>
            <w:shd w:val="clear" w:color="auto" w:fill="auto"/>
            <w:noWrap w:val="0"/>
            <w:vAlign w:val="center"/>
          </w:tcPr>
          <w:p w14:paraId="2DF2F19A">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zh-CN" w:bidi="ar"/>
              </w:rPr>
            </w:pPr>
            <w:r>
              <w:rPr>
                <w:rFonts w:hint="eastAsia" w:ascii="宋体" w:hAnsi="宋体" w:eastAsia="宋体" w:cs="宋体"/>
                <w:b w:val="0"/>
                <w:bCs w:val="0"/>
                <w:i w:val="0"/>
                <w:iCs w:val="0"/>
                <w:snapToGrid w:val="0"/>
                <w:color w:val="000000"/>
                <w:kern w:val="0"/>
                <w:sz w:val="24"/>
                <w:szCs w:val="24"/>
                <w:highlight w:val="none"/>
                <w:u w:val="none"/>
                <w:lang w:val="en-US" w:eastAsia="zh-CN" w:bidi="ar"/>
              </w:rPr>
              <w:t>30</w:t>
            </w:r>
          </w:p>
        </w:tc>
        <w:tc>
          <w:tcPr>
            <w:tcW w:w="695" w:type="pct"/>
            <w:noWrap w:val="0"/>
            <w:vAlign w:val="center"/>
          </w:tcPr>
          <w:p w14:paraId="7AF22537">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val="0"/>
                <w:bCs w:val="0"/>
                <w:i w:val="0"/>
                <w:iCs w:val="0"/>
                <w:snapToGrid w:val="0"/>
                <w:color w:val="000000"/>
                <w:kern w:val="0"/>
                <w:sz w:val="24"/>
                <w:szCs w:val="24"/>
                <w:highlight w:val="none"/>
                <w:u w:val="none"/>
                <w:lang w:val="en-US"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物品收纳袋（大）</w:t>
            </w:r>
          </w:p>
        </w:tc>
        <w:tc>
          <w:tcPr>
            <w:tcW w:w="4059" w:type="pct"/>
            <w:noWrap w:val="0"/>
            <w:vAlign w:val="center"/>
          </w:tcPr>
          <w:p w14:paraId="2298FFC1">
            <w:pPr>
              <w:keepNext w:val="0"/>
              <w:keepLines w:val="0"/>
              <w:pageBreakBefore w:val="0"/>
              <w:widowControl w:val="0"/>
              <w:suppressLineNumbers w:val="0"/>
              <w:kinsoku w:val="0"/>
              <w:wordWrap w:val="0"/>
              <w:overflowPunct/>
              <w:topLinePunct w:val="0"/>
              <w:autoSpaceDE w:val="0"/>
              <w:autoSpaceDN w:val="0"/>
              <w:bidi w:val="0"/>
              <w:adjustRightInd w:val="0"/>
              <w:snapToGrid w:val="0"/>
              <w:spacing w:line="240" w:lineRule="auto"/>
              <w:jc w:val="left"/>
              <w:textAlignment w:val="center"/>
              <w:rPr>
                <w:rFonts w:hint="eastAsia" w:ascii="宋体" w:hAnsi="宋体" w:eastAsia="宋体" w:cs="宋体"/>
                <w:b w:val="0"/>
                <w:bCs w:val="0"/>
                <w:i w:val="0"/>
                <w:iCs w:val="0"/>
                <w:snapToGrid w:val="0"/>
                <w:color w:val="000000"/>
                <w:kern w:val="0"/>
                <w:sz w:val="24"/>
                <w:szCs w:val="24"/>
                <w:highlight w:val="none"/>
                <w:u w:val="none"/>
                <w:lang w:eastAsia="en-US"/>
              </w:rPr>
            </w:pPr>
            <w:r>
              <w:rPr>
                <w:rFonts w:hint="eastAsia" w:ascii="宋体" w:hAnsi="宋体" w:eastAsia="宋体" w:cs="宋体"/>
                <w:b w:val="0"/>
                <w:bCs w:val="0"/>
                <w:i w:val="0"/>
                <w:iCs w:val="0"/>
                <w:snapToGrid w:val="0"/>
                <w:color w:val="000000"/>
                <w:kern w:val="0"/>
                <w:sz w:val="24"/>
                <w:szCs w:val="24"/>
                <w:highlight w:val="none"/>
                <w:u w:val="none"/>
                <w:lang w:val="en-US" w:eastAsia="en-US"/>
              </w:rPr>
              <w:t>可视化物资收纳袋，210D尼龙材质，40厘米</w:t>
            </w:r>
            <w:r>
              <w:rPr>
                <w:rFonts w:hint="eastAsia" w:ascii="宋体" w:hAnsi="宋体" w:eastAsia="宋体" w:cs="宋体"/>
                <w:b w:val="0"/>
                <w:bCs w:val="0"/>
                <w:i w:val="0"/>
                <w:iCs w:val="0"/>
                <w:snapToGrid w:val="0"/>
                <w:color w:val="000000"/>
                <w:kern w:val="0"/>
                <w:sz w:val="24"/>
                <w:szCs w:val="24"/>
                <w:highlight w:val="none"/>
                <w:u w:val="none"/>
                <w:lang w:val="en-US" w:eastAsia="zh-CN"/>
              </w:rPr>
              <w:t>*</w:t>
            </w:r>
            <w:r>
              <w:rPr>
                <w:rFonts w:hint="eastAsia" w:ascii="宋体" w:hAnsi="宋体" w:eastAsia="宋体" w:cs="宋体"/>
                <w:b w:val="0"/>
                <w:bCs w:val="0"/>
                <w:i w:val="0"/>
                <w:iCs w:val="0"/>
                <w:snapToGrid w:val="0"/>
                <w:color w:val="000000"/>
                <w:kern w:val="0"/>
                <w:sz w:val="24"/>
                <w:szCs w:val="24"/>
                <w:highlight w:val="none"/>
                <w:u w:val="none"/>
                <w:lang w:val="en-US" w:eastAsia="en-US"/>
              </w:rPr>
              <w:t>20厘米</w:t>
            </w:r>
            <w:r>
              <w:rPr>
                <w:rFonts w:hint="eastAsia" w:ascii="宋体" w:hAnsi="宋体" w:eastAsia="宋体" w:cs="宋体"/>
                <w:b w:val="0"/>
                <w:bCs w:val="0"/>
                <w:i w:val="0"/>
                <w:iCs w:val="0"/>
                <w:snapToGrid w:val="0"/>
                <w:color w:val="000000"/>
                <w:kern w:val="0"/>
                <w:sz w:val="24"/>
                <w:szCs w:val="24"/>
                <w:highlight w:val="none"/>
                <w:u w:val="none"/>
                <w:lang w:val="en-US" w:eastAsia="zh-CN"/>
              </w:rPr>
              <w:t>*</w:t>
            </w:r>
            <w:r>
              <w:rPr>
                <w:rFonts w:hint="eastAsia" w:ascii="宋体" w:hAnsi="宋体" w:eastAsia="宋体" w:cs="宋体"/>
                <w:b w:val="0"/>
                <w:bCs w:val="0"/>
                <w:i w:val="0"/>
                <w:iCs w:val="0"/>
                <w:snapToGrid w:val="0"/>
                <w:color w:val="000000"/>
                <w:kern w:val="0"/>
                <w:sz w:val="24"/>
                <w:szCs w:val="24"/>
                <w:highlight w:val="none"/>
                <w:u w:val="none"/>
                <w:lang w:val="en-US" w:eastAsia="en-US"/>
              </w:rPr>
              <w:t>16厘米</w:t>
            </w:r>
          </w:p>
        </w:tc>
      </w:tr>
    </w:tbl>
    <w:p w14:paraId="5B673EB1">
      <w:pPr>
        <w:rPr>
          <w:rFonts w:hint="eastAsia" w:ascii="宋体" w:hAnsi="宋体" w:eastAsia="宋体" w:cs="宋体"/>
          <w:highlight w:val="none"/>
        </w:rPr>
      </w:pPr>
    </w:p>
    <w:p w14:paraId="0AC8EEE1">
      <w:pPr>
        <w:rPr>
          <w:rFonts w:hint="eastAsia" w:ascii="宋体" w:hAnsi="宋体" w:eastAsia="宋体" w:cs="宋体"/>
          <w:highlight w:val="none"/>
        </w:rPr>
      </w:pPr>
    </w:p>
    <w:p w14:paraId="33677564">
      <w:pPr>
        <w:rPr>
          <w:rFonts w:hint="eastAsia" w:ascii="宋体" w:hAnsi="宋体" w:eastAsia="宋体" w:cs="宋体"/>
          <w:highlight w:val="none"/>
        </w:rPr>
      </w:pPr>
    </w:p>
    <w:p w14:paraId="67040480">
      <w:pPr>
        <w:rPr>
          <w:rFonts w:hint="eastAsia" w:ascii="宋体" w:hAnsi="宋体" w:eastAsia="宋体" w:cs="宋体"/>
          <w:b/>
          <w:bCs/>
          <w:i w:val="0"/>
          <w:iCs w:val="0"/>
          <w:snapToGrid w:val="0"/>
          <w:color w:val="000000"/>
          <w:kern w:val="0"/>
          <w:sz w:val="28"/>
          <w:szCs w:val="28"/>
          <w:highlight w:val="none"/>
          <w:u w:val="none"/>
          <w:lang w:val="en-US" w:eastAsia="zh-CN" w:bidi="ar"/>
        </w:rPr>
      </w:pPr>
      <w:r>
        <w:rPr>
          <w:rFonts w:hint="eastAsia" w:ascii="宋体" w:hAnsi="宋体" w:eastAsia="宋体" w:cs="宋体"/>
          <w:b/>
          <w:bCs/>
          <w:i w:val="0"/>
          <w:iCs w:val="0"/>
          <w:snapToGrid w:val="0"/>
          <w:color w:val="000000"/>
          <w:kern w:val="0"/>
          <w:sz w:val="28"/>
          <w:szCs w:val="28"/>
          <w:highlight w:val="none"/>
          <w:u w:val="none"/>
          <w:lang w:val="en-US" w:eastAsia="zh-CN" w:bidi="ar"/>
        </w:rPr>
        <w:br w:type="page"/>
      </w:r>
    </w:p>
    <w:p w14:paraId="63D7BD71">
      <w:pPr>
        <w:outlineLvl w:val="2"/>
        <w:rPr>
          <w:rFonts w:hint="eastAsia" w:ascii="宋体" w:hAnsi="宋体" w:eastAsia="宋体" w:cs="宋体"/>
          <w:b/>
          <w:bCs/>
          <w:i w:val="0"/>
          <w:iCs w:val="0"/>
          <w:snapToGrid w:val="0"/>
          <w:color w:val="000000"/>
          <w:kern w:val="0"/>
          <w:sz w:val="28"/>
          <w:szCs w:val="28"/>
          <w:highlight w:val="none"/>
          <w:u w:val="none"/>
          <w:lang w:val="en-US" w:eastAsia="zh-CN" w:bidi="ar"/>
        </w:rPr>
      </w:pPr>
      <w:r>
        <w:rPr>
          <w:rFonts w:hint="eastAsia" w:ascii="宋体" w:hAnsi="宋体" w:eastAsia="宋体" w:cs="宋体"/>
          <w:b/>
          <w:bCs/>
          <w:i w:val="0"/>
          <w:iCs w:val="0"/>
          <w:snapToGrid w:val="0"/>
          <w:color w:val="000000"/>
          <w:kern w:val="0"/>
          <w:sz w:val="28"/>
          <w:szCs w:val="28"/>
          <w:highlight w:val="none"/>
          <w:u w:val="none"/>
          <w:lang w:val="en-US" w:eastAsia="zh-CN" w:bidi="ar"/>
        </w:rPr>
        <w:t>（四）应急服装</w:t>
      </w:r>
    </w:p>
    <w:tbl>
      <w:tblPr>
        <w:tblStyle w:val="27"/>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6"/>
        <w:gridCol w:w="1052"/>
        <w:gridCol w:w="846"/>
        <w:gridCol w:w="1033"/>
        <w:gridCol w:w="4654"/>
        <w:gridCol w:w="3786"/>
        <w:gridCol w:w="2735"/>
      </w:tblGrid>
      <w:tr w14:paraId="5539A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79" w:type="pct"/>
            <w:tcBorders>
              <w:top w:val="single" w:color="000000" w:sz="4" w:space="0"/>
              <w:bottom w:val="single" w:color="000000" w:sz="4" w:space="0"/>
              <w:right w:val="single" w:color="000000" w:sz="4" w:space="0"/>
            </w:tcBorders>
            <w:shd w:val="clear" w:color="auto" w:fill="auto"/>
            <w:vAlign w:val="center"/>
          </w:tcPr>
          <w:p w14:paraId="43A653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7AB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名称</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21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单位</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0B3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数量</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F2EE">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2"/>
                <w:sz w:val="24"/>
                <w:szCs w:val="24"/>
                <w:highlight w:val="none"/>
                <w:lang w:val="en-US" w:eastAsia="zh-CN" w:bidi="ar"/>
              </w:rPr>
              <w:t>产品参数</w:t>
            </w:r>
          </w:p>
        </w:tc>
        <w:tc>
          <w:tcPr>
            <w:tcW w:w="1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CDE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bdr w:val="single" w:color="000000" w:sz="4" w:space="0"/>
                <w:lang w:val="en-US" w:eastAsia="zh-CN" w:bidi="ar"/>
              </w:rPr>
            </w:pPr>
            <w:r>
              <w:rPr>
                <w:rFonts w:hint="eastAsia" w:ascii="宋体" w:hAnsi="宋体" w:eastAsia="宋体" w:cs="宋体"/>
                <w:b/>
                <w:bCs/>
                <w:i w:val="0"/>
                <w:iCs w:val="0"/>
                <w:color w:val="000000"/>
                <w:kern w:val="2"/>
                <w:sz w:val="24"/>
                <w:szCs w:val="24"/>
                <w:highlight w:val="none"/>
                <w:lang w:val="en-US" w:eastAsia="zh-CN" w:bidi="ar"/>
              </w:rPr>
              <w:t>参考图片</w:t>
            </w:r>
          </w:p>
        </w:tc>
        <w:tc>
          <w:tcPr>
            <w:tcW w:w="876" w:type="pct"/>
            <w:tcBorders>
              <w:top w:val="single" w:color="000000" w:sz="4" w:space="0"/>
              <w:left w:val="single" w:color="000000" w:sz="4" w:space="0"/>
              <w:bottom w:val="single" w:color="000000" w:sz="4" w:space="0"/>
            </w:tcBorders>
            <w:shd w:val="clear" w:color="auto" w:fill="auto"/>
            <w:vAlign w:val="center"/>
          </w:tcPr>
          <w:p w14:paraId="1F437D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lang w:val="en-US" w:eastAsia="zh-CN" w:bidi="ar"/>
              </w:rPr>
              <w:t>备注</w:t>
            </w:r>
          </w:p>
        </w:tc>
      </w:tr>
      <w:tr w14:paraId="223FA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013" w:hRule="atLeast"/>
        </w:trPr>
        <w:tc>
          <w:tcPr>
            <w:tcW w:w="479" w:type="pct"/>
            <w:tcBorders>
              <w:top w:val="single" w:color="000000" w:sz="4" w:space="0"/>
              <w:bottom w:val="single" w:color="000000" w:sz="4" w:space="0"/>
              <w:right w:val="single" w:color="000000" w:sz="4" w:space="0"/>
            </w:tcBorders>
            <w:shd w:val="clear" w:color="auto" w:fill="auto"/>
            <w:vAlign w:val="center"/>
          </w:tcPr>
          <w:p w14:paraId="6607918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2B142">
            <w:pPr>
              <w:keepNext w:val="0"/>
              <w:keepLines w:val="0"/>
              <w:widowControl/>
              <w:suppressLineNumbers w:val="0"/>
              <w:jc w:val="left"/>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应急服装</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63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F1C1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67F0D">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1.应急服装产数：应急救援服，应急反光背心，应急防寒服，应急雨衣，应急防护手套，应急救援靴。</w:t>
            </w:r>
          </w:p>
          <w:p w14:paraId="33548D6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2.面料：芳纶混纺/高强涤棉阻燃面料，防风防水聚酯纤维+摇粒绒内胆，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3.功能：阻燃、耐磨、抗撕裂、防静电、反光警示</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4.款式：上衣+裤子套装，多口袋设计</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5.反光条：高亮反光条，360°可视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6.执行标准：符合应急救援服装相关行业标准</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7.尺码：S-4XL 齐全</w:t>
            </w:r>
          </w:p>
          <w:p w14:paraId="6E12A4AF">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highlight w:val="none"/>
                <w:u w:val="none"/>
                <w:lang w:val="en-US" w:eastAsia="zh-CN" w:bidi="ar"/>
              </w:rPr>
            </w:pPr>
          </w:p>
        </w:tc>
        <w:tc>
          <w:tcPr>
            <w:tcW w:w="1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41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bdr w:val="single" w:color="000000" w:sz="4" w:space="0"/>
                <w:lang w:val="en-US" w:eastAsia="zh-CN" w:bidi="ar"/>
              </w:rPr>
              <w:drawing>
                <wp:inline distT="0" distB="0" distL="114300" distR="114300">
                  <wp:extent cx="2104390" cy="1516380"/>
                  <wp:effectExtent l="0" t="0" r="635" b="7620"/>
                  <wp:docPr id="45" name="图片_6"/>
                  <wp:cNvGraphicFramePr/>
                  <a:graphic xmlns:a="http://schemas.openxmlformats.org/drawingml/2006/main">
                    <a:graphicData uri="http://schemas.openxmlformats.org/drawingml/2006/picture">
                      <pic:pic xmlns:pic="http://schemas.openxmlformats.org/drawingml/2006/picture">
                        <pic:nvPicPr>
                          <pic:cNvPr id="45" name="图片_6"/>
                          <pic:cNvPicPr/>
                        </pic:nvPicPr>
                        <pic:blipFill>
                          <a:blip r:embed="rId47"/>
                          <a:stretch>
                            <a:fillRect/>
                          </a:stretch>
                        </pic:blipFill>
                        <pic:spPr>
                          <a:xfrm>
                            <a:off x="0" y="0"/>
                            <a:ext cx="2104390" cy="1516380"/>
                          </a:xfrm>
                          <a:prstGeom prst="rect">
                            <a:avLst/>
                          </a:prstGeom>
                          <a:noFill/>
                          <a:ln>
                            <a:noFill/>
                          </a:ln>
                        </pic:spPr>
                      </pic:pic>
                    </a:graphicData>
                  </a:graphic>
                </wp:inline>
              </w:drawing>
            </w:r>
          </w:p>
        </w:tc>
        <w:tc>
          <w:tcPr>
            <w:tcW w:w="876" w:type="pct"/>
            <w:tcBorders>
              <w:top w:val="single" w:color="000000" w:sz="4" w:space="0"/>
              <w:left w:val="single" w:color="000000" w:sz="4" w:space="0"/>
              <w:bottom w:val="single" w:color="000000" w:sz="4" w:space="0"/>
            </w:tcBorders>
            <w:shd w:val="clear" w:color="auto" w:fill="auto"/>
            <w:vAlign w:val="center"/>
          </w:tcPr>
          <w:p w14:paraId="3B46D216">
            <w:pPr>
              <w:keepNext w:val="0"/>
              <w:keepLines w:val="0"/>
              <w:widowControl/>
              <w:suppressLineNumbers w:val="0"/>
              <w:jc w:val="both"/>
              <w:textAlignment w:val="center"/>
              <w:rPr>
                <w:rFonts w:hint="default"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b w:val="0"/>
                <w:bCs w:val="0"/>
                <w:i w:val="0"/>
                <w:iCs w:val="0"/>
                <w:color w:val="000000"/>
                <w:kern w:val="0"/>
                <w:sz w:val="24"/>
                <w:szCs w:val="24"/>
                <w:highlight w:val="none"/>
                <w:u w:val="none"/>
                <w:lang w:val="en-US" w:eastAsia="zh-CN" w:bidi="ar"/>
              </w:rPr>
              <w:t>一套应急服装包含：冲锋衣上衣、抓绒内胆、羽绒内胆、冬裤、夏裤、多功能马甲、应急T恤衫（短袖）、应急帽、臂章、应急安全帽、户外登山鞋、户外防水防寒靴、雨衣</w:t>
            </w:r>
            <w:r>
              <w:rPr>
                <w:rFonts w:hint="eastAsia" w:ascii="宋体" w:hAnsi="宋体" w:cs="宋体"/>
                <w:b w:val="0"/>
                <w:bCs w:val="0"/>
                <w:i w:val="0"/>
                <w:iCs w:val="0"/>
                <w:color w:val="000000"/>
                <w:kern w:val="0"/>
                <w:sz w:val="24"/>
                <w:szCs w:val="24"/>
                <w:highlight w:val="none"/>
                <w:u w:val="none"/>
                <w:lang w:val="en-US" w:eastAsia="zh-CN" w:bidi="ar"/>
              </w:rPr>
              <w:t>，需在服装明显处加印“中国卫生”字样</w:t>
            </w:r>
          </w:p>
        </w:tc>
      </w:tr>
    </w:tbl>
    <w:p w14:paraId="58998DFB">
      <w:pPr>
        <w:bidi w:val="0"/>
        <w:jc w:val="center"/>
        <w:rPr>
          <w:rFonts w:hint="eastAsia" w:ascii="宋体" w:hAnsi="宋体" w:eastAsia="宋体" w:cs="宋体"/>
          <w:b/>
          <w:bCs/>
          <w:sz w:val="28"/>
          <w:szCs w:val="28"/>
          <w:highlight w:val="none"/>
          <w:lang w:val="en-US" w:eastAsia="zh-CN"/>
        </w:rPr>
      </w:pPr>
    </w:p>
    <w:p w14:paraId="1C70924B">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br w:type="page"/>
      </w:r>
    </w:p>
    <w:p w14:paraId="1BC899CA">
      <w:pPr>
        <w:bidi w:val="0"/>
        <w:jc w:val="cente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应急服装技术参数：</w:t>
      </w:r>
    </w:p>
    <w:p w14:paraId="3F762731">
      <w:pPr>
        <w:widowControl w:val="0"/>
        <w:numPr>
          <w:ilvl w:val="0"/>
          <w:numId w:val="0"/>
        </w:numPr>
        <w:spacing w:before="268" w:beforeLines="0" w:afterLines="0" w:line="240" w:lineRule="auto"/>
        <w:ind w:left="112" w:leftChars="0"/>
        <w:jc w:val="both"/>
        <w:outlineLvl w:val="3"/>
        <w:rPr>
          <w:rFonts w:hint="eastAsia" w:ascii="宋体" w:hAnsi="宋体" w:eastAsia="宋体" w:cs="宋体"/>
          <w:b/>
          <w:bCs/>
          <w:color w:val="auto"/>
          <w:spacing w:val="5"/>
          <w:kern w:val="2"/>
          <w:position w:val="27"/>
          <w:sz w:val="24"/>
          <w:szCs w:val="24"/>
          <w:highlight w:val="none"/>
          <w:lang w:val="en-US" w:eastAsia="zh-CN" w:bidi="ar-SA"/>
        </w:rPr>
      </w:pPr>
      <w:r>
        <w:rPr>
          <w:rFonts w:hint="eastAsia" w:ascii="宋体" w:hAnsi="宋体" w:eastAsia="宋体" w:cs="宋体"/>
          <w:b/>
          <w:bCs/>
          <w:color w:val="auto"/>
          <w:spacing w:val="5"/>
          <w:kern w:val="2"/>
          <w:position w:val="27"/>
          <w:sz w:val="24"/>
          <w:szCs w:val="24"/>
          <w:highlight w:val="none"/>
          <w:lang w:val="en-US" w:eastAsia="zh-CN" w:bidi="ar-SA"/>
        </w:rPr>
        <w:t>1、冲锋衣上衣</w:t>
      </w:r>
    </w:p>
    <w:p w14:paraId="35F9790F">
      <w:pPr>
        <w:widowControl w:val="0"/>
        <w:spacing w:before="63" w:beforeLines="0" w:afterLines="0" w:line="221"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（1）面料要求</w:t>
      </w:r>
    </w:p>
    <w:p w14:paraId="6189BB01">
      <w:pPr>
        <w:widowControl w:val="0"/>
        <w:spacing w:before="71" w:beforeLines="0" w:afterLines="0" w:line="290" w:lineRule="auto"/>
        <w:ind w:right="5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①面料采用三层复合面料，成份为</w:t>
      </w:r>
      <w:r>
        <w:rPr>
          <w:rFonts w:hint="eastAsia" w:ascii="宋体" w:hAnsi="宋体" w:eastAsia="宋体" w:cs="宋体"/>
          <w:color w:val="auto"/>
          <w:spacing w:val="-26"/>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100%</w:t>
      </w:r>
      <w:r>
        <w:rPr>
          <w:rFonts w:hint="eastAsia" w:ascii="宋体" w:hAnsi="宋体" w:eastAsia="宋体" w:cs="宋体"/>
          <w:color w:val="auto"/>
          <w:spacing w:val="-1"/>
          <w:kern w:val="2"/>
          <w:sz w:val="24"/>
          <w:szCs w:val="24"/>
          <w:highlight w:val="none"/>
          <w:lang w:val="en-US" w:eastAsia="zh-CN" w:bidi="ar-SA"/>
        </w:rPr>
        <w:t xml:space="preserve"> 锦纶纤维；工艺要求采用精细交织技</w:t>
      </w:r>
      <w:r>
        <w:rPr>
          <w:rFonts w:hint="eastAsia" w:ascii="宋体" w:hAnsi="宋体" w:eastAsia="宋体" w:cs="宋体"/>
          <w:color w:val="auto"/>
          <w:spacing w:val="-4"/>
          <w:kern w:val="2"/>
          <w:sz w:val="24"/>
          <w:szCs w:val="24"/>
          <w:highlight w:val="none"/>
          <w:lang w:val="en-US" w:eastAsia="zh-CN" w:bidi="ar-SA"/>
        </w:rPr>
        <w:t>术及特殊整理工艺,背面复合乳白色防水透湿</w:t>
      </w:r>
      <w:r>
        <w:rPr>
          <w:rFonts w:hint="eastAsia" w:ascii="宋体" w:hAnsi="宋体" w:eastAsia="宋体" w:cs="宋体"/>
          <w:color w:val="auto"/>
          <w:spacing w:val="-42"/>
          <w:kern w:val="2"/>
          <w:sz w:val="24"/>
          <w:szCs w:val="24"/>
          <w:highlight w:val="none"/>
          <w:lang w:val="en-US" w:eastAsia="zh-CN" w:bidi="ar-SA"/>
        </w:rPr>
        <w:t xml:space="preserve"> </w:t>
      </w:r>
      <w:r>
        <w:rPr>
          <w:rFonts w:hint="eastAsia" w:ascii="宋体" w:hAnsi="宋体" w:eastAsia="宋体" w:cs="宋体"/>
          <w:color w:val="auto"/>
          <w:spacing w:val="-4"/>
          <w:kern w:val="2"/>
          <w:sz w:val="24"/>
          <w:szCs w:val="24"/>
          <w:highlight w:val="none"/>
          <w:lang w:val="en-US" w:eastAsia="zh-CN" w:bidi="ar-SA"/>
        </w:rPr>
        <w:t>TPU</w:t>
      </w:r>
      <w:r>
        <w:rPr>
          <w:rFonts w:hint="eastAsia" w:ascii="宋体" w:hAnsi="宋体" w:eastAsia="宋体" w:cs="宋体"/>
          <w:color w:val="auto"/>
          <w:spacing w:val="-31"/>
          <w:kern w:val="2"/>
          <w:sz w:val="24"/>
          <w:szCs w:val="24"/>
          <w:highlight w:val="none"/>
          <w:lang w:val="en-US" w:eastAsia="zh-CN" w:bidi="ar-SA"/>
        </w:rPr>
        <w:t xml:space="preserve"> </w:t>
      </w:r>
      <w:r>
        <w:rPr>
          <w:rFonts w:hint="eastAsia" w:ascii="宋体" w:hAnsi="宋体" w:eastAsia="宋体" w:cs="宋体"/>
          <w:color w:val="auto"/>
          <w:spacing w:val="-4"/>
          <w:kern w:val="2"/>
          <w:sz w:val="24"/>
          <w:szCs w:val="24"/>
          <w:highlight w:val="none"/>
          <w:lang w:val="en-US" w:eastAsia="zh-CN" w:bidi="ar-SA"/>
        </w:rPr>
        <w:t>膜；布质要求轻盈</w:t>
      </w:r>
      <w:r>
        <w:rPr>
          <w:rFonts w:hint="eastAsia" w:ascii="宋体" w:hAnsi="宋体" w:eastAsia="宋体" w:cs="宋体"/>
          <w:color w:val="auto"/>
          <w:spacing w:val="-5"/>
          <w:kern w:val="2"/>
          <w:sz w:val="24"/>
          <w:szCs w:val="24"/>
          <w:highlight w:val="none"/>
          <w:lang w:val="en-US" w:eastAsia="zh-CN" w:bidi="ar-SA"/>
        </w:rPr>
        <w:t>、光洁、平滑，</w:t>
      </w:r>
      <w:r>
        <w:rPr>
          <w:rFonts w:hint="eastAsia" w:ascii="宋体" w:hAnsi="宋体" w:eastAsia="宋体" w:cs="宋体"/>
          <w:color w:val="auto"/>
          <w:spacing w:val="-2"/>
          <w:kern w:val="2"/>
          <w:sz w:val="24"/>
          <w:szCs w:val="24"/>
          <w:highlight w:val="none"/>
          <w:lang w:val="en-US" w:eastAsia="zh-CN" w:bidi="ar-SA"/>
        </w:rPr>
        <w:t>伸缩回弹不变形，易于保养；</w:t>
      </w:r>
    </w:p>
    <w:p w14:paraId="0BDCC876">
      <w:pPr>
        <w:widowControl w:val="0"/>
        <w:spacing w:before="71" w:beforeLines="0" w:afterLines="0" w:line="290" w:lineRule="auto"/>
        <w:ind w:right="5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②面料性能要求：防寒、防风、防水、防潮（吸水率少于自重的2%），不致过敏；全线位密封；克重212.5g/㎡。面料理化特性优于下表的要求：</w:t>
      </w:r>
    </w:p>
    <w:tbl>
      <w:tblPr>
        <w:tblStyle w:val="108"/>
        <w:tblW w:w="0" w:type="auto"/>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15"/>
        <w:gridCol w:w="1534"/>
        <w:gridCol w:w="8130"/>
      </w:tblGrid>
      <w:tr w14:paraId="46BA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 w:hRule="atLeast"/>
        </w:trPr>
        <w:tc>
          <w:tcPr>
            <w:tcW w:w="5449" w:type="dxa"/>
            <w:gridSpan w:val="2"/>
            <w:noWrap w:val="0"/>
            <w:vAlign w:val="top"/>
          </w:tcPr>
          <w:p w14:paraId="7D4A6A16">
            <w:pPr>
              <w:widowControl w:val="0"/>
              <w:spacing w:before="59" w:beforeLines="0" w:afterLines="0" w:line="221" w:lineRule="auto"/>
              <w:ind w:left="139"/>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项目</w:t>
            </w:r>
          </w:p>
        </w:tc>
        <w:tc>
          <w:tcPr>
            <w:tcW w:w="8130" w:type="dxa"/>
            <w:tcBorders>
              <w:right w:val="single" w:color="000000" w:sz="2" w:space="0"/>
            </w:tcBorders>
            <w:noWrap w:val="0"/>
            <w:vAlign w:val="top"/>
          </w:tcPr>
          <w:p w14:paraId="41F05725">
            <w:pPr>
              <w:widowControl w:val="0"/>
              <w:spacing w:before="58" w:beforeLines="0" w:afterLines="0" w:line="222" w:lineRule="auto"/>
              <w:ind w:left="14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要求</w:t>
            </w:r>
          </w:p>
        </w:tc>
      </w:tr>
      <w:tr w14:paraId="402C7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5449" w:type="dxa"/>
            <w:gridSpan w:val="2"/>
            <w:noWrap w:val="0"/>
            <w:vAlign w:val="top"/>
          </w:tcPr>
          <w:p w14:paraId="4DD6C56B">
            <w:pPr>
              <w:widowControl w:val="0"/>
              <w:spacing w:before="58" w:beforeLines="0" w:afterLines="0" w:line="213" w:lineRule="auto"/>
              <w:ind w:left="157"/>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甲醛含量/(mg/kg)</w:t>
            </w:r>
          </w:p>
        </w:tc>
        <w:tc>
          <w:tcPr>
            <w:tcW w:w="8130" w:type="dxa"/>
            <w:vMerge w:val="restart"/>
            <w:tcBorders>
              <w:bottom w:val="nil"/>
              <w:right w:val="single" w:color="000000" w:sz="2" w:space="0"/>
            </w:tcBorders>
            <w:noWrap w:val="0"/>
            <w:vAlign w:val="top"/>
          </w:tcPr>
          <w:p w14:paraId="0237EE85">
            <w:pPr>
              <w:widowControl w:val="0"/>
              <w:spacing w:before="68" w:beforeLines="0" w:afterLines="0" w:line="220" w:lineRule="auto"/>
              <w:ind w:left="14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按</w:t>
            </w:r>
            <w:r>
              <w:rPr>
                <w:rFonts w:hint="eastAsia" w:ascii="宋体" w:hAnsi="宋体" w:eastAsia="宋体" w:cs="宋体"/>
                <w:color w:val="auto"/>
                <w:spacing w:val="-34"/>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GB18401 规定</w:t>
            </w:r>
          </w:p>
          <w:p w14:paraId="22B592B0">
            <w:pPr>
              <w:widowControl w:val="0"/>
              <w:spacing w:before="68" w:beforeLines="0" w:afterLines="0" w:line="220" w:lineRule="auto"/>
              <w:ind w:left="14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非直接接触皮肤类执行</w:t>
            </w:r>
          </w:p>
        </w:tc>
      </w:tr>
      <w:tr w14:paraId="70D6C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 w:hRule="atLeast"/>
        </w:trPr>
        <w:tc>
          <w:tcPr>
            <w:tcW w:w="5449" w:type="dxa"/>
            <w:gridSpan w:val="2"/>
            <w:noWrap w:val="0"/>
            <w:vAlign w:val="top"/>
          </w:tcPr>
          <w:p w14:paraId="5503C38F">
            <w:pPr>
              <w:widowControl w:val="0"/>
              <w:spacing w:before="58" w:beforeLines="0" w:afterLines="0" w:line="220" w:lineRule="auto"/>
              <w:ind w:left="133"/>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Ph</w:t>
            </w:r>
            <w:r>
              <w:rPr>
                <w:rFonts w:hint="eastAsia" w:ascii="宋体" w:hAnsi="宋体" w:eastAsia="宋体" w:cs="宋体"/>
                <w:color w:val="auto"/>
                <w:spacing w:val="5"/>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值</w:t>
            </w:r>
          </w:p>
        </w:tc>
        <w:tc>
          <w:tcPr>
            <w:tcW w:w="8130" w:type="dxa"/>
            <w:vMerge w:val="continue"/>
            <w:tcBorders>
              <w:top w:val="nil"/>
              <w:right w:val="single" w:color="000000" w:sz="2" w:space="0"/>
            </w:tcBorders>
            <w:noWrap w:val="0"/>
            <w:vAlign w:val="top"/>
          </w:tcPr>
          <w:p w14:paraId="66400126">
            <w:pPr>
              <w:rPr>
                <w:rFonts w:hint="eastAsia" w:ascii="宋体" w:hAnsi="宋体" w:eastAsia="宋体" w:cs="宋体"/>
                <w:color w:val="auto"/>
                <w:sz w:val="24"/>
                <w:szCs w:val="24"/>
                <w:highlight w:val="none"/>
              </w:rPr>
            </w:pPr>
          </w:p>
        </w:tc>
      </w:tr>
      <w:tr w14:paraId="68916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3915" w:type="dxa"/>
            <w:vMerge w:val="restart"/>
            <w:tcBorders>
              <w:bottom w:val="nil"/>
            </w:tcBorders>
            <w:noWrap w:val="0"/>
            <w:vAlign w:val="top"/>
          </w:tcPr>
          <w:p w14:paraId="4E3689B4">
            <w:pPr>
              <w:spacing w:line="273" w:lineRule="auto"/>
              <w:rPr>
                <w:rFonts w:hint="eastAsia" w:ascii="宋体" w:hAnsi="宋体" w:eastAsia="宋体" w:cs="宋体"/>
                <w:color w:val="auto"/>
                <w:sz w:val="24"/>
                <w:szCs w:val="24"/>
                <w:highlight w:val="none"/>
              </w:rPr>
            </w:pPr>
          </w:p>
          <w:p w14:paraId="79281C46">
            <w:pPr>
              <w:widowControl w:val="0"/>
              <w:spacing w:before="52" w:beforeLines="0" w:afterLines="0" w:line="220"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耐水洗色牢度/级</w:t>
            </w:r>
          </w:p>
        </w:tc>
        <w:tc>
          <w:tcPr>
            <w:tcW w:w="1534" w:type="dxa"/>
            <w:noWrap w:val="0"/>
            <w:vAlign w:val="top"/>
          </w:tcPr>
          <w:p w14:paraId="672737E0">
            <w:pPr>
              <w:widowControl w:val="0"/>
              <w:spacing w:before="57" w:beforeLines="0" w:afterLines="0" w:line="222"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变色</w:t>
            </w:r>
          </w:p>
        </w:tc>
        <w:tc>
          <w:tcPr>
            <w:tcW w:w="8130" w:type="dxa"/>
            <w:tcBorders>
              <w:right w:val="single" w:color="000000" w:sz="2" w:space="0"/>
            </w:tcBorders>
            <w:noWrap w:val="0"/>
            <w:vAlign w:val="top"/>
          </w:tcPr>
          <w:p w14:paraId="0AEC922E">
            <w:pPr>
              <w:widowControl w:val="0"/>
              <w:spacing w:before="57" w:beforeLines="0" w:afterLines="0" w:line="237" w:lineRule="auto"/>
              <w:ind w:left="15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7"/>
                <w:kern w:val="2"/>
                <w:sz w:val="24"/>
                <w:szCs w:val="24"/>
                <w:highlight w:val="none"/>
                <w:lang w:val="en-US" w:eastAsia="zh-CN" w:bidi="ar-SA"/>
              </w:rPr>
              <w:t>4-5</w:t>
            </w:r>
          </w:p>
        </w:tc>
      </w:tr>
      <w:tr w14:paraId="22B2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15" w:type="dxa"/>
            <w:vMerge w:val="continue"/>
            <w:tcBorders>
              <w:top w:val="nil"/>
            </w:tcBorders>
            <w:noWrap w:val="0"/>
            <w:vAlign w:val="top"/>
          </w:tcPr>
          <w:p w14:paraId="5C7F35E3">
            <w:pPr>
              <w:rPr>
                <w:rFonts w:hint="eastAsia" w:ascii="宋体" w:hAnsi="宋体" w:eastAsia="宋体" w:cs="宋体"/>
                <w:color w:val="auto"/>
                <w:sz w:val="24"/>
                <w:szCs w:val="24"/>
                <w:highlight w:val="none"/>
              </w:rPr>
            </w:pPr>
          </w:p>
        </w:tc>
        <w:tc>
          <w:tcPr>
            <w:tcW w:w="1534" w:type="dxa"/>
            <w:noWrap w:val="0"/>
            <w:vAlign w:val="top"/>
          </w:tcPr>
          <w:p w14:paraId="57C4CFD7">
            <w:pPr>
              <w:widowControl w:val="0"/>
              <w:spacing w:before="172" w:beforeLines="0" w:afterLines="0" w:line="223" w:lineRule="auto"/>
              <w:ind w:left="14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沾色</w:t>
            </w:r>
          </w:p>
        </w:tc>
        <w:tc>
          <w:tcPr>
            <w:tcW w:w="8130" w:type="dxa"/>
            <w:tcBorders>
              <w:right w:val="single" w:color="000000" w:sz="2" w:space="0"/>
            </w:tcBorders>
            <w:noWrap w:val="0"/>
            <w:vAlign w:val="top"/>
          </w:tcPr>
          <w:p w14:paraId="6D4FD94F">
            <w:pPr>
              <w:widowControl w:val="0"/>
              <w:spacing w:before="172" w:beforeLines="0" w:afterLines="0" w:line="239" w:lineRule="auto"/>
              <w:ind w:firstLine="228" w:firstLineChars="1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4-5</w:t>
            </w:r>
          </w:p>
        </w:tc>
      </w:tr>
      <w:tr w14:paraId="655A9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 w:hRule="atLeast"/>
        </w:trPr>
        <w:tc>
          <w:tcPr>
            <w:tcW w:w="3915" w:type="dxa"/>
            <w:vMerge w:val="restart"/>
            <w:tcBorders>
              <w:bottom w:val="nil"/>
            </w:tcBorders>
            <w:noWrap w:val="0"/>
            <w:vAlign w:val="top"/>
          </w:tcPr>
          <w:p w14:paraId="5D7B49B9">
            <w:pPr>
              <w:spacing w:line="259" w:lineRule="auto"/>
              <w:rPr>
                <w:rFonts w:hint="eastAsia" w:ascii="宋体" w:hAnsi="宋体" w:eastAsia="宋体" w:cs="宋体"/>
                <w:color w:val="auto"/>
                <w:sz w:val="24"/>
                <w:szCs w:val="24"/>
                <w:highlight w:val="none"/>
              </w:rPr>
            </w:pPr>
          </w:p>
          <w:p w14:paraId="1AEFC795">
            <w:pPr>
              <w:widowControl w:val="0"/>
              <w:spacing w:before="52" w:beforeLines="0" w:afterLines="0" w:line="220"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耐汗渍色牢度/级</w:t>
            </w:r>
          </w:p>
        </w:tc>
        <w:tc>
          <w:tcPr>
            <w:tcW w:w="1534" w:type="dxa"/>
            <w:noWrap w:val="0"/>
            <w:vAlign w:val="top"/>
          </w:tcPr>
          <w:p w14:paraId="0AA5CE02">
            <w:pPr>
              <w:widowControl w:val="0"/>
              <w:spacing w:before="59" w:beforeLines="0" w:afterLines="0" w:line="222"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变色</w:t>
            </w:r>
          </w:p>
        </w:tc>
        <w:tc>
          <w:tcPr>
            <w:tcW w:w="8130" w:type="dxa"/>
            <w:tcBorders>
              <w:right w:val="single" w:color="000000" w:sz="2" w:space="0"/>
            </w:tcBorders>
            <w:noWrap w:val="0"/>
            <w:vAlign w:val="top"/>
          </w:tcPr>
          <w:p w14:paraId="39165D07">
            <w:pPr>
              <w:widowControl w:val="0"/>
              <w:spacing w:before="59" w:beforeLines="0" w:afterLines="0" w:line="237" w:lineRule="auto"/>
              <w:ind w:left="15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7"/>
                <w:kern w:val="2"/>
                <w:sz w:val="24"/>
                <w:szCs w:val="24"/>
                <w:highlight w:val="none"/>
                <w:lang w:val="en-US" w:eastAsia="zh-CN" w:bidi="ar-SA"/>
              </w:rPr>
              <w:t>4-5</w:t>
            </w:r>
          </w:p>
        </w:tc>
      </w:tr>
      <w:tr w14:paraId="71D6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6" w:hRule="atLeast"/>
        </w:trPr>
        <w:tc>
          <w:tcPr>
            <w:tcW w:w="3915" w:type="dxa"/>
            <w:vMerge w:val="continue"/>
            <w:tcBorders>
              <w:top w:val="nil"/>
            </w:tcBorders>
            <w:noWrap w:val="0"/>
            <w:vAlign w:val="top"/>
          </w:tcPr>
          <w:p w14:paraId="5F6BE11E">
            <w:pPr>
              <w:rPr>
                <w:rFonts w:hint="eastAsia" w:ascii="宋体" w:hAnsi="宋体" w:eastAsia="宋体" w:cs="宋体"/>
                <w:color w:val="auto"/>
                <w:sz w:val="24"/>
                <w:szCs w:val="24"/>
                <w:highlight w:val="none"/>
              </w:rPr>
            </w:pPr>
          </w:p>
        </w:tc>
        <w:tc>
          <w:tcPr>
            <w:tcW w:w="1534" w:type="dxa"/>
            <w:noWrap w:val="0"/>
            <w:vAlign w:val="top"/>
          </w:tcPr>
          <w:p w14:paraId="725AFB22">
            <w:pPr>
              <w:widowControl w:val="0"/>
              <w:spacing w:before="159" w:beforeLines="0" w:afterLines="0" w:line="223" w:lineRule="auto"/>
              <w:ind w:left="14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沾色</w:t>
            </w:r>
          </w:p>
        </w:tc>
        <w:tc>
          <w:tcPr>
            <w:tcW w:w="8130" w:type="dxa"/>
            <w:tcBorders>
              <w:right w:val="single" w:color="000000" w:sz="2" w:space="0"/>
            </w:tcBorders>
            <w:noWrap w:val="0"/>
            <w:vAlign w:val="top"/>
          </w:tcPr>
          <w:p w14:paraId="594544B8">
            <w:pPr>
              <w:widowControl w:val="0"/>
              <w:spacing w:before="159" w:beforeLines="0" w:afterLines="0" w:line="239" w:lineRule="auto"/>
              <w:ind w:firstLine="228" w:firstLineChars="1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4-5</w:t>
            </w:r>
          </w:p>
        </w:tc>
      </w:tr>
      <w:tr w14:paraId="6BBAA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3915" w:type="dxa"/>
            <w:vMerge w:val="restart"/>
            <w:tcBorders>
              <w:bottom w:val="nil"/>
            </w:tcBorders>
            <w:noWrap w:val="0"/>
            <w:vAlign w:val="top"/>
          </w:tcPr>
          <w:p w14:paraId="32C2D1AD">
            <w:pPr>
              <w:spacing w:line="260" w:lineRule="auto"/>
              <w:rPr>
                <w:rFonts w:hint="eastAsia" w:ascii="宋体" w:hAnsi="宋体" w:eastAsia="宋体" w:cs="宋体"/>
                <w:color w:val="auto"/>
                <w:sz w:val="24"/>
                <w:szCs w:val="24"/>
                <w:highlight w:val="none"/>
              </w:rPr>
            </w:pPr>
          </w:p>
          <w:p w14:paraId="4B190BA1">
            <w:pPr>
              <w:widowControl w:val="0"/>
              <w:spacing w:before="52" w:beforeLines="0" w:afterLines="0" w:line="220"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耐干摩擦色牢度/级</w:t>
            </w:r>
          </w:p>
        </w:tc>
        <w:tc>
          <w:tcPr>
            <w:tcW w:w="1534" w:type="dxa"/>
            <w:noWrap w:val="0"/>
            <w:vAlign w:val="top"/>
          </w:tcPr>
          <w:p w14:paraId="61AB21B2">
            <w:pPr>
              <w:widowControl w:val="0"/>
              <w:spacing w:before="57" w:beforeLines="0" w:afterLines="0" w:line="220" w:lineRule="auto"/>
              <w:ind w:left="137"/>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干摩</w:t>
            </w:r>
          </w:p>
        </w:tc>
        <w:tc>
          <w:tcPr>
            <w:tcW w:w="8130" w:type="dxa"/>
            <w:tcBorders>
              <w:right w:val="single" w:color="000000" w:sz="2" w:space="0"/>
            </w:tcBorders>
            <w:noWrap w:val="0"/>
            <w:vAlign w:val="top"/>
          </w:tcPr>
          <w:p w14:paraId="409C6F51">
            <w:pPr>
              <w:widowControl w:val="0"/>
              <w:spacing w:before="57" w:beforeLines="0" w:afterLines="0" w:line="237" w:lineRule="auto"/>
              <w:ind w:left="15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7"/>
                <w:kern w:val="2"/>
                <w:sz w:val="24"/>
                <w:szCs w:val="24"/>
                <w:highlight w:val="none"/>
                <w:lang w:val="en-US" w:eastAsia="zh-CN" w:bidi="ar-SA"/>
              </w:rPr>
              <w:t>4-5</w:t>
            </w:r>
          </w:p>
        </w:tc>
      </w:tr>
      <w:tr w14:paraId="1DA4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915" w:type="dxa"/>
            <w:vMerge w:val="continue"/>
            <w:tcBorders>
              <w:top w:val="nil"/>
            </w:tcBorders>
            <w:noWrap w:val="0"/>
            <w:vAlign w:val="top"/>
          </w:tcPr>
          <w:p w14:paraId="702BC290">
            <w:pPr>
              <w:rPr>
                <w:rFonts w:hint="eastAsia" w:ascii="宋体" w:hAnsi="宋体" w:eastAsia="宋体" w:cs="宋体"/>
                <w:color w:val="auto"/>
                <w:sz w:val="24"/>
                <w:szCs w:val="24"/>
                <w:highlight w:val="none"/>
              </w:rPr>
            </w:pPr>
          </w:p>
        </w:tc>
        <w:tc>
          <w:tcPr>
            <w:tcW w:w="1534" w:type="dxa"/>
            <w:noWrap w:val="0"/>
            <w:vAlign w:val="top"/>
          </w:tcPr>
          <w:p w14:paraId="52BD5F21">
            <w:pPr>
              <w:widowControl w:val="0"/>
              <w:spacing w:before="158" w:beforeLines="0" w:afterLines="0" w:line="221" w:lineRule="auto"/>
              <w:ind w:left="13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湿摩</w:t>
            </w:r>
          </w:p>
        </w:tc>
        <w:tc>
          <w:tcPr>
            <w:tcW w:w="8130" w:type="dxa"/>
            <w:tcBorders>
              <w:right w:val="single" w:color="000000" w:sz="2" w:space="0"/>
            </w:tcBorders>
            <w:noWrap w:val="0"/>
            <w:vAlign w:val="top"/>
          </w:tcPr>
          <w:p w14:paraId="623131C7">
            <w:pPr>
              <w:widowControl w:val="0"/>
              <w:spacing w:before="157" w:beforeLines="0" w:afterLines="0" w:line="239" w:lineRule="auto"/>
              <w:ind w:firstLine="228" w:firstLineChars="1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4-5</w:t>
            </w:r>
          </w:p>
        </w:tc>
      </w:tr>
      <w:tr w14:paraId="05746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5449" w:type="dxa"/>
            <w:gridSpan w:val="2"/>
            <w:noWrap w:val="0"/>
            <w:vAlign w:val="top"/>
          </w:tcPr>
          <w:p w14:paraId="63DD33A5">
            <w:pPr>
              <w:widowControl w:val="0"/>
              <w:spacing w:before="58" w:beforeLines="0" w:afterLines="0" w:line="220" w:lineRule="auto"/>
              <w:ind w:left="136"/>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禁用偶氮染料</w:t>
            </w:r>
          </w:p>
        </w:tc>
        <w:tc>
          <w:tcPr>
            <w:tcW w:w="8130" w:type="dxa"/>
            <w:tcBorders>
              <w:right w:val="single" w:color="000000" w:sz="2" w:space="0"/>
            </w:tcBorders>
            <w:noWrap w:val="0"/>
            <w:vAlign w:val="top"/>
          </w:tcPr>
          <w:p w14:paraId="4BFAE603">
            <w:pPr>
              <w:widowControl w:val="0"/>
              <w:spacing w:before="58" w:beforeLines="0" w:afterLines="0" w:line="220" w:lineRule="auto"/>
              <w:ind w:left="14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符合</w:t>
            </w:r>
            <w:r>
              <w:rPr>
                <w:rFonts w:hint="eastAsia" w:ascii="宋体" w:hAnsi="宋体" w:eastAsia="宋体" w:cs="宋体"/>
                <w:color w:val="auto"/>
                <w:spacing w:val="-30"/>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GB18401-2010 标准规定</w:t>
            </w:r>
          </w:p>
        </w:tc>
      </w:tr>
    </w:tbl>
    <w:p w14:paraId="792FADBD">
      <w:pPr>
        <w:widowControl w:val="0"/>
        <w:spacing w:before="34" w:beforeLines="0" w:afterLines="0" w:line="294" w:lineRule="auto"/>
        <w:ind w:right="1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 xml:space="preserve">▲③里料：210T 单面涂覆涤丝绸；涤纶长丝绸；背单面喷涂聚甲基丙烯酸酯， </w:t>
      </w:r>
      <w:r>
        <w:rPr>
          <w:rFonts w:hint="eastAsia" w:ascii="宋体" w:hAnsi="宋体" w:eastAsia="宋体" w:cs="宋体"/>
          <w:color w:val="auto"/>
          <w:spacing w:val="3"/>
          <w:kern w:val="2"/>
          <w:sz w:val="24"/>
          <w:szCs w:val="24"/>
          <w:highlight w:val="none"/>
          <w:lang w:val="en-US" w:eastAsia="zh-CN" w:bidi="ar-SA"/>
        </w:rPr>
        <w:t>克重104</w:t>
      </w:r>
      <w:r>
        <w:rPr>
          <w:rFonts w:hint="eastAsia" w:ascii="宋体" w:hAnsi="宋体" w:eastAsia="宋体" w:cs="宋体"/>
          <w:color w:val="auto"/>
          <w:kern w:val="2"/>
          <w:sz w:val="24"/>
          <w:szCs w:val="24"/>
          <w:highlight w:val="none"/>
          <w:lang w:val="en-US" w:eastAsia="zh-CN" w:bidi="ar-SA"/>
        </w:rPr>
        <w:t>gm</w:t>
      </w:r>
      <w:r>
        <w:rPr>
          <w:rFonts w:hint="eastAsia" w:ascii="宋体" w:hAnsi="宋体" w:eastAsia="宋体" w:cs="宋体"/>
          <w:color w:val="auto"/>
          <w:spacing w:val="3"/>
          <w:kern w:val="2"/>
          <w:sz w:val="24"/>
          <w:szCs w:val="24"/>
          <w:highlight w:val="none"/>
          <w:lang w:val="en-US" w:eastAsia="zh-CN" w:bidi="ar-SA"/>
        </w:rPr>
        <w:t>/㎡。网眼布里料：藏青色消光长丝、涤丝网眼布，克重217</w:t>
      </w:r>
      <w:r>
        <w:rPr>
          <w:rFonts w:hint="eastAsia" w:ascii="宋体" w:hAnsi="宋体" w:eastAsia="宋体" w:cs="宋体"/>
          <w:color w:val="auto"/>
          <w:kern w:val="2"/>
          <w:sz w:val="24"/>
          <w:szCs w:val="24"/>
          <w:highlight w:val="none"/>
          <w:lang w:val="en-US" w:eastAsia="zh-CN" w:bidi="ar-SA"/>
        </w:rPr>
        <w:t>gm</w:t>
      </w:r>
      <w:r>
        <w:rPr>
          <w:rFonts w:hint="eastAsia" w:ascii="宋体" w:hAnsi="宋体" w:eastAsia="宋体" w:cs="宋体"/>
          <w:color w:val="auto"/>
          <w:spacing w:val="3"/>
          <w:kern w:val="2"/>
          <w:sz w:val="24"/>
          <w:szCs w:val="24"/>
          <w:highlight w:val="none"/>
          <w:lang w:val="en-US" w:eastAsia="zh-CN" w:bidi="ar-SA"/>
        </w:rPr>
        <w:t>/</w:t>
      </w:r>
      <w:r>
        <w:rPr>
          <w:rFonts w:hint="eastAsia" w:ascii="宋体" w:hAnsi="宋体" w:eastAsia="宋体" w:cs="宋体"/>
          <w:color w:val="auto"/>
          <w:spacing w:val="4"/>
          <w:kern w:val="2"/>
          <w:sz w:val="24"/>
          <w:szCs w:val="24"/>
          <w:highlight w:val="none"/>
          <w:lang w:val="en-US" w:eastAsia="zh-CN" w:bidi="ar-SA"/>
        </w:rPr>
        <w:t xml:space="preserve"> </w:t>
      </w:r>
      <w:r>
        <w:rPr>
          <w:rFonts w:hint="eastAsia" w:ascii="宋体" w:hAnsi="宋体" w:eastAsia="宋体" w:cs="宋体"/>
          <w:color w:val="auto"/>
          <w:spacing w:val="-8"/>
          <w:kern w:val="2"/>
          <w:sz w:val="24"/>
          <w:szCs w:val="24"/>
          <w:highlight w:val="none"/>
          <w:lang w:val="en-US" w:eastAsia="zh-CN" w:bidi="ar-SA"/>
        </w:rPr>
        <w:t>㎡。</w:t>
      </w:r>
    </w:p>
    <w:p w14:paraId="65865F6E">
      <w:pPr>
        <w:widowControl w:val="0"/>
        <w:spacing w:before="34" w:beforeLines="0" w:afterLines="0" w:line="294" w:lineRule="auto"/>
        <w:ind w:right="100"/>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（2）颜色。采用绣红色（哈佛红）和藏青色搭配，颜色应符合《中国卫生应急服装技术规范（试行）》相关规定。</w:t>
      </w:r>
    </w:p>
    <w:p w14:paraId="7CB92A89">
      <w:pPr>
        <w:widowControl w:val="0"/>
        <w:spacing w:before="71" w:beforeLines="0" w:afterLines="0" w:line="290" w:lineRule="auto"/>
        <w:ind w:right="5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款式要求：胸前、背后明显位置使用反光材料，在夜晚或不良天气状况提供安全防护；背部可拆换式标识牌，区别不同环境穿着使用；可隐藏式帽子，头部左右转动不影响视线；两腋下有散热拉链，身体热量散发；腰部有收紧调节，增强保暖功能；上衣口袋采用压胶拉链设计；左侧上臂处设计有可拆式“臂章”。</w:t>
      </w:r>
    </w:p>
    <w:p w14:paraId="48FD61D8">
      <w:pPr>
        <w:widowControl w:val="0"/>
        <w:spacing w:before="71" w:beforeLines="0" w:afterLines="0" w:line="290" w:lineRule="auto"/>
        <w:ind w:right="52"/>
        <w:jc w:val="both"/>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kern w:val="2"/>
          <w:sz w:val="24"/>
          <w:szCs w:val="24"/>
          <w:highlight w:val="none"/>
          <w:lang w:val="en-US" w:eastAsia="zh-CN" w:bidi="ar-SA"/>
        </w:rPr>
        <w:t>（4）标识：</w:t>
      </w:r>
      <w:r>
        <w:rPr>
          <w:rFonts w:hint="eastAsia" w:ascii="宋体" w:hAnsi="宋体" w:eastAsia="宋体" w:cs="宋体"/>
          <w:color w:val="auto"/>
          <w:kern w:val="2"/>
          <w:sz w:val="24"/>
          <w:szCs w:val="24"/>
          <w:highlight w:val="none"/>
          <w:lang w:val="en-US" w:eastAsia="en-US" w:bidi="ar-SA"/>
        </w:rPr>
        <w:t>前胸和后背上部有亮银色反光条，背部标识根据采购人要求印制，</w:t>
      </w:r>
      <w:r>
        <w:rPr>
          <w:rFonts w:hint="eastAsia" w:ascii="宋体" w:hAnsi="宋体" w:eastAsia="宋体" w:cs="宋体"/>
          <w:b w:val="0"/>
          <w:bCs w:val="0"/>
          <w:color w:val="auto"/>
          <w:kern w:val="2"/>
          <w:sz w:val="24"/>
          <w:szCs w:val="24"/>
          <w:highlight w:val="none"/>
          <w:lang w:val="en-US" w:eastAsia="zh-CN" w:bidi="ar-SA"/>
        </w:rPr>
        <w:t>符合GB/T 20653-2021中3级逆反射要求</w:t>
      </w:r>
      <w:r>
        <w:rPr>
          <w:rFonts w:hint="eastAsia" w:ascii="宋体" w:hAnsi="宋体" w:eastAsia="宋体" w:cs="宋体"/>
          <w:color w:val="auto"/>
          <w:kern w:val="2"/>
          <w:sz w:val="24"/>
          <w:szCs w:val="24"/>
          <w:highlight w:val="none"/>
          <w:lang w:val="en-US" w:eastAsia="en-US" w:bidi="ar-SA"/>
        </w:rPr>
        <w:t xml:space="preserve">，采用热压滚烫工艺，以保证同服装面料的一体性。 </w:t>
      </w:r>
    </w:p>
    <w:p w14:paraId="3D540D54">
      <w:pPr>
        <w:widowControl w:val="0"/>
        <w:spacing w:before="71" w:beforeLines="0" w:afterLines="0" w:line="290" w:lineRule="auto"/>
        <w:ind w:right="52"/>
        <w:jc w:val="both"/>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kern w:val="2"/>
          <w:sz w:val="24"/>
          <w:szCs w:val="24"/>
          <w:highlight w:val="none"/>
          <w:lang w:val="en-US" w:eastAsia="en-US" w:bidi="ar-SA"/>
        </w:rPr>
        <w:t>上述冲锋上衣▲部分的理化指标提供产品国家认证认可的第三方检测机构出具的检测报告。</w:t>
      </w:r>
    </w:p>
    <w:p w14:paraId="5C3ECA17">
      <w:pPr>
        <w:spacing w:beforeLines="0" w:afterLines="0"/>
        <w:outlineLvl w:val="3"/>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pacing w:val="-2"/>
          <w:sz w:val="24"/>
          <w:szCs w:val="24"/>
          <w:highlight w:val="none"/>
        </w:rPr>
        <w:t>抓绒内胆</w:t>
      </w:r>
    </w:p>
    <w:p w14:paraId="7BA55CBB">
      <w:pPr>
        <w:widowControl w:val="0"/>
        <w:spacing w:before="65" w:beforeLines="0" w:afterLines="0" w:line="220" w:lineRule="auto"/>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（1）在春秋装的基础上配可拆卸的抓绒保暖内胆；主要采</w:t>
      </w:r>
      <w:r>
        <w:rPr>
          <w:rFonts w:hint="eastAsia" w:ascii="宋体" w:hAnsi="宋体" w:eastAsia="宋体" w:cs="宋体"/>
          <w:color w:val="auto"/>
          <w:spacing w:val="-2"/>
          <w:kern w:val="2"/>
          <w:sz w:val="24"/>
          <w:szCs w:val="24"/>
          <w:highlight w:val="none"/>
          <w:lang w:val="en-US" w:eastAsia="zh-CN" w:bidi="ar-SA"/>
        </w:rPr>
        <w:t>用黑色抓绒面料袖口有</w:t>
      </w:r>
      <w:r>
        <w:rPr>
          <w:rFonts w:hint="eastAsia" w:ascii="宋体" w:hAnsi="宋体" w:eastAsia="宋体" w:cs="宋体"/>
          <w:color w:val="auto"/>
          <w:spacing w:val="1"/>
          <w:kern w:val="2"/>
          <w:sz w:val="24"/>
          <w:szCs w:val="24"/>
          <w:highlight w:val="none"/>
          <w:lang w:val="en-US" w:eastAsia="zh-CN" w:bidi="ar-SA"/>
        </w:rPr>
        <w:t>罗口松紧，防止寒风吹进，抓绒内胆可以拆卸，并可单独穿着，内部有较大的口</w:t>
      </w:r>
      <w:r>
        <w:rPr>
          <w:rFonts w:hint="eastAsia" w:ascii="宋体" w:hAnsi="宋体" w:eastAsia="宋体" w:cs="宋体"/>
          <w:color w:val="auto"/>
          <w:kern w:val="2"/>
          <w:sz w:val="24"/>
          <w:szCs w:val="24"/>
          <w:highlight w:val="none"/>
          <w:lang w:val="en-US" w:eastAsia="zh-CN" w:bidi="ar-SA"/>
        </w:rPr>
        <w:t>袋，存放对讲机、手机等怕冷怕湿物件。克重367g/㎡，可以抵御</w:t>
      </w:r>
      <w:r>
        <w:rPr>
          <w:rFonts w:hint="eastAsia" w:ascii="宋体" w:hAnsi="宋体" w:eastAsia="宋体" w:cs="宋体"/>
          <w:color w:val="auto"/>
          <w:spacing w:val="-1"/>
          <w:kern w:val="2"/>
          <w:sz w:val="24"/>
          <w:szCs w:val="24"/>
          <w:highlight w:val="none"/>
          <w:lang w:val="en-US" w:eastAsia="zh-CN" w:bidi="ar-SA"/>
        </w:rPr>
        <w:t>≥-25</w:t>
      </w:r>
      <w:r>
        <w:rPr>
          <w:rFonts w:hint="eastAsia" w:ascii="宋体" w:hAnsi="宋体" w:eastAsia="宋体" w:cs="宋体"/>
          <w:color w:val="auto"/>
          <w:spacing w:val="-33"/>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度以上</w:t>
      </w:r>
      <w:r>
        <w:rPr>
          <w:rFonts w:hint="eastAsia" w:ascii="宋体" w:hAnsi="宋体" w:eastAsia="宋体" w:cs="宋体"/>
          <w:color w:val="auto"/>
          <w:spacing w:val="1"/>
          <w:kern w:val="2"/>
          <w:sz w:val="24"/>
          <w:szCs w:val="24"/>
          <w:highlight w:val="none"/>
          <w:lang w:val="en-US" w:eastAsia="zh-CN" w:bidi="ar-SA"/>
        </w:rPr>
        <w:t>的严寒。</w:t>
      </w:r>
    </w:p>
    <w:p w14:paraId="5DB219AD">
      <w:pPr>
        <w:widowControl w:val="0"/>
        <w:spacing w:before="65" w:beforeLines="0" w:afterLines="0" w:line="220" w:lineRule="auto"/>
        <w:jc w:val="both"/>
        <w:outlineLvl w:val="3"/>
        <w:rPr>
          <w:rFonts w:hint="eastAsia" w:ascii="宋体" w:hAnsi="宋体" w:eastAsia="宋体" w:cs="宋体"/>
          <w:b/>
          <w:bCs/>
          <w:color w:val="auto"/>
          <w:spacing w:val="-1"/>
          <w:kern w:val="2"/>
          <w:sz w:val="24"/>
          <w:szCs w:val="24"/>
          <w:highlight w:val="none"/>
          <w:lang w:val="en-US" w:eastAsia="zh-CN" w:bidi="ar-SA"/>
        </w:rPr>
      </w:pPr>
      <w:r>
        <w:rPr>
          <w:rFonts w:hint="eastAsia" w:ascii="宋体" w:hAnsi="宋体" w:eastAsia="宋体" w:cs="宋体"/>
          <w:b/>
          <w:bCs/>
          <w:color w:val="auto"/>
          <w:spacing w:val="-2"/>
          <w:kern w:val="2"/>
          <w:sz w:val="24"/>
          <w:szCs w:val="24"/>
          <w:highlight w:val="none"/>
          <w:lang w:val="en-US" w:eastAsia="zh-CN" w:bidi="ar-SA"/>
        </w:rPr>
        <w:t>3、羽绒内胆</w:t>
      </w:r>
    </w:p>
    <w:p w14:paraId="310942EC">
      <w:pPr>
        <w:widowControl w:val="0"/>
        <w:spacing w:before="65" w:beforeLines="0" w:afterLines="0" w:line="22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（1）在春秋装的基础上配羽绒内胆。</w:t>
      </w:r>
    </w:p>
    <w:p w14:paraId="1CA02E34">
      <w:pPr>
        <w:widowControl w:val="0"/>
        <w:spacing w:before="99" w:beforeLines="0" w:afterLines="0" w:line="276" w:lineRule="auto"/>
        <w:ind w:right="98"/>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（2）双层面料，7</w:t>
      </w:r>
      <w:r>
        <w:rPr>
          <w:rFonts w:hint="eastAsia" w:ascii="宋体" w:hAnsi="宋体" w:eastAsia="宋体" w:cs="宋体"/>
          <w:color w:val="auto"/>
          <w:spacing w:val="-31"/>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号最细机针制作，防止鸭绒钻出</w:t>
      </w:r>
      <w:r>
        <w:rPr>
          <w:rFonts w:hint="eastAsia" w:ascii="宋体" w:hAnsi="宋体" w:eastAsia="宋体" w:cs="宋体"/>
          <w:color w:val="auto"/>
          <w:spacing w:val="-1"/>
          <w:kern w:val="2"/>
          <w:sz w:val="24"/>
          <w:szCs w:val="24"/>
          <w:highlight w:val="none"/>
          <w:lang w:val="en-US" w:eastAsia="zh-CN" w:bidi="ar-SA"/>
        </w:rPr>
        <w:t>。羽绒内胆可以拆卸，可以单独穿着。</w:t>
      </w:r>
    </w:p>
    <w:p w14:paraId="2C9B8219">
      <w:pPr>
        <w:widowControl w:val="0"/>
        <w:spacing w:before="98" w:beforeLines="0" w:afterLines="0" w:line="278" w:lineRule="auto"/>
        <w:ind w:right="10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（3）面料：100%聚酯纤维，高密度防泼水处理，里料：100%聚酯纤维</w:t>
      </w:r>
      <w:r>
        <w:rPr>
          <w:rFonts w:hint="eastAsia" w:ascii="宋体" w:hAnsi="宋体" w:eastAsia="宋体" w:cs="宋体"/>
          <w:color w:val="auto"/>
          <w:spacing w:val="2"/>
          <w:kern w:val="2"/>
          <w:sz w:val="24"/>
          <w:szCs w:val="24"/>
          <w:highlight w:val="none"/>
          <w:lang w:val="en-US" w:eastAsia="zh-CN" w:bidi="ar-SA"/>
        </w:rPr>
        <w:t>，高密度</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spacing w:val="-3"/>
          <w:kern w:val="2"/>
          <w:sz w:val="24"/>
          <w:szCs w:val="24"/>
          <w:highlight w:val="none"/>
          <w:lang w:val="en-US" w:eastAsia="zh-CN" w:bidi="ar-SA"/>
        </w:rPr>
        <w:t>防泼水处理，透气防寒。</w:t>
      </w:r>
    </w:p>
    <w:p w14:paraId="77124C94">
      <w:pPr>
        <w:widowControl w:val="0"/>
        <w:spacing w:before="99" w:beforeLines="0" w:afterLines="0" w:line="220" w:lineRule="auto"/>
        <w:jc w:val="both"/>
        <w:rPr>
          <w:rFonts w:hint="eastAsia" w:ascii="宋体" w:hAnsi="宋体" w:eastAsia="宋体" w:cs="宋体"/>
          <w:color w:val="auto"/>
          <w:spacing w:val="-4"/>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（4</w:t>
      </w:r>
      <w:r>
        <w:rPr>
          <w:rFonts w:hint="eastAsia" w:ascii="宋体" w:hAnsi="宋体" w:eastAsia="宋体" w:cs="宋体"/>
          <w:color w:val="auto"/>
          <w:spacing w:val="-4"/>
          <w:kern w:val="2"/>
          <w:sz w:val="24"/>
          <w:szCs w:val="24"/>
          <w:highlight w:val="none"/>
          <w:lang w:val="en-US" w:eastAsia="zh-CN" w:bidi="ar-SA"/>
        </w:rPr>
        <w:t>）内里：采用高密度防绒面料，防止软绒钻出。</w:t>
      </w:r>
    </w:p>
    <w:p w14:paraId="26275104">
      <w:pPr>
        <w:widowControl w:val="0"/>
        <w:spacing w:before="99" w:beforeLines="0" w:afterLines="0" w:line="220" w:lineRule="auto"/>
        <w:jc w:val="both"/>
        <w:rPr>
          <w:rFonts w:hint="eastAsia" w:ascii="宋体" w:hAnsi="宋体" w:eastAsia="宋体" w:cs="宋体"/>
          <w:color w:val="auto"/>
          <w:spacing w:val="-4"/>
          <w:kern w:val="2"/>
          <w:sz w:val="24"/>
          <w:szCs w:val="24"/>
          <w:highlight w:val="none"/>
          <w:lang w:val="en-US" w:eastAsia="zh-CN" w:bidi="ar-SA"/>
        </w:rPr>
      </w:pPr>
      <w:r>
        <w:rPr>
          <w:rFonts w:hint="eastAsia" w:ascii="宋体" w:hAnsi="宋体" w:eastAsia="宋体" w:cs="宋体"/>
          <w:color w:val="auto"/>
          <w:spacing w:val="-4"/>
          <w:kern w:val="2"/>
          <w:sz w:val="24"/>
          <w:szCs w:val="24"/>
          <w:highlight w:val="none"/>
          <w:lang w:val="en-US" w:eastAsia="zh-CN" w:bidi="ar-SA"/>
        </w:rPr>
        <w:t>（5）全部为藏青色。袖口有罗口松紧，防止寒风吹进，左右口袋可插手可放物件。</w:t>
      </w:r>
    </w:p>
    <w:p w14:paraId="4F1B8038">
      <w:pPr>
        <w:widowControl w:val="0"/>
        <w:spacing w:before="99" w:beforeLines="0" w:afterLines="0" w:line="220" w:lineRule="auto"/>
        <w:jc w:val="both"/>
        <w:rPr>
          <w:rFonts w:hint="eastAsia" w:ascii="宋体" w:hAnsi="宋体" w:eastAsia="宋体" w:cs="宋体"/>
          <w:b w:val="0"/>
          <w:bCs w:val="0"/>
          <w:color w:val="auto"/>
          <w:spacing w:val="-4"/>
          <w:kern w:val="2"/>
          <w:sz w:val="24"/>
          <w:szCs w:val="24"/>
          <w:highlight w:val="none"/>
          <w:lang w:val="en-US" w:eastAsia="zh-CN" w:bidi="ar-SA"/>
        </w:rPr>
      </w:pPr>
      <w:r>
        <w:rPr>
          <w:rFonts w:hint="eastAsia" w:ascii="宋体" w:hAnsi="宋体" w:eastAsia="宋体" w:cs="宋体"/>
          <w:color w:val="auto"/>
          <w:spacing w:val="-4"/>
          <w:kern w:val="2"/>
          <w:sz w:val="24"/>
          <w:szCs w:val="24"/>
          <w:highlight w:val="none"/>
          <w:lang w:val="en-US" w:eastAsia="zh-CN" w:bidi="ar-SA"/>
        </w:rPr>
        <w:t>▲（6）填充物：100%全部白鸭绒填充，</w:t>
      </w:r>
      <w:r>
        <w:rPr>
          <w:rFonts w:hint="eastAsia" w:ascii="宋体" w:hAnsi="宋体" w:eastAsia="宋体" w:cs="宋体"/>
          <w:b w:val="0"/>
          <w:bCs w:val="0"/>
          <w:color w:val="auto"/>
          <w:spacing w:val="-4"/>
          <w:kern w:val="2"/>
          <w:sz w:val="24"/>
          <w:szCs w:val="24"/>
          <w:highlight w:val="none"/>
          <w:lang w:val="en-US" w:eastAsia="zh-CN" w:bidi="ar-SA"/>
        </w:rPr>
        <w:t>充绒量≥245g。</w:t>
      </w:r>
    </w:p>
    <w:p w14:paraId="2657508B">
      <w:pPr>
        <w:spacing w:beforeLines="0" w:afterLines="0"/>
        <w:outlineLvl w:val="3"/>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冬裤</w:t>
      </w:r>
    </w:p>
    <w:p w14:paraId="6CC74C16">
      <w:pPr>
        <w:widowControl w:val="0"/>
        <w:spacing w:before="64" w:beforeLines="0" w:afterLines="0" w:line="322" w:lineRule="auto"/>
        <w:ind w:left="113" w:right="96" w:hanging="3"/>
        <w:jc w:val="both"/>
        <w:rPr>
          <w:rFonts w:hint="eastAsia" w:ascii="宋体" w:hAnsi="宋体" w:eastAsia="宋体" w:cs="宋体"/>
          <w:snapToGrid w:val="0"/>
          <w:color w:val="auto"/>
          <w:spacing w:val="-1"/>
          <w:kern w:val="2"/>
          <w:sz w:val="24"/>
          <w:szCs w:val="24"/>
          <w:highlight w:val="none"/>
          <w:lang w:val="en-US" w:eastAsia="en-US" w:bidi="ar-SA"/>
        </w:rPr>
      </w:pPr>
      <w:r>
        <w:rPr>
          <w:rFonts w:hint="eastAsia" w:ascii="宋体" w:hAnsi="宋体" w:eastAsia="宋体" w:cs="宋体"/>
          <w:snapToGrid w:val="0"/>
          <w:color w:val="auto"/>
          <w:spacing w:val="-1"/>
          <w:kern w:val="2"/>
          <w:sz w:val="24"/>
          <w:szCs w:val="24"/>
          <w:highlight w:val="none"/>
          <w:lang w:val="en-US" w:eastAsia="en-US" w:bidi="ar-SA"/>
        </w:rPr>
        <w:t>服装设计符合《国家卫生应急队伍标识（试行）》、《中国卫生应急服装技术规范（试行）》要求。</w:t>
      </w:r>
    </w:p>
    <w:p w14:paraId="3182611F">
      <w:pPr>
        <w:widowControl w:val="0"/>
        <w:spacing w:before="22" w:beforeLines="0" w:afterLines="0" w:line="221" w:lineRule="auto"/>
        <w:ind w:left="115"/>
        <w:jc w:val="both"/>
        <w:rPr>
          <w:rFonts w:hint="eastAsia" w:ascii="宋体" w:hAnsi="宋体" w:eastAsia="宋体" w:cs="宋体"/>
          <w:snapToGrid w:val="0"/>
          <w:color w:val="auto"/>
          <w:spacing w:val="-1"/>
          <w:kern w:val="2"/>
          <w:sz w:val="24"/>
          <w:szCs w:val="24"/>
          <w:highlight w:val="none"/>
          <w:lang w:val="en-US" w:eastAsia="zh-CN" w:bidi="ar-SA"/>
        </w:rPr>
      </w:pPr>
      <w:r>
        <w:rPr>
          <w:rFonts w:hint="eastAsia" w:ascii="宋体" w:hAnsi="宋体" w:eastAsia="宋体" w:cs="宋体"/>
          <w:snapToGrid w:val="0"/>
          <w:color w:val="auto"/>
          <w:spacing w:val="-1"/>
          <w:kern w:val="2"/>
          <w:sz w:val="24"/>
          <w:szCs w:val="24"/>
          <w:highlight w:val="none"/>
          <w:lang w:val="en-US" w:eastAsia="en-US" w:bidi="ar-SA"/>
        </w:rPr>
        <w:t>（1）面料要求</w:t>
      </w:r>
      <w:r>
        <w:rPr>
          <w:rFonts w:hint="eastAsia" w:ascii="宋体" w:hAnsi="宋体" w:eastAsia="宋体" w:cs="宋体"/>
          <w:snapToGrid w:val="0"/>
          <w:color w:val="auto"/>
          <w:spacing w:val="-1"/>
          <w:kern w:val="2"/>
          <w:sz w:val="24"/>
          <w:szCs w:val="24"/>
          <w:highlight w:val="none"/>
          <w:lang w:val="en-US" w:eastAsia="zh-CN" w:bidi="ar-SA"/>
        </w:rPr>
        <w:t>：</w:t>
      </w:r>
      <w:r>
        <w:rPr>
          <w:rFonts w:hint="eastAsia" w:ascii="宋体" w:hAnsi="宋体" w:eastAsia="宋体" w:cs="宋体"/>
          <w:snapToGrid w:val="0"/>
          <w:color w:val="auto"/>
          <w:spacing w:val="-1"/>
          <w:kern w:val="2"/>
          <w:sz w:val="24"/>
          <w:szCs w:val="24"/>
          <w:highlight w:val="none"/>
          <w:lang w:val="en-US" w:eastAsia="en-US" w:bidi="ar-SA"/>
        </w:rPr>
        <w:t>采用塔丝隆牛津布面料，成份为 100% 锦纶短纤维</w:t>
      </w:r>
      <w:r>
        <w:rPr>
          <w:rFonts w:hint="eastAsia" w:ascii="宋体" w:hAnsi="宋体" w:eastAsia="宋体" w:cs="宋体"/>
          <w:snapToGrid w:val="0"/>
          <w:color w:val="auto"/>
          <w:spacing w:val="-1"/>
          <w:kern w:val="2"/>
          <w:sz w:val="24"/>
          <w:szCs w:val="24"/>
          <w:highlight w:val="none"/>
          <w:lang w:val="en-US" w:eastAsia="zh-CN" w:bidi="ar-SA"/>
        </w:rPr>
        <w:t>，</w:t>
      </w:r>
      <w:r>
        <w:rPr>
          <w:rFonts w:hint="eastAsia" w:ascii="宋体" w:hAnsi="宋体" w:eastAsia="宋体" w:cs="宋体"/>
          <w:snapToGrid w:val="0"/>
          <w:color w:val="auto"/>
          <w:spacing w:val="-1"/>
          <w:kern w:val="2"/>
          <w:sz w:val="24"/>
          <w:szCs w:val="24"/>
          <w:highlight w:val="none"/>
          <w:lang w:val="en-US" w:eastAsia="en-US" w:bidi="ar-SA"/>
        </w:rPr>
        <w:t>面料技术要求同冬装上衣。 理化指标</w:t>
      </w:r>
      <w:r>
        <w:rPr>
          <w:rFonts w:hint="eastAsia" w:ascii="宋体" w:hAnsi="宋体" w:eastAsia="宋体" w:cs="宋体"/>
          <w:snapToGrid w:val="0"/>
          <w:color w:val="auto"/>
          <w:spacing w:val="-1"/>
          <w:kern w:val="2"/>
          <w:sz w:val="24"/>
          <w:szCs w:val="24"/>
          <w:highlight w:val="none"/>
          <w:lang w:val="en-US" w:eastAsia="zh-CN" w:bidi="ar-SA"/>
        </w:rPr>
        <w:t>可</w:t>
      </w:r>
      <w:r>
        <w:rPr>
          <w:rFonts w:hint="eastAsia" w:ascii="宋体" w:hAnsi="宋体" w:eastAsia="宋体" w:cs="宋体"/>
          <w:snapToGrid w:val="0"/>
          <w:color w:val="auto"/>
          <w:spacing w:val="-1"/>
          <w:kern w:val="2"/>
          <w:sz w:val="24"/>
          <w:szCs w:val="24"/>
          <w:highlight w:val="none"/>
          <w:lang w:val="en-US" w:eastAsia="en-US" w:bidi="ar-SA"/>
        </w:rPr>
        <w:t>提供产品国家认证认可的第三方检测机构出具的检</w:t>
      </w:r>
      <w:r>
        <w:rPr>
          <w:rFonts w:hint="eastAsia" w:ascii="宋体" w:hAnsi="宋体" w:eastAsia="宋体" w:cs="宋体"/>
          <w:snapToGrid w:val="0"/>
          <w:color w:val="auto"/>
          <w:spacing w:val="-1"/>
          <w:kern w:val="2"/>
          <w:sz w:val="24"/>
          <w:szCs w:val="24"/>
          <w:highlight w:val="none"/>
          <w:lang w:val="en-US" w:eastAsia="zh-CN" w:bidi="ar-SA"/>
        </w:rPr>
        <w:t>测。</w:t>
      </w:r>
    </w:p>
    <w:p w14:paraId="47495546">
      <w:pPr>
        <w:widowControl w:val="0"/>
        <w:spacing w:before="99" w:beforeLines="0" w:afterLines="0" w:line="321" w:lineRule="auto"/>
        <w:ind w:left="111" w:right="123" w:hanging="2"/>
        <w:jc w:val="both"/>
        <w:rPr>
          <w:rFonts w:hint="eastAsia" w:ascii="宋体" w:hAnsi="宋体" w:eastAsia="宋体" w:cs="宋体"/>
          <w:snapToGrid w:val="0"/>
          <w:color w:val="auto"/>
          <w:spacing w:val="-1"/>
          <w:kern w:val="2"/>
          <w:sz w:val="24"/>
          <w:szCs w:val="24"/>
          <w:highlight w:val="none"/>
          <w:lang w:val="en-US" w:eastAsia="en-US" w:bidi="ar-SA"/>
        </w:rPr>
      </w:pPr>
      <w:r>
        <w:rPr>
          <w:rFonts w:hint="eastAsia" w:ascii="宋体" w:hAnsi="宋体" w:eastAsia="宋体" w:cs="宋体"/>
          <w:snapToGrid w:val="0"/>
          <w:color w:val="auto"/>
          <w:spacing w:val="-1"/>
          <w:kern w:val="2"/>
          <w:sz w:val="24"/>
          <w:szCs w:val="24"/>
          <w:highlight w:val="none"/>
          <w:lang w:val="en-US" w:eastAsia="en-US" w:bidi="ar-SA"/>
        </w:rPr>
        <w:t>（2）颜色要求</w:t>
      </w:r>
      <w:r>
        <w:rPr>
          <w:rFonts w:hint="eastAsia" w:ascii="宋体" w:hAnsi="宋体" w:eastAsia="宋体" w:cs="宋体"/>
          <w:snapToGrid w:val="0"/>
          <w:color w:val="auto"/>
          <w:spacing w:val="-1"/>
          <w:kern w:val="2"/>
          <w:sz w:val="24"/>
          <w:szCs w:val="24"/>
          <w:highlight w:val="none"/>
          <w:lang w:val="en-US" w:eastAsia="zh-CN" w:bidi="ar-SA"/>
        </w:rPr>
        <w:t>：</w:t>
      </w:r>
      <w:r>
        <w:rPr>
          <w:rFonts w:hint="eastAsia" w:ascii="宋体" w:hAnsi="宋体" w:eastAsia="宋体" w:cs="宋体"/>
          <w:snapToGrid w:val="0"/>
          <w:color w:val="auto"/>
          <w:spacing w:val="-1"/>
          <w:kern w:val="2"/>
          <w:sz w:val="24"/>
          <w:szCs w:val="24"/>
          <w:highlight w:val="none"/>
          <w:lang w:val="en-US" w:eastAsia="en-US" w:bidi="ar-SA"/>
        </w:rPr>
        <w:t>全部为黑色。</w:t>
      </w:r>
    </w:p>
    <w:p w14:paraId="3E3CB067">
      <w:pPr>
        <w:widowControl w:val="0"/>
        <w:spacing w:before="99" w:beforeLines="0" w:afterLines="0" w:line="321" w:lineRule="auto"/>
        <w:ind w:left="111" w:right="123" w:hanging="2"/>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spacing w:val="-1"/>
          <w:kern w:val="2"/>
          <w:sz w:val="24"/>
          <w:szCs w:val="24"/>
          <w:highlight w:val="none"/>
          <w:lang w:val="en-US" w:eastAsia="en-US" w:bidi="ar-SA"/>
        </w:rPr>
        <w:t>（3）款式要</w:t>
      </w:r>
      <w:r>
        <w:rPr>
          <w:rFonts w:hint="eastAsia" w:ascii="宋体" w:hAnsi="宋体" w:eastAsia="宋体" w:cs="宋体"/>
          <w:snapToGrid w:val="0"/>
          <w:color w:val="auto"/>
          <w:spacing w:val="-1"/>
          <w:kern w:val="2"/>
          <w:sz w:val="24"/>
          <w:szCs w:val="24"/>
          <w:highlight w:val="none"/>
          <w:lang w:val="en-US" w:eastAsia="zh-CN" w:bidi="ar-SA"/>
        </w:rPr>
        <w:t>求：</w:t>
      </w:r>
      <w:r>
        <w:rPr>
          <w:rFonts w:hint="eastAsia" w:ascii="宋体" w:hAnsi="宋体" w:eastAsia="宋体" w:cs="宋体"/>
          <w:snapToGrid w:val="0"/>
          <w:color w:val="auto"/>
          <w:spacing w:val="-1"/>
          <w:kern w:val="2"/>
          <w:sz w:val="24"/>
          <w:szCs w:val="24"/>
          <w:highlight w:val="none"/>
          <w:lang w:val="en-US" w:eastAsia="en-US" w:bidi="ar-SA"/>
        </w:rPr>
        <w:t>裤腿有突出口袋，野外工作使用；裤角有收紧调节；裤子口袋有拉链，内部物品不易滑出。</w:t>
      </w:r>
    </w:p>
    <w:p w14:paraId="6A8DE5B1">
      <w:pPr>
        <w:spacing w:beforeLines="0" w:afterLines="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夏裤</w:t>
      </w:r>
    </w:p>
    <w:p w14:paraId="713BA754">
      <w:pPr>
        <w:widowControl w:val="0"/>
        <w:spacing w:before="66" w:beforeLines="0" w:afterLines="0" w:line="322" w:lineRule="auto"/>
        <w:ind w:left="113" w:right="96" w:hanging="3"/>
        <w:jc w:val="both"/>
        <w:rPr>
          <w:rFonts w:hint="eastAsia" w:ascii="宋体" w:hAnsi="宋体" w:eastAsia="宋体" w:cs="宋体"/>
          <w:snapToGrid w:val="0"/>
          <w:color w:val="auto"/>
          <w:spacing w:val="-2"/>
          <w:kern w:val="2"/>
          <w:sz w:val="24"/>
          <w:szCs w:val="24"/>
          <w:highlight w:val="none"/>
          <w:lang w:val="en-US" w:eastAsia="en-US" w:bidi="ar-SA"/>
        </w:rPr>
      </w:pPr>
      <w:r>
        <w:rPr>
          <w:rFonts w:hint="eastAsia" w:ascii="宋体" w:hAnsi="宋体" w:eastAsia="宋体" w:cs="宋体"/>
          <w:snapToGrid w:val="0"/>
          <w:color w:val="auto"/>
          <w:spacing w:val="-2"/>
          <w:kern w:val="2"/>
          <w:sz w:val="24"/>
          <w:szCs w:val="24"/>
          <w:highlight w:val="none"/>
          <w:lang w:val="en-US" w:eastAsia="en-US" w:bidi="ar-SA"/>
        </w:rPr>
        <w:t>服装设计符合《国家卫生应急队伍标识（试行）》、《中国卫生应急服装技术规范（试行）》要求。</w:t>
      </w:r>
    </w:p>
    <w:p w14:paraId="3124FDC9">
      <w:pPr>
        <w:widowControl w:val="0"/>
        <w:spacing w:before="23" w:beforeLines="0" w:afterLines="0" w:line="276" w:lineRule="auto"/>
        <w:ind w:right="100"/>
        <w:jc w:val="both"/>
        <w:rPr>
          <w:rFonts w:hint="eastAsia" w:ascii="宋体" w:hAnsi="宋体" w:eastAsia="宋体" w:cs="宋体"/>
          <w:snapToGrid w:val="0"/>
          <w:color w:val="auto"/>
          <w:spacing w:val="-2"/>
          <w:kern w:val="2"/>
          <w:sz w:val="24"/>
          <w:szCs w:val="24"/>
          <w:highlight w:val="none"/>
          <w:lang w:val="en-US" w:eastAsia="en-US" w:bidi="ar-SA"/>
        </w:rPr>
      </w:pPr>
      <w:r>
        <w:rPr>
          <w:rFonts w:hint="eastAsia" w:ascii="宋体" w:hAnsi="宋体" w:eastAsia="宋体" w:cs="宋体"/>
          <w:snapToGrid w:val="0"/>
          <w:color w:val="auto"/>
          <w:spacing w:val="-2"/>
          <w:kern w:val="2"/>
          <w:sz w:val="24"/>
          <w:szCs w:val="24"/>
          <w:highlight w:val="none"/>
          <w:lang w:val="en-US" w:eastAsia="en-US" w:bidi="ar-SA"/>
        </w:rPr>
        <w:t>（1）裤腿有突出口袋，野外工作使用；右侧裤耳加装塑料环，扣挂物品；脚口加装进口魔术贴，便于收紧调节。</w:t>
      </w:r>
    </w:p>
    <w:p w14:paraId="09213EA2">
      <w:pPr>
        <w:widowControl w:val="0"/>
        <w:spacing w:before="99" w:beforeLines="0" w:afterLines="0" w:line="220" w:lineRule="auto"/>
        <w:jc w:val="both"/>
        <w:rPr>
          <w:rFonts w:hint="eastAsia" w:ascii="宋体" w:hAnsi="宋体" w:eastAsia="宋体" w:cs="宋体"/>
          <w:snapToGrid w:val="0"/>
          <w:color w:val="auto"/>
          <w:spacing w:val="-2"/>
          <w:kern w:val="2"/>
          <w:sz w:val="24"/>
          <w:szCs w:val="24"/>
          <w:highlight w:val="none"/>
          <w:lang w:val="en-US" w:eastAsia="en-US" w:bidi="ar-SA"/>
        </w:rPr>
      </w:pPr>
      <w:r>
        <w:rPr>
          <w:rFonts w:hint="eastAsia" w:ascii="宋体" w:hAnsi="宋体" w:eastAsia="宋体" w:cs="宋体"/>
          <w:snapToGrid w:val="0"/>
          <w:color w:val="auto"/>
          <w:spacing w:val="-2"/>
          <w:kern w:val="2"/>
          <w:sz w:val="24"/>
          <w:szCs w:val="24"/>
          <w:highlight w:val="none"/>
          <w:lang w:val="en-US" w:eastAsia="en-US" w:bidi="ar-SA"/>
        </w:rPr>
        <w:t>（2）颜色要求，外观为藏青色。</w:t>
      </w:r>
    </w:p>
    <w:p w14:paraId="1687FF43">
      <w:pPr>
        <w:widowControl w:val="0"/>
        <w:spacing w:before="72" w:beforeLines="0" w:afterLines="0" w:line="225" w:lineRule="auto"/>
        <w:ind w:left="131"/>
        <w:jc w:val="both"/>
        <w:rPr>
          <w:rFonts w:hint="eastAsia" w:ascii="宋体" w:hAnsi="宋体" w:eastAsia="宋体" w:cs="宋体"/>
          <w:snapToGrid w:val="0"/>
          <w:color w:val="auto"/>
          <w:spacing w:val="-2"/>
          <w:kern w:val="2"/>
          <w:sz w:val="24"/>
          <w:szCs w:val="24"/>
          <w:highlight w:val="none"/>
          <w:lang w:val="en-US" w:eastAsia="en-US" w:bidi="ar-SA"/>
        </w:rPr>
      </w:pPr>
      <w:r>
        <w:rPr>
          <w:rFonts w:hint="eastAsia" w:ascii="宋体" w:hAnsi="宋体" w:eastAsia="宋体" w:cs="宋体"/>
          <w:snapToGrid w:val="0"/>
          <w:color w:val="auto"/>
          <w:spacing w:val="-2"/>
          <w:kern w:val="2"/>
          <w:sz w:val="24"/>
          <w:szCs w:val="24"/>
          <w:highlight w:val="none"/>
          <w:lang w:val="en-US" w:eastAsia="en-US" w:bidi="ar-SA"/>
        </w:rPr>
        <w:t>▲（3）面料采用精梳棉与锦纶混纺，65%棉、35%。</w:t>
      </w:r>
      <w:r>
        <w:rPr>
          <w:rFonts w:hint="eastAsia" w:ascii="宋体" w:hAnsi="宋体" w:eastAsia="宋体" w:cs="宋体"/>
          <w:b w:val="0"/>
          <w:bCs w:val="0"/>
          <w:snapToGrid w:val="0"/>
          <w:color w:val="auto"/>
          <w:spacing w:val="-2"/>
          <w:kern w:val="2"/>
          <w:sz w:val="24"/>
          <w:szCs w:val="24"/>
          <w:highlight w:val="none"/>
          <w:lang w:val="en-US" w:eastAsia="zh-CN" w:bidi="ar-SA"/>
        </w:rPr>
        <w:t>经向≥450N</w:t>
      </w:r>
      <w:r>
        <w:rPr>
          <w:rFonts w:hint="eastAsia" w:ascii="宋体" w:hAnsi="宋体" w:eastAsia="宋体" w:cs="宋体"/>
          <w:b w:val="0"/>
          <w:bCs w:val="0"/>
          <w:snapToGrid w:val="0"/>
          <w:color w:val="auto"/>
          <w:spacing w:val="-2"/>
          <w:kern w:val="2"/>
          <w:sz w:val="24"/>
          <w:szCs w:val="24"/>
          <w:highlight w:val="none"/>
          <w:lang w:val="en-US" w:eastAsia="en-US" w:bidi="ar-SA"/>
        </w:rPr>
        <w:t>。</w:t>
      </w:r>
    </w:p>
    <w:p w14:paraId="574A9931">
      <w:pPr>
        <w:widowControl w:val="0"/>
        <w:spacing w:before="20" w:beforeLines="0" w:afterLines="0" w:line="261" w:lineRule="auto"/>
        <w:ind w:left="110" w:right="41" w:firstLine="21"/>
        <w:jc w:val="both"/>
        <w:rPr>
          <w:rFonts w:hint="eastAsia" w:ascii="宋体" w:hAnsi="宋体" w:eastAsia="宋体" w:cs="宋体"/>
          <w:snapToGrid w:val="0"/>
          <w:color w:val="auto"/>
          <w:spacing w:val="-2"/>
          <w:kern w:val="2"/>
          <w:sz w:val="24"/>
          <w:szCs w:val="24"/>
          <w:highlight w:val="none"/>
          <w:lang w:val="en-US" w:eastAsia="en-US" w:bidi="ar-SA"/>
        </w:rPr>
      </w:pPr>
      <w:r>
        <w:rPr>
          <w:rFonts w:hint="eastAsia" w:ascii="宋体" w:hAnsi="宋体" w:eastAsia="宋体" w:cs="宋体"/>
          <w:snapToGrid w:val="0"/>
          <w:color w:val="auto"/>
          <w:spacing w:val="-2"/>
          <w:kern w:val="2"/>
          <w:sz w:val="24"/>
          <w:szCs w:val="24"/>
          <w:highlight w:val="none"/>
          <w:lang w:val="en-US" w:eastAsia="en-US" w:bidi="ar-SA"/>
        </w:rPr>
        <w:t>▲（4）面料色牢度：耐水（变色4</w:t>
      </w:r>
      <w:r>
        <w:rPr>
          <w:rFonts w:hint="eastAsia" w:ascii="宋体" w:hAnsi="宋体" w:eastAsia="宋体" w:cs="宋体"/>
          <w:snapToGrid w:val="0"/>
          <w:color w:val="auto"/>
          <w:spacing w:val="-2"/>
          <w:kern w:val="2"/>
          <w:sz w:val="24"/>
          <w:szCs w:val="24"/>
          <w:highlight w:val="none"/>
          <w:lang w:val="en-US" w:eastAsia="zh-CN" w:bidi="ar-SA"/>
        </w:rPr>
        <w:t>-5</w:t>
      </w:r>
      <w:r>
        <w:rPr>
          <w:rFonts w:hint="eastAsia" w:ascii="宋体" w:hAnsi="宋体" w:eastAsia="宋体" w:cs="宋体"/>
          <w:snapToGrid w:val="0"/>
          <w:color w:val="auto"/>
          <w:spacing w:val="-2"/>
          <w:kern w:val="2"/>
          <w:sz w:val="24"/>
          <w:szCs w:val="24"/>
          <w:highlight w:val="none"/>
          <w:lang w:val="en-US" w:eastAsia="en-US" w:bidi="ar-SA"/>
        </w:rPr>
        <w:t xml:space="preserve"> 级、沾色</w:t>
      </w:r>
      <w:r>
        <w:rPr>
          <w:rFonts w:hint="eastAsia" w:ascii="宋体" w:hAnsi="宋体" w:eastAsia="宋体" w:cs="宋体"/>
          <w:snapToGrid w:val="0"/>
          <w:color w:val="auto"/>
          <w:spacing w:val="-2"/>
          <w:kern w:val="2"/>
          <w:sz w:val="24"/>
          <w:szCs w:val="24"/>
          <w:highlight w:val="none"/>
          <w:lang w:val="en-US" w:eastAsia="zh-CN" w:bidi="ar-SA"/>
        </w:rPr>
        <w:t>4-5</w:t>
      </w:r>
      <w:r>
        <w:rPr>
          <w:rFonts w:hint="eastAsia" w:ascii="宋体" w:hAnsi="宋体" w:eastAsia="宋体" w:cs="宋体"/>
          <w:snapToGrid w:val="0"/>
          <w:color w:val="auto"/>
          <w:spacing w:val="-2"/>
          <w:kern w:val="2"/>
          <w:sz w:val="24"/>
          <w:szCs w:val="24"/>
          <w:highlight w:val="none"/>
          <w:lang w:val="en-US" w:eastAsia="en-US" w:bidi="ar-SA"/>
        </w:rPr>
        <w:t xml:space="preserve"> 级）、耐酸碱汗渍4</w:t>
      </w:r>
      <w:r>
        <w:rPr>
          <w:rFonts w:hint="eastAsia" w:ascii="宋体" w:hAnsi="宋体" w:eastAsia="宋体" w:cs="宋体"/>
          <w:snapToGrid w:val="0"/>
          <w:color w:val="auto"/>
          <w:spacing w:val="-2"/>
          <w:kern w:val="2"/>
          <w:sz w:val="24"/>
          <w:szCs w:val="24"/>
          <w:highlight w:val="none"/>
          <w:lang w:val="en-US" w:eastAsia="zh-CN" w:bidi="ar-SA"/>
        </w:rPr>
        <w:t>-5</w:t>
      </w:r>
      <w:r>
        <w:rPr>
          <w:rFonts w:hint="eastAsia" w:ascii="宋体" w:hAnsi="宋体" w:eastAsia="宋体" w:cs="宋体"/>
          <w:snapToGrid w:val="0"/>
          <w:color w:val="auto"/>
          <w:spacing w:val="-2"/>
          <w:kern w:val="2"/>
          <w:sz w:val="24"/>
          <w:szCs w:val="24"/>
          <w:highlight w:val="none"/>
          <w:lang w:val="en-US" w:eastAsia="en-US" w:bidi="ar-SA"/>
        </w:rPr>
        <w:t xml:space="preserve"> 级、耐摩擦色牢度4</w:t>
      </w:r>
      <w:r>
        <w:rPr>
          <w:rFonts w:hint="eastAsia" w:ascii="宋体" w:hAnsi="宋体" w:eastAsia="宋体" w:cs="宋体"/>
          <w:snapToGrid w:val="0"/>
          <w:color w:val="auto"/>
          <w:spacing w:val="-2"/>
          <w:kern w:val="2"/>
          <w:sz w:val="24"/>
          <w:szCs w:val="24"/>
          <w:highlight w:val="none"/>
          <w:lang w:val="en-US" w:eastAsia="zh-CN" w:bidi="ar-SA"/>
        </w:rPr>
        <w:t>-5</w:t>
      </w:r>
      <w:r>
        <w:rPr>
          <w:rFonts w:hint="eastAsia" w:ascii="宋体" w:hAnsi="宋体" w:eastAsia="宋体" w:cs="宋体"/>
          <w:snapToGrid w:val="0"/>
          <w:color w:val="auto"/>
          <w:spacing w:val="-2"/>
          <w:kern w:val="2"/>
          <w:sz w:val="24"/>
          <w:szCs w:val="24"/>
          <w:highlight w:val="none"/>
          <w:lang w:val="en-US" w:eastAsia="en-US" w:bidi="ar-SA"/>
        </w:rPr>
        <w:t xml:space="preserve"> 级，滴水扩散时间（洗前</w:t>
      </w:r>
      <w:r>
        <w:rPr>
          <w:rFonts w:hint="eastAsia" w:ascii="宋体" w:hAnsi="宋体" w:eastAsia="宋体" w:cs="宋体"/>
          <w:snapToGrid w:val="0"/>
          <w:color w:val="auto"/>
          <w:spacing w:val="-2"/>
          <w:kern w:val="2"/>
          <w:sz w:val="24"/>
          <w:szCs w:val="24"/>
          <w:highlight w:val="none"/>
          <w:lang w:val="en-US" w:eastAsia="zh-CN" w:bidi="ar-SA"/>
        </w:rPr>
        <w:t>3.9</w:t>
      </w:r>
      <w:r>
        <w:rPr>
          <w:rFonts w:hint="eastAsia" w:ascii="宋体" w:hAnsi="宋体" w:eastAsia="宋体" w:cs="宋体"/>
          <w:snapToGrid w:val="0"/>
          <w:color w:val="auto"/>
          <w:spacing w:val="-2"/>
          <w:kern w:val="2"/>
          <w:sz w:val="24"/>
          <w:szCs w:val="24"/>
          <w:highlight w:val="none"/>
          <w:lang w:val="en-US" w:eastAsia="en-US" w:bidi="ar-SA"/>
        </w:rPr>
        <w:t>、洗后</w:t>
      </w:r>
      <w:r>
        <w:rPr>
          <w:rFonts w:hint="eastAsia" w:ascii="宋体" w:hAnsi="宋体" w:eastAsia="宋体" w:cs="宋体"/>
          <w:snapToGrid w:val="0"/>
          <w:color w:val="auto"/>
          <w:spacing w:val="-2"/>
          <w:kern w:val="2"/>
          <w:sz w:val="24"/>
          <w:szCs w:val="24"/>
          <w:highlight w:val="none"/>
          <w:lang w:val="en-US" w:eastAsia="zh-CN" w:bidi="ar-SA"/>
        </w:rPr>
        <w:t>2.4</w:t>
      </w:r>
      <w:r>
        <w:rPr>
          <w:rFonts w:hint="eastAsia" w:ascii="宋体" w:hAnsi="宋体" w:eastAsia="宋体" w:cs="宋体"/>
          <w:snapToGrid w:val="0"/>
          <w:color w:val="auto"/>
          <w:spacing w:val="-2"/>
          <w:kern w:val="2"/>
          <w:sz w:val="24"/>
          <w:szCs w:val="24"/>
          <w:highlight w:val="none"/>
          <w:lang w:val="en-US" w:eastAsia="en-US" w:bidi="ar-SA"/>
        </w:rPr>
        <w:t>）芯吸高度（</w:t>
      </w:r>
      <w:r>
        <w:rPr>
          <w:rFonts w:hint="eastAsia" w:ascii="宋体" w:hAnsi="宋体" w:eastAsia="宋体" w:cs="宋体"/>
          <w:color w:val="auto"/>
          <w:spacing w:val="-11"/>
          <w:kern w:val="2"/>
          <w:sz w:val="24"/>
          <w:szCs w:val="24"/>
          <w:highlight w:val="none"/>
          <w:lang w:val="en-US" w:eastAsia="zh-CN" w:bidi="ar-SA"/>
        </w:rPr>
        <w:t>洗前132mm、洗后</w:t>
      </w:r>
      <w:r>
        <w:rPr>
          <w:rFonts w:hint="eastAsia" w:ascii="宋体" w:hAnsi="宋体" w:eastAsia="宋体" w:cs="宋体"/>
          <w:i w:val="0"/>
          <w:iCs w:val="0"/>
          <w:caps w:val="0"/>
          <w:color w:val="auto"/>
          <w:spacing w:val="0"/>
          <w:kern w:val="2"/>
          <w:sz w:val="24"/>
          <w:szCs w:val="24"/>
          <w:highlight w:val="none"/>
          <w:shd w:val="clear" w:color="auto" w:fill="FFFFFF"/>
          <w:lang w:val="en-US" w:eastAsia="zh-CN" w:bidi="ar-SA"/>
        </w:rPr>
        <w:t>&gt;</w:t>
      </w:r>
      <w:r>
        <w:rPr>
          <w:rFonts w:hint="eastAsia" w:ascii="宋体" w:hAnsi="宋体" w:eastAsia="宋体" w:cs="宋体"/>
          <w:color w:val="auto"/>
          <w:spacing w:val="-11"/>
          <w:kern w:val="2"/>
          <w:sz w:val="24"/>
          <w:szCs w:val="24"/>
          <w:highlight w:val="none"/>
          <w:lang w:val="en-US" w:eastAsia="zh-CN" w:bidi="ar-SA"/>
        </w:rPr>
        <w:t>135mm</w:t>
      </w:r>
      <w:r>
        <w:rPr>
          <w:rFonts w:hint="eastAsia" w:ascii="宋体" w:hAnsi="宋体" w:eastAsia="宋体" w:cs="宋体"/>
          <w:snapToGrid w:val="0"/>
          <w:color w:val="auto"/>
          <w:spacing w:val="-2"/>
          <w:kern w:val="2"/>
          <w:sz w:val="24"/>
          <w:szCs w:val="24"/>
          <w:highlight w:val="none"/>
          <w:lang w:val="en-US" w:eastAsia="en-US" w:bidi="ar-SA"/>
        </w:rPr>
        <w:t>）。</w:t>
      </w:r>
    </w:p>
    <w:p w14:paraId="28016BB7">
      <w:pPr>
        <w:spacing w:beforeLines="0" w:afterLines="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多功能马甲</w:t>
      </w:r>
    </w:p>
    <w:p w14:paraId="7196206E">
      <w:pPr>
        <w:widowControl w:val="0"/>
        <w:spacing w:before="1" w:beforeLines="0" w:afterLines="0" w:line="278" w:lineRule="auto"/>
        <w:ind w:left="109" w:right="47" w:firstLine="21"/>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▲（1）面料采用、透气的采用三层复合锦纶短纤维塔丝龙牛津纺布料，颜色为</w:t>
      </w:r>
      <w:r>
        <w:rPr>
          <w:rFonts w:hint="eastAsia" w:ascii="宋体" w:hAnsi="宋体" w:eastAsia="宋体" w:cs="宋体"/>
          <w:color w:val="auto"/>
          <w:spacing w:val="-5"/>
          <w:kern w:val="2"/>
          <w:sz w:val="24"/>
          <w:szCs w:val="24"/>
          <w:highlight w:val="none"/>
          <w:lang w:val="en-US" w:eastAsia="zh-CN" w:bidi="ar-SA"/>
        </w:rPr>
        <w:t>哈佛红/藏青色；表面处理，背面复合乳白色透湿 TPU 膜，耐静水压16730kPa/mi</w:t>
      </w:r>
      <w:r>
        <w:rPr>
          <w:rFonts w:hint="eastAsia" w:ascii="宋体" w:hAnsi="宋体" w:eastAsia="宋体" w:cs="宋体"/>
          <w:color w:val="auto"/>
          <w:spacing w:val="-6"/>
          <w:kern w:val="2"/>
          <w:sz w:val="24"/>
          <w:szCs w:val="24"/>
          <w:highlight w:val="none"/>
          <w:lang w:val="en-US" w:eastAsia="zh-CN" w:bidi="ar-SA"/>
        </w:rPr>
        <w:t>n，</w:t>
      </w:r>
      <w:r>
        <w:rPr>
          <w:rFonts w:hint="eastAsia" w:ascii="宋体" w:hAnsi="宋体" w:eastAsia="宋体" w:cs="宋体"/>
          <w:color w:val="auto"/>
          <w:spacing w:val="-2"/>
          <w:kern w:val="2"/>
          <w:sz w:val="24"/>
          <w:szCs w:val="24"/>
          <w:highlight w:val="none"/>
          <w:lang w:val="en-US" w:eastAsia="zh-CN" w:bidi="ar-SA"/>
        </w:rPr>
        <w:t>透湿量14367g/（㎡ d</w:t>
      </w:r>
      <w:r>
        <w:rPr>
          <w:rFonts w:hint="eastAsia" w:ascii="宋体" w:hAnsi="宋体" w:eastAsia="宋体" w:cs="宋体"/>
          <w:color w:val="auto"/>
          <w:spacing w:val="7"/>
          <w:kern w:val="2"/>
          <w:sz w:val="24"/>
          <w:szCs w:val="24"/>
          <w:highlight w:val="none"/>
          <w:lang w:val="en-US" w:eastAsia="zh-CN" w:bidi="ar-SA"/>
        </w:rPr>
        <w:t>）、</w:t>
      </w:r>
      <w:r>
        <w:rPr>
          <w:rFonts w:hint="eastAsia" w:ascii="宋体" w:hAnsi="宋体" w:eastAsia="宋体" w:cs="宋体"/>
          <w:color w:val="auto"/>
          <w:spacing w:val="-2"/>
          <w:kern w:val="2"/>
          <w:sz w:val="24"/>
          <w:szCs w:val="24"/>
          <w:highlight w:val="none"/>
          <w:lang w:val="en-US" w:eastAsia="zh-CN" w:bidi="ar-SA"/>
        </w:rPr>
        <w:t>表面抗湿性≥4</w:t>
      </w:r>
      <w:r>
        <w:rPr>
          <w:rFonts w:hint="eastAsia" w:ascii="宋体" w:hAnsi="宋体" w:eastAsia="宋体" w:cs="宋体"/>
          <w:color w:val="auto"/>
          <w:spacing w:val="-32"/>
          <w:kern w:val="2"/>
          <w:sz w:val="24"/>
          <w:szCs w:val="24"/>
          <w:highlight w:val="none"/>
          <w:lang w:val="en-US" w:eastAsia="zh-CN" w:bidi="ar-SA"/>
        </w:rPr>
        <w:t xml:space="preserve"> </w:t>
      </w:r>
      <w:r>
        <w:rPr>
          <w:rFonts w:hint="eastAsia" w:ascii="宋体" w:hAnsi="宋体" w:eastAsia="宋体" w:cs="宋体"/>
          <w:color w:val="auto"/>
          <w:spacing w:val="-2"/>
          <w:kern w:val="2"/>
          <w:sz w:val="24"/>
          <w:szCs w:val="24"/>
          <w:highlight w:val="none"/>
          <w:lang w:val="en-US" w:eastAsia="zh-CN" w:bidi="ar-SA"/>
        </w:rPr>
        <w:t>级。</w:t>
      </w:r>
    </w:p>
    <w:p w14:paraId="52E2C4AE">
      <w:pPr>
        <w:widowControl w:val="0"/>
        <w:spacing w:before="84" w:beforeLines="0" w:afterLines="0" w:line="220" w:lineRule="auto"/>
        <w:ind w:left="1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（2）使用3M 视觉丽反光条进行横向分割，充分野外工作的要求。</w:t>
      </w:r>
    </w:p>
    <w:p w14:paraId="1B8BD2D9">
      <w:pPr>
        <w:widowControl w:val="0"/>
        <w:spacing w:before="68" w:beforeLines="0" w:afterLines="0" w:line="260" w:lineRule="auto"/>
        <w:ind w:left="111" w:right="97" w:firstLine="2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▲（3）里料采用 210T 单面涂覆涤丝绸；涤纶长丝绸；背单面喷涂聚甲基丙烯</w:t>
      </w:r>
      <w:r>
        <w:rPr>
          <w:rFonts w:hint="eastAsia" w:ascii="宋体" w:hAnsi="宋体" w:eastAsia="宋体" w:cs="宋体"/>
          <w:color w:val="auto"/>
          <w:spacing w:val="-2"/>
          <w:kern w:val="2"/>
          <w:sz w:val="24"/>
          <w:szCs w:val="24"/>
          <w:highlight w:val="none"/>
          <w:lang w:val="en-US" w:eastAsia="zh-CN" w:bidi="ar-SA"/>
        </w:rPr>
        <w:t>酸酯，克重104gm/㎡。</w:t>
      </w:r>
    </w:p>
    <w:p w14:paraId="775EF904">
      <w:pPr>
        <w:widowControl w:val="0"/>
        <w:spacing w:before="84" w:beforeLines="0" w:afterLines="0" w:line="220" w:lineRule="auto"/>
        <w:ind w:left="115"/>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▲（4）左胸上部位置标识为“</w:t>
      </w:r>
      <w:r>
        <w:rPr>
          <w:rFonts w:hint="eastAsia" w:ascii="宋体" w:hAnsi="宋体" w:eastAsia="宋体" w:cs="宋体"/>
          <w:color w:val="auto"/>
          <w:spacing w:val="-59"/>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中国卫生（竖向标准组合</w:t>
      </w:r>
      <w:r>
        <w:rPr>
          <w:rFonts w:hint="eastAsia" w:ascii="宋体" w:hAnsi="宋体" w:eastAsia="宋体" w:cs="宋体"/>
          <w:color w:val="auto"/>
          <w:spacing w:val="-1"/>
          <w:kern w:val="2"/>
          <w:sz w:val="24"/>
          <w:szCs w:val="24"/>
          <w:highlight w:val="none"/>
          <w:lang w:val="en-US" w:eastAsia="zh-CN" w:bidi="ar-SA"/>
        </w:rPr>
        <w:t>）</w:t>
      </w:r>
      <w:r>
        <w:rPr>
          <w:rFonts w:hint="eastAsia" w:ascii="宋体" w:hAnsi="宋体" w:eastAsia="宋体" w:cs="宋体"/>
          <w:color w:val="auto"/>
          <w:spacing w:val="-54"/>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”图案或采购人指定</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标识，背部标识为 3M 视觉丽热转移反光膜制成的银色反光字（中国卫生 CHINA HEALTH 或采购人指定标识）。马甲肩部、腰部、背部设计有反光带。</w:t>
      </w:r>
    </w:p>
    <w:p w14:paraId="47EB12B7">
      <w:pPr>
        <w:spacing w:beforeLines="0" w:afterLines="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val="0"/>
          <w:bCs w:val="0"/>
          <w:color w:val="auto"/>
          <w:sz w:val="24"/>
          <w:szCs w:val="24"/>
          <w:highlight w:val="none"/>
        </w:rPr>
        <w:t>应急T恤衫（短袖）</w:t>
      </w:r>
    </w:p>
    <w:p w14:paraId="103948BC">
      <w:pPr>
        <w:widowControl w:val="0"/>
        <w:spacing w:beforeLines="0" w:afterLines="0" w:line="221"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▲（1）面料：速干针织布，颜色白色，克</w:t>
      </w:r>
      <w:r>
        <w:rPr>
          <w:rFonts w:hint="eastAsia" w:ascii="宋体" w:hAnsi="宋体" w:eastAsia="宋体" w:cs="宋体"/>
          <w:color w:val="auto"/>
          <w:spacing w:val="-3"/>
          <w:kern w:val="2"/>
          <w:sz w:val="24"/>
          <w:szCs w:val="24"/>
          <w:highlight w:val="none"/>
          <w:lang w:val="en-US" w:eastAsia="zh-CN" w:bidi="ar-SA"/>
        </w:rPr>
        <w:t>重243g/㎡</w:t>
      </w:r>
    </w:p>
    <w:p w14:paraId="5E9AC276">
      <w:pPr>
        <w:widowControl w:val="0"/>
        <w:numPr>
          <w:ilvl w:val="0"/>
          <w:numId w:val="0"/>
        </w:numPr>
        <w:spacing w:before="54" w:beforeLines="0" w:afterLines="0" w:line="220" w:lineRule="auto"/>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（2）</w:t>
      </w:r>
      <w:r>
        <w:rPr>
          <w:rFonts w:hint="eastAsia" w:ascii="宋体" w:hAnsi="宋体" w:eastAsia="宋体" w:cs="宋体"/>
          <w:color w:val="auto"/>
          <w:spacing w:val="-7"/>
          <w:kern w:val="2"/>
          <w:sz w:val="24"/>
          <w:szCs w:val="24"/>
          <w:highlight w:val="none"/>
          <w:lang w:val="en-US" w:eastAsia="zh-CN" w:bidi="ar-SA"/>
        </w:rPr>
        <w:t xml:space="preserve">无纺布衬：领、袖口，8505#  </w:t>
      </w:r>
    </w:p>
    <w:p w14:paraId="23F53F3D">
      <w:pPr>
        <w:widowControl w:val="0"/>
        <w:numPr>
          <w:ilvl w:val="0"/>
          <w:numId w:val="0"/>
        </w:numPr>
        <w:spacing w:before="54" w:beforeLines="0" w:afterLines="0" w:line="220" w:lineRule="auto"/>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（3）</w:t>
      </w:r>
      <w:r>
        <w:rPr>
          <w:rFonts w:hint="eastAsia" w:ascii="宋体" w:hAnsi="宋体" w:eastAsia="宋体" w:cs="宋体"/>
          <w:color w:val="auto"/>
          <w:spacing w:val="-2"/>
          <w:kern w:val="2"/>
          <w:sz w:val="24"/>
          <w:szCs w:val="24"/>
          <w:highlight w:val="none"/>
          <w:lang w:val="en-US" w:eastAsia="zh-CN" w:bidi="ar-SA"/>
        </w:rPr>
        <w:t>缝纫线：全件缝制，100%涤纶</w:t>
      </w:r>
      <w:r>
        <w:rPr>
          <w:rFonts w:hint="eastAsia" w:ascii="宋体" w:hAnsi="宋体" w:eastAsia="宋体" w:cs="宋体"/>
          <w:color w:val="auto"/>
          <w:spacing w:val="-29"/>
          <w:kern w:val="2"/>
          <w:sz w:val="24"/>
          <w:szCs w:val="24"/>
          <w:highlight w:val="none"/>
          <w:lang w:val="en-US" w:eastAsia="zh-CN" w:bidi="ar-SA"/>
        </w:rPr>
        <w:t xml:space="preserve"> </w:t>
      </w:r>
      <w:r>
        <w:rPr>
          <w:rFonts w:hint="eastAsia" w:ascii="宋体" w:hAnsi="宋体" w:eastAsia="宋体" w:cs="宋体"/>
          <w:color w:val="auto"/>
          <w:spacing w:val="-2"/>
          <w:kern w:val="2"/>
          <w:sz w:val="24"/>
          <w:szCs w:val="24"/>
          <w:highlight w:val="none"/>
          <w:lang w:val="en-US" w:eastAsia="zh-CN" w:bidi="ar-SA"/>
        </w:rPr>
        <w:t>11</w:t>
      </w:r>
      <w:r>
        <w:rPr>
          <w:rFonts w:hint="eastAsia" w:ascii="宋体" w:hAnsi="宋体" w:eastAsia="宋体" w:cs="宋体"/>
          <w:color w:val="auto"/>
          <w:spacing w:val="-3"/>
          <w:kern w:val="2"/>
          <w:sz w:val="24"/>
          <w:szCs w:val="24"/>
          <w:highlight w:val="none"/>
          <w:lang w:val="en-US" w:eastAsia="zh-CN" w:bidi="ar-SA"/>
        </w:rPr>
        <w:t>.8tex</w:t>
      </w:r>
      <w:r>
        <w:rPr>
          <w:rFonts w:hint="eastAsia" w:ascii="宋体" w:hAnsi="宋体" w:eastAsia="宋体" w:cs="宋体"/>
          <w:color w:val="auto"/>
          <w:spacing w:val="-38"/>
          <w:kern w:val="2"/>
          <w:sz w:val="24"/>
          <w:szCs w:val="24"/>
          <w:highlight w:val="none"/>
          <w:lang w:val="en-US" w:eastAsia="zh-CN" w:bidi="ar-SA"/>
        </w:rPr>
        <w:t xml:space="preserve"> </w:t>
      </w:r>
      <w:r>
        <w:rPr>
          <w:rFonts w:hint="eastAsia" w:ascii="宋体" w:hAnsi="宋体" w:eastAsia="宋体" w:cs="宋体"/>
          <w:color w:val="auto"/>
          <w:spacing w:val="-3"/>
          <w:kern w:val="2"/>
          <w:sz w:val="24"/>
          <w:szCs w:val="24"/>
          <w:highlight w:val="none"/>
          <w:lang w:val="en-US" w:eastAsia="zh-CN" w:bidi="ar-SA"/>
        </w:rPr>
        <w:t>X</w:t>
      </w:r>
      <w:r>
        <w:rPr>
          <w:rFonts w:hint="eastAsia" w:ascii="宋体" w:hAnsi="宋体" w:eastAsia="宋体" w:cs="宋体"/>
          <w:color w:val="auto"/>
          <w:spacing w:val="-37"/>
          <w:kern w:val="2"/>
          <w:sz w:val="24"/>
          <w:szCs w:val="24"/>
          <w:highlight w:val="none"/>
          <w:lang w:val="en-US" w:eastAsia="zh-CN" w:bidi="ar-SA"/>
        </w:rPr>
        <w:t xml:space="preserve"> </w:t>
      </w:r>
      <w:r>
        <w:rPr>
          <w:rFonts w:hint="eastAsia" w:ascii="宋体" w:hAnsi="宋体" w:eastAsia="宋体" w:cs="宋体"/>
          <w:color w:val="auto"/>
          <w:spacing w:val="-3"/>
          <w:kern w:val="2"/>
          <w:sz w:val="24"/>
          <w:szCs w:val="24"/>
          <w:highlight w:val="none"/>
          <w:lang w:val="en-US" w:eastAsia="zh-CN" w:bidi="ar-SA"/>
        </w:rPr>
        <w:t>3</w:t>
      </w:r>
    </w:p>
    <w:p w14:paraId="0E2D461C">
      <w:pPr>
        <w:widowControl w:val="0"/>
        <w:numPr>
          <w:ilvl w:val="0"/>
          <w:numId w:val="0"/>
        </w:numPr>
        <w:spacing w:before="54" w:beforeLines="0" w:afterLines="0" w:line="220" w:lineRule="auto"/>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(4）背部上方标识为红色字体:中国卫生C</w:t>
      </w:r>
      <w:r>
        <w:rPr>
          <w:rFonts w:hint="eastAsia" w:ascii="宋体" w:hAnsi="宋体" w:eastAsia="宋体" w:cs="宋体"/>
          <w:color w:val="auto"/>
          <w:spacing w:val="-2"/>
          <w:kern w:val="2"/>
          <w:sz w:val="24"/>
          <w:szCs w:val="24"/>
          <w:highlight w:val="none"/>
          <w:lang w:val="en-US" w:eastAsia="zh-CN" w:bidi="ar-SA"/>
        </w:rPr>
        <w:t>HINA HEALTH 或采购人指定标识</w:t>
      </w:r>
    </w:p>
    <w:p w14:paraId="5A2883DD">
      <w:pPr>
        <w:adjustRightInd w:val="0"/>
        <w:snapToGrid w:val="0"/>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2"/>
          <w:sz w:val="24"/>
          <w:szCs w:val="24"/>
          <w:highlight w:val="none"/>
        </w:rPr>
        <w:t>（5）面料耐水</w:t>
      </w:r>
      <w:r>
        <w:rPr>
          <w:rFonts w:hint="eastAsia" w:ascii="宋体" w:hAnsi="宋体" w:eastAsia="宋体" w:cs="宋体"/>
          <w:color w:val="auto"/>
          <w:spacing w:val="-2"/>
          <w:sz w:val="24"/>
          <w:szCs w:val="24"/>
          <w:highlight w:val="none"/>
          <w:lang w:val="en-US" w:eastAsia="zh-CN"/>
        </w:rPr>
        <w:t>4-5</w:t>
      </w:r>
      <w:r>
        <w:rPr>
          <w:rFonts w:hint="eastAsia" w:ascii="宋体" w:hAnsi="宋体" w:eastAsia="宋体" w:cs="宋体"/>
          <w:color w:val="auto"/>
          <w:spacing w:val="-2"/>
          <w:sz w:val="24"/>
          <w:szCs w:val="24"/>
          <w:highlight w:val="none"/>
        </w:rPr>
        <w:t xml:space="preserve"> 级、耐酸碱汗渍</w:t>
      </w:r>
      <w:r>
        <w:rPr>
          <w:rFonts w:hint="eastAsia" w:ascii="宋体" w:hAnsi="宋体" w:eastAsia="宋体" w:cs="宋体"/>
          <w:color w:val="auto"/>
          <w:spacing w:val="-2"/>
          <w:sz w:val="24"/>
          <w:szCs w:val="24"/>
          <w:highlight w:val="none"/>
          <w:lang w:val="en-US" w:eastAsia="zh-CN"/>
        </w:rPr>
        <w:t>4-5</w:t>
      </w:r>
      <w:r>
        <w:rPr>
          <w:rFonts w:hint="eastAsia" w:ascii="宋体" w:hAnsi="宋体" w:eastAsia="宋体" w:cs="宋体"/>
          <w:color w:val="auto"/>
          <w:spacing w:val="-2"/>
          <w:sz w:val="24"/>
          <w:szCs w:val="24"/>
          <w:highlight w:val="none"/>
        </w:rPr>
        <w:t>级、耐摩擦色牢度</w:t>
      </w:r>
      <w:r>
        <w:rPr>
          <w:rFonts w:hint="eastAsia" w:ascii="宋体" w:hAnsi="宋体" w:eastAsia="宋体" w:cs="宋体"/>
          <w:color w:val="auto"/>
          <w:spacing w:val="-2"/>
          <w:sz w:val="24"/>
          <w:szCs w:val="24"/>
          <w:highlight w:val="none"/>
          <w:lang w:val="en-US" w:eastAsia="zh-CN"/>
        </w:rPr>
        <w:t>4-5</w:t>
      </w:r>
      <w:r>
        <w:rPr>
          <w:rFonts w:hint="eastAsia" w:ascii="宋体" w:hAnsi="宋体" w:eastAsia="宋体" w:cs="宋体"/>
          <w:color w:val="auto"/>
          <w:spacing w:val="-2"/>
          <w:sz w:val="24"/>
          <w:szCs w:val="24"/>
          <w:highlight w:val="none"/>
        </w:rPr>
        <w:t xml:space="preserve"> 级。</w:t>
      </w:r>
    </w:p>
    <w:p w14:paraId="4C6928A9">
      <w:pPr>
        <w:spacing w:beforeLines="0" w:afterLines="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应急帽</w:t>
      </w:r>
    </w:p>
    <w:p w14:paraId="6C935872">
      <w:pPr>
        <w:widowControl w:val="0"/>
        <w:spacing w:before="99" w:beforeLines="0" w:afterLines="0" w:line="220" w:lineRule="auto"/>
        <w:ind w:left="115"/>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（1）采用精梳涤棉混纺面料，吸湿透气。全部为深藏蓝色。</w:t>
      </w:r>
    </w:p>
    <w:p w14:paraId="0AD72449">
      <w:pPr>
        <w:widowControl w:val="0"/>
        <w:spacing w:before="99" w:beforeLines="0" w:afterLines="0" w:line="220" w:lineRule="auto"/>
        <w:ind w:left="115"/>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 xml:space="preserve">（2）采用棒球帽款式，帽子侧面设计有小袢，便于携挂话筒等设备。 </w:t>
      </w:r>
    </w:p>
    <w:p w14:paraId="727B1794">
      <w:pPr>
        <w:widowControl w:val="0"/>
        <w:spacing w:before="99" w:beforeLines="0" w:afterLines="0" w:line="220" w:lineRule="auto"/>
        <w:ind w:left="115"/>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（3）单一尺寸规格，可以调节后部松紧拉扣以保证头型符合度。</w:t>
      </w:r>
    </w:p>
    <w:p w14:paraId="4EF26CF8">
      <w:pPr>
        <w:widowControl w:val="0"/>
        <w:spacing w:before="99" w:beforeLines="0" w:afterLines="0" w:line="220" w:lineRule="auto"/>
        <w:ind w:left="115"/>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（4）帽子有新疆卫生标识，采用多彩立体电脑绣花制作，样式符合卫生系统统一 标识的要求，颜色采用金光红。</w:t>
      </w:r>
    </w:p>
    <w:p w14:paraId="3658746D">
      <w:pPr>
        <w:widowControl w:val="0"/>
        <w:spacing w:before="99" w:beforeLines="0" w:afterLines="0" w:line="220" w:lineRule="auto"/>
        <w:ind w:left="115"/>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▲（5）面料色牢度：耐水4-5 级、耐酸碱汗渍耐水4-5 级、耐摩擦色牢度4级。</w:t>
      </w:r>
    </w:p>
    <w:p w14:paraId="6B329C6D">
      <w:pPr>
        <w:widowControl w:val="0"/>
        <w:spacing w:before="23" w:beforeLines="0" w:afterLines="0" w:line="318" w:lineRule="auto"/>
        <w:ind w:left="111" w:right="99" w:firstLine="4"/>
        <w:jc w:val="both"/>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9、臂章</w:t>
      </w:r>
    </w:p>
    <w:p w14:paraId="19FE835A">
      <w:pPr>
        <w:widowControl w:val="0"/>
        <w:spacing w:before="65" w:beforeLines="0" w:afterLines="0" w:line="297" w:lineRule="auto"/>
        <w:ind w:left="111" w:right="97" w:firstLine="4"/>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（1）应急臂章：臂章正面中间位置印有“红花白十字</w:t>
      </w:r>
      <w:r>
        <w:rPr>
          <w:rFonts w:hint="eastAsia" w:ascii="宋体" w:hAnsi="宋体" w:eastAsia="宋体" w:cs="宋体"/>
          <w:color w:val="auto"/>
          <w:spacing w:val="-60"/>
          <w:kern w:val="2"/>
          <w:sz w:val="24"/>
          <w:szCs w:val="24"/>
          <w:highlight w:val="none"/>
          <w:lang w:val="en-US" w:eastAsia="zh-CN" w:bidi="ar-SA"/>
        </w:rPr>
        <w:t xml:space="preserve"> </w:t>
      </w:r>
      <w:r>
        <w:rPr>
          <w:rFonts w:hint="eastAsia" w:ascii="宋体" w:hAnsi="宋体" w:eastAsia="宋体" w:cs="宋体"/>
          <w:color w:val="auto"/>
          <w:spacing w:val="-2"/>
          <w:kern w:val="2"/>
          <w:sz w:val="24"/>
          <w:szCs w:val="24"/>
          <w:highlight w:val="none"/>
          <w:lang w:val="en-US" w:eastAsia="zh-CN" w:bidi="ar-SA"/>
        </w:rPr>
        <w:t>”图</w:t>
      </w:r>
      <w:r>
        <w:rPr>
          <w:rFonts w:hint="eastAsia" w:ascii="宋体" w:hAnsi="宋体" w:eastAsia="宋体" w:cs="宋体"/>
          <w:color w:val="auto"/>
          <w:spacing w:val="-3"/>
          <w:kern w:val="2"/>
          <w:sz w:val="24"/>
          <w:szCs w:val="24"/>
          <w:highlight w:val="none"/>
          <w:lang w:val="en-US" w:eastAsia="zh-CN" w:bidi="ar-SA"/>
        </w:rPr>
        <w:t>案；图案上面印有“</w:t>
      </w:r>
      <w:r>
        <w:rPr>
          <w:rFonts w:hint="eastAsia" w:ascii="宋体" w:hAnsi="宋体" w:eastAsia="宋体" w:cs="宋体"/>
          <w:color w:val="auto"/>
          <w:spacing w:val="-61"/>
          <w:kern w:val="2"/>
          <w:sz w:val="24"/>
          <w:szCs w:val="24"/>
          <w:highlight w:val="none"/>
          <w:lang w:val="en-US" w:eastAsia="zh-CN" w:bidi="ar-SA"/>
        </w:rPr>
        <w:t xml:space="preserve"> </w:t>
      </w:r>
      <w:r>
        <w:rPr>
          <w:rFonts w:hint="eastAsia" w:ascii="宋体" w:hAnsi="宋体" w:eastAsia="宋体" w:cs="宋体"/>
          <w:color w:val="auto"/>
          <w:spacing w:val="-3"/>
          <w:kern w:val="2"/>
          <w:sz w:val="24"/>
          <w:szCs w:val="24"/>
          <w:highlight w:val="none"/>
          <w:lang w:val="en-US" w:eastAsia="zh-CN" w:bidi="ar-SA"/>
        </w:rPr>
        <w:t>中</w:t>
      </w:r>
      <w:r>
        <w:rPr>
          <w:rFonts w:hint="eastAsia" w:ascii="宋体" w:hAnsi="宋体" w:eastAsia="宋体" w:cs="宋体"/>
          <w:color w:val="auto"/>
          <w:kern w:val="2"/>
          <w:sz w:val="24"/>
          <w:szCs w:val="24"/>
          <w:highlight w:val="none"/>
          <w:lang w:val="en-US" w:eastAsia="zh-CN" w:bidi="ar-SA"/>
        </w:rPr>
        <w:t>国卫生</w:t>
      </w:r>
      <w:r>
        <w:rPr>
          <w:rFonts w:hint="eastAsia" w:ascii="宋体" w:hAnsi="宋体" w:eastAsia="宋体" w:cs="宋体"/>
          <w:color w:val="auto"/>
          <w:spacing w:val="-57"/>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”（新疆</w:t>
      </w:r>
      <w:r>
        <w:rPr>
          <w:rFonts w:hint="eastAsia" w:ascii="宋体" w:hAnsi="宋体" w:eastAsia="宋体" w:cs="宋体"/>
          <w:color w:val="auto"/>
          <w:spacing w:val="3"/>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图案下面一行印有文字说明队伍处置类别（传染病控制</w:t>
      </w:r>
      <w:r>
        <w:rPr>
          <w:rFonts w:hint="eastAsia" w:ascii="宋体" w:hAnsi="宋体" w:eastAsia="宋体" w:cs="宋体"/>
          <w:color w:val="auto"/>
          <w:spacing w:val="3"/>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spacing w:val="-2"/>
          <w:kern w:val="2"/>
          <w:sz w:val="24"/>
          <w:szCs w:val="24"/>
          <w:highlight w:val="none"/>
          <w:lang w:val="en-US" w:eastAsia="zh-CN" w:bidi="ar-SA"/>
        </w:rPr>
        <w:t>两侧设计有环绕的麦穗图案。</w:t>
      </w:r>
    </w:p>
    <w:p w14:paraId="5F7237FF">
      <w:pPr>
        <w:widowControl w:val="0"/>
        <w:spacing w:before="65" w:beforeLines="0" w:afterLines="0" w:line="297" w:lineRule="auto"/>
        <w:ind w:left="111" w:right="97" w:firstLine="4"/>
        <w:jc w:val="both"/>
        <w:rPr>
          <w:rFonts w:hint="eastAsia" w:ascii="宋体" w:hAnsi="宋体" w:eastAsia="宋体" w:cs="宋体"/>
          <w:color w:val="auto"/>
          <w:spacing w:val="14"/>
          <w:kern w:val="2"/>
          <w:sz w:val="24"/>
          <w:szCs w:val="24"/>
          <w:highlight w:val="none"/>
          <w:lang w:val="en-US" w:eastAsia="zh-CN" w:bidi="ar-SA"/>
        </w:rPr>
      </w:pPr>
      <w:r>
        <w:rPr>
          <w:rFonts w:hint="eastAsia" w:ascii="宋体" w:hAnsi="宋体" w:eastAsia="宋体" w:cs="宋体"/>
          <w:color w:val="auto"/>
          <w:spacing w:val="14"/>
          <w:kern w:val="2"/>
          <w:sz w:val="24"/>
          <w:szCs w:val="24"/>
          <w:highlight w:val="none"/>
          <w:lang w:val="en-US" w:eastAsia="zh-CN" w:bidi="ar-SA"/>
        </w:rPr>
        <w:t>（2）尺寸：80</w:t>
      </w:r>
      <w:r>
        <w:rPr>
          <w:rFonts w:hint="eastAsia" w:ascii="宋体" w:hAnsi="宋体" w:eastAsia="宋体" w:cs="宋体"/>
          <w:color w:val="auto"/>
          <w:kern w:val="2"/>
          <w:sz w:val="24"/>
          <w:szCs w:val="24"/>
          <w:highlight w:val="none"/>
          <w:lang w:val="en-US" w:eastAsia="zh-CN" w:bidi="ar-SA"/>
        </w:rPr>
        <w:t>mm</w:t>
      </w:r>
      <w:r>
        <w:rPr>
          <w:rFonts w:hint="eastAsia" w:ascii="宋体" w:hAnsi="宋体" w:eastAsia="宋体" w:cs="宋体"/>
          <w:color w:val="auto"/>
          <w:spacing w:val="14"/>
          <w:kern w:val="2"/>
          <w:sz w:val="24"/>
          <w:szCs w:val="24"/>
          <w:highlight w:val="none"/>
          <w:lang w:val="en-US" w:eastAsia="zh-CN" w:bidi="ar-SA"/>
        </w:rPr>
        <w:t>*100</w:t>
      </w:r>
      <w:r>
        <w:rPr>
          <w:rFonts w:hint="eastAsia" w:ascii="宋体" w:hAnsi="宋体" w:eastAsia="宋体" w:cs="宋体"/>
          <w:color w:val="auto"/>
          <w:kern w:val="2"/>
          <w:sz w:val="24"/>
          <w:szCs w:val="24"/>
          <w:highlight w:val="none"/>
          <w:lang w:val="en-US" w:eastAsia="zh-CN" w:bidi="ar-SA"/>
        </w:rPr>
        <w:t>mm</w:t>
      </w:r>
      <w:r>
        <w:rPr>
          <w:rFonts w:hint="eastAsia" w:ascii="宋体" w:hAnsi="宋体" w:eastAsia="宋体" w:cs="宋体"/>
          <w:color w:val="auto"/>
          <w:spacing w:val="14"/>
          <w:kern w:val="2"/>
          <w:sz w:val="24"/>
          <w:szCs w:val="24"/>
          <w:highlight w:val="none"/>
          <w:lang w:val="en-US" w:eastAsia="zh-CN" w:bidi="ar-SA"/>
        </w:rPr>
        <w:t>。</w:t>
      </w:r>
    </w:p>
    <w:p w14:paraId="6D5E32FD">
      <w:pPr>
        <w:widowControl w:val="0"/>
        <w:spacing w:before="65" w:beforeLines="0" w:afterLines="0" w:line="297" w:lineRule="auto"/>
        <w:ind w:left="111" w:right="97" w:firstLine="4"/>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（3）臂章加入弧度定型设计，提高臂章与服装/手臂的贴合度；改进臂章内</w:t>
      </w:r>
      <w:r>
        <w:rPr>
          <w:rFonts w:hint="eastAsia" w:ascii="宋体" w:hAnsi="宋体" w:eastAsia="宋体" w:cs="宋体"/>
          <w:color w:val="auto"/>
          <w:kern w:val="2"/>
          <w:sz w:val="24"/>
          <w:szCs w:val="24"/>
          <w:highlight w:val="none"/>
          <w:lang w:val="en-US" w:eastAsia="zh-CN" w:bidi="ar-SA"/>
        </w:rPr>
        <w:t>衬板</w:t>
      </w:r>
      <w:r>
        <w:rPr>
          <w:rFonts w:hint="eastAsia" w:ascii="宋体" w:hAnsi="宋体" w:eastAsia="宋体" w:cs="宋体"/>
          <w:color w:val="auto"/>
          <w:spacing w:val="-1"/>
          <w:kern w:val="2"/>
          <w:sz w:val="24"/>
          <w:szCs w:val="24"/>
          <w:highlight w:val="none"/>
          <w:lang w:val="en-US" w:eastAsia="zh-CN" w:bidi="ar-SA"/>
        </w:rPr>
        <w:t>材料，提高臂章的保型性。</w:t>
      </w:r>
    </w:p>
    <w:p w14:paraId="444AA7C4">
      <w:pPr>
        <w:widowControl w:val="0"/>
        <w:spacing w:before="65" w:beforeLines="0" w:afterLines="0" w:line="297" w:lineRule="auto"/>
        <w:ind w:left="111" w:right="97" w:firstLine="4"/>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（4）臂章属定制产品，单位可根据实际需求做更改。</w:t>
      </w:r>
    </w:p>
    <w:p w14:paraId="2E945A00">
      <w:pPr>
        <w:widowControl w:val="0"/>
        <w:spacing w:before="65" w:beforeLines="0" w:afterLines="0" w:line="297" w:lineRule="auto"/>
        <w:ind w:left="111" w:right="97" w:firstLine="4"/>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（5）颜色规范：</w:t>
      </w:r>
      <w:r>
        <w:rPr>
          <w:rFonts w:hint="eastAsia" w:ascii="宋体" w:hAnsi="宋体" w:eastAsia="宋体" w:cs="宋体"/>
          <w:color w:val="auto"/>
          <w:spacing w:val="-8"/>
          <w:kern w:val="2"/>
          <w:sz w:val="24"/>
          <w:szCs w:val="24"/>
          <w:highlight w:val="none"/>
          <w:lang w:val="en-US" w:eastAsia="zh-CN" w:bidi="ar-SA"/>
        </w:rPr>
        <w:t>C:0</w:t>
      </w:r>
      <w:r>
        <w:rPr>
          <w:rFonts w:hint="eastAsia" w:ascii="宋体" w:hAnsi="宋体" w:eastAsia="宋体" w:cs="宋体"/>
          <w:color w:val="auto"/>
          <w:spacing w:val="58"/>
          <w:kern w:val="2"/>
          <w:sz w:val="24"/>
          <w:szCs w:val="24"/>
          <w:highlight w:val="none"/>
          <w:lang w:val="en-US" w:eastAsia="zh-CN" w:bidi="ar-SA"/>
        </w:rPr>
        <w:t xml:space="preserve"> </w:t>
      </w:r>
      <w:r>
        <w:rPr>
          <w:rFonts w:hint="eastAsia" w:ascii="宋体" w:hAnsi="宋体" w:eastAsia="宋体" w:cs="宋体"/>
          <w:color w:val="auto"/>
          <w:spacing w:val="-8"/>
          <w:kern w:val="2"/>
          <w:sz w:val="24"/>
          <w:szCs w:val="24"/>
          <w:highlight w:val="none"/>
          <w:lang w:val="en-US" w:eastAsia="zh-CN" w:bidi="ar-SA"/>
        </w:rPr>
        <w:t>M:100</w:t>
      </w:r>
      <w:r>
        <w:rPr>
          <w:rFonts w:hint="eastAsia" w:ascii="宋体" w:hAnsi="宋体" w:eastAsia="宋体" w:cs="宋体"/>
          <w:color w:val="auto"/>
          <w:spacing w:val="40"/>
          <w:kern w:val="2"/>
          <w:sz w:val="24"/>
          <w:szCs w:val="24"/>
          <w:highlight w:val="none"/>
          <w:lang w:val="en-US" w:eastAsia="zh-CN" w:bidi="ar-SA"/>
        </w:rPr>
        <w:t xml:space="preserve"> </w:t>
      </w:r>
      <w:r>
        <w:rPr>
          <w:rFonts w:hint="eastAsia" w:ascii="宋体" w:hAnsi="宋体" w:eastAsia="宋体" w:cs="宋体"/>
          <w:color w:val="auto"/>
          <w:spacing w:val="-8"/>
          <w:kern w:val="2"/>
          <w:sz w:val="24"/>
          <w:szCs w:val="24"/>
          <w:highlight w:val="none"/>
          <w:lang w:val="en-US" w:eastAsia="zh-CN" w:bidi="ar-SA"/>
        </w:rPr>
        <w:t>Y:100</w:t>
      </w:r>
      <w:r>
        <w:rPr>
          <w:rFonts w:hint="eastAsia" w:ascii="宋体" w:hAnsi="宋体" w:eastAsia="宋体" w:cs="宋体"/>
          <w:color w:val="auto"/>
          <w:spacing w:val="51"/>
          <w:w w:val="101"/>
          <w:kern w:val="2"/>
          <w:sz w:val="24"/>
          <w:szCs w:val="24"/>
          <w:highlight w:val="none"/>
          <w:lang w:val="en-US" w:eastAsia="zh-CN" w:bidi="ar-SA"/>
        </w:rPr>
        <w:t xml:space="preserve"> </w:t>
      </w:r>
      <w:r>
        <w:rPr>
          <w:rFonts w:hint="eastAsia" w:ascii="宋体" w:hAnsi="宋体" w:eastAsia="宋体" w:cs="宋体"/>
          <w:color w:val="auto"/>
          <w:spacing w:val="-8"/>
          <w:kern w:val="2"/>
          <w:sz w:val="24"/>
          <w:szCs w:val="24"/>
          <w:highlight w:val="none"/>
          <w:lang w:val="en-US" w:eastAsia="zh-CN" w:bidi="ar-SA"/>
        </w:rPr>
        <w:t xml:space="preserve">K:0    </w:t>
      </w:r>
      <w:r>
        <w:rPr>
          <w:rFonts w:hint="eastAsia" w:ascii="宋体" w:hAnsi="宋体" w:eastAsia="宋体" w:cs="宋体"/>
          <w:color w:val="auto"/>
          <w:spacing w:val="-9"/>
          <w:kern w:val="2"/>
          <w:sz w:val="24"/>
          <w:szCs w:val="24"/>
          <w:highlight w:val="none"/>
          <w:lang w:val="en-US" w:eastAsia="zh-CN" w:bidi="ar-SA"/>
        </w:rPr>
        <w:t>C:8</w:t>
      </w:r>
      <w:r>
        <w:rPr>
          <w:rFonts w:hint="eastAsia" w:ascii="宋体" w:hAnsi="宋体" w:eastAsia="宋体" w:cs="宋体"/>
          <w:color w:val="auto"/>
          <w:spacing w:val="58"/>
          <w:kern w:val="2"/>
          <w:sz w:val="24"/>
          <w:szCs w:val="24"/>
          <w:highlight w:val="none"/>
          <w:lang w:val="en-US" w:eastAsia="zh-CN" w:bidi="ar-SA"/>
        </w:rPr>
        <w:t xml:space="preserve"> </w:t>
      </w:r>
      <w:r>
        <w:rPr>
          <w:rFonts w:hint="eastAsia" w:ascii="宋体" w:hAnsi="宋体" w:eastAsia="宋体" w:cs="宋体"/>
          <w:color w:val="auto"/>
          <w:spacing w:val="-9"/>
          <w:kern w:val="2"/>
          <w:sz w:val="24"/>
          <w:szCs w:val="24"/>
          <w:highlight w:val="none"/>
          <w:lang w:val="en-US" w:eastAsia="zh-CN" w:bidi="ar-SA"/>
        </w:rPr>
        <w:t>M:32</w:t>
      </w:r>
      <w:r>
        <w:rPr>
          <w:rFonts w:hint="eastAsia" w:ascii="宋体" w:hAnsi="宋体" w:eastAsia="宋体" w:cs="宋体"/>
          <w:color w:val="auto"/>
          <w:spacing w:val="37"/>
          <w:kern w:val="2"/>
          <w:sz w:val="24"/>
          <w:szCs w:val="24"/>
          <w:highlight w:val="none"/>
          <w:lang w:val="en-US" w:eastAsia="zh-CN" w:bidi="ar-SA"/>
        </w:rPr>
        <w:t xml:space="preserve"> </w:t>
      </w:r>
      <w:r>
        <w:rPr>
          <w:rFonts w:hint="eastAsia" w:ascii="宋体" w:hAnsi="宋体" w:eastAsia="宋体" w:cs="宋体"/>
          <w:color w:val="auto"/>
          <w:spacing w:val="-9"/>
          <w:kern w:val="2"/>
          <w:sz w:val="24"/>
          <w:szCs w:val="24"/>
          <w:highlight w:val="none"/>
          <w:lang w:val="en-US" w:eastAsia="zh-CN" w:bidi="ar-SA"/>
        </w:rPr>
        <w:t>Y:89</w:t>
      </w:r>
      <w:r>
        <w:rPr>
          <w:rFonts w:hint="eastAsia" w:ascii="宋体" w:hAnsi="宋体" w:eastAsia="宋体" w:cs="宋体"/>
          <w:color w:val="auto"/>
          <w:spacing w:val="52"/>
          <w:kern w:val="2"/>
          <w:sz w:val="24"/>
          <w:szCs w:val="24"/>
          <w:highlight w:val="none"/>
          <w:lang w:val="en-US" w:eastAsia="zh-CN" w:bidi="ar-SA"/>
        </w:rPr>
        <w:t xml:space="preserve"> </w:t>
      </w:r>
      <w:r>
        <w:rPr>
          <w:rFonts w:hint="eastAsia" w:ascii="宋体" w:hAnsi="宋体" w:eastAsia="宋体" w:cs="宋体"/>
          <w:color w:val="auto"/>
          <w:spacing w:val="-9"/>
          <w:kern w:val="2"/>
          <w:sz w:val="24"/>
          <w:szCs w:val="24"/>
          <w:highlight w:val="none"/>
          <w:lang w:val="en-US" w:eastAsia="zh-CN" w:bidi="ar-SA"/>
        </w:rPr>
        <w:t>K:0</w:t>
      </w:r>
    </w:p>
    <w:p w14:paraId="74F83B73">
      <w:pPr>
        <w:widowControl w:val="0"/>
        <w:spacing w:before="23" w:beforeLines="0" w:afterLines="0" w:line="318" w:lineRule="auto"/>
        <w:ind w:left="111" w:right="99" w:firstLine="4"/>
        <w:jc w:val="both"/>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10、应急安全帽</w:t>
      </w:r>
    </w:p>
    <w:p w14:paraId="1ACDA969">
      <w:pPr>
        <w:widowControl w:val="0"/>
        <w:spacing w:before="66" w:beforeLines="0" w:afterLines="0" w:line="220" w:lineRule="auto"/>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符合《国家卫生应急队伍标识（试行）》、《中国卫生应急服装技术规范（试行）》， 规格 30*22*20cm，白色 ABS 材质。图案上面印有“ 中国卫生 ”。</w:t>
      </w:r>
    </w:p>
    <w:p w14:paraId="700BE0A2">
      <w:pPr>
        <w:widowControl w:val="0"/>
        <w:spacing w:before="23" w:beforeLines="0" w:afterLines="0" w:line="318" w:lineRule="auto"/>
        <w:ind w:left="111" w:right="99" w:firstLine="4"/>
        <w:jc w:val="both"/>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pacing w:val="-1"/>
          <w:kern w:val="2"/>
          <w:sz w:val="24"/>
          <w:szCs w:val="24"/>
          <w:highlight w:val="none"/>
          <w:lang w:val="en-US" w:eastAsia="zh-CN" w:bidi="ar-SA"/>
        </w:rPr>
        <w:t>11、</w:t>
      </w:r>
      <w:r>
        <w:rPr>
          <w:rFonts w:hint="eastAsia" w:ascii="宋体" w:hAnsi="宋体" w:eastAsia="宋体" w:cs="宋体"/>
          <w:b/>
          <w:bCs/>
          <w:color w:val="auto"/>
          <w:spacing w:val="-2"/>
          <w:kern w:val="2"/>
          <w:sz w:val="24"/>
          <w:szCs w:val="24"/>
          <w:highlight w:val="none"/>
          <w:lang w:val="en-US" w:eastAsia="zh-CN" w:bidi="ar-SA"/>
        </w:rPr>
        <w:t>户外登山</w:t>
      </w:r>
      <w:r>
        <w:rPr>
          <w:rFonts w:hint="eastAsia" w:ascii="宋体" w:hAnsi="宋体" w:eastAsia="宋体" w:cs="宋体"/>
          <w:b/>
          <w:bCs/>
          <w:color w:val="auto"/>
          <w:kern w:val="2"/>
          <w:sz w:val="24"/>
          <w:szCs w:val="24"/>
          <w:highlight w:val="none"/>
          <w:lang w:val="en-US" w:eastAsia="zh-CN" w:bidi="ar-SA"/>
        </w:rPr>
        <w:t>靴</w:t>
      </w:r>
    </w:p>
    <w:p w14:paraId="36512C1E">
      <w:pPr>
        <w:widowControl w:val="0"/>
        <w:spacing w:before="66" w:beforeLines="0" w:afterLines="0" w:line="220" w:lineRule="auto"/>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（1）鞋面采用黑色。</w:t>
      </w:r>
    </w:p>
    <w:p w14:paraId="1E98A0B8">
      <w:pPr>
        <w:widowControl w:val="0"/>
        <w:spacing w:before="66" w:beforeLines="0" w:afterLines="0" w:line="220" w:lineRule="auto"/>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（2）连底包裹式橡胶鞋头，耐磨加厚防护，不仅大大提升鞋</w:t>
      </w:r>
      <w:r>
        <w:rPr>
          <w:rFonts w:hint="eastAsia" w:ascii="宋体" w:hAnsi="宋体" w:eastAsia="宋体" w:cs="宋体"/>
          <w:color w:val="auto"/>
          <w:spacing w:val="-2"/>
          <w:kern w:val="2"/>
          <w:sz w:val="24"/>
          <w:szCs w:val="24"/>
          <w:highlight w:val="none"/>
          <w:lang w:val="en-US" w:eastAsia="zh-CN" w:bidi="ar-SA"/>
        </w:rPr>
        <w:t>子耐用程度，且具备了更好的脚趾保护功能系带设计。</w:t>
      </w:r>
    </w:p>
    <w:p w14:paraId="57446B2B">
      <w:pPr>
        <w:widowControl w:val="0"/>
        <w:spacing w:before="66" w:beforeLines="0" w:afterLines="0" w:line="220" w:lineRule="auto"/>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4"/>
          <w:kern w:val="2"/>
          <w:sz w:val="24"/>
          <w:szCs w:val="24"/>
          <w:highlight w:val="none"/>
          <w:lang w:val="en-US" w:eastAsia="zh-CN" w:bidi="ar-SA"/>
        </w:rPr>
        <w:t>（3）鞋内衬采用超细纤维革透气护脚舒适，适用各类</w:t>
      </w:r>
      <w:r>
        <w:rPr>
          <w:rFonts w:hint="eastAsia" w:ascii="宋体" w:hAnsi="宋体" w:eastAsia="宋体" w:cs="宋体"/>
          <w:color w:val="auto"/>
          <w:spacing w:val="-5"/>
          <w:kern w:val="2"/>
          <w:sz w:val="24"/>
          <w:szCs w:val="24"/>
          <w:highlight w:val="none"/>
          <w:lang w:val="en-US" w:eastAsia="zh-CN" w:bidi="ar-SA"/>
        </w:rPr>
        <w:t>环境穿着，鞋面使用防水</w:t>
      </w:r>
      <w:r>
        <w:rPr>
          <w:rFonts w:hint="eastAsia" w:ascii="宋体" w:hAnsi="宋体" w:eastAsia="宋体" w:cs="宋体"/>
          <w:color w:val="auto"/>
          <w:spacing w:val="-39"/>
          <w:kern w:val="2"/>
          <w:sz w:val="24"/>
          <w:szCs w:val="24"/>
          <w:highlight w:val="none"/>
          <w:lang w:val="en-US" w:eastAsia="zh-CN" w:bidi="ar-SA"/>
        </w:rPr>
        <w:t xml:space="preserve"> </w:t>
      </w:r>
      <w:r>
        <w:rPr>
          <w:rFonts w:hint="eastAsia" w:ascii="宋体" w:hAnsi="宋体" w:eastAsia="宋体" w:cs="宋体"/>
          <w:color w:val="auto"/>
          <w:spacing w:val="-5"/>
          <w:kern w:val="2"/>
          <w:sz w:val="24"/>
          <w:szCs w:val="24"/>
          <w:highlight w:val="none"/>
          <w:lang w:val="en-US" w:eastAsia="zh-CN" w:bidi="ar-SA"/>
        </w:rPr>
        <w:t>tpu</w:t>
      </w:r>
      <w:r>
        <w:rPr>
          <w:rFonts w:hint="eastAsia" w:ascii="宋体" w:hAnsi="宋体" w:eastAsia="宋体" w:cs="宋体"/>
          <w:color w:val="auto"/>
          <w:kern w:val="2"/>
          <w:sz w:val="24"/>
          <w:szCs w:val="24"/>
          <w:highlight w:val="none"/>
          <w:lang w:val="en-US" w:eastAsia="zh-CN" w:bidi="ar-SA"/>
        </w:rPr>
        <w:t xml:space="preserve"> 材质，大面积纹路设计、排水导沙槽，增加防滑性，可应对各种训练场</w:t>
      </w:r>
      <w:r>
        <w:rPr>
          <w:rFonts w:hint="eastAsia" w:ascii="宋体" w:hAnsi="宋体" w:eastAsia="宋体" w:cs="宋体"/>
          <w:color w:val="auto"/>
          <w:spacing w:val="-1"/>
          <w:kern w:val="2"/>
          <w:sz w:val="24"/>
          <w:szCs w:val="24"/>
          <w:highlight w:val="none"/>
          <w:lang w:val="en-US" w:eastAsia="zh-CN" w:bidi="ar-SA"/>
        </w:rPr>
        <w:t>地。</w:t>
      </w:r>
    </w:p>
    <w:p w14:paraId="226FBE5D">
      <w:pPr>
        <w:widowControl w:val="0"/>
        <w:spacing w:before="66" w:beforeLines="0" w:afterLines="0" w:line="22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（4）鞋底</w:t>
      </w:r>
      <w:r>
        <w:rPr>
          <w:rFonts w:hint="eastAsia" w:ascii="宋体" w:hAnsi="宋体" w:eastAsia="宋体" w:cs="宋体"/>
          <w:color w:val="auto"/>
          <w:spacing w:val="-28"/>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EVA</w:t>
      </w:r>
      <w:r>
        <w:rPr>
          <w:rFonts w:hint="eastAsia" w:ascii="宋体" w:hAnsi="宋体" w:eastAsia="宋体" w:cs="宋体"/>
          <w:color w:val="auto"/>
          <w:spacing w:val="-33"/>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材质软弹减震，耐穿。</w:t>
      </w:r>
    </w:p>
    <w:p w14:paraId="1150251E">
      <w:pPr>
        <w:widowControl w:val="0"/>
        <w:spacing w:before="23" w:beforeLines="0" w:afterLines="0" w:line="318" w:lineRule="auto"/>
        <w:ind w:left="111" w:right="99" w:firstLine="4"/>
        <w:jc w:val="both"/>
        <w:outlineLvl w:val="3"/>
        <w:rPr>
          <w:rFonts w:hint="eastAsia" w:ascii="宋体" w:hAnsi="宋体" w:eastAsia="宋体" w:cs="宋体"/>
          <w:b/>
          <w:bCs/>
          <w:color w:val="auto"/>
          <w:spacing w:val="-2"/>
          <w:kern w:val="2"/>
          <w:sz w:val="24"/>
          <w:szCs w:val="24"/>
          <w:highlight w:val="none"/>
          <w:lang w:val="en-US" w:eastAsia="zh-CN" w:bidi="ar-SA"/>
        </w:rPr>
      </w:pPr>
      <w:r>
        <w:rPr>
          <w:rFonts w:hint="eastAsia" w:ascii="宋体" w:hAnsi="宋体" w:eastAsia="宋体" w:cs="宋体"/>
          <w:b/>
          <w:bCs/>
          <w:color w:val="auto"/>
          <w:spacing w:val="-2"/>
          <w:kern w:val="2"/>
          <w:sz w:val="24"/>
          <w:szCs w:val="24"/>
          <w:highlight w:val="none"/>
          <w:lang w:val="en-US" w:eastAsia="zh-CN" w:bidi="ar-SA"/>
        </w:rPr>
        <w:t>12、户外防水防寒靴</w:t>
      </w:r>
    </w:p>
    <w:p w14:paraId="07BF42BD">
      <w:pPr>
        <w:widowControl w:val="0"/>
        <w:spacing w:before="23" w:beforeLines="0" w:afterLines="0" w:line="318" w:lineRule="auto"/>
        <w:ind w:right="99"/>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（1）鞋帮高腰设计，有效保护脚踝，防止扭伤</w:t>
      </w:r>
      <w:r>
        <w:rPr>
          <w:rFonts w:hint="eastAsia" w:ascii="宋体" w:hAnsi="宋体" w:eastAsia="宋体" w:cs="宋体"/>
          <w:color w:val="auto"/>
          <w:spacing w:val="-2"/>
          <w:kern w:val="2"/>
          <w:sz w:val="24"/>
          <w:szCs w:val="24"/>
          <w:highlight w:val="none"/>
          <w:lang w:val="en-US" w:eastAsia="zh-CN" w:bidi="ar-SA"/>
        </w:rPr>
        <w:t>、挫伤。</w:t>
      </w:r>
    </w:p>
    <w:p w14:paraId="1D264038">
      <w:pPr>
        <w:widowControl w:val="0"/>
        <w:spacing w:before="23" w:beforeLines="0" w:afterLines="0" w:line="318" w:lineRule="auto"/>
        <w:ind w:right="99"/>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（2）靴子内部使用保暖羊毛，可抵抗-25℃严寒环</w:t>
      </w:r>
      <w:r>
        <w:rPr>
          <w:rFonts w:hint="eastAsia" w:ascii="宋体" w:hAnsi="宋体" w:eastAsia="宋体" w:cs="宋体"/>
          <w:color w:val="auto"/>
          <w:spacing w:val="-3"/>
          <w:kern w:val="2"/>
          <w:sz w:val="24"/>
          <w:szCs w:val="24"/>
          <w:highlight w:val="none"/>
          <w:lang w:val="en-US" w:eastAsia="zh-CN" w:bidi="ar-SA"/>
        </w:rPr>
        <w:t>境。</w:t>
      </w:r>
    </w:p>
    <w:p w14:paraId="15E100DD">
      <w:pPr>
        <w:widowControl w:val="0"/>
        <w:spacing w:before="23" w:beforeLines="0" w:afterLines="0" w:line="318" w:lineRule="auto"/>
        <w:ind w:right="99"/>
        <w:jc w:val="both"/>
        <w:rPr>
          <w:rFonts w:hint="eastAsia" w:ascii="宋体" w:hAnsi="宋体" w:eastAsia="宋体" w:cs="宋体"/>
          <w:color w:val="auto"/>
          <w:spacing w:val="-3"/>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（3）鞋帮内侧采用速脱防水拉链设计，使用更便捷，避免鞋带</w:t>
      </w:r>
      <w:r>
        <w:rPr>
          <w:rFonts w:hint="eastAsia" w:ascii="宋体" w:hAnsi="宋体" w:eastAsia="宋体" w:cs="宋体"/>
          <w:color w:val="auto"/>
          <w:spacing w:val="-2"/>
          <w:kern w:val="2"/>
          <w:sz w:val="24"/>
          <w:szCs w:val="24"/>
          <w:highlight w:val="none"/>
          <w:lang w:val="en-US" w:eastAsia="zh-CN" w:bidi="ar-SA"/>
        </w:rPr>
        <w:t>系太紧无法快速脱</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spacing w:val="-3"/>
          <w:kern w:val="2"/>
          <w:sz w:val="24"/>
          <w:szCs w:val="24"/>
          <w:highlight w:val="none"/>
          <w:lang w:val="en-US" w:eastAsia="zh-CN" w:bidi="ar-SA"/>
        </w:rPr>
        <w:t>的现象。同时具有防水功能。</w:t>
      </w:r>
    </w:p>
    <w:p w14:paraId="58DB2F32">
      <w:pPr>
        <w:widowControl w:val="0"/>
        <w:spacing w:before="23" w:beforeLines="0" w:afterLines="0" w:line="318" w:lineRule="auto"/>
        <w:ind w:right="99"/>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▲（4）耐磨橡胶+高弹</w:t>
      </w:r>
      <w:r>
        <w:rPr>
          <w:rFonts w:hint="eastAsia" w:ascii="宋体" w:hAnsi="宋体" w:eastAsia="宋体" w:cs="宋体"/>
          <w:color w:val="auto"/>
          <w:spacing w:val="-26"/>
          <w:kern w:val="2"/>
          <w:sz w:val="24"/>
          <w:szCs w:val="24"/>
          <w:highlight w:val="none"/>
          <w:lang w:val="en-US" w:eastAsia="zh-CN" w:bidi="ar-SA"/>
        </w:rPr>
        <w:t xml:space="preserve"> </w:t>
      </w:r>
      <w:r>
        <w:rPr>
          <w:rFonts w:hint="eastAsia" w:ascii="宋体" w:hAnsi="宋体" w:eastAsia="宋体" w:cs="宋体"/>
          <w:color w:val="auto"/>
          <w:spacing w:val="-1"/>
          <w:kern w:val="2"/>
          <w:sz w:val="24"/>
          <w:szCs w:val="24"/>
          <w:highlight w:val="none"/>
          <w:lang w:val="en-US" w:eastAsia="zh-CN" w:bidi="ar-SA"/>
        </w:rPr>
        <w:t>EVA+后跟平衡片（组合而</w:t>
      </w:r>
      <w:r>
        <w:rPr>
          <w:rFonts w:hint="eastAsia" w:ascii="宋体" w:hAnsi="宋体" w:eastAsia="宋体" w:cs="宋体"/>
          <w:color w:val="auto"/>
          <w:spacing w:val="-2"/>
          <w:kern w:val="2"/>
          <w:sz w:val="24"/>
          <w:szCs w:val="24"/>
          <w:highlight w:val="none"/>
          <w:lang w:val="en-US" w:eastAsia="zh-CN" w:bidi="ar-SA"/>
        </w:rPr>
        <w:t>成</w:t>
      </w:r>
      <w:r>
        <w:rPr>
          <w:rFonts w:hint="eastAsia" w:ascii="宋体" w:hAnsi="宋体" w:eastAsia="宋体" w:cs="宋体"/>
          <w:color w:val="auto"/>
          <w:spacing w:val="-5"/>
          <w:kern w:val="2"/>
          <w:sz w:val="24"/>
          <w:szCs w:val="24"/>
          <w:highlight w:val="none"/>
          <w:lang w:val="en-US" w:eastAsia="zh-CN" w:bidi="ar-SA"/>
        </w:rPr>
        <w:t>），</w:t>
      </w:r>
      <w:r>
        <w:rPr>
          <w:rFonts w:hint="eastAsia" w:ascii="宋体" w:hAnsi="宋体" w:eastAsia="宋体" w:cs="宋体"/>
          <w:color w:val="auto"/>
          <w:spacing w:val="-2"/>
          <w:kern w:val="2"/>
          <w:sz w:val="24"/>
          <w:szCs w:val="24"/>
          <w:highlight w:val="none"/>
          <w:lang w:val="en-US" w:eastAsia="zh-CN" w:bidi="ar-SA"/>
        </w:rPr>
        <w:t>橡胶耐磨，止滑，EVA</w:t>
      </w:r>
      <w:r>
        <w:rPr>
          <w:rFonts w:hint="eastAsia" w:ascii="宋体" w:hAnsi="宋体" w:eastAsia="宋体" w:cs="宋体"/>
          <w:color w:val="auto"/>
          <w:spacing w:val="-31"/>
          <w:kern w:val="2"/>
          <w:sz w:val="24"/>
          <w:szCs w:val="24"/>
          <w:highlight w:val="none"/>
          <w:lang w:val="en-US" w:eastAsia="zh-CN" w:bidi="ar-SA"/>
        </w:rPr>
        <w:t xml:space="preserve"> </w:t>
      </w:r>
      <w:r>
        <w:rPr>
          <w:rFonts w:hint="eastAsia" w:ascii="宋体" w:hAnsi="宋体" w:eastAsia="宋体" w:cs="宋体"/>
          <w:color w:val="auto"/>
          <w:spacing w:val="-2"/>
          <w:kern w:val="2"/>
          <w:sz w:val="24"/>
          <w:szCs w:val="24"/>
          <w:highlight w:val="none"/>
          <w:lang w:val="en-US" w:eastAsia="zh-CN" w:bidi="ar-SA"/>
        </w:rPr>
        <w:t>高</w:t>
      </w:r>
      <w:r>
        <w:rPr>
          <w:rFonts w:hint="eastAsia" w:ascii="宋体" w:hAnsi="宋体" w:eastAsia="宋体" w:cs="宋体"/>
          <w:color w:val="auto"/>
          <w:kern w:val="2"/>
          <w:sz w:val="24"/>
          <w:szCs w:val="24"/>
          <w:highlight w:val="none"/>
          <w:lang w:val="en-US" w:eastAsia="zh-CN" w:bidi="ar-SA"/>
        </w:rPr>
        <w:t>弹适合快速反应。鞋底具有防刺功能，防刺功能</w:t>
      </w:r>
      <w:r>
        <w:rPr>
          <w:rFonts w:hint="eastAsia" w:ascii="宋体" w:hAnsi="宋体" w:eastAsia="宋体" w:cs="宋体"/>
          <w:snapToGrid w:val="0"/>
          <w:color w:val="auto"/>
          <w:spacing w:val="-2"/>
          <w:kern w:val="2"/>
          <w:sz w:val="24"/>
          <w:szCs w:val="24"/>
          <w:highlight w:val="none"/>
          <w:lang w:val="en-US" w:eastAsia="en-US" w:bidi="ar-SA"/>
        </w:rPr>
        <w:t>＞</w:t>
      </w: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pacing w:val="-1"/>
          <w:kern w:val="2"/>
          <w:sz w:val="24"/>
          <w:szCs w:val="24"/>
          <w:highlight w:val="none"/>
          <w:lang w:val="en-US" w:eastAsia="zh-CN" w:bidi="ar-SA"/>
        </w:rPr>
        <w:t>100N，使用最薄的防刺中底。</w:t>
      </w:r>
    </w:p>
    <w:p w14:paraId="11D925E6">
      <w:pPr>
        <w:widowControl w:val="0"/>
        <w:spacing w:before="23" w:beforeLines="0" w:afterLines="0" w:line="318" w:lineRule="auto"/>
        <w:ind w:right="99"/>
        <w:jc w:val="both"/>
        <w:rPr>
          <w:rFonts w:hint="eastAsia" w:ascii="宋体" w:hAnsi="宋体" w:eastAsia="宋体" w:cs="宋体"/>
          <w:color w:val="auto"/>
          <w:spacing w:val="-1"/>
          <w:kern w:val="2"/>
          <w:sz w:val="24"/>
          <w:szCs w:val="24"/>
          <w:highlight w:val="none"/>
          <w:lang w:val="en-US" w:eastAsia="zh-CN" w:bidi="ar-SA"/>
        </w:rPr>
      </w:pPr>
      <w:r>
        <w:rPr>
          <w:rFonts w:hint="eastAsia" w:ascii="宋体" w:hAnsi="宋体" w:eastAsia="宋体" w:cs="宋体"/>
          <w:color w:val="auto"/>
          <w:spacing w:val="-1"/>
          <w:kern w:val="2"/>
          <w:sz w:val="24"/>
          <w:szCs w:val="24"/>
          <w:highlight w:val="none"/>
          <w:lang w:val="en-US" w:eastAsia="zh-CN" w:bidi="ar-SA"/>
        </w:rPr>
        <w:t>（5）鞋垫具有较好的止滑耐磨作用，同时具有一定的吸湿吸汗，抗菌功能。</w:t>
      </w:r>
    </w:p>
    <w:p w14:paraId="3C6F4CEE">
      <w:pPr>
        <w:widowControl w:val="0"/>
        <w:spacing w:before="23" w:beforeLines="0" w:afterLines="0" w:line="318" w:lineRule="auto"/>
        <w:ind w:left="111" w:right="99" w:firstLine="4"/>
        <w:jc w:val="both"/>
        <w:outlineLvl w:val="3"/>
        <w:rPr>
          <w:rFonts w:hint="eastAsia" w:ascii="宋体" w:hAnsi="宋体" w:eastAsia="宋体" w:cs="宋体"/>
          <w:b/>
          <w:bCs/>
          <w:color w:val="auto"/>
          <w:spacing w:val="-3"/>
          <w:kern w:val="2"/>
          <w:sz w:val="24"/>
          <w:szCs w:val="24"/>
          <w:highlight w:val="none"/>
          <w:lang w:val="en-US" w:eastAsia="zh-CN" w:bidi="ar-SA"/>
        </w:rPr>
      </w:pPr>
      <w:r>
        <w:rPr>
          <w:rFonts w:hint="eastAsia" w:ascii="宋体" w:hAnsi="宋体" w:eastAsia="宋体" w:cs="宋体"/>
          <w:b/>
          <w:bCs/>
          <w:color w:val="auto"/>
          <w:spacing w:val="-1"/>
          <w:kern w:val="2"/>
          <w:sz w:val="24"/>
          <w:szCs w:val="24"/>
          <w:highlight w:val="none"/>
          <w:lang w:val="en-US" w:eastAsia="zh-CN" w:bidi="ar-SA"/>
        </w:rPr>
        <w:t>13、</w:t>
      </w:r>
      <w:r>
        <w:rPr>
          <w:rFonts w:hint="eastAsia" w:ascii="宋体" w:hAnsi="宋体" w:eastAsia="宋体" w:cs="宋体"/>
          <w:b/>
          <w:bCs/>
          <w:color w:val="auto"/>
          <w:spacing w:val="-3"/>
          <w:kern w:val="2"/>
          <w:sz w:val="24"/>
          <w:szCs w:val="24"/>
          <w:highlight w:val="none"/>
          <w:lang w:val="en-US" w:eastAsia="zh-CN" w:bidi="ar-SA"/>
        </w:rPr>
        <w:t>雨衣</w:t>
      </w:r>
    </w:p>
    <w:p w14:paraId="46B6C95E">
      <w:pPr>
        <w:widowControl w:val="0"/>
        <w:spacing w:before="65" w:beforeLines="0" w:afterLines="0" w:line="278"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3"/>
          <w:kern w:val="2"/>
          <w:sz w:val="24"/>
          <w:szCs w:val="24"/>
          <w:highlight w:val="none"/>
          <w:lang w:val="en-US" w:eastAsia="zh-CN" w:bidi="ar-SA"/>
        </w:rPr>
        <w:t>（1）雨衣分体式，分为上衣和裤子，颜色为</w:t>
      </w:r>
      <w:r>
        <w:rPr>
          <w:rFonts w:hint="eastAsia" w:ascii="宋体" w:hAnsi="宋体" w:eastAsia="宋体" w:cs="宋体"/>
          <w:color w:val="auto"/>
          <w:spacing w:val="-4"/>
          <w:kern w:val="2"/>
          <w:sz w:val="24"/>
          <w:szCs w:val="24"/>
          <w:highlight w:val="none"/>
          <w:lang w:val="en-US" w:eastAsia="zh-CN" w:bidi="ar-SA"/>
        </w:rPr>
        <w:t>专用“红色（哈佛红）”和“深藏蓝</w:t>
      </w:r>
      <w:r>
        <w:rPr>
          <w:rFonts w:hint="eastAsia" w:ascii="宋体" w:hAnsi="宋体" w:eastAsia="宋体" w:cs="宋体"/>
          <w:color w:val="auto"/>
          <w:spacing w:val="-57"/>
          <w:kern w:val="2"/>
          <w:sz w:val="24"/>
          <w:szCs w:val="24"/>
          <w:highlight w:val="none"/>
          <w:lang w:val="en-US" w:eastAsia="zh-CN" w:bidi="ar-SA"/>
        </w:rPr>
        <w:t xml:space="preserve"> </w:t>
      </w:r>
      <w:r>
        <w:rPr>
          <w:rFonts w:hint="eastAsia" w:ascii="宋体" w:hAnsi="宋体" w:eastAsia="宋体" w:cs="宋体"/>
          <w:color w:val="auto"/>
          <w:spacing w:val="-4"/>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spacing w:val="-4"/>
          <w:kern w:val="2"/>
          <w:sz w:val="24"/>
          <w:szCs w:val="24"/>
          <w:highlight w:val="none"/>
          <w:lang w:val="en-US" w:eastAsia="zh-CN" w:bidi="ar-SA"/>
        </w:rPr>
        <w:t>两种颜色的组分式设计。</w:t>
      </w:r>
    </w:p>
    <w:p w14:paraId="76066A93">
      <w:pPr>
        <w:rPr>
          <w:rFonts w:hint="eastAsia" w:ascii="宋体" w:hAnsi="宋体" w:eastAsia="宋体" w:cs="宋体"/>
          <w:color w:val="auto"/>
          <w:spacing w:val="-2"/>
          <w:sz w:val="24"/>
          <w:szCs w:val="24"/>
          <w:highlight w:val="none"/>
        </w:rPr>
      </w:pPr>
      <w:r>
        <w:rPr>
          <w:rFonts w:hint="eastAsia" w:ascii="宋体" w:hAnsi="宋体" w:eastAsia="宋体" w:cs="宋体"/>
          <w:color w:val="auto"/>
          <w:spacing w:val="-5"/>
          <w:sz w:val="24"/>
          <w:szCs w:val="24"/>
          <w:highlight w:val="none"/>
        </w:rPr>
        <w:t>（2）面料采用210T</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5"/>
          <w:sz w:val="24"/>
          <w:szCs w:val="24"/>
          <w:highlight w:val="none"/>
        </w:rPr>
        <w:t>涤丝纺</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pacing w:val="-5"/>
          <w:sz w:val="24"/>
          <w:szCs w:val="24"/>
          <w:highlight w:val="none"/>
        </w:rPr>
        <w:t>PU</w:t>
      </w:r>
      <w:r>
        <w:rPr>
          <w:rFonts w:hint="eastAsia" w:ascii="宋体" w:hAnsi="宋体" w:eastAsia="宋体" w:cs="宋体"/>
          <w:color w:val="auto"/>
          <w:spacing w:val="-25"/>
          <w:sz w:val="24"/>
          <w:szCs w:val="24"/>
          <w:highlight w:val="none"/>
        </w:rPr>
        <w:t xml:space="preserve"> </w:t>
      </w:r>
      <w:r>
        <w:rPr>
          <w:rFonts w:hint="eastAsia" w:ascii="宋体" w:hAnsi="宋体" w:eastAsia="宋体" w:cs="宋体"/>
          <w:color w:val="auto"/>
          <w:spacing w:val="-5"/>
          <w:sz w:val="24"/>
          <w:szCs w:val="24"/>
          <w:highlight w:val="none"/>
        </w:rPr>
        <w:t>防水涂层；背部标识为银色反光字（中国卫生 CHINA</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HEALTH） ,以突出现场卫生应急救援的视角效果。</w:t>
      </w:r>
    </w:p>
    <w:p w14:paraId="39168BE9">
      <w:pPr>
        <w:rPr>
          <w:rFonts w:hint="eastAsia" w:ascii="宋体" w:hAnsi="宋体" w:eastAsia="宋体" w:cs="宋体"/>
          <w:color w:val="auto"/>
          <w:spacing w:val="-2"/>
          <w:sz w:val="24"/>
          <w:szCs w:val="24"/>
          <w:highlight w:val="none"/>
        </w:rPr>
      </w:pPr>
    </w:p>
    <w:p w14:paraId="7C0FFB9A">
      <w:pPr>
        <w:rPr>
          <w:rFonts w:hint="eastAsia" w:ascii="宋体" w:hAnsi="宋体" w:eastAsia="宋体" w:cs="宋体"/>
          <w:color w:val="auto"/>
          <w:spacing w:val="-2"/>
          <w:sz w:val="24"/>
          <w:szCs w:val="24"/>
          <w:highlight w:val="none"/>
        </w:rPr>
        <w:sectPr>
          <w:pgSz w:w="16838" w:h="11906" w:orient="landscape"/>
          <w:pgMar w:top="720" w:right="720" w:bottom="720" w:left="720" w:header="851" w:footer="992" w:gutter="0"/>
          <w:cols w:space="425" w:num="1"/>
          <w:docGrid w:type="lines" w:linePitch="312" w:charSpace="0"/>
        </w:sectPr>
      </w:pPr>
    </w:p>
    <w:p w14:paraId="54A0ED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p>
    <w:p w14:paraId="533DBF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p>
    <w:p w14:paraId="7D8E5D8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注：</w:t>
      </w:r>
    </w:p>
    <w:p w14:paraId="5DDA44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1、上列物品标注“▲”的技术参数为重要参数，供应商应按要求提供相应的佐证材料。</w:t>
      </w:r>
    </w:p>
    <w:p w14:paraId="339F8B0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2、所有参数或图片描述如出现特定品牌均为参考或相当于其标准。</w:t>
      </w:r>
    </w:p>
    <w:p w14:paraId="07586CE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p>
    <w:p w14:paraId="1B19A2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pPr>
    </w:p>
    <w:p w14:paraId="10344C4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4"/>
          <w:szCs w:val="24"/>
          <w:highlight w:val="none"/>
          <w:lang w:val="en-US" w:eastAsia="zh-CN"/>
        </w:rPr>
        <w:sectPr>
          <w:footerReference r:id="rId6" w:type="default"/>
          <w:type w:val="continuous"/>
          <w:pgSz w:w="16838" w:h="11906" w:orient="landscape"/>
          <w:pgMar w:top="1800" w:right="1440" w:bottom="1800" w:left="1440" w:header="851" w:footer="992" w:gutter="0"/>
          <w:pgNumType w:fmt="decimal" w:start="1"/>
          <w:cols w:space="720" w:num="1"/>
          <w:docGrid w:type="lines" w:linePitch="312" w:charSpace="0"/>
        </w:sectPr>
      </w:pPr>
    </w:p>
    <w:p w14:paraId="1B374F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二、项目要求</w:t>
      </w:r>
    </w:p>
    <w:p w14:paraId="4D61E44F">
      <w:pPr>
        <w:keepNext/>
        <w:keepLines/>
        <w:pageBreakBefore w:val="0"/>
        <w:widowControl w:val="0"/>
        <w:numPr>
          <w:ilvl w:val="0"/>
          <w:numId w:val="0"/>
        </w:numPr>
        <w:kinsoku/>
        <w:wordWrap/>
        <w:overflowPunct/>
        <w:topLinePunct w:val="0"/>
        <w:autoSpaceDE w:val="0"/>
        <w:autoSpaceDN w:val="0"/>
        <w:bidi w:val="0"/>
        <w:adjustRightInd w:val="0"/>
        <w:spacing w:before="0" w:line="360" w:lineRule="exact"/>
        <w:ind w:firstLine="482" w:firstLineChars="200"/>
        <w:jc w:val="left"/>
        <w:outlineLvl w:val="9"/>
        <w:rPr>
          <w:rFonts w:hint="eastAsia" w:ascii="宋体" w:hAnsi="宋体" w:eastAsia="宋体" w:cs="宋体"/>
          <w:b/>
          <w:color w:val="auto"/>
          <w:kern w:val="0"/>
          <w:sz w:val="24"/>
          <w:szCs w:val="24"/>
          <w:highlight w:val="none"/>
          <w:lang w:val="en-US" w:eastAsia="zh-CN" w:bidi="ar-SA"/>
        </w:rPr>
      </w:pPr>
      <w:bookmarkStart w:id="153" w:name="_Toc10003"/>
      <w:r>
        <w:rPr>
          <w:rFonts w:hint="eastAsia" w:ascii="宋体" w:hAnsi="宋体" w:eastAsia="宋体" w:cs="宋体"/>
          <w:b/>
          <w:color w:val="auto"/>
          <w:kern w:val="0"/>
          <w:sz w:val="24"/>
          <w:szCs w:val="24"/>
          <w:highlight w:val="none"/>
          <w:lang w:val="en-US" w:eastAsia="zh-CN" w:bidi="ar-SA"/>
        </w:rPr>
        <w:t>（一）所招产品的质量要求</w:t>
      </w:r>
      <w:bookmarkEnd w:id="153"/>
    </w:p>
    <w:p w14:paraId="61F4E360">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2" w:firstLineChars="200"/>
        <w:jc w:val="both"/>
        <w:outlineLvl w:val="9"/>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1）本项目技术参数均为公共参数，无指向性，投标供应商认为该产品指向某一品牌、某一型号，那么该参数均为参考参数，可以根据技术要求及商务要求自行去选择产品品牌和型号。标注“▲”的技术参数为重要参数，供应商应按要求提供相应的佐证材料。</w:t>
      </w:r>
    </w:p>
    <w:p w14:paraId="73391B38">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2" w:firstLineChars="200"/>
        <w:jc w:val="both"/>
        <w:outlineLvl w:val="9"/>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（2）所有参数或图片描述如出现特定品牌均为参考或相当于其标准。</w:t>
      </w:r>
    </w:p>
    <w:p w14:paraId="647E812F">
      <w:pPr>
        <w:keepNext/>
        <w:keepLines/>
        <w:pageBreakBefore w:val="0"/>
        <w:widowControl w:val="0"/>
        <w:numPr>
          <w:ilvl w:val="0"/>
          <w:numId w:val="0"/>
        </w:numPr>
        <w:kinsoku/>
        <w:wordWrap/>
        <w:overflowPunct/>
        <w:topLinePunct w:val="0"/>
        <w:autoSpaceDE w:val="0"/>
        <w:autoSpaceDN w:val="0"/>
        <w:bidi w:val="0"/>
        <w:adjustRightInd w:val="0"/>
        <w:spacing w:before="0" w:line="360" w:lineRule="exact"/>
        <w:ind w:firstLine="482" w:firstLineChars="200"/>
        <w:jc w:val="left"/>
        <w:outlineLvl w:val="9"/>
        <w:rPr>
          <w:rFonts w:hint="eastAsia" w:ascii="宋体" w:hAnsi="宋体" w:eastAsia="宋体" w:cs="宋体"/>
          <w:b/>
          <w:color w:val="auto"/>
          <w:kern w:val="0"/>
          <w:sz w:val="24"/>
          <w:szCs w:val="24"/>
          <w:highlight w:val="none"/>
          <w:lang w:val="en-US" w:eastAsia="zh-CN" w:bidi="ar-SA"/>
        </w:rPr>
      </w:pPr>
      <w:bookmarkStart w:id="154" w:name="_Toc25807"/>
      <w:r>
        <w:rPr>
          <w:rFonts w:hint="eastAsia" w:ascii="宋体" w:hAnsi="宋体" w:eastAsia="宋体" w:cs="宋体"/>
          <w:b/>
          <w:color w:val="auto"/>
          <w:kern w:val="0"/>
          <w:sz w:val="24"/>
          <w:szCs w:val="24"/>
          <w:highlight w:val="none"/>
          <w:lang w:val="en-US" w:eastAsia="zh-CN" w:bidi="ar-SA"/>
        </w:rPr>
        <w:t>（二）项目的交货期和交货地点</w:t>
      </w:r>
      <w:bookmarkEnd w:id="154"/>
    </w:p>
    <w:p w14:paraId="33B54DBE">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0" w:firstLineChars="200"/>
        <w:jc w:val="both"/>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1.交货期：签完合同30天内完成供货（具体以签订的合同为准）。</w:t>
      </w:r>
    </w:p>
    <w:p w14:paraId="3D3BCEFD">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0" w:firstLineChars="200"/>
        <w:jc w:val="both"/>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2.交货地点：采购人指定地点。</w:t>
      </w:r>
    </w:p>
    <w:p w14:paraId="12EAD8D3">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0" w:firstLineChars="200"/>
        <w:jc w:val="both"/>
        <w:outlineLvl w:val="9"/>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3.包装和运输：保证设备完好运到指定地点，并承担运输安装过程中产生的风险和费用。</w:t>
      </w:r>
    </w:p>
    <w:p w14:paraId="7D4B36FE">
      <w:pPr>
        <w:keepNext/>
        <w:keepLines/>
        <w:pageBreakBefore w:val="0"/>
        <w:widowControl w:val="0"/>
        <w:numPr>
          <w:ilvl w:val="0"/>
          <w:numId w:val="0"/>
        </w:numPr>
        <w:kinsoku/>
        <w:wordWrap/>
        <w:overflowPunct/>
        <w:topLinePunct w:val="0"/>
        <w:autoSpaceDE w:val="0"/>
        <w:autoSpaceDN w:val="0"/>
        <w:bidi w:val="0"/>
        <w:adjustRightInd w:val="0"/>
        <w:spacing w:before="0" w:line="360" w:lineRule="exact"/>
        <w:ind w:firstLine="482" w:firstLineChars="200"/>
        <w:jc w:val="left"/>
        <w:outlineLvl w:val="9"/>
        <w:rPr>
          <w:rFonts w:hint="eastAsia" w:ascii="宋体" w:hAnsi="宋体" w:eastAsia="宋体" w:cs="宋体"/>
          <w:b/>
          <w:color w:val="auto"/>
          <w:kern w:val="0"/>
          <w:sz w:val="24"/>
          <w:szCs w:val="24"/>
          <w:highlight w:val="none"/>
          <w:lang w:val="en-US" w:eastAsia="zh-CN" w:bidi="ar-SA"/>
        </w:rPr>
      </w:pPr>
      <w:bookmarkStart w:id="155" w:name="_Toc9542"/>
      <w:r>
        <w:rPr>
          <w:rFonts w:hint="eastAsia" w:ascii="宋体" w:hAnsi="宋体" w:eastAsia="宋体" w:cs="宋体"/>
          <w:b/>
          <w:color w:val="auto"/>
          <w:kern w:val="0"/>
          <w:sz w:val="24"/>
          <w:szCs w:val="24"/>
          <w:highlight w:val="none"/>
          <w:lang w:val="en-US" w:eastAsia="zh-CN" w:bidi="ar-SA"/>
        </w:rPr>
        <w:t>（三）付款方式和质保期</w:t>
      </w:r>
      <w:bookmarkEnd w:id="155"/>
    </w:p>
    <w:p w14:paraId="79521116">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0" w:firstLineChars="200"/>
        <w:jc w:val="both"/>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1.付款方式：签订合同后支付合同总价的30%，验收完成并顺利运行后支付合同总价的60%，验收结算完成后支付合同总价的10%。（具体付款方式以甲乙双方签订合同为准）</w:t>
      </w:r>
    </w:p>
    <w:p w14:paraId="15022E1A">
      <w:pPr>
        <w:keepNext w:val="0"/>
        <w:keepLines w:val="0"/>
        <w:pageBreakBefore w:val="0"/>
        <w:widowControl w:val="0"/>
        <w:kinsoku/>
        <w:wordWrap/>
        <w:overflowPunct/>
        <w:topLinePunct w:val="0"/>
        <w:autoSpaceDE/>
        <w:autoSpaceDN/>
        <w:bidi w:val="0"/>
        <w:adjustRightInd/>
        <w:spacing w:beforeAutospacing="0" w:afterAutospacing="0" w:line="440" w:lineRule="exact"/>
        <w:ind w:left="0" w:leftChars="0" w:firstLine="480" w:firstLineChars="200"/>
        <w:jc w:val="both"/>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2.质保期：2年。（具体以签订的合同为准）。</w:t>
      </w:r>
    </w:p>
    <w:p w14:paraId="0BF18020">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0909B927">
      <w:pPr>
        <w:spacing w:line="380" w:lineRule="exact"/>
        <w:jc w:val="center"/>
        <w:outlineLvl w:val="0"/>
        <w:rPr>
          <w:rFonts w:hint="eastAsia" w:ascii="宋体" w:hAnsi="宋体" w:eastAsia="宋体" w:cs="宋体"/>
          <w:b/>
          <w:bCs/>
          <w:color w:val="auto"/>
          <w:sz w:val="24"/>
          <w:szCs w:val="24"/>
          <w:highlight w:val="none"/>
        </w:rPr>
      </w:pPr>
      <w:bookmarkStart w:id="156" w:name="_Toc26047"/>
      <w:r>
        <w:rPr>
          <w:rFonts w:hint="eastAsia" w:ascii="宋体" w:hAnsi="宋体" w:eastAsia="宋体" w:cs="宋体"/>
          <w:b/>
          <w:bCs/>
          <w:color w:val="auto"/>
          <w:sz w:val="24"/>
          <w:szCs w:val="24"/>
          <w:highlight w:val="none"/>
        </w:rPr>
        <w:t>第五章  评标办法</w:t>
      </w:r>
      <w:bookmarkEnd w:id="151"/>
      <w:bookmarkEnd w:id="152"/>
      <w:bookmarkEnd w:id="156"/>
      <w:bookmarkStart w:id="157" w:name="_Hlt101846155"/>
      <w:bookmarkEnd w:id="157"/>
      <w:bookmarkStart w:id="158" w:name="_Toc183682415"/>
      <w:bookmarkStart w:id="159" w:name="_Toc183582280"/>
      <w:bookmarkStart w:id="160" w:name="_Toc208849007"/>
      <w:bookmarkStart w:id="161" w:name="_Toc217446097"/>
    </w:p>
    <w:p w14:paraId="56235EA3">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总则</w:t>
      </w:r>
      <w:bookmarkEnd w:id="158"/>
      <w:bookmarkEnd w:id="159"/>
      <w:bookmarkEnd w:id="160"/>
      <w:bookmarkEnd w:id="161"/>
    </w:p>
    <w:p w14:paraId="53923368">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根据《中华人民共和国政府采购法》、《中华人民共和国政府采购法实施条例》和《政府采购货物和服务招标投标管理办法》（财政部第87号令）等法律法规、规章和相关规定，结合招标项目特点制定本评标办法。</w:t>
      </w:r>
    </w:p>
    <w:p w14:paraId="57D53B75">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eastAsia="宋体" w:cs="宋体"/>
          <w:bCs/>
          <w:color w:val="auto"/>
          <w:sz w:val="24"/>
          <w:szCs w:val="24"/>
          <w:highlight w:val="none"/>
        </w:rPr>
        <w:t>评标工作由采购人负责组织，具体评标工作由采购人依法组建的评标委员会负责。评标委员会由采购人代表和有关技术、经济等方面的专家组成。</w:t>
      </w:r>
    </w:p>
    <w:p w14:paraId="779ADE23">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评标工作应遵循公平、公正、科学及择优的原则。</w:t>
      </w:r>
    </w:p>
    <w:p w14:paraId="319E361A">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评标委员会按照招标文件规定的评标方法和标准进行评标，并独立履行下列职责：</w:t>
      </w:r>
    </w:p>
    <w:p w14:paraId="28F2C53A">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（1）审查投标文件是否符合招标文件要求，并作出评价；</w:t>
      </w:r>
    </w:p>
    <w:p w14:paraId="72746938">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（2）要求投标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对投标文件有关事项作出解释或者澄清；</w:t>
      </w:r>
    </w:p>
    <w:p w14:paraId="2157B717">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（3）推荐中标候选</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名单，或者受采购人委托按照事先确定的办法直接确定中标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081E8FED">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（4）向采购人或者有关部门报告非法干预评标工作的行为。</w:t>
      </w:r>
      <w:bookmarkStart w:id="162" w:name="_Toc217446098"/>
    </w:p>
    <w:p w14:paraId="5376535C">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评标过程严格保密。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对评标委员会的评标过程或合同授予决定施加影响的任何行为都可能导致其投标被拒绝。</w:t>
      </w:r>
    </w:p>
    <w:p w14:paraId="41A30900">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1.6评标委员会决定投标文件的响应性应依据投标文件本身的内容，而不寻求外部的证据。</w:t>
      </w:r>
    </w:p>
    <w:p w14:paraId="2262B798">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1.7评标委员会发现招标文件表述不明确或需要说明的事项，可提请采购人书面解释说明。发现招标文件违反法律、法规、规章和相关规定的，可以拒绝评标，并向采购人书面说明情况。</w:t>
      </w:r>
    </w:p>
    <w:p w14:paraId="0465C827">
      <w:pPr>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评标方法</w:t>
      </w:r>
    </w:p>
    <w:p w14:paraId="4F050F41">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本项目评标方法为：综合评分法。</w:t>
      </w:r>
    </w:p>
    <w:p w14:paraId="65EA701C">
      <w:pPr>
        <w:spacing w:line="3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评标程序</w:t>
      </w:r>
      <w:bookmarkEnd w:id="162"/>
    </w:p>
    <w:p w14:paraId="7BD5AB3E">
      <w:pPr>
        <w:spacing w:line="380" w:lineRule="exact"/>
        <w:ind w:firstLine="480" w:firstLineChars="200"/>
        <w:rPr>
          <w:rFonts w:hint="eastAsia" w:ascii="宋体" w:hAnsi="宋体" w:eastAsia="宋体" w:cs="宋体"/>
          <w:color w:val="auto"/>
          <w:sz w:val="24"/>
          <w:szCs w:val="24"/>
          <w:highlight w:val="none"/>
        </w:rPr>
      </w:pPr>
      <w:bookmarkStart w:id="163" w:name="_Toc217446099"/>
      <w:r>
        <w:rPr>
          <w:rFonts w:hint="eastAsia" w:ascii="宋体" w:hAnsi="宋体" w:eastAsia="宋体" w:cs="宋体"/>
          <w:color w:val="auto"/>
          <w:sz w:val="24"/>
          <w:szCs w:val="24"/>
          <w:highlight w:val="none"/>
        </w:rPr>
        <w:t>3.1资格审查</w:t>
      </w:r>
    </w:p>
    <w:p w14:paraId="1DDBC264">
      <w:pPr>
        <w:keepNext/>
        <w:keepLines/>
        <w:spacing w:line="380" w:lineRule="exact"/>
        <w:jc w:val="center"/>
        <w:outlineLvl w:val="1"/>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br w:type="page"/>
      </w:r>
      <w:r>
        <w:rPr>
          <w:rFonts w:hint="eastAsia" w:ascii="宋体" w:hAnsi="宋体" w:eastAsia="宋体" w:cs="宋体"/>
          <w:b/>
          <w:color w:val="auto"/>
          <w:sz w:val="24"/>
          <w:szCs w:val="24"/>
          <w:highlight w:val="none"/>
        </w:rPr>
        <w:t>资格审查表</w:t>
      </w:r>
    </w:p>
    <w:tbl>
      <w:tblPr>
        <w:tblStyle w:val="27"/>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1429"/>
        <w:gridCol w:w="6265"/>
      </w:tblGrid>
      <w:tr w14:paraId="7631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352" w:type="pct"/>
            <w:vMerge w:val="restart"/>
            <w:vAlign w:val="center"/>
          </w:tcPr>
          <w:p w14:paraId="074A1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862" w:type="pct"/>
            <w:vMerge w:val="restart"/>
            <w:vAlign w:val="center"/>
          </w:tcPr>
          <w:p w14:paraId="1A599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审查因素</w:t>
            </w:r>
          </w:p>
        </w:tc>
        <w:tc>
          <w:tcPr>
            <w:tcW w:w="3784" w:type="pct"/>
            <w:vMerge w:val="restart"/>
            <w:vAlign w:val="center"/>
          </w:tcPr>
          <w:p w14:paraId="3CCA7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审查标准</w:t>
            </w:r>
          </w:p>
        </w:tc>
      </w:tr>
      <w:tr w14:paraId="2595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52" w:type="pct"/>
            <w:vMerge w:val="continue"/>
            <w:vAlign w:val="center"/>
          </w:tcPr>
          <w:p w14:paraId="31D77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p>
        </w:tc>
        <w:tc>
          <w:tcPr>
            <w:tcW w:w="862" w:type="pct"/>
            <w:vMerge w:val="continue"/>
            <w:vAlign w:val="center"/>
          </w:tcPr>
          <w:p w14:paraId="1F18C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p>
        </w:tc>
        <w:tc>
          <w:tcPr>
            <w:tcW w:w="3784" w:type="pct"/>
            <w:vMerge w:val="continue"/>
            <w:vAlign w:val="center"/>
          </w:tcPr>
          <w:p w14:paraId="07B2B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p>
        </w:tc>
      </w:tr>
      <w:tr w14:paraId="0CBC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352" w:type="pct"/>
            <w:vAlign w:val="center"/>
          </w:tcPr>
          <w:p w14:paraId="49984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862" w:type="pct"/>
            <w:vAlign w:val="center"/>
          </w:tcPr>
          <w:p w14:paraId="49725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具有独立承担民事责任的能力；</w:t>
            </w:r>
          </w:p>
        </w:tc>
        <w:tc>
          <w:tcPr>
            <w:tcW w:w="3784" w:type="pct"/>
            <w:vAlign w:val="center"/>
          </w:tcPr>
          <w:p w14:paraId="4B424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具有有效的营业执照；</w:t>
            </w:r>
          </w:p>
        </w:tc>
      </w:tr>
      <w:tr w14:paraId="146B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1" w:hRule="atLeast"/>
          <w:jc w:val="center"/>
        </w:trPr>
        <w:tc>
          <w:tcPr>
            <w:tcW w:w="352" w:type="pct"/>
            <w:vAlign w:val="center"/>
          </w:tcPr>
          <w:p w14:paraId="2043A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862" w:type="pct"/>
            <w:vAlign w:val="center"/>
          </w:tcPr>
          <w:p w14:paraId="7C2D4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tc>
        <w:tc>
          <w:tcPr>
            <w:tcW w:w="3784" w:type="pct"/>
            <w:vAlign w:val="center"/>
          </w:tcPr>
          <w:p w14:paraId="2E67E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根据《财政部关于在政府采购活动中查询及使用信用记录有关问题的通知》（财库﹝2016﹞125号）的要求，凡拟参加本次招标项目的供应商，如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1152F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②提供2024年度或2025年度任意一年的财务审计报告（成立未满十二个月的新公司可提供近三个月内任意一个月的银行资信证明）】</w:t>
            </w:r>
          </w:p>
        </w:tc>
      </w:tr>
      <w:tr w14:paraId="18C1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352" w:type="pct"/>
            <w:tcBorders>
              <w:bottom w:val="single" w:color="auto" w:sz="4" w:space="0"/>
            </w:tcBorders>
            <w:vAlign w:val="center"/>
          </w:tcPr>
          <w:p w14:paraId="2FBC1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c>
          <w:tcPr>
            <w:tcW w:w="862" w:type="pct"/>
            <w:tcBorders>
              <w:bottom w:val="single" w:color="auto" w:sz="4" w:space="0"/>
            </w:tcBorders>
            <w:vAlign w:val="center"/>
          </w:tcPr>
          <w:p w14:paraId="1E772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tc>
        <w:tc>
          <w:tcPr>
            <w:tcW w:w="3784" w:type="pct"/>
            <w:tcBorders>
              <w:bottom w:val="single" w:color="auto" w:sz="4" w:space="0"/>
            </w:tcBorders>
            <w:vAlign w:val="center"/>
          </w:tcPr>
          <w:p w14:paraId="611E1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提供具有履行合同所必需的设备和专业技术能力相关证明材料或声明。</w:t>
            </w:r>
          </w:p>
        </w:tc>
      </w:tr>
      <w:tr w14:paraId="0683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0" w:hRule="atLeast"/>
          <w:jc w:val="center"/>
        </w:trPr>
        <w:tc>
          <w:tcPr>
            <w:tcW w:w="352" w:type="pct"/>
            <w:tcBorders>
              <w:top w:val="single" w:color="auto" w:sz="4" w:space="0"/>
              <w:bottom w:val="single" w:color="auto" w:sz="4" w:space="0"/>
              <w:right w:val="single" w:color="auto" w:sz="4" w:space="0"/>
            </w:tcBorders>
            <w:vAlign w:val="center"/>
          </w:tcPr>
          <w:p w14:paraId="13479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c>
          <w:tcPr>
            <w:tcW w:w="862" w:type="pct"/>
            <w:tcBorders>
              <w:top w:val="single" w:color="auto" w:sz="4" w:space="0"/>
              <w:left w:val="single" w:color="auto" w:sz="4" w:space="0"/>
              <w:bottom w:val="single" w:color="auto" w:sz="4" w:space="0"/>
              <w:right w:val="single" w:color="auto" w:sz="4" w:space="0"/>
            </w:tcBorders>
            <w:vAlign w:val="center"/>
          </w:tcPr>
          <w:p w14:paraId="31045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有依法缴纳税收和社会保障资金的良好记录；</w:t>
            </w:r>
          </w:p>
        </w:tc>
        <w:tc>
          <w:tcPr>
            <w:tcW w:w="3784" w:type="pct"/>
            <w:tcBorders>
              <w:top w:val="single" w:color="auto" w:sz="4" w:space="0"/>
              <w:left w:val="single" w:color="auto" w:sz="4" w:space="0"/>
              <w:bottom w:val="single" w:color="auto" w:sz="4" w:space="0"/>
              <w:right w:val="single" w:color="auto" w:sz="4" w:space="0"/>
            </w:tcBorders>
            <w:vAlign w:val="center"/>
          </w:tcPr>
          <w:p w14:paraId="4B9A6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提供：①近6个月内任意1个月依法缴纳税收的凭据；</w:t>
            </w:r>
          </w:p>
          <w:p w14:paraId="235B8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②近6个月内任意1个月依法缴纳社会保险的凭据，</w:t>
            </w:r>
          </w:p>
          <w:p w14:paraId="79D29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若投标人存在税收零申报月份，须提供税务机关盖章的“无欠税证明”，或电子税务局的申报成功截图（供应商可自主登录“国家税务总局电子税务局”12366.chinatax.gov.cn/bsfw/onlinetaxation/main——税费申报及缴纳——申报结果查询）；请注意，缴纳税收的凭据（“税种”为养老保险、医疗保险、失业保险、工伤保险和生育保险）不可作为完税证明。</w:t>
            </w:r>
          </w:p>
        </w:tc>
      </w:tr>
      <w:tr w14:paraId="7BE8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2" w:hRule="atLeast"/>
          <w:jc w:val="center"/>
        </w:trPr>
        <w:tc>
          <w:tcPr>
            <w:tcW w:w="352" w:type="pct"/>
            <w:tcBorders>
              <w:top w:val="single" w:color="auto" w:sz="4" w:space="0"/>
            </w:tcBorders>
            <w:vAlign w:val="center"/>
          </w:tcPr>
          <w:p w14:paraId="798C3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c>
          <w:tcPr>
            <w:tcW w:w="862" w:type="pct"/>
            <w:tcBorders>
              <w:top w:val="single" w:color="auto" w:sz="4" w:space="0"/>
            </w:tcBorders>
            <w:vAlign w:val="center"/>
          </w:tcPr>
          <w:p w14:paraId="003DE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参加政府采购活动前三年内，在经营活动中没有重大违法记录；</w:t>
            </w:r>
          </w:p>
        </w:tc>
        <w:tc>
          <w:tcPr>
            <w:tcW w:w="3784" w:type="pct"/>
            <w:tcBorders>
              <w:top w:val="single" w:color="auto" w:sz="4" w:space="0"/>
            </w:tcBorders>
            <w:vAlign w:val="center"/>
          </w:tcPr>
          <w:p w14:paraId="5F3CB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提供参加政府采购活动前三年内，在经营活动中没有重大违法记录的承诺函，投标人自行承诺并承担后果，声明不实的，按《政府采购法》及相关法律法规中提供虚假材料的有关规定处理）；</w:t>
            </w:r>
          </w:p>
        </w:tc>
      </w:tr>
      <w:tr w14:paraId="1B72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7" w:hRule="atLeast"/>
          <w:jc w:val="center"/>
        </w:trPr>
        <w:tc>
          <w:tcPr>
            <w:tcW w:w="352" w:type="pct"/>
            <w:vAlign w:val="center"/>
          </w:tcPr>
          <w:p w14:paraId="530D9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62" w:type="pct"/>
            <w:vAlign w:val="center"/>
          </w:tcPr>
          <w:p w14:paraId="6A4D0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3784" w:type="pct"/>
            <w:vAlign w:val="center"/>
          </w:tcPr>
          <w:p w14:paraId="01B1C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提供承诺函，投标人自行承诺并承担后果，声明函不实的，按《政府采购法》及相关法律法规中提供虚假材料的有关规定处理）；</w:t>
            </w:r>
          </w:p>
        </w:tc>
      </w:tr>
      <w:tr w14:paraId="27D7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352" w:type="pct"/>
            <w:vAlign w:val="center"/>
          </w:tcPr>
          <w:p w14:paraId="64F1E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p>
        </w:tc>
        <w:tc>
          <w:tcPr>
            <w:tcW w:w="862" w:type="pct"/>
            <w:shd w:val="clear" w:color="auto" w:fill="auto"/>
            <w:vAlign w:val="center"/>
          </w:tcPr>
          <w:p w14:paraId="66C53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落实政府采购政策需满足的资格要求</w:t>
            </w:r>
          </w:p>
        </w:tc>
        <w:tc>
          <w:tcPr>
            <w:tcW w:w="3784" w:type="pct"/>
            <w:shd w:val="clear" w:color="auto" w:fill="auto"/>
            <w:vAlign w:val="center"/>
          </w:tcPr>
          <w:p w14:paraId="39F65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本项目为不专门面向中小企业采购的项目（若投标供应商所提供的货物全部由符合政策要求的小微企业制造，并按要求提交《中小企业声明函》，可享受10%的价格扣除优惠，用扣除后的价格参与评审。）。</w:t>
            </w:r>
          </w:p>
        </w:tc>
      </w:tr>
      <w:tr w14:paraId="690D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352" w:type="pct"/>
            <w:vAlign w:val="center"/>
          </w:tcPr>
          <w:p w14:paraId="62317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w:t>
            </w:r>
          </w:p>
        </w:tc>
        <w:tc>
          <w:tcPr>
            <w:tcW w:w="862" w:type="pct"/>
            <w:shd w:val="clear" w:color="auto" w:fill="auto"/>
            <w:vAlign w:val="center"/>
          </w:tcPr>
          <w:p w14:paraId="658C6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本项目的特定资格要求</w:t>
            </w:r>
          </w:p>
        </w:tc>
        <w:tc>
          <w:tcPr>
            <w:tcW w:w="3784" w:type="pct"/>
            <w:shd w:val="clear" w:color="auto" w:fill="auto"/>
            <w:vAlign w:val="center"/>
          </w:tcPr>
          <w:p w14:paraId="24D93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p>
        </w:tc>
      </w:tr>
      <w:tr w14:paraId="05D3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352" w:type="pct"/>
            <w:vAlign w:val="center"/>
          </w:tcPr>
          <w:p w14:paraId="334BE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w:t>
            </w:r>
          </w:p>
        </w:tc>
        <w:tc>
          <w:tcPr>
            <w:tcW w:w="862" w:type="pct"/>
            <w:shd w:val="clear" w:color="auto" w:fill="auto"/>
            <w:vAlign w:val="center"/>
          </w:tcPr>
          <w:p w14:paraId="39793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联合体</w:t>
            </w:r>
          </w:p>
        </w:tc>
        <w:tc>
          <w:tcPr>
            <w:tcW w:w="3784" w:type="pct"/>
            <w:shd w:val="clear" w:color="auto" w:fill="auto"/>
            <w:vAlign w:val="center"/>
          </w:tcPr>
          <w:p w14:paraId="05C70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本项目不接受联合体投标。</w:t>
            </w:r>
          </w:p>
        </w:tc>
      </w:tr>
      <w:tr w14:paraId="196B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5000" w:type="pct"/>
            <w:gridSpan w:val="3"/>
            <w:vAlign w:val="center"/>
          </w:tcPr>
          <w:p w14:paraId="4F25B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w:t>
            </w:r>
            <w:r>
              <w:rPr>
                <w:rFonts w:hint="eastAsia" w:ascii="宋体" w:hAnsi="宋体" w:eastAsia="宋体" w:cs="宋体"/>
                <w:color w:val="auto"/>
                <w:kern w:val="2"/>
                <w:sz w:val="24"/>
                <w:szCs w:val="24"/>
                <w:highlight w:val="none"/>
                <w:shd w:val="clear" w:color="auto" w:fill="FFFFFF"/>
                <w:lang w:val="en-US" w:eastAsia="zh-CN" w:bidi="ar-SA"/>
              </w:rPr>
              <w:t>如果资格性审查有一项未通过上述审查标准，采购人或采购代理机构将认定整个投标文件不响应招标文件而予以无效处理，并且不允许投标供应商通过修改或撤销其不符合要求的差异或保留，使之成为具有响应性的投标。</w:t>
            </w:r>
          </w:p>
        </w:tc>
      </w:tr>
    </w:tbl>
    <w:p w14:paraId="45E3154C">
      <w:pPr>
        <w:spacing w:line="380" w:lineRule="exact"/>
        <w:ind w:firstLine="480" w:firstLineChars="200"/>
        <w:rPr>
          <w:rFonts w:hint="eastAsia" w:ascii="宋体" w:hAnsi="宋体" w:eastAsia="宋体" w:cs="宋体"/>
          <w:color w:val="auto"/>
          <w:sz w:val="24"/>
          <w:szCs w:val="24"/>
          <w:highlight w:val="none"/>
        </w:rPr>
      </w:pPr>
    </w:p>
    <w:p w14:paraId="372A87C6">
      <w:pPr>
        <w:spacing w:line="380" w:lineRule="exact"/>
        <w:ind w:firstLine="480" w:firstLineChars="200"/>
        <w:rPr>
          <w:rFonts w:hint="eastAsia" w:ascii="宋体" w:hAnsi="宋体" w:eastAsia="宋体" w:cs="宋体"/>
          <w:color w:val="auto"/>
          <w:sz w:val="24"/>
          <w:szCs w:val="24"/>
          <w:highlight w:val="none"/>
        </w:rPr>
      </w:pPr>
    </w:p>
    <w:p w14:paraId="206DB68A">
      <w:pPr>
        <w:spacing w:line="380" w:lineRule="exact"/>
        <w:ind w:firstLine="480" w:firstLineChars="200"/>
        <w:rPr>
          <w:rFonts w:hint="eastAsia" w:ascii="宋体" w:hAnsi="宋体" w:eastAsia="宋体" w:cs="宋体"/>
          <w:color w:val="auto"/>
          <w:sz w:val="24"/>
          <w:szCs w:val="24"/>
          <w:highlight w:val="none"/>
        </w:rPr>
      </w:pPr>
    </w:p>
    <w:p w14:paraId="6C4379D0">
      <w:pPr>
        <w:spacing w:line="380" w:lineRule="exact"/>
        <w:ind w:firstLine="480" w:firstLineChars="200"/>
        <w:rPr>
          <w:rFonts w:hint="eastAsia" w:ascii="宋体" w:hAnsi="宋体" w:eastAsia="宋体" w:cs="宋体"/>
          <w:color w:val="auto"/>
          <w:sz w:val="24"/>
          <w:szCs w:val="24"/>
          <w:highlight w:val="none"/>
        </w:rPr>
      </w:pPr>
    </w:p>
    <w:p w14:paraId="7D24EE7F">
      <w:pPr>
        <w:spacing w:line="380" w:lineRule="exact"/>
        <w:ind w:firstLine="480" w:firstLineChars="200"/>
        <w:rPr>
          <w:rFonts w:hint="eastAsia" w:ascii="宋体" w:hAnsi="宋体" w:eastAsia="宋体" w:cs="宋体"/>
          <w:color w:val="auto"/>
          <w:sz w:val="24"/>
          <w:szCs w:val="24"/>
          <w:highlight w:val="none"/>
        </w:rPr>
      </w:pPr>
    </w:p>
    <w:p w14:paraId="3464CCB1">
      <w:pPr>
        <w:spacing w:line="380" w:lineRule="exact"/>
        <w:ind w:firstLine="480" w:firstLineChars="200"/>
        <w:rPr>
          <w:rFonts w:hint="eastAsia" w:ascii="宋体" w:hAnsi="宋体" w:eastAsia="宋体" w:cs="宋体"/>
          <w:color w:val="auto"/>
          <w:sz w:val="24"/>
          <w:szCs w:val="24"/>
          <w:highlight w:val="none"/>
        </w:rPr>
      </w:pPr>
    </w:p>
    <w:p w14:paraId="3A2DB8D6">
      <w:pPr>
        <w:spacing w:line="380" w:lineRule="exact"/>
        <w:ind w:firstLine="480" w:firstLineChars="200"/>
        <w:rPr>
          <w:rFonts w:hint="eastAsia" w:ascii="宋体" w:hAnsi="宋体" w:eastAsia="宋体" w:cs="宋体"/>
          <w:color w:val="auto"/>
          <w:sz w:val="24"/>
          <w:szCs w:val="24"/>
          <w:highlight w:val="none"/>
        </w:rPr>
      </w:pPr>
    </w:p>
    <w:p w14:paraId="32B509ED">
      <w:pPr>
        <w:spacing w:line="380" w:lineRule="exact"/>
        <w:ind w:firstLine="480" w:firstLineChars="200"/>
        <w:rPr>
          <w:rFonts w:hint="eastAsia" w:ascii="宋体" w:hAnsi="宋体" w:eastAsia="宋体" w:cs="宋体"/>
          <w:color w:val="auto"/>
          <w:sz w:val="24"/>
          <w:szCs w:val="24"/>
          <w:highlight w:val="none"/>
        </w:rPr>
      </w:pPr>
    </w:p>
    <w:p w14:paraId="2C52877C">
      <w:pPr>
        <w:spacing w:line="380" w:lineRule="exact"/>
        <w:ind w:firstLine="480" w:firstLineChars="200"/>
        <w:rPr>
          <w:rFonts w:hint="eastAsia" w:ascii="宋体" w:hAnsi="宋体" w:eastAsia="宋体" w:cs="宋体"/>
          <w:color w:val="auto"/>
          <w:sz w:val="24"/>
          <w:szCs w:val="24"/>
          <w:highlight w:val="none"/>
        </w:rPr>
      </w:pPr>
    </w:p>
    <w:p w14:paraId="61DEA2D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42CA08D">
      <w:pPr>
        <w:spacing w:line="38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3.2符合性审查。依据招标文件的规定，从投标文件的有效性、完整性和对招标文件的响应程度进行审查，以确定是否对招标文件的实质性要求作出响应。</w:t>
      </w:r>
    </w:p>
    <w:p w14:paraId="506D0D6B">
      <w:pPr>
        <w:pStyle w:val="26"/>
        <w:spacing w:line="380" w:lineRule="exact"/>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符合性审查表</w:t>
      </w:r>
    </w:p>
    <w:tbl>
      <w:tblPr>
        <w:tblStyle w:val="27"/>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9"/>
        <w:gridCol w:w="6178"/>
        <w:gridCol w:w="624"/>
        <w:gridCol w:w="489"/>
        <w:gridCol w:w="583"/>
      </w:tblGrid>
      <w:tr w14:paraId="2488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508" w:type="dxa"/>
            <w:vMerge w:val="restart"/>
            <w:noWrap w:val="0"/>
            <w:vAlign w:val="center"/>
          </w:tcPr>
          <w:p w14:paraId="6399C2A0">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172" w:type="dxa"/>
            <w:vMerge w:val="restart"/>
            <w:noWrap w:val="0"/>
            <w:vAlign w:val="center"/>
          </w:tcPr>
          <w:p w14:paraId="71F56770">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1693" w:type="dxa"/>
            <w:gridSpan w:val="3"/>
            <w:noWrap w:val="0"/>
            <w:vAlign w:val="center"/>
          </w:tcPr>
          <w:p w14:paraId="52F8CD7B">
            <w:pPr>
              <w:pStyle w:val="86"/>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供应商名称</w:t>
            </w:r>
          </w:p>
        </w:tc>
      </w:tr>
      <w:tr w14:paraId="4CB2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508" w:type="dxa"/>
            <w:vMerge w:val="continue"/>
            <w:noWrap w:val="0"/>
            <w:vAlign w:val="center"/>
          </w:tcPr>
          <w:p w14:paraId="23804FD5">
            <w:pPr>
              <w:pStyle w:val="86"/>
              <w:spacing w:line="380" w:lineRule="exact"/>
              <w:jc w:val="center"/>
              <w:textAlignment w:val="center"/>
              <w:rPr>
                <w:rFonts w:hint="eastAsia" w:ascii="宋体" w:hAnsi="宋体" w:eastAsia="宋体" w:cs="宋体"/>
                <w:color w:val="auto"/>
                <w:sz w:val="24"/>
                <w:szCs w:val="24"/>
                <w:highlight w:val="none"/>
              </w:rPr>
            </w:pPr>
          </w:p>
        </w:tc>
        <w:tc>
          <w:tcPr>
            <w:tcW w:w="6172" w:type="dxa"/>
            <w:vMerge w:val="continue"/>
            <w:noWrap w:val="0"/>
            <w:vAlign w:val="center"/>
          </w:tcPr>
          <w:p w14:paraId="6141B3B2">
            <w:pPr>
              <w:pStyle w:val="86"/>
              <w:spacing w:line="380" w:lineRule="exact"/>
              <w:jc w:val="center"/>
              <w:textAlignment w:val="center"/>
              <w:rPr>
                <w:rFonts w:hint="eastAsia" w:ascii="宋体" w:hAnsi="宋体" w:eastAsia="宋体" w:cs="宋体"/>
                <w:color w:val="auto"/>
                <w:sz w:val="24"/>
                <w:szCs w:val="24"/>
                <w:highlight w:val="none"/>
              </w:rPr>
            </w:pPr>
          </w:p>
        </w:tc>
        <w:tc>
          <w:tcPr>
            <w:tcW w:w="623" w:type="dxa"/>
            <w:noWrap w:val="0"/>
            <w:vAlign w:val="center"/>
          </w:tcPr>
          <w:p w14:paraId="7E6895D5">
            <w:pPr>
              <w:pStyle w:val="86"/>
              <w:spacing w:line="38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A</w:t>
            </w:r>
          </w:p>
        </w:tc>
        <w:tc>
          <w:tcPr>
            <w:tcW w:w="488" w:type="dxa"/>
            <w:noWrap w:val="0"/>
            <w:vAlign w:val="center"/>
          </w:tcPr>
          <w:p w14:paraId="7A223805">
            <w:pPr>
              <w:pStyle w:val="86"/>
              <w:spacing w:line="38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B</w:t>
            </w:r>
          </w:p>
        </w:tc>
        <w:tc>
          <w:tcPr>
            <w:tcW w:w="582" w:type="dxa"/>
            <w:noWrap w:val="0"/>
            <w:vAlign w:val="center"/>
          </w:tcPr>
          <w:p w14:paraId="64E416E6">
            <w:pPr>
              <w:pStyle w:val="86"/>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w:t>
            </w:r>
          </w:p>
        </w:tc>
      </w:tr>
      <w:tr w14:paraId="3720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jc w:val="center"/>
        </w:trPr>
        <w:tc>
          <w:tcPr>
            <w:tcW w:w="508" w:type="dxa"/>
            <w:noWrap w:val="0"/>
            <w:vAlign w:val="center"/>
          </w:tcPr>
          <w:p w14:paraId="52537422">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172" w:type="dxa"/>
            <w:noWrap w:val="0"/>
            <w:vAlign w:val="center"/>
          </w:tcPr>
          <w:p w14:paraId="6A06C6A1">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w:t>
            </w:r>
            <w:r>
              <w:rPr>
                <w:rFonts w:hint="eastAsia" w:ascii="宋体" w:hAnsi="宋体" w:eastAsia="宋体" w:cs="宋体"/>
                <w:color w:val="auto"/>
                <w:sz w:val="24"/>
                <w:szCs w:val="24"/>
                <w:highlight w:val="none"/>
                <w:lang w:val="en-US" w:eastAsia="zh-CN"/>
              </w:rPr>
              <w:t>编制</w:t>
            </w:r>
            <w:r>
              <w:rPr>
                <w:rFonts w:hint="eastAsia" w:ascii="宋体" w:hAnsi="宋体" w:eastAsia="宋体" w:cs="宋体"/>
                <w:color w:val="auto"/>
                <w:sz w:val="24"/>
                <w:szCs w:val="24"/>
                <w:highlight w:val="none"/>
              </w:rPr>
              <w:t>符合招标文件要求；</w:t>
            </w:r>
          </w:p>
        </w:tc>
        <w:tc>
          <w:tcPr>
            <w:tcW w:w="623" w:type="dxa"/>
            <w:noWrap w:val="0"/>
            <w:vAlign w:val="center"/>
          </w:tcPr>
          <w:p w14:paraId="7F9DC10E">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16551BC2">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0A001C28">
            <w:pPr>
              <w:pStyle w:val="86"/>
              <w:spacing w:line="380" w:lineRule="exact"/>
              <w:jc w:val="center"/>
              <w:textAlignment w:val="center"/>
              <w:rPr>
                <w:rFonts w:hint="eastAsia" w:ascii="宋体" w:hAnsi="宋体" w:eastAsia="宋体" w:cs="宋体"/>
                <w:color w:val="auto"/>
                <w:sz w:val="24"/>
                <w:szCs w:val="24"/>
                <w:highlight w:val="none"/>
              </w:rPr>
            </w:pPr>
          </w:p>
        </w:tc>
      </w:tr>
      <w:tr w14:paraId="6D05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exact"/>
          <w:jc w:val="center"/>
        </w:trPr>
        <w:tc>
          <w:tcPr>
            <w:tcW w:w="508" w:type="dxa"/>
            <w:noWrap w:val="0"/>
            <w:vAlign w:val="center"/>
          </w:tcPr>
          <w:p w14:paraId="39123AD4">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172" w:type="dxa"/>
            <w:noWrap w:val="0"/>
            <w:vAlign w:val="center"/>
          </w:tcPr>
          <w:p w14:paraId="44AE8F5B">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投标文件按招标文件要求</w:t>
            </w:r>
            <w:r>
              <w:rPr>
                <w:rFonts w:hint="eastAsia" w:ascii="宋体" w:hAnsi="宋体" w:eastAsia="宋体" w:cs="宋体"/>
                <w:color w:val="auto"/>
                <w:sz w:val="24"/>
                <w:szCs w:val="24"/>
                <w:highlight w:val="none"/>
                <w:lang w:val="en-US" w:eastAsia="zh-CN"/>
              </w:rPr>
              <w:t>加密、</w:t>
            </w:r>
            <w:r>
              <w:rPr>
                <w:rFonts w:hint="eastAsia" w:ascii="宋体" w:hAnsi="宋体" w:eastAsia="宋体" w:cs="宋体"/>
                <w:color w:val="auto"/>
                <w:sz w:val="24"/>
                <w:szCs w:val="24"/>
                <w:highlight w:val="none"/>
              </w:rPr>
              <w:t>签署、</w:t>
            </w:r>
            <w:r>
              <w:rPr>
                <w:rFonts w:hint="eastAsia" w:ascii="宋体" w:hAnsi="宋体" w:eastAsia="宋体" w:cs="宋体"/>
                <w:color w:val="auto"/>
                <w:sz w:val="24"/>
                <w:szCs w:val="24"/>
                <w:highlight w:val="none"/>
                <w:lang w:val="en-US" w:eastAsia="zh-CN"/>
              </w:rPr>
              <w:t>签</w:t>
            </w:r>
            <w:r>
              <w:rPr>
                <w:rFonts w:hint="eastAsia" w:ascii="宋体" w:hAnsi="宋体" w:eastAsia="宋体" w:cs="宋体"/>
                <w:color w:val="auto"/>
                <w:sz w:val="24"/>
                <w:szCs w:val="24"/>
                <w:highlight w:val="none"/>
              </w:rPr>
              <w:t>章；</w:t>
            </w:r>
          </w:p>
        </w:tc>
        <w:tc>
          <w:tcPr>
            <w:tcW w:w="623" w:type="dxa"/>
            <w:noWrap w:val="0"/>
            <w:vAlign w:val="center"/>
          </w:tcPr>
          <w:p w14:paraId="013E4AE2">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572F8880">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3027D876">
            <w:pPr>
              <w:pStyle w:val="86"/>
              <w:spacing w:line="380" w:lineRule="exact"/>
              <w:jc w:val="center"/>
              <w:textAlignment w:val="center"/>
              <w:rPr>
                <w:rFonts w:hint="eastAsia" w:ascii="宋体" w:hAnsi="宋体" w:eastAsia="宋体" w:cs="宋体"/>
                <w:color w:val="auto"/>
                <w:sz w:val="24"/>
                <w:szCs w:val="24"/>
                <w:highlight w:val="none"/>
              </w:rPr>
            </w:pPr>
          </w:p>
        </w:tc>
      </w:tr>
      <w:tr w14:paraId="24CD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508" w:type="dxa"/>
            <w:noWrap w:val="0"/>
            <w:vAlign w:val="center"/>
          </w:tcPr>
          <w:p w14:paraId="28453AB2">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172" w:type="dxa"/>
            <w:noWrap w:val="0"/>
            <w:vAlign w:val="center"/>
          </w:tcPr>
          <w:p w14:paraId="76132CFC">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按照招标文件的规定提交投标保证金；</w:t>
            </w:r>
          </w:p>
        </w:tc>
        <w:tc>
          <w:tcPr>
            <w:tcW w:w="623" w:type="dxa"/>
            <w:noWrap w:val="0"/>
            <w:vAlign w:val="center"/>
          </w:tcPr>
          <w:p w14:paraId="0B31A8C9">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21E83291">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63FB1784">
            <w:pPr>
              <w:pStyle w:val="86"/>
              <w:spacing w:line="380" w:lineRule="exact"/>
              <w:jc w:val="center"/>
              <w:textAlignment w:val="center"/>
              <w:rPr>
                <w:rFonts w:hint="eastAsia" w:ascii="宋体" w:hAnsi="宋体" w:eastAsia="宋体" w:cs="宋体"/>
                <w:color w:val="auto"/>
                <w:sz w:val="24"/>
                <w:szCs w:val="24"/>
                <w:highlight w:val="none"/>
              </w:rPr>
            </w:pPr>
          </w:p>
        </w:tc>
      </w:tr>
      <w:tr w14:paraId="30E2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508" w:type="dxa"/>
            <w:noWrap w:val="0"/>
            <w:vAlign w:val="center"/>
          </w:tcPr>
          <w:p w14:paraId="79CE3245">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172" w:type="dxa"/>
            <w:noWrap w:val="0"/>
            <w:vAlign w:val="center"/>
          </w:tcPr>
          <w:p w14:paraId="469731A4">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rPr>
              <w:t>超过招标文件中规定的</w:t>
            </w:r>
            <w:r>
              <w:rPr>
                <w:rFonts w:hint="eastAsia" w:ascii="宋体" w:hAnsi="宋体" w:eastAsia="宋体" w:cs="宋体"/>
                <w:color w:val="auto"/>
                <w:sz w:val="24"/>
                <w:szCs w:val="24"/>
                <w:highlight w:val="none"/>
                <w:lang w:val="en-US" w:eastAsia="zh-CN"/>
              </w:rPr>
              <w:t>预算金额或</w:t>
            </w:r>
            <w:r>
              <w:rPr>
                <w:rFonts w:hint="eastAsia" w:ascii="宋体" w:hAnsi="宋体" w:eastAsia="宋体" w:cs="宋体"/>
                <w:color w:val="auto"/>
                <w:sz w:val="24"/>
                <w:szCs w:val="24"/>
                <w:highlight w:val="none"/>
              </w:rPr>
              <w:t>最高限价；</w:t>
            </w:r>
          </w:p>
        </w:tc>
        <w:tc>
          <w:tcPr>
            <w:tcW w:w="623" w:type="dxa"/>
            <w:noWrap w:val="0"/>
            <w:vAlign w:val="center"/>
          </w:tcPr>
          <w:p w14:paraId="5701FB7A">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2391A12D">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3C9A39C7">
            <w:pPr>
              <w:pStyle w:val="86"/>
              <w:spacing w:line="380" w:lineRule="exact"/>
              <w:jc w:val="center"/>
              <w:textAlignment w:val="center"/>
              <w:rPr>
                <w:rFonts w:hint="eastAsia" w:ascii="宋体" w:hAnsi="宋体" w:eastAsia="宋体" w:cs="宋体"/>
                <w:color w:val="auto"/>
                <w:sz w:val="24"/>
                <w:szCs w:val="24"/>
                <w:highlight w:val="none"/>
              </w:rPr>
            </w:pPr>
          </w:p>
        </w:tc>
      </w:tr>
      <w:tr w14:paraId="3009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8" w:hRule="exact"/>
          <w:jc w:val="center"/>
        </w:trPr>
        <w:tc>
          <w:tcPr>
            <w:tcW w:w="508" w:type="dxa"/>
            <w:shd w:val="clear" w:color="auto" w:fill="auto"/>
            <w:noWrap w:val="0"/>
            <w:vAlign w:val="center"/>
          </w:tcPr>
          <w:p w14:paraId="3248F485">
            <w:pPr>
              <w:pStyle w:val="86"/>
              <w:spacing w:line="380" w:lineRule="exact"/>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6172" w:type="dxa"/>
            <w:noWrap w:val="0"/>
            <w:vAlign w:val="center"/>
          </w:tcPr>
          <w:p w14:paraId="452926C2">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评标委员会认为供应商的报价无明显低于其他通过</w:t>
            </w:r>
            <w:r>
              <w:rPr>
                <w:rFonts w:hint="eastAsia" w:ascii="宋体" w:hAnsi="宋体" w:eastAsia="宋体" w:cs="宋体"/>
                <w:color w:val="auto"/>
                <w:sz w:val="24"/>
                <w:szCs w:val="24"/>
                <w:highlight w:val="none"/>
                <w:lang w:val="en-US" w:eastAsia="zh-CN"/>
              </w:rPr>
              <w:t>符合</w:t>
            </w:r>
            <w:r>
              <w:rPr>
                <w:rFonts w:hint="eastAsia" w:ascii="宋体" w:hAnsi="宋体" w:eastAsia="宋体" w:cs="宋体"/>
                <w:color w:val="auto"/>
                <w:sz w:val="24"/>
                <w:szCs w:val="24"/>
                <w:highlight w:val="none"/>
              </w:rPr>
              <w:t>性审查供应商的报价的，供应商的报价不存在异常一致并成规律性的，其报价合理；</w:t>
            </w:r>
          </w:p>
        </w:tc>
        <w:tc>
          <w:tcPr>
            <w:tcW w:w="623" w:type="dxa"/>
            <w:noWrap w:val="0"/>
            <w:vAlign w:val="center"/>
          </w:tcPr>
          <w:p w14:paraId="72BE9160">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2BA12A67">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5DE2D920">
            <w:pPr>
              <w:pStyle w:val="86"/>
              <w:spacing w:line="380" w:lineRule="exact"/>
              <w:jc w:val="center"/>
              <w:textAlignment w:val="center"/>
              <w:rPr>
                <w:rFonts w:hint="eastAsia" w:ascii="宋体" w:hAnsi="宋体" w:eastAsia="宋体" w:cs="宋体"/>
                <w:color w:val="auto"/>
                <w:sz w:val="24"/>
                <w:szCs w:val="24"/>
                <w:highlight w:val="none"/>
              </w:rPr>
            </w:pPr>
          </w:p>
        </w:tc>
      </w:tr>
      <w:tr w14:paraId="68D5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exact"/>
          <w:jc w:val="center"/>
        </w:trPr>
        <w:tc>
          <w:tcPr>
            <w:tcW w:w="508" w:type="dxa"/>
            <w:shd w:val="clear" w:color="auto" w:fill="auto"/>
            <w:noWrap w:val="0"/>
            <w:vAlign w:val="center"/>
          </w:tcPr>
          <w:p w14:paraId="43D84E56">
            <w:pPr>
              <w:pStyle w:val="86"/>
              <w:spacing w:line="380" w:lineRule="exact"/>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6172" w:type="dxa"/>
            <w:noWrap w:val="0"/>
            <w:vAlign w:val="center"/>
          </w:tcPr>
          <w:p w14:paraId="17E86B0C">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交货期、</w:t>
            </w:r>
            <w:r>
              <w:rPr>
                <w:rFonts w:hint="eastAsia" w:ascii="宋体" w:hAnsi="宋体" w:eastAsia="宋体" w:cs="宋体"/>
                <w:color w:val="auto"/>
                <w:sz w:val="24"/>
                <w:szCs w:val="24"/>
                <w:highlight w:val="none"/>
              </w:rPr>
              <w:t>质保期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投标有效期等</w:t>
            </w:r>
            <w:r>
              <w:rPr>
                <w:rFonts w:hint="eastAsia" w:ascii="宋体" w:hAnsi="宋体" w:eastAsia="宋体" w:cs="宋体"/>
                <w:color w:val="auto"/>
                <w:sz w:val="24"/>
                <w:szCs w:val="24"/>
                <w:highlight w:val="none"/>
              </w:rPr>
              <w:t>符合招标文件规定期限；</w:t>
            </w:r>
          </w:p>
        </w:tc>
        <w:tc>
          <w:tcPr>
            <w:tcW w:w="623" w:type="dxa"/>
            <w:noWrap w:val="0"/>
            <w:vAlign w:val="center"/>
          </w:tcPr>
          <w:p w14:paraId="530BC809">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317699DE">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2C297078">
            <w:pPr>
              <w:pStyle w:val="86"/>
              <w:spacing w:line="380" w:lineRule="exact"/>
              <w:jc w:val="center"/>
              <w:textAlignment w:val="center"/>
              <w:rPr>
                <w:rFonts w:hint="eastAsia" w:ascii="宋体" w:hAnsi="宋体" w:eastAsia="宋体" w:cs="宋体"/>
                <w:color w:val="auto"/>
                <w:sz w:val="24"/>
                <w:szCs w:val="24"/>
                <w:highlight w:val="none"/>
              </w:rPr>
            </w:pPr>
          </w:p>
        </w:tc>
      </w:tr>
      <w:tr w14:paraId="0993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exact"/>
          <w:jc w:val="center"/>
        </w:trPr>
        <w:tc>
          <w:tcPr>
            <w:tcW w:w="508" w:type="dxa"/>
            <w:shd w:val="clear" w:color="auto" w:fill="auto"/>
            <w:noWrap w:val="0"/>
            <w:vAlign w:val="center"/>
          </w:tcPr>
          <w:p w14:paraId="15E9FC49">
            <w:pPr>
              <w:pStyle w:val="86"/>
              <w:spacing w:line="380" w:lineRule="exact"/>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6172" w:type="dxa"/>
            <w:noWrap w:val="0"/>
            <w:vAlign w:val="center"/>
          </w:tcPr>
          <w:p w14:paraId="224FEE00">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要求。</w:t>
            </w:r>
          </w:p>
        </w:tc>
        <w:tc>
          <w:tcPr>
            <w:tcW w:w="623" w:type="dxa"/>
            <w:noWrap w:val="0"/>
            <w:vAlign w:val="center"/>
          </w:tcPr>
          <w:p w14:paraId="31B6080A">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3D461770">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0C2A581F">
            <w:pPr>
              <w:pStyle w:val="86"/>
              <w:spacing w:line="380" w:lineRule="exact"/>
              <w:jc w:val="center"/>
              <w:textAlignment w:val="center"/>
              <w:rPr>
                <w:rFonts w:hint="eastAsia" w:ascii="宋体" w:hAnsi="宋体" w:eastAsia="宋体" w:cs="宋体"/>
                <w:color w:val="auto"/>
                <w:sz w:val="24"/>
                <w:szCs w:val="24"/>
                <w:highlight w:val="none"/>
              </w:rPr>
            </w:pPr>
          </w:p>
        </w:tc>
      </w:tr>
      <w:tr w14:paraId="6918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exact"/>
          <w:jc w:val="center"/>
        </w:trPr>
        <w:tc>
          <w:tcPr>
            <w:tcW w:w="508" w:type="dxa"/>
            <w:shd w:val="clear" w:color="auto" w:fill="auto"/>
            <w:noWrap w:val="0"/>
            <w:vAlign w:val="center"/>
          </w:tcPr>
          <w:p w14:paraId="717BDF62">
            <w:pPr>
              <w:pStyle w:val="86"/>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6172" w:type="dxa"/>
            <w:noWrap w:val="0"/>
            <w:vAlign w:val="center"/>
          </w:tcPr>
          <w:p w14:paraId="03FFCE7F">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供应商附有详细地址、联系人、电话标明的</w:t>
            </w:r>
            <w:r>
              <w:rPr>
                <w:rFonts w:hint="eastAsia" w:ascii="宋体" w:hAnsi="宋体" w:eastAsia="宋体" w:cs="宋体"/>
                <w:color w:val="auto"/>
                <w:sz w:val="24"/>
                <w:szCs w:val="24"/>
                <w:highlight w:val="none"/>
                <w:lang w:eastAsia="zh-CN"/>
              </w:rPr>
              <w:t>；</w:t>
            </w:r>
          </w:p>
        </w:tc>
        <w:tc>
          <w:tcPr>
            <w:tcW w:w="623" w:type="dxa"/>
            <w:noWrap w:val="0"/>
            <w:vAlign w:val="center"/>
          </w:tcPr>
          <w:p w14:paraId="6E942BC5">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43BDA43D">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4D5A0DC0">
            <w:pPr>
              <w:pStyle w:val="86"/>
              <w:spacing w:line="380" w:lineRule="exact"/>
              <w:jc w:val="center"/>
              <w:textAlignment w:val="center"/>
              <w:rPr>
                <w:rFonts w:hint="eastAsia" w:ascii="宋体" w:hAnsi="宋体" w:eastAsia="宋体" w:cs="宋体"/>
                <w:color w:val="auto"/>
                <w:sz w:val="24"/>
                <w:szCs w:val="24"/>
                <w:highlight w:val="none"/>
              </w:rPr>
            </w:pPr>
          </w:p>
        </w:tc>
      </w:tr>
      <w:tr w14:paraId="4664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exact"/>
          <w:jc w:val="center"/>
        </w:trPr>
        <w:tc>
          <w:tcPr>
            <w:tcW w:w="508" w:type="dxa"/>
            <w:noWrap w:val="0"/>
            <w:vAlign w:val="center"/>
          </w:tcPr>
          <w:p w14:paraId="6F286C93">
            <w:pPr>
              <w:pStyle w:val="86"/>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6172" w:type="dxa"/>
            <w:noWrap w:val="0"/>
            <w:vAlign w:val="center"/>
          </w:tcPr>
          <w:p w14:paraId="72696FE0">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不存在</w:t>
            </w:r>
            <w:r>
              <w:rPr>
                <w:rFonts w:hint="eastAsia" w:ascii="宋体" w:hAnsi="宋体" w:eastAsia="宋体" w:cs="宋体"/>
                <w:color w:val="auto"/>
                <w:sz w:val="24"/>
                <w:szCs w:val="24"/>
                <w:highlight w:val="none"/>
                <w:lang w:eastAsia="zh-CN"/>
              </w:rPr>
              <w:t>采购人不能接受的附加条件、</w:t>
            </w:r>
            <w:r>
              <w:rPr>
                <w:rFonts w:hint="eastAsia" w:ascii="宋体" w:hAnsi="宋体" w:eastAsia="宋体" w:cs="宋体"/>
                <w:color w:val="auto"/>
                <w:sz w:val="24"/>
                <w:szCs w:val="24"/>
                <w:highlight w:val="none"/>
                <w:lang w:val="en-US" w:eastAsia="zh-CN"/>
              </w:rPr>
              <w:t>不存在法律、法规和招标文件规定的其他无效情形</w:t>
            </w:r>
            <w:r>
              <w:rPr>
                <w:rFonts w:hint="eastAsia" w:ascii="宋体" w:hAnsi="宋体" w:eastAsia="宋体" w:cs="宋体"/>
                <w:color w:val="auto"/>
                <w:sz w:val="24"/>
                <w:szCs w:val="24"/>
                <w:highlight w:val="none"/>
              </w:rPr>
              <w:t>。</w:t>
            </w:r>
          </w:p>
        </w:tc>
        <w:tc>
          <w:tcPr>
            <w:tcW w:w="623" w:type="dxa"/>
            <w:noWrap w:val="0"/>
            <w:vAlign w:val="center"/>
          </w:tcPr>
          <w:p w14:paraId="09706880">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736CF0FE">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4B4DB272">
            <w:pPr>
              <w:pStyle w:val="86"/>
              <w:spacing w:line="380" w:lineRule="exact"/>
              <w:jc w:val="center"/>
              <w:textAlignment w:val="center"/>
              <w:rPr>
                <w:rFonts w:hint="eastAsia" w:ascii="宋体" w:hAnsi="宋体" w:eastAsia="宋体" w:cs="宋体"/>
                <w:color w:val="auto"/>
                <w:sz w:val="24"/>
                <w:szCs w:val="24"/>
                <w:highlight w:val="none"/>
              </w:rPr>
            </w:pPr>
          </w:p>
        </w:tc>
      </w:tr>
      <w:tr w14:paraId="4D3A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exact"/>
          <w:jc w:val="center"/>
        </w:trPr>
        <w:tc>
          <w:tcPr>
            <w:tcW w:w="6680" w:type="dxa"/>
            <w:gridSpan w:val="2"/>
            <w:noWrap w:val="0"/>
            <w:vAlign w:val="center"/>
          </w:tcPr>
          <w:p w14:paraId="10CF6137">
            <w:pPr>
              <w:pStyle w:val="86"/>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623" w:type="dxa"/>
            <w:noWrap w:val="0"/>
            <w:vAlign w:val="center"/>
          </w:tcPr>
          <w:p w14:paraId="2DCE4F01">
            <w:pPr>
              <w:pStyle w:val="86"/>
              <w:spacing w:line="380" w:lineRule="exact"/>
              <w:jc w:val="center"/>
              <w:textAlignment w:val="center"/>
              <w:rPr>
                <w:rFonts w:hint="eastAsia" w:ascii="宋体" w:hAnsi="宋体" w:eastAsia="宋体" w:cs="宋体"/>
                <w:color w:val="auto"/>
                <w:sz w:val="24"/>
                <w:szCs w:val="24"/>
                <w:highlight w:val="none"/>
              </w:rPr>
            </w:pPr>
          </w:p>
        </w:tc>
        <w:tc>
          <w:tcPr>
            <w:tcW w:w="488" w:type="dxa"/>
            <w:noWrap w:val="0"/>
            <w:vAlign w:val="center"/>
          </w:tcPr>
          <w:p w14:paraId="3831DEC7">
            <w:pPr>
              <w:pStyle w:val="86"/>
              <w:spacing w:line="380" w:lineRule="exact"/>
              <w:jc w:val="center"/>
              <w:textAlignment w:val="center"/>
              <w:rPr>
                <w:rFonts w:hint="eastAsia" w:ascii="宋体" w:hAnsi="宋体" w:eastAsia="宋体" w:cs="宋体"/>
                <w:color w:val="auto"/>
                <w:sz w:val="24"/>
                <w:szCs w:val="24"/>
                <w:highlight w:val="none"/>
              </w:rPr>
            </w:pPr>
          </w:p>
        </w:tc>
        <w:tc>
          <w:tcPr>
            <w:tcW w:w="582" w:type="dxa"/>
            <w:noWrap w:val="0"/>
            <w:vAlign w:val="center"/>
          </w:tcPr>
          <w:p w14:paraId="490A431E">
            <w:pPr>
              <w:pStyle w:val="86"/>
              <w:spacing w:line="380" w:lineRule="exact"/>
              <w:jc w:val="center"/>
              <w:textAlignment w:val="center"/>
              <w:rPr>
                <w:rFonts w:hint="eastAsia" w:ascii="宋体" w:hAnsi="宋体" w:eastAsia="宋体" w:cs="宋体"/>
                <w:color w:val="auto"/>
                <w:sz w:val="24"/>
                <w:szCs w:val="24"/>
                <w:highlight w:val="none"/>
              </w:rPr>
            </w:pPr>
          </w:p>
        </w:tc>
      </w:tr>
      <w:tr w14:paraId="2FE4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exact"/>
          <w:jc w:val="center"/>
        </w:trPr>
        <w:tc>
          <w:tcPr>
            <w:tcW w:w="8373" w:type="dxa"/>
            <w:gridSpan w:val="5"/>
            <w:noWrap w:val="0"/>
            <w:vAlign w:val="center"/>
          </w:tcPr>
          <w:p w14:paraId="47F5AE8A">
            <w:pPr>
              <w:pStyle w:val="86"/>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备注：如果投标文件中有一项未通过上述审查标准，评标委员会将认定整个投标文件不响应招标文件而予以无效处理，并且不允许</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通过修改或撤销其不符合要求的差异或保留，使之成为具有响应性的投标。</w:t>
            </w:r>
          </w:p>
        </w:tc>
      </w:tr>
    </w:tbl>
    <w:p w14:paraId="3FFBA525">
      <w:pPr>
        <w:pStyle w:val="11"/>
        <w:tabs>
          <w:tab w:val="left" w:pos="600"/>
        </w:tabs>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3.2.1在投标文件符合性审查过程中，如果出现评标委员会成员意见不一致的情况，按照少数服从多数的原则确定，但不得违背政府采购基本原则和招标文件规定。</w:t>
      </w:r>
    </w:p>
    <w:p w14:paraId="1481B9B4">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3.3澄清有关问题。对投标文件中含义不明确、同类问题表述不一致或者有明显文字和计算错误的内容，评标委员会可以书面形式（应当由评标委员会签字）要求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作出必要的澄清、说明或者补正。</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的澄清、说明或者补正应当采用书面形式，由其授权人或者被授权人签字，并不得超出投标文件的范围或者改变投标文件的实质性内容。</w:t>
      </w:r>
      <w:bookmarkStart w:id="164" w:name="_Toc183582287"/>
      <w:bookmarkStart w:id="165" w:name="_Toc183682422"/>
      <w:bookmarkStart w:id="166" w:name="_Toc217446104"/>
    </w:p>
    <w:bookmarkEnd w:id="164"/>
    <w:bookmarkEnd w:id="165"/>
    <w:bookmarkEnd w:id="166"/>
    <w:p w14:paraId="4DC20647">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3.4比较与评价。按招标文件中规定的评标方法和标准，对符合性审查合格的投标文件进行综合比较与评价。</w:t>
      </w:r>
    </w:p>
    <w:p w14:paraId="508F7A45">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3.5推荐中标候选人名单。中标候选人数量应当根据招标文件确定，但必须按顺序排列中标候选人。</w:t>
      </w:r>
    </w:p>
    <w:p w14:paraId="705F9A67">
      <w:pPr>
        <w:pStyle w:val="81"/>
        <w:spacing w:line="380" w:lineRule="exac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3.5.1评标委员会根据综合评分情况，按照评标得分由高到低顺序推荐3名中标候选人，并编写评标报告。得分相同的，按投标报价由低到高顺序排列。得分且投标报价相同的</w:t>
      </w:r>
      <w:r>
        <w:rPr>
          <w:rFonts w:hint="eastAsia" w:ascii="宋体" w:hAnsi="宋体" w:eastAsia="宋体" w:cs="宋体"/>
          <w:color w:val="auto"/>
          <w:sz w:val="24"/>
          <w:szCs w:val="24"/>
          <w:highlight w:val="none"/>
          <w:shd w:val="clear" w:color="auto" w:fill="FAFAFA"/>
        </w:rPr>
        <w:t>，按照技术指标优劣顺序推荐</w:t>
      </w:r>
      <w:r>
        <w:rPr>
          <w:rFonts w:hint="eastAsia" w:ascii="宋体" w:hAnsi="宋体" w:eastAsia="宋体" w:cs="宋体"/>
          <w:color w:val="auto"/>
          <w:sz w:val="24"/>
          <w:szCs w:val="24"/>
          <w:highlight w:val="none"/>
        </w:rPr>
        <w:t>。</w:t>
      </w:r>
    </w:p>
    <w:p w14:paraId="348A5782">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3.6编写评标报告。评标报告是评标委员会根据评标委员成员签字的原始评标记录和评标结果编写的报告，其主要内容包括：</w:t>
      </w:r>
    </w:p>
    <w:p w14:paraId="51985222">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（1）项目概况、开标日期和地点；</w:t>
      </w:r>
    </w:p>
    <w:p w14:paraId="603B87F4">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（2）参与竞争的的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名单和评标委员会成员名单；</w:t>
      </w:r>
    </w:p>
    <w:p w14:paraId="42BD4133">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（3）评审因素和评分标准；</w:t>
      </w:r>
    </w:p>
    <w:p w14:paraId="2A5D15E5">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名单及原因；</w:t>
      </w:r>
    </w:p>
    <w:p w14:paraId="7CA90689">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（5）评标结果和中标候选人排序。</w:t>
      </w:r>
    </w:p>
    <w:p w14:paraId="1FC6F3A5">
      <w:pPr>
        <w:spacing w:line="380" w:lineRule="exact"/>
        <w:ind w:firstLine="480" w:firstLineChars="200"/>
        <w:rPr>
          <w:rFonts w:hint="eastAsia" w:ascii="宋体" w:hAnsi="宋体" w:eastAsia="宋体" w:cs="宋体"/>
          <w:color w:val="auto"/>
          <w:sz w:val="24"/>
          <w:szCs w:val="24"/>
          <w:highlight w:val="none"/>
        </w:rPr>
      </w:pPr>
      <w:bookmarkStart w:id="167" w:name="_Toc217446103"/>
      <w:r>
        <w:rPr>
          <w:rFonts w:hint="eastAsia" w:ascii="宋体" w:hAnsi="宋体" w:eastAsia="宋体" w:cs="宋体"/>
          <w:color w:val="auto"/>
          <w:sz w:val="24"/>
          <w:szCs w:val="24"/>
          <w:highlight w:val="none"/>
        </w:rPr>
        <w:t>4. 评标细则及标准</w:t>
      </w:r>
      <w:bookmarkEnd w:id="167"/>
    </w:p>
    <w:p w14:paraId="1762680F">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评标委员会只对通过符合性审查的投标文件，根据招标文件的要求采用相同的评标程序、评分办法及标准进行评价和比较。</w:t>
      </w:r>
    </w:p>
    <w:p w14:paraId="5338574C">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本次综合评分的因素是：商务、价格、技术服务、业绩、对招标文件的响应程度以及投标文件规范性等。</w:t>
      </w:r>
    </w:p>
    <w:p w14:paraId="4A401948">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除价格因素外，评标委员会成员应依据投标文件规定的评审因素和评分标准进行比较打分。</w:t>
      </w:r>
    </w:p>
    <w:p w14:paraId="2C963673">
      <w:pPr>
        <w:pStyle w:val="11"/>
        <w:tabs>
          <w:tab w:val="left" w:pos="600"/>
        </w:tabs>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4.4评标细则及标准的制定以科学合理、降低评标委员会自由裁量权为原则。</w:t>
      </w:r>
    </w:p>
    <w:p w14:paraId="69A88C65">
      <w:pPr>
        <w:pStyle w:val="11"/>
        <w:tabs>
          <w:tab w:val="left" w:pos="600"/>
        </w:tabs>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4.5评标委员会将按照下述评分标准对通过符合性审查的投标文件进行详细评标，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评标得分等于所有评委评分的算术平均值，结果保留两位小数。</w:t>
      </w:r>
    </w:p>
    <w:p w14:paraId="542EB993">
      <w:pPr>
        <w:pStyle w:val="11"/>
        <w:tabs>
          <w:tab w:val="left" w:pos="600"/>
        </w:tabs>
        <w:spacing w:line="360" w:lineRule="auto"/>
        <w:ind w:firstLine="480" w:firstLineChars="200"/>
        <w:jc w:val="center"/>
        <w:rPr>
          <w:rFonts w:hint="eastAsia" w:ascii="宋体" w:hAnsi="宋体" w:eastAsia="宋体" w:cs="宋体"/>
          <w:color w:val="auto"/>
          <w:sz w:val="24"/>
          <w:szCs w:val="24"/>
          <w:highlight w:val="none"/>
        </w:rPr>
      </w:pPr>
    </w:p>
    <w:p w14:paraId="679C842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评审因素权重表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974"/>
        <w:gridCol w:w="2241"/>
        <w:gridCol w:w="2698"/>
      </w:tblGrid>
      <w:tr w14:paraId="2991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42" w:type="pct"/>
            <w:tcBorders>
              <w:top w:val="single" w:color="auto" w:sz="4" w:space="0"/>
              <w:left w:val="single" w:color="auto" w:sz="4" w:space="0"/>
              <w:bottom w:val="single" w:color="auto" w:sz="4" w:space="0"/>
              <w:right w:val="single" w:color="auto" w:sz="4" w:space="0"/>
            </w:tcBorders>
            <w:noWrap w:val="0"/>
            <w:vAlign w:val="center"/>
          </w:tcPr>
          <w:p w14:paraId="1665BDBC">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序号</w:t>
            </w:r>
          </w:p>
        </w:tc>
        <w:tc>
          <w:tcPr>
            <w:tcW w:w="1158" w:type="pct"/>
            <w:tcBorders>
              <w:top w:val="single" w:color="auto" w:sz="4" w:space="0"/>
              <w:left w:val="single" w:color="auto" w:sz="4" w:space="0"/>
              <w:bottom w:val="single" w:color="auto" w:sz="4" w:space="0"/>
              <w:right w:val="single" w:color="auto" w:sz="4" w:space="0"/>
            </w:tcBorders>
            <w:noWrap w:val="0"/>
            <w:vAlign w:val="center"/>
          </w:tcPr>
          <w:p w14:paraId="07574E82">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1</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34A3EE4D">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2</w:t>
            </w:r>
          </w:p>
        </w:tc>
        <w:tc>
          <w:tcPr>
            <w:tcW w:w="1583" w:type="pct"/>
            <w:tcBorders>
              <w:top w:val="single" w:color="auto" w:sz="4" w:space="0"/>
              <w:left w:val="single" w:color="auto" w:sz="4" w:space="0"/>
              <w:bottom w:val="single" w:color="auto" w:sz="4" w:space="0"/>
              <w:right w:val="single" w:color="auto" w:sz="4" w:space="0"/>
            </w:tcBorders>
            <w:noWrap w:val="0"/>
            <w:vAlign w:val="center"/>
          </w:tcPr>
          <w:p w14:paraId="4A211F6E">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3</w:t>
            </w:r>
          </w:p>
        </w:tc>
      </w:tr>
      <w:tr w14:paraId="58D5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42" w:type="pct"/>
            <w:tcBorders>
              <w:top w:val="single" w:color="auto" w:sz="4" w:space="0"/>
              <w:left w:val="single" w:color="auto" w:sz="4" w:space="0"/>
              <w:bottom w:val="single" w:color="auto" w:sz="4" w:space="0"/>
              <w:right w:val="single" w:color="auto" w:sz="4" w:space="0"/>
            </w:tcBorders>
            <w:noWrap w:val="0"/>
            <w:vAlign w:val="center"/>
          </w:tcPr>
          <w:p w14:paraId="3DD5CEA5">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评审因素</w:t>
            </w:r>
          </w:p>
        </w:tc>
        <w:tc>
          <w:tcPr>
            <w:tcW w:w="1158" w:type="pct"/>
            <w:tcBorders>
              <w:top w:val="single" w:color="auto" w:sz="4" w:space="0"/>
              <w:left w:val="single" w:color="auto" w:sz="4" w:space="0"/>
              <w:bottom w:val="single" w:color="auto" w:sz="4" w:space="0"/>
              <w:right w:val="single" w:color="auto" w:sz="4" w:space="0"/>
            </w:tcBorders>
            <w:noWrap w:val="0"/>
            <w:vAlign w:val="center"/>
          </w:tcPr>
          <w:p w14:paraId="7161B0AF">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投标报价</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75BB5DDB">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技术、商务部分</w:t>
            </w:r>
          </w:p>
        </w:tc>
        <w:tc>
          <w:tcPr>
            <w:tcW w:w="1583" w:type="pct"/>
            <w:tcBorders>
              <w:top w:val="single" w:color="auto" w:sz="4" w:space="0"/>
              <w:left w:val="single" w:color="auto" w:sz="4" w:space="0"/>
              <w:bottom w:val="single" w:color="auto" w:sz="4" w:space="0"/>
              <w:right w:val="single" w:color="auto" w:sz="4" w:space="0"/>
            </w:tcBorders>
            <w:noWrap w:val="0"/>
            <w:vAlign w:val="center"/>
          </w:tcPr>
          <w:p w14:paraId="1C066F68">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合计</w:t>
            </w:r>
          </w:p>
        </w:tc>
      </w:tr>
      <w:tr w14:paraId="67B6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42" w:type="pct"/>
            <w:tcBorders>
              <w:top w:val="single" w:color="auto" w:sz="4" w:space="0"/>
              <w:left w:val="single" w:color="auto" w:sz="4" w:space="0"/>
              <w:bottom w:val="single" w:color="auto" w:sz="4" w:space="0"/>
              <w:right w:val="single" w:color="auto" w:sz="4" w:space="0"/>
            </w:tcBorders>
            <w:noWrap w:val="0"/>
            <w:vAlign w:val="center"/>
          </w:tcPr>
          <w:p w14:paraId="5E2F420E">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权重</w:t>
            </w:r>
          </w:p>
        </w:tc>
        <w:tc>
          <w:tcPr>
            <w:tcW w:w="1158" w:type="pct"/>
            <w:tcBorders>
              <w:top w:val="single" w:color="auto" w:sz="4" w:space="0"/>
              <w:left w:val="single" w:color="auto" w:sz="4" w:space="0"/>
              <w:bottom w:val="single" w:color="auto" w:sz="4" w:space="0"/>
              <w:right w:val="single" w:color="auto" w:sz="4" w:space="0"/>
            </w:tcBorders>
            <w:noWrap w:val="0"/>
            <w:vAlign w:val="center"/>
          </w:tcPr>
          <w:p w14:paraId="64526AF7">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30%</w:t>
            </w:r>
          </w:p>
        </w:tc>
        <w:tc>
          <w:tcPr>
            <w:tcW w:w="1315" w:type="pct"/>
            <w:tcBorders>
              <w:top w:val="single" w:color="auto" w:sz="4" w:space="0"/>
              <w:left w:val="single" w:color="auto" w:sz="4" w:space="0"/>
              <w:bottom w:val="single" w:color="auto" w:sz="4" w:space="0"/>
              <w:right w:val="single" w:color="auto" w:sz="4" w:space="0"/>
            </w:tcBorders>
            <w:noWrap w:val="0"/>
            <w:vAlign w:val="center"/>
          </w:tcPr>
          <w:p w14:paraId="6D5B09B1">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70%</w:t>
            </w:r>
          </w:p>
        </w:tc>
        <w:tc>
          <w:tcPr>
            <w:tcW w:w="1583" w:type="pct"/>
            <w:tcBorders>
              <w:top w:val="single" w:color="auto" w:sz="4" w:space="0"/>
              <w:left w:val="single" w:color="auto" w:sz="4" w:space="0"/>
              <w:bottom w:val="single" w:color="auto" w:sz="4" w:space="0"/>
              <w:right w:val="single" w:color="auto" w:sz="4" w:space="0"/>
            </w:tcBorders>
            <w:noWrap w:val="0"/>
            <w:vAlign w:val="center"/>
          </w:tcPr>
          <w:p w14:paraId="267242F3">
            <w:pPr>
              <w:autoSpaceDE w:val="0"/>
              <w:autoSpaceDN w:val="0"/>
              <w:adjustRightInd w:val="0"/>
              <w:jc w:val="center"/>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100%</w:t>
            </w:r>
          </w:p>
        </w:tc>
      </w:tr>
    </w:tbl>
    <w:p w14:paraId="6F60AD49">
      <w:pPr>
        <w:pStyle w:val="11"/>
        <w:tabs>
          <w:tab w:val="left" w:pos="600"/>
        </w:tabs>
        <w:spacing w:line="360" w:lineRule="auto"/>
        <w:ind w:firstLine="0"/>
        <w:jc w:val="center"/>
        <w:rPr>
          <w:rFonts w:hint="eastAsia" w:ascii="宋体" w:hAnsi="宋体" w:eastAsia="宋体" w:cs="宋体"/>
          <w:b/>
          <w:bCs/>
          <w:color w:val="auto"/>
          <w:sz w:val="24"/>
          <w:szCs w:val="24"/>
          <w:highlight w:val="none"/>
        </w:rPr>
      </w:pPr>
    </w:p>
    <w:p w14:paraId="51A4FF0F">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70AD994A">
      <w:pPr>
        <w:pStyle w:val="11"/>
        <w:keepNext w:val="0"/>
        <w:keepLines w:val="0"/>
        <w:pageBreakBefore w:val="0"/>
        <w:widowControl w:val="0"/>
        <w:tabs>
          <w:tab w:val="left" w:pos="600"/>
        </w:tabs>
        <w:kinsoku/>
        <w:wordWrap/>
        <w:overflowPunct/>
        <w:topLinePunct w:val="0"/>
        <w:bidi w:val="0"/>
        <w:snapToGrid/>
        <w:spacing w:line="300" w:lineRule="exact"/>
        <w:ind w:firstLine="0"/>
        <w:jc w:val="center"/>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技术、商务部分评审标准（70分）</w:t>
      </w:r>
    </w:p>
    <w:tbl>
      <w:tblPr>
        <w:tblStyle w:val="27"/>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32"/>
        <w:gridCol w:w="6273"/>
        <w:gridCol w:w="923"/>
      </w:tblGrid>
      <w:tr w14:paraId="2200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0" w:type="dxa"/>
            <w:tcBorders>
              <w:top w:val="single" w:color="auto" w:sz="4" w:space="0"/>
              <w:left w:val="single" w:color="auto" w:sz="4" w:space="0"/>
              <w:bottom w:val="single" w:color="auto" w:sz="4" w:space="0"/>
              <w:right w:val="single" w:color="auto" w:sz="4" w:space="0"/>
            </w:tcBorders>
            <w:noWrap w:val="0"/>
            <w:vAlign w:val="center"/>
          </w:tcPr>
          <w:p w14:paraId="64F97C3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评分项目</w:t>
            </w:r>
          </w:p>
        </w:tc>
        <w:tc>
          <w:tcPr>
            <w:tcW w:w="7605" w:type="dxa"/>
            <w:gridSpan w:val="2"/>
            <w:tcBorders>
              <w:top w:val="single" w:color="auto" w:sz="4" w:space="0"/>
              <w:left w:val="single" w:color="auto" w:sz="4" w:space="0"/>
              <w:bottom w:val="single" w:color="auto" w:sz="4" w:space="0"/>
              <w:right w:val="single" w:color="auto" w:sz="4" w:space="0"/>
            </w:tcBorders>
            <w:noWrap w:val="0"/>
            <w:vAlign w:val="center"/>
          </w:tcPr>
          <w:p w14:paraId="2D30636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评分办法</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4B1E45A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r>
      <w:tr w14:paraId="28D8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restart"/>
            <w:tcBorders>
              <w:left w:val="single" w:color="auto" w:sz="4" w:space="0"/>
              <w:right w:val="single" w:color="auto" w:sz="4" w:space="0"/>
            </w:tcBorders>
            <w:noWrap w:val="0"/>
            <w:vAlign w:val="center"/>
          </w:tcPr>
          <w:p w14:paraId="4230AF2D">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商务及技术部分70分</w:t>
            </w:r>
          </w:p>
        </w:tc>
        <w:tc>
          <w:tcPr>
            <w:tcW w:w="1332" w:type="dxa"/>
            <w:tcBorders>
              <w:left w:val="single" w:color="auto" w:sz="4" w:space="0"/>
              <w:right w:val="single" w:color="auto" w:sz="4" w:space="0"/>
            </w:tcBorders>
            <w:noWrap w:val="0"/>
            <w:vAlign w:val="center"/>
          </w:tcPr>
          <w:p w14:paraId="5B633ED9">
            <w:pPr>
              <w:keepNext w:val="0"/>
              <w:keepLines w:val="0"/>
              <w:pageBreakBefore w:val="0"/>
              <w:widowControl/>
              <w:numPr>
                <w:ilvl w:val="0"/>
                <w:numId w:val="0"/>
              </w:numPr>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业绩</w:t>
            </w:r>
          </w:p>
        </w:tc>
        <w:tc>
          <w:tcPr>
            <w:tcW w:w="6273" w:type="dxa"/>
            <w:tcBorders>
              <w:top w:val="single" w:color="auto" w:sz="4" w:space="0"/>
              <w:left w:val="single" w:color="auto" w:sz="4" w:space="0"/>
              <w:right w:val="single" w:color="auto" w:sz="4" w:space="0"/>
            </w:tcBorders>
            <w:noWrap w:val="0"/>
            <w:vAlign w:val="center"/>
          </w:tcPr>
          <w:p w14:paraId="679BD248">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根据供应商在投标截止日前三年内，提供的类似业绩：（提供中标通知书或合同或验收单扫描件或验收评价报告扫描件，上述内容为同一项目的为一份有效业绩，不重复得分。每一个业绩得 2 分，最高得 4 分。未提供上述材料不得分）</w:t>
            </w:r>
          </w:p>
        </w:tc>
        <w:tc>
          <w:tcPr>
            <w:tcW w:w="923" w:type="dxa"/>
            <w:tcBorders>
              <w:left w:val="single" w:color="auto" w:sz="4" w:space="0"/>
              <w:right w:val="single" w:color="auto" w:sz="4" w:space="0"/>
            </w:tcBorders>
            <w:noWrap w:val="0"/>
            <w:vAlign w:val="center"/>
          </w:tcPr>
          <w:p w14:paraId="4F60E1C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r w14:paraId="7CD8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jc w:val="center"/>
        </w:trPr>
        <w:tc>
          <w:tcPr>
            <w:tcW w:w="730" w:type="dxa"/>
            <w:vMerge w:val="continue"/>
            <w:tcBorders>
              <w:left w:val="single" w:color="auto" w:sz="4" w:space="0"/>
              <w:right w:val="single" w:color="auto" w:sz="4" w:space="0"/>
            </w:tcBorders>
            <w:noWrap w:val="0"/>
            <w:vAlign w:val="center"/>
          </w:tcPr>
          <w:p w14:paraId="716FE4ED">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575C96E3">
            <w:pPr>
              <w:keepNext w:val="0"/>
              <w:keepLines w:val="0"/>
              <w:pageBreakBefore w:val="0"/>
              <w:widowControl/>
              <w:numPr>
                <w:ilvl w:val="0"/>
                <w:numId w:val="0"/>
              </w:numPr>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技术参数响应</w:t>
            </w:r>
          </w:p>
        </w:tc>
        <w:tc>
          <w:tcPr>
            <w:tcW w:w="6273" w:type="dxa"/>
            <w:tcBorders>
              <w:top w:val="single" w:color="auto" w:sz="4" w:space="0"/>
              <w:left w:val="single" w:color="auto" w:sz="4" w:space="0"/>
              <w:right w:val="single" w:color="auto" w:sz="4" w:space="0"/>
            </w:tcBorders>
            <w:noWrap w:val="0"/>
            <w:vAlign w:val="center"/>
          </w:tcPr>
          <w:p w14:paraId="0C8577CC">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供应商须对照第四章 项目采购需求 中技术参数内容逐条在《技术条款偏离表》中列明响应内容及是否偏离等情况，要求提供相关证明资料，须在“证明材料页码”栏标注证明资料在《投标文件》的具体位置或页码。</w:t>
            </w:r>
          </w:p>
          <w:p w14:paraId="34BD12A5">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w:t>
            </w:r>
            <w:r>
              <w:rPr>
                <w:rFonts w:hint="eastAsia" w:ascii="宋体" w:hAnsi="宋体" w:eastAsia="宋体" w:cs="宋体"/>
                <w:b/>
                <w:bCs/>
                <w:color w:val="000000"/>
                <w:kern w:val="0"/>
                <w:sz w:val="24"/>
                <w:szCs w:val="24"/>
                <w:highlight w:val="none"/>
                <w:lang w:val="en-US" w:eastAsia="zh-CN" w:bidi="ar"/>
              </w:rPr>
              <w:t>标注“</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宋体" w:hAnsi="宋体" w:eastAsia="宋体" w:cs="宋体"/>
                <w:b/>
                <w:bCs/>
                <w:color w:val="000000"/>
                <w:kern w:val="0"/>
                <w:sz w:val="24"/>
                <w:szCs w:val="24"/>
                <w:highlight w:val="none"/>
                <w:lang w:val="en-US" w:eastAsia="zh-CN" w:bidi="ar"/>
              </w:rPr>
              <w:t>”的技术参数为重要参数，供应商应按要求提供相应的佐证材料。每缺少一项扣3分。</w:t>
            </w:r>
          </w:p>
          <w:p w14:paraId="63604551">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cs="宋体"/>
                <w:b w:val="0"/>
                <w:color w:val="auto"/>
                <w:kern w:val="2"/>
                <w:sz w:val="24"/>
                <w:szCs w:val="24"/>
                <w:highlight w:val="none"/>
                <w:lang w:val="en-US" w:eastAsia="zh-CN" w:bidi="ar-SA"/>
              </w:rPr>
              <w:t>2</w:t>
            </w:r>
            <w:r>
              <w:rPr>
                <w:rFonts w:hint="eastAsia" w:ascii="宋体" w:hAnsi="宋体" w:eastAsia="宋体" w:cs="宋体"/>
                <w:b w:val="0"/>
                <w:color w:val="auto"/>
                <w:kern w:val="2"/>
                <w:sz w:val="24"/>
                <w:szCs w:val="24"/>
                <w:highlight w:val="none"/>
                <w:lang w:val="en-US" w:eastAsia="zh-CN" w:bidi="ar-SA"/>
              </w:rPr>
              <w:t>、无标识参数为一般技术参数，每有一项负偏离扣0.5分，直到扣完为止。</w:t>
            </w:r>
          </w:p>
          <w:p w14:paraId="2C7CE8F4">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cs="宋体"/>
                <w:b w:val="0"/>
                <w:color w:val="auto"/>
                <w:kern w:val="2"/>
                <w:sz w:val="24"/>
                <w:szCs w:val="24"/>
                <w:highlight w:val="none"/>
                <w:lang w:val="en-US" w:eastAsia="zh-CN" w:bidi="ar-SA"/>
              </w:rPr>
              <w:t>3</w:t>
            </w:r>
            <w:r>
              <w:rPr>
                <w:rFonts w:hint="eastAsia" w:ascii="宋体" w:hAnsi="宋体" w:eastAsia="宋体" w:cs="宋体"/>
                <w:b w:val="0"/>
                <w:color w:val="auto"/>
                <w:kern w:val="2"/>
                <w:sz w:val="24"/>
                <w:szCs w:val="24"/>
                <w:highlight w:val="none"/>
                <w:lang w:val="en-US" w:eastAsia="zh-CN" w:bidi="ar-SA"/>
              </w:rPr>
              <w:t>、满分</w:t>
            </w:r>
            <w:r>
              <w:rPr>
                <w:rFonts w:hint="eastAsia" w:ascii="宋体" w:hAnsi="宋体" w:cs="宋体"/>
                <w:b w:val="0"/>
                <w:color w:val="auto"/>
                <w:kern w:val="2"/>
                <w:sz w:val="24"/>
                <w:szCs w:val="24"/>
                <w:highlight w:val="none"/>
                <w:lang w:val="en-US" w:eastAsia="zh-CN" w:bidi="ar-SA"/>
              </w:rPr>
              <w:t>30</w:t>
            </w:r>
            <w:r>
              <w:rPr>
                <w:rFonts w:hint="eastAsia" w:ascii="宋体" w:hAnsi="宋体" w:eastAsia="宋体" w:cs="宋体"/>
                <w:b w:val="0"/>
                <w:color w:val="auto"/>
                <w:kern w:val="2"/>
                <w:sz w:val="24"/>
                <w:szCs w:val="24"/>
                <w:highlight w:val="none"/>
                <w:lang w:val="en-US" w:eastAsia="zh-CN" w:bidi="ar-SA"/>
              </w:rPr>
              <w:t>分。</w:t>
            </w:r>
          </w:p>
          <w:p w14:paraId="70B1AA9C">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宋体" w:hAnsi="宋体" w:eastAsia="宋体" w:cs="宋体"/>
                <w:b/>
                <w:bCs/>
                <w:color w:val="auto"/>
                <w:kern w:val="2"/>
                <w:sz w:val="24"/>
                <w:szCs w:val="24"/>
                <w:highlight w:val="none"/>
                <w:lang w:val="en-US" w:eastAsia="zh-CN" w:bidi="ar-SA"/>
              </w:rPr>
              <w:t>”参数</w:t>
            </w:r>
            <w:r>
              <w:rPr>
                <w:rFonts w:hint="eastAsia" w:ascii="宋体" w:hAnsi="宋体" w:eastAsia="宋体" w:cs="宋体"/>
                <w:b/>
                <w:bCs/>
                <w:color w:val="000000"/>
                <w:kern w:val="0"/>
                <w:sz w:val="24"/>
                <w:szCs w:val="24"/>
                <w:highlight w:val="none"/>
                <w:lang w:val="en-US" w:eastAsia="zh-CN" w:bidi="ar"/>
              </w:rPr>
              <w:t>为重要参数</w:t>
            </w:r>
            <w:r>
              <w:rPr>
                <w:rFonts w:hint="eastAsia" w:ascii="宋体" w:hAnsi="宋体" w:eastAsia="宋体" w:cs="宋体"/>
                <w:b/>
                <w:bCs/>
                <w:color w:val="auto"/>
                <w:kern w:val="2"/>
                <w:sz w:val="24"/>
                <w:szCs w:val="24"/>
                <w:highlight w:val="none"/>
                <w:lang w:val="en-US" w:eastAsia="zh-CN" w:bidi="ar-SA"/>
              </w:rPr>
              <w:t>，供应商需如实填写所投产品参数；供应商须对本采购文件技术要求进行点对点应答，必须根据本采购文件的要求,结合所投产品的实际参数值，提供相关证明资料；技术参数中要求提供相关证明材料，包含但不限于（产品彩页、功能截图、证书、查询链接、技术白皮书、检测报告等），未提供或不符合要求的视为不响应技术参数。</w:t>
            </w:r>
          </w:p>
        </w:tc>
        <w:tc>
          <w:tcPr>
            <w:tcW w:w="923" w:type="dxa"/>
            <w:tcBorders>
              <w:left w:val="single" w:color="auto" w:sz="4" w:space="0"/>
              <w:right w:val="single" w:color="auto" w:sz="4" w:space="0"/>
            </w:tcBorders>
            <w:noWrap w:val="0"/>
            <w:vAlign w:val="center"/>
          </w:tcPr>
          <w:p w14:paraId="7950FA6C">
            <w:pPr>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30</w:t>
            </w:r>
          </w:p>
        </w:tc>
      </w:tr>
      <w:tr w14:paraId="6966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30" w:type="dxa"/>
            <w:vMerge w:val="continue"/>
            <w:tcBorders>
              <w:left w:val="single" w:color="auto" w:sz="4" w:space="0"/>
              <w:right w:val="single" w:color="auto" w:sz="4" w:space="0"/>
            </w:tcBorders>
            <w:noWrap w:val="0"/>
            <w:vAlign w:val="center"/>
          </w:tcPr>
          <w:p w14:paraId="0CD1E323">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164B7786">
            <w:pPr>
              <w:keepNext w:val="0"/>
              <w:keepLines w:val="0"/>
              <w:pageBreakBefore w:val="0"/>
              <w:widowControl/>
              <w:numPr>
                <w:ilvl w:val="0"/>
                <w:numId w:val="0"/>
              </w:numPr>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车辆及仓储能力</w:t>
            </w:r>
          </w:p>
        </w:tc>
        <w:tc>
          <w:tcPr>
            <w:tcW w:w="6273" w:type="dxa"/>
            <w:tcBorders>
              <w:top w:val="single" w:color="auto" w:sz="4" w:space="0"/>
              <w:left w:val="single" w:color="auto" w:sz="4" w:space="0"/>
              <w:right w:val="single" w:color="auto" w:sz="4" w:space="0"/>
            </w:tcBorders>
            <w:noWrap w:val="0"/>
            <w:vAlign w:val="center"/>
          </w:tcPr>
          <w:p w14:paraId="31C3B81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1、供应商根据所投项目配备符合国家运输标准的</w:t>
            </w:r>
            <w:r>
              <w:rPr>
                <w:rFonts w:hint="eastAsia" w:ascii="宋体" w:hAnsi="宋体" w:eastAsia="宋体" w:cs="宋体"/>
                <w:color w:val="auto"/>
                <w:kern w:val="2"/>
                <w:sz w:val="24"/>
                <w:szCs w:val="24"/>
                <w:highlight w:val="none"/>
                <w:lang w:val="en-US" w:eastAsia="zh-CN" w:bidi="ar-SA"/>
              </w:rPr>
              <w:t>运输货车</w:t>
            </w:r>
            <w:r>
              <w:rPr>
                <w:rFonts w:hint="eastAsia" w:ascii="宋体" w:hAnsi="宋体" w:eastAsia="宋体" w:cs="宋体"/>
                <w:b w:val="0"/>
                <w:bCs w:val="0"/>
                <w:color w:val="auto"/>
                <w:kern w:val="2"/>
                <w:sz w:val="24"/>
                <w:szCs w:val="24"/>
                <w:highlight w:val="none"/>
                <w:lang w:val="en-US" w:eastAsia="zh-CN" w:bidi="ar-SA"/>
              </w:rPr>
              <w:t>：</w:t>
            </w:r>
          </w:p>
          <w:p w14:paraId="622FAEB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投标人每配备1辆自有或租赁的运输货车得1分。最高得</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分；</w:t>
            </w:r>
          </w:p>
          <w:p w14:paraId="0DDD17F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自有车辆证明材料为：车辆行驶证、车辆照片及有效的车辆保险证明复印件加盖投标人公章；租赁车辆证明材料</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车辆行驶证、车辆照片及有效的车辆保险证明、车辆租赁合同复印件加盖投标人公章。均须提供车辆图片（图片含车牌照片）；证明材料提供不全或未提供不得分。</w:t>
            </w:r>
          </w:p>
          <w:p w14:paraId="6D0BA12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en-US" w:eastAsia="zh-CN" w:bidi="ar-SA"/>
              </w:rPr>
              <w:t>供应商根据所投项目配备符合国家仓储标准的仓库：</w:t>
            </w:r>
            <w:r>
              <w:rPr>
                <w:rFonts w:hint="eastAsia" w:ascii="宋体" w:hAnsi="宋体" w:eastAsia="宋体" w:cs="宋体"/>
                <w:color w:val="auto"/>
                <w:kern w:val="2"/>
                <w:sz w:val="24"/>
                <w:szCs w:val="24"/>
                <w:highlight w:val="none"/>
                <w:lang w:val="en-US" w:eastAsia="zh-CN" w:bidi="ar-SA"/>
              </w:rPr>
              <w:t>投标人每配备不小于200㎡（含200㎡）的仓储场地，在此基础上每增加10㎡加0.5分最高得3分；</w:t>
            </w:r>
          </w:p>
          <w:p w14:paraId="4F337C3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自有场地的须提供产权证明复印件；租赁场地的须提供租赁合同复印件；并提供加盖供应商公章的拍摄场地实景图片，以上资料提供不全或不提供的不得分，中标后采购人对供应商所提供照片真实性实体考察，若提供虚假材料，否决其中标资格，并上报财政部门</w:t>
            </w:r>
            <w:r>
              <w:rPr>
                <w:rFonts w:hint="eastAsia" w:ascii="宋体" w:hAnsi="宋体" w:eastAsia="宋体" w:cs="宋体"/>
                <w:b w:val="0"/>
                <w:bCs w:val="0"/>
                <w:color w:val="auto"/>
                <w:sz w:val="24"/>
                <w:szCs w:val="24"/>
                <w:highlight w:val="none"/>
                <w:lang w:val="en-US" w:eastAsia="zh-CN"/>
              </w:rPr>
              <w:t>。</w:t>
            </w:r>
          </w:p>
        </w:tc>
        <w:tc>
          <w:tcPr>
            <w:tcW w:w="923" w:type="dxa"/>
            <w:tcBorders>
              <w:left w:val="single" w:color="auto" w:sz="4" w:space="0"/>
              <w:right w:val="single" w:color="auto" w:sz="4" w:space="0"/>
            </w:tcBorders>
            <w:noWrap w:val="0"/>
            <w:vAlign w:val="center"/>
          </w:tcPr>
          <w:p w14:paraId="401801D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0E7E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left w:val="single" w:color="auto" w:sz="4" w:space="0"/>
              <w:right w:val="single" w:color="auto" w:sz="4" w:space="0"/>
            </w:tcBorders>
            <w:noWrap w:val="0"/>
            <w:vAlign w:val="center"/>
          </w:tcPr>
          <w:p w14:paraId="66E93828">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0D7C088A">
            <w:pPr>
              <w:keepNext w:val="0"/>
              <w:keepLines w:val="0"/>
              <w:pageBreakBefore w:val="0"/>
              <w:widowControl/>
              <w:numPr>
                <w:ilvl w:val="0"/>
                <w:numId w:val="0"/>
              </w:numPr>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质量保证措施</w:t>
            </w:r>
          </w:p>
        </w:tc>
        <w:tc>
          <w:tcPr>
            <w:tcW w:w="6273" w:type="dxa"/>
            <w:tcBorders>
              <w:top w:val="single" w:color="auto" w:sz="4" w:space="0"/>
              <w:left w:val="single" w:color="auto" w:sz="4" w:space="0"/>
              <w:right w:val="single" w:color="auto" w:sz="4" w:space="0"/>
            </w:tcBorders>
            <w:noWrap w:val="0"/>
            <w:vAlign w:val="center"/>
          </w:tcPr>
          <w:p w14:paraId="04046453">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针对本项目提供质量保证措施，包括但不限于:1、产品质量执行标准及产品质量保障制度</w:t>
            </w:r>
            <w:r>
              <w:rPr>
                <w:rFonts w:hint="eastAsia" w:ascii="宋体" w:hAnsi="宋体" w:cs="宋体"/>
                <w:b w:val="0"/>
                <w:color w:val="auto"/>
                <w:kern w:val="2"/>
                <w:sz w:val="24"/>
                <w:szCs w:val="24"/>
                <w:highlight w:val="none"/>
                <w:lang w:val="en-US" w:eastAsia="zh-CN" w:bidi="ar-SA"/>
              </w:rPr>
              <w:t>；</w:t>
            </w:r>
            <w:r>
              <w:rPr>
                <w:rFonts w:hint="eastAsia" w:ascii="宋体" w:hAnsi="宋体" w:eastAsia="宋体" w:cs="宋体"/>
                <w:b w:val="0"/>
                <w:color w:val="auto"/>
                <w:kern w:val="2"/>
                <w:sz w:val="24"/>
                <w:szCs w:val="24"/>
                <w:highlight w:val="none"/>
                <w:lang w:val="en-US" w:eastAsia="zh-CN" w:bidi="ar-SA"/>
              </w:rPr>
              <w:t>2、产品的工艺水平及使用成本；3、产品质量承诺书等。</w:t>
            </w:r>
          </w:p>
          <w:p w14:paraId="5841079C">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以上内容均完整提供的得3分;每缺少一项内容扣1分，内容存在缺陷的每项扣0.5分，扣完为止，未提供不得分。</w:t>
            </w:r>
          </w:p>
          <w:p w14:paraId="36E95F80">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923" w:type="dxa"/>
            <w:tcBorders>
              <w:left w:val="single" w:color="auto" w:sz="4" w:space="0"/>
              <w:right w:val="single" w:color="auto" w:sz="4" w:space="0"/>
            </w:tcBorders>
            <w:noWrap w:val="0"/>
            <w:vAlign w:val="center"/>
          </w:tcPr>
          <w:p w14:paraId="3D8C5CF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r>
      <w:tr w14:paraId="5340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left w:val="single" w:color="auto" w:sz="4" w:space="0"/>
              <w:right w:val="single" w:color="auto" w:sz="4" w:space="0"/>
            </w:tcBorders>
            <w:noWrap w:val="0"/>
            <w:vAlign w:val="center"/>
          </w:tcPr>
          <w:p w14:paraId="51546DBE">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2FFB0965">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供货方案</w:t>
            </w:r>
          </w:p>
        </w:tc>
        <w:tc>
          <w:tcPr>
            <w:tcW w:w="6273" w:type="dxa"/>
            <w:tcBorders>
              <w:top w:val="single" w:color="auto" w:sz="4" w:space="0"/>
              <w:left w:val="single" w:color="auto" w:sz="4" w:space="0"/>
              <w:right w:val="single" w:color="auto" w:sz="4" w:space="0"/>
            </w:tcBorders>
            <w:noWrap w:val="0"/>
            <w:vAlign w:val="center"/>
          </w:tcPr>
          <w:p w14:paraId="0260CB52">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根据投标人提供的项目编制供货方案，包括以下内容：1、配送方式及配送过程规划；2、项目配备人员的分工</w:t>
            </w:r>
            <w:r>
              <w:rPr>
                <w:rFonts w:hint="eastAsia" w:ascii="宋体" w:hAnsi="宋体" w:cs="宋体"/>
                <w:b w:val="0"/>
                <w:color w:val="auto"/>
                <w:kern w:val="2"/>
                <w:sz w:val="24"/>
                <w:szCs w:val="24"/>
                <w:highlight w:val="none"/>
                <w:lang w:val="en-US" w:eastAsia="zh-CN" w:bidi="ar-SA"/>
              </w:rPr>
              <w:t>及</w:t>
            </w:r>
            <w:r>
              <w:rPr>
                <w:rFonts w:hint="eastAsia" w:ascii="宋体" w:hAnsi="宋体" w:eastAsia="宋体" w:cs="宋体"/>
                <w:b w:val="0"/>
                <w:color w:val="auto"/>
                <w:kern w:val="2"/>
                <w:sz w:val="24"/>
                <w:szCs w:val="24"/>
                <w:highlight w:val="none"/>
                <w:lang w:val="en-US" w:eastAsia="zh-CN" w:bidi="ar-SA"/>
              </w:rPr>
              <w:t>配送车辆人员配置；3、退货、换货流程</w:t>
            </w:r>
            <w:r>
              <w:rPr>
                <w:rFonts w:hint="eastAsia" w:ascii="宋体" w:hAnsi="宋体" w:cs="宋体"/>
                <w:b w:val="0"/>
                <w:color w:val="auto"/>
                <w:kern w:val="2"/>
                <w:sz w:val="24"/>
                <w:szCs w:val="24"/>
                <w:highlight w:val="none"/>
                <w:lang w:val="en-US" w:eastAsia="zh-CN" w:bidi="ar-SA"/>
              </w:rPr>
              <w:t>及</w:t>
            </w:r>
            <w:r>
              <w:rPr>
                <w:rFonts w:hint="eastAsia" w:ascii="宋体" w:hAnsi="宋体" w:eastAsia="宋体" w:cs="宋体"/>
                <w:b w:val="0"/>
                <w:color w:val="auto"/>
                <w:kern w:val="2"/>
                <w:sz w:val="24"/>
                <w:szCs w:val="24"/>
                <w:highlight w:val="none"/>
                <w:lang w:val="en-US" w:eastAsia="zh-CN" w:bidi="ar-SA"/>
              </w:rPr>
              <w:t>货物装卸方案；4、保障措施及配送流程图；5、配送途中货物安全保障措施及安全教育；6、配送到甲方单位的详细时间计划方案等内容进行评审；</w:t>
            </w:r>
          </w:p>
          <w:p w14:paraId="4215FA82">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以上内容均完整提供的得</w:t>
            </w:r>
            <w:r>
              <w:rPr>
                <w:rFonts w:hint="eastAsia" w:ascii="宋体" w:hAnsi="宋体" w:cs="宋体"/>
                <w:b w:val="0"/>
                <w:color w:val="auto"/>
                <w:kern w:val="2"/>
                <w:sz w:val="24"/>
                <w:szCs w:val="24"/>
                <w:highlight w:val="none"/>
                <w:lang w:val="en-US" w:eastAsia="zh-CN" w:bidi="ar-SA"/>
              </w:rPr>
              <w:t>12</w:t>
            </w:r>
            <w:r>
              <w:rPr>
                <w:rFonts w:hint="eastAsia" w:ascii="宋体" w:hAnsi="宋体" w:eastAsia="宋体" w:cs="宋体"/>
                <w:b w:val="0"/>
                <w:color w:val="auto"/>
                <w:kern w:val="2"/>
                <w:sz w:val="24"/>
                <w:szCs w:val="24"/>
                <w:highlight w:val="none"/>
                <w:lang w:val="en-US" w:eastAsia="zh-CN" w:bidi="ar-SA"/>
              </w:rPr>
              <w:t>分;每缺少一项内容扣2分，内容存在缺陷的每项扣1分，扣完为止，未提供不得分。</w:t>
            </w:r>
          </w:p>
          <w:p w14:paraId="56D8B50A">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923" w:type="dxa"/>
            <w:tcBorders>
              <w:left w:val="single" w:color="auto" w:sz="4" w:space="0"/>
              <w:right w:val="single" w:color="auto" w:sz="4" w:space="0"/>
            </w:tcBorders>
            <w:noWrap w:val="0"/>
            <w:vAlign w:val="center"/>
          </w:tcPr>
          <w:p w14:paraId="2F0F669C">
            <w:pPr>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12</w:t>
            </w:r>
          </w:p>
        </w:tc>
      </w:tr>
      <w:tr w14:paraId="404B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left w:val="single" w:color="auto" w:sz="4" w:space="0"/>
              <w:right w:val="single" w:color="auto" w:sz="4" w:space="0"/>
            </w:tcBorders>
            <w:noWrap w:val="0"/>
            <w:vAlign w:val="center"/>
          </w:tcPr>
          <w:p w14:paraId="4B2BE3E3">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039A07D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售后服务方案</w:t>
            </w:r>
          </w:p>
          <w:p w14:paraId="6A70CC5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val="0"/>
                <w:bCs/>
                <w:color w:val="auto"/>
                <w:sz w:val="24"/>
                <w:szCs w:val="24"/>
                <w:highlight w:val="none"/>
                <w:lang w:val="en-US" w:eastAsia="zh-CN"/>
              </w:rPr>
            </w:pPr>
          </w:p>
        </w:tc>
        <w:tc>
          <w:tcPr>
            <w:tcW w:w="6273" w:type="dxa"/>
            <w:tcBorders>
              <w:top w:val="single" w:color="auto" w:sz="4" w:space="0"/>
              <w:left w:val="single" w:color="auto" w:sz="4" w:space="0"/>
              <w:right w:val="single" w:color="auto" w:sz="4" w:space="0"/>
            </w:tcBorders>
            <w:noWrap w:val="0"/>
            <w:vAlign w:val="top"/>
          </w:tcPr>
          <w:p w14:paraId="308F5145">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供应商售后服务方案、管理水平和服务响应时间，包括以下内容：1、售后服务管理制度；2、项目售后服务组织措施；3、响应时间及现场服务支持能力；4、针对服务中出现产品各项问题的解决办法；5、售后服务专线（联系人及联系电话）；6、验货不合格产品的退换方案等内容进行评审。</w:t>
            </w:r>
          </w:p>
          <w:p w14:paraId="5F7ACAE7">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以上内容均提供的得12分;每缺少一项内容扣2分，虽有项但内容存在缺陷的每项扣 1 分，扣完为止，未提供不得分。</w:t>
            </w:r>
          </w:p>
          <w:p w14:paraId="3DE61A33">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923" w:type="dxa"/>
            <w:tcBorders>
              <w:left w:val="single" w:color="auto" w:sz="4" w:space="0"/>
              <w:right w:val="single" w:color="auto" w:sz="4" w:space="0"/>
            </w:tcBorders>
            <w:noWrap w:val="0"/>
            <w:vAlign w:val="center"/>
          </w:tcPr>
          <w:p w14:paraId="0818DFE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w:t>
            </w:r>
          </w:p>
        </w:tc>
      </w:tr>
      <w:tr w14:paraId="2410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0" w:type="dxa"/>
            <w:vMerge w:val="continue"/>
            <w:tcBorders>
              <w:left w:val="single" w:color="auto" w:sz="4" w:space="0"/>
              <w:right w:val="single" w:color="auto" w:sz="4" w:space="0"/>
            </w:tcBorders>
            <w:noWrap w:val="0"/>
            <w:vAlign w:val="center"/>
          </w:tcPr>
          <w:p w14:paraId="6261D1E9">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b w:val="0"/>
                <w:color w:val="auto"/>
                <w:kern w:val="2"/>
                <w:sz w:val="24"/>
                <w:szCs w:val="24"/>
                <w:highlight w:val="none"/>
                <w:lang w:val="en-US" w:eastAsia="zh-CN" w:bidi="ar-SA"/>
              </w:rPr>
            </w:pPr>
          </w:p>
        </w:tc>
        <w:tc>
          <w:tcPr>
            <w:tcW w:w="1332" w:type="dxa"/>
            <w:tcBorders>
              <w:left w:val="single" w:color="auto" w:sz="4" w:space="0"/>
              <w:right w:val="single" w:color="auto" w:sz="4" w:space="0"/>
            </w:tcBorders>
            <w:noWrap w:val="0"/>
            <w:vAlign w:val="center"/>
          </w:tcPr>
          <w:p w14:paraId="44CFEF1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应急响应方案</w:t>
            </w:r>
          </w:p>
        </w:tc>
        <w:tc>
          <w:tcPr>
            <w:tcW w:w="6273" w:type="dxa"/>
            <w:tcBorders>
              <w:left w:val="single" w:color="auto" w:sz="4" w:space="0"/>
              <w:right w:val="single" w:color="auto" w:sz="4" w:space="0"/>
            </w:tcBorders>
            <w:noWrap w:val="0"/>
            <w:vAlign w:val="center"/>
          </w:tcPr>
          <w:p w14:paraId="6A25BB1B">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根据供应商提供的应急方案，内容包含但不仅限于:1、</w:t>
            </w:r>
            <w:r>
              <w:rPr>
                <w:rFonts w:hint="eastAsia" w:ascii="宋体" w:hAnsi="宋体" w:eastAsia="宋体" w:cs="宋体"/>
                <w:b w:val="0"/>
                <w:color w:val="auto"/>
                <w:kern w:val="2"/>
                <w:sz w:val="24"/>
                <w:szCs w:val="24"/>
                <w:highlight w:val="none"/>
                <w:lang w:val="en-US" w:eastAsia="zh-CN" w:bidi="ar-SA"/>
              </w:rPr>
              <w:t>应急响应流程与时限承诺；2、应急采购保障措施；3、应急情况下的货物退换/补货处理机制；4、本地化服务保障；</w:t>
            </w:r>
          </w:p>
          <w:p w14:paraId="5AABB300">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以上内容均提供的得4分;每缺少一项内容扣1分，虽有项但内容存在缺陷的每项扣 0.5 分，扣完为止，未提供不得分。</w:t>
            </w:r>
          </w:p>
          <w:p w14:paraId="06F85FC7">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923" w:type="dxa"/>
            <w:tcBorders>
              <w:left w:val="single" w:color="auto" w:sz="4" w:space="0"/>
              <w:right w:val="single" w:color="auto" w:sz="4" w:space="0"/>
            </w:tcBorders>
            <w:noWrap w:val="0"/>
            <w:vAlign w:val="center"/>
          </w:tcPr>
          <w:p w14:paraId="516BE22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bl>
    <w:p w14:paraId="00FCA501">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3C167F8">
      <w:pPr>
        <w:pStyle w:val="11"/>
        <w:tabs>
          <w:tab w:val="left" w:pos="600"/>
        </w:tabs>
        <w:spacing w:line="360" w:lineRule="auto"/>
        <w:ind w:firstLine="482" w:firstLineChars="200"/>
        <w:jc w:val="center"/>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报价部分评</w:t>
      </w:r>
      <w:r>
        <w:rPr>
          <w:rFonts w:hint="eastAsia" w:ascii="宋体" w:hAnsi="宋体" w:eastAsia="宋体" w:cs="宋体"/>
          <w:b/>
          <w:bCs/>
          <w:color w:val="auto"/>
          <w:sz w:val="24"/>
          <w:szCs w:val="24"/>
          <w:highlight w:val="none"/>
          <w:lang w:val="zh-CN"/>
        </w:rPr>
        <w:t>审</w:t>
      </w:r>
      <w:r>
        <w:rPr>
          <w:rFonts w:hint="eastAsia" w:ascii="宋体" w:hAnsi="宋体" w:eastAsia="宋体" w:cs="宋体"/>
          <w:b/>
          <w:bCs/>
          <w:color w:val="auto"/>
          <w:sz w:val="24"/>
          <w:szCs w:val="24"/>
          <w:highlight w:val="none"/>
        </w:rPr>
        <w:t>标准（30分）</w:t>
      </w:r>
    </w:p>
    <w:tbl>
      <w:tblPr>
        <w:tblStyle w:val="27"/>
        <w:tblW w:w="52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553"/>
        <w:gridCol w:w="1107"/>
        <w:gridCol w:w="6705"/>
      </w:tblGrid>
      <w:tr w14:paraId="0087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09" w:type="pct"/>
            <w:noWrap w:val="0"/>
            <w:vAlign w:val="center"/>
          </w:tcPr>
          <w:p w14:paraId="41D514D0">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序号</w:t>
            </w:r>
          </w:p>
        </w:tc>
        <w:tc>
          <w:tcPr>
            <w:tcW w:w="931" w:type="pct"/>
            <w:gridSpan w:val="2"/>
            <w:noWrap w:val="0"/>
            <w:vAlign w:val="center"/>
          </w:tcPr>
          <w:p w14:paraId="35982497">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评审因素</w:t>
            </w:r>
          </w:p>
        </w:tc>
        <w:tc>
          <w:tcPr>
            <w:tcW w:w="3758" w:type="pct"/>
            <w:noWrap w:val="0"/>
            <w:vAlign w:val="center"/>
          </w:tcPr>
          <w:p w14:paraId="117C2F89">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评审标准</w:t>
            </w:r>
          </w:p>
        </w:tc>
      </w:tr>
      <w:tr w14:paraId="01C7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09" w:type="pct"/>
            <w:vMerge w:val="restart"/>
            <w:noWrap w:val="0"/>
            <w:vAlign w:val="center"/>
          </w:tcPr>
          <w:p w14:paraId="24FEE6AA">
            <w:pPr>
              <w:autoSpaceDE w:val="0"/>
              <w:autoSpaceDN w:val="0"/>
              <w:adjustRightInd w:val="0"/>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tc>
        <w:tc>
          <w:tcPr>
            <w:tcW w:w="931" w:type="pct"/>
            <w:gridSpan w:val="2"/>
            <w:vMerge w:val="restart"/>
            <w:noWrap w:val="0"/>
            <w:vAlign w:val="center"/>
          </w:tcPr>
          <w:p w14:paraId="7529B8CF">
            <w:pPr>
              <w:autoSpaceDE w:val="0"/>
              <w:autoSpaceDN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投标报价</w:t>
            </w:r>
          </w:p>
        </w:tc>
        <w:tc>
          <w:tcPr>
            <w:tcW w:w="3758" w:type="pct"/>
            <w:noWrap w:val="0"/>
            <w:vAlign w:val="center"/>
          </w:tcPr>
          <w:p w14:paraId="2984641A">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评标基准价即满足招标文件要求且投标价格最低的投标报价。</w:t>
            </w:r>
          </w:p>
          <w:p w14:paraId="37A76267">
            <w:pPr>
              <w:autoSpaceDE w:val="0"/>
              <w:autoSpaceDN w:val="0"/>
              <w:adjustRightInd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投标报价得分=（评标基准价/投标报价）×</w:t>
            </w:r>
            <w:r>
              <w:rPr>
                <w:rFonts w:hint="eastAsia" w:ascii="宋体" w:hAnsi="宋体" w:eastAsia="宋体" w:cs="宋体"/>
                <w:color w:val="auto"/>
                <w:sz w:val="24"/>
                <w:szCs w:val="24"/>
                <w:highlight w:val="none"/>
                <w:lang w:val="en-US" w:eastAsia="zh-CN"/>
              </w:rPr>
              <w:t>30</w:t>
            </w:r>
          </w:p>
        </w:tc>
      </w:tr>
      <w:tr w14:paraId="6FC4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09" w:type="pct"/>
            <w:vMerge w:val="continue"/>
            <w:noWrap w:val="0"/>
            <w:vAlign w:val="center"/>
          </w:tcPr>
          <w:p w14:paraId="263F700E">
            <w:pPr>
              <w:autoSpaceDE w:val="0"/>
              <w:autoSpaceDN w:val="0"/>
              <w:adjustRightInd w:val="0"/>
              <w:jc w:val="center"/>
              <w:rPr>
                <w:rFonts w:hint="eastAsia" w:ascii="宋体" w:hAnsi="宋体" w:eastAsia="宋体" w:cs="宋体"/>
                <w:bCs/>
                <w:color w:val="auto"/>
                <w:sz w:val="24"/>
                <w:szCs w:val="24"/>
                <w:highlight w:val="none"/>
                <w:lang w:val="zh-CN"/>
              </w:rPr>
            </w:pPr>
          </w:p>
        </w:tc>
        <w:tc>
          <w:tcPr>
            <w:tcW w:w="931" w:type="pct"/>
            <w:gridSpan w:val="2"/>
            <w:vMerge w:val="continue"/>
            <w:noWrap w:val="0"/>
            <w:vAlign w:val="center"/>
          </w:tcPr>
          <w:p w14:paraId="4D8227E6">
            <w:pPr>
              <w:autoSpaceDE w:val="0"/>
              <w:autoSpaceDN w:val="0"/>
              <w:adjustRightInd w:val="0"/>
              <w:jc w:val="center"/>
              <w:rPr>
                <w:rFonts w:hint="eastAsia" w:ascii="宋体" w:hAnsi="宋体" w:eastAsia="宋体" w:cs="宋体"/>
                <w:color w:val="auto"/>
                <w:sz w:val="24"/>
                <w:szCs w:val="24"/>
                <w:highlight w:val="none"/>
                <w:lang w:val="zh-CN"/>
              </w:rPr>
            </w:pPr>
          </w:p>
        </w:tc>
        <w:tc>
          <w:tcPr>
            <w:tcW w:w="3758" w:type="pct"/>
            <w:noWrap w:val="0"/>
            <w:vAlign w:val="center"/>
          </w:tcPr>
          <w:p w14:paraId="4DFFB6FE">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因落实政府采购政策进行价格调整的，以调整后的价格计算评标基准价和投标报价。</w:t>
            </w:r>
          </w:p>
        </w:tc>
      </w:tr>
      <w:tr w14:paraId="6CC4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309" w:type="pct"/>
            <w:vMerge w:val="restart"/>
            <w:noWrap w:val="0"/>
            <w:vAlign w:val="center"/>
          </w:tcPr>
          <w:p w14:paraId="7CFD61E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10" w:type="pct"/>
            <w:vMerge w:val="restart"/>
            <w:noWrap w:val="0"/>
            <w:vAlign w:val="center"/>
          </w:tcPr>
          <w:p w14:paraId="453A6D9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政府采购价格折扣优惠政策说明</w:t>
            </w:r>
          </w:p>
        </w:tc>
        <w:tc>
          <w:tcPr>
            <w:tcW w:w="620" w:type="pct"/>
            <w:vMerge w:val="restart"/>
            <w:noWrap w:val="0"/>
            <w:vAlign w:val="center"/>
          </w:tcPr>
          <w:p w14:paraId="7E9D073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w:t>
            </w:r>
          </w:p>
        </w:tc>
        <w:tc>
          <w:tcPr>
            <w:tcW w:w="3758" w:type="pct"/>
            <w:noWrap w:val="0"/>
            <w:vAlign w:val="center"/>
          </w:tcPr>
          <w:p w14:paraId="02F1A2DD">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工信部等部委发布的《关于印发中小企业划型标准规定的通知》（工信部联企业〔2011〕300号），按照本次政府采购标的所属行业的划型标准（采购文件载明的行业），符合条件的中小企业须提供采购文件提供格式的《中小企业声明函》。</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应当对其出具的《中小企业声明函》真实性负责，</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出具的《中小企业声明函》内容不实的，属于提供虚假材料谋取成交，依照《中华人民共和国政府采购法》等国家有关规定追究相应责任。</w:t>
            </w:r>
          </w:p>
        </w:tc>
      </w:tr>
      <w:tr w14:paraId="4D0A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309" w:type="pct"/>
            <w:vMerge w:val="continue"/>
            <w:noWrap w:val="0"/>
            <w:vAlign w:val="center"/>
          </w:tcPr>
          <w:p w14:paraId="5E510156">
            <w:pPr>
              <w:jc w:val="center"/>
              <w:rPr>
                <w:rFonts w:hint="eastAsia" w:ascii="宋体" w:hAnsi="宋体" w:eastAsia="宋体" w:cs="宋体"/>
                <w:color w:val="auto"/>
                <w:sz w:val="24"/>
                <w:szCs w:val="24"/>
                <w:highlight w:val="none"/>
              </w:rPr>
            </w:pPr>
          </w:p>
        </w:tc>
        <w:tc>
          <w:tcPr>
            <w:tcW w:w="310" w:type="pct"/>
            <w:vMerge w:val="continue"/>
            <w:noWrap w:val="0"/>
            <w:vAlign w:val="center"/>
          </w:tcPr>
          <w:p w14:paraId="2BAF33AF">
            <w:pPr>
              <w:jc w:val="center"/>
              <w:rPr>
                <w:rFonts w:hint="eastAsia" w:ascii="宋体" w:hAnsi="宋体" w:eastAsia="宋体" w:cs="宋体"/>
                <w:color w:val="auto"/>
                <w:sz w:val="24"/>
                <w:szCs w:val="24"/>
                <w:highlight w:val="none"/>
              </w:rPr>
            </w:pPr>
          </w:p>
        </w:tc>
        <w:tc>
          <w:tcPr>
            <w:tcW w:w="620" w:type="pct"/>
            <w:vMerge w:val="continue"/>
            <w:noWrap w:val="0"/>
            <w:vAlign w:val="center"/>
          </w:tcPr>
          <w:p w14:paraId="07132236">
            <w:pPr>
              <w:jc w:val="center"/>
              <w:rPr>
                <w:rFonts w:hint="eastAsia" w:ascii="宋体" w:hAnsi="宋体" w:eastAsia="宋体" w:cs="宋体"/>
                <w:color w:val="auto"/>
                <w:sz w:val="24"/>
                <w:szCs w:val="24"/>
                <w:highlight w:val="none"/>
              </w:rPr>
            </w:pPr>
          </w:p>
        </w:tc>
        <w:tc>
          <w:tcPr>
            <w:tcW w:w="3758" w:type="pct"/>
            <w:noWrap w:val="0"/>
            <w:vAlign w:val="center"/>
          </w:tcPr>
          <w:p w14:paraId="41081CE3">
            <w:pPr>
              <w:rPr>
                <w:rFonts w:hint="eastAsia" w:ascii="宋体" w:hAnsi="宋体" w:eastAsia="宋体" w:cs="宋体"/>
                <w:color w:val="auto"/>
                <w:sz w:val="24"/>
                <w:szCs w:val="24"/>
                <w:highlight w:val="none"/>
              </w:rPr>
            </w:pPr>
            <w:r>
              <w:rPr>
                <w:rFonts w:hint="eastAsia" w:ascii="宋体" w:hAnsi="宋体" w:eastAsia="宋体" w:cs="宋体"/>
                <w:b w:val="0"/>
                <w:bCs/>
                <w:color w:val="auto"/>
                <w:kern w:val="0"/>
                <w:sz w:val="24"/>
                <w:szCs w:val="24"/>
                <w:highlight w:val="none"/>
                <w:shd w:val="clear" w:color="auto" w:fill="auto"/>
                <w:lang w:val="en-US" w:eastAsia="zh-CN"/>
              </w:rPr>
              <w:t>本项目为不专门面向中小企业采购的项目（若投标供应商所提供的货物全部由符合政策要求的小微企业制造，并按要求提交《中小企业声明函》，可享受10%的价格扣除优惠，用扣除后的价格参与评审。）。</w:t>
            </w:r>
          </w:p>
        </w:tc>
      </w:tr>
      <w:tr w14:paraId="5AA0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309" w:type="pct"/>
            <w:vMerge w:val="continue"/>
            <w:noWrap w:val="0"/>
            <w:vAlign w:val="center"/>
          </w:tcPr>
          <w:p w14:paraId="7D89A131">
            <w:pPr>
              <w:jc w:val="center"/>
              <w:rPr>
                <w:rFonts w:hint="eastAsia" w:ascii="宋体" w:hAnsi="宋体" w:eastAsia="宋体" w:cs="宋体"/>
                <w:color w:val="auto"/>
                <w:sz w:val="24"/>
                <w:szCs w:val="24"/>
                <w:highlight w:val="none"/>
              </w:rPr>
            </w:pPr>
          </w:p>
        </w:tc>
        <w:tc>
          <w:tcPr>
            <w:tcW w:w="310" w:type="pct"/>
            <w:vMerge w:val="continue"/>
            <w:noWrap w:val="0"/>
            <w:vAlign w:val="center"/>
          </w:tcPr>
          <w:p w14:paraId="7C657A83">
            <w:pPr>
              <w:jc w:val="center"/>
              <w:rPr>
                <w:rFonts w:hint="eastAsia" w:ascii="宋体" w:hAnsi="宋体" w:eastAsia="宋体" w:cs="宋体"/>
                <w:color w:val="auto"/>
                <w:sz w:val="24"/>
                <w:szCs w:val="24"/>
                <w:highlight w:val="none"/>
              </w:rPr>
            </w:pPr>
          </w:p>
        </w:tc>
        <w:tc>
          <w:tcPr>
            <w:tcW w:w="620" w:type="pct"/>
            <w:noWrap w:val="0"/>
            <w:vAlign w:val="center"/>
          </w:tcPr>
          <w:p w14:paraId="257F33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w:t>
            </w:r>
          </w:p>
        </w:tc>
        <w:tc>
          <w:tcPr>
            <w:tcW w:w="3758" w:type="pct"/>
            <w:noWrap w:val="0"/>
            <w:vAlign w:val="center"/>
          </w:tcPr>
          <w:p w14:paraId="62B5CAD3">
            <w:pP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根据财库〔2014〕68号《财政部司法部关于政府采购支持监狱企业发展有关问题的通知》，能够</w:t>
            </w:r>
            <w:r>
              <w:rPr>
                <w:rFonts w:hint="eastAsia" w:ascii="宋体" w:hAnsi="宋体" w:eastAsia="宋体" w:cs="宋体"/>
                <w:color w:val="auto"/>
                <w:sz w:val="24"/>
                <w:szCs w:val="24"/>
                <w:highlight w:val="none"/>
              </w:rPr>
              <w:t>提供由省级以上监狱管理局、戒毒管理局（含新疆生产建设兵团）出具的“属于监狱企业的证明文件”的监狱企业，</w:t>
            </w:r>
            <w:r>
              <w:rPr>
                <w:rFonts w:hint="eastAsia" w:ascii="宋体" w:hAnsi="宋体" w:eastAsia="宋体" w:cs="宋体"/>
                <w:bCs/>
                <w:color w:val="auto"/>
                <w:sz w:val="24"/>
                <w:szCs w:val="24"/>
                <w:highlight w:val="none"/>
              </w:rPr>
              <w:t>视同小型。</w:t>
            </w:r>
          </w:p>
        </w:tc>
      </w:tr>
      <w:tr w14:paraId="4ABC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309" w:type="pct"/>
            <w:vMerge w:val="continue"/>
            <w:noWrap w:val="0"/>
            <w:vAlign w:val="center"/>
          </w:tcPr>
          <w:p w14:paraId="2D84EA25">
            <w:pPr>
              <w:jc w:val="center"/>
              <w:rPr>
                <w:rFonts w:hint="eastAsia" w:ascii="宋体" w:hAnsi="宋体" w:eastAsia="宋体" w:cs="宋体"/>
                <w:color w:val="auto"/>
                <w:sz w:val="24"/>
                <w:szCs w:val="24"/>
                <w:highlight w:val="none"/>
              </w:rPr>
            </w:pPr>
          </w:p>
        </w:tc>
        <w:tc>
          <w:tcPr>
            <w:tcW w:w="310" w:type="pct"/>
            <w:vMerge w:val="continue"/>
            <w:noWrap w:val="0"/>
            <w:vAlign w:val="center"/>
          </w:tcPr>
          <w:p w14:paraId="0736CD35">
            <w:pPr>
              <w:jc w:val="center"/>
              <w:rPr>
                <w:rFonts w:hint="eastAsia" w:ascii="宋体" w:hAnsi="宋体" w:eastAsia="宋体" w:cs="宋体"/>
                <w:color w:val="auto"/>
                <w:sz w:val="24"/>
                <w:szCs w:val="24"/>
                <w:highlight w:val="none"/>
              </w:rPr>
            </w:pPr>
          </w:p>
        </w:tc>
        <w:tc>
          <w:tcPr>
            <w:tcW w:w="620" w:type="pct"/>
            <w:noWrap w:val="0"/>
            <w:vAlign w:val="center"/>
          </w:tcPr>
          <w:p w14:paraId="24987EA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福利企业</w:t>
            </w:r>
          </w:p>
        </w:tc>
        <w:tc>
          <w:tcPr>
            <w:tcW w:w="3758" w:type="pct"/>
            <w:noWrap w:val="0"/>
            <w:vAlign w:val="center"/>
          </w:tcPr>
          <w:p w14:paraId="071F13A1">
            <w:pP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根据财库〔2017〕141号《财政部民政部中国残疾人联合会关于促进残疾人就业政府采购政策的通知》，符合享受政府采购支持政策的残疾人福利性单位条件且提供</w:t>
            </w:r>
            <w:r>
              <w:rPr>
                <w:rFonts w:hint="eastAsia" w:ascii="宋体" w:hAnsi="宋体" w:eastAsia="宋体" w:cs="宋体"/>
                <w:color w:val="auto"/>
                <w:sz w:val="24"/>
                <w:szCs w:val="24"/>
                <w:highlight w:val="none"/>
              </w:rPr>
              <w:t>自拟格式的</w:t>
            </w:r>
            <w:r>
              <w:rPr>
                <w:rFonts w:hint="eastAsia" w:ascii="宋体" w:hAnsi="宋体" w:eastAsia="宋体" w:cs="宋体"/>
                <w:bCs/>
                <w:color w:val="auto"/>
                <w:sz w:val="24"/>
                <w:szCs w:val="24"/>
                <w:highlight w:val="none"/>
              </w:rPr>
              <w:t>《残疾人福利性单位声明函》的残疾人福利性单位，视同小型。</w:t>
            </w:r>
          </w:p>
        </w:tc>
      </w:tr>
      <w:tr w14:paraId="1FEC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5000" w:type="pct"/>
            <w:gridSpan w:val="4"/>
            <w:noWrap w:val="0"/>
            <w:vAlign w:val="center"/>
          </w:tcPr>
          <w:p w14:paraId="4F61E2DC">
            <w:pPr>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评分注意事项：</w:t>
            </w:r>
          </w:p>
          <w:p w14:paraId="7DD08A26">
            <w:pPr>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 xml:space="preserve">    </w:t>
            </w:r>
            <w:r>
              <w:rPr>
                <w:rFonts w:hint="eastAsia" w:ascii="宋体" w:hAnsi="宋体" w:eastAsia="宋体" w:cs="宋体"/>
                <w:color w:val="auto"/>
                <w:sz w:val="24"/>
                <w:szCs w:val="24"/>
                <w:highlight w:val="none"/>
                <w:lang w:val="zh-CN"/>
              </w:rPr>
              <w:t>因落实政府采购政策进行价格调整的，评标委员会应记录价格调整的依据、计算过程及计算结果。</w:t>
            </w:r>
          </w:p>
        </w:tc>
      </w:tr>
    </w:tbl>
    <w:p w14:paraId="021D5E92">
      <w:pPr>
        <w:pStyle w:val="11"/>
        <w:tabs>
          <w:tab w:val="left" w:pos="60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总分=报价部分得分+技术、商务部分得分，结果保留两位小数。</w:t>
      </w:r>
    </w:p>
    <w:p w14:paraId="76038408">
      <w:pPr>
        <w:spacing w:line="460" w:lineRule="exact"/>
        <w:ind w:firstLine="480" w:firstLineChars="200"/>
        <w:rPr>
          <w:rFonts w:hint="eastAsia" w:ascii="宋体" w:hAnsi="宋体" w:eastAsia="宋体" w:cs="宋体"/>
          <w:color w:val="auto"/>
          <w:sz w:val="24"/>
          <w:szCs w:val="24"/>
          <w:highlight w:val="none"/>
        </w:rPr>
      </w:pPr>
      <w:bookmarkStart w:id="168" w:name="_Toc217446060"/>
      <w:r>
        <w:rPr>
          <w:rFonts w:hint="eastAsia" w:ascii="宋体" w:hAnsi="宋体" w:eastAsia="宋体" w:cs="宋体"/>
          <w:color w:val="auto"/>
          <w:sz w:val="24"/>
          <w:szCs w:val="24"/>
          <w:highlight w:val="none"/>
        </w:rPr>
        <w:t>5. 终止招标</w:t>
      </w:r>
    </w:p>
    <w:p w14:paraId="47B828EA">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采购人、采购代理机构在发布招标公告、资格预审公告或者发出投标邀请书后，除因重大变故采购任务取消情况外，不得擅自终止招标活动。</w:t>
      </w:r>
    </w:p>
    <w:p w14:paraId="3ACC0A17">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终止招标的，采购人或者采购代理机构应当及时在原公告发布媒体上发布终止公告，以书面形式通知已经获取招标文件、资格预审文件或者被邀请的潜在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并将项目实施情况和采购任务取消原因报告本级财政部门。已经收取招标文件费用或者投标保证金的，采购人或者采购代理机构应当在终止采购活动后5个工作日内，退还所收取的招标文件费用和所收取的投标保证金及其在银行产生的孳息。</w:t>
      </w:r>
    </w:p>
    <w:p w14:paraId="083156FF">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定标</w:t>
      </w:r>
      <w:bookmarkEnd w:id="168"/>
      <w:bookmarkStart w:id="169" w:name="_Toc217446061"/>
    </w:p>
    <w:p w14:paraId="7EEDC38E">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定标原则</w:t>
      </w:r>
      <w:bookmarkEnd w:id="169"/>
      <w:r>
        <w:rPr>
          <w:rFonts w:hint="eastAsia" w:ascii="宋体" w:hAnsi="宋体" w:eastAsia="宋体" w:cs="宋体"/>
          <w:color w:val="auto"/>
          <w:sz w:val="24"/>
          <w:szCs w:val="24"/>
          <w:highlight w:val="none"/>
        </w:rPr>
        <w:t>：本项目根据评标委员会推荐的中标候选人名单，按顺序确定</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w:t>
      </w:r>
    </w:p>
    <w:p w14:paraId="45653452">
      <w:pPr>
        <w:spacing w:line="460" w:lineRule="exact"/>
        <w:ind w:firstLine="480" w:firstLineChars="200"/>
        <w:rPr>
          <w:rFonts w:hint="eastAsia" w:ascii="宋体" w:hAnsi="宋体" w:eastAsia="宋体" w:cs="宋体"/>
          <w:color w:val="auto"/>
          <w:sz w:val="24"/>
          <w:szCs w:val="24"/>
          <w:highlight w:val="none"/>
        </w:rPr>
      </w:pPr>
      <w:bookmarkStart w:id="170" w:name="_Toc217446062"/>
      <w:r>
        <w:rPr>
          <w:rFonts w:hint="eastAsia" w:ascii="宋体" w:hAnsi="宋体" w:eastAsia="宋体" w:cs="宋体"/>
          <w:color w:val="auto"/>
          <w:sz w:val="24"/>
          <w:szCs w:val="24"/>
          <w:highlight w:val="none"/>
        </w:rPr>
        <w:t>6.2. 定标程序</w:t>
      </w:r>
      <w:bookmarkEnd w:id="170"/>
    </w:p>
    <w:p w14:paraId="22D9B110">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 评标委员会将评标情况写出书面报告，推荐中标候选人，并按照综合得分高低标明排列顺序。本项目采用综合评分法，评标结果按评标后得分由高到低顺序排列。得分相同的，按投标报价由低到高顺序排列。得分且投标报价相同的按照技术指标优劣顺序推荐。</w:t>
      </w:r>
    </w:p>
    <w:p w14:paraId="519C770B">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 采购代理机构在评标结束后两个工作日内将评标报告送至采购人。</w:t>
      </w:r>
    </w:p>
    <w:p w14:paraId="0004163C">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6.2.3 采购人应当自收到评标报告之日起5个工作日内在评标报告推荐的中标候选人中按顺序确定</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w:t>
      </w:r>
    </w:p>
    <w:p w14:paraId="3C857A01">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6.2.4 根据采购人确定的</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，采购人在招标公告发布的媒体上发布中标公告，同时向</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发出中标通知书。</w:t>
      </w:r>
    </w:p>
    <w:p w14:paraId="646CD9BD">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6.2.5 采购人不退回投标文件和其他投标资料。</w:t>
      </w:r>
    </w:p>
    <w:bookmarkEnd w:id="163"/>
    <w:p w14:paraId="33284962">
      <w:pPr>
        <w:spacing w:line="460" w:lineRule="exact"/>
        <w:ind w:firstLine="480" w:firstLineChars="200"/>
        <w:rPr>
          <w:rFonts w:hint="eastAsia" w:ascii="宋体" w:hAnsi="宋体" w:eastAsia="宋体" w:cs="宋体"/>
          <w:color w:val="auto"/>
          <w:sz w:val="24"/>
          <w:szCs w:val="24"/>
          <w:highlight w:val="none"/>
        </w:rPr>
      </w:pPr>
      <w:bookmarkStart w:id="171" w:name="_Toc208849022"/>
      <w:bookmarkStart w:id="172" w:name="_Toc217446105"/>
      <w:bookmarkStart w:id="173" w:name="_Toc183682432"/>
      <w:bookmarkStart w:id="174" w:name="_Toc183582297"/>
      <w:r>
        <w:rPr>
          <w:rFonts w:hint="eastAsia" w:ascii="宋体" w:hAnsi="宋体" w:eastAsia="宋体" w:cs="宋体"/>
          <w:color w:val="auto"/>
          <w:sz w:val="24"/>
          <w:szCs w:val="24"/>
          <w:highlight w:val="none"/>
        </w:rPr>
        <w:t xml:space="preserve">7. </w:t>
      </w:r>
      <w:bookmarkEnd w:id="171"/>
      <w:bookmarkEnd w:id="172"/>
      <w:bookmarkEnd w:id="173"/>
      <w:bookmarkEnd w:id="174"/>
      <w:r>
        <w:rPr>
          <w:rFonts w:hint="eastAsia" w:ascii="宋体" w:hAnsi="宋体" w:eastAsia="宋体" w:cs="宋体"/>
          <w:color w:val="auto"/>
          <w:sz w:val="24"/>
          <w:szCs w:val="24"/>
          <w:highlight w:val="none"/>
        </w:rPr>
        <w:t>评标专家在政府采购活动中承担以下义务：</w:t>
      </w:r>
    </w:p>
    <w:p w14:paraId="44FCB164">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遵纪守法，客观、公正、廉洁地履行职责。</w:t>
      </w:r>
    </w:p>
    <w:p w14:paraId="57BE7C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按照政府采购相关法律法规和招标文件的规定对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的资格条件和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提供的商务、价格、技术服务、业绩、对招标文件的响应程度以及投标文件规范性等方面进行评价，提供科学合理、公平公正的评标意见，参与起草评标报告，并予签字确认。</w:t>
      </w:r>
    </w:p>
    <w:p w14:paraId="6835513C">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保守秘密。不得透露招标项目情况，不得泄漏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的投标文件及知悉的商业秘密，不得向</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透露评标情况。</w:t>
      </w:r>
    </w:p>
    <w:p w14:paraId="51F5F816">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发现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在政府采购活动中有不正当竞争或恶意串通等违规行为，及时向政府采购评标工作的组织者或财政部门报告并加以制止。</w:t>
      </w:r>
    </w:p>
    <w:p w14:paraId="4684986F">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发现采购人、采购代理机构及其工作人员在招标活动中有干预评标、发表倾向性和歧视性言论、受贿或者接受</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的其他好处及其他违法违规行为，及时向财政部门报告。</w:t>
      </w:r>
    </w:p>
    <w:p w14:paraId="6C9B701A">
      <w:pPr>
        <w:widowControl/>
        <w:autoSpaceDE w:val="0"/>
        <w:autoSpaceDN w:val="0"/>
        <w:spacing w:line="360" w:lineRule="auto"/>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 配合采购人或者采购代理机构答复</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质疑，配合投诉处理工作等事宜。</w:t>
      </w:r>
    </w:p>
    <w:p w14:paraId="0777421A">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7.6 法律、法规和规章规定的其他义务。</w:t>
      </w:r>
    </w:p>
    <w:p w14:paraId="44EF1D12">
      <w:pPr>
        <w:widowControl/>
        <w:autoSpaceDE w:val="0"/>
        <w:autoSpaceDN w:val="0"/>
        <w:spacing w:line="460" w:lineRule="exact"/>
        <w:ind w:firstLine="482" w:firstLineChars="200"/>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评标专家在招标活动中应当遵守以下工作纪律：</w:t>
      </w:r>
    </w:p>
    <w:p w14:paraId="085A03F1">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应邀按时参加评标活动。遇特殊情况不能出席或途中遇阻不能按时参加评标的，应及时告知财政部门或者采购人或者采购代理机构，不得私自转托他人。</w:t>
      </w:r>
    </w:p>
    <w:p w14:paraId="5174245F">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不得参加与自己有利害关系的招标项目的评标活动。对与自己有利害关系的评标项目，如受到邀请，应主动提出回避。财政部门、采购人或采购代理机构也可要求该评标专家回避。</w:t>
      </w:r>
    </w:p>
    <w:p w14:paraId="7C87586F">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有利害关系主要是指三年内曾在参加该招标项目</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中任职(包括一般工作)或担任顾问，配偶或直系亲属在参加该招标项目的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中任职或担任顾问，与参加该招标项目</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发生过法律纠纷，以及其他可能影响公正评标的情况。</w:t>
      </w:r>
    </w:p>
    <w:p w14:paraId="20B55B90">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评标过程中关闭通讯设备，不得与外界联系。</w:t>
      </w:r>
    </w:p>
    <w:p w14:paraId="7D18A6F8">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评标过程中，不得发表影响评标公正的倾向性、歧视性言论；不得以任何明示或暗示的方式要求参加该招标项目的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以澄清、说明或补正为借口，表达与其原投标文件原意不同的新意见；不得以招标文件没有规定的方法和标准作为评标的依据；不得违反规定的评标格式评分和撰写评标意见；不得拒绝对自己的评标意见签字确认。</w:t>
      </w:r>
    </w:p>
    <w:p w14:paraId="4A9EAB14">
      <w:pPr>
        <w:pStyle w:val="2"/>
        <w:keepNext/>
        <w:keepLines/>
        <w:pageBreakBefore w:val="0"/>
        <w:widowControl w:val="0"/>
        <w:kinsoku/>
        <w:wordWrap/>
        <w:overflowPunct/>
        <w:topLinePunct w:val="0"/>
        <w:autoSpaceDE/>
        <w:autoSpaceDN/>
        <w:bidi w:val="0"/>
        <w:adjustRightInd/>
        <w:snapToGrid/>
        <w:spacing w:before="0" w:after="0" w:line="4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br w:type="page"/>
      </w:r>
      <w:bookmarkStart w:id="175" w:name="_Toc535"/>
      <w:bookmarkStart w:id="176" w:name="_Toc22113"/>
      <w:r>
        <w:rPr>
          <w:rFonts w:hint="eastAsia" w:ascii="宋体" w:hAnsi="宋体" w:eastAsia="宋体" w:cs="宋体"/>
          <w:b/>
          <w:bCs/>
          <w:color w:val="auto"/>
          <w:sz w:val="24"/>
          <w:szCs w:val="24"/>
          <w:highlight w:val="none"/>
        </w:rPr>
        <w:t>第六章  拟签订的合同文本</w:t>
      </w:r>
      <w:bookmarkEnd w:id="175"/>
      <w:bookmarkEnd w:id="176"/>
    </w:p>
    <w:p w14:paraId="147B192A">
      <w:pPr>
        <w:pStyle w:val="87"/>
        <w:widowControl/>
        <w:spacing w:line="480" w:lineRule="atLeast"/>
        <w:ind w:firstLine="482" w:firstLineChars="200"/>
        <w:jc w:val="center"/>
        <w:rPr>
          <w:rStyle w:val="30"/>
          <w:rFonts w:hint="eastAsia"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　</w:t>
      </w:r>
      <w:r>
        <w:rPr>
          <w:rStyle w:val="30"/>
          <w:rFonts w:hint="eastAsia" w:ascii="宋体" w:hAnsi="宋体" w:eastAsia="宋体" w:cs="宋体"/>
          <w:b/>
          <w:bCs/>
          <w:color w:val="auto"/>
          <w:sz w:val="24"/>
          <w:szCs w:val="24"/>
          <w:highlight w:val="none"/>
        </w:rPr>
        <w:t>　</w:t>
      </w:r>
      <w:r>
        <w:rPr>
          <w:rFonts w:hint="eastAsia" w:ascii="宋体" w:hAnsi="宋体" w:eastAsia="宋体" w:cs="宋体"/>
          <w:b/>
          <w:bCs/>
          <w:color w:val="auto"/>
          <w:sz w:val="24"/>
          <w:szCs w:val="24"/>
          <w:highlight w:val="none"/>
        </w:rPr>
        <w:t>（本合同仅供参考，具体以实际签订的为准）</w:t>
      </w:r>
    </w:p>
    <w:p w14:paraId="7C9794BB">
      <w:pPr>
        <w:pStyle w:val="87"/>
        <w:widowControl/>
        <w:spacing w:line="480" w:lineRule="atLeast"/>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甲方(采购单位)：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p>
    <w:p w14:paraId="45CFB90E">
      <w:pPr>
        <w:pStyle w:val="87"/>
        <w:widowControl/>
        <w:spacing w:line="480" w:lineRule="atLeast"/>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乙方(供货单位)：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，电话：</w:t>
      </w:r>
      <w:r>
        <w:rPr>
          <w:rFonts w:hint="eastAsia" w:ascii="宋体" w:hAnsi="宋体" w:eastAsia="宋体" w:cs="宋体"/>
          <w:color w:val="auto"/>
          <w:sz w:val="24"/>
          <w:szCs w:val="24"/>
          <w:highlight w:val="none"/>
          <w:u w:val="single"/>
        </w:rPr>
        <w:t xml:space="preserve">                </w:t>
      </w:r>
    </w:p>
    <w:p w14:paraId="4112D9FE">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w:t>
      </w:r>
      <w:r>
        <w:rPr>
          <w:rFonts w:hint="eastAsia" w:ascii="宋体" w:hAnsi="宋体" w:eastAsia="宋体" w:cs="宋体"/>
          <w:color w:val="auto"/>
          <w:sz w:val="24"/>
          <w:szCs w:val="24"/>
          <w:highlight w:val="none"/>
          <w:lang w:val="en-US"/>
        </w:rPr>
        <w:t>民法典</w:t>
      </w:r>
      <w:r>
        <w:rPr>
          <w:rFonts w:hint="eastAsia" w:ascii="宋体" w:hAnsi="宋体" w:eastAsia="宋体" w:cs="宋体"/>
          <w:color w:val="auto"/>
          <w:sz w:val="24"/>
          <w:szCs w:val="24"/>
          <w:highlight w:val="none"/>
        </w:rPr>
        <w:t>》、参照《中华人民共和国政府采购法》等法律法规的</w:t>
      </w:r>
      <w:r>
        <w:rPr>
          <w:rFonts w:hint="eastAsia" w:ascii="宋体" w:hAnsi="宋体" w:eastAsia="宋体" w:cs="宋体"/>
          <w:color w:val="auto"/>
          <w:sz w:val="24"/>
          <w:szCs w:val="24"/>
          <w:highlight w:val="none"/>
          <w:lang w:val="en-US"/>
        </w:rPr>
        <w:t>相关</w:t>
      </w:r>
      <w:r>
        <w:rPr>
          <w:rFonts w:hint="eastAsia" w:ascii="宋体" w:hAnsi="宋体" w:eastAsia="宋体" w:cs="宋体"/>
          <w:color w:val="auto"/>
          <w:sz w:val="24"/>
          <w:szCs w:val="24"/>
          <w:highlight w:val="none"/>
        </w:rPr>
        <w:t>规定，在</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的</w:t>
      </w:r>
      <w:r>
        <w:rPr>
          <w:rFonts w:hint="eastAsia" w:ascii="宋体" w:hAnsi="宋体" w:eastAsia="宋体" w:cs="宋体"/>
          <w:color w:val="auto"/>
          <w:sz w:val="24"/>
          <w:szCs w:val="24"/>
          <w:highlight w:val="none"/>
        </w:rPr>
        <w:t>监督管理下，甲方按照采购程序进行</w:t>
      </w:r>
      <w:r>
        <w:rPr>
          <w:rFonts w:hint="eastAsia" w:ascii="宋体" w:hAnsi="宋体" w:eastAsia="宋体" w:cs="宋体"/>
          <w:color w:val="auto"/>
          <w:sz w:val="24"/>
          <w:szCs w:val="24"/>
          <w:highlight w:val="none"/>
          <w:lang w:val="en-US"/>
        </w:rPr>
        <w:t>招标</w:t>
      </w:r>
      <w:r>
        <w:rPr>
          <w:rFonts w:hint="eastAsia" w:ascii="宋体" w:hAnsi="宋体" w:eastAsia="宋体" w:cs="宋体"/>
          <w:color w:val="auto"/>
          <w:sz w:val="24"/>
          <w:szCs w:val="24"/>
          <w:highlight w:val="none"/>
        </w:rPr>
        <w:t>，确定乙方为</w:t>
      </w:r>
      <w:r>
        <w:rPr>
          <w:rFonts w:hint="eastAsia" w:ascii="宋体" w:hAnsi="宋体" w:eastAsia="宋体" w:cs="宋体"/>
          <w:color w:val="auto"/>
          <w:sz w:val="24"/>
          <w:szCs w:val="24"/>
          <w:highlight w:val="none"/>
          <w:lang w:val="en-US" w:eastAsia="zh-CN"/>
        </w:rPr>
        <w:t>中标供应商</w:t>
      </w:r>
      <w:r>
        <w:rPr>
          <w:rFonts w:hint="eastAsia" w:ascii="宋体" w:hAnsi="宋体" w:eastAsia="宋体" w:cs="宋体"/>
          <w:color w:val="auto"/>
          <w:sz w:val="24"/>
          <w:szCs w:val="24"/>
          <w:highlight w:val="none"/>
        </w:rPr>
        <w:t>。</w:t>
      </w:r>
    </w:p>
    <w:p w14:paraId="3713AC06">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甲乙双方根据</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u w:val="single"/>
          <w:lang w:val="en-US"/>
        </w:rPr>
        <w:t xml:space="preserve"> （项目名称） （项目编号）      </w:t>
      </w:r>
      <w:r>
        <w:rPr>
          <w:rFonts w:hint="eastAsia" w:ascii="宋体" w:hAnsi="宋体" w:eastAsia="宋体" w:cs="宋体"/>
          <w:color w:val="auto"/>
          <w:sz w:val="24"/>
          <w:szCs w:val="24"/>
          <w:highlight w:val="none"/>
        </w:rPr>
        <w:t>项目评审结果及相关</w:t>
      </w:r>
      <w:r>
        <w:rPr>
          <w:rFonts w:hint="eastAsia" w:ascii="宋体" w:hAnsi="宋体" w:eastAsia="宋体" w:cs="宋体"/>
          <w:color w:val="auto"/>
          <w:sz w:val="24"/>
          <w:szCs w:val="24"/>
          <w:highlight w:val="none"/>
          <w:lang w:val="en-US"/>
        </w:rPr>
        <w:t>招标、投标</w:t>
      </w:r>
      <w:r>
        <w:rPr>
          <w:rFonts w:hint="eastAsia" w:ascii="宋体" w:hAnsi="宋体" w:eastAsia="宋体" w:cs="宋体"/>
          <w:color w:val="auto"/>
          <w:sz w:val="24"/>
          <w:szCs w:val="24"/>
          <w:highlight w:val="none"/>
        </w:rPr>
        <w:t>文件，经</w:t>
      </w:r>
      <w:r>
        <w:rPr>
          <w:rFonts w:hint="eastAsia" w:ascii="宋体" w:hAnsi="宋体" w:eastAsia="宋体" w:cs="宋体"/>
          <w:color w:val="auto"/>
          <w:sz w:val="24"/>
          <w:szCs w:val="24"/>
          <w:highlight w:val="none"/>
          <w:lang w:val="en-US"/>
        </w:rPr>
        <w:t>友好</w:t>
      </w:r>
      <w:r>
        <w:rPr>
          <w:rFonts w:hint="eastAsia" w:ascii="宋体" w:hAnsi="宋体" w:eastAsia="宋体" w:cs="宋体"/>
          <w:color w:val="auto"/>
          <w:sz w:val="24"/>
          <w:szCs w:val="24"/>
          <w:highlight w:val="none"/>
        </w:rPr>
        <w:t>协商一致，</w:t>
      </w:r>
      <w:r>
        <w:rPr>
          <w:rFonts w:hint="eastAsia" w:ascii="宋体" w:hAnsi="宋体" w:eastAsia="宋体" w:cs="宋体"/>
          <w:color w:val="auto"/>
          <w:sz w:val="24"/>
          <w:szCs w:val="24"/>
          <w:highlight w:val="none"/>
          <w:lang w:val="en-US"/>
        </w:rPr>
        <w:t>在平等、自愿的基础上，</w:t>
      </w:r>
      <w:r>
        <w:rPr>
          <w:rFonts w:hint="eastAsia" w:ascii="宋体" w:hAnsi="宋体" w:eastAsia="宋体" w:cs="宋体"/>
          <w:color w:val="auto"/>
          <w:sz w:val="24"/>
          <w:szCs w:val="24"/>
          <w:highlight w:val="none"/>
        </w:rPr>
        <w:t>订立本合同，供双方共同遵守：</w:t>
      </w:r>
    </w:p>
    <w:p w14:paraId="180EC764">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rPr>
        <w:t>一</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组成本合同的有关文件：</w:t>
      </w:r>
    </w:p>
    <w:p w14:paraId="475C276B">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本采购服务项目招标文件及投标</w:t>
      </w:r>
      <w:r>
        <w:rPr>
          <w:rFonts w:hint="eastAsia" w:ascii="宋体" w:hAnsi="宋体" w:eastAsia="宋体" w:cs="宋体"/>
          <w:color w:val="auto"/>
          <w:sz w:val="24"/>
          <w:szCs w:val="24"/>
          <w:highlight w:val="none"/>
        </w:rPr>
        <w:t>文件，属于本合同的相关文件，与本合同具有同等法律效力，</w:t>
      </w:r>
      <w:r>
        <w:rPr>
          <w:rFonts w:hint="eastAsia" w:ascii="宋体" w:hAnsi="宋体" w:eastAsia="宋体" w:cs="宋体"/>
          <w:color w:val="auto"/>
          <w:sz w:val="24"/>
          <w:szCs w:val="24"/>
          <w:highlight w:val="none"/>
          <w:lang w:val="en-US"/>
        </w:rPr>
        <w:t>包括但不限于：1、招标文件；2、</w:t>
      </w:r>
      <w:r>
        <w:rPr>
          <w:rFonts w:hint="eastAsia" w:ascii="宋体" w:hAnsi="宋体" w:eastAsia="宋体" w:cs="宋体"/>
          <w:color w:val="auto"/>
          <w:sz w:val="24"/>
          <w:szCs w:val="24"/>
          <w:highlight w:val="none"/>
        </w:rPr>
        <w:t>乙方提供的</w:t>
      </w:r>
      <w:r>
        <w:rPr>
          <w:rFonts w:hint="eastAsia" w:ascii="宋体" w:hAnsi="宋体" w:eastAsia="宋体" w:cs="宋体"/>
          <w:color w:val="auto"/>
          <w:sz w:val="24"/>
          <w:szCs w:val="24"/>
          <w:highlight w:val="none"/>
          <w:lang w:val="en-US"/>
        </w:rPr>
        <w:t>投标</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val="en-US"/>
        </w:rPr>
        <w:t>投标函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3、乙方提供的书面承诺；4、中标通知书，5、</w:t>
      </w:r>
      <w:r>
        <w:rPr>
          <w:rFonts w:hint="eastAsia" w:ascii="宋体" w:hAnsi="宋体" w:eastAsia="宋体" w:cs="宋体"/>
          <w:color w:val="auto"/>
          <w:sz w:val="24"/>
          <w:szCs w:val="24"/>
          <w:highlight w:val="none"/>
        </w:rPr>
        <w:t>甲乙双方商定的其他文件。</w:t>
      </w:r>
    </w:p>
    <w:p w14:paraId="72421162">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rPr>
        <w:t>二</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甲方采购的物品内容和成交价格：(金额单位：人民币元)</w:t>
      </w:r>
    </w:p>
    <w:p w14:paraId="61921100">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物品名称规格型号质量标准数量成交价格(元)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5FB2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top"/>
          </w:tcPr>
          <w:p w14:paraId="56763A9F">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4" w:type="dxa"/>
            <w:noWrap w:val="0"/>
            <w:vAlign w:val="top"/>
          </w:tcPr>
          <w:p w14:paraId="39BD249C">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4" w:type="dxa"/>
            <w:noWrap w:val="0"/>
            <w:vAlign w:val="top"/>
          </w:tcPr>
          <w:p w14:paraId="3765B118">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5" w:type="dxa"/>
            <w:noWrap w:val="0"/>
            <w:vAlign w:val="top"/>
          </w:tcPr>
          <w:p w14:paraId="0D4CAC59">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5" w:type="dxa"/>
            <w:noWrap w:val="0"/>
            <w:vAlign w:val="top"/>
          </w:tcPr>
          <w:p w14:paraId="2E57BCF1">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r>
      <w:tr w14:paraId="783E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top"/>
          </w:tcPr>
          <w:p w14:paraId="0557A19E">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4" w:type="dxa"/>
            <w:noWrap w:val="0"/>
            <w:vAlign w:val="top"/>
          </w:tcPr>
          <w:p w14:paraId="6812DA61">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4" w:type="dxa"/>
            <w:noWrap w:val="0"/>
            <w:vAlign w:val="top"/>
          </w:tcPr>
          <w:p w14:paraId="17DCAAD5">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5" w:type="dxa"/>
            <w:noWrap w:val="0"/>
            <w:vAlign w:val="top"/>
          </w:tcPr>
          <w:p w14:paraId="21E36110">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c>
          <w:tcPr>
            <w:tcW w:w="1705" w:type="dxa"/>
            <w:noWrap w:val="0"/>
            <w:vAlign w:val="top"/>
          </w:tcPr>
          <w:p w14:paraId="00989E39">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tc>
      </w:tr>
    </w:tbl>
    <w:p w14:paraId="4A825808">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2、合同总金额：</w:t>
      </w:r>
      <w:r>
        <w:rPr>
          <w:rFonts w:hint="eastAsia" w:ascii="宋体" w:hAnsi="宋体" w:eastAsia="宋体" w:cs="宋体"/>
          <w:color w:val="auto"/>
          <w:sz w:val="24"/>
          <w:szCs w:val="24"/>
          <w:highlight w:val="none"/>
        </w:rPr>
        <w:t>(大写)￥</w:t>
      </w:r>
    </w:p>
    <w:p w14:paraId="5A9CF1F8">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本合同价格已含</w:t>
      </w:r>
      <w:r>
        <w:rPr>
          <w:rFonts w:hint="eastAsia" w:ascii="宋体" w:hAnsi="宋体" w:eastAsia="宋体" w:cs="宋体"/>
          <w:color w:val="auto"/>
          <w:sz w:val="24"/>
          <w:szCs w:val="24"/>
          <w:highlight w:val="none"/>
          <w:lang w:val="en-US" w:eastAsia="zh-CN"/>
        </w:rPr>
        <w:t>相关人工费、运费、</w:t>
      </w:r>
      <w:r>
        <w:rPr>
          <w:rFonts w:hint="eastAsia" w:ascii="宋体" w:hAnsi="宋体" w:eastAsia="宋体" w:cs="宋体"/>
          <w:color w:val="auto"/>
          <w:sz w:val="24"/>
          <w:szCs w:val="24"/>
          <w:highlight w:val="none"/>
        </w:rPr>
        <w:t>专利费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税费等所有技术和服务费用</w:t>
      </w:r>
      <w:r>
        <w:rPr>
          <w:rFonts w:hint="eastAsia" w:ascii="宋体" w:hAnsi="宋体" w:eastAsia="宋体" w:cs="宋体"/>
          <w:color w:val="auto"/>
          <w:sz w:val="24"/>
          <w:szCs w:val="24"/>
          <w:highlight w:val="none"/>
        </w:rPr>
        <w:t>以及考虑除不可抗力外的其他任何风险而增加的所有费用。</w:t>
      </w:r>
    </w:p>
    <w:p w14:paraId="7E6DA45A">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免费配送物品：</w:t>
      </w:r>
    </w:p>
    <w:p w14:paraId="459483E2">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甲方不再另付任何费用。</w:t>
      </w:r>
    </w:p>
    <w:p w14:paraId="393DDC19">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rPr>
        <w:t>三</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物品的质量技术标准、乙方售后服务及损害赔偿</w:t>
      </w:r>
    </w:p>
    <w:p w14:paraId="7659B1F2">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1、物品的质量技术标准按国家法律法规规定的标准、竞价招标文件和乙方投标文件所要求的技术标准执行。</w:t>
      </w:r>
    </w:p>
    <w:p w14:paraId="76E8CBFE">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2、乙方应按生产厂家的保修规定和投标文件说明的服务承诺做好保修等免费服务。但属于正常合理的损耗应由甲方承担。</w:t>
      </w:r>
    </w:p>
    <w:p w14:paraId="5BE50AD6">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3、乙方售后服务响应时间：__________。否则，甲方可自行组织或委托第三方维修，费用由乙方承担，甲方可在货款和其他应付乙方的款项中扣除，乙方应付费用超过甲方未付货款的，乙方应当在甲方限期内付清全部费用，否则乙方应当按照合同总额的1%向甲方支付违约金。</w:t>
      </w:r>
    </w:p>
    <w:p w14:paraId="36499D66">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4、如因乙方物品质量原因，导致甲方损失，乙方应予以赔偿。</w:t>
      </w:r>
    </w:p>
    <w:p w14:paraId="005EBB24">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5、乙方应保证乙方在履行本合同义务时提供的货物或其任何一部分免受第三方侵犯其知识产权或合法权益的起诉，如因此引发争议或违法导致甲方受损的，乙方应赔偿甲方的一切损失。</w:t>
      </w:r>
    </w:p>
    <w:p w14:paraId="6F61A81C">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6、乙方及乙方人员在合同履行过程中造成自身、甲乙双方或第三方的一切人身、财产损害责任均由乙方承担并负责赔偿；如因此导致甲方被追偿或受损的，由乙方承担甲方遭受的全部损失。</w:t>
      </w:r>
    </w:p>
    <w:p w14:paraId="2E9EE1F9">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p>
    <w:p w14:paraId="190D2E87">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rPr>
        <w:t>四</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交付和验收</w:t>
      </w:r>
    </w:p>
    <w:p w14:paraId="53514C9E">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1、交付时间：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 xml:space="preserve">月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交付地点：</w:t>
      </w:r>
      <w:r>
        <w:rPr>
          <w:rFonts w:hint="eastAsia" w:ascii="宋体" w:hAnsi="宋体" w:eastAsia="宋体" w:cs="宋体"/>
          <w:color w:val="auto"/>
          <w:sz w:val="24"/>
          <w:szCs w:val="24"/>
          <w:highlight w:val="none"/>
          <w:lang w:val="en-US" w:eastAsia="zh-CN"/>
        </w:rPr>
        <w:t>喀什地区疾病预防控制中心（喀什地区卫生监督所）</w:t>
      </w:r>
      <w:r>
        <w:rPr>
          <w:rFonts w:hint="eastAsia" w:ascii="宋体" w:hAnsi="宋体" w:eastAsia="宋体" w:cs="宋体"/>
          <w:color w:val="auto"/>
          <w:sz w:val="24"/>
          <w:szCs w:val="24"/>
          <w:highlight w:val="none"/>
        </w:rPr>
        <w:t xml:space="preserve"> 。</w:t>
      </w:r>
    </w:p>
    <w:p w14:paraId="74B7D6C6">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2、乙方负责物品的运送等工作，</w:t>
      </w:r>
      <w:r>
        <w:rPr>
          <w:rFonts w:hint="eastAsia" w:ascii="宋体" w:hAnsi="宋体" w:eastAsia="宋体" w:cs="宋体"/>
          <w:color w:val="auto"/>
          <w:sz w:val="24"/>
          <w:szCs w:val="24"/>
          <w:highlight w:val="none"/>
          <w:lang w:val="en-US"/>
        </w:rPr>
        <w:t>确保</w:t>
      </w:r>
      <w:r>
        <w:rPr>
          <w:rFonts w:hint="eastAsia" w:ascii="宋体" w:hAnsi="宋体" w:eastAsia="宋体" w:cs="宋体"/>
          <w:color w:val="auto"/>
          <w:sz w:val="24"/>
          <w:szCs w:val="24"/>
          <w:highlight w:val="none"/>
        </w:rPr>
        <w:t>该物品可以正常使用为止;负责提供物品的使用说明等相关资料，并承担由此产生的全部费用。</w:t>
      </w:r>
    </w:p>
    <w:p w14:paraId="1AEC2C7A">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3、验收时间：甲方必须于乙方提出验收申请后</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个工作日内组织验收，甲方因正当理由或者不可抗力可以延期组织验收，但应通知乙方。甲方验收合格后应当出具</w:t>
      </w:r>
      <w:r>
        <w:rPr>
          <w:rFonts w:hint="eastAsia" w:ascii="宋体" w:hAnsi="宋体" w:eastAsia="宋体" w:cs="宋体"/>
          <w:color w:val="auto"/>
          <w:sz w:val="24"/>
          <w:szCs w:val="24"/>
          <w:highlight w:val="none"/>
          <w:lang w:val="en-US"/>
        </w:rPr>
        <w:t>相关</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"http://www.xuexila.com/fwn/reportyanshou/"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rPr>
        <w:t>手续</w:t>
      </w:r>
      <w:r>
        <w:rPr>
          <w:rFonts w:hint="eastAsia" w:ascii="宋体" w:hAnsi="宋体" w:eastAsia="宋体" w:cs="宋体"/>
          <w:color w:val="auto"/>
          <w:sz w:val="24"/>
          <w:szCs w:val="24"/>
          <w:highlight w:val="none"/>
        </w:rPr>
        <w:t>。</w:t>
      </w:r>
    </w:p>
    <w:p w14:paraId="0A8149D0">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4、验收标准：</w:t>
      </w:r>
    </w:p>
    <w:p w14:paraId="501265F1">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1)单证齐全：应有产品合格证(或质量证明)、使用说明、保修证明、发票和</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"http://www.xuexila.com/meng/xiaqita/"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其它</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应具有的单证;</w:t>
      </w:r>
    </w:p>
    <w:p w14:paraId="264B0955">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2)质量符合国家法律法规规定的标准、招标文件和投标文件的要求（以较高者为准）。</w:t>
      </w:r>
    </w:p>
    <w:p w14:paraId="11054F3C">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5、质保期：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年</w:t>
      </w:r>
    </w:p>
    <w:p w14:paraId="48711A6B">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第五条 付款方式　　</w:t>
      </w:r>
    </w:p>
    <w:p w14:paraId="04C77058">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1、本合同项下所有款均以人民币支付；</w:t>
      </w:r>
    </w:p>
    <w:p w14:paraId="17677EF5">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2、付款方式：</w:t>
      </w:r>
      <w:r>
        <w:rPr>
          <w:rFonts w:hint="eastAsia" w:ascii="宋体" w:hAnsi="宋体" w:eastAsia="宋体" w:cs="宋体"/>
          <w:color w:val="auto"/>
          <w:sz w:val="24"/>
          <w:szCs w:val="24"/>
          <w:highlight w:val="none"/>
          <w:u w:val="single"/>
          <w:lang w:val="en-US" w:eastAsia="zh-CN"/>
        </w:rPr>
        <w:t xml:space="preserve">                                  </w:t>
      </w:r>
    </w:p>
    <w:p w14:paraId="2A3C5D52">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p w14:paraId="40D4089D">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1、本项目无需缴纳履约保证金。</w:t>
      </w:r>
    </w:p>
    <w:p w14:paraId="64F9A260">
      <w:pPr>
        <w:pStyle w:val="87"/>
        <w:widowControl/>
        <w:spacing w:line="480" w:lineRule="atLeast"/>
        <w:ind w:firstLine="480" w:firstLineChars="2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第六条 乙方违约责任：</w:t>
      </w:r>
    </w:p>
    <w:p w14:paraId="78E75AB2">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1、乙方不能交货的，甲方不向乙方付款。乙方应向甲方偿付相当于不能交货部分货款的10%的违约金并且赔偿甲方一切损失;</w:t>
      </w:r>
    </w:p>
    <w:p w14:paraId="36BB6568">
      <w:pPr>
        <w:pStyle w:val="88"/>
        <w:tabs>
          <w:tab w:val="left" w:pos="8309"/>
        </w:tabs>
        <w:spacing w:line="480" w:lineRule="atLeast"/>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2、乙方所交物品品种、数量、规格、质量不符合国家法律法规和合同规定的，由乙方负责在甲方限期内包修、包换或退货，并承担由此而支付的实际费用;</w:t>
      </w:r>
    </w:p>
    <w:p w14:paraId="6D4C16C3">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3、乙方逾期交货的，按逾期交货部分货款计算，向甲方偿付每日千分之五的违约金，并承担甲方因此所受的损失费用。</w:t>
      </w:r>
    </w:p>
    <w:p w14:paraId="081E045A">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4、乙方不按照本合同约定履行义务或者履行义务不符合合同约定的，除合同约定的责任外，甲方有权解除合同，乙方应当全额退还甲方已付费用、支付甲方合同总价款20%的违约金并且赔偿甲方全部损失。</w:t>
      </w:r>
    </w:p>
    <w:p w14:paraId="2A651101">
      <w:pPr>
        <w:pStyle w:val="88"/>
        <w:tabs>
          <w:tab w:val="left" w:pos="8309"/>
        </w:tabs>
        <w:spacing w:line="480" w:lineRule="atLeas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甲方不行使合同解除权的，乙方仍应按照上述条款的约定承担违约责任并且继续履行合同义务。</w:t>
      </w:r>
    </w:p>
    <w:p w14:paraId="0BBA312E">
      <w:pPr>
        <w:pStyle w:val="88"/>
        <w:tabs>
          <w:tab w:val="left" w:pos="8309"/>
        </w:tabs>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本合同提及甲方“损失”，包括但不限于人身及财产损害、行政罚款等直接损失、预期利益损失及维权产生的公证费、调查取证费、交通费、律师费等。</w:t>
      </w:r>
    </w:p>
    <w:p w14:paraId="1C317DF2">
      <w:pPr>
        <w:pStyle w:val="91"/>
        <w:widowControl/>
        <w:spacing w:line="360" w:lineRule="auto"/>
        <w:ind w:firstLine="535" w:firstLineChars="223"/>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第七条 甲方的违约责任：</w:t>
      </w:r>
    </w:p>
    <w:p w14:paraId="35E6FE8F">
      <w:pPr>
        <w:pStyle w:val="91"/>
        <w:widowControl/>
        <w:spacing w:line="360" w:lineRule="auto"/>
        <w:ind w:firstLine="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1、甲方逾期付款的，应按照</w:t>
      </w:r>
      <w:r>
        <w:rPr>
          <w:rFonts w:hint="eastAsia" w:ascii="宋体" w:hAnsi="宋体" w:eastAsia="宋体" w:cs="宋体"/>
          <w:color w:val="auto"/>
          <w:sz w:val="24"/>
          <w:szCs w:val="24"/>
          <w:highlight w:val="none"/>
          <w:u w:val="single"/>
        </w:rPr>
        <w:t>每日千分之五</w:t>
      </w:r>
      <w:r>
        <w:rPr>
          <w:rFonts w:hint="eastAsia" w:ascii="宋体" w:hAnsi="宋体" w:eastAsia="宋体" w:cs="宋体"/>
          <w:color w:val="auto"/>
          <w:sz w:val="24"/>
          <w:szCs w:val="24"/>
          <w:highlight w:val="none"/>
        </w:rPr>
        <w:t>的比例向乙方偿付逾期付款的违约金，最高不超过合同总额的1%; 甲方如因财政原因无法按期支付合同款，应及时通知乙方，支付顺延。</w:t>
      </w:r>
    </w:p>
    <w:p w14:paraId="28420463">
      <w:pPr>
        <w:pStyle w:val="91"/>
        <w:widowControl/>
        <w:spacing w:line="360" w:lineRule="auto"/>
        <w:ind w:firstLine="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2、甲方违反合同规定拒绝接货的，应当承担由此对乙方造成的损失。</w:t>
      </w:r>
    </w:p>
    <w:p w14:paraId="69DDFB4F">
      <w:pPr>
        <w:pStyle w:val="87"/>
        <w:widowControl/>
        <w:spacing w:line="480" w:lineRule="atLeas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第八条 保密条款</w:t>
      </w:r>
    </w:p>
    <w:p w14:paraId="4ADD56DA">
      <w:pPr>
        <w:pStyle w:val="91"/>
        <w:widowControl/>
        <w:spacing w:line="360" w:lineRule="auto"/>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1、本合同履行过程中双方获悉的对方的相关资料、信息等技术秘密和商业秘密，双方均应采取严格保密措施，不得泄露给任何第三方。</w:t>
      </w:r>
    </w:p>
    <w:p w14:paraId="69DF0A7E">
      <w:pPr>
        <w:pStyle w:val="91"/>
        <w:widowControl/>
        <w:spacing w:line="360" w:lineRule="auto"/>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2、双方的保密义务期限为自本合同生效之日起至本合同终止后   年(由双方商定)。</w:t>
      </w:r>
    </w:p>
    <w:p w14:paraId="0902F6F4">
      <w:pPr>
        <w:pStyle w:val="91"/>
        <w:widowControl/>
        <w:spacing w:line="360" w:lineRule="auto"/>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3、除非得到甲方的书面许可，乙方不得将本合同中的内容及在本合同执行过程中获得的甲方任何信息向任何第三方泄露。乙方的保密义务应在本协议期满、解除或终止后仍然有效。</w:t>
      </w:r>
    </w:p>
    <w:p w14:paraId="35097326">
      <w:pPr>
        <w:pStyle w:val="87"/>
        <w:widowControl/>
        <w:spacing w:line="480" w:lineRule="atLeas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第九条 不可抗力</w:t>
      </w:r>
    </w:p>
    <w:p w14:paraId="012CA839">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15151121">
      <w:pPr>
        <w:pStyle w:val="87"/>
        <w:widowControl/>
        <w:numPr>
          <w:ilvl w:val="0"/>
          <w:numId w:val="8"/>
        </w:numPr>
        <w:spacing w:line="480" w:lineRule="atLeas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争议的解决</w:t>
      </w:r>
    </w:p>
    <w:p w14:paraId="07743E46">
      <w:pPr>
        <w:pStyle w:val="91"/>
        <w:widowControl/>
        <w:spacing w:line="360" w:lineRule="auto"/>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1、因货物的质量问题发生争议，由法律及有关规章规定的、双方共同认可的有相关资质的技术单位进行质量鉴定;</w:t>
      </w:r>
    </w:p>
    <w:p w14:paraId="3742169F">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2、执行本合同发生纠纷，甲乙双方应当及时友好协商解决，协商不成的，任何一方均可向合同签订地人民法院提起诉讼。</w:t>
      </w:r>
    </w:p>
    <w:p w14:paraId="6A9D5DC6">
      <w:pPr>
        <w:pStyle w:val="87"/>
        <w:widowControl/>
        <w:spacing w:line="480" w:lineRule="atLeas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第十一条补充合同</w:t>
      </w:r>
    </w:p>
    <w:p w14:paraId="6A094E6D">
      <w:pPr>
        <w:pStyle w:val="91"/>
        <w:widowControl/>
        <w:spacing w:line="360" w:lineRule="auto"/>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合同订立后，双方经协商一致需变更合同实质性条款或订立补充合同的，与本合同具有同等法律效力。</w:t>
      </w:r>
    </w:p>
    <w:p w14:paraId="53307956">
      <w:pPr>
        <w:pStyle w:val="88"/>
        <w:spacing w:line="480" w:lineRule="atLeas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第十</w:t>
      </w:r>
      <w:r>
        <w:rPr>
          <w:rFonts w:hint="eastAsia" w:ascii="宋体" w:hAnsi="宋体" w:eastAsia="宋体" w:cs="宋体"/>
          <w:color w:val="auto"/>
          <w:sz w:val="24"/>
          <w:szCs w:val="24"/>
          <w:highlight w:val="none"/>
          <w:lang w:val="en-US"/>
        </w:rPr>
        <w:t>二</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合同生效及其他</w:t>
      </w:r>
    </w:p>
    <w:p w14:paraId="6B340399">
      <w:pPr>
        <w:pStyle w:val="88"/>
        <w:tabs>
          <w:tab w:val="left" w:pos="354"/>
        </w:tabs>
        <w:spacing w:line="480" w:lineRule="atLeast"/>
        <w:ind w:firstLine="480" w:firstLineChars="200"/>
        <w:jc w:val="left"/>
        <w:rPr>
          <w:rFonts w:hint="eastAsia" w:ascii="宋体" w:hAnsi="宋体" w:eastAsia="宋体" w:cs="宋体"/>
          <w:color w:val="auto"/>
          <w:sz w:val="24"/>
          <w:szCs w:val="24"/>
          <w:highlight w:val="none"/>
        </w:rPr>
      </w:pPr>
      <w:bookmarkStart w:id="177" w:name="bookmark26"/>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rPr>
        <w:t>1</w:t>
      </w:r>
      <w:bookmarkEnd w:id="177"/>
      <w:r>
        <w:rPr>
          <w:rFonts w:hint="eastAsia" w:ascii="宋体" w:hAnsi="宋体" w:eastAsia="宋体" w:cs="宋体"/>
          <w:color w:val="auto"/>
          <w:sz w:val="24"/>
          <w:szCs w:val="24"/>
          <w:highlight w:val="none"/>
        </w:rPr>
        <w:t>、本合同自签</w:t>
      </w:r>
      <w:r>
        <w:rPr>
          <w:rFonts w:hint="eastAsia" w:ascii="宋体" w:hAnsi="宋体" w:eastAsia="宋体" w:cs="宋体"/>
          <w:color w:val="auto"/>
          <w:sz w:val="24"/>
          <w:szCs w:val="24"/>
          <w:highlight w:val="none"/>
          <w:lang w:val="en-US"/>
        </w:rPr>
        <w:t>字盖章</w:t>
      </w:r>
      <w:r>
        <w:rPr>
          <w:rFonts w:hint="eastAsia" w:ascii="宋体" w:hAnsi="宋体" w:eastAsia="宋体" w:cs="宋体"/>
          <w:color w:val="auto"/>
          <w:sz w:val="24"/>
          <w:szCs w:val="24"/>
          <w:highlight w:val="none"/>
        </w:rPr>
        <w:t>之日起生效。</w:t>
      </w:r>
    </w:p>
    <w:p w14:paraId="16858763">
      <w:pPr>
        <w:pStyle w:val="88"/>
        <w:tabs>
          <w:tab w:val="left" w:pos="363"/>
          <w:tab w:val="left" w:pos="1766"/>
          <w:tab w:val="left" w:leader="underscore" w:pos="3667"/>
          <w:tab w:val="left" w:leader="underscore" w:pos="4531"/>
          <w:tab w:val="left" w:leader="underscore" w:pos="7066"/>
        </w:tabs>
        <w:spacing w:line="340" w:lineRule="exact"/>
        <w:ind w:firstLine="480" w:firstLineChars="200"/>
        <w:jc w:val="left"/>
        <w:rPr>
          <w:rFonts w:hint="eastAsia" w:ascii="宋体" w:hAnsi="宋体" w:eastAsia="宋体" w:cs="宋体"/>
          <w:color w:val="auto"/>
          <w:sz w:val="24"/>
          <w:szCs w:val="24"/>
          <w:highlight w:val="none"/>
        </w:rPr>
      </w:pPr>
    </w:p>
    <w:p w14:paraId="53B4DFF8">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甲方(盖章)：_________           乙方(盖章)：_________</w:t>
      </w:r>
    </w:p>
    <w:p w14:paraId="093853EB">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经办人(签字)：________          经办人(签字)：_________</w:t>
      </w:r>
    </w:p>
    <w:p w14:paraId="7A35FA7F">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负责人(签字)：_________         负责人(签字)：_________</w:t>
      </w:r>
    </w:p>
    <w:p w14:paraId="0E5542F1">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地　址：______________          地　址：_________</w:t>
      </w:r>
    </w:p>
    <w:p w14:paraId="225E22AA">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电　话：______________          电　话：_________</w:t>
      </w:r>
    </w:p>
    <w:p w14:paraId="4F83FD37">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开户银行：_____________         开户银行：_________</w:t>
      </w:r>
    </w:p>
    <w:p w14:paraId="172631C2">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帐号：_________________         帐号：_________</w:t>
      </w:r>
    </w:p>
    <w:p w14:paraId="1FC5D943">
      <w:pPr>
        <w:pStyle w:val="87"/>
        <w:widowControl/>
        <w:spacing w:line="480" w:lineRule="atLeast"/>
        <w:ind w:firstLine="960" w:firstLineChars="400"/>
        <w:jc w:val="both"/>
        <w:rPr>
          <w:rFonts w:hint="eastAsia" w:ascii="宋体" w:hAnsi="宋体" w:eastAsia="宋体" w:cs="宋体"/>
          <w:color w:val="auto"/>
          <w:sz w:val="24"/>
          <w:szCs w:val="24"/>
          <w:highlight w:val="none"/>
        </w:rPr>
      </w:pPr>
    </w:p>
    <w:p w14:paraId="7A497C45">
      <w:pPr>
        <w:pStyle w:val="87"/>
        <w:widowControl/>
        <w:spacing w:line="480" w:lineRule="atLeast"/>
        <w:ind w:firstLine="960"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xx年xx月xx日_________        xx年xx月xx日</w:t>
      </w:r>
    </w:p>
    <w:sectPr>
      <w:type w:val="continuous"/>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dobe 仿宋 Std R">
    <w:altName w:val="仿宋"/>
    <w:panose1 w:val="02020400000000000000"/>
    <w:charset w:val="86"/>
    <w:family w:val="auto"/>
    <w:pitch w:val="default"/>
    <w:sig w:usb0="00000000" w:usb1="00000000" w:usb2="00000016" w:usb3="00000000" w:csb0="00060007" w:csb1="00000000"/>
  </w:font>
  <w:font w:name="等线">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A6C4">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0E3E">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DD5DB6">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35DD5DB6">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D5AFF">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041196">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fill on="f" focussize="0,0"/>
              <v:stroke on="f" weight="0.5pt"/>
              <v:imagedata o:title=""/>
              <o:lock v:ext="edit" aspectratio="f"/>
              <v:textbox inset="0mm,0mm,0mm,0mm" style="mso-fit-shape-to-text:t;">
                <w:txbxContent>
                  <w:p w14:paraId="47041196">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538B5">
    <w:pPr>
      <w:pStyle w:val="17"/>
    </w:pPr>
    <w:r>
      <w:rPr>
        <w:rStyle w:val="39"/>
        <w:rFonts w:hint="eastAsia"/>
        <w:sz w:val="24"/>
      </w:rPr>
      <w:t xml:space="preserve">  </w:t>
    </w:r>
    <w:r>
      <w:rPr>
        <w:rStyle w:val="39"/>
        <w:sz w:val="24"/>
      </w:rPr>
      <w:drawing>
        <wp:inline distT="0" distB="0" distL="114300" distR="114300">
          <wp:extent cx="374015" cy="375920"/>
          <wp:effectExtent l="0" t="0" r="6985" b="5080"/>
          <wp:docPr id="1" name="图片 2" descr="D:\用户目录\我的文档\Tencent Files\742054343\Image\C2C\0UZ3YQ7QPT[@M_F(FE]QH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用户目录\我的文档\Tencent Files\742054343\Image\C2C\0UZ3YQ7QPT[@M_F(FE]QHFN.png"/>
                  <pic:cNvPicPr>
                    <a:picLocks noChangeAspect="1"/>
                  </pic:cNvPicPr>
                </pic:nvPicPr>
                <pic:blipFill>
                  <a:blip r:embed="rId1"/>
                  <a:stretch>
                    <a:fillRect/>
                  </a:stretch>
                </pic:blipFill>
                <pic:spPr>
                  <a:xfrm>
                    <a:off x="0" y="0"/>
                    <a:ext cx="374015" cy="375920"/>
                  </a:xfrm>
                  <a:prstGeom prst="rect">
                    <a:avLst/>
                  </a:prstGeom>
                  <a:noFill/>
                  <a:ln>
                    <a:noFill/>
                  </a:ln>
                </pic:spPr>
              </pic:pic>
            </a:graphicData>
          </a:graphic>
        </wp:inline>
      </w:drawing>
    </w:r>
    <w:r>
      <w:rPr>
        <w:rStyle w:val="39"/>
        <w:rFonts w:hint="eastAsia"/>
        <w:sz w:val="24"/>
      </w:rPr>
      <w:t xml:space="preserve">                                新疆拓源工程管理咨询有限公司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65E20"/>
    <w:multiLevelType w:val="singleLevel"/>
    <w:tmpl w:val="84065E20"/>
    <w:lvl w:ilvl="0" w:tentative="0">
      <w:start w:val="4"/>
      <w:numFmt w:val="chineseCounting"/>
      <w:suff w:val="space"/>
      <w:lvlText w:val="第%1章"/>
      <w:lvlJc w:val="left"/>
      <w:rPr>
        <w:rFonts w:hint="eastAsia"/>
      </w:rPr>
    </w:lvl>
  </w:abstractNum>
  <w:abstractNum w:abstractNumId="1">
    <w:nsid w:val="F3290AE7"/>
    <w:multiLevelType w:val="singleLevel"/>
    <w:tmpl w:val="F3290AE7"/>
    <w:lvl w:ilvl="0" w:tentative="0">
      <w:start w:val="10"/>
      <w:numFmt w:val="chineseCounting"/>
      <w:suff w:val="space"/>
      <w:lvlText w:val="第%1条"/>
      <w:lvlJc w:val="left"/>
      <w:rPr>
        <w:rFonts w:hint="eastAsia"/>
      </w:rPr>
    </w:lvl>
  </w:abstractNum>
  <w:abstractNum w:abstractNumId="2">
    <w:nsid w:val="0000000A"/>
    <w:multiLevelType w:val="multilevel"/>
    <w:tmpl w:val="0000000A"/>
    <w:lvl w:ilvl="0" w:tentative="0">
      <w:start w:val="1"/>
      <w:numFmt w:val="decimal"/>
      <w:lvlText w:val="第%1章"/>
      <w:lvlJc w:val="left"/>
      <w:pPr>
        <w:ind w:left="432" w:hanging="432"/>
      </w:pPr>
      <w:rPr>
        <w:rFonts w:hint="eastAsia" w:ascii="宋体" w:hAnsi="宋体" w:eastAsia="宋体" w:cs="宋体"/>
      </w:rPr>
    </w:lvl>
    <w:lvl w:ilvl="1" w:tentative="0">
      <w:start w:val="1"/>
      <w:numFmt w:val="decimalFullWidth"/>
      <w:lvlText w:val="%1.%2"/>
      <w:lvlJc w:val="left"/>
      <w:pPr>
        <w:ind w:left="575" w:hanging="575"/>
      </w:pPr>
      <w:rPr>
        <w:rFonts w:hint="eastAsia" w:ascii="宋体" w:hAnsi="宋体" w:eastAsia="宋体" w:cs="宋体"/>
      </w:rPr>
    </w:lvl>
    <w:lvl w:ilvl="2" w:tentative="0">
      <w:start w:val="1"/>
      <w:numFmt w:val="decimal"/>
      <w:lvlText w:val="%1.%2.%3 "/>
      <w:lvlJc w:val="left"/>
      <w:pPr>
        <w:ind w:left="720" w:hanging="720"/>
      </w:pPr>
      <w:rPr>
        <w:rFonts w:hint="eastAsia" w:ascii="宋体" w:hAnsi="宋体" w:eastAsia="宋体" w:cs="宋体"/>
      </w:rPr>
    </w:lvl>
    <w:lvl w:ilvl="3" w:tentative="0">
      <w:start w:val="1"/>
      <w:numFmt w:val="decimal"/>
      <w:pStyle w:val="7"/>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2A26EEE9"/>
    <w:multiLevelType w:val="singleLevel"/>
    <w:tmpl w:val="2A26EEE9"/>
    <w:lvl w:ilvl="0" w:tentative="0">
      <w:start w:val="1"/>
      <w:numFmt w:val="decimal"/>
      <w:suff w:val="nothing"/>
      <w:lvlText w:val="%1、"/>
      <w:lvlJc w:val="left"/>
    </w:lvl>
  </w:abstractNum>
  <w:abstractNum w:abstractNumId="4">
    <w:nsid w:val="2EC14CF7"/>
    <w:multiLevelType w:val="multilevel"/>
    <w:tmpl w:val="2EC14CF7"/>
    <w:lvl w:ilvl="0" w:tentative="0">
      <w:start w:val="1"/>
      <w:numFmt w:val="chineseCountingThousand"/>
      <w:suff w:val="space"/>
      <w:lvlText w:val="%1、"/>
      <w:lvlJc w:val="left"/>
      <w:pPr>
        <w:ind w:left="0" w:firstLine="0"/>
      </w:pPr>
      <w:rPr>
        <w:rFonts w:hint="eastAsia"/>
      </w:rPr>
    </w:lvl>
    <w:lvl w:ilvl="1" w:tentative="0">
      <w:start w:val="1"/>
      <w:numFmt w:val="decimal"/>
      <w:isLgl/>
      <w:suff w:val="space"/>
      <w:lvlText w:val="%1.%2"/>
      <w:lvlJc w:val="left"/>
      <w:pPr>
        <w:ind w:left="284" w:firstLine="0"/>
      </w:pPr>
      <w:rPr>
        <w:rFonts w:hint="eastAsia"/>
        <w:spacing w:val="0"/>
        <w:w w:val="100"/>
        <w:kern w:val="21"/>
        <w:position w:val="0"/>
      </w:rPr>
    </w:lvl>
    <w:lvl w:ilvl="2" w:tentative="0">
      <w:start w:val="1"/>
      <w:numFmt w:val="decimal"/>
      <w:pStyle w:val="4"/>
      <w:isLgl/>
      <w:suff w:val="space"/>
      <w:lvlText w:val="%1.%2.%3"/>
      <w:lvlJc w:val="left"/>
      <w:pPr>
        <w:ind w:left="2410" w:firstLine="0"/>
      </w:pPr>
      <w:rPr>
        <w:rFonts w:hint="eastAsia"/>
        <w:color w:val="auto"/>
      </w:rPr>
    </w:lvl>
    <w:lvl w:ilvl="3" w:tentative="0">
      <w:start w:val="1"/>
      <w:numFmt w:val="decimal"/>
      <w:lvlText w:val="%1.%2.%3.%4"/>
      <w:lvlJc w:val="left"/>
      <w:pPr>
        <w:ind w:left="852" w:firstLine="0"/>
      </w:pPr>
      <w:rPr>
        <w:rFonts w:hint="eastAsia"/>
      </w:rPr>
    </w:lvl>
    <w:lvl w:ilvl="4" w:tentative="0">
      <w:start w:val="1"/>
      <w:numFmt w:val="decimal"/>
      <w:lvlText w:val="%1.%2.%3.%4.%5"/>
      <w:lvlJc w:val="left"/>
      <w:pPr>
        <w:ind w:left="1136" w:firstLine="0"/>
      </w:pPr>
      <w:rPr>
        <w:rFonts w:hint="eastAsia"/>
      </w:rPr>
    </w:lvl>
    <w:lvl w:ilvl="5" w:tentative="0">
      <w:start w:val="1"/>
      <w:numFmt w:val="decimal"/>
      <w:lvlText w:val="%1.%2.%3.%4.%5.%6"/>
      <w:lvlJc w:val="left"/>
      <w:pPr>
        <w:ind w:left="1420" w:firstLine="0"/>
      </w:pPr>
      <w:rPr>
        <w:rFonts w:hint="eastAsia"/>
      </w:rPr>
    </w:lvl>
    <w:lvl w:ilvl="6" w:tentative="0">
      <w:start w:val="1"/>
      <w:numFmt w:val="decimal"/>
      <w:lvlText w:val="%1.%2.%3.%4.%5.%6.%7"/>
      <w:lvlJc w:val="left"/>
      <w:pPr>
        <w:ind w:left="1704" w:firstLine="0"/>
      </w:pPr>
      <w:rPr>
        <w:rFonts w:hint="eastAsia"/>
      </w:rPr>
    </w:lvl>
    <w:lvl w:ilvl="7" w:tentative="0">
      <w:start w:val="1"/>
      <w:numFmt w:val="decimal"/>
      <w:lvlText w:val="%1.%2.%3.%4.%5.%6.%7.%8"/>
      <w:lvlJc w:val="left"/>
      <w:pPr>
        <w:ind w:left="1988" w:firstLine="0"/>
      </w:pPr>
      <w:rPr>
        <w:rFonts w:hint="eastAsia"/>
      </w:rPr>
    </w:lvl>
    <w:lvl w:ilvl="8" w:tentative="0">
      <w:start w:val="1"/>
      <w:numFmt w:val="decimal"/>
      <w:lvlText w:val="%1.%2.%3.%4.%5.%6.%7.%8.%9"/>
      <w:lvlJc w:val="left"/>
      <w:pPr>
        <w:ind w:left="2272" w:firstLine="0"/>
      </w:pPr>
      <w:rPr>
        <w:rFonts w:hint="eastAsia"/>
      </w:rPr>
    </w:lvl>
  </w:abstractNum>
  <w:abstractNum w:abstractNumId="5">
    <w:nsid w:val="47B24A7F"/>
    <w:multiLevelType w:val="multilevel"/>
    <w:tmpl w:val="47B24A7F"/>
    <w:lvl w:ilvl="0" w:tentative="0">
      <w:start w:val="1"/>
      <w:numFmt w:val="decimal"/>
      <w:lvlText w:val="%1、"/>
      <w:lvlJc w:val="left"/>
      <w:pPr>
        <w:tabs>
          <w:tab w:val="left" w:pos="740"/>
        </w:tabs>
        <w:ind w:left="1081" w:hanging="1081"/>
      </w:pPr>
      <w:rPr>
        <w:rFonts w:hint="default"/>
      </w:rPr>
    </w:lvl>
    <w:lvl w:ilvl="1" w:tentative="0">
      <w:start w:val="1"/>
      <w:numFmt w:val="decimal"/>
      <w:pStyle w:val="94"/>
      <w:lvlText w:val="%2、"/>
      <w:lvlJc w:val="left"/>
      <w:pPr>
        <w:tabs>
          <w:tab w:val="left" w:pos="1160"/>
        </w:tabs>
        <w:ind w:left="1501" w:hanging="1081"/>
      </w:pPr>
      <w:rPr>
        <w:rFonts w:hint="default" w:ascii="Arial" w:hAnsi="Arial" w:cs="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0C8F99C"/>
    <w:multiLevelType w:val="singleLevel"/>
    <w:tmpl w:val="60C8F99C"/>
    <w:lvl w:ilvl="0" w:tentative="0">
      <w:start w:val="6"/>
      <w:numFmt w:val="chineseCounting"/>
      <w:suff w:val="nothing"/>
      <w:lvlText w:val="%1、"/>
      <w:lvlJc w:val="left"/>
      <w:rPr>
        <w:rFonts w:hint="eastAsia"/>
      </w:rPr>
    </w:lvl>
  </w:abstractNum>
  <w:abstractNum w:abstractNumId="7">
    <w:nsid w:val="653F7076"/>
    <w:multiLevelType w:val="singleLevel"/>
    <w:tmpl w:val="653F7076"/>
    <w:lvl w:ilvl="0" w:tentative="0">
      <w:start w:val="18"/>
      <w:numFmt w:val="decimal"/>
      <w:lvlText w:val="%1."/>
      <w:lvlJc w:val="left"/>
    </w:lvl>
  </w:abstractNum>
  <w:num w:numId="1">
    <w:abstractNumId w:val="4"/>
  </w:num>
  <w:num w:numId="2">
    <w:abstractNumId w:val="2"/>
  </w:num>
  <w:num w:numId="3">
    <w:abstractNumId w:val="5"/>
  </w:num>
  <w:num w:numId="4">
    <w:abstractNumId w:val="7"/>
  </w:num>
  <w:num w:numId="5">
    <w:abstractNumId w:val="6"/>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4Njc5NjM2OThhMThlZGQ5ZTllODU0OWJhOTg5ZWUifQ=="/>
  </w:docVars>
  <w:rsids>
    <w:rsidRoot w:val="00000000"/>
    <w:rsid w:val="003116F7"/>
    <w:rsid w:val="00683500"/>
    <w:rsid w:val="00775994"/>
    <w:rsid w:val="00C346E9"/>
    <w:rsid w:val="012122B7"/>
    <w:rsid w:val="016C4AB3"/>
    <w:rsid w:val="01D3338E"/>
    <w:rsid w:val="01E730A7"/>
    <w:rsid w:val="02E50728"/>
    <w:rsid w:val="030516AD"/>
    <w:rsid w:val="03125B78"/>
    <w:rsid w:val="03601057"/>
    <w:rsid w:val="03877E0B"/>
    <w:rsid w:val="03AF02A6"/>
    <w:rsid w:val="03C84ADB"/>
    <w:rsid w:val="042E0790"/>
    <w:rsid w:val="047A204C"/>
    <w:rsid w:val="04AE6D35"/>
    <w:rsid w:val="04D33F6A"/>
    <w:rsid w:val="04F120B5"/>
    <w:rsid w:val="052A4C6E"/>
    <w:rsid w:val="05AC4062"/>
    <w:rsid w:val="05C87D02"/>
    <w:rsid w:val="05E15CEF"/>
    <w:rsid w:val="06110369"/>
    <w:rsid w:val="070639A7"/>
    <w:rsid w:val="0765096C"/>
    <w:rsid w:val="0790350F"/>
    <w:rsid w:val="07A31495"/>
    <w:rsid w:val="082029E5"/>
    <w:rsid w:val="0878647D"/>
    <w:rsid w:val="08AA53A0"/>
    <w:rsid w:val="08EA795F"/>
    <w:rsid w:val="09310382"/>
    <w:rsid w:val="095C7B4D"/>
    <w:rsid w:val="096156B5"/>
    <w:rsid w:val="09756E61"/>
    <w:rsid w:val="09A7198A"/>
    <w:rsid w:val="09BC0979"/>
    <w:rsid w:val="09DE4A06"/>
    <w:rsid w:val="0A033A7B"/>
    <w:rsid w:val="0A364E79"/>
    <w:rsid w:val="0A4D3A1A"/>
    <w:rsid w:val="0A665D1E"/>
    <w:rsid w:val="0AB063A2"/>
    <w:rsid w:val="0AFA761E"/>
    <w:rsid w:val="0B2C49FD"/>
    <w:rsid w:val="0B2E376B"/>
    <w:rsid w:val="0B3115C2"/>
    <w:rsid w:val="0C272694"/>
    <w:rsid w:val="0CE07BF9"/>
    <w:rsid w:val="0D5D55C8"/>
    <w:rsid w:val="0D9F26FE"/>
    <w:rsid w:val="0DDF2AFB"/>
    <w:rsid w:val="0E3A41D5"/>
    <w:rsid w:val="0E3E3CC5"/>
    <w:rsid w:val="0E5E6115"/>
    <w:rsid w:val="0E6A6868"/>
    <w:rsid w:val="0E8A7E89"/>
    <w:rsid w:val="0EA307C0"/>
    <w:rsid w:val="0EBE4E06"/>
    <w:rsid w:val="0EE179FB"/>
    <w:rsid w:val="0F0A3BA7"/>
    <w:rsid w:val="0F820026"/>
    <w:rsid w:val="103510F8"/>
    <w:rsid w:val="106A0F18"/>
    <w:rsid w:val="10910BD7"/>
    <w:rsid w:val="10A00E2D"/>
    <w:rsid w:val="10BD560F"/>
    <w:rsid w:val="10C55FD8"/>
    <w:rsid w:val="10F66AD9"/>
    <w:rsid w:val="11416F6F"/>
    <w:rsid w:val="12107727"/>
    <w:rsid w:val="122D02D9"/>
    <w:rsid w:val="123870C0"/>
    <w:rsid w:val="123A0C48"/>
    <w:rsid w:val="12B02CB8"/>
    <w:rsid w:val="13443C66"/>
    <w:rsid w:val="13734411"/>
    <w:rsid w:val="138F28CD"/>
    <w:rsid w:val="13E63024"/>
    <w:rsid w:val="13F015BE"/>
    <w:rsid w:val="14B042E9"/>
    <w:rsid w:val="14C1507F"/>
    <w:rsid w:val="15121A08"/>
    <w:rsid w:val="15520056"/>
    <w:rsid w:val="15BE65F7"/>
    <w:rsid w:val="15DB004C"/>
    <w:rsid w:val="16612C47"/>
    <w:rsid w:val="169052DA"/>
    <w:rsid w:val="16F2564D"/>
    <w:rsid w:val="17EF6030"/>
    <w:rsid w:val="17F05794"/>
    <w:rsid w:val="18277578"/>
    <w:rsid w:val="18510A99"/>
    <w:rsid w:val="186E6002"/>
    <w:rsid w:val="18CE20EA"/>
    <w:rsid w:val="18D21BDA"/>
    <w:rsid w:val="19250647"/>
    <w:rsid w:val="1A104390"/>
    <w:rsid w:val="1AA473A2"/>
    <w:rsid w:val="1ACE4623"/>
    <w:rsid w:val="1AD0039B"/>
    <w:rsid w:val="1AD52AE7"/>
    <w:rsid w:val="1B4A3CA9"/>
    <w:rsid w:val="1B79458F"/>
    <w:rsid w:val="1BA710FC"/>
    <w:rsid w:val="1BC51582"/>
    <w:rsid w:val="1BEC0C12"/>
    <w:rsid w:val="1BFA256E"/>
    <w:rsid w:val="1C4526C3"/>
    <w:rsid w:val="1C606789"/>
    <w:rsid w:val="1C784846"/>
    <w:rsid w:val="1D2E63B6"/>
    <w:rsid w:val="1DC011C6"/>
    <w:rsid w:val="1DC51A93"/>
    <w:rsid w:val="1DC53ABB"/>
    <w:rsid w:val="1E091286"/>
    <w:rsid w:val="1E4D67B4"/>
    <w:rsid w:val="1E5E7A6C"/>
    <w:rsid w:val="1E676920"/>
    <w:rsid w:val="1E7828DC"/>
    <w:rsid w:val="1E7B5965"/>
    <w:rsid w:val="1EA57449"/>
    <w:rsid w:val="1EBF7CA8"/>
    <w:rsid w:val="1FA976C2"/>
    <w:rsid w:val="1FE3647B"/>
    <w:rsid w:val="1FF561AE"/>
    <w:rsid w:val="20322F5E"/>
    <w:rsid w:val="205E64E0"/>
    <w:rsid w:val="20B35678"/>
    <w:rsid w:val="20C95670"/>
    <w:rsid w:val="22FB7F7F"/>
    <w:rsid w:val="230A01C2"/>
    <w:rsid w:val="232B0864"/>
    <w:rsid w:val="232C1EE7"/>
    <w:rsid w:val="23552F4D"/>
    <w:rsid w:val="23691BCC"/>
    <w:rsid w:val="23AB62D5"/>
    <w:rsid w:val="23B1063E"/>
    <w:rsid w:val="23DC1B5F"/>
    <w:rsid w:val="24335733"/>
    <w:rsid w:val="243F3E9B"/>
    <w:rsid w:val="24CE37EF"/>
    <w:rsid w:val="24FF3D57"/>
    <w:rsid w:val="250F1B30"/>
    <w:rsid w:val="2546034B"/>
    <w:rsid w:val="2570016D"/>
    <w:rsid w:val="25A16AED"/>
    <w:rsid w:val="25DC4098"/>
    <w:rsid w:val="26F5651D"/>
    <w:rsid w:val="26F76082"/>
    <w:rsid w:val="2767173F"/>
    <w:rsid w:val="27863E39"/>
    <w:rsid w:val="279462AC"/>
    <w:rsid w:val="27D71043"/>
    <w:rsid w:val="28395C86"/>
    <w:rsid w:val="28706B8B"/>
    <w:rsid w:val="292D4147"/>
    <w:rsid w:val="294C6E3F"/>
    <w:rsid w:val="294F2DD3"/>
    <w:rsid w:val="29666F81"/>
    <w:rsid w:val="29907B26"/>
    <w:rsid w:val="29CA5BEF"/>
    <w:rsid w:val="2A6B7798"/>
    <w:rsid w:val="2A9F0556"/>
    <w:rsid w:val="2AC903B8"/>
    <w:rsid w:val="2B0C5B64"/>
    <w:rsid w:val="2B4E2615"/>
    <w:rsid w:val="2BD06BB0"/>
    <w:rsid w:val="2BDF1634"/>
    <w:rsid w:val="2BEE0681"/>
    <w:rsid w:val="2C173E17"/>
    <w:rsid w:val="2CE37612"/>
    <w:rsid w:val="2D086FCF"/>
    <w:rsid w:val="2D306A77"/>
    <w:rsid w:val="2D5E35E4"/>
    <w:rsid w:val="2DDC58D4"/>
    <w:rsid w:val="2DF857E7"/>
    <w:rsid w:val="2E5C3FC8"/>
    <w:rsid w:val="2E6B420B"/>
    <w:rsid w:val="2EA8720D"/>
    <w:rsid w:val="2F0032BE"/>
    <w:rsid w:val="2F432A92"/>
    <w:rsid w:val="2FD361A8"/>
    <w:rsid w:val="300541EB"/>
    <w:rsid w:val="30063FCB"/>
    <w:rsid w:val="300761B5"/>
    <w:rsid w:val="304E60CB"/>
    <w:rsid w:val="306161FE"/>
    <w:rsid w:val="30875B6C"/>
    <w:rsid w:val="309B06AC"/>
    <w:rsid w:val="30FD77EE"/>
    <w:rsid w:val="31044153"/>
    <w:rsid w:val="31C9724B"/>
    <w:rsid w:val="32180206"/>
    <w:rsid w:val="321E3342"/>
    <w:rsid w:val="322F72FD"/>
    <w:rsid w:val="323C2E8C"/>
    <w:rsid w:val="32B819E9"/>
    <w:rsid w:val="33174961"/>
    <w:rsid w:val="3370483D"/>
    <w:rsid w:val="342D3D10"/>
    <w:rsid w:val="34C60CFA"/>
    <w:rsid w:val="352A4A91"/>
    <w:rsid w:val="358D2CB9"/>
    <w:rsid w:val="361676E2"/>
    <w:rsid w:val="361B02C4"/>
    <w:rsid w:val="36354492"/>
    <w:rsid w:val="36D16BD5"/>
    <w:rsid w:val="36DD1A1E"/>
    <w:rsid w:val="37160A8C"/>
    <w:rsid w:val="3736112E"/>
    <w:rsid w:val="374765C5"/>
    <w:rsid w:val="375D66BB"/>
    <w:rsid w:val="3793123B"/>
    <w:rsid w:val="37B54749"/>
    <w:rsid w:val="38451629"/>
    <w:rsid w:val="384D2D02"/>
    <w:rsid w:val="38507FCD"/>
    <w:rsid w:val="387072B1"/>
    <w:rsid w:val="387E4B3B"/>
    <w:rsid w:val="3891486E"/>
    <w:rsid w:val="38A040C7"/>
    <w:rsid w:val="390019F4"/>
    <w:rsid w:val="390B0AC4"/>
    <w:rsid w:val="39202096"/>
    <w:rsid w:val="39932868"/>
    <w:rsid w:val="399D7242"/>
    <w:rsid w:val="3A465B2C"/>
    <w:rsid w:val="3ACB3458"/>
    <w:rsid w:val="3B2C1DEE"/>
    <w:rsid w:val="3B660234"/>
    <w:rsid w:val="3B675D5A"/>
    <w:rsid w:val="3B844B5E"/>
    <w:rsid w:val="3BC27434"/>
    <w:rsid w:val="3BE473AB"/>
    <w:rsid w:val="3C1F2841"/>
    <w:rsid w:val="3C751085"/>
    <w:rsid w:val="3C91071E"/>
    <w:rsid w:val="3C920BB5"/>
    <w:rsid w:val="3C9F11E4"/>
    <w:rsid w:val="3C9F32D2"/>
    <w:rsid w:val="3CB15833"/>
    <w:rsid w:val="3CCC6B10"/>
    <w:rsid w:val="3D204412"/>
    <w:rsid w:val="3DB42DAD"/>
    <w:rsid w:val="3DD376D7"/>
    <w:rsid w:val="3DDA6CB7"/>
    <w:rsid w:val="3E32681E"/>
    <w:rsid w:val="3E9C5D1B"/>
    <w:rsid w:val="3EB50271"/>
    <w:rsid w:val="3F0D2EBA"/>
    <w:rsid w:val="3F20694C"/>
    <w:rsid w:val="3F6F342F"/>
    <w:rsid w:val="3FA34C2E"/>
    <w:rsid w:val="400D3374"/>
    <w:rsid w:val="40175FA1"/>
    <w:rsid w:val="401A15ED"/>
    <w:rsid w:val="403E37AD"/>
    <w:rsid w:val="40416B7A"/>
    <w:rsid w:val="40955117"/>
    <w:rsid w:val="411F3834"/>
    <w:rsid w:val="41317E02"/>
    <w:rsid w:val="41BD0B90"/>
    <w:rsid w:val="41DA27B8"/>
    <w:rsid w:val="41DB1AD2"/>
    <w:rsid w:val="41F63994"/>
    <w:rsid w:val="42381211"/>
    <w:rsid w:val="42562684"/>
    <w:rsid w:val="42AC04F6"/>
    <w:rsid w:val="431542ED"/>
    <w:rsid w:val="433C187A"/>
    <w:rsid w:val="437713A1"/>
    <w:rsid w:val="43EE1643"/>
    <w:rsid w:val="43F32881"/>
    <w:rsid w:val="441A7E0D"/>
    <w:rsid w:val="446E0159"/>
    <w:rsid w:val="449E07F1"/>
    <w:rsid w:val="44A1440E"/>
    <w:rsid w:val="44DD29B7"/>
    <w:rsid w:val="4508235C"/>
    <w:rsid w:val="450A0AA9"/>
    <w:rsid w:val="45541FB3"/>
    <w:rsid w:val="4565330A"/>
    <w:rsid w:val="457C7A7A"/>
    <w:rsid w:val="459A2BEF"/>
    <w:rsid w:val="463827CD"/>
    <w:rsid w:val="46611270"/>
    <w:rsid w:val="466D4622"/>
    <w:rsid w:val="46853538"/>
    <w:rsid w:val="46C8296A"/>
    <w:rsid w:val="481D7ECC"/>
    <w:rsid w:val="485F6737"/>
    <w:rsid w:val="48C26B67"/>
    <w:rsid w:val="48E44E8E"/>
    <w:rsid w:val="49456A34"/>
    <w:rsid w:val="49951CE4"/>
    <w:rsid w:val="49A33231"/>
    <w:rsid w:val="49E30CA1"/>
    <w:rsid w:val="49E8259C"/>
    <w:rsid w:val="49E8450A"/>
    <w:rsid w:val="4A985509"/>
    <w:rsid w:val="4AE9678B"/>
    <w:rsid w:val="4B01301B"/>
    <w:rsid w:val="4B055712"/>
    <w:rsid w:val="4B173270"/>
    <w:rsid w:val="4B6B0F4E"/>
    <w:rsid w:val="4BB943B0"/>
    <w:rsid w:val="4C2F0F0C"/>
    <w:rsid w:val="4CD74E07"/>
    <w:rsid w:val="4CFC309A"/>
    <w:rsid w:val="4D242C7E"/>
    <w:rsid w:val="4D4C4DB0"/>
    <w:rsid w:val="4DA50ECE"/>
    <w:rsid w:val="4DDE00FE"/>
    <w:rsid w:val="4E1E3F1E"/>
    <w:rsid w:val="4E2F0959"/>
    <w:rsid w:val="4E6C395B"/>
    <w:rsid w:val="4E8F4DB4"/>
    <w:rsid w:val="4EE74D90"/>
    <w:rsid w:val="4F455F5A"/>
    <w:rsid w:val="4F612595"/>
    <w:rsid w:val="4F672375"/>
    <w:rsid w:val="4FB355BA"/>
    <w:rsid w:val="4FB437DA"/>
    <w:rsid w:val="505E72D4"/>
    <w:rsid w:val="50615016"/>
    <w:rsid w:val="507E2F1B"/>
    <w:rsid w:val="51020E48"/>
    <w:rsid w:val="5119144D"/>
    <w:rsid w:val="51A73F45"/>
    <w:rsid w:val="51B3364F"/>
    <w:rsid w:val="51B66C9C"/>
    <w:rsid w:val="51C770FB"/>
    <w:rsid w:val="51DD7419"/>
    <w:rsid w:val="52155E0F"/>
    <w:rsid w:val="522B5512"/>
    <w:rsid w:val="52306A4E"/>
    <w:rsid w:val="525E35BB"/>
    <w:rsid w:val="529945F3"/>
    <w:rsid w:val="52A0189E"/>
    <w:rsid w:val="52B41157"/>
    <w:rsid w:val="52E01073"/>
    <w:rsid w:val="532C190B"/>
    <w:rsid w:val="53372101"/>
    <w:rsid w:val="53952761"/>
    <w:rsid w:val="53C02053"/>
    <w:rsid w:val="53D733E7"/>
    <w:rsid w:val="542C02E1"/>
    <w:rsid w:val="54837B7D"/>
    <w:rsid w:val="549A4653"/>
    <w:rsid w:val="55760EAA"/>
    <w:rsid w:val="55E97640"/>
    <w:rsid w:val="55FA7A9F"/>
    <w:rsid w:val="55FF4B9F"/>
    <w:rsid w:val="56524F7C"/>
    <w:rsid w:val="56AF6ADB"/>
    <w:rsid w:val="56C500AD"/>
    <w:rsid w:val="56E21A66"/>
    <w:rsid w:val="57053FD6"/>
    <w:rsid w:val="570606C5"/>
    <w:rsid w:val="571701DC"/>
    <w:rsid w:val="57AF6667"/>
    <w:rsid w:val="58005114"/>
    <w:rsid w:val="58112E7E"/>
    <w:rsid w:val="5829466B"/>
    <w:rsid w:val="583059FA"/>
    <w:rsid w:val="5875412F"/>
    <w:rsid w:val="59102695"/>
    <w:rsid w:val="592E2ECF"/>
    <w:rsid w:val="59897A18"/>
    <w:rsid w:val="59AA3D09"/>
    <w:rsid w:val="59C26750"/>
    <w:rsid w:val="59D21603"/>
    <w:rsid w:val="59F26E37"/>
    <w:rsid w:val="59F91E1B"/>
    <w:rsid w:val="5A1A070F"/>
    <w:rsid w:val="5AB32912"/>
    <w:rsid w:val="5AB83A84"/>
    <w:rsid w:val="5ABE7F7E"/>
    <w:rsid w:val="5ADC16D2"/>
    <w:rsid w:val="5B157129"/>
    <w:rsid w:val="5B96269F"/>
    <w:rsid w:val="5BD62414"/>
    <w:rsid w:val="5BEA4111"/>
    <w:rsid w:val="5C78796F"/>
    <w:rsid w:val="5CF914BE"/>
    <w:rsid w:val="5D2C3C85"/>
    <w:rsid w:val="5DA0717E"/>
    <w:rsid w:val="5DA86032"/>
    <w:rsid w:val="5DB22A0D"/>
    <w:rsid w:val="5DCF35BF"/>
    <w:rsid w:val="5DEF1EB3"/>
    <w:rsid w:val="5E092294"/>
    <w:rsid w:val="5EBE5763"/>
    <w:rsid w:val="5F7A7BBC"/>
    <w:rsid w:val="5F7B0B86"/>
    <w:rsid w:val="5FBA3260"/>
    <w:rsid w:val="5FBF1411"/>
    <w:rsid w:val="5FC231C6"/>
    <w:rsid w:val="602B441D"/>
    <w:rsid w:val="60575747"/>
    <w:rsid w:val="60A46F85"/>
    <w:rsid w:val="60AD5BC9"/>
    <w:rsid w:val="60BA3DDB"/>
    <w:rsid w:val="60E92BEA"/>
    <w:rsid w:val="60E94998"/>
    <w:rsid w:val="611526F0"/>
    <w:rsid w:val="611B2088"/>
    <w:rsid w:val="611B3299"/>
    <w:rsid w:val="611D2893"/>
    <w:rsid w:val="620D46B6"/>
    <w:rsid w:val="624F2F20"/>
    <w:rsid w:val="625936A4"/>
    <w:rsid w:val="62944DD7"/>
    <w:rsid w:val="62A74B0A"/>
    <w:rsid w:val="63116428"/>
    <w:rsid w:val="631321A0"/>
    <w:rsid w:val="6314191D"/>
    <w:rsid w:val="633E321C"/>
    <w:rsid w:val="634333D9"/>
    <w:rsid w:val="634B7B8C"/>
    <w:rsid w:val="636A18B8"/>
    <w:rsid w:val="64095351"/>
    <w:rsid w:val="644E2CB2"/>
    <w:rsid w:val="64501119"/>
    <w:rsid w:val="65044496"/>
    <w:rsid w:val="65055B18"/>
    <w:rsid w:val="650A75D2"/>
    <w:rsid w:val="65C37731"/>
    <w:rsid w:val="66676EF2"/>
    <w:rsid w:val="66F2141B"/>
    <w:rsid w:val="66FF7155"/>
    <w:rsid w:val="67523E91"/>
    <w:rsid w:val="675E427E"/>
    <w:rsid w:val="677A27ED"/>
    <w:rsid w:val="678F23FE"/>
    <w:rsid w:val="67E8230A"/>
    <w:rsid w:val="680D18B3"/>
    <w:rsid w:val="68D0468F"/>
    <w:rsid w:val="69366BE8"/>
    <w:rsid w:val="696A4AE4"/>
    <w:rsid w:val="69802735"/>
    <w:rsid w:val="69DB32EB"/>
    <w:rsid w:val="69DC69C2"/>
    <w:rsid w:val="6A0B1E23"/>
    <w:rsid w:val="6A5C61DA"/>
    <w:rsid w:val="6AA3205B"/>
    <w:rsid w:val="6AA60109"/>
    <w:rsid w:val="6AA61B4B"/>
    <w:rsid w:val="6AC128B3"/>
    <w:rsid w:val="6ACA3A8C"/>
    <w:rsid w:val="6B1828E5"/>
    <w:rsid w:val="6B5E37D1"/>
    <w:rsid w:val="6C174565"/>
    <w:rsid w:val="6D2F2D64"/>
    <w:rsid w:val="6D2F407A"/>
    <w:rsid w:val="6D3C5985"/>
    <w:rsid w:val="6D5525E6"/>
    <w:rsid w:val="6D561607"/>
    <w:rsid w:val="6DA21C0E"/>
    <w:rsid w:val="6F0926A9"/>
    <w:rsid w:val="6F655B31"/>
    <w:rsid w:val="6F9C52CB"/>
    <w:rsid w:val="6FC07AE5"/>
    <w:rsid w:val="6FE1237D"/>
    <w:rsid w:val="70F353BF"/>
    <w:rsid w:val="72121874"/>
    <w:rsid w:val="721A2ABE"/>
    <w:rsid w:val="72CF524A"/>
    <w:rsid w:val="731F693F"/>
    <w:rsid w:val="734B302A"/>
    <w:rsid w:val="736D3206"/>
    <w:rsid w:val="73FB2F08"/>
    <w:rsid w:val="7428537F"/>
    <w:rsid w:val="744E3F1B"/>
    <w:rsid w:val="746A1E3C"/>
    <w:rsid w:val="74934EEE"/>
    <w:rsid w:val="749603C1"/>
    <w:rsid w:val="751A73BE"/>
    <w:rsid w:val="75264EBB"/>
    <w:rsid w:val="756B19C7"/>
    <w:rsid w:val="75703482"/>
    <w:rsid w:val="758640C6"/>
    <w:rsid w:val="7610431D"/>
    <w:rsid w:val="765A35D1"/>
    <w:rsid w:val="76657AAF"/>
    <w:rsid w:val="76737FC9"/>
    <w:rsid w:val="76A96C4B"/>
    <w:rsid w:val="775748F9"/>
    <w:rsid w:val="77724130"/>
    <w:rsid w:val="77C71BAD"/>
    <w:rsid w:val="77F263D0"/>
    <w:rsid w:val="780653C0"/>
    <w:rsid w:val="786D1EFA"/>
    <w:rsid w:val="78A4043C"/>
    <w:rsid w:val="78B74F24"/>
    <w:rsid w:val="78CC6C21"/>
    <w:rsid w:val="78E320A5"/>
    <w:rsid w:val="79226841"/>
    <w:rsid w:val="794B223C"/>
    <w:rsid w:val="79556C16"/>
    <w:rsid w:val="79E42A71"/>
    <w:rsid w:val="7A08012D"/>
    <w:rsid w:val="7A605548"/>
    <w:rsid w:val="7B0703E4"/>
    <w:rsid w:val="7B0E0C78"/>
    <w:rsid w:val="7B3E77D3"/>
    <w:rsid w:val="7B4C3CC4"/>
    <w:rsid w:val="7B8478BF"/>
    <w:rsid w:val="7B9D6653"/>
    <w:rsid w:val="7BAF658A"/>
    <w:rsid w:val="7BC71922"/>
    <w:rsid w:val="7BDE4B40"/>
    <w:rsid w:val="7C9A0DE4"/>
    <w:rsid w:val="7D456FA2"/>
    <w:rsid w:val="7D4D5E56"/>
    <w:rsid w:val="7D644A7A"/>
    <w:rsid w:val="7D6E64F9"/>
    <w:rsid w:val="7DB163E5"/>
    <w:rsid w:val="7DE1316F"/>
    <w:rsid w:val="7F3478D4"/>
    <w:rsid w:val="7F37710A"/>
    <w:rsid w:val="7F4C21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0"/>
    <w:pPr>
      <w:keepNext/>
      <w:keepLines/>
      <w:spacing w:before="340" w:after="330" w:line="578" w:lineRule="auto"/>
      <w:outlineLvl w:val="0"/>
    </w:pPr>
    <w:rPr>
      <w:rFonts w:ascii="Calibri" w:hAnsi="Calibri"/>
      <w:kern w:val="44"/>
      <w:sz w:val="44"/>
      <w:szCs w:val="44"/>
    </w:rPr>
  </w:style>
  <w:style w:type="paragraph" w:styleId="3">
    <w:name w:val="heading 2"/>
    <w:basedOn w:val="1"/>
    <w:next w:val="1"/>
    <w:qFormat/>
    <w:uiPriority w:val="0"/>
    <w:pPr>
      <w:keepLines/>
      <w:spacing w:before="260" w:after="260" w:line="416" w:lineRule="auto"/>
      <w:outlineLvl w:val="1"/>
    </w:pPr>
    <w:rPr>
      <w:rFonts w:ascii="Arial" w:hAnsi="Arial" w:eastAsia="黑体"/>
      <w:bCs/>
      <w:szCs w:val="32"/>
    </w:rPr>
  </w:style>
  <w:style w:type="paragraph" w:styleId="4">
    <w:name w:val="heading 3"/>
    <w:basedOn w:val="1"/>
    <w:next w:val="5"/>
    <w:qFormat/>
    <w:uiPriority w:val="0"/>
    <w:pPr>
      <w:numPr>
        <w:ilvl w:val="2"/>
        <w:numId w:val="1"/>
      </w:numPr>
      <w:snapToGrid w:val="0"/>
      <w:ind w:left="567"/>
      <w:outlineLvl w:val="2"/>
    </w:pPr>
    <w:rPr>
      <w:rFonts w:ascii="微软雅黑" w:hAnsi="微软雅黑" w:eastAsia="微软雅黑" w:cs="Times New Roman"/>
      <w:bCs/>
      <w:kern w:val="2"/>
      <w:sz w:val="21"/>
      <w:szCs w:val="32"/>
      <w:lang w:val="en-US" w:eastAsia="zh-CN" w:bidi="ar-SA"/>
    </w:rPr>
  </w:style>
  <w:style w:type="paragraph" w:styleId="7">
    <w:name w:val="heading 4"/>
    <w:basedOn w:val="1"/>
    <w:next w:val="1"/>
    <w:qFormat/>
    <w:uiPriority w:val="0"/>
    <w:pPr>
      <w:keepNext/>
      <w:keepLines/>
      <w:numPr>
        <w:ilvl w:val="3"/>
        <w:numId w:val="2"/>
      </w:numPr>
      <w:spacing w:before="280" w:after="290" w:line="372" w:lineRule="auto"/>
      <w:outlineLvl w:val="3"/>
    </w:pPr>
    <w:rPr>
      <w:rFonts w:ascii="Arial" w:hAnsi="Arial" w:eastAsia="黑体"/>
      <w:b/>
      <w:sz w:val="28"/>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style>
  <w:style w:type="paragraph" w:styleId="6">
    <w:name w:val="toa heading"/>
    <w:basedOn w:val="1"/>
    <w:next w:val="1"/>
    <w:qFormat/>
    <w:uiPriority w:val="0"/>
    <w:pPr>
      <w:spacing w:before="120"/>
    </w:pPr>
    <w:rPr>
      <w:rFonts w:ascii="Cambria" w:hAnsi="Cambria"/>
      <w:sz w:val="24"/>
    </w:rPr>
  </w:style>
  <w:style w:type="paragraph" w:styleId="8">
    <w:name w:val="caption"/>
    <w:basedOn w:val="1"/>
    <w:next w:val="1"/>
    <w:qFormat/>
    <w:uiPriority w:val="0"/>
    <w:rPr>
      <w:rFonts w:ascii="Arial" w:hAnsi="Arial" w:eastAsia="黑体" w:cs="Arial"/>
      <w:sz w:val="20"/>
      <w:szCs w:val="20"/>
    </w:rPr>
  </w:style>
  <w:style w:type="paragraph" w:styleId="9">
    <w:name w:val="annotation text"/>
    <w:basedOn w:val="1"/>
    <w:link w:val="34"/>
    <w:qFormat/>
    <w:uiPriority w:val="0"/>
    <w:pPr>
      <w:jc w:val="left"/>
    </w:pPr>
  </w:style>
  <w:style w:type="paragraph" w:styleId="10">
    <w:name w:val="Body Text"/>
    <w:basedOn w:val="1"/>
    <w:next w:val="1"/>
    <w:qFormat/>
    <w:uiPriority w:val="0"/>
    <w:pPr>
      <w:spacing w:after="120"/>
    </w:pPr>
  </w:style>
  <w:style w:type="paragraph" w:styleId="11">
    <w:name w:val="Body Text Indent"/>
    <w:basedOn w:val="1"/>
    <w:next w:val="12"/>
    <w:qFormat/>
    <w:uiPriority w:val="0"/>
    <w:pPr>
      <w:ind w:firstLine="630"/>
    </w:pPr>
    <w:rPr>
      <w:sz w:val="32"/>
      <w:szCs w:val="20"/>
    </w:rPr>
  </w:style>
  <w:style w:type="paragraph" w:styleId="12">
    <w:name w:val="envelope return"/>
    <w:basedOn w:val="1"/>
    <w:qFormat/>
    <w:uiPriority w:val="99"/>
    <w:pPr>
      <w:snapToGrid w:val="0"/>
    </w:pPr>
    <w:rPr>
      <w:rFonts w:ascii="Arial" w:hAnsi="Arial" w:cs="Arial"/>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link w:val="35"/>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0"/>
    <w:pPr>
      <w:spacing w:line="480" w:lineRule="auto"/>
    </w:pPr>
    <w:rPr>
      <w:rFonts w:ascii="Times New Roman" w:hAnsi="Times New Roman"/>
      <w:sz w:val="30"/>
    </w:rPr>
  </w:style>
  <w:style w:type="paragraph" w:styleId="19">
    <w:name w:val="index heading"/>
    <w:basedOn w:val="1"/>
    <w:next w:val="20"/>
    <w:qFormat/>
    <w:uiPriority w:val="0"/>
    <w:pPr>
      <w:adjustRightInd w:val="0"/>
      <w:spacing w:line="312" w:lineRule="atLeast"/>
      <w:textAlignment w:val="baseline"/>
    </w:pPr>
    <w:rPr>
      <w:rFonts w:ascii="Arial" w:hAnsi="Arial" w:eastAsia="仿宋" w:cs="Arial"/>
      <w:b/>
      <w:bCs/>
      <w:kern w:val="0"/>
      <w:sz w:val="32"/>
      <w:szCs w:val="20"/>
    </w:rPr>
  </w:style>
  <w:style w:type="paragraph" w:styleId="20">
    <w:name w:val="index 1"/>
    <w:basedOn w:val="1"/>
    <w:next w:val="1"/>
    <w:unhideWhenUsed/>
    <w:qFormat/>
    <w:uiPriority w:val="0"/>
  </w:style>
  <w:style w:type="paragraph" w:styleId="21">
    <w:name w:val="List 5"/>
    <w:basedOn w:val="1"/>
    <w:qFormat/>
    <w:uiPriority w:val="0"/>
    <w:pPr>
      <w:ind w:left="2100" w:hanging="420"/>
    </w:pPr>
    <w:rPr>
      <w:rFonts w:eastAsia="楷体_GB2312"/>
      <w:sz w:val="32"/>
      <w:szCs w:val="20"/>
    </w:rPr>
  </w:style>
  <w:style w:type="paragraph" w:styleId="22">
    <w:name w:val="Normal (Web)"/>
    <w:basedOn w:val="1"/>
    <w:next w:val="1"/>
    <w:qFormat/>
    <w:uiPriority w:val="0"/>
    <w:pPr>
      <w:widowControl/>
      <w:spacing w:before="100" w:beforeAutospacing="1" w:after="100" w:afterAutospacing="1"/>
      <w:jc w:val="left"/>
    </w:pPr>
    <w:rPr>
      <w:rFonts w:ascii="宋体" w:hAnsi="宋体"/>
      <w:kern w:val="0"/>
      <w:sz w:val="18"/>
      <w:szCs w:val="18"/>
    </w:rPr>
  </w:style>
  <w:style w:type="paragraph" w:styleId="23">
    <w:name w:val="Title"/>
    <w:basedOn w:val="1"/>
    <w:next w:val="1"/>
    <w:qFormat/>
    <w:uiPriority w:val="10"/>
    <w:pPr>
      <w:spacing w:before="240" w:after="60"/>
      <w:jc w:val="center"/>
      <w:outlineLvl w:val="0"/>
    </w:pPr>
    <w:rPr>
      <w:rFonts w:ascii="Cambria" w:hAnsi="Cambria"/>
      <w:b/>
      <w:bCs/>
      <w:sz w:val="32"/>
      <w:szCs w:val="32"/>
    </w:rPr>
  </w:style>
  <w:style w:type="paragraph" w:styleId="24">
    <w:name w:val="annotation subject"/>
    <w:basedOn w:val="9"/>
    <w:next w:val="9"/>
    <w:link w:val="36"/>
    <w:qFormat/>
    <w:uiPriority w:val="0"/>
    <w:rPr>
      <w:b/>
      <w:bCs/>
    </w:rPr>
  </w:style>
  <w:style w:type="paragraph" w:styleId="25">
    <w:name w:val="Body Text First Indent"/>
    <w:basedOn w:val="10"/>
    <w:next w:val="1"/>
    <w:qFormat/>
    <w:uiPriority w:val="0"/>
    <w:pPr>
      <w:ind w:firstLine="420" w:firstLineChars="100"/>
    </w:pPr>
  </w:style>
  <w:style w:type="paragraph" w:styleId="26">
    <w:name w:val="Body Text First Indent 2"/>
    <w:basedOn w:val="11"/>
    <w:next w:val="1"/>
    <w:qFormat/>
    <w:uiPriority w:val="0"/>
    <w:pPr>
      <w:ind w:firstLine="42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b/>
      <w:bCs/>
    </w:rPr>
  </w:style>
  <w:style w:type="character" w:styleId="31">
    <w:name w:val="Hyperlink"/>
    <w:basedOn w:val="29"/>
    <w:qFormat/>
    <w:uiPriority w:val="0"/>
    <w:rPr>
      <w:rFonts w:ascii="Times New Roman" w:hAnsi="Times New Roman" w:eastAsia="微软雅黑" w:cs="Times New Roman"/>
      <w:color w:val="0000FF"/>
      <w:u w:val="single"/>
    </w:rPr>
  </w:style>
  <w:style w:type="character" w:styleId="32">
    <w:name w:val="annotation reference"/>
    <w:basedOn w:val="29"/>
    <w:qFormat/>
    <w:uiPriority w:val="0"/>
    <w:rPr>
      <w:sz w:val="21"/>
      <w:szCs w:val="21"/>
    </w:rPr>
  </w:style>
  <w:style w:type="character" w:customStyle="1" w:styleId="33">
    <w:name w:val="标题 1 Char"/>
    <w:link w:val="2"/>
    <w:qFormat/>
    <w:uiPriority w:val="0"/>
    <w:rPr>
      <w:rFonts w:ascii="Calibri" w:hAnsi="Calibri" w:eastAsia="宋体" w:cs="Times New Roman"/>
      <w:kern w:val="44"/>
      <w:sz w:val="44"/>
      <w:szCs w:val="44"/>
    </w:rPr>
  </w:style>
  <w:style w:type="character" w:customStyle="1" w:styleId="34">
    <w:name w:val="批注文字 Char"/>
    <w:basedOn w:val="29"/>
    <w:link w:val="9"/>
    <w:qFormat/>
    <w:uiPriority w:val="0"/>
    <w:rPr>
      <w:rFonts w:ascii="Calibri" w:hAnsi="Calibri"/>
      <w:kern w:val="2"/>
      <w:sz w:val="21"/>
      <w:szCs w:val="24"/>
    </w:rPr>
  </w:style>
  <w:style w:type="character" w:customStyle="1" w:styleId="35">
    <w:name w:val="批注框文本 Char"/>
    <w:basedOn w:val="29"/>
    <w:link w:val="15"/>
    <w:qFormat/>
    <w:uiPriority w:val="0"/>
    <w:rPr>
      <w:rFonts w:ascii="Calibri" w:hAnsi="Calibri"/>
      <w:kern w:val="2"/>
      <w:sz w:val="18"/>
      <w:szCs w:val="18"/>
    </w:rPr>
  </w:style>
  <w:style w:type="character" w:customStyle="1" w:styleId="36">
    <w:name w:val="批注主题 Char"/>
    <w:basedOn w:val="34"/>
    <w:link w:val="24"/>
    <w:qFormat/>
    <w:uiPriority w:val="0"/>
    <w:rPr>
      <w:rFonts w:ascii="Calibri" w:hAnsi="Calibri"/>
      <w:b/>
      <w:bCs/>
      <w:kern w:val="2"/>
      <w:sz w:val="21"/>
      <w:szCs w:val="24"/>
    </w:rPr>
  </w:style>
  <w:style w:type="paragraph" w:customStyle="1" w:styleId="37">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38">
    <w:name w:val="3）三级标题 与下段同页"/>
    <w:basedOn w:val="1"/>
    <w:qFormat/>
    <w:uiPriority w:val="0"/>
    <w:pPr>
      <w:keepNext/>
      <w:spacing w:beforeLines="50" w:afterLines="50"/>
      <w:jc w:val="center"/>
      <w:outlineLvl w:val="2"/>
    </w:pPr>
    <w:rPr>
      <w:rFonts w:ascii="仿宋_GB2312" w:eastAsia="仿宋_GB2312"/>
      <w:b/>
      <w:sz w:val="32"/>
    </w:rPr>
  </w:style>
  <w:style w:type="character" w:customStyle="1" w:styleId="39">
    <w:name w:val="NormalCharacter"/>
    <w:link w:val="40"/>
    <w:qFormat/>
    <w:uiPriority w:val="0"/>
  </w:style>
  <w:style w:type="paragraph" w:customStyle="1" w:styleId="40">
    <w:name w:val="UserStyle_5"/>
    <w:basedOn w:val="1"/>
    <w:link w:val="39"/>
    <w:qFormat/>
    <w:uiPriority w:val="0"/>
    <w:pPr>
      <w:widowControl/>
      <w:spacing w:after="160" w:afterLines="0" w:line="240" w:lineRule="exact"/>
      <w:jc w:val="left"/>
      <w:textAlignment w:val="baseline"/>
    </w:pPr>
  </w:style>
  <w:style w:type="character" w:customStyle="1" w:styleId="41">
    <w:name w:val="UserStyle_3"/>
    <w:qFormat/>
    <w:uiPriority w:val="0"/>
    <w:rPr>
      <w:rFonts w:ascii="宋体" w:hAnsi="宋体" w:eastAsia="宋体"/>
      <w:b/>
      <w:sz w:val="32"/>
      <w:szCs w:val="32"/>
    </w:rPr>
  </w:style>
  <w:style w:type="paragraph" w:customStyle="1" w:styleId="42">
    <w:name w:val="正文_2_0"/>
    <w:basedOn w:val="4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正文_2_1"/>
    <w:basedOn w:val="44"/>
    <w:next w:val="65"/>
    <w:qFormat/>
    <w:uiPriority w:val="0"/>
    <w:rPr>
      <w:szCs w:val="24"/>
    </w:rPr>
  </w:style>
  <w:style w:type="paragraph" w:customStyle="1" w:styleId="44">
    <w:name w:val="正文_3_0"/>
    <w:basedOn w:val="45"/>
    <w:next w:val="48"/>
    <w:qFormat/>
    <w:uiPriority w:val="0"/>
  </w:style>
  <w:style w:type="paragraph" w:customStyle="1" w:styleId="45">
    <w:name w:val="Normal_0_0"/>
    <w:next w:val="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Body Text_0"/>
    <w:basedOn w:val="47"/>
    <w:qFormat/>
    <w:uiPriority w:val="0"/>
    <w:pPr>
      <w:spacing w:after="120"/>
    </w:pPr>
  </w:style>
  <w:style w:type="paragraph" w:customStyle="1" w:styleId="47">
    <w:name w:val="Normal_1"/>
    <w:next w:val="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缩进_0_0_1"/>
    <w:basedOn w:val="49"/>
    <w:unhideWhenUsed/>
    <w:qFormat/>
    <w:uiPriority w:val="0"/>
    <w:pPr>
      <w:ind w:firstLine="420" w:firstLineChars="200"/>
    </w:pPr>
  </w:style>
  <w:style w:type="paragraph" w:customStyle="1" w:styleId="49">
    <w:name w:val="正文_0_1_1"/>
    <w:basedOn w:val="50"/>
    <w:next w:val="62"/>
    <w:qFormat/>
    <w:uiPriority w:val="0"/>
    <w:rPr>
      <w:rFonts w:eastAsia="Calibri"/>
    </w:rPr>
  </w:style>
  <w:style w:type="paragraph" w:customStyle="1" w:styleId="50">
    <w:name w:val="正文_3_1"/>
    <w:basedOn w:val="51"/>
    <w:next w:val="54"/>
    <w:qFormat/>
    <w:uiPriority w:val="0"/>
    <w:rPr>
      <w:rFonts w:ascii="Calibri" w:hAnsi="Calibri"/>
      <w:sz w:val="21"/>
      <w:szCs w:val="22"/>
    </w:rPr>
  </w:style>
  <w:style w:type="paragraph" w:customStyle="1" w:styleId="51">
    <w:name w:val="Normal_0_1"/>
    <w:basedOn w:val="52"/>
    <w:qFormat/>
    <w:uiPriority w:val="0"/>
    <w:rPr>
      <w:rFonts w:ascii="黑体" w:hAnsi="黑体" w:eastAsia="黑体"/>
      <w:b/>
      <w:sz w:val="32"/>
      <w:szCs w:val="24"/>
    </w:rPr>
  </w:style>
  <w:style w:type="paragraph" w:customStyle="1" w:styleId="52">
    <w:name w:val="Normal_2"/>
    <w:next w:val="5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Body Text_1"/>
    <w:basedOn w:val="52"/>
    <w:qFormat/>
    <w:uiPriority w:val="0"/>
    <w:pPr>
      <w:spacing w:after="120"/>
    </w:pPr>
  </w:style>
  <w:style w:type="paragraph" w:customStyle="1" w:styleId="54">
    <w:name w:val="正文缩进_0_0_0"/>
    <w:basedOn w:val="55"/>
    <w:unhideWhenUsed/>
    <w:qFormat/>
    <w:uiPriority w:val="0"/>
    <w:pPr>
      <w:ind w:firstLine="420" w:firstLineChars="200"/>
    </w:pPr>
  </w:style>
  <w:style w:type="paragraph" w:customStyle="1" w:styleId="55">
    <w:name w:val="正文_0_1_0"/>
    <w:basedOn w:val="56"/>
    <w:next w:val="57"/>
    <w:qFormat/>
    <w:uiPriority w:val="0"/>
    <w:rPr>
      <w:rFonts w:eastAsia="Calibri"/>
    </w:rPr>
  </w:style>
  <w:style w:type="paragraph" w:customStyle="1" w:styleId="56">
    <w:name w:val="正文_1_1"/>
    <w:next w:val="5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脚注文本_0"/>
    <w:basedOn w:val="58"/>
    <w:next w:val="60"/>
    <w:unhideWhenUsed/>
    <w:qFormat/>
    <w:uiPriority w:val="99"/>
    <w:pPr>
      <w:snapToGrid w:val="0"/>
      <w:jc w:val="left"/>
    </w:pPr>
    <w:rPr>
      <w:rFonts w:ascii="Calibri" w:hAnsi="Calibri" w:eastAsia="Calibri"/>
      <w:sz w:val="18"/>
    </w:rPr>
  </w:style>
  <w:style w:type="paragraph" w:customStyle="1" w:styleId="58">
    <w:name w:val="正文_0_2"/>
    <w:next w:val="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页脚_0_0"/>
    <w:basedOn w:val="58"/>
    <w:unhideWhenUsed/>
    <w:qFormat/>
    <w:uiPriority w:val="99"/>
    <w:pPr>
      <w:tabs>
        <w:tab w:val="center" w:pos="4153"/>
        <w:tab w:val="right" w:pos="8306"/>
      </w:tabs>
      <w:snapToGrid w:val="0"/>
      <w:jc w:val="left"/>
    </w:pPr>
    <w:rPr>
      <w:sz w:val="18"/>
      <w:szCs w:val="18"/>
    </w:rPr>
  </w:style>
  <w:style w:type="paragraph" w:customStyle="1" w:styleId="60">
    <w:name w:val="正文_2"/>
    <w:next w:val="6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文本_0"/>
    <w:basedOn w:val="42"/>
    <w:qFormat/>
    <w:uiPriority w:val="0"/>
  </w:style>
  <w:style w:type="paragraph" w:customStyle="1" w:styleId="62">
    <w:name w:val="脚注文本1"/>
    <w:basedOn w:val="63"/>
    <w:next w:val="64"/>
    <w:unhideWhenUsed/>
    <w:qFormat/>
    <w:uiPriority w:val="0"/>
    <w:pPr>
      <w:snapToGrid w:val="0"/>
      <w:jc w:val="left"/>
    </w:pPr>
    <w:rPr>
      <w:kern w:val="0"/>
      <w:sz w:val="18"/>
      <w:szCs w:val="18"/>
    </w:rPr>
  </w:style>
  <w:style w:type="paragraph" w:customStyle="1" w:styleId="63">
    <w:name w:val="正文_1_0"/>
    <w:next w:val="62"/>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索引 51"/>
    <w:basedOn w:val="63"/>
    <w:next w:val="63"/>
    <w:unhideWhenUsed/>
    <w:qFormat/>
    <w:uiPriority w:val="99"/>
    <w:pPr>
      <w:ind w:left="1680"/>
    </w:pPr>
  </w:style>
  <w:style w:type="paragraph" w:customStyle="1" w:styleId="65">
    <w:name w:val="No Spacing_0"/>
    <w:basedOn w:val="66"/>
    <w:qFormat/>
    <w:uiPriority w:val="1"/>
  </w:style>
  <w:style w:type="paragraph" w:customStyle="1" w:styleId="66">
    <w:name w:val="正文_5"/>
    <w:basedOn w:val="60"/>
    <w:next w:val="67"/>
    <w:qFormat/>
    <w:uiPriority w:val="0"/>
    <w:rPr>
      <w:rFonts w:ascii="Calibri" w:hAnsi="Calibri"/>
      <w:szCs w:val="22"/>
    </w:rPr>
  </w:style>
  <w:style w:type="paragraph" w:customStyle="1" w:styleId="67">
    <w:name w:val="段_0"/>
    <w:next w:val="66"/>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68">
    <w:name w:val="正文1_0"/>
    <w:basedOn w:val="69"/>
    <w:qFormat/>
    <w:uiPriority w:val="0"/>
    <w:pPr>
      <w:widowControl/>
      <w:spacing w:before="120" w:after="120"/>
      <w:ind w:firstLine="200" w:firstLineChars="200"/>
      <w:jc w:val="left"/>
    </w:pPr>
    <w:rPr>
      <w:rFonts w:ascii="Times New Roman" w:hAnsi="Times New Roman" w:eastAsia="Adobe 仿宋 Std R"/>
    </w:rPr>
  </w:style>
  <w:style w:type="paragraph" w:customStyle="1" w:styleId="69">
    <w:name w:val="正文_3"/>
    <w:basedOn w:val="70"/>
    <w:next w:val="72"/>
    <w:qFormat/>
    <w:uiPriority w:val="0"/>
  </w:style>
  <w:style w:type="paragraph" w:customStyle="1" w:styleId="70">
    <w:name w:val="Normal_0"/>
    <w:basedOn w:val="71"/>
    <w:next w:val="26"/>
    <w:qFormat/>
    <w:uiPriority w:val="0"/>
    <w:rPr>
      <w:rFonts w:ascii="Calibri" w:hAnsi="Calibri"/>
      <w:sz w:val="21"/>
    </w:rPr>
  </w:style>
  <w:style w:type="paragraph" w:customStyle="1" w:styleId="71">
    <w:name w:val="正文1"/>
    <w:basedOn w:val="66"/>
    <w:next w:val="26"/>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2">
    <w:name w:val="正文缩进_0_0"/>
    <w:basedOn w:val="73"/>
    <w:unhideWhenUsed/>
    <w:qFormat/>
    <w:uiPriority w:val="0"/>
    <w:pPr>
      <w:ind w:firstLine="420" w:firstLineChars="200"/>
    </w:pPr>
  </w:style>
  <w:style w:type="paragraph" w:customStyle="1" w:styleId="73">
    <w:name w:val="正文_2_0_0"/>
    <w:basedOn w:val="74"/>
    <w:next w:val="78"/>
    <w:qFormat/>
    <w:uiPriority w:val="0"/>
    <w:rPr>
      <w:rFonts w:cs="Calibri"/>
      <w:szCs w:val="21"/>
    </w:rPr>
  </w:style>
  <w:style w:type="paragraph" w:customStyle="1" w:styleId="74">
    <w:name w:val="正文_3_0_0"/>
    <w:basedOn w:val="75"/>
    <w:next w:val="76"/>
    <w:qFormat/>
    <w:uiPriority w:val="0"/>
    <w:rPr>
      <w:rFonts w:ascii="Calibri" w:hAnsi="Calibri"/>
    </w:rPr>
  </w:style>
  <w:style w:type="paragraph" w:customStyle="1" w:styleId="75">
    <w:name w:val="Normal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正文文本_1_0_0"/>
    <w:basedOn w:val="77"/>
    <w:qFormat/>
    <w:uiPriority w:val="0"/>
    <w:pPr>
      <w:spacing w:after="120"/>
    </w:pPr>
  </w:style>
  <w:style w:type="paragraph" w:customStyle="1" w:styleId="77">
    <w:name w:val="正文_2_0_0_0_0"/>
    <w:next w:val="7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正文首行缩进 2_4"/>
    <w:basedOn w:val="79"/>
    <w:unhideWhenUsed/>
    <w:qFormat/>
    <w:uiPriority w:val="99"/>
    <w:pPr>
      <w:ind w:firstLine="420" w:firstLineChars="200"/>
    </w:pPr>
  </w:style>
  <w:style w:type="paragraph" w:customStyle="1" w:styleId="79">
    <w:name w:val="正文文本缩进_5"/>
    <w:basedOn w:val="80"/>
    <w:qFormat/>
    <w:uiPriority w:val="0"/>
    <w:pPr>
      <w:spacing w:line="500" w:lineRule="exact"/>
      <w:ind w:left="1588" w:leftChars="832" w:firstLine="433" w:firstLineChars="196"/>
    </w:pPr>
    <w:rPr>
      <w:kern w:val="0"/>
      <w:sz w:val="24"/>
    </w:rPr>
  </w:style>
  <w:style w:type="paragraph" w:customStyle="1" w:styleId="80">
    <w:name w:val="正文_2_0_0_0"/>
    <w:next w:val="7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4正文"/>
    <w:basedOn w:val="1"/>
    <w:qFormat/>
    <w:uiPriority w:val="0"/>
    <w:pPr>
      <w:snapToGrid w:val="0"/>
      <w:spacing w:line="360" w:lineRule="auto"/>
      <w:ind w:firstLine="480" w:firstLineChars="200"/>
    </w:pPr>
    <w:rPr>
      <w:rFonts w:eastAsia="仿宋"/>
      <w:sz w:val="24"/>
    </w:rPr>
  </w:style>
  <w:style w:type="paragraph" w:customStyle="1" w:styleId="82">
    <w:name w:val="首行缩进:  0.85 厘米"/>
    <w:basedOn w:val="1"/>
    <w:qFormat/>
    <w:uiPriority w:val="0"/>
    <w:pPr>
      <w:widowControl/>
      <w:spacing w:after="100" w:line="360" w:lineRule="auto"/>
      <w:ind w:firstLine="482"/>
      <w:jc w:val="left"/>
    </w:pPr>
    <w:rPr>
      <w:kern w:val="0"/>
      <w:sz w:val="24"/>
      <w:lang w:eastAsia="en-US"/>
    </w:rPr>
  </w:style>
  <w:style w:type="paragraph" w:customStyle="1" w:styleId="83">
    <w:name w:val="Table Paragraph"/>
    <w:basedOn w:val="1"/>
    <w:unhideWhenUsed/>
    <w:qFormat/>
    <w:uiPriority w:val="1"/>
    <w:rPr>
      <w:sz w:val="24"/>
    </w:rPr>
  </w:style>
  <w:style w:type="paragraph" w:customStyle="1" w:styleId="84">
    <w:name w:val="列出段落1"/>
    <w:basedOn w:val="1"/>
    <w:qFormat/>
    <w:uiPriority w:val="0"/>
    <w:pPr>
      <w:spacing w:line="360" w:lineRule="auto"/>
      <w:ind w:firstLine="420" w:firstLineChars="200"/>
    </w:pPr>
    <w:rPr>
      <w:rFonts w:ascii="等线" w:hAnsi="等线"/>
      <w:szCs w:val="22"/>
    </w:rPr>
  </w:style>
  <w:style w:type="paragraph" w:customStyle="1" w:styleId="85">
    <w:name w:val="样式 正文缩进 + 首行缩进:  2 字符"/>
    <w:basedOn w:val="5"/>
    <w:qFormat/>
    <w:uiPriority w:val="0"/>
    <w:pPr>
      <w:spacing w:line="360" w:lineRule="auto"/>
      <w:ind w:firstLine="200"/>
    </w:pPr>
    <w:rPr>
      <w:rFonts w:cs="宋体"/>
      <w:sz w:val="24"/>
      <w:szCs w:val="20"/>
    </w:rPr>
  </w:style>
  <w:style w:type="paragraph" w:customStyle="1" w:styleId="86">
    <w:name w:val="WPS Plain"/>
    <w:basedOn w:val="1"/>
    <w:qFormat/>
    <w:uiPriority w:val="0"/>
    <w:pPr>
      <w:widowControl/>
      <w:jc w:val="left"/>
    </w:pPr>
    <w:rPr>
      <w:rFonts w:ascii="Times New Roman"/>
      <w:sz w:val="24"/>
    </w:rPr>
  </w:style>
  <w:style w:type="paragraph" w:customStyle="1" w:styleId="87">
    <w:name w:val="普通(网站)1"/>
    <w:basedOn w:val="1"/>
    <w:qFormat/>
    <w:uiPriority w:val="0"/>
    <w:pPr>
      <w:jc w:val="left"/>
    </w:pPr>
    <w:rPr>
      <w:kern w:val="0"/>
      <w:sz w:val="24"/>
    </w:rPr>
  </w:style>
  <w:style w:type="paragraph" w:customStyle="1" w:styleId="88">
    <w:name w:val="Body text|1"/>
    <w:basedOn w:val="1"/>
    <w:qFormat/>
    <w:uiPriority w:val="0"/>
    <w:pPr>
      <w:spacing w:line="290" w:lineRule="auto"/>
      <w:ind w:firstLine="400"/>
    </w:pPr>
    <w:rPr>
      <w:rFonts w:ascii="宋体" w:hAnsi="宋体" w:cs="宋体"/>
      <w:sz w:val="22"/>
      <w:szCs w:val="22"/>
      <w:lang w:val="zh-CN" w:bidi="zh-CN"/>
    </w:rPr>
  </w:style>
  <w:style w:type="paragraph" w:customStyle="1" w:styleId="89">
    <w:name w:val="纯文本1"/>
    <w:basedOn w:val="1"/>
    <w:qFormat/>
    <w:uiPriority w:val="0"/>
    <w:rPr>
      <w:rFonts w:ascii="宋体" w:hAnsi="Courier New"/>
      <w:szCs w:val="22"/>
    </w:rPr>
  </w:style>
  <w:style w:type="paragraph" w:customStyle="1" w:styleId="90">
    <w:name w:val="List Paragraph"/>
    <w:basedOn w:val="1"/>
    <w:qFormat/>
    <w:uiPriority w:val="99"/>
    <w:pPr>
      <w:ind w:firstLine="420" w:firstLineChars="200"/>
    </w:pPr>
  </w:style>
  <w:style w:type="paragraph" w:customStyle="1" w:styleId="91">
    <w:name w:val="普通(网站)2"/>
    <w:basedOn w:val="1"/>
    <w:qFormat/>
    <w:uiPriority w:val="0"/>
    <w:pPr>
      <w:jc w:val="left"/>
    </w:pPr>
    <w:rPr>
      <w:rFonts w:ascii="Times New Roman" w:hAnsi="Times New Roman"/>
      <w:kern w:val="0"/>
      <w:sz w:val="24"/>
    </w:rPr>
  </w:style>
  <w:style w:type="paragraph" w:customStyle="1" w:styleId="92">
    <w:name w:val="普通(网站)3"/>
    <w:basedOn w:val="1"/>
    <w:qFormat/>
    <w:uiPriority w:val="0"/>
    <w:pPr>
      <w:jc w:val="left"/>
    </w:pPr>
    <w:rPr>
      <w:kern w:val="0"/>
      <w:sz w:val="24"/>
    </w:rPr>
  </w:style>
  <w:style w:type="paragraph" w:customStyle="1" w:styleId="9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94">
    <w:name w:val="题注5"/>
    <w:basedOn w:val="1"/>
    <w:next w:val="8"/>
    <w:qFormat/>
    <w:uiPriority w:val="0"/>
    <w:pPr>
      <w:numPr>
        <w:ilvl w:val="1"/>
        <w:numId w:val="3"/>
      </w:numPr>
      <w:tabs>
        <w:tab w:val="left" w:pos="0"/>
        <w:tab w:val="left" w:pos="720"/>
      </w:tabs>
      <w:spacing w:line="360" w:lineRule="auto"/>
      <w:ind w:left="720" w:hanging="720"/>
    </w:pPr>
    <w:rPr>
      <w:b/>
      <w:color w:val="000000"/>
      <w:sz w:val="28"/>
      <w:szCs w:val="28"/>
    </w:rPr>
  </w:style>
  <w:style w:type="paragraph" w:customStyle="1" w:styleId="95">
    <w:name w:val="答复表头"/>
    <w:basedOn w:val="96"/>
    <w:next w:val="1"/>
    <w:qFormat/>
    <w:uiPriority w:val="0"/>
    <w:pPr>
      <w:tabs>
        <w:tab w:val="left" w:pos="480"/>
      </w:tabs>
    </w:pPr>
    <w:rPr>
      <w:b/>
    </w:rPr>
  </w:style>
  <w:style w:type="paragraph" w:customStyle="1" w:styleId="96">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97">
    <w:name w:val="Style1"/>
    <w:basedOn w:val="1"/>
    <w:qFormat/>
    <w:uiPriority w:val="0"/>
    <w:pPr>
      <w:widowControl/>
      <w:tabs>
        <w:tab w:val="left" w:pos="-720"/>
      </w:tabs>
      <w:spacing w:after="120" w:afterLines="0"/>
    </w:pPr>
    <w:rPr>
      <w:rFonts w:ascii="Times New Roman" w:hAnsi="Times New Roman" w:eastAsia="宋体" w:cs="Times New Roman"/>
      <w:spacing w:val="-3"/>
      <w:kern w:val="0"/>
      <w:sz w:val="24"/>
      <w:szCs w:val="20"/>
      <w:lang w:val="en-AU" w:eastAsia="en-US"/>
    </w:rPr>
  </w:style>
  <w:style w:type="paragraph" w:customStyle="1" w:styleId="98">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character" w:customStyle="1" w:styleId="100">
    <w:name w:val="font11"/>
    <w:basedOn w:val="29"/>
    <w:qFormat/>
    <w:uiPriority w:val="0"/>
    <w:rPr>
      <w:rFonts w:hint="default" w:ascii="仿宋_GB2312" w:eastAsia="仿宋_GB2312" w:cs="仿宋_GB2312"/>
      <w:color w:val="000000"/>
      <w:sz w:val="28"/>
      <w:szCs w:val="28"/>
      <w:u w:val="none"/>
    </w:rPr>
  </w:style>
  <w:style w:type="character" w:customStyle="1" w:styleId="101">
    <w:name w:val="font21"/>
    <w:basedOn w:val="29"/>
    <w:qFormat/>
    <w:uiPriority w:val="0"/>
    <w:rPr>
      <w:rFonts w:ascii="Arial" w:hAnsi="Arial" w:cs="Arial"/>
      <w:color w:val="000000"/>
      <w:sz w:val="28"/>
      <w:szCs w:val="28"/>
      <w:u w:val="none"/>
    </w:rPr>
  </w:style>
  <w:style w:type="character" w:customStyle="1" w:styleId="102">
    <w:name w:val="font41"/>
    <w:basedOn w:val="29"/>
    <w:qFormat/>
    <w:uiPriority w:val="0"/>
    <w:rPr>
      <w:rFonts w:hint="eastAsia" w:ascii="宋体" w:hAnsi="宋体" w:eastAsia="宋体" w:cs="宋体"/>
      <w:color w:val="000000"/>
      <w:sz w:val="22"/>
      <w:szCs w:val="22"/>
      <w:u w:val="none"/>
    </w:rPr>
  </w:style>
  <w:style w:type="character" w:customStyle="1" w:styleId="103">
    <w:name w:val="font51"/>
    <w:basedOn w:val="29"/>
    <w:qFormat/>
    <w:uiPriority w:val="0"/>
    <w:rPr>
      <w:rFonts w:hint="eastAsia" w:ascii="宋体" w:hAnsi="宋体" w:eastAsia="宋体" w:cs="宋体"/>
      <w:color w:val="000000"/>
      <w:sz w:val="24"/>
      <w:szCs w:val="24"/>
      <w:u w:val="none"/>
    </w:rPr>
  </w:style>
  <w:style w:type="character" w:customStyle="1" w:styleId="104">
    <w:name w:val="font01"/>
    <w:basedOn w:val="29"/>
    <w:qFormat/>
    <w:uiPriority w:val="0"/>
    <w:rPr>
      <w:rFonts w:hint="eastAsia" w:ascii="宋体" w:hAnsi="宋体" w:eastAsia="宋体" w:cs="宋体"/>
      <w:color w:val="000000"/>
      <w:sz w:val="22"/>
      <w:szCs w:val="22"/>
      <w:u w:val="none"/>
    </w:rPr>
  </w:style>
  <w:style w:type="character" w:customStyle="1" w:styleId="105">
    <w:name w:val="font61"/>
    <w:basedOn w:val="29"/>
    <w:qFormat/>
    <w:uiPriority w:val="0"/>
    <w:rPr>
      <w:rFonts w:hint="eastAsia" w:ascii="宋体" w:hAnsi="宋体" w:eastAsia="宋体" w:cs="宋体"/>
      <w:color w:val="FF0000"/>
      <w:sz w:val="22"/>
      <w:szCs w:val="22"/>
      <w:u w:val="none"/>
    </w:rPr>
  </w:style>
  <w:style w:type="character" w:customStyle="1" w:styleId="106">
    <w:name w:val="font71"/>
    <w:basedOn w:val="29"/>
    <w:qFormat/>
    <w:uiPriority w:val="0"/>
    <w:rPr>
      <w:rFonts w:hint="eastAsia" w:ascii="宋体" w:hAnsi="宋体" w:eastAsia="宋体" w:cs="宋体"/>
      <w:color w:val="000000"/>
      <w:sz w:val="28"/>
      <w:szCs w:val="28"/>
      <w:u w:val="none"/>
    </w:rPr>
  </w:style>
  <w:style w:type="paragraph" w:customStyle="1" w:styleId="107">
    <w:name w:val="Table Text"/>
    <w:basedOn w:val="1"/>
    <w:unhideWhenUsed/>
    <w:qFormat/>
    <w:uiPriority w:val="0"/>
    <w:pPr>
      <w:spacing w:beforeLines="0" w:afterLines="0"/>
    </w:pPr>
    <w:rPr>
      <w:rFonts w:hint="eastAsia" w:ascii="宋体" w:hAnsi="宋体" w:eastAsia="宋体" w:cs="宋体"/>
      <w:sz w:val="28"/>
      <w:szCs w:val="28"/>
    </w:rPr>
  </w:style>
  <w:style w:type="table" w:customStyle="1" w:styleId="108">
    <w:name w:val="Table Normal"/>
    <w:unhideWhenUsed/>
    <w:qFormat/>
    <w:uiPriority w:val="0"/>
    <w:tblPr>
      <w:tblCellMar>
        <w:top w:w="0" w:type="dxa"/>
        <w:left w:w="0" w:type="dxa"/>
        <w:bottom w:w="0" w:type="dxa"/>
        <w:right w:w="0" w:type="dxa"/>
      </w:tblCellMar>
    </w:tblPr>
  </w:style>
  <w:style w:type="character" w:customStyle="1" w:styleId="109">
    <w:name w:val="font31"/>
    <w:basedOn w:val="29"/>
    <w:qFormat/>
    <w:uiPriority w:val="0"/>
    <w:rPr>
      <w:rFonts w:ascii="Calibri" w:hAnsi="Calibri" w:cs="Calibri"/>
      <w:color w:val="000000"/>
      <w:sz w:val="18"/>
      <w:szCs w:val="18"/>
      <w:u w:val="none"/>
    </w:rPr>
  </w:style>
  <w:style w:type="paragraph" w:customStyle="1" w:styleId="110">
    <w:name w:val="标书正文"/>
    <w:basedOn w:val="1"/>
    <w:qFormat/>
    <w:uiPriority w:val="0"/>
    <w:pPr>
      <w:spacing w:line="560" w:lineRule="exact"/>
      <w:ind w:firstLine="723" w:firstLineChars="200"/>
      <w:jc w:val="center"/>
    </w:pPr>
    <w:rPr>
      <w:rFonts w:ascii="仿宋_GB2312" w:hAnsi="Times New Roman" w:eastAsia="仿宋_GB2312" w:cs="Times New Roman"/>
      <w:b/>
      <w:sz w:val="36"/>
    </w:rPr>
  </w:style>
  <w:style w:type="character" w:customStyle="1" w:styleId="111">
    <w:name w:val="10"/>
    <w:basedOn w:val="29"/>
    <w:qFormat/>
    <w:uiPriority w:val="0"/>
    <w:rPr>
      <w:rFonts w:hint="default" w:ascii="Times New Roman" w:hAnsi="Times New Roman" w:cs="Times New Roman"/>
    </w:rPr>
  </w:style>
  <w:style w:type="character" w:customStyle="1" w:styleId="112">
    <w:name w:val="15"/>
    <w:basedOn w:val="29"/>
    <w:qFormat/>
    <w:uiPriority w:val="0"/>
    <w:rPr>
      <w:rFonts w:hint="eastAsia" w:ascii="宋体" w:hAnsi="宋体" w:eastAsia="宋体" w:cs="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18347</Words>
  <Characters>19575</Characters>
  <Lines>1</Lines>
  <Paragraphs>1</Paragraphs>
  <TotalTime>0</TotalTime>
  <ScaleCrop>false</ScaleCrop>
  <LinksUpToDate>false</LinksUpToDate>
  <CharactersWithSpaces>21917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2023-02-23T17:34:00Z</dcterms:created>
  <dc:creator>Lenovo</dc:creator>
  <cp:lastModifiedBy>1233一条格式CAS</cp:lastModifiedBy>
  <dcterms:modified xsi:type="dcterms:W3CDTF">2026-05-08T11:05:34Z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5824B6C081874AD4BCEB073E5A534851_13</vt:lpwstr>
  </property>
  <property fmtid="{D5CDD505-2E9C-101B-9397-08002B2CF9AE}" pid="4" name="KSOTemplateDocerSaveRecord">
    <vt:lpwstr>eyJoZGlkIjoiYzk3YzAwZDM4YmNmNmJmYjFiNDQ1OWQ1NjViOGRlYjYiLCJ1c2VySWQiOiIzMTc2NzM0NDcifQ==</vt:lpwstr>
  </property>
</Properties>
</file>