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58F4D">
      <w:pPr>
        <w:pStyle w:val="3"/>
        <w:bidi w:val="0"/>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阿克苏某单位2026-2027年牛羊肉</w:t>
      </w:r>
    </w:p>
    <w:p w14:paraId="31C116FC">
      <w:pPr>
        <w:pStyle w:val="3"/>
        <w:bidi w:val="0"/>
        <w:jc w:val="center"/>
        <w:rPr>
          <w:rFonts w:hint="eastAsia" w:ascii="宋体" w:hAnsi="宋体" w:eastAsia="宋体" w:cs="宋体"/>
          <w:sz w:val="52"/>
          <w:szCs w:val="52"/>
          <w:lang w:val="en-US" w:eastAsia="en-US"/>
        </w:rPr>
      </w:pPr>
      <w:r>
        <w:rPr>
          <w:rFonts w:hint="eastAsia" w:ascii="宋体" w:hAnsi="宋体" w:eastAsia="宋体" w:cs="宋体"/>
          <w:sz w:val="52"/>
          <w:szCs w:val="52"/>
          <w:lang w:eastAsia="zh-CN"/>
        </w:rPr>
        <w:t>采购项目</w:t>
      </w:r>
    </w:p>
    <w:p w14:paraId="389FB38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019AE2F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EBABE6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144"/>
          <w:szCs w:val="144"/>
          <w:highlight w:val="none"/>
          <w:lang w:eastAsia="zh-CN"/>
        </w:rPr>
      </w:pPr>
      <w:r>
        <w:rPr>
          <w:rFonts w:hint="eastAsia" w:ascii="宋体" w:hAnsi="宋体" w:eastAsia="宋体" w:cs="宋体"/>
          <w:b/>
          <w:snapToGrid/>
          <w:color w:val="auto"/>
          <w:kern w:val="2"/>
          <w:sz w:val="144"/>
          <w:szCs w:val="144"/>
          <w:highlight w:val="none"/>
          <w:lang w:eastAsia="zh-CN"/>
        </w:rPr>
        <w:t>招 标 文 件</w:t>
      </w:r>
    </w:p>
    <w:p w14:paraId="314ABA4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78E6CFD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0F2CD08">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6C3541C">
      <w:pPr>
        <w:jc w:val="center"/>
        <w:outlineLvl w:val="9"/>
        <w:rPr>
          <w:rFonts w:hint="eastAsia" w:ascii="宋体" w:hAnsi="宋体" w:eastAsia="宋体" w:cs="宋体"/>
          <w:b/>
          <w:bCs/>
          <w:sz w:val="32"/>
          <w:szCs w:val="40"/>
          <w:highlight w:val="none"/>
          <w:lang w:eastAsia="en-US"/>
        </w:rPr>
      </w:pPr>
      <w:bookmarkStart w:id="0" w:name="_Toc24249"/>
      <w:r>
        <w:rPr>
          <w:rFonts w:hint="eastAsia" w:ascii="宋体" w:hAnsi="宋体" w:eastAsia="宋体" w:cs="宋体"/>
          <w:b/>
          <w:bCs/>
          <w:sz w:val="32"/>
          <w:szCs w:val="40"/>
          <w:highlight w:val="none"/>
          <w:lang w:eastAsia="en-US"/>
        </w:rPr>
        <w:t>采购人：</w:t>
      </w:r>
      <w:bookmarkEnd w:id="0"/>
      <w:r>
        <w:rPr>
          <w:rFonts w:hint="eastAsia" w:ascii="宋体" w:hAnsi="宋体" w:eastAsia="宋体" w:cs="宋体"/>
          <w:b/>
          <w:bCs/>
          <w:sz w:val="32"/>
          <w:szCs w:val="40"/>
          <w:highlight w:val="none"/>
          <w:lang w:val="en-US" w:eastAsia="en-US"/>
        </w:rPr>
        <w:t>新疆维吾尔自治区</w:t>
      </w:r>
      <w:r>
        <w:rPr>
          <w:rFonts w:hint="eastAsia" w:ascii="宋体" w:hAnsi="宋体" w:eastAsia="宋体" w:cs="宋体"/>
          <w:b/>
          <w:bCs/>
          <w:sz w:val="32"/>
          <w:szCs w:val="40"/>
          <w:highlight w:val="none"/>
          <w:lang w:eastAsia="en-US"/>
        </w:rPr>
        <w:t>阿克苏</w:t>
      </w:r>
      <w:r>
        <w:rPr>
          <w:rFonts w:hint="eastAsia" w:ascii="宋体" w:hAnsi="宋体" w:eastAsia="宋体" w:cs="宋体"/>
          <w:b/>
          <w:bCs/>
          <w:sz w:val="32"/>
          <w:szCs w:val="40"/>
          <w:highlight w:val="none"/>
          <w:lang w:val="en-US" w:eastAsia="en-US"/>
        </w:rPr>
        <w:t>某单位</w:t>
      </w:r>
    </w:p>
    <w:p w14:paraId="2A2AAFC5">
      <w:pPr>
        <w:jc w:val="center"/>
        <w:outlineLvl w:val="9"/>
        <w:rPr>
          <w:rFonts w:hint="default" w:ascii="宋体" w:hAnsi="宋体" w:eastAsia="宋体" w:cs="宋体"/>
          <w:b/>
          <w:bCs/>
          <w:sz w:val="32"/>
          <w:szCs w:val="40"/>
          <w:highlight w:val="none"/>
          <w:lang w:val="en-US" w:eastAsia="zh-CN"/>
        </w:rPr>
      </w:pPr>
      <w:bookmarkStart w:id="1" w:name="_Toc29297"/>
      <w:r>
        <w:rPr>
          <w:rFonts w:hint="eastAsia" w:ascii="宋体" w:hAnsi="宋体" w:eastAsia="宋体" w:cs="宋体"/>
          <w:b/>
          <w:bCs/>
          <w:sz w:val="32"/>
          <w:szCs w:val="40"/>
          <w:highlight w:val="none"/>
          <w:lang w:eastAsia="zh-CN"/>
        </w:rPr>
        <w:t>项目编号：</w:t>
      </w:r>
      <w:bookmarkEnd w:id="1"/>
      <w:r>
        <w:rPr>
          <w:rFonts w:hint="eastAsia" w:ascii="宋体" w:hAnsi="宋体" w:eastAsia="宋体" w:cs="宋体"/>
          <w:b/>
          <w:bCs/>
          <w:sz w:val="32"/>
          <w:szCs w:val="40"/>
          <w:highlight w:val="none"/>
          <w:lang w:val="en-US" w:eastAsia="zh-CN"/>
        </w:rPr>
        <w:t>PX-ZFCG-2026-01</w:t>
      </w:r>
    </w:p>
    <w:p w14:paraId="3C3FBBEB">
      <w:pPr>
        <w:jc w:val="center"/>
        <w:rPr>
          <w:rFonts w:hint="eastAsia" w:ascii="宋体" w:hAnsi="宋体" w:eastAsia="宋体" w:cs="宋体"/>
          <w:b/>
          <w:bCs/>
          <w:spacing w:val="7"/>
          <w:sz w:val="31"/>
          <w:szCs w:val="31"/>
          <w:lang w:val="en-US" w:eastAsia="zh-CN"/>
        </w:rPr>
      </w:pPr>
      <w:r>
        <w:rPr>
          <w:rFonts w:hint="eastAsia" w:ascii="宋体" w:hAnsi="宋体" w:eastAsia="宋体" w:cs="宋体"/>
          <w:b/>
          <w:bCs/>
          <w:sz w:val="32"/>
          <w:szCs w:val="40"/>
          <w:highlight w:val="none"/>
          <w:lang w:eastAsia="en-US"/>
        </w:rPr>
        <w:t>采购代理机构：</w:t>
      </w:r>
      <w:r>
        <w:rPr>
          <w:rFonts w:hint="eastAsia" w:ascii="宋体" w:hAnsi="宋体" w:eastAsia="宋体" w:cs="宋体"/>
          <w:b/>
          <w:bCs/>
          <w:spacing w:val="7"/>
          <w:sz w:val="31"/>
          <w:szCs w:val="31"/>
          <w:lang w:val="en-US" w:eastAsia="zh-CN"/>
        </w:rPr>
        <w:t>新疆朴薪项目管理咨询有限公司</w:t>
      </w:r>
    </w:p>
    <w:p w14:paraId="1EF3DD82">
      <w:pPr>
        <w:jc w:val="cente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t>二O二</w:t>
      </w:r>
      <w:r>
        <w:rPr>
          <w:rFonts w:hint="eastAsia" w:ascii="宋体" w:hAnsi="宋体" w:eastAsia="宋体" w:cs="宋体"/>
          <w:b/>
          <w:bCs/>
          <w:sz w:val="32"/>
          <w:szCs w:val="40"/>
          <w:highlight w:val="none"/>
          <w:lang w:val="en-US" w:eastAsia="zh-CN"/>
        </w:rPr>
        <w:t>六</w:t>
      </w:r>
      <w:r>
        <w:rPr>
          <w:rFonts w:hint="eastAsia" w:ascii="宋体" w:hAnsi="宋体" w:eastAsia="宋体" w:cs="宋体"/>
          <w:b/>
          <w:bCs/>
          <w:sz w:val="32"/>
          <w:szCs w:val="40"/>
          <w:highlight w:val="none"/>
          <w:lang w:eastAsia="en-US"/>
        </w:rPr>
        <w:t>年</w:t>
      </w:r>
      <w:r>
        <w:rPr>
          <w:rFonts w:hint="eastAsia" w:ascii="宋体" w:hAnsi="宋体" w:eastAsia="宋体" w:cs="宋体"/>
          <w:b/>
          <w:bCs/>
          <w:sz w:val="32"/>
          <w:szCs w:val="40"/>
          <w:highlight w:val="none"/>
          <w:lang w:val="en-US" w:eastAsia="zh-CN"/>
        </w:rPr>
        <w:t>五</w:t>
      </w:r>
      <w:r>
        <w:rPr>
          <w:rFonts w:hint="eastAsia" w:ascii="宋体" w:hAnsi="宋体" w:eastAsia="宋体" w:cs="宋体"/>
          <w:b/>
          <w:bCs/>
          <w:sz w:val="32"/>
          <w:szCs w:val="40"/>
          <w:highlight w:val="none"/>
          <w:lang w:eastAsia="en-US"/>
        </w:rPr>
        <w:t>月</w:t>
      </w:r>
    </w:p>
    <w:p w14:paraId="70ECD5CE">
      <w:pP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ascii="宋体" w:hAnsi="宋体" w:eastAsia="宋体" w:cs="宋体"/>
          <w:snapToGrid w:val="0"/>
          <w:color w:val="000000"/>
          <w:kern w:val="0"/>
          <w:sz w:val="40"/>
          <w:szCs w:val="40"/>
          <w:highlight w:val="none"/>
          <w:lang w:eastAsia="en-US"/>
        </w:rPr>
      </w:pPr>
      <w:bookmarkStart w:id="2" w:name="_Toc2285"/>
      <w:r>
        <w:rPr>
          <w:rFonts w:ascii="宋体" w:hAnsi="宋体" w:eastAsia="宋体" w:cs="宋体"/>
          <w:b/>
          <w:bCs/>
          <w:snapToGrid w:val="0"/>
          <w:color w:val="000000"/>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28C5335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000000"/>
          <w:kern w:val="0"/>
          <w:sz w:val="28"/>
          <w:szCs w:val="28"/>
          <w:highlight w:val="none"/>
          <w:lang w:val="en-US" w:eastAsia="zh-CN"/>
        </w:rPr>
        <w:t>项目</w:t>
      </w:r>
      <w:r>
        <w:rPr>
          <w:rFonts w:hint="eastAsia" w:ascii="宋体" w:hAnsi="宋体" w:eastAsia="宋体" w:cs="宋体"/>
          <w:snapToGrid w:val="0"/>
          <w:color w:val="000000"/>
          <w:kern w:val="0"/>
          <w:sz w:val="28"/>
          <w:szCs w:val="28"/>
          <w:highlight w:val="none"/>
          <w:lang w:eastAsia="en-US"/>
        </w:rPr>
        <w:t>名称：</w:t>
      </w:r>
      <w:r>
        <w:rPr>
          <w:rFonts w:hint="eastAsia" w:ascii="宋体" w:hAnsi="宋体" w:eastAsia="宋体" w:cs="宋体"/>
          <w:snapToGrid w:val="0"/>
          <w:color w:val="000000"/>
          <w:kern w:val="0"/>
          <w:sz w:val="28"/>
          <w:szCs w:val="28"/>
          <w:highlight w:val="none"/>
          <w:lang w:eastAsia="zh-CN"/>
        </w:rPr>
        <w:t>阿克苏某单位2026-2027年牛羊肉采购项目</w:t>
      </w:r>
    </w:p>
    <w:p w14:paraId="4268E0C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采购人（公章）：</w:t>
      </w:r>
    </w:p>
    <w:p w14:paraId="768E1CAA">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联系人：</w:t>
      </w:r>
      <w:r>
        <w:rPr>
          <w:rFonts w:hint="eastAsia" w:ascii="宋体" w:hAnsi="宋体" w:eastAsia="宋体" w:cs="宋体"/>
          <w:snapToGrid w:val="0"/>
          <w:color w:val="000000"/>
          <w:kern w:val="0"/>
          <w:sz w:val="28"/>
          <w:szCs w:val="28"/>
          <w:highlight w:val="none"/>
          <w:lang w:val="en-US" w:eastAsia="en-US"/>
        </w:rPr>
        <w:t>希先生</w:t>
      </w:r>
    </w:p>
    <w:p w14:paraId="06894FC4">
      <w:pPr>
        <w:widowControl/>
        <w:kinsoku w:val="0"/>
        <w:autoSpaceDE w:val="0"/>
        <w:autoSpaceDN w:val="0"/>
        <w:adjustRightInd w:val="0"/>
        <w:snapToGrid w:val="0"/>
        <w:spacing w:before="262" w:line="383" w:lineRule="auto"/>
        <w:ind w:firstLine="553"/>
        <w:jc w:val="left"/>
        <w:textAlignment w:val="baseline"/>
        <w:rPr>
          <w:rFonts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联系电话：</w:t>
      </w:r>
      <w:r>
        <w:rPr>
          <w:rFonts w:hint="eastAsia" w:ascii="宋体" w:hAnsi="宋体" w:eastAsia="宋体" w:cs="宋体"/>
          <w:snapToGrid w:val="0"/>
          <w:color w:val="000000"/>
          <w:kern w:val="0"/>
          <w:sz w:val="28"/>
          <w:szCs w:val="28"/>
          <w:highlight w:val="none"/>
          <w:lang w:val="en-US" w:eastAsia="en-US"/>
        </w:rPr>
        <w:t>13239033351</w:t>
      </w:r>
    </w:p>
    <w:p w14:paraId="2ACF08E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E8A36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8"/>
          <w:szCs w:val="28"/>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000000"/>
          <w:kern w:val="0"/>
          <w:sz w:val="28"/>
          <w:szCs w:val="28"/>
          <w:lang w:eastAsia="en-US"/>
        </w:rPr>
      </w:pPr>
    </w:p>
    <w:p w14:paraId="185AF92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采购代理机构（公章）：新疆朴薪项目管理咨询有限公司</w:t>
      </w:r>
    </w:p>
    <w:p w14:paraId="2940856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7634AFD3">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法定代表人（签字或盖章）：</w:t>
      </w:r>
    </w:p>
    <w:p w14:paraId="45C98BF8">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32AF14F8">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联系人：刘晓龙</w:t>
      </w:r>
    </w:p>
    <w:p w14:paraId="1ABB7556">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6CC17C04">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联系电话：16699070018、18799946868</w:t>
      </w:r>
    </w:p>
    <w:p w14:paraId="0508BDE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5B9BE22F">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联系地址：新疆喀什地区喀什市西域大道街道西环路社区二环路东北侧鑫福华庭对面(徽商大厦)1幢10层1106号</w:t>
      </w:r>
    </w:p>
    <w:p w14:paraId="75AAE2B4">
      <w:pPr>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ascii="宋体" w:hAnsi="宋体" w:eastAsia="宋体" w:cs="宋体"/>
          <w:snapToGrid w:val="0"/>
          <w:color w:val="000000"/>
          <w:spacing w:val="-9"/>
          <w:kern w:val="0"/>
          <w:sz w:val="28"/>
          <w:szCs w:val="28"/>
          <w:highlight w:val="none"/>
          <w:lang w:eastAsia="en-US"/>
        </w:rPr>
      </w:pPr>
    </w:p>
    <w:p w14:paraId="0A919E3D">
      <w:pPr>
        <w:jc w:val="cente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t>202</w:t>
      </w:r>
      <w:r>
        <w:rPr>
          <w:rFonts w:hint="eastAsia" w:ascii="宋体" w:hAnsi="宋体" w:eastAsia="宋体" w:cs="宋体"/>
          <w:snapToGrid w:val="0"/>
          <w:color w:val="000000"/>
          <w:spacing w:val="-9"/>
          <w:kern w:val="0"/>
          <w:sz w:val="28"/>
          <w:szCs w:val="28"/>
          <w:highlight w:val="none"/>
          <w:lang w:val="en-US" w:eastAsia="zh-CN"/>
        </w:rPr>
        <w:t>6</w:t>
      </w:r>
      <w:r>
        <w:rPr>
          <w:rFonts w:ascii="宋体" w:hAnsi="宋体" w:eastAsia="宋体" w:cs="宋体"/>
          <w:snapToGrid w:val="0"/>
          <w:color w:val="000000"/>
          <w:spacing w:val="-9"/>
          <w:kern w:val="0"/>
          <w:sz w:val="28"/>
          <w:szCs w:val="28"/>
          <w:highlight w:val="none"/>
          <w:lang w:eastAsia="en-US"/>
        </w:rPr>
        <w:t>年</w:t>
      </w:r>
      <w:r>
        <w:rPr>
          <w:rFonts w:ascii="宋体" w:hAnsi="宋体" w:eastAsia="宋体" w:cs="宋体"/>
          <w:snapToGrid w:val="0"/>
          <w:color w:val="000000"/>
          <w:spacing w:val="-39"/>
          <w:kern w:val="0"/>
          <w:sz w:val="28"/>
          <w:szCs w:val="28"/>
          <w:highlight w:val="none"/>
          <w:lang w:eastAsia="en-US"/>
        </w:rPr>
        <w:t xml:space="preserve"> </w:t>
      </w:r>
      <w:r>
        <w:rPr>
          <w:rFonts w:hint="eastAsia" w:ascii="宋体" w:hAnsi="宋体" w:eastAsia="宋体" w:cs="宋体"/>
          <w:snapToGrid w:val="0"/>
          <w:color w:val="000000"/>
          <w:spacing w:val="-9"/>
          <w:kern w:val="0"/>
          <w:sz w:val="28"/>
          <w:szCs w:val="28"/>
          <w:highlight w:val="none"/>
          <w:lang w:val="en-US" w:eastAsia="zh-CN"/>
        </w:rPr>
        <w:t>5</w:t>
      </w:r>
      <w:r>
        <w:rPr>
          <w:rFonts w:ascii="宋体" w:hAnsi="宋体" w:eastAsia="宋体" w:cs="宋体"/>
          <w:snapToGrid w:val="0"/>
          <w:color w:val="000000"/>
          <w:spacing w:val="-9"/>
          <w:kern w:val="0"/>
          <w:sz w:val="28"/>
          <w:szCs w:val="28"/>
          <w:highlight w:val="none"/>
          <w:lang w:eastAsia="en-US"/>
        </w:rPr>
        <w:t>月</w:t>
      </w:r>
    </w:p>
    <w:p w14:paraId="137B7A92">
      <w:pP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br w:type="page"/>
      </w:r>
    </w:p>
    <w:sdt>
      <w:sdtPr>
        <w:rPr>
          <w:rFonts w:ascii="宋体" w:hAnsi="宋体" w:eastAsia="宋体" w:cstheme="minorBidi"/>
          <w:b/>
          <w:bCs/>
          <w:kern w:val="2"/>
          <w:sz w:val="28"/>
          <w:szCs w:val="36"/>
          <w:highlight w:val="none"/>
          <w:lang w:val="en-US" w:eastAsia="zh-CN" w:bidi="ar-SA"/>
        </w:rPr>
        <w:id w:val="147476307"/>
        <w15:color w:val="DBDBDB"/>
        <w:docPartObj>
          <w:docPartGallery w:val="Table of Contents"/>
          <w:docPartUnique/>
        </w:docPartObj>
      </w:sdtPr>
      <w:sdtEndPr>
        <w:rPr>
          <w:rFonts w:ascii="宋体" w:hAnsi="宋体" w:eastAsia="宋体" w:cs="宋体"/>
          <w:b/>
          <w:bCs/>
          <w:snapToGrid w:val="0"/>
          <w:color w:val="000000"/>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b/>
              <w:bCs/>
              <w:sz w:val="40"/>
              <w:szCs w:val="48"/>
              <w:highlight w:val="none"/>
            </w:rPr>
          </w:pPr>
          <w:bookmarkStart w:id="3" w:name="bookmark1"/>
          <w:bookmarkEnd w:id="3"/>
          <w:r>
            <w:rPr>
              <w:rFonts w:ascii="宋体" w:hAnsi="宋体" w:eastAsia="宋体"/>
              <w:b/>
              <w:bCs/>
              <w:sz w:val="40"/>
              <w:szCs w:val="48"/>
              <w:highlight w:val="none"/>
            </w:rPr>
            <w:t>目</w:t>
          </w:r>
          <w:r>
            <w:rPr>
              <w:rFonts w:hint="eastAsia" w:ascii="宋体" w:hAnsi="宋体" w:eastAsia="宋体"/>
              <w:b/>
              <w:bCs/>
              <w:sz w:val="40"/>
              <w:szCs w:val="48"/>
              <w:highlight w:val="none"/>
              <w:lang w:val="en-US" w:eastAsia="zh-CN"/>
            </w:rPr>
            <w:t xml:space="preserve">  </w:t>
          </w:r>
          <w:r>
            <w:rPr>
              <w:rFonts w:ascii="宋体" w:hAnsi="宋体" w:eastAsia="宋体"/>
              <w:b/>
              <w:bCs/>
              <w:sz w:val="40"/>
              <w:szCs w:val="48"/>
              <w:highlight w:val="none"/>
            </w:rPr>
            <w:t>录</w:t>
          </w:r>
        </w:p>
        <w:p w14:paraId="3C04E009">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color w:val="000000"/>
              <w:spacing w:val="-36"/>
              <w:kern w:val="0"/>
              <w:sz w:val="28"/>
              <w:szCs w:val="52"/>
              <w:highlight w:val="none"/>
              <w:lang w:val="en-US" w:eastAsia="en-US" w:bidi="ar-SA"/>
            </w:rPr>
            <w:instrText xml:space="preserve">TOC \o "1-1" \h \u </w:instrText>
          </w:r>
          <w:r>
            <w:rPr>
              <w:rFonts w:ascii="宋体" w:hAnsi="宋体" w:eastAsia="宋体" w:cs="宋体"/>
              <w:bCs/>
              <w:snapToGrid w:val="0"/>
              <w:color w:val="000000"/>
              <w:spacing w:val="-36"/>
              <w:kern w:val="0"/>
              <w:sz w:val="28"/>
              <w:szCs w:val="52"/>
              <w:highlight w:val="none"/>
              <w:lang w:val="en-US" w:eastAsia="en-US" w:bidi="ar-SA"/>
            </w:rPr>
            <w:fldChar w:fldCharType="separate"/>
          </w: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_Toc9881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4"/>
              <w:sz w:val="28"/>
              <w:szCs w:val="52"/>
              <w:highlight w:val="none"/>
            </w:rPr>
            <w:t>第一章</w:t>
          </w:r>
          <w:r>
            <w:rPr>
              <w:rFonts w:ascii="宋体" w:hAnsi="宋体" w:eastAsia="宋体" w:cs="宋体"/>
              <w:spacing w:val="-4"/>
              <w:sz w:val="28"/>
              <w:szCs w:val="52"/>
              <w:highlight w:val="none"/>
            </w:rPr>
            <w:t xml:space="preserve"> </w:t>
          </w:r>
          <w:r>
            <w:rPr>
              <w:rFonts w:ascii="宋体" w:hAnsi="宋体" w:eastAsia="宋体" w:cs="宋体"/>
              <w:bCs/>
              <w:spacing w:val="-4"/>
              <w:sz w:val="28"/>
              <w:szCs w:val="52"/>
              <w:highlight w:val="none"/>
            </w:rPr>
            <w:t>招标公告</w:t>
          </w:r>
          <w:r>
            <w:rPr>
              <w:sz w:val="28"/>
              <w:szCs w:val="36"/>
              <w:highlight w:val="none"/>
            </w:rPr>
            <w:tab/>
          </w:r>
          <w:r>
            <w:rPr>
              <w:sz w:val="28"/>
              <w:szCs w:val="36"/>
              <w:highlight w:val="none"/>
            </w:rPr>
            <w:fldChar w:fldCharType="begin"/>
          </w:r>
          <w:r>
            <w:rPr>
              <w:sz w:val="28"/>
              <w:szCs w:val="36"/>
              <w:highlight w:val="none"/>
            </w:rPr>
            <w:instrText xml:space="preserve"> PAGEREF _Toc9881 \h </w:instrText>
          </w:r>
          <w:r>
            <w:rPr>
              <w:sz w:val="28"/>
              <w:szCs w:val="36"/>
              <w:highlight w:val="none"/>
            </w:rPr>
            <w:fldChar w:fldCharType="separate"/>
          </w:r>
          <w:r>
            <w:rPr>
              <w:sz w:val="28"/>
              <w:szCs w:val="36"/>
              <w:highlight w:val="none"/>
            </w:rPr>
            <w:t>4</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394F0EA1">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_Toc16249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第二章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供应商须知</w:t>
          </w:r>
          <w:r>
            <w:rPr>
              <w:sz w:val="28"/>
              <w:szCs w:val="36"/>
              <w:highlight w:val="none"/>
            </w:rPr>
            <w:tab/>
          </w:r>
          <w:r>
            <w:rPr>
              <w:sz w:val="28"/>
              <w:szCs w:val="36"/>
              <w:highlight w:val="none"/>
            </w:rPr>
            <w:fldChar w:fldCharType="begin"/>
          </w:r>
          <w:r>
            <w:rPr>
              <w:sz w:val="28"/>
              <w:szCs w:val="36"/>
              <w:highlight w:val="none"/>
            </w:rPr>
            <w:instrText xml:space="preserve"> PAGEREF _Toc16249 \h </w:instrText>
          </w:r>
          <w:r>
            <w:rPr>
              <w:sz w:val="28"/>
              <w:szCs w:val="36"/>
              <w:highlight w:val="none"/>
            </w:rPr>
            <w:fldChar w:fldCharType="separate"/>
          </w:r>
          <w:r>
            <w:rPr>
              <w:sz w:val="28"/>
              <w:szCs w:val="36"/>
              <w:highlight w:val="none"/>
            </w:rPr>
            <w:t>10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2EC52536">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_Toc6739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第三章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采购需求</w:t>
          </w:r>
          <w:r>
            <w:rPr>
              <w:sz w:val="28"/>
              <w:szCs w:val="36"/>
              <w:highlight w:val="none"/>
            </w:rPr>
            <w:tab/>
          </w:r>
          <w:r>
            <w:rPr>
              <w:sz w:val="28"/>
              <w:szCs w:val="36"/>
              <w:highlight w:val="none"/>
            </w:rPr>
            <w:fldChar w:fldCharType="begin"/>
          </w:r>
          <w:r>
            <w:rPr>
              <w:sz w:val="28"/>
              <w:szCs w:val="36"/>
              <w:highlight w:val="none"/>
            </w:rPr>
            <w:instrText xml:space="preserve"> PAGEREF _Toc6739 \h </w:instrText>
          </w:r>
          <w:r>
            <w:rPr>
              <w:sz w:val="28"/>
              <w:szCs w:val="36"/>
              <w:highlight w:val="none"/>
            </w:rPr>
            <w:fldChar w:fldCharType="separate"/>
          </w:r>
          <w:r>
            <w:rPr>
              <w:sz w:val="28"/>
              <w:szCs w:val="36"/>
              <w:highlight w:val="none"/>
            </w:rPr>
            <w:t>35</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7216AC86">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_Toc13704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第四章 </w:t>
          </w:r>
          <w:r>
            <w:rPr>
              <w:rFonts w:ascii="宋体" w:hAnsi="宋体" w:eastAsia="宋体" w:cs="宋体"/>
              <w:bCs/>
              <w:spacing w:val="5"/>
              <w:sz w:val="28"/>
              <w:szCs w:val="44"/>
              <w:highlight w:val="none"/>
            </w:rPr>
            <w:t>评标方法</w:t>
          </w:r>
          <w:r>
            <w:rPr>
              <w:sz w:val="28"/>
              <w:szCs w:val="36"/>
              <w:highlight w:val="none"/>
            </w:rPr>
            <w:tab/>
          </w:r>
          <w:r>
            <w:rPr>
              <w:sz w:val="28"/>
              <w:szCs w:val="36"/>
              <w:highlight w:val="none"/>
            </w:rPr>
            <w:fldChar w:fldCharType="begin"/>
          </w:r>
          <w:r>
            <w:rPr>
              <w:sz w:val="28"/>
              <w:szCs w:val="36"/>
              <w:highlight w:val="none"/>
            </w:rPr>
            <w:instrText xml:space="preserve"> PAGEREF _Toc13704 \h </w:instrText>
          </w:r>
          <w:r>
            <w:rPr>
              <w:sz w:val="28"/>
              <w:szCs w:val="36"/>
              <w:highlight w:val="none"/>
            </w:rPr>
            <w:fldChar w:fldCharType="separate"/>
          </w:r>
          <w:r>
            <w:rPr>
              <w:sz w:val="28"/>
              <w:szCs w:val="36"/>
              <w:highlight w:val="none"/>
            </w:rPr>
            <w:t>49</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58F12927">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_Toc19470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第五章 </w:t>
          </w:r>
          <w:r>
            <w:rPr>
              <w:rFonts w:ascii="宋体" w:hAnsi="宋体" w:eastAsia="宋体" w:cs="宋体"/>
              <w:bCs/>
              <w:spacing w:val="5"/>
              <w:sz w:val="28"/>
              <w:szCs w:val="44"/>
              <w:highlight w:val="none"/>
            </w:rPr>
            <w:t>采购合同</w:t>
          </w:r>
          <w:r>
            <w:rPr>
              <w:sz w:val="28"/>
              <w:szCs w:val="36"/>
              <w:highlight w:val="none"/>
            </w:rPr>
            <w:tab/>
          </w:r>
          <w:r>
            <w:rPr>
              <w:sz w:val="28"/>
              <w:szCs w:val="36"/>
              <w:highlight w:val="none"/>
            </w:rPr>
            <w:fldChar w:fldCharType="begin"/>
          </w:r>
          <w:r>
            <w:rPr>
              <w:sz w:val="28"/>
              <w:szCs w:val="36"/>
              <w:highlight w:val="none"/>
            </w:rPr>
            <w:instrText xml:space="preserve"> PAGEREF _Toc19470 \h </w:instrText>
          </w:r>
          <w:r>
            <w:rPr>
              <w:sz w:val="28"/>
              <w:szCs w:val="36"/>
              <w:highlight w:val="none"/>
            </w:rPr>
            <w:fldChar w:fldCharType="separate"/>
          </w:r>
          <w:r>
            <w:rPr>
              <w:sz w:val="28"/>
              <w:szCs w:val="36"/>
              <w:highlight w:val="none"/>
            </w:rPr>
            <w:t>60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62C33260">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_Toc19904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napToGrid w:val="0"/>
              <w:spacing w:val="6"/>
              <w:kern w:val="0"/>
              <w:sz w:val="28"/>
              <w:szCs w:val="44"/>
              <w:highlight w:val="none"/>
              <w:lang w:eastAsia="en-US"/>
            </w:rPr>
            <w:t>第六章</w:t>
          </w:r>
          <w:r>
            <w:rPr>
              <w:rFonts w:ascii="宋体" w:hAnsi="宋体" w:eastAsia="宋体" w:cs="宋体"/>
              <w:snapToGrid w:val="0"/>
              <w:spacing w:val="6"/>
              <w:kern w:val="0"/>
              <w:sz w:val="28"/>
              <w:szCs w:val="44"/>
              <w:highlight w:val="none"/>
              <w:lang w:eastAsia="en-US"/>
            </w:rPr>
            <w:t xml:space="preserve"> </w:t>
          </w:r>
          <w:r>
            <w:rPr>
              <w:rFonts w:ascii="宋体" w:hAnsi="宋体" w:eastAsia="宋体" w:cs="宋体"/>
              <w:bCs/>
              <w:snapToGrid w:val="0"/>
              <w:spacing w:val="6"/>
              <w:kern w:val="0"/>
              <w:sz w:val="28"/>
              <w:szCs w:val="44"/>
              <w:highlight w:val="none"/>
              <w:lang w:eastAsia="en-US"/>
            </w:rPr>
            <w:t>投标文件格式</w:t>
          </w:r>
          <w:r>
            <w:rPr>
              <w:sz w:val="28"/>
              <w:szCs w:val="36"/>
              <w:highlight w:val="none"/>
            </w:rPr>
            <w:tab/>
          </w:r>
          <w:r>
            <w:rPr>
              <w:sz w:val="28"/>
              <w:szCs w:val="36"/>
              <w:highlight w:val="none"/>
            </w:rPr>
            <w:fldChar w:fldCharType="begin"/>
          </w:r>
          <w:r>
            <w:rPr>
              <w:sz w:val="28"/>
              <w:szCs w:val="36"/>
              <w:highlight w:val="none"/>
            </w:rPr>
            <w:instrText xml:space="preserve"> PAGEREF _Toc19904 \h </w:instrText>
          </w:r>
          <w:r>
            <w:rPr>
              <w:sz w:val="28"/>
              <w:szCs w:val="36"/>
              <w:highlight w:val="none"/>
            </w:rPr>
            <w:fldChar w:fldCharType="separate"/>
          </w:r>
          <w:r>
            <w:rPr>
              <w:sz w:val="28"/>
              <w:szCs w:val="36"/>
              <w:highlight w:val="none"/>
            </w:rPr>
            <w:t>83</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r>
            <w:rPr>
              <w:rFonts w:ascii="宋体" w:hAnsi="宋体" w:eastAsia="宋体" w:cs="宋体"/>
              <w:bCs/>
              <w:snapToGrid w:val="0"/>
              <w:color w:val="000000"/>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p>
    <w:p w14:paraId="7ECD2383">
      <w:pPr>
        <w:rPr>
          <w:rFonts w:hint="eastAsia" w:ascii="Calibri" w:hAnsi="Calibri" w:eastAsia="Calibri" w:cs="Calibri"/>
          <w:snapToGrid w:val="0"/>
          <w:color w:val="000000"/>
          <w:kern w:val="0"/>
          <w:sz w:val="32"/>
          <w:szCs w:val="32"/>
          <w:highlight w:val="none"/>
          <w:lang w:val="en-US" w:eastAsia="en-US" w:bidi="ar-SA"/>
        </w:rPr>
      </w:pPr>
      <w:r>
        <w:rPr>
          <w:rFonts w:hint="eastAsia" w:ascii="Calibri" w:hAnsi="Calibri" w:eastAsia="Calibri" w:cs="Calibri"/>
          <w:snapToGrid w:val="0"/>
          <w:color w:val="000000"/>
          <w:kern w:val="0"/>
          <w:sz w:val="32"/>
          <w:szCs w:val="32"/>
          <w:highlight w:val="none"/>
          <w:lang w:val="en-US" w:eastAsia="en-US" w:bidi="ar-SA"/>
        </w:rPr>
        <w:br w:type="page"/>
      </w:r>
    </w:p>
    <w:p w14:paraId="573EA36B">
      <w:pPr>
        <w:widowControl/>
        <w:kinsoku w:val="0"/>
        <w:autoSpaceDE w:val="0"/>
        <w:autoSpaceDN w:val="0"/>
        <w:adjustRightInd w:val="0"/>
        <w:snapToGrid w:val="0"/>
        <w:spacing w:before="101" w:line="480" w:lineRule="auto"/>
        <w:jc w:val="center"/>
        <w:textAlignment w:val="baseline"/>
        <w:outlineLvl w:val="0"/>
        <w:rPr>
          <w:rFonts w:ascii="宋体" w:hAnsi="宋体" w:eastAsia="宋体" w:cs="宋体"/>
          <w:b/>
          <w:bCs/>
          <w:spacing w:val="-4"/>
          <w:sz w:val="40"/>
          <w:szCs w:val="40"/>
          <w:highlight w:val="none"/>
        </w:rPr>
      </w:pPr>
      <w:bookmarkStart w:id="4" w:name="_Toc9881"/>
      <w:bookmarkStart w:id="5" w:name="_Toc26875"/>
      <w:r>
        <w:rPr>
          <w:rFonts w:ascii="宋体" w:hAnsi="宋体" w:eastAsia="宋体" w:cs="宋体"/>
          <w:b/>
          <w:bCs/>
          <w:spacing w:val="-4"/>
          <w:sz w:val="40"/>
          <w:szCs w:val="40"/>
          <w:highlight w:val="none"/>
        </w:rPr>
        <w:t>第一章</w:t>
      </w:r>
      <w:r>
        <w:rPr>
          <w:rFonts w:ascii="宋体" w:hAnsi="宋体" w:eastAsia="宋体" w:cs="宋体"/>
          <w:spacing w:val="-4"/>
          <w:sz w:val="40"/>
          <w:szCs w:val="40"/>
          <w:highlight w:val="none"/>
        </w:rPr>
        <w:t xml:space="preserve">  </w:t>
      </w:r>
      <w:r>
        <w:rPr>
          <w:rFonts w:ascii="宋体" w:hAnsi="宋体" w:eastAsia="宋体" w:cs="宋体"/>
          <w:b/>
          <w:bCs/>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阿克苏某单位2026-2027年牛羊肉采购项目</w:t>
      </w:r>
      <w:r>
        <w:rPr>
          <w:rFonts w:hint="eastAsia" w:ascii="宋体" w:hAnsi="宋体" w:eastAsia="宋体" w:cs="宋体"/>
          <w:color w:val="auto"/>
          <w:sz w:val="28"/>
          <w:szCs w:val="28"/>
          <w:highlight w:val="none"/>
        </w:rPr>
        <w:t>的潜在供应商应在政采云平台线上获取招标文件，并于</w:t>
      </w:r>
      <w:r>
        <w:rPr>
          <w:rFonts w:hint="eastAsia" w:ascii="宋体" w:hAnsi="宋体" w:eastAsia="宋体" w:cs="宋体"/>
          <w:color w:val="auto"/>
          <w:sz w:val="28"/>
          <w:szCs w:val="28"/>
          <w:highlight w:val="none"/>
          <w:u w:val="single"/>
          <w:lang w:eastAsia="zh-CN"/>
        </w:rPr>
        <w:t>2026年</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18</w:t>
      </w:r>
      <w:r>
        <w:rPr>
          <w:rFonts w:hint="eastAsia" w:ascii="宋体" w:hAnsi="宋体" w:eastAsia="宋体" w:cs="宋体"/>
          <w:color w:val="auto"/>
          <w:sz w:val="28"/>
          <w:szCs w:val="28"/>
          <w:highlight w:val="none"/>
          <w:u w:val="single"/>
          <w:lang w:eastAsia="zh-CN"/>
        </w:rPr>
        <w:t>日1</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:30分</w:t>
      </w:r>
      <w:r>
        <w:rPr>
          <w:rFonts w:hint="eastAsia" w:ascii="宋体" w:hAnsi="宋体" w:eastAsia="宋体" w:cs="宋体"/>
          <w:bCs/>
          <w:color w:val="auto"/>
          <w:sz w:val="28"/>
          <w:szCs w:val="28"/>
          <w:highlight w:val="none"/>
        </w:rPr>
        <w:t>（北京时间）前提交投标文件</w:t>
      </w:r>
      <w:r>
        <w:rPr>
          <w:rFonts w:hint="eastAsia" w:ascii="宋体" w:hAnsi="宋体" w:eastAsia="宋体" w:cs="宋体"/>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PX-ZFCG-2026-01</w:t>
      </w:r>
    </w:p>
    <w:p w14:paraId="304022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阿克苏某单位2026-2027年牛羊肉采购项目</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eastAsia="宋体" w:cs="宋体"/>
          <w:color w:val="auto"/>
          <w:sz w:val="28"/>
          <w:szCs w:val="28"/>
          <w:highlight w:val="none"/>
          <w:lang w:val="en-US" w:eastAsia="zh-CN"/>
        </w:rPr>
        <w:t>100万元</w:t>
      </w:r>
    </w:p>
    <w:p w14:paraId="4F1FC55B">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100万元</w:t>
      </w:r>
    </w:p>
    <w:p w14:paraId="508E747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480E593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en-US"/>
        </w:rPr>
        <w:t>标项名称:阿克苏某单位2026-2027年</w:t>
      </w:r>
      <w:r>
        <w:rPr>
          <w:rFonts w:hint="eastAsia" w:ascii="宋体" w:hAnsi="宋体" w:eastAsia="宋体" w:cs="宋体"/>
          <w:color w:val="auto"/>
          <w:sz w:val="28"/>
          <w:szCs w:val="28"/>
          <w:highlight w:val="none"/>
          <w:lang w:val="en-US" w:eastAsia="zh-CN"/>
        </w:rPr>
        <w:t>牛羊肉</w:t>
      </w:r>
      <w:r>
        <w:rPr>
          <w:rFonts w:hint="eastAsia" w:ascii="宋体" w:hAnsi="宋体" w:eastAsia="宋体" w:cs="宋体"/>
          <w:color w:val="auto"/>
          <w:sz w:val="28"/>
          <w:szCs w:val="28"/>
          <w:highlight w:val="none"/>
          <w:lang w:val="en-US" w:eastAsia="en-US"/>
        </w:rPr>
        <w:t>采购项目</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单位：批</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简要规格描述或项目基本概况介绍、用途：</w:t>
      </w:r>
      <w:r>
        <w:rPr>
          <w:rFonts w:hint="eastAsia" w:ascii="宋体" w:hAnsi="宋体" w:eastAsia="宋体" w:cs="宋体"/>
          <w:color w:val="auto"/>
          <w:sz w:val="28"/>
          <w:szCs w:val="28"/>
          <w:highlight w:val="none"/>
          <w:lang w:val="en-US" w:eastAsia="zh-CN"/>
        </w:rPr>
        <w:t>采购牛羊肉一批</w:t>
      </w:r>
      <w:r>
        <w:rPr>
          <w:rFonts w:hint="eastAsia" w:ascii="宋体" w:hAnsi="宋体" w:eastAsia="宋体" w:cs="宋体"/>
          <w:color w:val="auto"/>
          <w:sz w:val="28"/>
          <w:szCs w:val="28"/>
          <w:highlight w:val="none"/>
        </w:rPr>
        <w:t>。（详见招标文件及采购需求）</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自合同签订之日起一年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2.落实政府采购政策需满足的资格要求：本项目专门面向</w:t>
      </w:r>
      <w:r>
        <w:rPr>
          <w:rFonts w:hint="eastAsia" w:ascii="宋体" w:hAnsi="宋体" w:eastAsia="宋体" w:cs="宋体"/>
          <w:color w:val="auto"/>
          <w:sz w:val="28"/>
          <w:szCs w:val="28"/>
          <w:highlight w:val="none"/>
          <w:lang w:val="en-US" w:eastAsia="zh-CN"/>
        </w:rPr>
        <w:t>中小</w:t>
      </w:r>
      <w:r>
        <w:rPr>
          <w:rFonts w:hint="eastAsia" w:ascii="宋体" w:hAnsi="宋体" w:eastAsia="宋体" w:cs="宋体"/>
          <w:color w:val="auto"/>
          <w:sz w:val="28"/>
          <w:szCs w:val="28"/>
          <w:highlight w:val="none"/>
        </w:rPr>
        <w:t>企业</w:t>
      </w:r>
      <w:r>
        <w:rPr>
          <w:rFonts w:hint="eastAsia" w:ascii="宋体" w:hAnsi="宋体" w:eastAsia="宋体" w:cs="宋体"/>
          <w:color w:val="auto"/>
          <w:sz w:val="28"/>
          <w:szCs w:val="28"/>
          <w:highlight w:val="none"/>
          <w:lang w:eastAsia="zh-CN"/>
        </w:rPr>
        <w:t>；</w:t>
      </w:r>
    </w:p>
    <w:p w14:paraId="4D824CD9">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3.本项目的特定资格要求：须具备有效的《食品经营许可证》或《食品生产许可证》</w:t>
      </w:r>
    </w:p>
    <w:p w14:paraId="07DDA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日，每天上午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:00至</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:00，下午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10:30（北京时间）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10:30（北京时间）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6464D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4、其他事项：本次公告在新疆政府采购网发布，请各投标人随时关注本项目的澄清、答疑、变更事项。</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715022">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特别提示：</w:t>
      </w:r>
    </w:p>
    <w:p w14:paraId="0F2C0ECB">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14:paraId="215C3D1D">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bookmarkStart w:id="6" w:name="_Toc35393805"/>
      <w:bookmarkStart w:id="7" w:name="_Toc35393636"/>
      <w:bookmarkStart w:id="8" w:name="_Toc28359018"/>
      <w:bookmarkStart w:id="9" w:name="_Toc28359095"/>
      <w:r>
        <w:rPr>
          <w:rFonts w:hint="eastAsia" w:ascii="宋体" w:hAnsi="宋体" w:eastAsia="宋体" w:cs="宋体"/>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 w:name="_Toc28359096"/>
      <w:bookmarkStart w:id="11" w:name="_Toc35393637"/>
      <w:bookmarkStart w:id="12" w:name="_Toc28359019"/>
      <w:bookmarkStart w:id="13" w:name="_Toc35393806"/>
      <w:r>
        <w:rPr>
          <w:rFonts w:hint="eastAsia" w:ascii="宋体" w:hAnsi="宋体" w:eastAsia="宋体" w:cs="宋体"/>
          <w:color w:val="auto"/>
          <w:sz w:val="28"/>
          <w:szCs w:val="28"/>
          <w:highlight w:val="none"/>
        </w:rPr>
        <w:t>1.采购人信息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en-US"/>
        </w:rPr>
        <w:t>新疆维吾尔自治区</w:t>
      </w:r>
      <w:r>
        <w:rPr>
          <w:rFonts w:hint="eastAsia" w:ascii="宋体" w:hAnsi="宋体" w:eastAsia="宋体" w:cs="宋体"/>
          <w:color w:val="auto"/>
          <w:sz w:val="28"/>
          <w:szCs w:val="28"/>
          <w:highlight w:val="none"/>
          <w:lang w:eastAsia="en-US"/>
        </w:rPr>
        <w:t>阿克苏</w:t>
      </w:r>
      <w:r>
        <w:rPr>
          <w:rFonts w:hint="eastAsia" w:ascii="宋体" w:hAnsi="宋体" w:eastAsia="宋体" w:cs="宋体"/>
          <w:color w:val="auto"/>
          <w:sz w:val="28"/>
          <w:szCs w:val="28"/>
          <w:highlight w:val="none"/>
          <w:lang w:val="en-US" w:eastAsia="en-US"/>
        </w:rPr>
        <w:t>某单位</w:t>
      </w:r>
      <w:r>
        <w:rPr>
          <w:rFonts w:hint="eastAsia" w:ascii="宋体" w:hAnsi="宋体" w:eastAsia="宋体" w:cs="宋体"/>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阿克苏纺织工业城</w:t>
      </w:r>
      <w:r>
        <w:rPr>
          <w:rFonts w:hint="eastAsia" w:ascii="宋体" w:hAnsi="宋体" w:eastAsia="宋体" w:cs="宋体"/>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13239033351</w:t>
      </w:r>
      <w:r>
        <w:rPr>
          <w:rFonts w:hint="eastAsia" w:ascii="宋体" w:hAnsi="宋体" w:eastAsia="宋体" w:cs="宋体"/>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4" w:name="_Toc28359097"/>
      <w:bookmarkStart w:id="15" w:name="_Toc35393807"/>
      <w:bookmarkStart w:id="16" w:name="_Toc28359020"/>
      <w:bookmarkStart w:id="17" w:name="_Toc35393638"/>
      <w:r>
        <w:rPr>
          <w:rFonts w:hint="eastAsia" w:ascii="宋体" w:hAnsi="宋体" w:eastAsia="宋体" w:cs="宋体"/>
          <w:color w:val="auto"/>
          <w:sz w:val="28"/>
          <w:szCs w:val="28"/>
          <w:highlight w:val="none"/>
        </w:rPr>
        <w:t>2.采购代理机构信息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新疆朴薪项目管理咨询有限公司</w:t>
      </w:r>
      <w:r>
        <w:rPr>
          <w:rFonts w:hint="eastAsia" w:ascii="宋体" w:hAnsi="宋体" w:eastAsia="宋体" w:cs="宋体"/>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新疆喀什地区喀什市西域大道街道西环路社区二环路东北侧鑫福华庭对面(徽商大厦)1幢10层1106号</w:t>
      </w:r>
      <w:r>
        <w:rPr>
          <w:rFonts w:hint="eastAsia" w:ascii="宋体" w:hAnsi="宋体" w:eastAsia="宋体" w:cs="宋体"/>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16699070018、18799946868</w:t>
      </w:r>
      <w:r>
        <w:rPr>
          <w:rFonts w:hint="eastAsia" w:ascii="宋体" w:hAnsi="宋体" w:eastAsia="宋体" w:cs="宋体"/>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8" w:name="_Toc35393639"/>
      <w:bookmarkStart w:id="19" w:name="_Toc28359098"/>
      <w:bookmarkStart w:id="20" w:name="_Toc35393808"/>
      <w:bookmarkStart w:id="21" w:name="_Toc28359021"/>
      <w:r>
        <w:rPr>
          <w:rFonts w:hint="eastAsia" w:ascii="宋体" w:hAnsi="宋体" w:eastAsia="宋体" w:cs="宋体"/>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刘晓龙</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16699070018、18799946868</w:t>
      </w:r>
      <w:r>
        <w:rPr>
          <w:rFonts w:hint="eastAsia" w:ascii="宋体" w:hAnsi="宋体" w:eastAsia="宋体" w:cs="宋体"/>
          <w:color w:val="auto"/>
          <w:sz w:val="28"/>
          <w:szCs w:val="28"/>
          <w:highlight w:val="none"/>
        </w:rPr>
        <w:t>　</w:t>
      </w:r>
    </w:p>
    <w:p w14:paraId="4C13F6DE">
      <w:pPr>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bookmarkStart w:id="22" w:name="_Toc16249"/>
      <w:bookmarkStart w:id="23" w:name="_Toc5484"/>
      <w:r>
        <w:rPr>
          <w:rFonts w:ascii="宋体" w:hAnsi="宋体" w:eastAsia="宋体" w:cs="宋体"/>
          <w:b/>
          <w:bCs/>
          <w:spacing w:val="5"/>
          <w:sz w:val="35"/>
          <w:szCs w:val="35"/>
          <w:highlight w:val="none"/>
        </w:rPr>
        <w:t>第二章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供应商须知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4"/>
          <w:sz w:val="28"/>
          <w:szCs w:val="28"/>
          <w:highlight w:val="none"/>
        </w:rPr>
      </w:pPr>
      <w:r>
        <w:rPr>
          <w:rFonts w:ascii="宋体" w:hAnsi="宋体" w:eastAsia="宋体" w:cs="宋体"/>
          <w:b/>
          <w:bCs/>
          <w:spacing w:val="-4"/>
          <w:sz w:val="28"/>
          <w:szCs w:val="28"/>
          <w:highlight w:val="none"/>
        </w:rPr>
        <w:t>供应商须知前附表</w:t>
      </w:r>
    </w:p>
    <w:tbl>
      <w:tblPr>
        <w:tblStyle w:val="1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2065"/>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D479398">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条款号</w:t>
            </w:r>
          </w:p>
        </w:tc>
        <w:tc>
          <w:tcPr>
            <w:tcW w:w="2065" w:type="dxa"/>
            <w:vAlign w:val="top"/>
          </w:tcPr>
          <w:p w14:paraId="0C302501">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54EFD9E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65" w:type="dxa"/>
            <w:vAlign w:val="center"/>
          </w:tcPr>
          <w:p w14:paraId="72D607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项目名称</w:t>
            </w:r>
          </w:p>
        </w:tc>
        <w:tc>
          <w:tcPr>
            <w:tcW w:w="6146" w:type="dxa"/>
            <w:vAlign w:val="center"/>
          </w:tcPr>
          <w:p w14:paraId="22EBA5C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阿克苏某单位2026-2027年牛羊肉采购项目</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D373C4E">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065" w:type="dxa"/>
            <w:vAlign w:val="center"/>
          </w:tcPr>
          <w:p w14:paraId="0CC4CE9B">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采购人</w:t>
            </w:r>
          </w:p>
        </w:tc>
        <w:tc>
          <w:tcPr>
            <w:tcW w:w="6146" w:type="dxa"/>
            <w:vAlign w:val="center"/>
          </w:tcPr>
          <w:p w14:paraId="15B612F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en-US"/>
              </w:rPr>
              <w:t>新疆维吾尔自治区</w:t>
            </w:r>
            <w:r>
              <w:rPr>
                <w:rFonts w:hint="eastAsia" w:ascii="宋体" w:hAnsi="宋体" w:eastAsia="宋体" w:cs="宋体"/>
                <w:sz w:val="24"/>
                <w:szCs w:val="24"/>
                <w:highlight w:val="none"/>
                <w:lang w:eastAsia="en-US"/>
              </w:rPr>
              <w:t>阿克苏</w:t>
            </w:r>
            <w:r>
              <w:rPr>
                <w:rFonts w:hint="eastAsia" w:ascii="宋体" w:hAnsi="宋体" w:eastAsia="宋体" w:cs="宋体"/>
                <w:sz w:val="24"/>
                <w:szCs w:val="24"/>
                <w:highlight w:val="none"/>
                <w:lang w:val="en-US" w:eastAsia="en-US"/>
              </w:rPr>
              <w:t>某单位</w:t>
            </w:r>
          </w:p>
          <w:p w14:paraId="6F51339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希先生</w:t>
            </w:r>
          </w:p>
          <w:p w14:paraId="0A63B0D3">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13239033351</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E355BA9">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65" w:type="dxa"/>
            <w:vAlign w:val="center"/>
          </w:tcPr>
          <w:p w14:paraId="42E5314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采购代理机构</w:t>
            </w:r>
          </w:p>
        </w:tc>
        <w:tc>
          <w:tcPr>
            <w:tcW w:w="6146" w:type="dxa"/>
            <w:vAlign w:val="center"/>
          </w:tcPr>
          <w:p w14:paraId="4C00366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名    称：</w:t>
            </w:r>
            <w:r>
              <w:rPr>
                <w:rFonts w:hint="eastAsia" w:ascii="宋体" w:hAnsi="宋体" w:eastAsia="宋体" w:cs="宋体"/>
                <w:sz w:val="24"/>
                <w:szCs w:val="24"/>
                <w:highlight w:val="none"/>
                <w:lang w:val="en-US" w:eastAsia="zh-CN"/>
              </w:rPr>
              <w:t>新疆朴薪项目管理咨询有限公司</w:t>
            </w:r>
          </w:p>
          <w:p w14:paraId="5EB51EB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地    址：</w:t>
            </w:r>
            <w:r>
              <w:rPr>
                <w:rFonts w:hint="eastAsia" w:ascii="宋体" w:hAnsi="宋体" w:eastAsia="宋体" w:cs="宋体"/>
                <w:sz w:val="24"/>
                <w:szCs w:val="24"/>
                <w:highlight w:val="none"/>
                <w:lang w:val="en-US" w:eastAsia="zh-CN"/>
              </w:rPr>
              <w:t>新疆喀什地区喀什市西域大道街道西环路社区二环路东北侧鑫福华庭对面(徽商大厦)1幢10层1106号</w:t>
            </w:r>
          </w:p>
          <w:p w14:paraId="281F5AF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 系 人：</w:t>
            </w:r>
            <w:r>
              <w:rPr>
                <w:rFonts w:hint="eastAsia" w:ascii="宋体" w:hAnsi="宋体" w:eastAsia="宋体" w:cs="宋体"/>
                <w:sz w:val="24"/>
                <w:szCs w:val="24"/>
                <w:highlight w:val="none"/>
                <w:lang w:val="en-US" w:eastAsia="zh-CN"/>
              </w:rPr>
              <w:t>刘晓龙</w:t>
            </w:r>
          </w:p>
          <w:p w14:paraId="2E31B288">
            <w:pPr>
              <w:keepNext w:val="0"/>
              <w:keepLines w:val="0"/>
              <w:pageBreakBefore w:val="0"/>
              <w:widowControl w:val="0"/>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联系电话：</w:t>
            </w:r>
            <w:r>
              <w:rPr>
                <w:rFonts w:hint="eastAsia" w:ascii="宋体" w:hAnsi="宋体" w:eastAsia="宋体" w:cs="宋体"/>
                <w:sz w:val="24"/>
                <w:szCs w:val="24"/>
                <w:highlight w:val="none"/>
                <w:lang w:val="en-US" w:eastAsia="zh-CN"/>
              </w:rPr>
              <w:t>16699070018、18799946868</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E1A743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065" w:type="dxa"/>
            <w:vAlign w:val="center"/>
          </w:tcPr>
          <w:p w14:paraId="24A3A11A">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是否接受联合体投标</w:t>
            </w:r>
          </w:p>
        </w:tc>
        <w:tc>
          <w:tcPr>
            <w:tcW w:w="6146" w:type="dxa"/>
            <w:vAlign w:val="center"/>
          </w:tcPr>
          <w:p w14:paraId="3FD4EA4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不接受</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9EC9EA7">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065" w:type="dxa"/>
            <w:vAlign w:val="center"/>
          </w:tcPr>
          <w:p w14:paraId="36F2B4F4">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是否组织现场考察</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不组织</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488D1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065" w:type="dxa"/>
            <w:vAlign w:val="center"/>
          </w:tcPr>
          <w:p w14:paraId="10CF467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答疑会</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依据项目情况另行通知。</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3E289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22BAEC0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065" w:type="dxa"/>
            <w:vAlign w:val="center"/>
          </w:tcPr>
          <w:p w14:paraId="4F1BC1A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技术支持资料允许的其他形式</w:t>
            </w:r>
          </w:p>
        </w:tc>
        <w:tc>
          <w:tcPr>
            <w:tcW w:w="6146" w:type="dxa"/>
            <w:vAlign w:val="center"/>
          </w:tcPr>
          <w:p w14:paraId="1BB93D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p>
          <w:p w14:paraId="3B70579D">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5B4F09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065" w:type="dxa"/>
            <w:vAlign w:val="center"/>
          </w:tcPr>
          <w:p w14:paraId="6BB7EAC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5FE4E7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065" w:type="dxa"/>
            <w:vAlign w:val="center"/>
          </w:tcPr>
          <w:p w14:paraId="1BC4338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供应商要求澄清招标文件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ECD1089">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065" w:type="dxa"/>
            <w:vAlign w:val="center"/>
          </w:tcPr>
          <w:p w14:paraId="50DE17A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5522C73">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065" w:type="dxa"/>
            <w:vAlign w:val="center"/>
          </w:tcPr>
          <w:p w14:paraId="460F220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2161B1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065" w:type="dxa"/>
            <w:vAlign w:val="center"/>
          </w:tcPr>
          <w:p w14:paraId="3822DC4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★投标报价的其他要求</w:t>
            </w:r>
          </w:p>
        </w:tc>
        <w:tc>
          <w:tcPr>
            <w:tcW w:w="6146" w:type="dxa"/>
            <w:vAlign w:val="center"/>
          </w:tcPr>
          <w:p w14:paraId="08494C25">
            <w:pPr>
              <w:keepNext w:val="0"/>
              <w:keepLines w:val="0"/>
              <w:pageBreakBefore w:val="0"/>
              <w:widowControl w:val="0"/>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填报下浮率 </w:t>
            </w:r>
          </w:p>
          <w:p w14:paraId="61AFAA1D">
            <w:pPr>
              <w:keepNext w:val="0"/>
              <w:keepLines w:val="0"/>
              <w:pageBreakBefore w:val="0"/>
              <w:widowControl w:val="0"/>
              <w:numPr>
                <w:ilvl w:val="0"/>
                <w:numId w:val="1"/>
              </w:numPr>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单价确定方式：本项目为年度服务供应，未确定具体的数量且价格随季节变化较大，采用当期市场询价结果为基准价（参照乌鲁木齐北园春市场官网公布价格</w:t>
            </w:r>
            <w:r>
              <w:rPr>
                <w:rFonts w:hint="eastAsia" w:ascii="宋体" w:hAnsi="宋体" w:eastAsia="宋体" w:cs="宋体"/>
                <w:sz w:val="24"/>
                <w:szCs w:val="24"/>
                <w:highlight w:val="none"/>
                <w:lang w:val="en-US" w:eastAsia="zh-CN"/>
              </w:rPr>
              <w:t>中间价</w:t>
            </w:r>
            <w:r>
              <w:rPr>
                <w:rFonts w:hint="default" w:ascii="宋体" w:hAnsi="宋体" w:eastAsia="宋体" w:cs="宋体"/>
                <w:sz w:val="24"/>
                <w:szCs w:val="24"/>
                <w:highlight w:val="none"/>
                <w:lang w:val="en-US" w:eastAsia="zh-CN"/>
              </w:rPr>
              <w:t>执行），供应商填报下浮率</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（下浮率报整数，例如 10%、11%、12%等，不能出现 xx.x%）</w:t>
            </w:r>
          </w:p>
          <w:p w14:paraId="6EC79574">
            <w:pPr>
              <w:keepNext w:val="0"/>
              <w:keepLines w:val="0"/>
              <w:pageBreakBefore w:val="0"/>
              <w:widowControl w:val="0"/>
              <w:numPr>
                <w:ilvl w:val="0"/>
                <w:numId w:val="1"/>
              </w:numPr>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下浮率（%）报价即：物结算价格=商品基准价*（1-下浮率%），例如： 商品基准价=100 元，报价下浮率：10%，合同结算单价：100*（1-10%） =90 元）。</w:t>
            </w:r>
          </w:p>
          <w:p w14:paraId="1C5EAC97">
            <w:pPr>
              <w:keepNext w:val="0"/>
              <w:keepLines w:val="0"/>
              <w:pageBreakBefore w:val="0"/>
              <w:widowControl w:val="0"/>
              <w:numPr>
                <w:ilvl w:val="0"/>
                <w:numId w:val="1"/>
              </w:numPr>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报价填写时注意,请勿填写错误，如因报价方式填写错误，导致投标被拒绝，后果由供应商本人自行承担。</w:t>
            </w:r>
          </w:p>
          <w:p w14:paraId="62292B71">
            <w:pPr>
              <w:keepNext w:val="0"/>
              <w:keepLines w:val="0"/>
              <w:pageBreakBefore w:val="0"/>
              <w:widowControl w:val="0"/>
              <w:numPr>
                <w:ilvl w:val="0"/>
                <w:numId w:val="1"/>
              </w:numPr>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在实际供货时，价格参考主要依据乌鲁木齐北园春市场官网公布价格中间价，以该中间价执行中标下浮率为最终价格。（此价格包括货品原材料价格、运输保险费、 装卸费、检验检测费、利润、税金及政策性文件规定的所有费用）。</w:t>
            </w:r>
          </w:p>
          <w:p w14:paraId="78870D32">
            <w:pPr>
              <w:keepNext w:val="0"/>
              <w:keepLines w:val="0"/>
              <w:pageBreakBefore w:val="0"/>
              <w:widowControl w:val="0"/>
              <w:numPr>
                <w:ilvl w:val="0"/>
                <w:numId w:val="1"/>
              </w:numPr>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 各供应商所报下浮率必须真实、依据合理；下浮率畸高不实的，经评标委员会核实后不予评审。</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B68A5AE">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065" w:type="dxa"/>
            <w:vAlign w:val="center"/>
          </w:tcPr>
          <w:p w14:paraId="3AC91CB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财政资金；</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AE6250">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065" w:type="dxa"/>
            <w:vAlign w:val="center"/>
          </w:tcPr>
          <w:p w14:paraId="1DF7972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1C03E7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065" w:type="dxa"/>
            <w:vAlign w:val="center"/>
          </w:tcPr>
          <w:p w14:paraId="3F0F3A3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投标保证金</w:t>
            </w:r>
          </w:p>
        </w:tc>
        <w:tc>
          <w:tcPr>
            <w:tcW w:w="6146" w:type="dxa"/>
            <w:vAlign w:val="center"/>
          </w:tcPr>
          <w:p w14:paraId="72419CE3">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不要求</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267951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b w:val="0"/>
                <w:bCs w:val="0"/>
                <w:spacing w:val="-17"/>
                <w:sz w:val="24"/>
                <w:szCs w:val="24"/>
                <w:highlight w:val="none"/>
                <w:lang w:val="en-US" w:eastAsia="zh-CN"/>
              </w:rPr>
              <w:t>16</w:t>
            </w:r>
          </w:p>
        </w:tc>
        <w:tc>
          <w:tcPr>
            <w:tcW w:w="2065"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宋体" w:hAnsi="宋体" w:eastAsia="宋体" w:cs="宋体"/>
                <w:sz w:val="24"/>
                <w:szCs w:val="24"/>
                <w:highlight w:val="none"/>
              </w:rPr>
            </w:pPr>
            <w:r>
              <w:rPr>
                <w:rFonts w:hint="eastAsia" w:ascii="宋体" w:hAnsi="宋体" w:eastAsia="宋体" w:cs="宋体"/>
                <w:b w:val="0"/>
                <w:bCs w:val="0"/>
                <w:snapToGrid w:val="0"/>
                <w:color w:val="000000"/>
                <w:spacing w:val="-3"/>
                <w:kern w:val="0"/>
                <w:sz w:val="24"/>
                <w:szCs w:val="24"/>
                <w:highlight w:val="none"/>
                <w:lang w:val="en-US" w:eastAsia="en-US" w:bidi="ar-SA"/>
              </w:rPr>
              <w:t>满足《中华人民共和国政府采购法》第二十二条</w:t>
            </w:r>
            <w:r>
              <w:rPr>
                <w:rFonts w:hint="eastAsia" w:ascii="宋体" w:hAnsi="宋体" w:eastAsia="宋体" w:cs="宋体"/>
                <w:b w:val="0"/>
                <w:bCs w:val="0"/>
                <w:snapToGrid w:val="0"/>
                <w:color w:val="000000"/>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宋体" w:hAnsi="宋体" w:eastAsia="宋体" w:cs="宋体"/>
                <w:b w:val="0"/>
                <w:bCs w:val="0"/>
                <w:snapToGrid w:val="0"/>
                <w:color w:val="auto"/>
                <w:spacing w:val="-3"/>
                <w:kern w:val="0"/>
                <w:sz w:val="24"/>
                <w:szCs w:val="24"/>
                <w:highlight w:val="none"/>
                <w:lang w:val="en-US" w:eastAsia="en-US" w:bidi="ar-SA"/>
              </w:rPr>
            </w:pPr>
            <w:r>
              <w:rPr>
                <w:rFonts w:hint="eastAsia" w:ascii="宋体" w:hAnsi="宋体" w:eastAsia="宋体" w:cs="宋体"/>
                <w:b w:val="0"/>
                <w:bCs w:val="0"/>
                <w:snapToGrid w:val="0"/>
                <w:color w:val="auto"/>
                <w:spacing w:val="-3"/>
                <w:kern w:val="0"/>
                <w:sz w:val="24"/>
                <w:szCs w:val="24"/>
                <w:highlight w:val="none"/>
                <w:lang w:val="en-US" w:eastAsia="zh-CN" w:bidi="ar-SA"/>
              </w:rPr>
              <w:t>一、法人或者其他组织的营业执照等证明文件，自然人的身份证明，无三证合一的法人或者其他组织需提供营业执照、税务登记证和组织机构代码证(其他组织除外)</w:t>
            </w:r>
            <w:r>
              <w:rPr>
                <w:rFonts w:hint="eastAsia" w:ascii="宋体" w:hAnsi="宋体" w:eastAsia="宋体" w:cs="宋体"/>
                <w:b w:val="0"/>
                <w:bCs w:val="0"/>
                <w:snapToGrid w:val="0"/>
                <w:color w:val="000000"/>
                <w:spacing w:val="-3"/>
                <w:kern w:val="0"/>
                <w:sz w:val="24"/>
                <w:szCs w:val="24"/>
                <w:highlight w:val="none"/>
                <w:lang w:val="en-US" w:eastAsia="en-US" w:bidi="ar-SA"/>
              </w:rPr>
              <w:t>；</w:t>
            </w:r>
          </w:p>
          <w:p w14:paraId="761401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二、</w:t>
            </w:r>
            <w:r>
              <w:rPr>
                <w:rFonts w:hint="eastAsia" w:ascii="宋体" w:hAnsi="宋体" w:eastAsia="宋体" w:cs="宋体"/>
                <w:b w:val="0"/>
                <w:bCs w:val="0"/>
                <w:snapToGrid w:val="0"/>
                <w:color w:val="000000"/>
                <w:spacing w:val="-3"/>
                <w:kern w:val="0"/>
                <w:sz w:val="24"/>
                <w:szCs w:val="24"/>
                <w:highlight w:val="none"/>
                <w:lang w:val="en-US" w:eastAsia="en-US" w:bidi="ar-SA"/>
              </w:rPr>
              <w:t>供应商代表按照招标文件规定提供了法定代表人（单位负责人）身份证明或授权委托书；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三</w:t>
            </w:r>
            <w:r>
              <w:rPr>
                <w:rFonts w:hint="eastAsia" w:ascii="宋体" w:hAnsi="宋体" w:eastAsia="宋体" w:cs="宋体"/>
                <w:b/>
                <w:bCs/>
                <w:snapToGrid w:val="0"/>
                <w:color w:val="000000"/>
                <w:spacing w:val="-3"/>
                <w:kern w:val="0"/>
                <w:sz w:val="24"/>
                <w:szCs w:val="24"/>
                <w:highlight w:val="none"/>
                <w:lang w:val="en-US" w:eastAsia="en-US" w:bidi="ar-SA"/>
              </w:rPr>
              <w:t>、</w:t>
            </w:r>
            <w:r>
              <w:rPr>
                <w:rFonts w:hint="eastAsia" w:ascii="宋体" w:hAnsi="宋体" w:eastAsia="宋体" w:cs="宋体"/>
                <w:spacing w:val="-1"/>
                <w:sz w:val="24"/>
                <w:szCs w:val="24"/>
                <w:highlight w:val="none"/>
              </w:rPr>
              <w:t>提供</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024</w:t>
            </w:r>
            <w:r>
              <w:rPr>
                <w:rFonts w:hint="eastAsia" w:ascii="宋体" w:hAnsi="宋体" w:eastAsia="宋体" w:cs="宋体"/>
                <w:spacing w:val="-1"/>
                <w:sz w:val="24"/>
                <w:szCs w:val="24"/>
                <w:highlight w:val="none"/>
                <w:lang w:val="en-US" w:eastAsia="zh-CN"/>
              </w:rPr>
              <w:t>或2025年</w:t>
            </w:r>
            <w:r>
              <w:rPr>
                <w:rFonts w:hint="eastAsia" w:ascii="宋体" w:hAnsi="宋体" w:eastAsia="宋体" w:cs="宋体"/>
                <w:spacing w:val="-1"/>
                <w:sz w:val="24"/>
                <w:szCs w:val="24"/>
                <w:highlight w:val="none"/>
              </w:rPr>
              <w:t>度财务审计财务报告或财务报表，包括资产负债表、利润表、现金流量表或基本开户银行出具的资信证明原件扫描件；供应商成立时间少于该规定时限的，提供成立至今的材料原件扫描件；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spacing w:val="-8"/>
                <w:sz w:val="24"/>
                <w:szCs w:val="24"/>
                <w:highlight w:val="none"/>
              </w:rPr>
            </w:pP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具有履行合同所必需的设备和专业技术能力：</w:t>
            </w:r>
            <w:r>
              <w:rPr>
                <w:rFonts w:hint="eastAsia" w:ascii="宋体" w:hAnsi="宋体" w:eastAsia="宋体" w:cs="宋体"/>
                <w:sz w:val="24"/>
                <w:szCs w:val="24"/>
                <w:highlight w:val="none"/>
              </w:rPr>
              <w:t>《供应</w:t>
            </w:r>
            <w:r>
              <w:rPr>
                <w:rFonts w:hint="eastAsia" w:ascii="宋体" w:hAnsi="宋体" w:eastAsia="宋体" w:cs="宋体"/>
                <w:spacing w:val="12"/>
                <w:sz w:val="24"/>
                <w:szCs w:val="24"/>
                <w:highlight w:val="none"/>
              </w:rPr>
              <w:t>商具有履行合同所必需的设备和专业技术能力提供声明</w:t>
            </w:r>
            <w:r>
              <w:rPr>
                <w:rFonts w:hint="eastAsia" w:ascii="宋体" w:hAnsi="宋体" w:eastAsia="宋体" w:cs="宋体"/>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五、</w:t>
            </w:r>
            <w:r>
              <w:rPr>
                <w:rFonts w:hint="eastAsia" w:ascii="宋体" w:hAnsi="宋体" w:eastAsia="宋体" w:cs="宋体"/>
                <w:b w:val="0"/>
                <w:bCs w:val="0"/>
                <w:snapToGrid w:val="0"/>
                <w:color w:val="000000"/>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rPr>
              <w:t>提供202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rPr>
              <w:t>年</w:t>
            </w:r>
            <w:r>
              <w:rPr>
                <w:rFonts w:hint="eastAsia" w:ascii="宋体" w:hAnsi="宋体" w:eastAsia="宋体" w:cs="宋体"/>
                <w:b w:val="0"/>
                <w:bCs w:val="0"/>
                <w:spacing w:val="-1"/>
                <w:sz w:val="24"/>
                <w:szCs w:val="24"/>
                <w:highlight w:val="none"/>
                <w:lang w:val="en-US" w:eastAsia="zh-CN"/>
              </w:rPr>
              <w:t>1月</w:t>
            </w:r>
            <w:r>
              <w:rPr>
                <w:rFonts w:hint="eastAsia" w:ascii="宋体" w:hAnsi="宋体" w:eastAsia="宋体" w:cs="宋体"/>
                <w:b w:val="0"/>
                <w:bCs w:val="0"/>
                <w:spacing w:val="-1"/>
                <w:sz w:val="24"/>
                <w:szCs w:val="24"/>
                <w:highlight w:val="none"/>
              </w:rPr>
              <w:t>至今</w:t>
            </w:r>
            <w:r>
              <w:rPr>
                <w:rFonts w:hint="eastAsia" w:ascii="宋体" w:hAnsi="宋体" w:eastAsia="宋体" w:cs="宋体"/>
                <w:b w:val="0"/>
                <w:bCs w:val="0"/>
                <w:spacing w:val="-1"/>
                <w:sz w:val="24"/>
                <w:szCs w:val="24"/>
                <w:highlight w:val="none"/>
                <w:lang w:val="en-US" w:eastAsia="zh-CN"/>
              </w:rPr>
              <w:t>连续三</w:t>
            </w:r>
            <w:r>
              <w:rPr>
                <w:rFonts w:hint="eastAsia" w:ascii="宋体" w:hAnsi="宋体" w:eastAsia="宋体" w:cs="宋体"/>
                <w:b w:val="0"/>
                <w:bCs w:val="0"/>
                <w:spacing w:val="-1"/>
                <w:sz w:val="24"/>
                <w:szCs w:val="24"/>
                <w:highlight w:val="none"/>
              </w:rPr>
              <w:t>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p w14:paraId="438A07E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b w:val="0"/>
                <w:bCs w:val="0"/>
                <w:spacing w:val="-1"/>
                <w:sz w:val="24"/>
                <w:szCs w:val="24"/>
                <w:highlight w:val="none"/>
                <w:lang w:val="en-US" w:eastAsia="zh-CN"/>
              </w:rPr>
              <w:t>六</w:t>
            </w:r>
            <w:r>
              <w:rPr>
                <w:rFonts w:hint="eastAsia" w:ascii="宋体" w:hAnsi="宋体" w:eastAsia="宋体" w:cs="宋体"/>
                <w:b w:val="0"/>
                <w:bCs w:val="0"/>
                <w:spacing w:val="-1"/>
                <w:sz w:val="24"/>
                <w:szCs w:val="24"/>
                <w:highlight w:val="none"/>
              </w:rPr>
              <w:t>、参加政府采购活动前三年内，在经营活动中没有重大</w:t>
            </w:r>
            <w:r>
              <w:rPr>
                <w:rFonts w:hint="eastAsia" w:ascii="宋体" w:hAnsi="宋体" w:eastAsia="宋体" w:cs="宋体"/>
                <w:b w:val="0"/>
                <w:bCs w:val="0"/>
                <w:spacing w:val="14"/>
                <w:sz w:val="24"/>
                <w:szCs w:val="24"/>
                <w:highlight w:val="none"/>
              </w:rPr>
              <w:t xml:space="preserve"> </w:t>
            </w:r>
            <w:r>
              <w:rPr>
                <w:rFonts w:hint="eastAsia" w:ascii="宋体" w:hAnsi="宋体" w:eastAsia="宋体" w:cs="宋体"/>
                <w:b w:val="0"/>
                <w:bCs w:val="0"/>
                <w:spacing w:val="-2"/>
                <w:sz w:val="24"/>
                <w:szCs w:val="24"/>
                <w:highlight w:val="none"/>
              </w:rPr>
              <w:t>违法记录：</w:t>
            </w:r>
            <w:r>
              <w:rPr>
                <w:rFonts w:hint="eastAsia" w:ascii="宋体" w:hAnsi="宋体" w:eastAsia="宋体" w:cs="宋体"/>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七、</w:t>
            </w:r>
            <w:r>
              <w:rPr>
                <w:rFonts w:hint="eastAsia" w:ascii="宋体" w:hAnsi="宋体" w:eastAsia="宋体" w:cs="宋体"/>
                <w:b w:val="0"/>
                <w:bCs w:val="0"/>
                <w:snapToGrid w:val="0"/>
                <w:color w:val="000000"/>
                <w:spacing w:val="-4"/>
                <w:kern w:val="0"/>
                <w:sz w:val="24"/>
                <w:szCs w:val="24"/>
                <w:highlight w:val="none"/>
                <w:lang w:val="en-US" w:eastAsia="en-US" w:bidi="ar-SA"/>
              </w:rPr>
              <w:t>其他要求：</w:t>
            </w:r>
          </w:p>
          <w:p w14:paraId="1F14CD6C">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提供单位负责人为同一人或者存在直接控股、管</w:t>
            </w:r>
            <w:r>
              <w:rPr>
                <w:rFonts w:hint="eastAsia" w:ascii="宋体" w:hAnsi="宋体" w:eastAsia="宋体" w:cs="宋体"/>
                <w:snapToGrid w:val="0"/>
                <w:color w:val="000000"/>
                <w:spacing w:val="-1"/>
                <w:kern w:val="0"/>
                <w:sz w:val="24"/>
                <w:szCs w:val="24"/>
                <w:highlight w:val="none"/>
                <w:lang w:val="en-US" w:eastAsia="en-US" w:bidi="ar-SA"/>
              </w:rPr>
              <w:t>理关系的不同供应商不得参加同一合同项下的政府采购活动的《声明函》；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2、供应商存在“信用中国</w:t>
            </w:r>
            <w:r>
              <w:rPr>
                <w:rFonts w:hint="eastAsia" w:ascii="宋体" w:hAnsi="宋体" w:eastAsia="宋体" w:cs="宋体"/>
                <w:snapToGrid w:val="0"/>
                <w:color w:val="000000"/>
                <w:spacing w:val="-89"/>
                <w:kern w:val="0"/>
                <w:sz w:val="24"/>
                <w:szCs w:val="24"/>
                <w:highlight w:val="none"/>
                <w:lang w:val="en-US" w:eastAsia="en-US" w:bidi="ar-SA"/>
              </w:rPr>
              <w:t xml:space="preserve"> </w:t>
            </w:r>
            <w:r>
              <w:rPr>
                <w:rFonts w:hint="eastAsia" w:ascii="宋体" w:hAnsi="宋体" w:eastAsia="宋体" w:cs="宋体"/>
                <w:snapToGrid w:val="0"/>
                <w:color w:val="000000"/>
                <w:spacing w:val="-3"/>
                <w:kern w:val="0"/>
                <w:sz w:val="24"/>
                <w:szCs w:val="24"/>
                <w:highlight w:val="none"/>
                <w:lang w:val="en-US" w:eastAsia="en-US" w:bidi="ar-SA"/>
              </w:rPr>
              <w:t>”网站</w:t>
            </w:r>
            <w:r>
              <w:rPr>
                <w:rFonts w:hint="eastAsia" w:ascii="宋体" w:hAnsi="宋体" w:eastAsia="宋体" w:cs="宋体"/>
                <w:snapToGrid w:val="0"/>
                <w:color w:val="000000"/>
                <w:spacing w:val="-1"/>
                <w:kern w:val="0"/>
                <w:sz w:val="24"/>
                <w:szCs w:val="24"/>
                <w:highlight w:val="none"/>
                <w:lang w:val="en-US" w:eastAsia="en-US" w:bidi="ar-SA"/>
              </w:rPr>
              <w:t>（www.creditchina.gov.cn）、中国政府采购网</w:t>
            </w:r>
            <w:r>
              <w:rPr>
                <w:rFonts w:hint="eastAsia" w:ascii="宋体" w:hAnsi="宋体" w:eastAsia="宋体" w:cs="宋体"/>
                <w:snapToGrid w:val="0"/>
                <w:color w:val="000000"/>
                <w:spacing w:val="-2"/>
                <w:kern w:val="0"/>
                <w:sz w:val="24"/>
                <w:szCs w:val="24"/>
                <w:highlight w:val="none"/>
                <w:lang w:val="en-US" w:eastAsia="en-US" w:bidi="ar-SA"/>
              </w:rPr>
              <w:t>（www.ccgp.gov.cn）中被列入失信被</w:t>
            </w:r>
            <w:r>
              <w:rPr>
                <w:rFonts w:hint="eastAsia" w:ascii="宋体" w:hAnsi="宋体" w:eastAsia="宋体" w:cs="宋体"/>
                <w:snapToGrid w:val="0"/>
                <w:color w:val="000000"/>
                <w:spacing w:val="-3"/>
                <w:kern w:val="0"/>
                <w:sz w:val="24"/>
                <w:szCs w:val="24"/>
                <w:highlight w:val="none"/>
                <w:lang w:val="en-US" w:eastAsia="en-US" w:bidi="ar-SA"/>
              </w:rPr>
              <w:t>执行人、重大税收违</w:t>
            </w:r>
            <w:r>
              <w:rPr>
                <w:rFonts w:hint="eastAsia" w:ascii="宋体" w:hAnsi="宋体" w:eastAsia="宋体" w:cs="宋体"/>
                <w:snapToGrid w:val="0"/>
                <w:color w:val="000000"/>
                <w:spacing w:val="-1"/>
                <w:kern w:val="0"/>
                <w:sz w:val="24"/>
                <w:szCs w:val="24"/>
                <w:highlight w:val="none"/>
                <w:lang w:val="en-US" w:eastAsia="en-US" w:bidi="ar-SA"/>
              </w:rPr>
              <w:t>法案件当事人名单、政府采购严重违法失信行为记录名单的禁止参与本项目，响应文件无效。（由招标代理机构或采购人在评标系统中自行查询）</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DBFF2F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17</w:t>
            </w:r>
          </w:p>
        </w:tc>
        <w:tc>
          <w:tcPr>
            <w:tcW w:w="2065" w:type="dxa"/>
            <w:vAlign w:val="center"/>
          </w:tcPr>
          <w:p w14:paraId="41F7CD9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落实政府采购政策需满足的资格要求</w:t>
            </w:r>
          </w:p>
        </w:tc>
        <w:tc>
          <w:tcPr>
            <w:tcW w:w="6146" w:type="dxa"/>
            <w:vAlign w:val="top"/>
          </w:tcPr>
          <w:p w14:paraId="5D341819">
            <w:pPr>
              <w:keepNext w:val="0"/>
              <w:keepLines w:val="0"/>
              <w:pageBreakBefore w:val="0"/>
              <w:widowControl w:val="0"/>
              <w:wordWrap/>
              <w:overflowPunct/>
              <w:topLinePunct w:val="0"/>
              <w:bidi w:val="0"/>
              <w:spacing w:line="400" w:lineRule="exact"/>
              <w:ind w:firstLine="466" w:firstLineChars="200"/>
              <w:jc w:val="left"/>
              <w:rPr>
                <w:rFonts w:hint="eastAsia" w:ascii="宋体" w:hAnsi="宋体" w:eastAsia="宋体" w:cs="宋体"/>
                <w:b/>
                <w:bCs/>
                <w:snapToGrid w:val="0"/>
                <w:color w:val="000000"/>
                <w:spacing w:val="-4"/>
                <w:kern w:val="0"/>
                <w:sz w:val="24"/>
                <w:szCs w:val="24"/>
                <w:highlight w:val="none"/>
                <w:lang w:val="en-US" w:eastAsia="zh-CN" w:bidi="ar-SA"/>
              </w:rPr>
            </w:pPr>
          </w:p>
          <w:p w14:paraId="284E41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zh-CN" w:bidi="ar-SA"/>
              </w:rPr>
              <w:t>本项目</w:t>
            </w:r>
            <w:r>
              <w:rPr>
                <w:rFonts w:hint="eastAsia" w:ascii="宋体" w:hAnsi="宋体" w:eastAsia="宋体" w:cs="宋体"/>
                <w:b/>
                <w:bCs/>
                <w:snapToGrid w:val="0"/>
                <w:color w:val="000000"/>
                <w:spacing w:val="-4"/>
                <w:kern w:val="0"/>
                <w:sz w:val="24"/>
                <w:szCs w:val="24"/>
                <w:highlight w:val="none"/>
                <w:lang w:val="en-US" w:eastAsia="en-US" w:bidi="ar-SA"/>
              </w:rPr>
              <w:t>专门面向</w:t>
            </w:r>
            <w:r>
              <w:rPr>
                <w:rFonts w:hint="eastAsia" w:ascii="宋体" w:hAnsi="宋体" w:eastAsia="宋体" w:cs="宋体"/>
                <w:b/>
                <w:bCs/>
                <w:snapToGrid w:val="0"/>
                <w:color w:val="000000"/>
                <w:spacing w:val="-4"/>
                <w:kern w:val="0"/>
                <w:sz w:val="24"/>
                <w:szCs w:val="24"/>
                <w:highlight w:val="none"/>
                <w:lang w:val="en-US" w:eastAsia="zh-CN" w:bidi="ar-SA"/>
              </w:rPr>
              <w:t>中</w:t>
            </w:r>
            <w:r>
              <w:rPr>
                <w:rFonts w:hint="eastAsia" w:ascii="宋体" w:hAnsi="宋体" w:eastAsia="宋体" w:cs="宋体"/>
                <w:b/>
                <w:bCs/>
                <w:snapToGrid w:val="0"/>
                <w:color w:val="000000"/>
                <w:spacing w:val="-4"/>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467F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18</w:t>
            </w:r>
          </w:p>
        </w:tc>
        <w:tc>
          <w:tcPr>
            <w:tcW w:w="2065" w:type="dxa"/>
            <w:vAlign w:val="center"/>
          </w:tcPr>
          <w:p w14:paraId="0F7F003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2F5BFF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19</w:t>
            </w:r>
          </w:p>
        </w:tc>
        <w:tc>
          <w:tcPr>
            <w:tcW w:w="2065" w:type="dxa"/>
            <w:vAlign w:val="center"/>
          </w:tcPr>
          <w:p w14:paraId="415B8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1.单位负责人为同一人或者存在直接控股、管理关系的不 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2.供应商如在“信用中国 ”网（www.creditchina.gov.cn）、 中国政府采购网（www.ccgp.gov.cn）和“ </w:t>
            </w:r>
            <w:r>
              <w:rPr>
                <w:rFonts w:hint="eastAsia" w:ascii="宋体" w:hAnsi="宋体" w:eastAsia="宋体" w:cs="宋体"/>
                <w:snapToGrid w:val="0"/>
                <w:color w:val="000000"/>
                <w:spacing w:val="-4"/>
                <w:kern w:val="0"/>
                <w:sz w:val="24"/>
                <w:szCs w:val="24"/>
                <w:highlight w:val="none"/>
                <w:lang w:val="en-US" w:eastAsia="zh-CN" w:bidi="ar-SA"/>
              </w:rPr>
              <w:t>国家企业信用信息公示系统</w:t>
            </w:r>
            <w:r>
              <w:rPr>
                <w:rFonts w:hint="eastAsia" w:ascii="宋体" w:hAnsi="宋体" w:eastAsia="宋体" w:cs="宋体"/>
                <w:snapToGrid w:val="0"/>
                <w:color w:val="000000"/>
                <w:spacing w:val="-4"/>
                <w:kern w:val="0"/>
                <w:sz w:val="24"/>
                <w:szCs w:val="24"/>
                <w:highlight w:val="none"/>
                <w:lang w:val="en-US" w:eastAsia="en-US" w:bidi="ar-SA"/>
              </w:rPr>
              <w:t xml:space="preserve"> ”被列入失信被执行人、重大税收违法案件</w:t>
            </w:r>
            <w:r>
              <w:rPr>
                <w:rFonts w:hint="eastAsia" w:ascii="宋体" w:hAnsi="宋体" w:eastAsia="宋体" w:cs="宋体"/>
                <w:snapToGrid w:val="0"/>
                <w:color w:val="000000"/>
                <w:spacing w:val="-4"/>
                <w:kern w:val="0"/>
                <w:sz w:val="24"/>
                <w:szCs w:val="24"/>
                <w:highlight w:val="none"/>
                <w:lang w:val="en-US" w:eastAsia="zh-CN" w:bidi="ar-SA"/>
              </w:rPr>
              <w:t>当事人</w:t>
            </w:r>
            <w:r>
              <w:rPr>
                <w:rFonts w:hint="eastAsia" w:ascii="宋体" w:hAnsi="宋体" w:eastAsia="宋体" w:cs="宋体"/>
                <w:snapToGrid w:val="0"/>
                <w:color w:val="000000"/>
                <w:spacing w:val="-4"/>
                <w:kern w:val="0"/>
                <w:sz w:val="24"/>
                <w:szCs w:val="24"/>
                <w:highlight w:val="none"/>
                <w:lang w:val="en-US" w:eastAsia="en-US" w:bidi="ar-SA"/>
              </w:rPr>
              <w:t>名单以及政府采购严重违法失信行为记录名单的，拒 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6C4BEE2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20</w:t>
            </w:r>
          </w:p>
        </w:tc>
        <w:tc>
          <w:tcPr>
            <w:tcW w:w="2065" w:type="dxa"/>
            <w:vAlign w:val="top"/>
          </w:tcPr>
          <w:p w14:paraId="3C0C1A6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自签订合同生效之日起一年；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top"/>
          </w:tcPr>
          <w:p w14:paraId="75DC37F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21</w:t>
            </w:r>
          </w:p>
        </w:tc>
        <w:tc>
          <w:tcPr>
            <w:tcW w:w="2065" w:type="dxa"/>
            <w:vAlign w:val="top"/>
          </w:tcPr>
          <w:p w14:paraId="02BD988C">
            <w:pPr>
              <w:keepNext w:val="0"/>
              <w:keepLines w:val="0"/>
              <w:pageBreakBefore w:val="0"/>
              <w:widowControl w:val="0"/>
              <w:wordWrap/>
              <w:overflowPunct/>
              <w:topLinePunct w:val="0"/>
              <w:bidi w:val="0"/>
              <w:spacing w:line="400" w:lineRule="exact"/>
              <w:jc w:val="center"/>
              <w:rPr>
                <w:rFonts w:ascii="宋体" w:hAnsi="宋体" w:eastAsia="宋体" w:cs="宋体"/>
                <w:sz w:val="24"/>
                <w:szCs w:val="24"/>
                <w:highlight w:val="none"/>
              </w:rPr>
            </w:pPr>
            <w:r>
              <w:rPr>
                <w:rFonts w:ascii="宋体" w:hAnsi="宋体" w:eastAsia="宋体" w:cs="宋体"/>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甲方指定地点；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E53628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22</w:t>
            </w:r>
          </w:p>
        </w:tc>
        <w:tc>
          <w:tcPr>
            <w:tcW w:w="2065" w:type="dxa"/>
            <w:vAlign w:val="top"/>
          </w:tcPr>
          <w:p w14:paraId="0943C0C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233" w:type="dxa"/>
            <w:vAlign w:val="center"/>
          </w:tcPr>
          <w:p w14:paraId="1A6EE1CD">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23</w:t>
            </w:r>
          </w:p>
        </w:tc>
        <w:tc>
          <w:tcPr>
            <w:tcW w:w="2065" w:type="dxa"/>
            <w:vAlign w:val="center"/>
          </w:tcPr>
          <w:p w14:paraId="7BDFB2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投标文件制作</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3、投标文件应加盖供应商（法定名称）电子签章，不得使用供应商专用章（如经济合同章、投标专用章等）或下属单位印章代替。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4、供应商应使用本企业CA数字证书对投标文件进行加密。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5、招标文件有修改的，供应商须重新下载修改后的招标文件（修改后的招标文件在更正公告中下载），根据修改后的招标文件制作、撤回修改，并上传投标文件。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6、具体操作指南：详见政采云平台“服务中心-帮助文档-项目采购-操作流程-电子招投标-政府采购项目电子交易管理操作指南-供应商”。</w:t>
            </w:r>
          </w:p>
          <w:p w14:paraId="7442CD9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1.份数：正本一份，副本三份，电子档四份（U盘）；</w:t>
            </w:r>
          </w:p>
          <w:p w14:paraId="606DD2D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4.提供时间：项目中标结果公告发布后，</w:t>
            </w:r>
            <w:r>
              <w:rPr>
                <w:rFonts w:hint="eastAsia" w:asciiTheme="minorEastAsia" w:hAnsiTheme="minorEastAsia" w:cstheme="minorEastAsia"/>
                <w:color w:val="auto"/>
                <w:sz w:val="24"/>
                <w:highlight w:val="none"/>
                <w:lang w:val="en-US" w:eastAsia="zh-CN"/>
              </w:rPr>
              <w:t>前三名中标候选人</w:t>
            </w:r>
            <w:r>
              <w:rPr>
                <w:rFonts w:hint="eastAsia" w:asciiTheme="minorEastAsia" w:hAnsiTheme="minorEastAsia" w:eastAsiaTheme="minorEastAsia" w:cstheme="minorEastAsia"/>
                <w:color w:val="auto"/>
                <w:sz w:val="24"/>
                <w:highlight w:val="none"/>
                <w:lang w:val="en-US" w:eastAsia="zh-CN"/>
              </w:rPr>
              <w:t>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41B3CC1">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24</w:t>
            </w:r>
          </w:p>
        </w:tc>
        <w:tc>
          <w:tcPr>
            <w:tcW w:w="2065" w:type="dxa"/>
            <w:vAlign w:val="center"/>
          </w:tcPr>
          <w:p w14:paraId="4B9310F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8A2715E">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25</w:t>
            </w:r>
          </w:p>
        </w:tc>
        <w:tc>
          <w:tcPr>
            <w:tcW w:w="2065" w:type="dxa"/>
            <w:vAlign w:val="center"/>
          </w:tcPr>
          <w:p w14:paraId="3DC82C0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202</w:t>
            </w:r>
            <w:r>
              <w:rPr>
                <w:rFonts w:hint="eastAsia" w:ascii="宋体" w:hAnsi="宋体" w:eastAsia="宋体" w:cs="宋体"/>
                <w:snapToGrid w:val="0"/>
                <w:color w:val="000000"/>
                <w:spacing w:val="-4"/>
                <w:kern w:val="0"/>
                <w:sz w:val="24"/>
                <w:szCs w:val="24"/>
                <w:highlight w:val="none"/>
                <w:lang w:val="en-US" w:eastAsia="zh-CN" w:bidi="ar-SA"/>
              </w:rPr>
              <w:t>6</w:t>
            </w:r>
            <w:r>
              <w:rPr>
                <w:rFonts w:hint="eastAsia" w:ascii="宋体" w:hAnsi="宋体" w:eastAsia="宋体" w:cs="宋体"/>
                <w:snapToGrid w:val="0"/>
                <w:color w:val="000000"/>
                <w:spacing w:val="-4"/>
                <w:kern w:val="0"/>
                <w:sz w:val="24"/>
                <w:szCs w:val="24"/>
                <w:highlight w:val="none"/>
                <w:lang w:val="en-US" w:eastAsia="en-US" w:bidi="ar-SA"/>
              </w:rPr>
              <w:t>年</w:t>
            </w:r>
            <w:r>
              <w:rPr>
                <w:rFonts w:hint="eastAsia" w:ascii="宋体" w:hAnsi="宋体" w:eastAsia="宋体" w:cs="宋体"/>
                <w:snapToGrid w:val="0"/>
                <w:color w:val="000000"/>
                <w:spacing w:val="-4"/>
                <w:kern w:val="0"/>
                <w:sz w:val="24"/>
                <w:szCs w:val="24"/>
                <w:highlight w:val="none"/>
                <w:lang w:val="en-US" w:eastAsia="zh-CN" w:bidi="ar-SA"/>
              </w:rPr>
              <w:t>6</w:t>
            </w:r>
            <w:r>
              <w:rPr>
                <w:rFonts w:hint="eastAsia" w:ascii="宋体" w:hAnsi="宋体" w:eastAsia="宋体" w:cs="宋体"/>
                <w:snapToGrid w:val="0"/>
                <w:color w:val="000000"/>
                <w:spacing w:val="-4"/>
                <w:kern w:val="0"/>
                <w:sz w:val="24"/>
                <w:szCs w:val="24"/>
                <w:highlight w:val="none"/>
                <w:lang w:val="en-US" w:eastAsia="en-US" w:bidi="ar-SA"/>
              </w:rPr>
              <w:t>月</w:t>
            </w:r>
            <w:r>
              <w:rPr>
                <w:rFonts w:hint="eastAsia" w:ascii="宋体" w:hAnsi="宋体" w:eastAsia="宋体" w:cs="宋体"/>
                <w:snapToGrid w:val="0"/>
                <w:color w:val="000000"/>
                <w:spacing w:val="-4"/>
                <w:kern w:val="0"/>
                <w:sz w:val="24"/>
                <w:szCs w:val="24"/>
                <w:highlight w:val="none"/>
                <w:lang w:val="en-US" w:eastAsia="zh-CN" w:bidi="ar-SA"/>
              </w:rPr>
              <w:t>18</w:t>
            </w:r>
            <w:r>
              <w:rPr>
                <w:rFonts w:hint="eastAsia" w:ascii="宋体" w:hAnsi="宋体" w:eastAsia="宋体" w:cs="宋体"/>
                <w:snapToGrid w:val="0"/>
                <w:color w:val="000000"/>
                <w:spacing w:val="-4"/>
                <w:kern w:val="0"/>
                <w:sz w:val="24"/>
                <w:szCs w:val="24"/>
                <w:highlight w:val="none"/>
                <w:lang w:val="en-US" w:eastAsia="en-US" w:bidi="ar-SA"/>
              </w:rPr>
              <w:t>日10:30</w:t>
            </w:r>
            <w:r>
              <w:rPr>
                <w:rFonts w:hint="eastAsia" w:ascii="宋体" w:hAnsi="宋体" w:eastAsia="宋体" w:cs="宋体"/>
                <w:snapToGrid w:val="0"/>
                <w:color w:val="000000"/>
                <w:spacing w:val="-4"/>
                <w:kern w:val="0"/>
                <w:sz w:val="24"/>
                <w:szCs w:val="24"/>
                <w:highlight w:val="none"/>
                <w:lang w:val="en-US" w:eastAsia="zh-CN" w:bidi="ar-SA"/>
              </w:rPr>
              <w:t>（北京时间）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978F7E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26</w:t>
            </w:r>
          </w:p>
        </w:tc>
        <w:tc>
          <w:tcPr>
            <w:tcW w:w="2065" w:type="dxa"/>
            <w:vAlign w:val="center"/>
          </w:tcPr>
          <w:p w14:paraId="1680A5B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递交投标文件的地点</w:t>
            </w:r>
          </w:p>
        </w:tc>
        <w:tc>
          <w:tcPr>
            <w:tcW w:w="6146" w:type="dxa"/>
            <w:vAlign w:val="center"/>
          </w:tcPr>
          <w:p w14:paraId="7650F5D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投标截止时间及地点：投标人应于</w:t>
            </w:r>
            <w:r>
              <w:rPr>
                <w:rFonts w:hint="eastAsia" w:ascii="宋体" w:hAnsi="宋体" w:eastAsia="宋体" w:cs="宋体"/>
                <w:snapToGrid w:val="0"/>
                <w:color w:val="000000"/>
                <w:spacing w:val="-4"/>
                <w:kern w:val="0"/>
                <w:sz w:val="24"/>
                <w:szCs w:val="24"/>
                <w:highlight w:val="none"/>
                <w:lang w:val="en-US" w:eastAsia="zh-CN" w:bidi="ar-SA"/>
              </w:rPr>
              <w:t>2026年6月18日</w:t>
            </w:r>
          </w:p>
          <w:p w14:paraId="0BAE365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10:30（北京时间）前将电子投标文件上传到“政采云 ” 平台。应按照本项目招标文件和政采云平台的要求编制、加密传输投标文件。供应商在使用系统进行投标的过程中遇到涉及平台使用的任何问题，可致电政采云平台技术支持热线咨询，联系方式：95763。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213B5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27</w:t>
            </w:r>
          </w:p>
        </w:tc>
        <w:tc>
          <w:tcPr>
            <w:tcW w:w="2065" w:type="dxa"/>
            <w:vAlign w:val="center"/>
          </w:tcPr>
          <w:p w14:paraId="3BC7AC0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w:t>
            </w:r>
            <w:r>
              <w:rPr>
                <w:rFonts w:hint="eastAsia" w:ascii="宋体" w:hAnsi="宋体" w:eastAsia="宋体" w:cs="宋体"/>
                <w:snapToGrid w:val="0"/>
                <w:color w:val="000000"/>
                <w:spacing w:val="-4"/>
                <w:kern w:val="0"/>
                <w:sz w:val="24"/>
                <w:szCs w:val="24"/>
                <w:highlight w:val="none"/>
                <w:lang w:val="en-US" w:eastAsia="zh-CN" w:bidi="ar-SA"/>
              </w:rPr>
              <w:t>2026年6月18日</w:t>
            </w:r>
            <w:r>
              <w:rPr>
                <w:rFonts w:hint="eastAsia" w:ascii="宋体" w:hAnsi="宋体" w:eastAsia="宋体" w:cs="宋体"/>
                <w:snapToGrid w:val="0"/>
                <w:color w:val="000000"/>
                <w:spacing w:val="-4"/>
                <w:kern w:val="0"/>
                <w:sz w:val="24"/>
                <w:szCs w:val="24"/>
                <w:highlight w:val="none"/>
                <w:lang w:val="en-US" w:eastAsia="en-US" w:bidi="ar-SA"/>
              </w:rPr>
              <w:t xml:space="preserve"> 10:30（北京时间）</w:t>
            </w:r>
          </w:p>
          <w:p w14:paraId="1D6AF5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开标地点：政采云平台（www.zcygov.cn）.</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8A0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28</w:t>
            </w:r>
          </w:p>
        </w:tc>
        <w:tc>
          <w:tcPr>
            <w:tcW w:w="2065" w:type="dxa"/>
            <w:vAlign w:val="center"/>
          </w:tcPr>
          <w:p w14:paraId="79C46E1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采购人依法组建评标小组共 </w:t>
            </w:r>
            <w:r>
              <w:rPr>
                <w:rFonts w:hint="eastAsia" w:ascii="宋体" w:hAnsi="宋体" w:eastAsia="宋体" w:cs="宋体"/>
                <w:snapToGrid w:val="0"/>
                <w:color w:val="000000"/>
                <w:spacing w:val="-4"/>
                <w:kern w:val="0"/>
                <w:sz w:val="24"/>
                <w:szCs w:val="24"/>
                <w:highlight w:val="none"/>
                <w:lang w:val="en-US" w:eastAsia="zh-CN" w:bidi="ar-SA"/>
              </w:rPr>
              <w:t>7</w:t>
            </w:r>
            <w:r>
              <w:rPr>
                <w:rFonts w:hint="eastAsia" w:ascii="宋体" w:hAnsi="宋体" w:eastAsia="宋体" w:cs="宋体"/>
                <w:snapToGrid w:val="0"/>
                <w:color w:val="000000"/>
                <w:spacing w:val="-4"/>
                <w:kern w:val="0"/>
                <w:sz w:val="24"/>
                <w:szCs w:val="24"/>
                <w:highlight w:val="none"/>
                <w:lang w:val="en-US" w:eastAsia="en-US" w:bidi="ar-SA"/>
              </w:rPr>
              <w:t xml:space="preserve"> 人组成，其中采购人代表</w:t>
            </w:r>
          </w:p>
          <w:p w14:paraId="2B3FC80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u w:val="single"/>
                <w:lang w:val="en-US" w:eastAsia="zh-CN" w:bidi="ar-SA"/>
              </w:rPr>
              <w:t>1</w:t>
            </w:r>
            <w:r>
              <w:rPr>
                <w:rFonts w:hint="eastAsia" w:ascii="宋体" w:hAnsi="宋体" w:eastAsia="宋体" w:cs="宋体"/>
                <w:snapToGrid w:val="0"/>
                <w:color w:val="000000"/>
                <w:spacing w:val="-4"/>
                <w:kern w:val="0"/>
                <w:sz w:val="24"/>
                <w:szCs w:val="24"/>
                <w:highlight w:val="none"/>
                <w:u w:val="single"/>
                <w:lang w:val="en-US" w:eastAsia="en-US" w:bidi="ar-SA"/>
              </w:rPr>
              <w:t xml:space="preserve"> 人</w:t>
            </w:r>
            <w:r>
              <w:rPr>
                <w:rFonts w:hint="eastAsia" w:ascii="宋体" w:hAnsi="宋体" w:eastAsia="宋体" w:cs="宋体"/>
                <w:snapToGrid w:val="0"/>
                <w:color w:val="000000"/>
                <w:spacing w:val="-4"/>
                <w:kern w:val="0"/>
                <w:sz w:val="24"/>
                <w:szCs w:val="24"/>
                <w:highlight w:val="none"/>
                <w:lang w:val="en-US" w:eastAsia="en-US" w:bidi="ar-SA"/>
              </w:rPr>
              <w:t xml:space="preserve">和专家评委 </w:t>
            </w:r>
            <w:r>
              <w:rPr>
                <w:rFonts w:hint="eastAsia" w:ascii="宋体" w:hAnsi="宋体" w:eastAsia="宋体" w:cs="宋体"/>
                <w:snapToGrid w:val="0"/>
                <w:color w:val="000000"/>
                <w:spacing w:val="-4"/>
                <w:kern w:val="0"/>
                <w:sz w:val="24"/>
                <w:szCs w:val="24"/>
                <w:highlight w:val="none"/>
                <w:u w:val="single"/>
                <w:lang w:val="en-US" w:eastAsia="zh-CN" w:bidi="ar-SA"/>
              </w:rPr>
              <w:t>6</w:t>
            </w:r>
            <w:r>
              <w:rPr>
                <w:rFonts w:hint="eastAsia" w:ascii="宋体" w:hAnsi="宋体" w:eastAsia="宋体" w:cs="宋体"/>
                <w:snapToGrid w:val="0"/>
                <w:color w:val="000000"/>
                <w:spacing w:val="-4"/>
                <w:kern w:val="0"/>
                <w:sz w:val="24"/>
                <w:szCs w:val="24"/>
                <w:highlight w:val="none"/>
                <w:u w:val="single"/>
                <w:lang w:val="en-US" w:eastAsia="en-US" w:bidi="ar-SA"/>
              </w:rPr>
              <w:t xml:space="preserve"> 人</w:t>
            </w:r>
            <w:r>
              <w:rPr>
                <w:rFonts w:hint="eastAsia" w:ascii="宋体" w:hAnsi="宋体" w:eastAsia="宋体" w:cs="宋体"/>
                <w:snapToGrid w:val="0"/>
                <w:color w:val="000000"/>
                <w:spacing w:val="-4"/>
                <w:kern w:val="0"/>
                <w:sz w:val="24"/>
                <w:szCs w:val="24"/>
                <w:highlight w:val="none"/>
                <w:lang w:val="en-US" w:eastAsia="en-US" w:bidi="ar-SA"/>
              </w:rPr>
              <w:t>。</w:t>
            </w:r>
          </w:p>
          <w:p w14:paraId="15A89B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10A3300">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29</w:t>
            </w:r>
          </w:p>
        </w:tc>
        <w:tc>
          <w:tcPr>
            <w:tcW w:w="2065" w:type="dxa"/>
            <w:vAlign w:val="center"/>
          </w:tcPr>
          <w:p w14:paraId="5B42D54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1859ADF">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5D545AEC">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6892DBC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529B99F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30</w:t>
            </w:r>
          </w:p>
        </w:tc>
        <w:tc>
          <w:tcPr>
            <w:tcW w:w="2065" w:type="dxa"/>
            <w:vAlign w:val="center"/>
          </w:tcPr>
          <w:p w14:paraId="693C82C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履约保证金的金额：</w:t>
            </w:r>
            <w:r>
              <w:rPr>
                <w:rFonts w:hint="eastAsia" w:ascii="宋体" w:hAnsi="宋体" w:eastAsia="宋体" w:cs="宋体"/>
                <w:snapToGrid w:val="0"/>
                <w:color w:val="000000"/>
                <w:spacing w:val="-4"/>
                <w:kern w:val="0"/>
                <w:sz w:val="24"/>
                <w:szCs w:val="24"/>
                <w:highlight w:val="none"/>
                <w:lang w:val="en-US" w:eastAsia="zh-CN" w:bidi="ar-SA"/>
              </w:rPr>
              <w:t>合同价</w:t>
            </w:r>
            <w:r>
              <w:rPr>
                <w:rFonts w:hint="eastAsia" w:ascii="宋体" w:hAnsi="宋体" w:eastAsia="宋体" w:cs="宋体"/>
                <w:snapToGrid w:val="0"/>
                <w:color w:val="000000"/>
                <w:spacing w:val="-4"/>
                <w:kern w:val="0"/>
                <w:sz w:val="24"/>
                <w:szCs w:val="24"/>
                <w:highlight w:val="none"/>
                <w:lang w:val="en-US" w:eastAsia="en-US" w:bidi="ar-SA"/>
              </w:rPr>
              <w:t xml:space="preserve">的 </w:t>
            </w:r>
            <w:r>
              <w:rPr>
                <w:rFonts w:hint="eastAsia" w:ascii="宋体" w:hAnsi="宋体" w:eastAsia="宋体" w:cs="宋体"/>
                <w:snapToGrid w:val="0"/>
                <w:color w:val="000000"/>
                <w:spacing w:val="-4"/>
                <w:kern w:val="0"/>
                <w:sz w:val="24"/>
                <w:szCs w:val="24"/>
                <w:highlight w:val="none"/>
                <w:u w:val="single"/>
                <w:lang w:val="en-US" w:eastAsia="en-US" w:bidi="ar-SA"/>
              </w:rPr>
              <w:t>10%</w:t>
            </w:r>
            <w:r>
              <w:rPr>
                <w:rFonts w:hint="eastAsia" w:ascii="宋体" w:hAnsi="宋体" w:eastAsia="宋体" w:cs="宋体"/>
                <w:snapToGrid w:val="0"/>
                <w:color w:val="000000"/>
                <w:spacing w:val="-4"/>
                <w:kern w:val="0"/>
                <w:sz w:val="24"/>
                <w:szCs w:val="24"/>
                <w:highlight w:val="none"/>
                <w:lang w:val="en-US" w:eastAsia="en-US" w:bidi="ar-SA"/>
              </w:rPr>
              <w:t>，确定中标单位后具体金额与采购人商议后确定；未按要求足额缴纳履约保证金的视为放弃第一中标候选人资格。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7016A27A">
            <w:pPr>
              <w:keepNext w:val="0"/>
              <w:keepLines w:val="0"/>
              <w:pageBreakBefore w:val="0"/>
              <w:widowControl w:val="0"/>
              <w:wordWrap/>
              <w:overflowPunct/>
              <w:topLinePunct w:val="0"/>
              <w:bidi w:val="0"/>
              <w:spacing w:line="400" w:lineRule="exact"/>
              <w:jc w:val="center"/>
              <w:rPr>
                <w:rFonts w:hint="default" w:ascii="宋体" w:hAnsi="宋体" w:eastAsia="宋体" w:cs="宋体"/>
                <w:b/>
                <w:bCs/>
                <w:snapToGrid w:val="0"/>
                <w:color w:val="000000"/>
                <w:spacing w:val="-4"/>
                <w:kern w:val="0"/>
                <w:sz w:val="24"/>
                <w:szCs w:val="24"/>
                <w:highlight w:val="none"/>
                <w:lang w:val="en-US" w:eastAsia="zh-CN" w:bidi="ar-SA"/>
              </w:rPr>
            </w:pPr>
          </w:p>
        </w:tc>
        <w:tc>
          <w:tcPr>
            <w:tcW w:w="8211"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宋体" w:hAnsi="宋体" w:eastAsia="宋体" w:cs="宋体"/>
                <w:b/>
                <w:bCs/>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31</w:t>
            </w:r>
          </w:p>
        </w:tc>
        <w:tc>
          <w:tcPr>
            <w:tcW w:w="2065"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32</w:t>
            </w:r>
          </w:p>
        </w:tc>
        <w:tc>
          <w:tcPr>
            <w:tcW w:w="2065"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采购人或采购代理机构将在资格审查环节查询供应商的信用记录。供应商存在不良信用记录的，其投标按无效投标处理。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不良信用记录指：供应商在中国政府采购网被列入政 府采购严重违法失信行为记录名单，及在“信用中国 ”网 站被列入失信被执行人、重大税收违法案件当事人名单。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33</w:t>
            </w:r>
          </w:p>
        </w:tc>
        <w:tc>
          <w:tcPr>
            <w:tcW w:w="2065"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34</w:t>
            </w:r>
          </w:p>
        </w:tc>
        <w:tc>
          <w:tcPr>
            <w:tcW w:w="2065"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零售业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35</w:t>
            </w:r>
          </w:p>
        </w:tc>
        <w:tc>
          <w:tcPr>
            <w:tcW w:w="2065"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36</w:t>
            </w:r>
          </w:p>
        </w:tc>
        <w:tc>
          <w:tcPr>
            <w:tcW w:w="2065"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33"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37</w:t>
            </w:r>
          </w:p>
        </w:tc>
        <w:tc>
          <w:tcPr>
            <w:tcW w:w="2065"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5548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3E80513">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38</w:t>
            </w:r>
          </w:p>
        </w:tc>
        <w:tc>
          <w:tcPr>
            <w:tcW w:w="2065" w:type="dxa"/>
            <w:shd w:val="clear" w:color="auto" w:fill="auto"/>
            <w:vAlign w:val="center"/>
          </w:tcPr>
          <w:p w14:paraId="068FAB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公证费</w:t>
            </w:r>
          </w:p>
        </w:tc>
        <w:tc>
          <w:tcPr>
            <w:tcW w:w="6146" w:type="dxa"/>
            <w:shd w:val="clear" w:color="auto" w:fill="auto"/>
            <w:vAlign w:val="center"/>
          </w:tcPr>
          <w:p w14:paraId="07B0203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本项目邀请公证，由招标代理机构</w:t>
            </w:r>
            <w:r>
              <w:rPr>
                <w:rFonts w:hint="eastAsia" w:ascii="宋体" w:hAnsi="宋体" w:eastAsia="宋体" w:cs="宋体"/>
                <w:sz w:val="24"/>
                <w:szCs w:val="24"/>
                <w:highlight w:val="none"/>
                <w:lang w:val="en-US" w:eastAsia="zh-CN"/>
              </w:rPr>
              <w:t>按标段</w:t>
            </w:r>
            <w:r>
              <w:rPr>
                <w:rFonts w:ascii="宋体" w:hAnsi="宋体" w:eastAsia="宋体" w:cs="宋体"/>
                <w:sz w:val="24"/>
                <w:szCs w:val="24"/>
                <w:highlight w:val="none"/>
              </w:rPr>
              <w:t>向公证</w:t>
            </w:r>
            <w:r>
              <w:rPr>
                <w:rFonts w:hint="eastAsia" w:ascii="宋体" w:hAnsi="宋体" w:eastAsia="宋体" w:cs="宋体"/>
                <w:sz w:val="24"/>
                <w:szCs w:val="24"/>
                <w:highlight w:val="none"/>
                <w:lang w:val="en-US" w:eastAsia="zh-CN"/>
              </w:rPr>
              <w:t>处缴纳</w:t>
            </w:r>
            <w:r>
              <w:rPr>
                <w:rFonts w:ascii="宋体" w:hAnsi="宋体" w:eastAsia="宋体" w:cs="宋体"/>
                <w:sz w:val="24"/>
                <w:szCs w:val="24"/>
                <w:highlight w:val="none"/>
              </w:rPr>
              <w:t>公证费。</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39</w:t>
            </w:r>
          </w:p>
        </w:tc>
        <w:tc>
          <w:tcPr>
            <w:tcW w:w="2065"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是否授权评审小组确定中标成交供应商</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是，每包确定一个成交供应商，成交结果在相关媒介发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 否，推荐的成交候选供应商个数：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yellow"/>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yellow"/>
                <w:lang w:val="en-US" w:eastAsia="zh-CN" w:bidi="ar-SA"/>
              </w:rPr>
            </w:pPr>
          </w:p>
          <w:p w14:paraId="5A7DEC11">
            <w:pPr>
              <w:keepNext w:val="0"/>
              <w:keepLines w:val="0"/>
              <w:pageBreakBefore w:val="0"/>
              <w:widowControl w:val="0"/>
              <w:wordWrap/>
              <w:overflowPunct/>
              <w:topLinePunct w:val="0"/>
              <w:bidi w:val="0"/>
              <w:spacing w:line="400" w:lineRule="exact"/>
              <w:ind w:firstLine="464" w:firstLineChars="200"/>
              <w:jc w:val="both"/>
              <w:rPr>
                <w:rFonts w:hint="default" w:ascii="宋体" w:hAnsi="宋体" w:eastAsia="宋体" w:cs="宋体"/>
                <w:snapToGrid w:val="0"/>
                <w:color w:val="000000"/>
                <w:spacing w:val="-4"/>
                <w:kern w:val="0"/>
                <w:sz w:val="24"/>
                <w:szCs w:val="24"/>
                <w:highlight w:val="yellow"/>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40</w:t>
            </w:r>
          </w:p>
        </w:tc>
        <w:tc>
          <w:tcPr>
            <w:tcW w:w="2065" w:type="dxa"/>
            <w:shd w:val="clear" w:color="auto" w:fill="auto"/>
            <w:vAlign w:val="center"/>
          </w:tcPr>
          <w:p w14:paraId="28B1549B">
            <w:pPr>
              <w:keepNext w:val="0"/>
              <w:keepLines w:val="0"/>
              <w:pageBreakBefore w:val="0"/>
              <w:widowControl w:val="0"/>
              <w:wordWrap/>
              <w:overflowPunct/>
              <w:topLinePunct w:val="0"/>
              <w:bidi w:val="0"/>
              <w:spacing w:line="400" w:lineRule="exact"/>
              <w:jc w:val="both"/>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多标段投标原则</w:t>
            </w:r>
          </w:p>
        </w:tc>
        <w:tc>
          <w:tcPr>
            <w:tcW w:w="6146" w:type="dxa"/>
            <w:shd w:val="clear" w:color="auto" w:fill="auto"/>
            <w:vAlign w:val="top"/>
          </w:tcPr>
          <w:p w14:paraId="59ECB9BA">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bCs/>
                <w:color w:val="auto"/>
                <w:sz w:val="24"/>
                <w:szCs w:val="22"/>
                <w:highlight w:val="none"/>
                <w:lang w:val="en-US" w:eastAsia="zh-CN"/>
              </w:rPr>
              <w:t>供应商本批次项目</w:t>
            </w:r>
            <w:r>
              <w:rPr>
                <w:rFonts w:hint="eastAsia" w:ascii="宋体" w:hAnsi="宋体" w:eastAsia="宋体" w:cs="宋体"/>
                <w:bCs/>
                <w:color w:val="auto"/>
                <w:sz w:val="24"/>
                <w:szCs w:val="22"/>
                <w:highlight w:val="none"/>
              </w:rPr>
              <w:t>兼投不兼中，允许同一家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同时参与多个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的投标，但在最终的评标结果中，该</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只能在一个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中标。若一家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同时在两个及以上的</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获得第一中标候选人资格，</w:t>
            </w:r>
            <w:r>
              <w:rPr>
                <w:rFonts w:hint="eastAsia" w:ascii="宋体" w:hAnsi="宋体" w:eastAsia="宋体" w:cs="宋体"/>
                <w:bCs/>
                <w:color w:val="auto"/>
                <w:sz w:val="24"/>
                <w:szCs w:val="22"/>
                <w:highlight w:val="none"/>
                <w:lang w:val="en-US" w:eastAsia="zh-CN"/>
              </w:rPr>
              <w:t>以开标日期为顺序，</w:t>
            </w:r>
            <w:r>
              <w:rPr>
                <w:rFonts w:hint="eastAsia" w:ascii="宋体" w:hAnsi="宋体" w:eastAsia="宋体" w:cs="宋体"/>
                <w:bCs/>
                <w:color w:val="auto"/>
                <w:sz w:val="24"/>
                <w:szCs w:val="22"/>
                <w:highlight w:val="none"/>
              </w:rPr>
              <w:t>中标候选人自动顺延至第二中标候选人以此类推。</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41</w:t>
            </w:r>
          </w:p>
        </w:tc>
        <w:tc>
          <w:tcPr>
            <w:tcW w:w="2065"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1．采购人与中标、成交供应商应当在中标、成交通知书发出之日起三十日内，按照采购文件确定的事项签订政府采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中标、成交通知书对采购人和中标、成交供应商均具有法 律效力。中标、成交通知书发出后，采购人改变中标、成 交结果的，或者中标、成交供应商放弃中标、成交项目的，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w:t>
            </w:r>
            <w:r>
              <w:rPr>
                <w:rFonts w:hint="eastAsia" w:ascii="宋体" w:hAnsi="宋体" w:eastAsia="宋体" w:cs="宋体"/>
                <w:snapToGrid w:val="0"/>
                <w:color w:val="000000"/>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如不按时签订视为拒绝和采购人签订合同，如属于无正当 理由的，按《中华人民共和国政府采购法》相关条款进行 行政处罚，给采购人造成损失的，将依法追究其责任。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2．中标或者成交供应商拒绝与采购人签订合同的，采购人 可以按照评审报告推荐的中标或者成交候选人名单排序， 确定下一候选人为中标或者成交供应商，也可以重新开展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中华人民共和国政府采购法实施条例</w:t>
            </w:r>
            <w:r>
              <w:rPr>
                <w:rFonts w:hint="eastAsia" w:ascii="宋体" w:hAnsi="宋体" w:eastAsia="宋体" w:cs="宋体"/>
                <w:snapToGrid w:val="0"/>
                <w:color w:val="000000"/>
                <w:spacing w:val="-4"/>
                <w:kern w:val="0"/>
                <w:sz w:val="24"/>
                <w:szCs w:val="24"/>
                <w:highlight w:val="none"/>
                <w:lang w:val="en-US" w:eastAsia="en-US" w:bidi="ar-SA"/>
              </w:rPr>
              <w:t>》第 49 条</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42</w:t>
            </w:r>
          </w:p>
        </w:tc>
        <w:tc>
          <w:tcPr>
            <w:tcW w:w="2065" w:type="dxa"/>
            <w:shd w:val="clear" w:color="auto" w:fill="auto"/>
            <w:vAlign w:val="center"/>
          </w:tcPr>
          <w:p w14:paraId="44D48120">
            <w:pPr>
              <w:pStyle w:val="5"/>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p>
          <w:p w14:paraId="113A2F99">
            <w:pPr>
              <w:pStyle w:val="5"/>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1.投标（响应）报价低于全部通过符合性审查供应商投标（响应）报价平均值50%的，即投标（响应）报价&lt;全部通过符合性审查供应商投标（响应）报价平均值×50%；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2.投标（响应）报价低于通过符合性审查的次低报价供应商投标（响应）报价50%的，即投标（响应）报价&lt;通过符合性审查的次低报价供应商投标（响应）报价×50%；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4.评审委员会基于专业判断，认为供应商报价过低，有可能影响产品质量或者不能诚信履约的其他情形。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采购人可以结合具体项目实际情况，提高上述第1项至第3项中启动异常低价投标（响应）审查的数值标准，但是最高不得超过65%。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相关法律法规对供应商报价有规定的，从其规定。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5"/>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43</w:t>
            </w:r>
          </w:p>
        </w:tc>
        <w:tc>
          <w:tcPr>
            <w:tcW w:w="2065"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1、本项目为不见面开标项目。提交电子投标文件的供应商不足3家的，不得开标。</w:t>
            </w:r>
          </w:p>
          <w:p w14:paraId="761A0A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开标准备工作。供应商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提示：供应商未按时登录不见面开标系统，错过开标解密时间的，由供应商自行承担后果。</w:t>
            </w:r>
          </w:p>
          <w:p w14:paraId="64DD64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3、响应文件开启时间后30分钟内供应商可以登录“政采云”平台，用“项目采购-开标评标”功能进行解密响应文件。若供应商在规定时间内未按时解密的，视为响应文件撤回。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4、供应商报价CA签字确认：报价文件开启后将开启签字时段，供应商须在规定时间内用CA证书对报价进行签字确认。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6、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7、供应商电脑终端等硬件设备和软件系统配置：供应商电脑终端等硬件设备和软件系统配置应符合电子投标（含不见面开标大厅）供应商电脑终端配置要求并运行正常，供应商承担因未尽职责产生的不利后果。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10、不见面开标过程中，各方主体均应遵守互联网有关规定，不得发表与交易活动无关的言论。</w:t>
            </w:r>
          </w:p>
        </w:tc>
      </w:tr>
    </w:tbl>
    <w:p w14:paraId="64A9C17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注：本表内容与招标文件其它内容表述不一致的，应当以本表内容为准</w:t>
      </w:r>
      <w:r>
        <w:rPr>
          <w:rFonts w:hint="eastAsia" w:ascii="宋体" w:hAnsi="宋体" w:eastAsia="宋体" w:cs="宋体"/>
          <w:snapToGrid w:val="0"/>
          <w:color w:val="000000"/>
          <w:spacing w:val="-4"/>
          <w:kern w:val="0"/>
          <w:sz w:val="24"/>
          <w:szCs w:val="24"/>
          <w:highlight w:val="none"/>
          <w:lang w:val="en-US" w:eastAsia="zh-CN" w:bidi="ar-SA"/>
        </w:rPr>
        <w:t>。</w:t>
      </w:r>
    </w:p>
    <w:p w14:paraId="44E45CB1">
      <w:pPr>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left"/>
        <w:textAlignment w:val="baseline"/>
        <w:outlineLvl w:val="1"/>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本招标文件仅适用于供应商须知前附表所述项目。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1"/>
          <w:kern w:val="0"/>
          <w:sz w:val="24"/>
          <w:szCs w:val="24"/>
          <w:highlight w:val="none"/>
          <w:lang w:eastAsia="en-US"/>
        </w:rPr>
        <w:t>1.2</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采购人名称：见供应商须知前附表。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1.2.2</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采购代理机构名称：见供应商须知前附表。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1.2.3</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监管部门名称：见供应商须知前附表。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1.3</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合格的供应商</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1.3.1</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满足本招标文件第一章“招标公告</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”规定的资格要求，并满足本文</w:t>
      </w:r>
      <w:r>
        <w:rPr>
          <w:rFonts w:ascii="宋体" w:hAnsi="宋体" w:eastAsia="宋体" w:cs="宋体"/>
          <w:snapToGrid w:val="0"/>
          <w:color w:val="000000"/>
          <w:spacing w:val="-3"/>
          <w:kern w:val="0"/>
          <w:sz w:val="24"/>
          <w:szCs w:val="24"/>
          <w:highlight w:val="none"/>
          <w:lang w:eastAsia="en-US"/>
        </w:rPr>
        <w:t>件实质性</w:t>
      </w:r>
      <w:r>
        <w:rPr>
          <w:rFonts w:ascii="宋体" w:hAnsi="宋体" w:eastAsia="宋体" w:cs="宋体"/>
          <w:snapToGrid w:val="0"/>
          <w:color w:val="000000"/>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1.3.2</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供应商或供应商之间如果存在下列情形之一的，不得同时参加同一包（标段）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（1）单位负责人为同一个人或者存在直接控股、管理关系的不同供应商；</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 xml:space="preserve">（2）为本次采购项目提供整体设计、规范编制或者项目管理、监理、检测等服务 </w:t>
      </w:r>
      <w:r>
        <w:rPr>
          <w:rFonts w:ascii="宋体" w:hAnsi="宋体" w:eastAsia="宋体" w:cs="宋体"/>
          <w:snapToGrid w:val="0"/>
          <w:color w:val="000000"/>
          <w:spacing w:val="-6"/>
          <w:kern w:val="0"/>
          <w:sz w:val="24"/>
          <w:szCs w:val="24"/>
          <w:highlight w:val="none"/>
          <w:lang w:eastAsia="en-US"/>
        </w:rPr>
        <w:t>的供应商；</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1.3.4</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供应商不得存在下列情形之一：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（4）在近三年内发生重大产品质量问题（以相关行业主管部门的行政处罚决定或</w:t>
      </w:r>
      <w:r>
        <w:rPr>
          <w:rFonts w:ascii="宋体" w:hAnsi="宋体" w:eastAsia="宋体" w:cs="宋体"/>
          <w:snapToGrid w:val="0"/>
          <w:color w:val="000000"/>
          <w:spacing w:val="-2"/>
          <w:kern w:val="0"/>
          <w:sz w:val="24"/>
          <w:szCs w:val="24"/>
          <w:highlight w:val="none"/>
          <w:lang w:eastAsia="en-US"/>
        </w:rPr>
        <w:t>司法机关出具的有关法律文书为准</w:t>
      </w:r>
      <w:r>
        <w:rPr>
          <w:rFonts w:ascii="宋体" w:hAnsi="宋体" w:eastAsia="宋体" w:cs="宋体"/>
          <w:snapToGrid w:val="0"/>
          <w:color w:val="000000"/>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4"/>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（5）在“信用中国</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”网站（www.creditchina.gov.cn）中列入失信被执行人名单；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（6）在“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中国政府采购网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”网站（http://www.ccgp.gov.cn/）中列入政府采</w:t>
      </w:r>
      <w:r>
        <w:rPr>
          <w:rFonts w:ascii="宋体" w:hAnsi="宋体" w:eastAsia="宋体" w:cs="宋体"/>
          <w:snapToGrid w:val="0"/>
          <w:color w:val="000000"/>
          <w:spacing w:val="-4"/>
          <w:kern w:val="0"/>
          <w:sz w:val="24"/>
          <w:szCs w:val="24"/>
          <w:highlight w:val="none"/>
          <w:lang w:eastAsia="en-US"/>
        </w:rPr>
        <w:t>购严</w:t>
      </w:r>
      <w:r>
        <w:rPr>
          <w:rFonts w:ascii="宋体" w:hAnsi="宋体" w:eastAsia="宋体" w:cs="宋体"/>
          <w:snapToGrid w:val="0"/>
          <w:color w:val="000000"/>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（7）</w:t>
      </w:r>
      <w:r>
        <w:rPr>
          <w:rFonts w:hint="eastAsia" w:ascii="宋体" w:hAnsi="宋体" w:eastAsia="宋体" w:cs="宋体"/>
          <w:snapToGrid w:val="0"/>
          <w:color w:val="000000"/>
          <w:spacing w:val="-1"/>
          <w:kern w:val="0"/>
          <w:sz w:val="24"/>
          <w:szCs w:val="24"/>
          <w:highlight w:val="none"/>
          <w:lang w:val="en-US" w:eastAsia="en-US"/>
        </w:rPr>
        <w:t>被行政管理机关</w:t>
      </w:r>
      <w:r>
        <w:rPr>
          <w:rFonts w:hint="eastAsia" w:ascii="宋体" w:hAnsi="宋体" w:eastAsia="宋体" w:cs="宋体"/>
          <w:snapToGrid w:val="0"/>
          <w:color w:val="000000"/>
          <w:spacing w:val="-1"/>
          <w:kern w:val="0"/>
          <w:sz w:val="24"/>
          <w:szCs w:val="24"/>
          <w:highlight w:val="none"/>
          <w:lang w:val="en-US" w:eastAsia="zh-CN"/>
        </w:rPr>
        <w:t>在国家企业信用信息公示系统</w:t>
      </w:r>
      <w:r>
        <w:rPr>
          <w:rFonts w:hint="eastAsia" w:ascii="宋体" w:hAnsi="宋体" w:eastAsia="宋体" w:cs="宋体"/>
          <w:snapToGrid w:val="0"/>
          <w:color w:val="000000"/>
          <w:spacing w:val="-1"/>
          <w:kern w:val="0"/>
          <w:sz w:val="24"/>
          <w:szCs w:val="24"/>
          <w:highlight w:val="none"/>
          <w:lang w:val="en-US" w:eastAsia="en-US"/>
        </w:rPr>
        <w:t>中列入严重违法失信企业名单</w:t>
      </w:r>
      <w:r>
        <w:rPr>
          <w:rFonts w:hint="eastAsia" w:ascii="宋体" w:hAnsi="宋体" w:eastAsia="宋体" w:cs="宋体"/>
          <w:snapToGrid w:val="0"/>
          <w:color w:val="000000"/>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8</w:t>
      </w:r>
      <w:r>
        <w:rPr>
          <w:rFonts w:ascii="宋体" w:hAnsi="宋体" w:eastAsia="宋体" w:cs="宋体"/>
          <w:snapToGrid w:val="0"/>
          <w:color w:val="000000"/>
          <w:spacing w:val="-1"/>
          <w:kern w:val="0"/>
          <w:sz w:val="24"/>
          <w:szCs w:val="24"/>
          <w:highlight w:val="none"/>
          <w:lang w:eastAsia="en-US"/>
        </w:rPr>
        <w:t>）在近三年内供应商或其法定代表人（单位负责人）有行贿犯罪行为的</w:t>
      </w:r>
      <w:r>
        <w:rPr>
          <w:rFonts w:hint="eastAsia" w:ascii="宋体" w:hAnsi="宋体" w:eastAsia="宋体" w:cs="宋体"/>
          <w:snapToGrid w:val="0"/>
          <w:color w:val="000000"/>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zh-CN"/>
        </w:rPr>
        <w:t>9</w:t>
      </w:r>
      <w:r>
        <w:rPr>
          <w:rFonts w:ascii="宋体" w:hAnsi="宋体" w:eastAsia="宋体" w:cs="宋体"/>
          <w:snapToGrid w:val="0"/>
          <w:color w:val="000000"/>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1.3.5</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供应商应当按照采购代理机构规定的方式获得本项目招标文件。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1.4</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供应商准备和参加投标活动发生的费用自理，无论采购结果如何，投标供应商都须</w:t>
      </w:r>
      <w:r>
        <w:rPr>
          <w:rFonts w:ascii="宋体" w:hAnsi="宋体" w:eastAsia="宋体" w:cs="宋体"/>
          <w:snapToGrid w:val="0"/>
          <w:color w:val="000000"/>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0"/>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参与招标投标活动的各方应对招标文件和投标文件中的商业和技术等秘密保密，否</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ascii="宋体" w:hAnsi="宋体" w:eastAsia="宋体" w:cs="宋体"/>
          <w:b/>
          <w:bCs/>
          <w:spacing w:val="-8"/>
          <w:sz w:val="24"/>
          <w:szCs w:val="24"/>
          <w:highlight w:val="none"/>
        </w:rPr>
      </w:pPr>
      <w:r>
        <w:rPr>
          <w:rFonts w:ascii="宋体" w:hAnsi="宋体" w:eastAsia="宋体" w:cs="宋体"/>
          <w:b/>
          <w:bCs/>
          <w:spacing w:val="-8"/>
          <w:sz w:val="24"/>
          <w:szCs w:val="24"/>
          <w:highlight w:val="none"/>
        </w:rPr>
        <w:t>1.6</w:t>
      </w:r>
      <w:r>
        <w:rPr>
          <w:rFonts w:ascii="宋体" w:hAnsi="宋体" w:eastAsia="宋体" w:cs="宋体"/>
          <w:spacing w:val="-48"/>
          <w:sz w:val="24"/>
          <w:szCs w:val="24"/>
          <w:highlight w:val="none"/>
        </w:rPr>
        <w:t xml:space="preserve"> </w:t>
      </w:r>
      <w:r>
        <w:rPr>
          <w:rFonts w:ascii="宋体" w:hAnsi="宋体" w:eastAsia="宋体" w:cs="宋体"/>
          <w:b/>
          <w:bCs/>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招标文件和投标文件使用的语言文字为中文。专用术语使用外文的，应附有中文注</w:t>
      </w:r>
      <w:r>
        <w:rPr>
          <w:rFonts w:ascii="宋体" w:hAnsi="宋体" w:eastAsia="宋体" w:cs="宋体"/>
          <w:snapToGrid w:val="0"/>
          <w:color w:val="000000"/>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1.7</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1.8</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1.8.1 供应商须知前附表规定组织现场考察的，采购人按</w:t>
      </w:r>
      <w:r>
        <w:rPr>
          <w:rFonts w:ascii="宋体" w:hAnsi="宋体" w:eastAsia="宋体" w:cs="宋体"/>
          <w:snapToGrid w:val="0"/>
          <w:color w:val="000000"/>
          <w:spacing w:val="-3"/>
          <w:kern w:val="0"/>
          <w:sz w:val="24"/>
          <w:szCs w:val="24"/>
          <w:highlight w:val="none"/>
          <w:lang w:eastAsia="en-US"/>
        </w:rPr>
        <w:t>供应商须知前附表规定的</w:t>
      </w:r>
      <w:r>
        <w:rPr>
          <w:rFonts w:ascii="宋体" w:hAnsi="宋体" w:eastAsia="宋体" w:cs="宋体"/>
          <w:snapToGrid w:val="0"/>
          <w:color w:val="000000"/>
          <w:spacing w:val="-2"/>
          <w:kern w:val="0"/>
          <w:sz w:val="24"/>
          <w:szCs w:val="24"/>
          <w:highlight w:val="none"/>
          <w:lang w:eastAsia="en-US"/>
        </w:rPr>
        <w:t>时间、地点组织供应商考察项目现场。部分供应商未按时参加现场考察的，不影响现场考察的正常进行。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1.8.2 供应商可自愿参加现场考察活动。除采购人的原因</w:t>
      </w:r>
      <w:r>
        <w:rPr>
          <w:rFonts w:ascii="宋体" w:hAnsi="宋体" w:eastAsia="宋体" w:cs="宋体"/>
          <w:snapToGrid w:val="0"/>
          <w:color w:val="000000"/>
          <w:spacing w:val="-3"/>
          <w:kern w:val="0"/>
          <w:sz w:val="24"/>
          <w:szCs w:val="24"/>
          <w:highlight w:val="none"/>
          <w:lang w:eastAsia="en-US"/>
        </w:rPr>
        <w:t>外，采购人对供应商参加</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1.8.3 采购人在现场考察中介绍的工程场地和相关的周边</w:t>
      </w:r>
      <w:r>
        <w:rPr>
          <w:rFonts w:ascii="宋体" w:hAnsi="宋体" w:eastAsia="宋体" w:cs="宋体"/>
          <w:snapToGrid w:val="0"/>
          <w:color w:val="000000"/>
          <w:spacing w:val="-3"/>
          <w:kern w:val="0"/>
          <w:sz w:val="24"/>
          <w:szCs w:val="24"/>
          <w:highlight w:val="none"/>
          <w:lang w:eastAsia="en-US"/>
        </w:rPr>
        <w:t>环境情况，仅作为供应商</w:t>
      </w:r>
      <w:r>
        <w:rPr>
          <w:rFonts w:ascii="宋体" w:hAnsi="宋体" w:eastAsia="宋体" w:cs="宋体"/>
          <w:snapToGrid w:val="0"/>
          <w:color w:val="000000"/>
          <w:spacing w:val="-1"/>
          <w:kern w:val="0"/>
          <w:sz w:val="24"/>
          <w:szCs w:val="24"/>
          <w:highlight w:val="none"/>
          <w:lang w:eastAsia="en-US"/>
        </w:rPr>
        <w:t>编制投标文件的参考，采购人不对供应商据此作出的判断和决策负责。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1.9</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供应商须知前附表规定召开答疑会的，采购人按供应商须知前附表规定的时间和地</w:t>
      </w:r>
      <w:r>
        <w:rPr>
          <w:rFonts w:ascii="宋体" w:hAnsi="宋体" w:eastAsia="宋体" w:cs="宋体"/>
          <w:snapToGrid w:val="0"/>
          <w:color w:val="000000"/>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1.10</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供应商拟对主要材料和关键部件进行外购的，应符合第三章“采购需求</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”中提出的</w:t>
      </w:r>
      <w:r>
        <w:rPr>
          <w:rFonts w:ascii="宋体" w:hAnsi="宋体" w:eastAsia="宋体" w:cs="宋体"/>
          <w:snapToGrid w:val="0"/>
          <w:color w:val="000000"/>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投标文件应当对招标文件的实质性要求和条件作出满足性或更有利</w:t>
      </w:r>
      <w:r>
        <w:rPr>
          <w:rFonts w:ascii="宋体" w:hAnsi="宋体" w:eastAsia="宋体" w:cs="宋体"/>
          <w:snapToGrid w:val="0"/>
          <w:color w:val="000000"/>
          <w:spacing w:val="-2"/>
          <w:kern w:val="0"/>
          <w:sz w:val="24"/>
          <w:szCs w:val="24"/>
          <w:highlight w:val="none"/>
          <w:lang w:eastAsia="en-US"/>
        </w:rPr>
        <w:t>于采购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人的响应，否则，投标人的投标将被否决。实质性要求和条件均以</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1.11.2 投标人应根据招标文件的要求提供投标货物技术性能指标或质量标准的详</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细描述、技术支持资料及相关服务计划等内</w:t>
      </w:r>
      <w:r>
        <w:rPr>
          <w:rFonts w:ascii="宋体" w:hAnsi="宋体" w:eastAsia="宋体" w:cs="宋体"/>
          <w:snapToGrid w:val="0"/>
          <w:color w:val="000000"/>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1.11.3 投标文件中应针对实质性要求和条件中列明的技术要求提供技术支持资</w:t>
      </w:r>
      <w:r>
        <w:rPr>
          <w:rFonts w:ascii="宋体" w:hAnsi="宋体" w:eastAsia="宋体" w:cs="宋体"/>
          <w:snapToGrid w:val="0"/>
          <w:color w:val="000000"/>
          <w:spacing w:val="-2"/>
          <w:kern w:val="0"/>
          <w:sz w:val="24"/>
          <w:szCs w:val="24"/>
          <w:highlight w:val="none"/>
          <w:lang w:eastAsia="en-US"/>
        </w:rPr>
        <w:t>料。技术支持资料以制造商公开发布的印刷资料，或检测机构出具的检测报告或供应商</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须知前附表允许的其他形式为准，不符合前述要求的，视为无技术支持资料，其投标将</w:t>
      </w:r>
      <w:r>
        <w:rPr>
          <w:rFonts w:ascii="宋体" w:hAnsi="宋体" w:eastAsia="宋体" w:cs="宋体"/>
          <w:snapToGrid w:val="0"/>
          <w:color w:val="000000"/>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1.11.4 供应商须知前附表规定了可以偏差的范围和最高偏差项数的，偏差应当符</w:t>
      </w:r>
      <w:r>
        <w:rPr>
          <w:rFonts w:ascii="宋体" w:hAnsi="宋体" w:eastAsia="宋体" w:cs="宋体"/>
          <w:snapToGrid w:val="0"/>
          <w:color w:val="000000"/>
          <w:spacing w:val="-2"/>
          <w:kern w:val="0"/>
          <w:sz w:val="24"/>
          <w:szCs w:val="24"/>
          <w:highlight w:val="none"/>
          <w:lang w:eastAsia="en-US"/>
        </w:rPr>
        <w:t>合供应商须知前附表规定的偏差范围和最高项数，超出偏差范围和最高偏差项数的投标</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ascii="宋体" w:hAnsi="宋体" w:eastAsia="宋体" w:cs="宋体"/>
          <w:snapToGrid w:val="0"/>
          <w:color w:val="000000"/>
          <w:kern w:val="0"/>
          <w:sz w:val="28"/>
          <w:szCs w:val="28"/>
          <w:highlight w:val="none"/>
          <w:lang w:eastAsia="en-US"/>
        </w:rPr>
      </w:pPr>
      <w:bookmarkStart w:id="24" w:name="bookmark8"/>
      <w:bookmarkEnd w:id="24"/>
      <w:bookmarkStart w:id="25" w:name="bookmark7"/>
      <w:bookmarkEnd w:id="25"/>
      <w:r>
        <w:rPr>
          <w:rFonts w:ascii="宋体" w:hAnsi="宋体" w:eastAsia="宋体" w:cs="宋体"/>
          <w:b/>
          <w:bCs/>
          <w:snapToGrid w:val="0"/>
          <w:color w:val="000000"/>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供应商须知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2.1.4</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w:t>
      </w:r>
      <w:r>
        <w:rPr>
          <w:rFonts w:hint="eastAsia" w:ascii="宋体" w:hAnsi="宋体" w:eastAsia="宋体" w:cs="宋体"/>
          <w:snapToGrid w:val="0"/>
          <w:color w:val="000000"/>
          <w:spacing w:val="-3"/>
          <w:kern w:val="0"/>
          <w:sz w:val="24"/>
          <w:szCs w:val="24"/>
          <w:highlight w:val="none"/>
          <w:lang w:val="en-US" w:eastAsia="zh-CN"/>
        </w:rPr>
        <w:t>标</w:t>
      </w:r>
      <w:r>
        <w:rPr>
          <w:rFonts w:ascii="宋体" w:hAnsi="宋体" w:eastAsia="宋体" w:cs="宋体"/>
          <w:snapToGrid w:val="0"/>
          <w:color w:val="000000"/>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2.1.5</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采购</w:t>
      </w:r>
      <w:r>
        <w:rPr>
          <w:rFonts w:ascii="宋体" w:hAnsi="宋体" w:eastAsia="宋体" w:cs="宋体"/>
          <w:snapToGrid w:val="0"/>
          <w:color w:val="000000"/>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2.1.6</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根据本章规定，对招标文件所做的澄清、修改，构</w:t>
      </w:r>
      <w:r>
        <w:rPr>
          <w:rFonts w:ascii="宋体" w:hAnsi="宋体" w:eastAsia="宋体" w:cs="宋体"/>
          <w:snapToGrid w:val="0"/>
          <w:color w:val="000000"/>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2.2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 供应商应仔细阅读和检查招标文件的全部内容。如发现缺页或附件不全，应及时向采购人提出，以便补齐。如有疑问，应按供应商须知前附表规定的时间和形式将</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提出的问题送达采购人，要求采购人对招标文件予以澄清。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2.2.2 采购人可根据供应商的要求或主动对招标文件进行澄清或修改。澄清或修改以供应商须知前附表规定的形式发给所有购买招标文件的供应商，但不指明澄清或修改</w:t>
      </w:r>
      <w:r>
        <w:rPr>
          <w:rFonts w:ascii="宋体" w:hAnsi="宋体" w:eastAsia="宋体" w:cs="宋体"/>
          <w:snapToGrid w:val="0"/>
          <w:color w:val="000000"/>
          <w:spacing w:val="-1"/>
          <w:kern w:val="0"/>
          <w:sz w:val="24"/>
          <w:szCs w:val="24"/>
          <w:highlight w:val="none"/>
          <w:lang w:eastAsia="en-US"/>
        </w:rPr>
        <w:t>问题的来源。澄清或修改发出的时间距本招标文件规定的投标截止时间不足</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 xml:space="preserve">15 </w:t>
      </w:r>
      <w:r>
        <w:rPr>
          <w:rFonts w:ascii="宋体" w:hAnsi="宋体" w:eastAsia="宋体" w:cs="宋体"/>
          <w:snapToGrid w:val="0"/>
          <w:color w:val="000000"/>
          <w:spacing w:val="-2"/>
          <w:kern w:val="0"/>
          <w:sz w:val="24"/>
          <w:szCs w:val="24"/>
          <w:highlight w:val="none"/>
          <w:lang w:eastAsia="en-US"/>
        </w:rPr>
        <w:t>日的，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2.2.3 供应商在收到澄清或修改后，应按供应商须知前附表规定的时间和形式通知</w:t>
      </w:r>
      <w:r>
        <w:rPr>
          <w:rFonts w:ascii="宋体" w:hAnsi="宋体" w:eastAsia="宋体" w:cs="宋体"/>
          <w:snapToGrid w:val="0"/>
          <w:color w:val="000000"/>
          <w:kern w:val="0"/>
          <w:sz w:val="24"/>
          <w:szCs w:val="24"/>
          <w:highlight w:val="none"/>
          <w:lang w:eastAsia="en-US"/>
        </w:rPr>
        <w:t>采购人，确认已收到该澄清或修改。如未按时答复，将视为确</w:t>
      </w:r>
      <w:r>
        <w:rPr>
          <w:rFonts w:ascii="宋体" w:hAnsi="宋体" w:eastAsia="宋体" w:cs="宋体"/>
          <w:snapToGrid w:val="0"/>
          <w:color w:val="000000"/>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2.2.4 除非采购人认为确有必要答复，否则，采购人有权拒绝回复供应商在本章第2.2.1</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26" w:name="bookmark9"/>
      <w:bookmarkEnd w:id="26"/>
      <w:bookmarkStart w:id="27" w:name="bookmark10"/>
      <w:bookmarkEnd w:id="27"/>
      <w:r>
        <w:rPr>
          <w:rFonts w:ascii="宋体" w:hAnsi="宋体" w:eastAsia="宋体" w:cs="宋体"/>
          <w:b/>
          <w:bCs/>
          <w:snapToGrid w:val="0"/>
          <w:color w:val="000000"/>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投标文件的组成</w:t>
      </w:r>
    </w:p>
    <w:p w14:paraId="5438B54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auto"/>
          <w:spacing w:val="-3"/>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3.1.1</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投标文件应包括下列内容：</w:t>
      </w:r>
    </w:p>
    <w:p w14:paraId="0303A0A3">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（1）、投标函</w:t>
      </w:r>
    </w:p>
    <w:p w14:paraId="212D08FF">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2</w:t>
      </w:r>
      <w:r>
        <w:rPr>
          <w:rFonts w:ascii="宋体" w:hAnsi="宋体" w:eastAsia="宋体" w:cs="宋体"/>
          <w:snapToGrid w:val="0"/>
          <w:color w:val="auto"/>
          <w:spacing w:val="-2"/>
          <w:kern w:val="0"/>
          <w:sz w:val="24"/>
          <w:szCs w:val="24"/>
          <w:highlight w:val="none"/>
          <w:lang w:val="en-US" w:eastAsia="en-US" w:bidi="ar-SA"/>
        </w:rPr>
        <w:t>）、法定代表人（单位负责人）身份证明（适用于无委托代理人的情况）</w:t>
      </w:r>
    </w:p>
    <w:p w14:paraId="7E4A8FE8">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3</w:t>
      </w:r>
      <w:r>
        <w:rPr>
          <w:rFonts w:ascii="宋体" w:hAnsi="宋体" w:eastAsia="宋体" w:cs="宋体"/>
          <w:snapToGrid w:val="0"/>
          <w:color w:val="auto"/>
          <w:spacing w:val="-2"/>
          <w:kern w:val="0"/>
          <w:sz w:val="24"/>
          <w:szCs w:val="24"/>
          <w:highlight w:val="none"/>
          <w:lang w:val="en-US" w:eastAsia="en-US" w:bidi="ar-SA"/>
        </w:rPr>
        <w:t>）、授权委托书（适用于有委托代理人的情况）</w:t>
      </w:r>
    </w:p>
    <w:p w14:paraId="3E1674DF">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4</w:t>
      </w:r>
      <w:r>
        <w:rPr>
          <w:rFonts w:ascii="宋体" w:hAnsi="宋体" w:eastAsia="宋体" w:cs="宋体"/>
          <w:snapToGrid w:val="0"/>
          <w:color w:val="auto"/>
          <w:spacing w:val="-2"/>
          <w:kern w:val="0"/>
          <w:sz w:val="24"/>
          <w:szCs w:val="24"/>
          <w:highlight w:val="none"/>
          <w:lang w:val="en-US" w:eastAsia="en-US" w:bidi="ar-SA"/>
        </w:rPr>
        <w:t>）、联合体协议书（本项目不适用）</w:t>
      </w:r>
    </w:p>
    <w:p w14:paraId="60F02F2B">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5</w:t>
      </w:r>
      <w:r>
        <w:rPr>
          <w:rFonts w:ascii="宋体" w:hAnsi="宋体" w:eastAsia="宋体" w:cs="宋体"/>
          <w:snapToGrid w:val="0"/>
          <w:color w:val="auto"/>
          <w:spacing w:val="-2"/>
          <w:kern w:val="0"/>
          <w:sz w:val="24"/>
          <w:szCs w:val="24"/>
          <w:highlight w:val="none"/>
          <w:lang w:val="en-US" w:eastAsia="en-US" w:bidi="ar-SA"/>
        </w:rPr>
        <w:t>）、投标保证金缴存凭证</w:t>
      </w:r>
    </w:p>
    <w:p w14:paraId="77925DA6">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6</w:t>
      </w:r>
      <w:r>
        <w:rPr>
          <w:rFonts w:ascii="宋体" w:hAnsi="宋体" w:eastAsia="宋体" w:cs="宋体"/>
          <w:snapToGrid w:val="0"/>
          <w:color w:val="auto"/>
          <w:spacing w:val="-2"/>
          <w:kern w:val="0"/>
          <w:sz w:val="24"/>
          <w:szCs w:val="24"/>
          <w:highlight w:val="none"/>
          <w:lang w:val="en-US" w:eastAsia="en-US" w:bidi="ar-SA"/>
        </w:rPr>
        <w:t>）、商务和技术偏差表</w:t>
      </w:r>
    </w:p>
    <w:p w14:paraId="679BF877">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7</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开标一览</w:t>
      </w:r>
      <w:r>
        <w:rPr>
          <w:rFonts w:ascii="宋体" w:hAnsi="宋体" w:eastAsia="宋体" w:cs="宋体"/>
          <w:snapToGrid w:val="0"/>
          <w:color w:val="auto"/>
          <w:spacing w:val="-2"/>
          <w:kern w:val="0"/>
          <w:sz w:val="24"/>
          <w:szCs w:val="24"/>
          <w:highlight w:val="none"/>
          <w:lang w:val="en-US" w:eastAsia="en-US" w:bidi="ar-SA"/>
        </w:rPr>
        <w:t>表</w:t>
      </w:r>
    </w:p>
    <w:p w14:paraId="4121304D">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8</w:t>
      </w:r>
      <w:r>
        <w:rPr>
          <w:rFonts w:ascii="宋体" w:hAnsi="宋体" w:eastAsia="宋体" w:cs="宋体"/>
          <w:snapToGrid w:val="0"/>
          <w:color w:val="auto"/>
          <w:spacing w:val="-2"/>
          <w:kern w:val="0"/>
          <w:sz w:val="24"/>
          <w:szCs w:val="24"/>
          <w:highlight w:val="none"/>
          <w:lang w:val="en-US" w:eastAsia="en-US" w:bidi="ar-SA"/>
        </w:rPr>
        <w:t>）、资格审查资料</w:t>
      </w:r>
    </w:p>
    <w:p w14:paraId="5F1171A4">
      <w:pPr>
        <w:pStyle w:val="14"/>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9</w:t>
      </w:r>
      <w:r>
        <w:rPr>
          <w:rFonts w:ascii="宋体" w:hAnsi="宋体" w:eastAsia="宋体" w:cs="宋体"/>
          <w:snapToGrid w:val="0"/>
          <w:color w:val="auto"/>
          <w:spacing w:val="-2"/>
          <w:kern w:val="0"/>
          <w:sz w:val="24"/>
          <w:szCs w:val="24"/>
          <w:highlight w:val="none"/>
          <w:lang w:val="en-US" w:eastAsia="en-US" w:bidi="ar-SA"/>
        </w:rPr>
        <w:t>）、同类项目业绩</w:t>
      </w:r>
    </w:p>
    <w:p w14:paraId="168C70F0">
      <w:pPr>
        <w:pStyle w:val="14"/>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0</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技术文件部分</w:t>
      </w:r>
    </w:p>
    <w:p w14:paraId="34224993">
      <w:pPr>
        <w:pStyle w:val="14"/>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1</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中小企业声明函</w:t>
      </w:r>
    </w:p>
    <w:p w14:paraId="16851972">
      <w:pPr>
        <w:pStyle w:val="14"/>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2</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企业诚信投标承诺书</w:t>
      </w:r>
    </w:p>
    <w:p w14:paraId="2A77571D">
      <w:pPr>
        <w:pStyle w:val="14"/>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3</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招标文件内容确认书</w:t>
      </w:r>
    </w:p>
    <w:p w14:paraId="73F3B7E9">
      <w:pPr>
        <w:pStyle w:val="14"/>
        <w:rPr>
          <w:color w:val="auto"/>
          <w:lang w:eastAsia="en-US"/>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4</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其他补充资料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供应商在评标过程中作出的符合法律法规和招标文件规定的澄清确认，构成投标文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 供应商须知前附表规定不接受联合体投标的，或投标人没有组成联合体的，</w:t>
      </w:r>
      <w:r>
        <w:rPr>
          <w:rFonts w:ascii="宋体" w:hAnsi="宋体" w:eastAsia="宋体" w:cs="宋体"/>
          <w:snapToGrid w:val="0"/>
          <w:color w:val="000000"/>
          <w:spacing w:val="-3"/>
          <w:kern w:val="0"/>
          <w:sz w:val="24"/>
          <w:szCs w:val="24"/>
          <w:highlight w:val="none"/>
          <w:lang w:eastAsia="en-US"/>
        </w:rPr>
        <w:t>投标文件不包括本章第</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3.1.1（</w:t>
      </w:r>
      <w:r>
        <w:rPr>
          <w:rFonts w:hint="eastAsia" w:ascii="宋体" w:hAnsi="宋体" w:eastAsia="宋体" w:cs="宋体"/>
          <w:snapToGrid w:val="0"/>
          <w:color w:val="000000"/>
          <w:spacing w:val="-3"/>
          <w:kern w:val="0"/>
          <w:sz w:val="24"/>
          <w:szCs w:val="24"/>
          <w:highlight w:val="none"/>
          <w:lang w:val="en-US" w:eastAsia="zh-CN"/>
        </w:rPr>
        <w:t>4</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6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3.1.3 供应商须知前附表未要求提交投标保证金的，投标文件不包括本章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3.1.1</w:t>
      </w:r>
      <w:r>
        <w:rPr>
          <w:rFonts w:ascii="宋体" w:hAnsi="宋体" w:eastAsia="宋体" w:cs="宋体"/>
          <w:snapToGrid w:val="0"/>
          <w:color w:val="000000"/>
          <w:spacing w:val="-6"/>
          <w:kern w:val="0"/>
          <w:sz w:val="24"/>
          <w:szCs w:val="24"/>
          <w:highlight w:val="none"/>
          <w:lang w:eastAsia="en-US"/>
        </w:rPr>
        <w:t>（</w:t>
      </w:r>
      <w:r>
        <w:rPr>
          <w:rFonts w:hint="eastAsia" w:ascii="宋体" w:hAnsi="宋体" w:eastAsia="宋体" w:cs="宋体"/>
          <w:snapToGrid w:val="0"/>
          <w:color w:val="000000"/>
          <w:spacing w:val="-6"/>
          <w:kern w:val="0"/>
          <w:sz w:val="24"/>
          <w:szCs w:val="24"/>
          <w:highlight w:val="none"/>
          <w:lang w:val="en-US" w:eastAsia="zh-CN"/>
        </w:rPr>
        <w:t>5</w:t>
      </w:r>
      <w:r>
        <w:rPr>
          <w:rFonts w:ascii="宋体" w:hAnsi="宋体" w:eastAsia="宋体" w:cs="宋体"/>
          <w:snapToGrid w:val="0"/>
          <w:color w:val="000000"/>
          <w:spacing w:val="-6"/>
          <w:kern w:val="0"/>
          <w:sz w:val="24"/>
          <w:szCs w:val="24"/>
          <w:highlight w:val="none"/>
          <w:lang w:eastAsia="en-US"/>
        </w:rPr>
        <w:t>）</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3.2.1 供应商应按第六章“投标文件格式</w:t>
      </w:r>
      <w:r>
        <w:rPr>
          <w:rFonts w:ascii="宋体" w:hAnsi="宋体" w:eastAsia="宋体" w:cs="宋体"/>
          <w:snapToGrid w:val="0"/>
          <w:color w:val="000000"/>
          <w:spacing w:val="-7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”的要求在投标函中进行报价并填写报价</w:t>
      </w:r>
      <w:r>
        <w:rPr>
          <w:rFonts w:ascii="宋体" w:hAnsi="宋体" w:eastAsia="宋体" w:cs="宋体"/>
          <w:snapToGrid w:val="0"/>
          <w:color w:val="000000"/>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3.2.2 供应商应充分了解该项目的总体情况以及影响投标报价的其他要素。采购人</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在签署采购合同时及合同履行过程中，有权在供应商须知前附表规定的幅度内对采购标</w:t>
      </w:r>
      <w:r>
        <w:rPr>
          <w:rFonts w:ascii="宋体" w:hAnsi="宋体" w:eastAsia="宋体" w:cs="宋体"/>
          <w:snapToGrid w:val="0"/>
          <w:color w:val="000000"/>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3.2.3 采购人设有</w:t>
      </w:r>
      <w:r>
        <w:rPr>
          <w:rFonts w:hint="eastAsia" w:ascii="宋体" w:hAnsi="宋体" w:eastAsia="宋体" w:cs="宋体"/>
          <w:snapToGrid w:val="0"/>
          <w:color w:val="000000"/>
          <w:spacing w:val="-2"/>
          <w:kern w:val="0"/>
          <w:sz w:val="24"/>
          <w:szCs w:val="24"/>
          <w:highlight w:val="none"/>
          <w:lang w:val="en-US" w:eastAsia="zh-CN"/>
        </w:rPr>
        <w:t>招标控制价</w:t>
      </w:r>
      <w:r>
        <w:rPr>
          <w:rFonts w:ascii="宋体" w:hAnsi="宋体" w:eastAsia="宋体" w:cs="宋体"/>
          <w:snapToGrid w:val="0"/>
          <w:color w:val="000000"/>
          <w:spacing w:val="-2"/>
          <w:kern w:val="0"/>
          <w:sz w:val="24"/>
          <w:szCs w:val="24"/>
          <w:highlight w:val="none"/>
          <w:lang w:eastAsia="en-US"/>
        </w:rPr>
        <w:t>的，投标人的投标报价不得低于招标文件设置</w:t>
      </w:r>
      <w:r>
        <w:rPr>
          <w:rFonts w:hint="eastAsia" w:ascii="宋体" w:hAnsi="宋体" w:eastAsia="宋体" w:cs="宋体"/>
          <w:snapToGrid w:val="0"/>
          <w:color w:val="000000"/>
          <w:spacing w:val="-2"/>
          <w:kern w:val="0"/>
          <w:sz w:val="24"/>
          <w:szCs w:val="24"/>
          <w:highlight w:val="none"/>
          <w:lang w:val="en-US" w:eastAsia="zh-CN"/>
        </w:rPr>
        <w:t>的</w:t>
      </w:r>
      <w:r>
        <w:rPr>
          <w:rFonts w:hint="eastAsia" w:ascii="宋体" w:hAnsi="宋体" w:eastAsia="宋体" w:cs="宋体"/>
          <w:snapToGrid w:val="0"/>
          <w:color w:val="000000"/>
          <w:spacing w:val="-2"/>
          <w:kern w:val="0"/>
          <w:sz w:val="24"/>
          <w:szCs w:val="24"/>
          <w:highlight w:val="none"/>
          <w:lang w:val="en-US" w:eastAsia="en-US"/>
        </w:rPr>
        <w:t>招标控制价</w:t>
      </w:r>
      <w:r>
        <w:rPr>
          <w:rFonts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en-US"/>
        </w:rPr>
        <w:t>招标控制价</w:t>
      </w:r>
      <w:r>
        <w:rPr>
          <w:rFonts w:ascii="宋体" w:hAnsi="宋体" w:eastAsia="宋体" w:cs="宋体"/>
          <w:snapToGrid w:val="0"/>
          <w:color w:val="000000"/>
          <w:spacing w:val="-1"/>
          <w:kern w:val="0"/>
          <w:sz w:val="24"/>
          <w:szCs w:val="24"/>
          <w:highlight w:val="none"/>
          <w:lang w:eastAsia="en-US"/>
        </w:rPr>
        <w:t>在供应商须知前附表中载明</w:t>
      </w:r>
      <w:r>
        <w:rPr>
          <w:rFonts w:hint="eastAsia" w:ascii="宋体" w:hAnsi="宋体" w:eastAsia="宋体" w:cs="宋体"/>
          <w:snapToGrid w:val="0"/>
          <w:color w:val="000000"/>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3.2.4 投标报价的其他要求见供应商须知前附表。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3.3.1</w:t>
      </w:r>
      <w:r>
        <w:rPr>
          <w:rFonts w:ascii="宋体" w:hAnsi="宋体" w:eastAsia="宋体" w:cs="宋体"/>
          <w:snapToGrid w:val="0"/>
          <w:color w:val="000000"/>
          <w:spacing w:val="-2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除供应商须知前附表另有规定外，投标有效期为</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60日历天，从招标文件规定</w:t>
      </w:r>
      <w:r>
        <w:rPr>
          <w:rFonts w:ascii="宋体" w:hAnsi="宋体" w:eastAsia="宋体" w:cs="宋体"/>
          <w:snapToGrid w:val="0"/>
          <w:color w:val="000000"/>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在投标有效期内，供应商撤销投标文件的，应承担招标文件和法律规定的责</w:t>
      </w:r>
      <w:r>
        <w:rPr>
          <w:rFonts w:ascii="宋体" w:hAnsi="宋体" w:eastAsia="宋体" w:cs="宋体"/>
          <w:snapToGrid w:val="0"/>
          <w:color w:val="000000"/>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出现特殊情况需要延长投标有效期的，采购人以书面形式</w:t>
      </w:r>
      <w:r>
        <w:rPr>
          <w:rFonts w:ascii="宋体" w:hAnsi="宋体" w:eastAsia="宋体" w:cs="宋体"/>
          <w:snapToGrid w:val="0"/>
          <w:color w:val="000000"/>
          <w:spacing w:val="-2"/>
          <w:kern w:val="0"/>
          <w:sz w:val="24"/>
          <w:szCs w:val="24"/>
          <w:highlight w:val="none"/>
          <w:lang w:eastAsia="en-US"/>
        </w:rPr>
        <w:t>或网站披露等其中一种方式通知所有供应商延长投标有效期，供应商应予以书面答复。同意延长的，应相应延长其投标保证金的有效期，但不得要求或被允许修改其投标文件；供应商拒绝延长的，其投标无效。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hint="eastAsia" w:ascii="宋体" w:hAnsi="宋体" w:eastAsia="宋体" w:cs="宋体"/>
          <w:snapToGrid w:val="0"/>
          <w:color w:val="000000"/>
          <w:kern w:val="0"/>
          <w:sz w:val="24"/>
          <w:szCs w:val="24"/>
          <w:highlight w:val="none"/>
          <w:lang w:val="en-US" w:eastAsia="zh-CN"/>
        </w:rPr>
      </w:pPr>
      <w:r>
        <w:rPr>
          <w:rFonts w:ascii="宋体" w:hAnsi="宋体" w:eastAsia="宋体" w:cs="宋体"/>
          <w:b/>
          <w:bCs/>
          <w:snapToGrid w:val="0"/>
          <w:color w:val="000000"/>
          <w:spacing w:val="-5"/>
          <w:kern w:val="0"/>
          <w:sz w:val="24"/>
          <w:szCs w:val="24"/>
          <w:highlight w:val="none"/>
          <w:lang w:eastAsia="en-US"/>
        </w:rPr>
        <w:t>3.4</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投标保证金（</w:t>
      </w:r>
      <w:r>
        <w:rPr>
          <w:rFonts w:hint="eastAsia" w:ascii="宋体" w:hAnsi="宋体" w:eastAsia="宋体" w:cs="宋体"/>
          <w:b/>
          <w:bCs/>
          <w:snapToGrid w:val="0"/>
          <w:color w:val="000000"/>
          <w:spacing w:val="-5"/>
          <w:kern w:val="0"/>
          <w:sz w:val="24"/>
          <w:szCs w:val="24"/>
          <w:highlight w:val="none"/>
          <w:lang w:val="en-US" w:eastAsia="zh-CN"/>
        </w:rPr>
        <w:t>本项目不适用</w:t>
      </w:r>
      <w:r>
        <w:rPr>
          <w:rFonts w:ascii="宋体" w:hAnsi="宋体" w:eastAsia="宋体" w:cs="宋体"/>
          <w:b/>
          <w:bCs/>
          <w:snapToGrid w:val="0"/>
          <w:color w:val="000000"/>
          <w:spacing w:val="-5"/>
          <w:kern w:val="0"/>
          <w:sz w:val="24"/>
          <w:szCs w:val="24"/>
          <w:highlight w:val="none"/>
          <w:lang w:eastAsia="en-US"/>
        </w:rPr>
        <w:t>）</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3.4.1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供应商在递交投标文件的同时，应按供应商须知前附表规定的金额、形式和</w:t>
      </w:r>
      <w:r>
        <w:rPr>
          <w:rFonts w:ascii="宋体" w:hAnsi="宋体" w:eastAsia="宋体" w:cs="宋体"/>
          <w:snapToGrid w:val="0"/>
          <w:color w:val="000000"/>
          <w:spacing w:val="-3"/>
          <w:kern w:val="0"/>
          <w:sz w:val="24"/>
          <w:szCs w:val="24"/>
          <w:highlight w:val="none"/>
          <w:lang w:eastAsia="en-US"/>
        </w:rPr>
        <w:t>第六章“投标文件格式</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”规定的投标保证金格式递交投标保证金，并作为其投标文件的</w:t>
      </w:r>
      <w:r>
        <w:rPr>
          <w:rFonts w:ascii="宋体" w:hAnsi="宋体" w:eastAsia="宋体" w:cs="宋体"/>
          <w:snapToGrid w:val="0"/>
          <w:color w:val="000000"/>
          <w:spacing w:val="-2"/>
          <w:kern w:val="0"/>
          <w:sz w:val="24"/>
          <w:szCs w:val="24"/>
          <w:highlight w:val="none"/>
          <w:lang w:eastAsia="en-US"/>
        </w:rPr>
        <w:t>组成部分。联合体投标的，其投标保证金可以由牵头人递交，并应符合规定。供应商不</w:t>
      </w:r>
      <w:r>
        <w:rPr>
          <w:rFonts w:ascii="宋体" w:hAnsi="宋体" w:eastAsia="宋体" w:cs="宋体"/>
          <w:snapToGrid w:val="0"/>
          <w:color w:val="000000"/>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3.4.2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采用银行保函、担保机构担保函、保险机构保险单形式提交</w:t>
      </w:r>
      <w:r>
        <w:rPr>
          <w:rFonts w:ascii="宋体" w:hAnsi="宋体" w:eastAsia="宋体" w:cs="宋体"/>
          <w:snapToGrid w:val="0"/>
          <w:color w:val="000000"/>
          <w:spacing w:val="-3"/>
          <w:kern w:val="0"/>
          <w:sz w:val="24"/>
          <w:szCs w:val="24"/>
          <w:highlight w:val="none"/>
          <w:lang w:eastAsia="en-US"/>
        </w:rPr>
        <w:t>的投标保证金，</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经供应商同意后可不再退还。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3.4.3</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（2）中标人在收到中标通知书后，无正当理由不与采购人订立合同，在签订合同</w:t>
      </w:r>
      <w:r>
        <w:rPr>
          <w:rFonts w:ascii="宋体" w:hAnsi="宋体" w:eastAsia="宋体" w:cs="宋体"/>
          <w:snapToGrid w:val="0"/>
          <w:color w:val="000000"/>
          <w:spacing w:val="-1"/>
          <w:kern w:val="0"/>
          <w:sz w:val="24"/>
          <w:szCs w:val="24"/>
          <w:highlight w:val="none"/>
          <w:lang w:eastAsia="en-US"/>
        </w:rPr>
        <w:t>时向采购人提出附加条件，或者不按照招标文件要求提交履约保证金；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（4）采取不正当手段诋毁、排挤其他供应商的；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（5）与采购人、其他供应商恶意串通的。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3.5</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供应商应提供供应商须知前附表中规定的资格审查资料，以</w:t>
      </w:r>
      <w:r>
        <w:rPr>
          <w:rFonts w:ascii="宋体" w:hAnsi="宋体" w:eastAsia="宋体" w:cs="宋体"/>
          <w:snapToGrid w:val="0"/>
          <w:color w:val="000000"/>
          <w:spacing w:val="1"/>
          <w:kern w:val="0"/>
          <w:sz w:val="24"/>
          <w:szCs w:val="24"/>
          <w:highlight w:val="none"/>
          <w:lang w:eastAsia="en-US"/>
        </w:rPr>
        <w:t>证明其满足招标文件</w:t>
      </w:r>
      <w:r>
        <w:rPr>
          <w:rFonts w:ascii="宋体" w:hAnsi="宋体" w:eastAsia="宋体" w:cs="宋体"/>
          <w:snapToGrid w:val="0"/>
          <w:color w:val="000000"/>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3.6</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3.6.1 投标文件应当对招标文件中的实质性要求和条件作出响应。招标文件中明确</w:t>
      </w:r>
      <w:r>
        <w:rPr>
          <w:rFonts w:ascii="宋体" w:hAnsi="宋体" w:eastAsia="宋体" w:cs="宋体"/>
          <w:snapToGrid w:val="0"/>
          <w:color w:val="000000"/>
          <w:kern w:val="0"/>
          <w:sz w:val="24"/>
          <w:szCs w:val="24"/>
          <w:highlight w:val="none"/>
          <w:lang w:eastAsia="en-US"/>
        </w:rPr>
        <w:t>为实质性要求和条件的，供应商还应按照招标文件</w:t>
      </w:r>
      <w:r>
        <w:rPr>
          <w:rFonts w:ascii="宋体" w:hAnsi="宋体" w:eastAsia="宋体" w:cs="宋体"/>
          <w:snapToGrid w:val="0"/>
          <w:color w:val="000000"/>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3.6.2 投标文件对招标文件的全部偏差，均应在投标文件的商务和技术偏差表中列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明。投标文件偏差表中未列明的内容，将视为响应招标文件的要求；但如发现投标文件的其他部分与商务和技术偏差表的描述不一致或供应商的响应缺乏支持性文件，则评标委员会有权要求供应商对相关问题进行澄清，并根据澄清结果对供应商的投标文件进行</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3.6.3 除供应商须知前附表规定允许外，投标人不得递交备选投标方案，否则其投</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标将被否决。投标人提供两个或两个以上投标报价，或者在投标文件中提供一个报价，</w:t>
      </w:r>
      <w:r>
        <w:rPr>
          <w:rFonts w:ascii="宋体" w:hAnsi="宋体" w:eastAsia="宋体" w:cs="宋体"/>
          <w:snapToGrid w:val="0"/>
          <w:color w:val="000000"/>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★3.7</w:t>
      </w:r>
      <w:r>
        <w:rPr>
          <w:rFonts w:ascii="宋体" w:hAnsi="宋体" w:eastAsia="宋体" w:cs="宋体"/>
          <w:snapToGrid w:val="0"/>
          <w:color w:val="000000"/>
          <w:spacing w:val="-43"/>
          <w:kern w:val="0"/>
          <w:sz w:val="24"/>
          <w:szCs w:val="24"/>
          <w:highlight w:val="none"/>
          <w:lang w:eastAsia="en-US"/>
        </w:rPr>
        <w:t xml:space="preserve"> </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lang w:val="en-US" w:eastAsia="zh-CN"/>
        </w:rPr>
        <w:t>文件制作</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3.7.1、供应商应先安装“政采云电子投标客户端</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”，并按照本采购文件和“政府</w:t>
      </w:r>
      <w:r>
        <w:rPr>
          <w:rFonts w:ascii="宋体" w:hAnsi="宋体" w:eastAsia="宋体" w:cs="宋体"/>
          <w:snapToGrid w:val="0"/>
          <w:color w:val="000000"/>
          <w:spacing w:val="-2"/>
          <w:kern w:val="0"/>
          <w:sz w:val="24"/>
          <w:szCs w:val="24"/>
          <w:highlight w:val="none"/>
          <w:lang w:eastAsia="en-US"/>
        </w:rPr>
        <w:t>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”的要求，通过“政采云电子投标客户端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”编制并加密投标响应文</w:t>
      </w:r>
      <w:r>
        <w:rPr>
          <w:rFonts w:ascii="宋体" w:hAnsi="宋体" w:eastAsia="宋体" w:cs="宋体"/>
          <w:snapToGrid w:val="0"/>
          <w:color w:val="000000"/>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3.7.3、投标响应文件的形式：</w:t>
      </w:r>
      <w:r>
        <w:rPr>
          <w:rFonts w:ascii="MS Gothic" w:hAnsi="MS Gothic" w:eastAsia="MS Gothic" w:cs="MS Gothic"/>
          <w:snapToGrid w:val="0"/>
          <w:color w:val="000000"/>
          <w:spacing w:val="-4"/>
          <w:kern w:val="0"/>
          <w:sz w:val="24"/>
          <w:szCs w:val="24"/>
          <w:highlight w:val="none"/>
          <w:lang w:eastAsia="en-US"/>
        </w:rPr>
        <w:t>☑</w:t>
      </w:r>
      <w:r>
        <w:rPr>
          <w:rFonts w:ascii="MS Gothic" w:hAnsi="MS Gothic" w:eastAsia="MS Gothic" w:cs="MS Gothic"/>
          <w:snapToGrid w:val="0"/>
          <w:color w:val="000000"/>
          <w:spacing w:val="4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电子投标响应文件【包括“</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w:t>
      </w:r>
      <w:r>
        <w:rPr>
          <w:rFonts w:ascii="宋体" w:hAnsi="宋体" w:eastAsia="宋体" w:cs="宋体"/>
          <w:snapToGrid w:val="0"/>
          <w:color w:val="000000"/>
          <w:spacing w:val="-5"/>
          <w:kern w:val="0"/>
          <w:sz w:val="24"/>
          <w:szCs w:val="24"/>
          <w:highlight w:val="none"/>
          <w:lang w:eastAsia="en-US"/>
        </w:rPr>
        <w:t>应文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”（备份投标响应文件后缀格式</w:t>
      </w:r>
      <w:r>
        <w:rPr>
          <w:rFonts w:ascii="宋体" w:hAnsi="宋体" w:eastAsia="宋体" w:cs="宋体"/>
          <w:snapToGrid w:val="0"/>
          <w:color w:val="000000"/>
          <w:spacing w:val="-4"/>
          <w:kern w:val="0"/>
          <w:sz w:val="24"/>
          <w:szCs w:val="24"/>
          <w:highlight w:val="none"/>
          <w:lang w:eastAsia="en-US"/>
        </w:rPr>
        <w:t>为bfts，如遇系统异常无法</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正常解密投标响应文件时使用）】，</w:t>
      </w:r>
      <w:r>
        <w:rPr>
          <w:rFonts w:ascii="MS Gothic" w:hAnsi="MS Gothic" w:eastAsia="MS Gothic" w:cs="MS Gothic"/>
          <w:snapToGrid w:val="0"/>
          <w:color w:val="000000"/>
          <w:spacing w:val="-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“纸质标书</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”是指通过“政采云电子投标客户端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”完成投标响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（2）“备份投标响应文件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”（若有）是指与“</w:t>
      </w:r>
      <w:r>
        <w:rPr>
          <w:rFonts w:ascii="宋体" w:hAnsi="宋体" w:eastAsia="宋体" w:cs="宋体"/>
          <w:snapToGrid w:val="0"/>
          <w:color w:val="000000"/>
          <w:spacing w:val="-8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”同时生成</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的数据电文形式的电子文件（备份标书</w:t>
      </w:r>
      <w:r>
        <w:rPr>
          <w:rFonts w:ascii="宋体" w:hAnsi="宋体" w:eastAsia="宋体" w:cs="宋体"/>
          <w:snapToGrid w:val="0"/>
          <w:color w:val="000000"/>
          <w:spacing w:val="-14"/>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其他方式编制的备份</w:t>
      </w:r>
      <w:r>
        <w:rPr>
          <w:rFonts w:ascii="宋体" w:hAnsi="宋体" w:eastAsia="宋体" w:cs="宋体"/>
          <w:snapToGrid w:val="0"/>
          <w:color w:val="000000"/>
          <w:spacing w:val="-2"/>
          <w:kern w:val="0"/>
          <w:sz w:val="24"/>
          <w:szCs w:val="24"/>
          <w:highlight w:val="none"/>
          <w:lang w:eastAsia="en-US"/>
        </w:rPr>
        <w:t>投标响应文件视为无效</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（1）“</w:t>
      </w:r>
      <w:r>
        <w:rPr>
          <w:rFonts w:ascii="宋体" w:hAnsi="宋体" w:eastAsia="宋体" w:cs="宋体"/>
          <w:snapToGrid w:val="0"/>
          <w:color w:val="000000"/>
          <w:spacing w:val="-8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（2）“备份投标响应文件</w:t>
      </w:r>
      <w:r>
        <w:rPr>
          <w:rFonts w:ascii="宋体" w:hAnsi="宋体" w:eastAsia="宋体" w:cs="宋体"/>
          <w:snapToGrid w:val="0"/>
          <w:color w:val="000000"/>
          <w:spacing w:val="-8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”（如有</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在投标截止时间前递交（接受以</w:t>
      </w:r>
      <w:r>
        <w:rPr>
          <w:rFonts w:ascii="宋体" w:hAnsi="宋体" w:eastAsia="宋体" w:cs="宋体"/>
          <w:snapToGrid w:val="0"/>
          <w:color w:val="000000"/>
          <w:spacing w:val="-5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U</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盘为介质形式递交，须注明项目名称、供应商单位名称）。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（3）“纸质标书</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en-US"/>
        </w:rPr>
        <w:t>项目中标结果公告发布后，前三名中标候选人</w:t>
      </w:r>
      <w:r>
        <w:rPr>
          <w:rFonts w:ascii="宋体" w:hAnsi="宋体" w:eastAsia="宋体" w:cs="宋体"/>
          <w:snapToGrid w:val="0"/>
          <w:color w:val="000000"/>
          <w:spacing w:val="-2"/>
          <w:kern w:val="0"/>
          <w:sz w:val="24"/>
          <w:szCs w:val="24"/>
          <w:highlight w:val="none"/>
          <w:lang w:eastAsia="en-US"/>
        </w:rPr>
        <w:t>需在公示期满后</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 日内，</w:t>
      </w:r>
      <w:r>
        <w:rPr>
          <w:rFonts w:hint="eastAsia" w:ascii="宋体" w:hAnsi="宋体" w:eastAsia="宋体" w:cs="宋体"/>
          <w:snapToGrid w:val="0"/>
          <w:color w:val="000000"/>
          <w:spacing w:val="-2"/>
          <w:kern w:val="0"/>
          <w:sz w:val="24"/>
          <w:szCs w:val="24"/>
          <w:highlight w:val="none"/>
          <w:lang w:val="en-US" w:eastAsia="en-US"/>
        </w:rPr>
        <w:t>提供</w:t>
      </w:r>
      <w:r>
        <w:rPr>
          <w:rFonts w:ascii="宋体" w:hAnsi="宋体" w:eastAsia="宋体" w:cs="宋体"/>
          <w:snapToGrid w:val="0"/>
          <w:color w:val="000000"/>
          <w:spacing w:val="-2"/>
          <w:kern w:val="0"/>
          <w:sz w:val="24"/>
          <w:szCs w:val="24"/>
          <w:highlight w:val="none"/>
          <w:lang w:eastAsia="en-US"/>
        </w:rPr>
        <w:t>正本</w:t>
      </w:r>
      <w:r>
        <w:rPr>
          <w:rFonts w:ascii="宋体" w:hAnsi="宋体" w:eastAsia="宋体" w:cs="宋体"/>
          <w:snapToGrid w:val="0"/>
          <w:color w:val="000000"/>
          <w:spacing w:val="-3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份、副本</w:t>
      </w:r>
      <w:r>
        <w:rPr>
          <w:rFonts w:ascii="宋体" w:hAnsi="宋体" w:eastAsia="宋体" w:cs="宋体"/>
          <w:snapToGrid w:val="0"/>
          <w:color w:val="000000"/>
          <w:spacing w:val="-43"/>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3</w:t>
      </w:r>
      <w:r>
        <w:rPr>
          <w:rFonts w:ascii="宋体" w:hAnsi="宋体" w:eastAsia="宋体" w:cs="宋体"/>
          <w:snapToGrid w:val="0"/>
          <w:color w:val="000000"/>
          <w:spacing w:val="1"/>
          <w:kern w:val="0"/>
          <w:sz w:val="24"/>
          <w:szCs w:val="24"/>
          <w:highlight w:val="none"/>
          <w:lang w:eastAsia="en-US"/>
        </w:rPr>
        <w:t>份。严格按照招标文件中对投标响应文件要求顺序装订制作标书</w:t>
      </w:r>
      <w:r>
        <w:rPr>
          <w:rFonts w:ascii="宋体" w:hAnsi="宋体" w:eastAsia="宋体" w:cs="宋体"/>
          <w:snapToGrid w:val="0"/>
          <w:color w:val="000000"/>
          <w:spacing w:val="-51"/>
          <w:kern w:val="0"/>
          <w:sz w:val="24"/>
          <w:szCs w:val="24"/>
          <w:highlight w:val="none"/>
          <w:lang w:eastAsia="en-US"/>
        </w:rPr>
        <w:t>，</w:t>
      </w:r>
      <w:r>
        <w:rPr>
          <w:rFonts w:ascii="宋体" w:hAnsi="宋体" w:eastAsia="宋体" w:cs="宋体"/>
          <w:snapToGrid w:val="0"/>
          <w:color w:val="000000"/>
          <w:kern w:val="0"/>
          <w:sz w:val="24"/>
          <w:szCs w:val="24"/>
          <w:highlight w:val="none"/>
          <w:lang w:eastAsia="en-US"/>
        </w:rPr>
        <w:t>标书必须</w:t>
      </w:r>
      <w:r>
        <w:rPr>
          <w:rFonts w:ascii="宋体" w:hAnsi="宋体" w:eastAsia="宋体" w:cs="宋体"/>
          <w:snapToGrid w:val="0"/>
          <w:color w:val="000000"/>
          <w:spacing w:val="-2"/>
          <w:kern w:val="0"/>
          <w:sz w:val="24"/>
          <w:szCs w:val="24"/>
          <w:highlight w:val="none"/>
          <w:lang w:eastAsia="en-US"/>
        </w:rPr>
        <w:t>标明页码</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推荐胶印本。商务技术部分、资格部分、报价部分合订为一册。递交至招标</w:t>
      </w:r>
      <w:r>
        <w:rPr>
          <w:rFonts w:ascii="宋体" w:hAnsi="宋体" w:eastAsia="宋体" w:cs="宋体"/>
          <w:snapToGrid w:val="0"/>
          <w:color w:val="000000"/>
          <w:spacing w:val="-6"/>
          <w:kern w:val="0"/>
          <w:sz w:val="24"/>
          <w:szCs w:val="24"/>
          <w:highlight w:val="none"/>
          <w:lang w:eastAsia="en-US"/>
        </w:rPr>
        <w:t>代理处存档，内容须与电子版投标响应文件内容一致，纸质投标响应文件一律不予退还。</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通过“政府采购云平台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”成功上传递交的“电</w:t>
      </w:r>
      <w:r>
        <w:rPr>
          <w:rFonts w:ascii="宋体" w:hAnsi="宋体" w:eastAsia="宋体" w:cs="宋体"/>
          <w:snapToGrid w:val="0"/>
          <w:color w:val="000000"/>
          <w:spacing w:val="-9"/>
          <w:kern w:val="0"/>
          <w:sz w:val="24"/>
          <w:szCs w:val="24"/>
          <w:highlight w:val="none"/>
          <w:lang w:eastAsia="en-US"/>
        </w:rPr>
        <w:t>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”已按时解密的，</w:t>
      </w:r>
      <w:r>
        <w:rPr>
          <w:rFonts w:ascii="宋体" w:hAnsi="宋体" w:eastAsia="宋体" w:cs="宋体"/>
          <w:snapToGrid w:val="0"/>
          <w:color w:val="000000"/>
          <w:spacing w:val="-2"/>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”自动失效。投标截止时间前，</w:t>
      </w:r>
      <w:r>
        <w:rPr>
          <w:rFonts w:ascii="宋体" w:hAnsi="宋体" w:eastAsia="宋体" w:cs="宋体"/>
          <w:snapToGrid w:val="0"/>
          <w:color w:val="000000"/>
          <w:spacing w:val="-3"/>
          <w:kern w:val="0"/>
          <w:sz w:val="24"/>
          <w:szCs w:val="24"/>
          <w:highlight w:val="none"/>
          <w:lang w:eastAsia="en-US"/>
        </w:rPr>
        <w:t>供应商仅递交了“备份投标响应文件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”而未将“</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”成功上</w:t>
      </w:r>
      <w:r>
        <w:rPr>
          <w:rFonts w:ascii="宋体" w:hAnsi="宋体" w:eastAsia="宋体" w:cs="宋体"/>
          <w:snapToGrid w:val="0"/>
          <w:color w:val="000000"/>
          <w:spacing w:val="-4"/>
          <w:kern w:val="0"/>
          <w:sz w:val="24"/>
          <w:szCs w:val="24"/>
          <w:highlight w:val="none"/>
          <w:lang w:eastAsia="en-US"/>
        </w:rPr>
        <w:t>传至“政府采购云平台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3.7.5、投标截止后，在投标有效期内，供应商不能撤销投标响应文件。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3.7.6、中标后，供应商拒绝签订合同的，采购人可以按照评审报告推荐的中标候</w:t>
      </w:r>
      <w:r>
        <w:rPr>
          <w:rFonts w:ascii="宋体" w:hAnsi="宋体" w:eastAsia="宋体" w:cs="宋体"/>
          <w:snapToGrid w:val="0"/>
          <w:color w:val="000000"/>
          <w:kern w:val="0"/>
          <w:sz w:val="24"/>
          <w:szCs w:val="24"/>
          <w:highlight w:val="none"/>
          <w:lang w:eastAsia="en-US"/>
        </w:rPr>
        <w:t>选人名单排序，确定下一候选人为中标供应商，也可以重</w:t>
      </w:r>
      <w:r>
        <w:rPr>
          <w:rFonts w:ascii="宋体" w:hAnsi="宋体" w:eastAsia="宋体" w:cs="宋体"/>
          <w:snapToGrid w:val="0"/>
          <w:color w:val="000000"/>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3.7.7、存在下列行为的，采购代理机构将其失信行为上报政府采购主管部门，由</w:t>
      </w:r>
      <w:r>
        <w:rPr>
          <w:rFonts w:ascii="宋体" w:hAnsi="宋体" w:eastAsia="宋体" w:cs="宋体"/>
          <w:snapToGrid w:val="0"/>
          <w:color w:val="000000"/>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（2）投标有效期内撤销投标响应文件的。投标人须按投标响应文件正本</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份，副</w:t>
      </w:r>
      <w:r>
        <w:rPr>
          <w:rFonts w:ascii="宋体" w:hAnsi="宋体" w:eastAsia="宋体" w:cs="宋体"/>
          <w:snapToGrid w:val="0"/>
          <w:color w:val="000000"/>
          <w:spacing w:val="-2"/>
          <w:kern w:val="0"/>
          <w:sz w:val="24"/>
          <w:szCs w:val="24"/>
          <w:highlight w:val="none"/>
          <w:lang w:eastAsia="en-US"/>
        </w:rPr>
        <w:t>本</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47"/>
          <w:kern w:val="0"/>
          <w:sz w:val="24"/>
          <w:szCs w:val="24"/>
          <w:highlight w:val="none"/>
          <w:lang w:val="en-US" w:eastAsia="zh-CN"/>
        </w:rPr>
        <w:t>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份分别编制并单独装订成册（最低标准</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推荐使用胶装订本。投标响应文件</w:t>
      </w:r>
      <w:r>
        <w:rPr>
          <w:rFonts w:ascii="宋体" w:hAnsi="宋体" w:eastAsia="宋体" w:cs="宋体"/>
          <w:snapToGrid w:val="0"/>
          <w:color w:val="000000"/>
          <w:spacing w:val="-3"/>
          <w:kern w:val="0"/>
          <w:sz w:val="24"/>
          <w:szCs w:val="24"/>
          <w:highlight w:val="none"/>
          <w:lang w:eastAsia="en-US"/>
        </w:rPr>
        <w:t>的封</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面应注明“正本</w:t>
      </w:r>
      <w:r>
        <w:rPr>
          <w:rFonts w:ascii="宋体" w:hAnsi="宋体" w:eastAsia="宋体" w:cs="宋体"/>
          <w:snapToGrid w:val="0"/>
          <w:color w:val="000000"/>
          <w:spacing w:val="-7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”、“副本</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”字样。未按最低标准制作投标响应文件有可能被拒绝，其</w:t>
      </w:r>
      <w:r>
        <w:rPr>
          <w:rFonts w:ascii="宋体" w:hAnsi="宋体" w:eastAsia="宋体" w:cs="宋体"/>
          <w:snapToGrid w:val="0"/>
          <w:color w:val="000000"/>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3.7.8、纸质版投标响应文件的正本需打印或用不褪色的墨水填写。正本与副本内</w:t>
      </w:r>
      <w:r>
        <w:rPr>
          <w:rFonts w:ascii="宋体" w:hAnsi="宋体" w:eastAsia="宋体" w:cs="宋体"/>
          <w:snapToGrid w:val="0"/>
          <w:color w:val="000000"/>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3.7.9、纸质版投标响应文件须由投标人在规定位置盖章并由法定代表人或法定代</w:t>
      </w:r>
      <w:r>
        <w:rPr>
          <w:rFonts w:ascii="宋体" w:hAnsi="宋体" w:eastAsia="宋体" w:cs="宋体"/>
          <w:snapToGrid w:val="0"/>
          <w:color w:val="000000"/>
          <w:spacing w:val="-1"/>
          <w:kern w:val="0"/>
          <w:sz w:val="24"/>
          <w:szCs w:val="24"/>
          <w:highlight w:val="none"/>
          <w:lang w:eastAsia="en-US"/>
        </w:rPr>
        <w:t>表授权人签署，投标人应写全称。</w:t>
      </w:r>
    </w:p>
    <w:p w14:paraId="388581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ascii="宋体" w:hAnsi="宋体" w:eastAsia="宋体" w:cs="宋体"/>
          <w:snapToGrid w:val="0"/>
          <w:color w:val="000000"/>
          <w:kern w:val="0"/>
          <w:sz w:val="28"/>
          <w:szCs w:val="28"/>
          <w:highlight w:val="none"/>
          <w:lang w:eastAsia="en-US"/>
        </w:rPr>
      </w:pPr>
      <w:bookmarkStart w:id="28" w:name="bookmark11"/>
      <w:bookmarkEnd w:id="28"/>
      <w:bookmarkStart w:id="29" w:name="bookmark12"/>
      <w:bookmarkEnd w:id="29"/>
      <w:r>
        <w:rPr>
          <w:rFonts w:ascii="宋体" w:hAnsi="宋体" w:eastAsia="宋体" w:cs="宋体"/>
          <w:b/>
          <w:bCs/>
          <w:snapToGrid w:val="0"/>
          <w:color w:val="000000"/>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4.1.1、任何不完整或不满足招标文件要求的投</w:t>
      </w:r>
      <w:r>
        <w:rPr>
          <w:rFonts w:ascii="宋体" w:hAnsi="宋体" w:eastAsia="宋体" w:cs="宋体"/>
          <w:snapToGrid w:val="0"/>
          <w:color w:val="000000"/>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4.1.2、由于不可抗拒原因或无法控制的事件而导致的丢失或损坏投标包装体内的</w:t>
      </w:r>
      <w:r>
        <w:rPr>
          <w:rFonts w:ascii="宋体" w:hAnsi="宋体" w:eastAsia="宋体" w:cs="宋体"/>
          <w:snapToGrid w:val="0"/>
          <w:color w:val="000000"/>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4.2.1、投标响应文件的递交不得迟于招标文件规定的截止时间，以加密形式在线</w:t>
      </w:r>
      <w:r>
        <w:rPr>
          <w:rFonts w:ascii="宋体" w:hAnsi="宋体" w:eastAsia="宋体" w:cs="宋体"/>
          <w:snapToGrid w:val="0"/>
          <w:color w:val="000000"/>
          <w:spacing w:val="-1"/>
          <w:kern w:val="0"/>
          <w:sz w:val="24"/>
          <w:szCs w:val="24"/>
          <w:highlight w:val="none"/>
          <w:lang w:eastAsia="en-US"/>
        </w:rPr>
        <w:t>上传至“政府采购云平台</w:t>
      </w:r>
      <w:r>
        <w:rPr>
          <w:rFonts w:ascii="宋体" w:hAnsi="宋体" w:eastAsia="宋体" w:cs="宋体"/>
          <w:snapToGrid w:val="0"/>
          <w:color w:val="000000"/>
          <w:spacing w:val="-8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4.2.2、所有投标响应文件不论派人送交还是通过邮寄的方式递交，都必须在采购</w:t>
      </w:r>
      <w:r>
        <w:rPr>
          <w:rFonts w:ascii="宋体" w:hAnsi="宋体" w:eastAsia="宋体" w:cs="宋体"/>
          <w:snapToGrid w:val="0"/>
          <w:color w:val="000000"/>
          <w:spacing w:val="-2"/>
          <w:kern w:val="0"/>
          <w:sz w:val="24"/>
          <w:szCs w:val="24"/>
          <w:highlight w:val="none"/>
          <w:lang w:eastAsia="en-US"/>
        </w:rPr>
        <w:t>方规定的投标截止时间之前送达采购文件指定地点，在此之后送达的投标响应文件，为</w:t>
      </w:r>
      <w:r>
        <w:rPr>
          <w:rFonts w:ascii="宋体" w:hAnsi="宋体" w:eastAsia="宋体" w:cs="宋体"/>
          <w:snapToGrid w:val="0"/>
          <w:color w:val="000000"/>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4.2.3、出现因采购文件的修改而推迟投标截止时间的情况时，投标人则需按采购</w:t>
      </w:r>
      <w:r>
        <w:rPr>
          <w:rFonts w:ascii="宋体" w:hAnsi="宋体" w:eastAsia="宋体" w:cs="宋体"/>
          <w:snapToGrid w:val="0"/>
          <w:color w:val="000000"/>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开标时间后</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分钟内供应商可以登录“政采云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”平台，用“项目采购-开标评标</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功能进行解密投标响应文件。若供应商在规定时间内未按时解密的，视为投标响应文件</w:t>
      </w:r>
      <w:r>
        <w:rPr>
          <w:rFonts w:ascii="宋体" w:hAnsi="宋体" w:eastAsia="宋体" w:cs="宋体"/>
          <w:snapToGrid w:val="0"/>
          <w:color w:val="000000"/>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30" w:name="bookmark14"/>
      <w:bookmarkEnd w:id="30"/>
      <w:bookmarkStart w:id="31" w:name="bookmark13"/>
      <w:bookmarkEnd w:id="31"/>
      <w:r>
        <w:rPr>
          <w:rFonts w:ascii="宋体" w:hAnsi="宋体" w:eastAsia="宋体" w:cs="宋体"/>
          <w:b/>
          <w:bCs/>
          <w:snapToGrid w:val="0"/>
          <w:color w:val="000000"/>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采购代理机构在供应商须知前附表规定的投标截止时间（开标时间）和地点组织公</w:t>
      </w:r>
      <w:r>
        <w:rPr>
          <w:rFonts w:ascii="宋体" w:hAnsi="宋体" w:eastAsia="宋体" w:cs="宋体"/>
          <w:snapToGrid w:val="0"/>
          <w:color w:val="000000"/>
          <w:kern w:val="0"/>
          <w:sz w:val="24"/>
          <w:szCs w:val="24"/>
          <w:highlight w:val="none"/>
          <w:lang w:eastAsia="en-US"/>
        </w:rPr>
        <w:t>开开标，并邀请所有供应商的法定代表人（单位负责人）</w:t>
      </w:r>
      <w:r>
        <w:rPr>
          <w:rFonts w:ascii="宋体" w:hAnsi="宋体" w:eastAsia="宋体" w:cs="宋体"/>
          <w:snapToGrid w:val="0"/>
          <w:color w:val="000000"/>
          <w:spacing w:val="-1"/>
          <w:kern w:val="0"/>
          <w:sz w:val="24"/>
          <w:szCs w:val="24"/>
          <w:highlight w:val="none"/>
          <w:lang w:eastAsia="en-US"/>
        </w:rPr>
        <w:t>或其委托代理人准时</w:t>
      </w:r>
      <w:r>
        <w:rPr>
          <w:rFonts w:hint="eastAsia" w:ascii="宋体" w:hAnsi="宋体" w:eastAsia="宋体" w:cs="宋体"/>
          <w:snapToGrid w:val="0"/>
          <w:color w:val="000000"/>
          <w:spacing w:val="-1"/>
          <w:kern w:val="0"/>
          <w:sz w:val="24"/>
          <w:szCs w:val="24"/>
          <w:highlight w:val="none"/>
          <w:lang w:val="en-US" w:eastAsia="zh-CN"/>
        </w:rPr>
        <w:t>在线</w:t>
      </w:r>
      <w:r>
        <w:rPr>
          <w:rFonts w:ascii="宋体" w:hAnsi="宋体" w:eastAsia="宋体" w:cs="宋体"/>
          <w:snapToGrid w:val="0"/>
          <w:color w:val="000000"/>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4、开启唱标签字时段，投标人电子签章确认</w:t>
      </w:r>
      <w:r>
        <w:rPr>
          <w:rFonts w:hint="eastAsia" w:ascii="宋体" w:hAnsi="宋体" w:eastAsia="宋体" w:cs="宋体"/>
          <w:snapToGrid w:val="0"/>
          <w:color w:val="000000"/>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5、资格审查</w:t>
      </w:r>
      <w:r>
        <w:rPr>
          <w:rFonts w:hint="eastAsia" w:ascii="宋体" w:hAnsi="宋体" w:eastAsia="宋体" w:cs="宋体"/>
          <w:snapToGrid w:val="0"/>
          <w:color w:val="000000"/>
          <w:spacing w:val="-1"/>
          <w:kern w:val="0"/>
          <w:sz w:val="24"/>
          <w:szCs w:val="24"/>
          <w:highlight w:val="none"/>
          <w:lang w:eastAsia="zh-CN"/>
        </w:rPr>
        <w:t>；</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8、采购代理机构将按照上述内容做开标记录，存档备案。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2" w:name="bookmark15"/>
      <w:bookmarkEnd w:id="32"/>
      <w:bookmarkStart w:id="33" w:name="bookmark16"/>
      <w:bookmarkEnd w:id="33"/>
      <w:r>
        <w:rPr>
          <w:rFonts w:ascii="宋体" w:hAnsi="宋体" w:eastAsia="宋体" w:cs="宋体"/>
          <w:b/>
          <w:bCs/>
          <w:snapToGrid w:val="0"/>
          <w:color w:val="000000"/>
          <w:spacing w:val="-6"/>
          <w:kern w:val="0"/>
          <w:sz w:val="28"/>
          <w:szCs w:val="28"/>
          <w:highlight w:val="none"/>
          <w:lang w:eastAsia="en-US"/>
        </w:rPr>
        <w:t>6、评标</w:t>
      </w:r>
    </w:p>
    <w:p w14:paraId="50183AF6">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ascii="宋体" w:hAnsi="宋体" w:eastAsia="宋体" w:cs="宋体"/>
          <w:b/>
          <w:bCs/>
          <w:snapToGrid w:val="0"/>
          <w:color w:val="000000"/>
          <w:spacing w:val="-5"/>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评标委员会</w:t>
      </w:r>
    </w:p>
    <w:p w14:paraId="58AD3CD2">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firstLine="476" w:firstLineChars="200"/>
        <w:jc w:val="left"/>
        <w:textAlignment w:val="baseline"/>
        <w:rPr>
          <w:rFonts w:hint="eastAsia"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6.1.1</w:t>
      </w:r>
      <w:r>
        <w:rPr>
          <w:rFonts w:hint="eastAsia" w:ascii="宋体" w:hAnsi="宋体" w:eastAsia="宋体" w:cs="宋体"/>
          <w:snapToGrid w:val="0"/>
          <w:color w:val="000000"/>
          <w:spacing w:val="-1"/>
          <w:kern w:val="0"/>
          <w:sz w:val="24"/>
          <w:szCs w:val="24"/>
          <w:highlight w:val="none"/>
          <w:lang w:eastAsia="en-US"/>
        </w:rPr>
        <w:t>评标由采购人依法组建的评标委员会负责。评标委员会由采购人代表和评审专家组成，成员人数为</w:t>
      </w:r>
      <w:r>
        <w:rPr>
          <w:rFonts w:hint="eastAsia" w:ascii="宋体" w:hAnsi="宋体" w:eastAsia="宋体" w:cs="宋体"/>
          <w:snapToGrid w:val="0"/>
          <w:color w:val="000000"/>
          <w:spacing w:val="-1"/>
          <w:kern w:val="0"/>
          <w:sz w:val="24"/>
          <w:szCs w:val="24"/>
          <w:highlight w:val="none"/>
          <w:lang w:val="en-US" w:eastAsia="en-US"/>
        </w:rPr>
        <w:t>5人</w:t>
      </w:r>
      <w:r>
        <w:rPr>
          <w:rFonts w:hint="eastAsia" w:ascii="宋体" w:hAnsi="宋体" w:eastAsia="宋体" w:cs="宋体"/>
          <w:snapToGrid w:val="0"/>
          <w:color w:val="000000"/>
          <w:spacing w:val="-1"/>
          <w:kern w:val="0"/>
          <w:sz w:val="24"/>
          <w:szCs w:val="24"/>
          <w:highlight w:val="none"/>
          <w:lang w:eastAsia="en-US"/>
        </w:rPr>
        <w:t>以上单数，其中评审专家不少于成员总数的三分之二。评标委员会成员人数以及评审专家的确定方式见供应商须知前附表。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6.1.2</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参与过本项目的论证专家不得作为评标专家参加评标。采购人代表不得担任</w:t>
      </w:r>
      <w:r>
        <w:rPr>
          <w:rFonts w:ascii="宋体" w:hAnsi="宋体" w:eastAsia="宋体" w:cs="宋体"/>
          <w:snapToGrid w:val="0"/>
          <w:color w:val="000000"/>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（1）供应商或供应商主要负责人的近亲属；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（3）与供应商有经济利益关系，可能影响对投标公正评审的；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（4）曾因在招标、评标以及其他与招标投标有关活动中从事违法行为而受过行政</w:t>
      </w:r>
      <w:r>
        <w:rPr>
          <w:rFonts w:ascii="宋体" w:hAnsi="宋体" w:eastAsia="宋体" w:cs="宋体"/>
          <w:snapToGrid w:val="0"/>
          <w:color w:val="000000"/>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（5）与供应商有其他利害关系。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6.1.4</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评标中因评标委员会成员缺席、回避或者健康等特殊原因导致评标委员会组</w:t>
      </w:r>
      <w:r>
        <w:rPr>
          <w:rFonts w:ascii="宋体" w:hAnsi="宋体" w:eastAsia="宋体" w:cs="宋体"/>
          <w:snapToGrid w:val="0"/>
          <w:color w:val="000000"/>
          <w:spacing w:val="-2"/>
          <w:kern w:val="0"/>
          <w:sz w:val="24"/>
          <w:szCs w:val="24"/>
          <w:highlight w:val="none"/>
          <w:lang w:eastAsia="en-US"/>
        </w:rPr>
        <w:t>成不符合本办法规定的，采购人应当依法补足后继续评标。被更换的评标委员会成员所作出的评标意见无效。无法及时补足评标委员会成员的，采购人应当停止评标活动，封存所有投标文件和开标、评标资料，依法重新组建评标委员会进行评标。原评标委员会</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所作出的评标意见无效。采购人应当将变更、重新组建评标委员会的情况予以记录，并</w:t>
      </w:r>
      <w:r>
        <w:rPr>
          <w:rFonts w:ascii="宋体" w:hAnsi="宋体" w:eastAsia="宋体" w:cs="宋体"/>
          <w:snapToGrid w:val="0"/>
          <w:color w:val="000000"/>
          <w:spacing w:val="-1"/>
          <w:kern w:val="0"/>
          <w:sz w:val="24"/>
          <w:szCs w:val="24"/>
          <w:highlight w:val="none"/>
          <w:lang w:eastAsia="en-US"/>
        </w:rPr>
        <w:t>随采购文件一并存档。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6.2</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评标活动</w:t>
      </w:r>
      <w:r>
        <w:rPr>
          <w:rFonts w:hint="eastAsia" w:ascii="宋体" w:hAnsi="宋体" w:eastAsia="宋体" w:cs="宋体"/>
          <w:snapToGrid w:val="0"/>
          <w:color w:val="000000"/>
          <w:spacing w:val="-1"/>
          <w:kern w:val="0"/>
          <w:sz w:val="24"/>
          <w:szCs w:val="24"/>
          <w:highlight w:val="none"/>
          <w:lang w:eastAsia="zh-CN"/>
        </w:rPr>
        <w:t>遵循</w:t>
      </w:r>
      <w:r>
        <w:rPr>
          <w:rFonts w:ascii="宋体" w:hAnsi="宋体" w:eastAsia="宋体" w:cs="宋体"/>
          <w:snapToGrid w:val="0"/>
          <w:color w:val="000000"/>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6.3</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6.3.1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评标委员会按照第四章“评标办法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”规定的方法、评审因素、</w:t>
      </w:r>
      <w:r>
        <w:rPr>
          <w:rFonts w:ascii="宋体" w:hAnsi="宋体" w:eastAsia="宋体" w:cs="宋体"/>
          <w:snapToGrid w:val="0"/>
          <w:color w:val="000000"/>
          <w:spacing w:val="-2"/>
          <w:kern w:val="0"/>
          <w:sz w:val="24"/>
          <w:szCs w:val="24"/>
          <w:highlight w:val="none"/>
          <w:lang w:eastAsia="en-US"/>
        </w:rPr>
        <w:t>标准和程序对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投标文件进行评审。第四章“评标办法</w:t>
      </w:r>
      <w:r>
        <w:rPr>
          <w:rFonts w:ascii="宋体" w:hAnsi="宋体" w:eastAsia="宋体" w:cs="宋体"/>
          <w:snapToGrid w:val="0"/>
          <w:color w:val="000000"/>
          <w:spacing w:val="-7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6.3.2</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评标完成后，评标委员会应当向采购人提交书面</w:t>
      </w:r>
      <w:r>
        <w:rPr>
          <w:rFonts w:ascii="宋体" w:hAnsi="宋体" w:eastAsia="宋体" w:cs="宋体"/>
          <w:snapToGrid w:val="0"/>
          <w:color w:val="000000"/>
          <w:spacing w:val="-5"/>
          <w:kern w:val="0"/>
          <w:sz w:val="24"/>
          <w:szCs w:val="24"/>
          <w:highlight w:val="none"/>
          <w:lang w:eastAsia="en-US"/>
        </w:rPr>
        <w:t>评标报告和中标候选人名单。</w:t>
      </w:r>
      <w:r>
        <w:rPr>
          <w:rFonts w:ascii="宋体" w:hAnsi="宋体" w:eastAsia="宋体" w:cs="宋体"/>
          <w:snapToGrid w:val="0"/>
          <w:color w:val="000000"/>
          <w:spacing w:val="-1"/>
          <w:kern w:val="0"/>
          <w:sz w:val="24"/>
          <w:szCs w:val="24"/>
          <w:highlight w:val="none"/>
          <w:lang w:eastAsia="en-US"/>
        </w:rPr>
        <w:t>评标委员会推荐中标候选人的人数见供应商须知前附表。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ascii="宋体" w:hAnsi="宋体" w:eastAsia="宋体" w:cs="宋体"/>
          <w:snapToGrid w:val="0"/>
          <w:color w:val="000000"/>
          <w:kern w:val="0"/>
          <w:sz w:val="28"/>
          <w:szCs w:val="28"/>
          <w:highlight w:val="none"/>
          <w:lang w:eastAsia="en-US"/>
        </w:rPr>
      </w:pPr>
      <w:bookmarkStart w:id="34" w:name="bookmark18"/>
      <w:bookmarkEnd w:id="34"/>
      <w:bookmarkStart w:id="35" w:name="bookmark17"/>
      <w:bookmarkEnd w:id="35"/>
      <w:r>
        <w:rPr>
          <w:rFonts w:ascii="宋体" w:hAnsi="宋体" w:eastAsia="宋体" w:cs="宋体"/>
          <w:b/>
          <w:bCs/>
          <w:snapToGrid w:val="0"/>
          <w:color w:val="000000"/>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7.1</w:t>
      </w:r>
      <w:r>
        <w:rPr>
          <w:rFonts w:ascii="宋体" w:hAnsi="宋体" w:eastAsia="宋体" w:cs="宋体"/>
          <w:snapToGrid w:val="0"/>
          <w:color w:val="000000"/>
          <w:spacing w:val="-29"/>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中标人确定后,采购代理机构将在供应商须知前附表规定的媒体上发布中标公告，</w:t>
      </w:r>
      <w:r>
        <w:rPr>
          <w:rFonts w:ascii="宋体" w:hAnsi="宋体" w:eastAsia="宋体" w:cs="宋体"/>
          <w:snapToGrid w:val="0"/>
          <w:color w:val="000000"/>
          <w:spacing w:val="-2"/>
          <w:kern w:val="0"/>
          <w:sz w:val="24"/>
          <w:szCs w:val="24"/>
          <w:highlight w:val="none"/>
          <w:lang w:eastAsia="en-US"/>
        </w:rPr>
        <w:t>并以书面形式向中标人发出中标通知书。中标公告期限为</w:t>
      </w:r>
      <w:r>
        <w:rPr>
          <w:rFonts w:ascii="宋体" w:hAnsi="宋体" w:eastAsia="宋体" w:cs="宋体"/>
          <w:snapToGrid w:val="0"/>
          <w:color w:val="000000"/>
          <w:spacing w:val="-2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7.2.1 在接到中标通知书</w:t>
      </w:r>
      <w:r>
        <w:rPr>
          <w:rFonts w:ascii="宋体" w:hAnsi="宋体" w:eastAsia="宋体" w:cs="宋体"/>
          <w:snapToGrid w:val="0"/>
          <w:color w:val="000000"/>
          <w:spacing w:val="-2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个日历天内，中标的投标人应按合同规定向采购人提</w:t>
      </w:r>
      <w:r>
        <w:rPr>
          <w:rFonts w:ascii="宋体" w:hAnsi="宋体" w:eastAsia="宋体" w:cs="宋体"/>
          <w:snapToGrid w:val="0"/>
          <w:color w:val="000000"/>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7.2.2</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如果中标人不与采购人签订合同并提交履约保证金，或者在签订合同时向采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购人提出附加条件或者更改合同实质性内容的，采购人则有权没收该投标人的投标保证金，并视为其放弃中标资格；给采购人的损失超过投标保证金数额的，中标人应对超过部分予以赔偿。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7.3</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7.3.1 采购人和中标人应当在中标通知书发出之日起</w:t>
      </w:r>
      <w:r>
        <w:rPr>
          <w:rFonts w:ascii="宋体" w:hAnsi="宋体" w:eastAsia="宋体" w:cs="宋体"/>
          <w:snapToGrid w:val="0"/>
          <w:color w:val="000000"/>
          <w:spacing w:val="-3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30 日内，根据招标文件和中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采购人提出附加条件，或者不按照招标文件要求提交履约保证金的，或者中标人和采购人无法就合同条款达成一致意见的，采购人取消其中标资格，其投标保证金不予退还；给</w:t>
      </w:r>
      <w:r>
        <w:rPr>
          <w:rFonts w:ascii="宋体" w:hAnsi="宋体" w:eastAsia="宋体" w:cs="宋体"/>
          <w:snapToGrid w:val="0"/>
          <w:color w:val="000000"/>
          <w:kern w:val="0"/>
          <w:sz w:val="24"/>
          <w:szCs w:val="24"/>
          <w:highlight w:val="none"/>
          <w:lang w:eastAsia="en-US"/>
        </w:rPr>
        <w:t>采购人造成的损失超过投标保证金数额的，中标人还应当对</w:t>
      </w:r>
      <w:r>
        <w:rPr>
          <w:rFonts w:ascii="宋体" w:hAnsi="宋体" w:eastAsia="宋体" w:cs="宋体"/>
          <w:snapToGrid w:val="0"/>
          <w:color w:val="000000"/>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7.3.2 发出中标通知书后，采购人无正当理由拒签合同，或者在签订合同时向中标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人提出附加条件无法商定一致的，采购人向中标人退还投标保证金。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7.3.3 联合体中标的，联合体各方应当共同与采购人签订合同，就中标项目向采购</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ascii="宋体" w:hAnsi="宋体" w:eastAsia="宋体" w:cs="宋体"/>
          <w:snapToGrid w:val="0"/>
          <w:color w:val="000000"/>
          <w:kern w:val="0"/>
          <w:sz w:val="28"/>
          <w:szCs w:val="28"/>
          <w:highlight w:val="none"/>
          <w:lang w:eastAsia="en-US"/>
        </w:rPr>
      </w:pPr>
      <w:bookmarkStart w:id="36" w:name="bookmark19"/>
      <w:bookmarkEnd w:id="36"/>
      <w:bookmarkStart w:id="37" w:name="bookmark20"/>
      <w:bookmarkEnd w:id="37"/>
      <w:r>
        <w:rPr>
          <w:rFonts w:ascii="宋体" w:hAnsi="宋体" w:eastAsia="宋体" w:cs="宋体"/>
          <w:b/>
          <w:bCs/>
          <w:snapToGrid w:val="0"/>
          <w:color w:val="000000"/>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对采购人的纪律要求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采购人不得泄露采购活动中应当保密的情况和资料，不得与供应商串通损害国家利</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8.2</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对供应商的纪律要求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供应商不得相互串通或者与采购人串通，不得向采购人或者评标委员会成员行贿谋取成交，不得以他人名义参加采购活动或者以其他方式弄虚作假骗取成交；供应商不得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8.3</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成员不得收受他人的财务或者其他好处，不得向他人透露对投标文件的评审和比较、候选成交供应商的推荐情况以及评审有关的其他情况。在采购活动中，评标委员会成员应当客观、公正地履行职责，遵守职业道德，不得擅离职守、影响评审工</w:t>
      </w:r>
      <w:r>
        <w:rPr>
          <w:rFonts w:ascii="宋体" w:hAnsi="宋体" w:eastAsia="宋体" w:cs="宋体"/>
          <w:snapToGrid w:val="0"/>
          <w:color w:val="000000"/>
          <w:spacing w:val="-1"/>
          <w:kern w:val="0"/>
          <w:sz w:val="24"/>
          <w:szCs w:val="24"/>
          <w:highlight w:val="none"/>
          <w:lang w:eastAsia="en-US"/>
        </w:rPr>
        <w:t>作的正常进行，不得使用第四章“评审办法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”没有规定的评审因素和标准</w:t>
      </w:r>
      <w:r>
        <w:rPr>
          <w:rFonts w:ascii="宋体" w:hAnsi="宋体" w:eastAsia="宋体" w:cs="宋体"/>
          <w:snapToGrid w:val="0"/>
          <w:color w:val="000000"/>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8.4</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对采购代理机构工作人员的纪律要求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采购代理机构工作人员不得收受他人的财务或者其他好处，不得向他人透露对投标文件的评审和比较、候选成交供应商的推荐情况以及评审有关的其他情况。在采购活动</w:t>
      </w:r>
      <w:r>
        <w:rPr>
          <w:rFonts w:ascii="宋体" w:hAnsi="宋体" w:eastAsia="宋体" w:cs="宋体"/>
          <w:snapToGrid w:val="0"/>
          <w:color w:val="000000"/>
          <w:spacing w:val="-1"/>
          <w:kern w:val="0"/>
          <w:sz w:val="24"/>
          <w:szCs w:val="24"/>
          <w:highlight w:val="none"/>
          <w:lang w:eastAsia="en-US"/>
        </w:rPr>
        <w:t>中，采购代理机构工作人员不得擅离职守、影响评审工作的正常进行。</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8.5</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8.5.1</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供应商对采购事项有疑问的，可以向采购人或采购代理机构提出询问</w:t>
      </w:r>
      <w:r>
        <w:rPr>
          <w:rFonts w:hint="eastAsia" w:ascii="宋体" w:hAnsi="宋体" w:eastAsia="宋体" w:cs="宋体"/>
          <w:snapToGrid w:val="0"/>
          <w:color w:val="000000"/>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8.5.2</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提出质疑的供应商应当是参与所质疑项目采购活动的供应商。</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8.5.3</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供应商认为招标文件、采购过程和中标结果使自已的权益受到损害的，可以</w:t>
      </w:r>
      <w:r>
        <w:rPr>
          <w:rFonts w:ascii="宋体" w:hAnsi="宋体" w:eastAsia="宋体" w:cs="宋体"/>
          <w:snapToGrid w:val="0"/>
          <w:color w:val="000000"/>
          <w:spacing w:val="-2"/>
          <w:kern w:val="0"/>
          <w:sz w:val="24"/>
          <w:szCs w:val="24"/>
          <w:highlight w:val="none"/>
          <w:lang w:eastAsia="en-US"/>
        </w:rPr>
        <w:t>在知道或者应知其权益受到损害之日起</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w:t>
      </w:r>
      <w:r>
        <w:rPr>
          <w:rFonts w:ascii="宋体" w:hAnsi="宋体" w:eastAsia="宋体" w:cs="宋体"/>
          <w:snapToGrid w:val="0"/>
          <w:color w:val="000000"/>
          <w:spacing w:val="-3"/>
          <w:kern w:val="0"/>
          <w:sz w:val="24"/>
          <w:szCs w:val="24"/>
          <w:highlight w:val="none"/>
          <w:lang w:eastAsia="en-US"/>
        </w:rPr>
        <w:t>作日内，以书面形式向采购人或采购代理</w:t>
      </w:r>
      <w:r>
        <w:rPr>
          <w:rFonts w:ascii="宋体" w:hAnsi="宋体" w:eastAsia="宋体" w:cs="宋体"/>
          <w:snapToGrid w:val="0"/>
          <w:color w:val="000000"/>
          <w:spacing w:val="-1"/>
          <w:kern w:val="0"/>
          <w:sz w:val="24"/>
          <w:szCs w:val="24"/>
          <w:highlight w:val="none"/>
          <w:lang w:eastAsia="en-US"/>
        </w:rPr>
        <w:t>机构提出质疑（质疑函格式见附件）。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8.5.4</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质疑应当按照《中华人民共和国政府采购法》、《</w:t>
      </w:r>
      <w:r>
        <w:rPr>
          <w:rFonts w:hint="eastAsia" w:ascii="宋体" w:hAnsi="宋体" w:eastAsia="宋体" w:cs="宋体"/>
          <w:snapToGrid w:val="0"/>
          <w:color w:val="000000"/>
          <w:spacing w:val="-1"/>
          <w:kern w:val="0"/>
          <w:sz w:val="24"/>
          <w:szCs w:val="24"/>
          <w:highlight w:val="none"/>
          <w:lang w:eastAsia="zh-CN"/>
        </w:rPr>
        <w:t>中华人民共和国政府采购法实施条例</w:t>
      </w:r>
      <w:r>
        <w:rPr>
          <w:rFonts w:ascii="宋体" w:hAnsi="宋体" w:eastAsia="宋体" w:cs="宋体"/>
          <w:snapToGrid w:val="0"/>
          <w:color w:val="000000"/>
          <w:spacing w:val="-2"/>
          <w:kern w:val="0"/>
          <w:sz w:val="24"/>
          <w:szCs w:val="24"/>
          <w:highlight w:val="none"/>
          <w:lang w:eastAsia="en-US"/>
        </w:rPr>
        <w:t>》、《政府采购供应商投诉处理办法》等法律法规的相关规定，以书面形式</w:t>
      </w:r>
      <w:r>
        <w:rPr>
          <w:rFonts w:ascii="宋体" w:hAnsi="宋体" w:eastAsia="宋体" w:cs="宋体"/>
          <w:snapToGrid w:val="0"/>
          <w:color w:val="000000"/>
          <w:spacing w:val="-1"/>
          <w:kern w:val="0"/>
          <w:sz w:val="24"/>
          <w:szCs w:val="24"/>
          <w:highlight w:val="none"/>
          <w:lang w:eastAsia="en-US"/>
        </w:rPr>
        <w:t>向采购人或采购代理机构提出。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8.5.5</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质疑书应当附上相关证明材料，否则质疑将视为无有效证据支持，将被予以</w:t>
      </w:r>
      <w:r>
        <w:rPr>
          <w:rFonts w:ascii="宋体" w:hAnsi="宋体" w:eastAsia="宋体" w:cs="宋体"/>
          <w:snapToGrid w:val="0"/>
          <w:color w:val="000000"/>
          <w:spacing w:val="-2"/>
          <w:kern w:val="0"/>
          <w:sz w:val="24"/>
          <w:szCs w:val="24"/>
          <w:highlight w:val="none"/>
          <w:lang w:eastAsia="en-US"/>
        </w:rPr>
        <w:t>驳回，并不得以上述理由要求延长质疑有效期。未递交投标文件的供应商，其未参加后</w:t>
      </w:r>
      <w:r>
        <w:rPr>
          <w:rFonts w:ascii="宋体" w:hAnsi="宋体" w:eastAsia="宋体" w:cs="宋体"/>
          <w:snapToGrid w:val="0"/>
          <w:color w:val="000000"/>
          <w:kern w:val="0"/>
          <w:sz w:val="24"/>
          <w:szCs w:val="24"/>
          <w:highlight w:val="none"/>
          <w:lang w:eastAsia="en-US"/>
        </w:rPr>
        <w:t>续采购活动，不得对递交投标文件截止后的采购</w:t>
      </w:r>
      <w:r>
        <w:rPr>
          <w:rFonts w:ascii="宋体" w:hAnsi="宋体" w:eastAsia="宋体" w:cs="宋体"/>
          <w:snapToGrid w:val="0"/>
          <w:color w:val="000000"/>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8.5.6</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质疑人可以采取直接送达或者邮寄方式提交质疑书。采购人或采购代理机构</w:t>
      </w:r>
      <w:r>
        <w:rPr>
          <w:rFonts w:ascii="宋体" w:hAnsi="宋体" w:eastAsia="宋体" w:cs="宋体"/>
          <w:snapToGrid w:val="0"/>
          <w:color w:val="000000"/>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采购人或采购代理机构将在受理书面质疑后</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个工作日内审</w:t>
      </w:r>
      <w:r>
        <w:rPr>
          <w:rFonts w:ascii="宋体" w:hAnsi="宋体" w:eastAsia="宋体" w:cs="宋体"/>
          <w:snapToGrid w:val="0"/>
          <w:color w:val="000000"/>
          <w:spacing w:val="-2"/>
          <w:kern w:val="0"/>
          <w:sz w:val="24"/>
          <w:szCs w:val="24"/>
          <w:highlight w:val="none"/>
          <w:lang w:eastAsia="en-US"/>
        </w:rPr>
        <w:t>查质疑事项，作出答复或相关处理决定，并以书面形式通知质疑人和其他相关供应商，但答复的内容不涉及商业秘密。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8.5.8</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供应商进行虚假和恶意质疑的，采购人或采购代理机构将提请政府采购监管部门对该供应商进行相应的行政处罚和记录该供应商的失信信息。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8.5.9</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质疑人对答复不满意以及采购人或采购代理机构未在规定的时间内作出答复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的，可以在答复期满后</w:t>
      </w:r>
      <w:r>
        <w:rPr>
          <w:rFonts w:ascii="宋体" w:hAnsi="宋体" w:eastAsia="宋体" w:cs="宋体"/>
          <w:snapToGrid w:val="0"/>
          <w:color w:val="000000"/>
          <w:spacing w:val="-2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8" w:name="bookmark21"/>
      <w:bookmarkEnd w:id="38"/>
      <w:bookmarkStart w:id="39" w:name="bookmark22"/>
      <w:bookmarkEnd w:id="39"/>
      <w:r>
        <w:rPr>
          <w:rFonts w:ascii="宋体" w:hAnsi="宋体" w:eastAsia="宋体" w:cs="宋体"/>
          <w:b/>
          <w:bCs/>
          <w:snapToGrid w:val="0"/>
          <w:color w:val="000000"/>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需要补充的其他内容：见供应商须知前附表。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67C89E8F">
      <w:pPr>
        <w:rPr>
          <w:rFonts w:ascii="宋体" w:hAnsi="宋体" w:eastAsia="宋体" w:cs="宋体"/>
          <w:snapToGrid w:val="0"/>
          <w:color w:val="000000"/>
          <w:spacing w:val="-1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43C0617">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质疑函制作说明：</w:t>
      </w:r>
    </w:p>
    <w:p w14:paraId="3C73538D">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供应商提出质疑时，应提交质疑函和必要的证明</w:t>
      </w:r>
      <w:r>
        <w:rPr>
          <w:rFonts w:ascii="宋体" w:hAnsi="宋体" w:eastAsia="宋体" w:cs="宋体"/>
          <w:snapToGrid w:val="0"/>
          <w:color w:val="000000"/>
          <w:spacing w:val="-2"/>
          <w:kern w:val="0"/>
          <w:sz w:val="24"/>
          <w:szCs w:val="24"/>
          <w:highlight w:val="none"/>
          <w:lang w:eastAsia="en-US"/>
        </w:rPr>
        <w:t>材料。</w:t>
      </w:r>
    </w:p>
    <w:p w14:paraId="6F816ED4">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质疑供应商若委托代理人进行质疑的，质疑函应按要求列明“授权代表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”的有</w:t>
      </w:r>
      <w:r>
        <w:rPr>
          <w:rFonts w:ascii="宋体" w:hAnsi="宋体" w:eastAsia="宋体" w:cs="宋体"/>
          <w:snapToGrid w:val="0"/>
          <w:color w:val="000000"/>
          <w:spacing w:val="-8"/>
          <w:kern w:val="0"/>
          <w:sz w:val="24"/>
          <w:szCs w:val="24"/>
          <w:highlight w:val="none"/>
          <w:lang w:eastAsia="en-US"/>
        </w:rPr>
        <w:t>关内容，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并在附件中提交由质疑供应商签署的授权委托书。授权委托书应载明代理人的姓名或者</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质疑供应商若对项目的某一分包进行质疑，质疑函中应列明具体分包号。</w:t>
      </w:r>
    </w:p>
    <w:p w14:paraId="4ACE36C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kern w:val="0"/>
          <w:sz w:val="24"/>
          <w:szCs w:val="24"/>
          <w:highlight w:val="none"/>
          <w:lang w:eastAsia="en-US"/>
        </w:rPr>
        <w:t>质疑函的质疑事项应具体、明确，并有必要的</w:t>
      </w:r>
      <w:r>
        <w:rPr>
          <w:rFonts w:ascii="宋体" w:hAnsi="宋体" w:eastAsia="宋体" w:cs="宋体"/>
          <w:snapToGrid w:val="0"/>
          <w:color w:val="000000"/>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6.质疑供应商为自然人的，质疑函应由本人签字；质疑供应商为法人或者其他组织的，</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质疑函应由法定代表人、主要负责人，或者其授权代表</w:t>
      </w:r>
      <w:r>
        <w:rPr>
          <w:rFonts w:ascii="宋体" w:hAnsi="宋体" w:eastAsia="宋体" w:cs="宋体"/>
          <w:snapToGrid w:val="0"/>
          <w:color w:val="000000"/>
          <w:spacing w:val="-1"/>
          <w:kern w:val="0"/>
          <w:sz w:val="24"/>
          <w:szCs w:val="24"/>
          <w:highlight w:val="none"/>
          <w:lang w:eastAsia="en-US"/>
        </w:rPr>
        <w:t>签字或者盖章，并加盖公章</w:t>
      </w:r>
      <w:r>
        <w:rPr>
          <w:rFonts w:hint="eastAsia" w:ascii="宋体" w:hAnsi="宋体" w:eastAsia="宋体" w:cs="宋体"/>
          <w:snapToGrid w:val="0"/>
          <w:color w:val="000000"/>
          <w:spacing w:val="-1"/>
          <w:kern w:val="0"/>
          <w:sz w:val="24"/>
          <w:szCs w:val="24"/>
          <w:highlight w:val="none"/>
          <w:lang w:eastAsia="zh-CN"/>
        </w:rPr>
        <w:t>。</w:t>
      </w:r>
    </w:p>
    <w:p w14:paraId="475A18D3">
      <w:pPr>
        <w:rPr>
          <w:rFonts w:hint="eastAsia" w:ascii="宋体" w:hAnsi="宋体" w:eastAsia="宋体" w:cs="宋体"/>
          <w:b w:val="0"/>
          <w:bCs w:val="0"/>
          <w:snapToGrid w:val="0"/>
          <w:color w:val="000000"/>
          <w:spacing w:val="-3"/>
          <w:kern w:val="0"/>
          <w:sz w:val="22"/>
          <w:szCs w:val="22"/>
          <w:highlight w:val="none"/>
          <w:lang w:val="en-US" w:eastAsia="zh-CN"/>
        </w:rPr>
      </w:pPr>
      <w:r>
        <w:rPr>
          <w:rFonts w:hint="eastAsia" w:ascii="宋体" w:hAnsi="宋体" w:eastAsia="宋体" w:cs="宋体"/>
          <w:b w:val="0"/>
          <w:bCs w:val="0"/>
          <w:snapToGrid w:val="0"/>
          <w:color w:val="000000"/>
          <w:spacing w:val="-3"/>
          <w:kern w:val="0"/>
          <w:sz w:val="22"/>
          <w:szCs w:val="22"/>
          <w:highlight w:val="none"/>
          <w:lang w:val="en-US" w:eastAsia="zh-CN"/>
        </w:rPr>
        <w:br w:type="page"/>
      </w:r>
    </w:p>
    <w:p w14:paraId="39501A1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ascii="宋体" w:hAnsi="宋体" w:eastAsia="宋体" w:cs="宋体"/>
          <w:b/>
          <w:bCs/>
          <w:spacing w:val="5"/>
          <w:sz w:val="35"/>
          <w:szCs w:val="35"/>
          <w:highlight w:val="none"/>
        </w:rPr>
      </w:pPr>
      <w:bookmarkStart w:id="40" w:name="_Toc9211"/>
      <w:bookmarkStart w:id="41" w:name="_Toc6739"/>
      <w:r>
        <w:rPr>
          <w:rFonts w:ascii="宋体" w:hAnsi="宋体" w:eastAsia="宋体" w:cs="宋体"/>
          <w:b/>
          <w:bCs/>
          <w:spacing w:val="5"/>
          <w:sz w:val="35"/>
          <w:szCs w:val="35"/>
          <w:highlight w:val="none"/>
        </w:rPr>
        <w:t>采购需求</w:t>
      </w:r>
      <w:bookmarkEnd w:id="40"/>
      <w:bookmarkEnd w:id="41"/>
    </w:p>
    <w:p w14:paraId="25B409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en-US" w:eastAsia="zh-CN" w:bidi="ar-SA"/>
        </w:rPr>
        <w:t>一</w:t>
      </w:r>
      <w:r>
        <w:rPr>
          <w:rFonts w:hint="eastAsia" w:ascii="宋体" w:hAnsi="宋体" w:eastAsia="宋体" w:cs="宋体"/>
          <w:b w:val="0"/>
          <w:bCs w:val="0"/>
          <w:snapToGrid w:val="0"/>
          <w:color w:val="000000"/>
          <w:kern w:val="2"/>
          <w:sz w:val="24"/>
          <w:szCs w:val="24"/>
          <w:shd w:val="clear" w:color="auto" w:fill="FFFFFF"/>
          <w:lang w:val="zh-CN" w:eastAsia="zh-CN" w:bidi="ar-SA"/>
        </w:rPr>
        <w:t>、项目概况</w:t>
      </w:r>
      <w:r>
        <w:rPr>
          <w:rFonts w:hint="eastAsia" w:ascii="宋体" w:hAnsi="宋体" w:eastAsia="宋体" w:cs="宋体"/>
          <w:b w:val="0"/>
          <w:bCs w:val="0"/>
          <w:snapToGrid w:val="0"/>
          <w:color w:val="000000"/>
          <w:kern w:val="2"/>
          <w:sz w:val="24"/>
          <w:szCs w:val="24"/>
          <w:shd w:val="clear" w:color="auto" w:fill="FFFFFF"/>
          <w:lang w:val="en-US" w:eastAsia="zh-CN" w:bidi="ar-SA"/>
        </w:rPr>
        <w:t>及分类</w:t>
      </w:r>
      <w:r>
        <w:rPr>
          <w:rFonts w:hint="eastAsia" w:ascii="宋体" w:hAnsi="宋体" w:eastAsia="宋体" w:cs="宋体"/>
          <w:b w:val="0"/>
          <w:bCs w:val="0"/>
          <w:snapToGrid w:val="0"/>
          <w:color w:val="000000"/>
          <w:kern w:val="2"/>
          <w:sz w:val="24"/>
          <w:szCs w:val="24"/>
          <w:shd w:val="clear" w:color="auto" w:fill="FFFFFF"/>
          <w:lang w:val="zh-CN" w:eastAsia="zh-CN" w:bidi="ar-SA"/>
        </w:rPr>
        <w:t>：</w:t>
      </w:r>
    </w:p>
    <w:p w14:paraId="0FB020B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w:t>
      </w:r>
      <w:r>
        <w:rPr>
          <w:rFonts w:hint="eastAsia" w:ascii="宋体" w:hAnsi="宋体" w:eastAsia="宋体" w:cs="宋体"/>
          <w:b w:val="0"/>
          <w:bCs w:val="0"/>
          <w:snapToGrid w:val="0"/>
          <w:color w:val="000000"/>
          <w:kern w:val="2"/>
          <w:sz w:val="24"/>
          <w:szCs w:val="24"/>
          <w:shd w:val="clear" w:color="auto" w:fill="FFFFFF"/>
          <w:lang w:val="en-US" w:eastAsia="zh-CN" w:bidi="ar-SA"/>
        </w:rPr>
        <w:t>一</w:t>
      </w:r>
      <w:r>
        <w:rPr>
          <w:rFonts w:hint="eastAsia" w:ascii="宋体" w:hAnsi="宋体" w:eastAsia="宋体" w:cs="宋体"/>
          <w:b w:val="0"/>
          <w:bCs w:val="0"/>
          <w:snapToGrid w:val="0"/>
          <w:color w:val="000000"/>
          <w:kern w:val="2"/>
          <w:sz w:val="24"/>
          <w:szCs w:val="24"/>
          <w:shd w:val="clear" w:color="auto" w:fill="FFFFFF"/>
          <w:lang w:val="zh-CN" w:eastAsia="zh-CN" w:bidi="ar-SA"/>
        </w:rPr>
        <w:t>）</w:t>
      </w:r>
      <w:r>
        <w:rPr>
          <w:rFonts w:hint="eastAsia" w:ascii="宋体" w:hAnsi="宋体" w:eastAsia="宋体" w:cs="宋体"/>
          <w:b w:val="0"/>
          <w:bCs w:val="0"/>
          <w:snapToGrid w:val="0"/>
          <w:color w:val="000000"/>
          <w:kern w:val="2"/>
          <w:sz w:val="24"/>
          <w:szCs w:val="24"/>
          <w:shd w:val="clear" w:color="auto" w:fill="FFFFFF"/>
          <w:lang w:val="en-US" w:eastAsia="zh-CN" w:bidi="ar-SA"/>
        </w:rPr>
        <w:t>项目概况</w:t>
      </w:r>
    </w:p>
    <w:p w14:paraId="1EB8022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1.</w:t>
      </w:r>
      <w:r>
        <w:rPr>
          <w:rFonts w:hint="eastAsia" w:ascii="宋体" w:hAnsi="宋体" w:eastAsia="宋体" w:cs="宋体"/>
          <w:b/>
          <w:bCs/>
          <w:snapToGrid w:val="0"/>
          <w:color w:val="000000"/>
          <w:kern w:val="0"/>
          <w:sz w:val="24"/>
          <w:szCs w:val="24"/>
          <w:lang w:val="en-US" w:eastAsia="zh-CN" w:bidi="ar-SA"/>
        </w:rPr>
        <w:t>项目名称：阿克苏某单位2026-2027年牛羊肉采购项目</w:t>
      </w:r>
    </w:p>
    <w:p w14:paraId="10B55F7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kern w:val="2"/>
          <w:sz w:val="24"/>
          <w:szCs w:val="24"/>
          <w:lang w:val="en-US" w:eastAsia="zh-CN"/>
        </w:rPr>
      </w:pPr>
      <w:r>
        <w:rPr>
          <w:rFonts w:hint="eastAsia" w:ascii="宋体" w:hAnsi="宋体" w:eastAsia="宋体" w:cs="宋体"/>
          <w:b/>
          <w:bCs/>
          <w:snapToGrid/>
          <w:color w:val="000000"/>
          <w:kern w:val="2"/>
          <w:sz w:val="24"/>
          <w:szCs w:val="24"/>
          <w:lang w:val="en-US" w:eastAsia="zh-CN"/>
        </w:rPr>
        <w:t>2.服 务 期：</w:t>
      </w:r>
      <w:r>
        <w:rPr>
          <w:rFonts w:hint="eastAsia" w:ascii="宋体" w:hAnsi="宋体" w:eastAsia="宋体" w:cs="宋体"/>
          <w:b w:val="0"/>
          <w:bCs w:val="0"/>
          <w:snapToGrid/>
          <w:color w:val="000000"/>
          <w:kern w:val="2"/>
          <w:sz w:val="24"/>
          <w:szCs w:val="24"/>
          <w:lang w:val="en-US" w:eastAsia="zh-CN"/>
        </w:rPr>
        <w:t>1年</w:t>
      </w:r>
    </w:p>
    <w:p w14:paraId="588C910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kern w:val="2"/>
          <w:sz w:val="24"/>
          <w:szCs w:val="24"/>
          <w:lang w:val="en-US" w:eastAsia="zh-CN" w:bidi="ar-SA"/>
        </w:rPr>
      </w:pPr>
      <w:r>
        <w:rPr>
          <w:rFonts w:hint="eastAsia" w:ascii="宋体" w:hAnsi="宋体" w:eastAsia="宋体" w:cs="宋体"/>
          <w:b/>
          <w:bCs/>
          <w:snapToGrid/>
          <w:color w:val="000000"/>
          <w:kern w:val="2"/>
          <w:sz w:val="24"/>
          <w:szCs w:val="24"/>
          <w:lang w:val="en-US" w:eastAsia="zh-CN" w:bidi="ar-SA"/>
        </w:rPr>
        <w:t>3.招标方式：</w:t>
      </w:r>
      <w:r>
        <w:rPr>
          <w:rFonts w:hint="eastAsia" w:ascii="宋体" w:hAnsi="宋体" w:eastAsia="宋体" w:cs="宋体"/>
          <w:b w:val="0"/>
          <w:bCs w:val="0"/>
          <w:snapToGrid/>
          <w:color w:val="000000"/>
          <w:kern w:val="2"/>
          <w:sz w:val="24"/>
          <w:szCs w:val="24"/>
          <w:lang w:val="en-US" w:eastAsia="zh-CN" w:bidi="ar-SA"/>
        </w:rPr>
        <w:t>公开招标</w:t>
      </w:r>
    </w:p>
    <w:p w14:paraId="4BF90C3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kern w:val="2"/>
          <w:sz w:val="24"/>
          <w:szCs w:val="24"/>
          <w:lang w:val="en-US" w:eastAsia="zh-CN" w:bidi="ar-SA"/>
        </w:rPr>
      </w:pPr>
      <w:r>
        <w:rPr>
          <w:rFonts w:hint="eastAsia" w:ascii="宋体" w:hAnsi="宋体" w:eastAsia="宋体" w:cs="宋体"/>
          <w:b/>
          <w:bCs/>
          <w:snapToGrid/>
          <w:color w:val="000000"/>
          <w:kern w:val="2"/>
          <w:sz w:val="24"/>
          <w:szCs w:val="24"/>
          <w:lang w:val="en-US" w:eastAsia="zh-CN" w:bidi="ar-SA"/>
        </w:rPr>
        <w:t>4.公告媒介：</w:t>
      </w:r>
      <w:r>
        <w:rPr>
          <w:rFonts w:hint="eastAsia" w:ascii="宋体" w:hAnsi="宋体" w:eastAsia="宋体" w:cs="宋体"/>
          <w:b w:val="0"/>
          <w:bCs w:val="0"/>
          <w:snapToGrid/>
          <w:color w:val="000000"/>
          <w:kern w:val="2"/>
          <w:sz w:val="24"/>
          <w:szCs w:val="24"/>
          <w:lang w:val="en-US" w:eastAsia="zh-CN" w:bidi="ar-SA"/>
        </w:rPr>
        <w:t>新疆政府采购网</w:t>
      </w:r>
    </w:p>
    <w:p w14:paraId="1C52595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napToGrid w:val="0"/>
          <w:color w:val="000000"/>
          <w:kern w:val="0"/>
          <w:sz w:val="24"/>
          <w:szCs w:val="24"/>
          <w:lang w:val="zh-CN" w:eastAsia="zh-CN" w:bidi="ar-SA"/>
        </w:rPr>
      </w:pPr>
      <w:r>
        <w:rPr>
          <w:rFonts w:hint="eastAsia" w:ascii="宋体" w:hAnsi="宋体" w:eastAsia="宋体" w:cs="宋体"/>
          <w:b/>
          <w:bCs/>
          <w:snapToGrid/>
          <w:color w:val="000000"/>
          <w:kern w:val="2"/>
          <w:sz w:val="24"/>
          <w:szCs w:val="24"/>
          <w:lang w:val="en-US" w:eastAsia="zh-CN" w:bidi="ar-SA"/>
        </w:rPr>
        <w:t>5.开评标地点及参标人员：</w:t>
      </w:r>
      <w:r>
        <w:rPr>
          <w:rFonts w:hint="eastAsia" w:ascii="宋体" w:hAnsi="宋体" w:eastAsia="宋体" w:cs="宋体"/>
          <w:snapToGrid/>
          <w:color w:val="000000"/>
          <w:kern w:val="2"/>
          <w:sz w:val="24"/>
          <w:szCs w:val="24"/>
          <w:lang w:val="en-US" w:eastAsia="zh-CN" w:bidi="ar-SA"/>
        </w:rPr>
        <w:t>地点拟定在阿克苏市</w:t>
      </w:r>
    </w:p>
    <w:p w14:paraId="2045DBA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en-US" w:eastAsia="zh-CN" w:bidi="ar-SA"/>
        </w:rPr>
        <w:t>二、</w:t>
      </w:r>
      <w:r>
        <w:rPr>
          <w:rFonts w:hint="eastAsia" w:ascii="宋体" w:hAnsi="宋体" w:eastAsia="宋体" w:cs="宋体"/>
          <w:b w:val="0"/>
          <w:bCs w:val="0"/>
          <w:snapToGrid w:val="0"/>
          <w:color w:val="000000"/>
          <w:kern w:val="2"/>
          <w:sz w:val="24"/>
          <w:szCs w:val="24"/>
          <w:shd w:val="clear" w:color="auto" w:fill="FFFFFF"/>
          <w:lang w:val="zh-CN" w:eastAsia="zh-CN" w:bidi="ar-SA"/>
        </w:rPr>
        <w:t>实施步骤</w:t>
      </w:r>
    </w:p>
    <w:p w14:paraId="67501432">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1</w:t>
      </w:r>
      <w:r>
        <w:rPr>
          <w:rFonts w:hint="eastAsia" w:ascii="宋体" w:hAnsi="宋体" w:eastAsia="宋体" w:cs="宋体"/>
          <w:snapToGrid w:val="0"/>
          <w:color w:val="000000"/>
          <w:kern w:val="2"/>
          <w:sz w:val="24"/>
          <w:szCs w:val="24"/>
          <w:shd w:val="clear" w:color="auto" w:fill="FFFFFF"/>
          <w:lang w:val="zh-CN" w:eastAsia="zh-CN" w:bidi="ar-SA"/>
        </w:rPr>
        <w:t>.与</w:t>
      </w:r>
      <w:r>
        <w:rPr>
          <w:rFonts w:hint="eastAsia" w:ascii="宋体" w:hAnsi="宋体" w:eastAsia="宋体" w:cs="宋体"/>
          <w:snapToGrid w:val="0"/>
          <w:color w:val="000000"/>
          <w:kern w:val="2"/>
          <w:sz w:val="24"/>
          <w:szCs w:val="24"/>
          <w:shd w:val="clear" w:color="auto" w:fill="FFFFFF"/>
          <w:lang w:val="en-US" w:eastAsia="zh-CN" w:bidi="ar-SA"/>
        </w:rPr>
        <w:t>所</w:t>
      </w:r>
      <w:r>
        <w:rPr>
          <w:rFonts w:hint="eastAsia" w:ascii="宋体" w:hAnsi="宋体" w:eastAsia="宋体" w:cs="宋体"/>
          <w:snapToGrid w:val="0"/>
          <w:color w:val="000000"/>
          <w:kern w:val="2"/>
          <w:sz w:val="24"/>
          <w:szCs w:val="24"/>
          <w:shd w:val="clear" w:color="auto" w:fill="FFFFFF"/>
          <w:lang w:val="zh-CN" w:eastAsia="zh-CN" w:bidi="ar-SA"/>
        </w:rPr>
        <w:t>选定的招标代理公司签订《招标委托代理合同》及《保密协议》。</w:t>
      </w:r>
    </w:p>
    <w:p w14:paraId="190ABF60">
      <w:pPr>
        <w:keepNext w:val="0"/>
        <w:keepLines w:val="0"/>
        <w:pageBreakBefore w:val="0"/>
        <w:widowControl w:val="0"/>
        <w:shd w:val="clear" w:color="auto" w:fill="auto"/>
        <w:tabs>
          <w:tab w:val="left" w:pos="116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2</w:t>
      </w:r>
      <w:r>
        <w:rPr>
          <w:rFonts w:hint="eastAsia" w:ascii="宋体" w:hAnsi="宋体" w:eastAsia="宋体" w:cs="宋体"/>
          <w:snapToGrid w:val="0"/>
          <w:color w:val="000000"/>
          <w:kern w:val="2"/>
          <w:sz w:val="24"/>
          <w:szCs w:val="24"/>
          <w:shd w:val="clear" w:color="auto" w:fill="FFFFFF"/>
          <w:lang w:val="zh-CN" w:eastAsia="zh-CN" w:bidi="ar-SA"/>
        </w:rPr>
        <w:t>.根据生活物资需求种类、规格、产地及实际情况明确招标范围、确定生活物资招标分类和具体品种及要求。</w:t>
      </w:r>
    </w:p>
    <w:p w14:paraId="3751291C">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3</w:t>
      </w:r>
      <w:r>
        <w:rPr>
          <w:rFonts w:hint="eastAsia" w:ascii="宋体" w:hAnsi="宋体" w:eastAsia="宋体" w:cs="宋体"/>
          <w:snapToGrid w:val="0"/>
          <w:color w:val="000000"/>
          <w:kern w:val="2"/>
          <w:sz w:val="24"/>
          <w:szCs w:val="24"/>
          <w:shd w:val="clear" w:color="auto" w:fill="FFFFFF"/>
          <w:lang w:val="zh-CN" w:eastAsia="zh-CN" w:bidi="ar-SA"/>
        </w:rPr>
        <w:t>.根据保密工作纪律要求，招标代理机构在互联网上公开发布招标采购信息时，不得出现甲方</w:t>
      </w:r>
      <w:r>
        <w:rPr>
          <w:rFonts w:hint="eastAsia" w:ascii="宋体" w:hAnsi="宋体" w:eastAsia="宋体" w:cs="宋体"/>
          <w:snapToGrid w:val="0"/>
          <w:color w:val="000000"/>
          <w:kern w:val="2"/>
          <w:sz w:val="24"/>
          <w:szCs w:val="24"/>
          <w:shd w:val="clear" w:color="auto" w:fill="FFFFFF"/>
          <w:lang w:val="en-US" w:eastAsia="zh-CN" w:bidi="ar-SA"/>
        </w:rPr>
        <w:t>单位</w:t>
      </w:r>
      <w:r>
        <w:rPr>
          <w:rFonts w:hint="eastAsia" w:ascii="宋体" w:hAnsi="宋体" w:eastAsia="宋体" w:cs="宋体"/>
          <w:snapToGrid w:val="0"/>
          <w:color w:val="000000"/>
          <w:kern w:val="2"/>
          <w:sz w:val="24"/>
          <w:szCs w:val="24"/>
          <w:shd w:val="clear" w:color="auto" w:fill="FFFFFF"/>
          <w:lang w:val="zh-CN" w:eastAsia="zh-CN" w:bidi="ar-SA"/>
        </w:rPr>
        <w:t>名称，采购数量等涉密信息，应以“阿克苏某单位2026-2027年牛羊肉采购项目”类似内容进行发布。</w:t>
      </w:r>
    </w:p>
    <w:p w14:paraId="26EC3AB4">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shd w:val="clear" w:color="auto" w:fill="FFFFFF"/>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4</w:t>
      </w:r>
      <w:r>
        <w:rPr>
          <w:rFonts w:hint="eastAsia" w:ascii="宋体" w:hAnsi="宋体" w:eastAsia="宋体" w:cs="宋体"/>
          <w:snapToGrid w:val="0"/>
          <w:color w:val="000000"/>
          <w:kern w:val="2"/>
          <w:sz w:val="24"/>
          <w:szCs w:val="24"/>
          <w:shd w:val="clear" w:color="auto" w:fill="FFFFFF"/>
          <w:lang w:val="zh-CN" w:eastAsia="zh-CN" w:bidi="ar-SA"/>
        </w:rPr>
        <w:t>.招标代理机构发布招标公告，确定投标时间，发售招标文件（招标文件显著位置需注明招标代理服务费由中标人支付）。招标代理机构在发售招标文件时，按与</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签订代理招标合同向供应商收取费用，不得向未通过资格审查、未签订保密协议书的潜在投标企业发售招标文件、收取投标保证金等费用。招标代理机构发布招标公告中要明确告知投标企业，若中标，则中标企业必须严格执行相关规定，若违约或不能执行，中标企业须承担相应责任。投标企业对招标文件有疑问时，由招标代理机构组织召开招标答疑会，补充完善修订招标文件。</w:t>
      </w:r>
    </w:p>
    <w:p w14:paraId="19DBD76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5</w:t>
      </w:r>
      <w:r>
        <w:rPr>
          <w:rFonts w:hint="eastAsia" w:ascii="宋体" w:hAnsi="宋体" w:eastAsia="宋体" w:cs="宋体"/>
          <w:snapToGrid w:val="0"/>
          <w:color w:val="000000"/>
          <w:kern w:val="2"/>
          <w:sz w:val="24"/>
          <w:szCs w:val="24"/>
          <w:shd w:val="clear" w:color="auto" w:fill="FFFFFF"/>
          <w:lang w:val="zh-CN" w:eastAsia="zh-CN" w:bidi="ar-SA"/>
        </w:rPr>
        <w:t>.供货服务期限为一年。</w:t>
      </w:r>
    </w:p>
    <w:p w14:paraId="1E575C8C">
      <w:pPr>
        <w:keepNext w:val="0"/>
        <w:keepLines w:val="0"/>
        <w:pageBreakBefore w:val="0"/>
        <w:widowControl w:val="0"/>
        <w:shd w:val="clear" w:color="auto" w:fill="auto"/>
        <w:tabs>
          <w:tab w:val="left" w:pos="1335"/>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6</w:t>
      </w:r>
      <w:r>
        <w:rPr>
          <w:rFonts w:hint="eastAsia" w:ascii="宋体" w:hAnsi="宋体" w:eastAsia="宋体" w:cs="宋体"/>
          <w:snapToGrid w:val="0"/>
          <w:color w:val="000000"/>
          <w:kern w:val="2"/>
          <w:sz w:val="24"/>
          <w:szCs w:val="24"/>
          <w:shd w:val="clear" w:color="auto" w:fill="FFFFFF"/>
          <w:lang w:val="zh-CN" w:eastAsia="zh-CN" w:bidi="ar-SA"/>
        </w:rPr>
        <w:t>.招标代理机构根据招标程序规定进行招标，在评标过程中必须按照现行评标规则和要求，独立、客观、公正的原则量化打分。</w:t>
      </w:r>
    </w:p>
    <w:p w14:paraId="109102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（二）合同签订</w:t>
      </w:r>
    </w:p>
    <w:p w14:paraId="0740E22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1.中标企业携带中标通知书、企业营业执照、开户许可证、法人证明或法人委托书、合同（依据招标文件）与采购招标组协商合同事宜后按合同审批程序，逐级审核、签订，签订期限为一年。</w:t>
      </w:r>
    </w:p>
    <w:p w14:paraId="5FD5054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2"/>
          <w:sz w:val="24"/>
          <w:szCs w:val="24"/>
          <w:shd w:val="clear" w:color="auto" w:fill="FFFFFF"/>
          <w:lang w:val="zh-CN" w:eastAsia="zh-CN" w:bidi="ar-SA"/>
        </w:rPr>
        <w:t>2.中标企业自愿与我单位签订《保密协议书》、《供应商廉洁自律承诺书》合同等相关资料，并根据合同约定进行物资配送。</w:t>
      </w:r>
      <w:r>
        <w:rPr>
          <w:rFonts w:hint="eastAsia" w:ascii="宋体" w:hAnsi="宋体" w:eastAsia="宋体" w:cs="宋体"/>
          <w:snapToGrid w:val="0"/>
          <w:color w:val="000000"/>
          <w:kern w:val="2"/>
          <w:sz w:val="24"/>
          <w:szCs w:val="24"/>
          <w:shd w:val="clear" w:color="auto" w:fill="FFFFFF"/>
          <w:lang w:val="en-US" w:eastAsia="zh-CN" w:bidi="ar-SA"/>
        </w:rPr>
        <w:t xml:space="preserve"> </w:t>
      </w:r>
    </w:p>
    <w:p w14:paraId="4471883A">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（三）物资配送管理</w:t>
      </w:r>
    </w:p>
    <w:p w14:paraId="4F8D7B7C">
      <w:pPr>
        <w:keepNext w:val="0"/>
        <w:keepLines w:val="0"/>
        <w:pageBreakBefore w:val="0"/>
        <w:widowControl w:val="0"/>
        <w:shd w:val="clear" w:color="auto" w:fill="auto"/>
        <w:tabs>
          <w:tab w:val="left" w:pos="1138"/>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1.根据</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需求制定生活物资配送计划及物资规格要求，提前</w:t>
      </w:r>
      <w:r>
        <w:rPr>
          <w:rFonts w:hint="eastAsia" w:ascii="宋体" w:hAnsi="宋体" w:eastAsia="宋体" w:cs="宋体"/>
          <w:snapToGrid w:val="0"/>
          <w:color w:val="000000"/>
          <w:kern w:val="2"/>
          <w:sz w:val="24"/>
          <w:szCs w:val="24"/>
          <w:shd w:val="clear" w:color="auto" w:fill="FFFFFF"/>
          <w:lang w:val="en-US" w:eastAsia="zh-CN" w:bidi="ar-SA"/>
        </w:rPr>
        <w:t>3</w:t>
      </w:r>
      <w:r>
        <w:rPr>
          <w:rFonts w:hint="eastAsia" w:ascii="宋体" w:hAnsi="宋体" w:eastAsia="宋体" w:cs="宋体"/>
          <w:snapToGrid w:val="0"/>
          <w:color w:val="000000"/>
          <w:kern w:val="2"/>
          <w:sz w:val="24"/>
          <w:szCs w:val="24"/>
          <w:shd w:val="clear" w:color="auto" w:fill="FFFFFF"/>
          <w:lang w:val="zh-CN" w:eastAsia="zh-CN" w:bidi="ar-SA"/>
        </w:rPr>
        <w:t>日告知供应商。</w:t>
      </w:r>
    </w:p>
    <w:p w14:paraId="5F65254E">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2.</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对配送的物资进行检查、验收、登记入库，当面核实数量，双方签字确认，做到账物相符。食品类物资供应商必须根据当日配送物资检疫部门出具的检疫报告，对过期、临期及变质不符合食品安全要求的物资坚决不入库，一律退货，在规定时间内重新配送，确保配送的生活物资质量</w:t>
      </w:r>
      <w:r>
        <w:rPr>
          <w:rFonts w:hint="eastAsia" w:ascii="宋体" w:hAnsi="宋体" w:eastAsia="宋体" w:cs="宋体"/>
          <w:snapToGrid w:val="0"/>
          <w:color w:val="000000"/>
          <w:kern w:val="2"/>
          <w:sz w:val="24"/>
          <w:szCs w:val="24"/>
          <w:shd w:val="clear" w:color="auto" w:fill="FFFFFF"/>
          <w:lang w:val="en-US" w:eastAsia="zh-CN" w:bidi="ar-SA"/>
        </w:rPr>
        <w:t>达</w:t>
      </w:r>
      <w:r>
        <w:rPr>
          <w:rFonts w:hint="eastAsia" w:ascii="宋体" w:hAnsi="宋体" w:eastAsia="宋体" w:cs="宋体"/>
          <w:snapToGrid w:val="0"/>
          <w:color w:val="000000"/>
          <w:kern w:val="2"/>
          <w:sz w:val="24"/>
          <w:szCs w:val="24"/>
          <w:shd w:val="clear" w:color="auto" w:fill="FFFFFF"/>
          <w:lang w:val="zh-CN" w:eastAsia="zh-CN" w:bidi="ar-SA"/>
        </w:rPr>
        <w:t>标。</w:t>
      </w:r>
    </w:p>
    <w:p w14:paraId="640FF214">
      <w:pPr>
        <w:keepNext w:val="0"/>
        <w:keepLines w:val="0"/>
        <w:pageBreakBefore w:val="0"/>
        <w:widowControl w:val="0"/>
        <w:shd w:val="clear" w:color="auto" w:fill="auto"/>
        <w:tabs>
          <w:tab w:val="left" w:pos="1827"/>
        </w:tabs>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bCs/>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（四）生活物资对账结算</w:t>
      </w:r>
    </w:p>
    <w:p w14:paraId="2E70CFF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1.</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根据配送的生活物资送货单、验收入库单等资料及时和供应商进行物资品种、数量、价格进行对账，品种、价格必须按合同约定执行，扣除损坏部分，对账无误后确定物资结算款数。</w:t>
      </w:r>
    </w:p>
    <w:p w14:paraId="1430EFAD">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napToGrid w:val="0"/>
          <w:color w:val="000000"/>
          <w:kern w:val="2"/>
          <w:sz w:val="32"/>
          <w:szCs w:val="32"/>
          <w:shd w:val="clear" w:color="auto" w:fill="FFFFFF"/>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2.供应商向</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提供发票、收据、法人证明书或法人委托书等相关财务结账所需资料，经</w:t>
      </w:r>
      <w:r>
        <w:rPr>
          <w:rFonts w:hint="eastAsia" w:ascii="宋体" w:hAnsi="宋体" w:eastAsia="宋体" w:cs="宋体"/>
          <w:snapToGrid w:val="0"/>
          <w:color w:val="000000"/>
          <w:kern w:val="2"/>
          <w:sz w:val="24"/>
          <w:szCs w:val="24"/>
          <w:shd w:val="clear" w:color="auto" w:fill="FFFFFF"/>
          <w:lang w:val="en-US" w:eastAsia="zh-CN" w:bidi="ar-SA"/>
        </w:rPr>
        <w:t>需求部门</w:t>
      </w:r>
      <w:r>
        <w:rPr>
          <w:rFonts w:hint="eastAsia" w:ascii="宋体" w:hAnsi="宋体" w:eastAsia="宋体" w:cs="宋体"/>
          <w:snapToGrid w:val="0"/>
          <w:color w:val="000000"/>
          <w:kern w:val="2"/>
          <w:sz w:val="24"/>
          <w:szCs w:val="24"/>
          <w:shd w:val="clear" w:color="auto" w:fill="FFFFFF"/>
          <w:lang w:val="zh-CN" w:eastAsia="zh-CN" w:bidi="ar-SA"/>
        </w:rPr>
        <w:t>财务装备科审核，确认无误后，按财务制度结算货款。</w:t>
      </w:r>
    </w:p>
    <w:p w14:paraId="3324A6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2" w:line="440" w:lineRule="exact"/>
        <w:jc w:val="both"/>
        <w:textAlignment w:val="baseline"/>
        <w:outlineLvl w:val="0"/>
        <w:rPr>
          <w:rFonts w:ascii="宋体" w:hAnsi="宋体" w:eastAsia="宋体" w:cs="宋体"/>
          <w:b/>
          <w:bCs/>
          <w:spacing w:val="5"/>
          <w:sz w:val="35"/>
          <w:szCs w:val="35"/>
          <w:highlight w:val="none"/>
        </w:rPr>
      </w:pPr>
    </w:p>
    <w:p w14:paraId="736C6B28">
      <w:pPr>
        <w:pStyle w:val="14"/>
        <w:rPr>
          <w:rFonts w:ascii="宋体" w:hAnsi="宋体" w:eastAsia="宋体" w:cs="宋体"/>
          <w:b/>
          <w:bCs/>
          <w:spacing w:val="5"/>
          <w:sz w:val="35"/>
          <w:szCs w:val="35"/>
          <w:highlight w:val="none"/>
        </w:rPr>
      </w:pPr>
    </w:p>
    <w:p w14:paraId="79883AA9"/>
    <w:p w14:paraId="1C90D9E6">
      <w:pPr>
        <w:bidi w:val="0"/>
      </w:pPr>
    </w:p>
    <w:p w14:paraId="08019B9E">
      <w:pPr>
        <w:pStyle w:val="2"/>
      </w:pPr>
    </w:p>
    <w:p w14:paraId="6EC38ABD">
      <w:pPr>
        <w:widowControl w:val="0"/>
        <w:spacing w:before="78" w:after="120" w:line="219" w:lineRule="auto"/>
        <w:ind w:left="3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bCs/>
          <w:spacing w:val="-4"/>
          <w:kern w:val="2"/>
          <w:sz w:val="24"/>
          <w:szCs w:val="24"/>
          <w:highlight w:val="none"/>
          <w:lang w:val="en-US" w:eastAsia="zh-CN" w:bidi="ar-SA"/>
        </w:rPr>
        <w:t>一、★招标清单</w:t>
      </w:r>
    </w:p>
    <w:p w14:paraId="43C5C1CD">
      <w:pPr>
        <w:spacing w:line="69" w:lineRule="exact"/>
        <w:rPr>
          <w:rFonts w:hint="eastAsia" w:ascii="宋体" w:hAnsi="宋体" w:eastAsia="宋体" w:cs="宋体"/>
          <w:szCs w:val="22"/>
          <w:highlight w:val="none"/>
        </w:rPr>
      </w:pPr>
    </w:p>
    <w:tbl>
      <w:tblPr>
        <w:tblStyle w:val="16"/>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996"/>
        <w:gridCol w:w="1020"/>
        <w:gridCol w:w="1416"/>
        <w:gridCol w:w="585"/>
        <w:gridCol w:w="1970"/>
        <w:gridCol w:w="1955"/>
      </w:tblGrid>
      <w:tr w14:paraId="162E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98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F6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采购物资名称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9F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具体参数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C6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质量标准</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1C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D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最高限价（元）</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C11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质量要求</w:t>
            </w:r>
          </w:p>
        </w:tc>
      </w:tr>
      <w:tr w14:paraId="7A59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0" w:hRule="atLeast"/>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8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牛前腿肉</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牛肉的油脂率（即脂肪含量）不超过5%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2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17238-2022《鲜、冻分割牛肉》、GB/T 9960-2008《鲜、冻四分体牛肉》、GB 2707-2016《食品安全国家标准 鲜（冻）畜、禽产品》、NY/T 630-2002《羊肉质量分级》、GB 18393-2001《牛羊屠宰产品品质检验规则》</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8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7D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按照乌鲁木齐市北园春官网中间价为基准，供应商报下浮率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1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须有加盖国家或地方政府监督所检疫章的动物检疫证明、食用农产品合格证、肉品质量检验验证，且在有效期内，并通过扫码追溯核查。肉品色泽鲜亮、无任何异味，纹理清晰、肉质细腻，品质好，不允许是冻肉、合成肉、注水肉、病死</w:t>
            </w:r>
            <w:r>
              <w:rPr>
                <w:rFonts w:hint="eastAsia" w:ascii="宋体" w:hAnsi="宋体" w:eastAsia="宋体" w:cs="宋体"/>
                <w:i w:val="0"/>
                <w:iCs w:val="0"/>
                <w:color w:val="000000"/>
                <w:kern w:val="0"/>
                <w:sz w:val="24"/>
                <w:szCs w:val="24"/>
                <w:highlight w:val="none"/>
                <w:u w:val="none"/>
                <w:lang w:val="en-US" w:eastAsia="zh-CN" w:bidi="ar"/>
              </w:rPr>
              <w:t>肉</w:t>
            </w:r>
            <w:r>
              <w:rPr>
                <w:rFonts w:hint="eastAsia" w:ascii="宋体" w:hAnsi="宋体" w:eastAsia="宋体" w:cs="宋体"/>
                <w:i w:val="0"/>
                <w:iCs w:val="0"/>
                <w:color w:val="000000"/>
                <w:kern w:val="0"/>
                <w:sz w:val="24"/>
                <w:szCs w:val="24"/>
                <w:u w:val="none"/>
                <w:lang w:val="en-US" w:eastAsia="zh-CN" w:bidi="ar"/>
              </w:rPr>
              <w:t>等一些不合格肉类、提供的食材，不得虚假合格证件、肉类必须为新鲜屠宰，屠宰日期至送货日期不得超过 5 日，含油量不得超过 5%、送货时必须使用冷藏车。物资的保质期剩余时间不能低于 “保质总期限” 的 1/2 或 1/3、自备安全绳、安全帽每辆车保证不少于五套。</w:t>
            </w:r>
          </w:p>
        </w:tc>
      </w:tr>
      <w:tr w14:paraId="62AC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0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羊肉剔骨肉</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5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食用羊肉的油脂率（脂肪含量）不超过10%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5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17238-2022《鲜羊肉》、GB 2707-2016《食品安全国家标准 鲜（冻）畜、禽产品》、NY/T 630-2002《羊肉质量分级》、GB 18393-2001《牛羊屠宰产品品质检验规则》</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0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41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按照乌鲁木齐市北园春官网中间价为基准，供应商报下浮率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6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肉剔骨肉须有加盖国家或地方政府监督所检疫章的动物检疫证明、食用农产品合格证、肉品质量检验验证，且在有效期内，并通过扫码追溯核查。肉品色泽鲜亮、无任何异味，纹理清晰、肉质细腻，品质好，不允许是冻肉、合成肉、注水肉、病死肉等一些不合格肉类、提供的食材，不得虚假合格证件、肉类必须为新鲜屠宰，屠宰日期至送货日期不得超过 5 日，含油量不得超过 10%、送货时必须使用冷藏车。物资的保质期剩余时间不能低于 “保质总期限” 的 1/2 或 1/3、自备安全绳、安全帽每辆车保证不少于五套。</w:t>
            </w:r>
          </w:p>
        </w:tc>
      </w:tr>
    </w:tbl>
    <w:p w14:paraId="5FECB63E">
      <w:pPr>
        <w:rPr>
          <w:rFonts w:hint="eastAsia"/>
          <w:color w:val="FF0000"/>
        </w:rPr>
      </w:pPr>
    </w:p>
    <w:p w14:paraId="7E2172E7">
      <w:pPr>
        <w:pStyle w:val="5"/>
        <w:keepNext w:val="0"/>
        <w:keepLines w:val="0"/>
        <w:pageBreakBefore w:val="0"/>
        <w:widowControl/>
        <w:kinsoku w:val="0"/>
        <w:wordWrap/>
        <w:overflowPunct/>
        <w:topLinePunct w:val="0"/>
        <w:autoSpaceDE w:val="0"/>
        <w:autoSpaceDN w:val="0"/>
        <w:bidi w:val="0"/>
        <w:adjustRightInd w:val="0"/>
        <w:snapToGrid w:val="0"/>
        <w:spacing w:before="78" w:afterAutospacing="0" w:line="360" w:lineRule="auto"/>
        <w:ind w:left="30" w:firstLine="46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二、★品种及数量要求：</w:t>
      </w:r>
    </w:p>
    <w:p w14:paraId="424B62B5">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1、货物的品种：采购人每送货周期指定定购的牛羊肉类。</w:t>
      </w:r>
    </w:p>
    <w:p w14:paraId="5B60A44A">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2、货物的数量：按采购人每周指定定购数量（含称重）为准（此重量为去完皮的重量，去皮重量以实际为准）。</w:t>
      </w:r>
    </w:p>
    <w:p w14:paraId="4781F6B4">
      <w:pPr>
        <w:pStyle w:val="5"/>
        <w:keepNext w:val="0"/>
        <w:keepLines w:val="0"/>
        <w:pageBreakBefore w:val="0"/>
        <w:widowControl/>
        <w:kinsoku w:val="0"/>
        <w:wordWrap/>
        <w:overflowPunct/>
        <w:topLinePunct w:val="0"/>
        <w:autoSpaceDE w:val="0"/>
        <w:autoSpaceDN w:val="0"/>
        <w:bidi w:val="0"/>
        <w:adjustRightInd w:val="0"/>
        <w:snapToGrid w:val="0"/>
        <w:spacing w:before="182" w:afterAutospacing="0" w:line="360" w:lineRule="auto"/>
        <w:ind w:left="44" w:firstLine="478" w:firstLineChars="200"/>
        <w:textAlignment w:val="baseline"/>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三、★质量要求</w:t>
      </w:r>
    </w:p>
    <w:p w14:paraId="76D34126">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总体质量要求：供货商交付的货物质量应当符合国家标准的要求，并且符合相关行业标准要求，达到采购人的使用要求。不得有掺假、变质、变味、过期等现象出现，严禁提供伪劣、假冒、无证不合格货品进入食堂。出现质量问题，2小时内立即按要求进行退换。</w:t>
      </w:r>
    </w:p>
    <w:p w14:paraId="40C1064A">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2、牛肉的质量要求 </w:t>
      </w:r>
    </w:p>
    <w:p w14:paraId="2F299678">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牛肉：瘦肉呈均匀的鲜红色或深红色，有自然光泽（类似新鲜樱桃的颜色），新鲜脂肪呈乳白色或微黄色，质地紧实；</w:t>
      </w:r>
    </w:p>
    <w:p w14:paraId="7D75670F">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气味：散发淡淡肉香，无刺鼻气味。</w:t>
      </w:r>
    </w:p>
    <w:p w14:paraId="3C5ED0C8">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严禁变质：若有酸味、氨味（类似厕所味）、腐臭味或强烈血腥味，</w:t>
      </w:r>
    </w:p>
    <w:p w14:paraId="6D093593">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牛肉表面微湿润，不粘手；若表面发黏、有黏液，可能已滋生细菌。</w:t>
      </w:r>
    </w:p>
    <w:p w14:paraId="60960418">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牛肉应形态完整，无明显撕裂、碎肉；切片肉需边缘整齐，无多余筋膜、血块或毛发</w:t>
      </w:r>
      <w:r>
        <w:rPr>
          <w:rFonts w:hint="eastAsia" w:ascii="宋体" w:hAnsi="宋体" w:cs="宋体"/>
          <w:i w:val="0"/>
          <w:iCs w:val="0"/>
          <w:color w:val="auto"/>
          <w:kern w:val="0"/>
          <w:sz w:val="24"/>
          <w:szCs w:val="24"/>
          <w:u w:val="none"/>
          <w:lang w:val="en-US" w:eastAsia="zh-CN" w:bidi="ar"/>
        </w:rPr>
        <w:t>。</w:t>
      </w:r>
    </w:p>
    <w:p w14:paraId="0ECFCDC8">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出示检疫证明，避免未经过检疫的私宰肉。</w:t>
      </w:r>
    </w:p>
    <w:p w14:paraId="37E72715">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10" w:beforeAutospacing="0" w:after="10" w:afterAutospacing="0" w:line="360" w:lineRule="auto"/>
        <w:ind w:firstLine="482" w:firstLineChars="200"/>
        <w:textAlignment w:val="baseline"/>
        <w:rPr>
          <w:rFonts w:hint="eastAsia" w:ascii="宋体" w:hAnsi="宋体" w:eastAsia="宋体" w:cs="宋体"/>
          <w:color w:val="auto"/>
          <w:sz w:val="24"/>
          <w:szCs w:val="24"/>
          <w:highlight w:val="none"/>
        </w:rPr>
      </w:pPr>
      <w:r>
        <w:rPr>
          <w:rStyle w:val="19"/>
          <w:rFonts w:hint="eastAsia" w:ascii="宋体" w:hAnsi="宋体" w:eastAsia="宋体" w:cs="宋体"/>
          <w:b/>
          <w:bCs/>
          <w:i w:val="0"/>
          <w:iCs w:val="0"/>
          <w:caps w:val="0"/>
          <w:color w:val="auto"/>
          <w:spacing w:val="0"/>
          <w:sz w:val="24"/>
          <w:szCs w:val="24"/>
          <w:highlight w:val="none"/>
          <w:shd w:val="clear" w:color="auto" w:fill="FFFFFF"/>
          <w:lang w:eastAsia="zh-CN"/>
        </w:rPr>
        <w:t>严禁</w:t>
      </w:r>
      <w:r>
        <w:rPr>
          <w:rStyle w:val="19"/>
          <w:rFonts w:hint="eastAsia" w:ascii="宋体" w:hAnsi="宋体" w:eastAsia="宋体" w:cs="宋体"/>
          <w:b/>
          <w:bCs/>
          <w:i w:val="0"/>
          <w:iCs w:val="0"/>
          <w:caps w:val="0"/>
          <w:color w:val="auto"/>
          <w:spacing w:val="0"/>
          <w:sz w:val="24"/>
          <w:szCs w:val="24"/>
          <w:highlight w:val="none"/>
          <w:shd w:val="clear" w:color="auto" w:fill="FFFFFF"/>
        </w:rPr>
        <w:t>注胶肉</w:t>
      </w:r>
      <w:r>
        <w:rPr>
          <w:rFonts w:hint="eastAsia" w:ascii="宋体" w:hAnsi="宋体" w:eastAsia="宋体" w:cs="宋体"/>
          <w:i w:val="0"/>
          <w:iCs w:val="0"/>
          <w:caps w:val="0"/>
          <w:color w:val="auto"/>
          <w:spacing w:val="0"/>
          <w:sz w:val="24"/>
          <w:szCs w:val="24"/>
          <w:highlight w:val="none"/>
          <w:shd w:val="clear" w:color="auto" w:fill="FFFFFF"/>
        </w:rPr>
        <w:t>：手感异常紧实，弹性过强，切开后内部有透明胶状物质，水煮时易出胶状物。</w:t>
      </w:r>
    </w:p>
    <w:p w14:paraId="0A2761BF">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10" w:beforeAutospacing="0" w:after="10" w:afterAutospacing="0" w:line="360" w:lineRule="auto"/>
        <w:ind w:firstLine="482" w:firstLineChars="200"/>
        <w:textAlignment w:val="baseline"/>
        <w:rPr>
          <w:rFonts w:hint="eastAsia" w:ascii="宋体" w:hAnsi="宋体" w:eastAsia="宋体" w:cs="宋体"/>
          <w:color w:val="auto"/>
          <w:spacing w:val="-1"/>
          <w:sz w:val="24"/>
          <w:szCs w:val="24"/>
          <w:highlight w:val="none"/>
        </w:rPr>
      </w:pPr>
      <w:r>
        <w:rPr>
          <w:rStyle w:val="19"/>
          <w:rFonts w:hint="eastAsia" w:ascii="宋体" w:hAnsi="宋体" w:eastAsia="宋体" w:cs="宋体"/>
          <w:b/>
          <w:bCs/>
          <w:i w:val="0"/>
          <w:iCs w:val="0"/>
          <w:caps w:val="0"/>
          <w:color w:val="auto"/>
          <w:spacing w:val="0"/>
          <w:sz w:val="24"/>
          <w:szCs w:val="24"/>
          <w:highlight w:val="none"/>
          <w:shd w:val="clear" w:color="auto" w:fill="FFFFFF"/>
          <w:lang w:eastAsia="zh-CN"/>
        </w:rPr>
        <w:t>严禁</w:t>
      </w:r>
      <w:r>
        <w:rPr>
          <w:rStyle w:val="19"/>
          <w:rFonts w:hint="eastAsia" w:ascii="宋体" w:hAnsi="宋体" w:eastAsia="宋体" w:cs="宋体"/>
          <w:b/>
          <w:bCs/>
          <w:i w:val="0"/>
          <w:iCs w:val="0"/>
          <w:caps w:val="0"/>
          <w:color w:val="auto"/>
          <w:spacing w:val="0"/>
          <w:sz w:val="24"/>
          <w:szCs w:val="24"/>
          <w:highlight w:val="none"/>
          <w:shd w:val="clear" w:color="auto" w:fill="FFFFFF"/>
        </w:rPr>
        <w:t>拼接肉</w:t>
      </w:r>
      <w:r>
        <w:rPr>
          <w:rFonts w:hint="eastAsia" w:ascii="宋体" w:hAnsi="宋体" w:eastAsia="宋体" w:cs="宋体"/>
          <w:i w:val="0"/>
          <w:iCs w:val="0"/>
          <w:caps w:val="0"/>
          <w:color w:val="auto"/>
          <w:spacing w:val="0"/>
          <w:sz w:val="24"/>
          <w:szCs w:val="24"/>
          <w:highlight w:val="none"/>
          <w:shd w:val="clear" w:color="auto" w:fill="FFFFFF"/>
        </w:rPr>
        <w:t>：肉片纹理杂乱、颜色不均匀，边缘有明显粘合痕迹（可用手轻撕，拼接肉易断开）</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41B1AE79">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10" w:beforeAutospacing="0" w:after="157" w:afterLines="50" w:afterAutospacing="0" w:line="360" w:lineRule="auto"/>
        <w:ind w:firstLine="480" w:firstLineChars="200"/>
        <w:textAlignment w:val="baseline"/>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lang w:eastAsia="zh-CN"/>
        </w:rPr>
        <w:t>羊肉的质量要求</w:t>
      </w:r>
    </w:p>
    <w:p w14:paraId="62E2A655">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羊肉：瘦肉呈均匀的鲜红色或深红色，有自然光泽（类似新鲜樱桃的颜色），新鲜脂肪呈乳白色或微黄色，质地紧实；若脂肪发黄、浑浊或有霉点。</w:t>
      </w:r>
    </w:p>
    <w:p w14:paraId="254EBA2B">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气味：散发淡淡肉香，无刺鼻气味。</w:t>
      </w:r>
    </w:p>
    <w:p w14:paraId="0E96DBE6">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严禁变质：若有酸味、氨味（类似厕所味）、腐臭味或强烈血腥味，羊肉表面微湿润，不粘手；若表面发黏、有黏液，可能已滋生细菌。</w:t>
      </w:r>
    </w:p>
    <w:p w14:paraId="485F3D21">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羊肉应形态完整，无明显撕裂、碎肉；切片肉需边缘整齐，无多余筋膜、血块或毛发。</w:t>
      </w:r>
    </w:p>
    <w:p w14:paraId="40DF470B">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出示检疫证明，避免未经过检疫的私宰肉。</w:t>
      </w:r>
    </w:p>
    <w:p w14:paraId="2703FB1D">
      <w:pPr>
        <w:keepNext w:val="0"/>
        <w:keepLines w:val="0"/>
        <w:pageBreakBefore w:val="0"/>
        <w:widowControl/>
        <w:numPr>
          <w:ilvl w:val="0"/>
          <w:numId w:val="0"/>
        </w:numPr>
        <w:suppressLineNumbers w:val="0"/>
        <w:pBdr>
          <w:left w:val="none" w:color="auto" w:sz="0" w:space="0"/>
        </w:pBdr>
        <w:kinsoku w:val="0"/>
        <w:wordWrap/>
        <w:overflowPunct/>
        <w:topLinePunct w:val="0"/>
        <w:autoSpaceDE w:val="0"/>
        <w:autoSpaceDN w:val="0"/>
        <w:bidi w:val="0"/>
        <w:adjustRightInd w:val="0"/>
        <w:snapToGrid w:val="0"/>
        <w:spacing w:before="10" w:beforeAutospacing="0" w:after="157" w:afterLines="50" w:afterAutospacing="0" w:line="360" w:lineRule="auto"/>
        <w:ind w:firstLine="482" w:firstLineChars="200"/>
        <w:textAlignment w:val="baseline"/>
        <w:rPr>
          <w:rFonts w:hint="eastAsia" w:ascii="宋体" w:hAnsi="宋体" w:eastAsia="宋体" w:cs="宋体"/>
          <w:color w:val="auto"/>
          <w:sz w:val="24"/>
          <w:szCs w:val="24"/>
          <w:highlight w:val="none"/>
        </w:rPr>
      </w:pPr>
      <w:r>
        <w:rPr>
          <w:rStyle w:val="19"/>
          <w:rFonts w:hint="eastAsia" w:ascii="宋体" w:hAnsi="宋体" w:eastAsia="宋体" w:cs="宋体"/>
          <w:b/>
          <w:bCs/>
          <w:i w:val="0"/>
          <w:iCs w:val="0"/>
          <w:caps w:val="0"/>
          <w:color w:val="auto"/>
          <w:spacing w:val="0"/>
          <w:sz w:val="24"/>
          <w:szCs w:val="24"/>
          <w:highlight w:val="none"/>
          <w:shd w:val="clear" w:color="auto" w:fill="FFFFFF"/>
          <w:lang w:eastAsia="zh-CN"/>
        </w:rPr>
        <w:t>严禁</w:t>
      </w:r>
      <w:r>
        <w:rPr>
          <w:rStyle w:val="19"/>
          <w:rFonts w:hint="eastAsia" w:ascii="宋体" w:hAnsi="宋体" w:eastAsia="宋体" w:cs="宋体"/>
          <w:b/>
          <w:bCs/>
          <w:i w:val="0"/>
          <w:iCs w:val="0"/>
          <w:caps w:val="0"/>
          <w:color w:val="auto"/>
          <w:spacing w:val="0"/>
          <w:sz w:val="24"/>
          <w:szCs w:val="24"/>
          <w:highlight w:val="none"/>
          <w:shd w:val="clear" w:color="auto" w:fill="FFFFFF"/>
        </w:rPr>
        <w:t>注胶肉</w:t>
      </w:r>
      <w:r>
        <w:rPr>
          <w:rFonts w:hint="eastAsia" w:ascii="宋体" w:hAnsi="宋体" w:eastAsia="宋体" w:cs="宋体"/>
          <w:i w:val="0"/>
          <w:iCs w:val="0"/>
          <w:caps w:val="0"/>
          <w:color w:val="auto"/>
          <w:spacing w:val="0"/>
          <w:sz w:val="24"/>
          <w:szCs w:val="24"/>
          <w:highlight w:val="none"/>
          <w:shd w:val="clear" w:color="auto" w:fill="FFFFFF"/>
        </w:rPr>
        <w:t>：手感异常紧实，弹性过强，切开后内部有透明胶状物质，水煮时易出胶状物。</w:t>
      </w:r>
    </w:p>
    <w:p w14:paraId="38AFD994">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2" w:firstLineChars="200"/>
        <w:textAlignment w:val="baseline"/>
        <w:rPr>
          <w:rFonts w:hint="eastAsia" w:ascii="宋体" w:hAnsi="宋体" w:eastAsia="宋体" w:cs="宋体"/>
          <w:i w:val="0"/>
          <w:iCs w:val="0"/>
          <w:color w:val="auto"/>
          <w:kern w:val="0"/>
          <w:sz w:val="24"/>
          <w:szCs w:val="24"/>
          <w:u w:val="none"/>
          <w:lang w:val="en-US" w:eastAsia="zh-CN" w:bidi="ar"/>
        </w:rPr>
      </w:pPr>
      <w:r>
        <w:rPr>
          <w:rStyle w:val="19"/>
          <w:rFonts w:hint="eastAsia" w:ascii="宋体" w:hAnsi="宋体" w:eastAsia="宋体" w:cs="宋体"/>
          <w:b/>
          <w:bCs/>
          <w:i w:val="0"/>
          <w:iCs w:val="0"/>
          <w:caps w:val="0"/>
          <w:color w:val="auto"/>
          <w:spacing w:val="0"/>
          <w:sz w:val="24"/>
          <w:szCs w:val="24"/>
          <w:highlight w:val="none"/>
          <w:shd w:val="clear" w:color="auto" w:fill="FFFFFF"/>
          <w:lang w:eastAsia="zh-CN"/>
        </w:rPr>
        <w:t>严禁</w:t>
      </w:r>
      <w:r>
        <w:rPr>
          <w:rStyle w:val="19"/>
          <w:rFonts w:hint="eastAsia" w:ascii="宋体" w:hAnsi="宋体" w:eastAsia="宋体" w:cs="宋体"/>
          <w:b/>
          <w:bCs/>
          <w:i w:val="0"/>
          <w:iCs w:val="0"/>
          <w:caps w:val="0"/>
          <w:color w:val="auto"/>
          <w:spacing w:val="0"/>
          <w:sz w:val="24"/>
          <w:szCs w:val="24"/>
          <w:highlight w:val="none"/>
          <w:shd w:val="clear" w:color="auto" w:fill="FFFFFF"/>
        </w:rPr>
        <w:t>拼接肉</w:t>
      </w:r>
      <w:r>
        <w:rPr>
          <w:rFonts w:hint="eastAsia" w:ascii="宋体" w:hAnsi="宋体" w:eastAsia="宋体" w:cs="宋体"/>
          <w:i w:val="0"/>
          <w:iCs w:val="0"/>
          <w:caps w:val="0"/>
          <w:color w:val="auto"/>
          <w:spacing w:val="0"/>
          <w:sz w:val="24"/>
          <w:szCs w:val="24"/>
          <w:highlight w:val="none"/>
          <w:shd w:val="clear" w:color="auto" w:fill="FFFFFF"/>
        </w:rPr>
        <w:t>：肉片纹理杂乱、颜色不均匀，边缘有明显粘合痕迹（可用手轻</w:t>
      </w:r>
      <w:r>
        <w:rPr>
          <w:rFonts w:hint="eastAsia" w:ascii="宋体" w:hAnsi="宋体" w:eastAsia="宋体" w:cs="宋体"/>
          <w:i w:val="0"/>
          <w:iCs w:val="0"/>
          <w:color w:val="auto"/>
          <w:kern w:val="0"/>
          <w:sz w:val="24"/>
          <w:szCs w:val="24"/>
          <w:u w:val="none"/>
          <w:lang w:val="en-US" w:eastAsia="zh-CN" w:bidi="ar"/>
        </w:rPr>
        <w:t>撕，拼接肉易断开）。</w:t>
      </w:r>
    </w:p>
    <w:p w14:paraId="15E0131C">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包装与标志要求：包装、容器(框、箱、袋)要求，清洁、干燥、牢固、透气，无污染、无异味、无霉变现象。标志：食品包装必须符合国家规范。采购的食品不得存放在有害、有毒的容器内。食品包装上必须使用原产地标识，应注明：制造商名称和厂址、食品名称和重（容）量、生产日期和保质期限以及规格和“SC ”认证或政府主管部门认定的认证标志等。</w:t>
      </w:r>
    </w:p>
    <w:p w14:paraId="57609B6A">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5" w:firstLine="480" w:firstLineChars="200"/>
        <w:textAlignment w:val="baseline"/>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5、供应商向采购人提供符合品相及规格要求的货物，必须是经过质量监督管理部门检验并取得合格证明的产品，每批次产品提供时应交存货物质量合格证明等。</w:t>
      </w:r>
    </w:p>
    <w:p w14:paraId="0E5A1633">
      <w:pPr>
        <w:pStyle w:val="5"/>
        <w:keepNext w:val="0"/>
        <w:keepLines w:val="0"/>
        <w:pageBreakBefore w:val="0"/>
        <w:widowControl/>
        <w:kinsoku w:val="0"/>
        <w:wordWrap/>
        <w:overflowPunct/>
        <w:topLinePunct w:val="0"/>
        <w:autoSpaceDE w:val="0"/>
        <w:autoSpaceDN w:val="0"/>
        <w:bidi w:val="0"/>
        <w:adjustRightInd w:val="0"/>
        <w:snapToGrid w:val="0"/>
        <w:spacing w:before="10" w:beforeAutospacing="0" w:after="157" w:afterLines="50" w:afterAutospacing="0" w:line="360" w:lineRule="auto"/>
        <w:ind w:left="206" w:firstLine="480" w:firstLineChars="200"/>
        <w:textAlignment w:val="baseline"/>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、牛肉、剔骨羊肉要切块，大小4*4cm，根据采购方的要求进行加工。</w:t>
      </w:r>
    </w:p>
    <w:p w14:paraId="7CBE099C">
      <w:pPr>
        <w:pStyle w:val="5"/>
        <w:keepNext w:val="0"/>
        <w:keepLines w:val="0"/>
        <w:pageBreakBefore w:val="0"/>
        <w:widowControl/>
        <w:kinsoku w:val="0"/>
        <w:wordWrap/>
        <w:overflowPunct/>
        <w:topLinePunct w:val="0"/>
        <w:autoSpaceDE w:val="0"/>
        <w:autoSpaceDN w:val="0"/>
        <w:bidi w:val="0"/>
        <w:adjustRightInd w:val="0"/>
        <w:snapToGrid w:val="0"/>
        <w:spacing w:before="10" w:beforeAutospacing="0" w:after="157" w:afterLines="50" w:afterAutospacing="0" w:line="360" w:lineRule="auto"/>
        <w:ind w:left="206" w:firstLine="45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四、★食品安全要求</w:t>
      </w:r>
    </w:p>
    <w:p w14:paraId="1E37B4F4">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1" w:right="68"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1、供应商依据产品质量监督检验所提供的质量标准，提供的产品必</w:t>
      </w:r>
      <w:r>
        <w:rPr>
          <w:rFonts w:hint="eastAsia" w:ascii="宋体" w:hAnsi="宋体" w:eastAsia="宋体" w:cs="宋体"/>
          <w:color w:val="auto"/>
          <w:spacing w:val="-2"/>
          <w:sz w:val="24"/>
          <w:szCs w:val="24"/>
          <w:highlight w:val="none"/>
        </w:rPr>
        <w:t>须是经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过质量监督管理部门检验并取得合格证明的产</w:t>
      </w:r>
      <w:r>
        <w:rPr>
          <w:rFonts w:hint="eastAsia" w:ascii="宋体" w:hAnsi="宋体" w:eastAsia="宋体" w:cs="宋体"/>
          <w:color w:val="auto"/>
          <w:spacing w:val="-4"/>
          <w:sz w:val="24"/>
          <w:szCs w:val="24"/>
          <w:highlight w:val="none"/>
        </w:rPr>
        <w:t>品，每批次产品提供时应交存物资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质量合格证明、产品质量检测合格报告复印件</w:t>
      </w:r>
      <w:r>
        <w:rPr>
          <w:rFonts w:hint="eastAsia" w:ascii="宋体" w:hAnsi="宋体" w:eastAsia="宋体" w:cs="宋体"/>
          <w:color w:val="auto"/>
          <w:spacing w:val="-4"/>
          <w:sz w:val="24"/>
          <w:szCs w:val="24"/>
          <w:highlight w:val="none"/>
        </w:rPr>
        <w:t>。中标人应保证食材品质，做好食</w:t>
      </w:r>
      <w:r>
        <w:rPr>
          <w:rFonts w:hint="eastAsia" w:ascii="宋体" w:hAnsi="宋体" w:eastAsia="宋体" w:cs="宋体"/>
          <w:color w:val="auto"/>
          <w:sz w:val="24"/>
          <w:szCs w:val="24"/>
          <w:highlight w:val="none"/>
        </w:rPr>
        <w:t xml:space="preserve"> 品安全管控，保证食品的安全性，不得有腐烂</w:t>
      </w:r>
      <w:r>
        <w:rPr>
          <w:rFonts w:hint="eastAsia" w:ascii="宋体" w:hAnsi="宋体" w:eastAsia="宋体" w:cs="宋体"/>
          <w:color w:val="auto"/>
          <w:spacing w:val="-1"/>
          <w:sz w:val="24"/>
          <w:szCs w:val="24"/>
          <w:highlight w:val="none"/>
        </w:rPr>
        <w:t>、变质、发霉、过期食材。</w:t>
      </w:r>
    </w:p>
    <w:p w14:paraId="31C68299">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41" w:right="68"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2、每批产品出厂前应经当地国家认可的质量检测机构进行检验，并出</w:t>
      </w:r>
      <w:r>
        <w:rPr>
          <w:rFonts w:hint="eastAsia" w:ascii="宋体" w:hAnsi="宋体" w:eastAsia="宋体" w:cs="宋体"/>
          <w:color w:val="auto"/>
          <w:spacing w:val="-1"/>
          <w:sz w:val="24"/>
          <w:szCs w:val="24"/>
          <w:highlight w:val="none"/>
        </w:rPr>
        <w:t>具检验报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告，合格产品方可销售给采购人。应用专用周</w:t>
      </w:r>
      <w:r>
        <w:rPr>
          <w:rFonts w:hint="eastAsia" w:ascii="宋体" w:hAnsi="宋体" w:eastAsia="宋体" w:cs="宋体"/>
          <w:color w:val="auto"/>
          <w:spacing w:val="-4"/>
          <w:sz w:val="24"/>
          <w:szCs w:val="24"/>
          <w:highlight w:val="none"/>
        </w:rPr>
        <w:t>转箱进行包装，避免在运输过程中</w:t>
      </w:r>
      <w:r>
        <w:rPr>
          <w:rFonts w:hint="eastAsia" w:ascii="宋体" w:hAnsi="宋体" w:eastAsia="宋体" w:cs="宋体"/>
          <w:color w:val="auto"/>
          <w:spacing w:val="-3"/>
          <w:sz w:val="24"/>
          <w:szCs w:val="24"/>
          <w:highlight w:val="none"/>
        </w:rPr>
        <w:t>造成食材交叉污染。预包装原料必须为原公司</w:t>
      </w:r>
      <w:r>
        <w:rPr>
          <w:rFonts w:hint="eastAsia" w:ascii="宋体" w:hAnsi="宋体" w:eastAsia="宋体" w:cs="宋体"/>
          <w:color w:val="auto"/>
          <w:spacing w:val="-4"/>
          <w:sz w:val="24"/>
          <w:szCs w:val="24"/>
          <w:highlight w:val="none"/>
        </w:rPr>
        <w:t>（厂）生产的全新产品，符合国家</w:t>
      </w:r>
      <w:r>
        <w:rPr>
          <w:rFonts w:hint="eastAsia" w:ascii="宋体" w:hAnsi="宋体" w:eastAsia="宋体" w:cs="宋体"/>
          <w:color w:val="auto"/>
          <w:spacing w:val="-3"/>
          <w:sz w:val="24"/>
          <w:szCs w:val="24"/>
          <w:highlight w:val="none"/>
        </w:rPr>
        <w:t>相关规定的质量标准、环保标准、技术参数和</w:t>
      </w:r>
      <w:r>
        <w:rPr>
          <w:rFonts w:hint="eastAsia" w:ascii="宋体" w:hAnsi="宋体" w:eastAsia="宋体" w:cs="宋体"/>
          <w:color w:val="auto"/>
          <w:spacing w:val="-4"/>
          <w:sz w:val="24"/>
          <w:szCs w:val="24"/>
          <w:highlight w:val="none"/>
        </w:rPr>
        <w:t>规格要求，不得提供假冒伪劣、有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毒有害食品，特殊食品必须符合国家有关特殊标准和规定。</w:t>
      </w:r>
    </w:p>
    <w:p w14:paraId="4CBFF8A3">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0" w:firstLine="46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rPr>
        <w:t>3、供应商应保证及时提供数量准确、合格安全的产品</w:t>
      </w:r>
      <w:r>
        <w:rPr>
          <w:rFonts w:hint="eastAsia" w:ascii="宋体" w:hAnsi="宋体" w:eastAsia="宋体" w:cs="宋体"/>
          <w:color w:val="auto"/>
          <w:spacing w:val="-5"/>
          <w:sz w:val="24"/>
          <w:szCs w:val="24"/>
          <w:highlight w:val="none"/>
        </w:rPr>
        <w:t>。一旦发现伪劣假冒产品、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以次充好产品或替代产品，采购人立即封存报经市场监管、卫生健</w:t>
      </w:r>
      <w:r>
        <w:rPr>
          <w:rFonts w:hint="eastAsia" w:ascii="宋体" w:hAnsi="宋体" w:eastAsia="宋体" w:cs="宋体"/>
          <w:color w:val="auto"/>
          <w:spacing w:val="-4"/>
          <w:sz w:val="24"/>
          <w:szCs w:val="24"/>
          <w:highlight w:val="none"/>
        </w:rPr>
        <w:t>康等相关部门</w:t>
      </w:r>
      <w:r>
        <w:rPr>
          <w:rFonts w:hint="eastAsia" w:ascii="宋体" w:hAnsi="宋体" w:eastAsia="宋体" w:cs="宋体"/>
          <w:color w:val="auto"/>
          <w:spacing w:val="-3"/>
          <w:sz w:val="24"/>
          <w:szCs w:val="24"/>
          <w:highlight w:val="none"/>
        </w:rPr>
        <w:t>依照招标文件、采购合同及相关的法律法规进行质量监测认证后，</w:t>
      </w:r>
      <w:r>
        <w:rPr>
          <w:rFonts w:hint="eastAsia" w:ascii="宋体" w:hAnsi="宋体" w:eastAsia="宋体" w:cs="宋体"/>
          <w:color w:val="auto"/>
          <w:spacing w:val="-4"/>
          <w:sz w:val="24"/>
          <w:szCs w:val="24"/>
          <w:highlight w:val="none"/>
        </w:rPr>
        <w:t>由中标人承担</w:t>
      </w:r>
      <w:r>
        <w:rPr>
          <w:rFonts w:hint="eastAsia" w:ascii="宋体" w:hAnsi="宋体" w:eastAsia="宋体" w:cs="宋体"/>
          <w:color w:val="auto"/>
          <w:spacing w:val="-3"/>
          <w:sz w:val="24"/>
          <w:szCs w:val="24"/>
          <w:highlight w:val="none"/>
        </w:rPr>
        <w:t>一切民事赔偿、行政处罚和刑事责任，采购人有权单方解除合同并</w:t>
      </w:r>
      <w:r>
        <w:rPr>
          <w:rFonts w:hint="eastAsia" w:ascii="宋体" w:hAnsi="宋体" w:eastAsia="宋体" w:cs="宋体"/>
          <w:color w:val="auto"/>
          <w:spacing w:val="-4"/>
          <w:sz w:val="24"/>
          <w:szCs w:val="24"/>
          <w:highlight w:val="none"/>
        </w:rPr>
        <w:t>要求中标人赔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偿所造成的所有损失，不退还履约保证金，同时列入采购人采购黑</w:t>
      </w:r>
      <w:r>
        <w:rPr>
          <w:rFonts w:hint="eastAsia" w:ascii="宋体" w:hAnsi="宋体" w:eastAsia="宋体" w:cs="宋体"/>
          <w:color w:val="auto"/>
          <w:spacing w:val="-4"/>
          <w:sz w:val="24"/>
          <w:szCs w:val="24"/>
          <w:highlight w:val="none"/>
        </w:rPr>
        <w:t>名单，若造成</w:t>
      </w:r>
      <w:r>
        <w:rPr>
          <w:rFonts w:hint="eastAsia" w:ascii="宋体" w:hAnsi="宋体" w:eastAsia="宋体" w:cs="宋体"/>
          <w:color w:val="auto"/>
          <w:spacing w:val="-1"/>
          <w:sz w:val="24"/>
          <w:szCs w:val="24"/>
          <w:highlight w:val="none"/>
        </w:rPr>
        <w:t>刑事责任，移送司法机关处理。</w:t>
      </w:r>
    </w:p>
    <w:p w14:paraId="0D141AD3">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4、供应商针对上述食品安全须提供承诺，未提供承诺的视为不响应招标文件，</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2"/>
          <w:sz w:val="24"/>
          <w:szCs w:val="24"/>
          <w:highlight w:val="none"/>
        </w:rPr>
        <w:t>按无效投标处理。</w:t>
      </w:r>
    </w:p>
    <w:p w14:paraId="14B116A1">
      <w:pPr>
        <w:pStyle w:val="5"/>
        <w:keepNext w:val="0"/>
        <w:keepLines w:val="0"/>
        <w:pageBreakBefore w:val="0"/>
        <w:widowControl/>
        <w:kinsoku w:val="0"/>
        <w:wordWrap/>
        <w:overflowPunct/>
        <w:topLinePunct w:val="0"/>
        <w:autoSpaceDE w:val="0"/>
        <w:autoSpaceDN w:val="0"/>
        <w:bidi w:val="0"/>
        <w:adjustRightInd w:val="0"/>
        <w:snapToGrid w:val="0"/>
        <w:spacing w:before="303" w:afterAutospacing="0" w:line="360" w:lineRule="auto"/>
        <w:ind w:left="24" w:firstLine="46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五、★采购方其他要求</w:t>
      </w:r>
    </w:p>
    <w:p w14:paraId="39C8A56F">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8" w:right="11"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1、要求供货商须为企业性质且证照齐全，所送物资具有检验检测报告，具备</w:t>
      </w:r>
      <w:r>
        <w:rPr>
          <w:rFonts w:hint="eastAsia" w:ascii="宋体" w:hAnsi="宋体" w:eastAsia="宋体" w:cs="宋体"/>
          <w:color w:val="auto"/>
          <w:sz w:val="24"/>
          <w:szCs w:val="24"/>
          <w:highlight w:val="none"/>
          <w:lang w:val="en-US" w:eastAsia="zh-CN"/>
        </w:rPr>
        <w:t>长期</w:t>
      </w:r>
      <w:r>
        <w:rPr>
          <w:rFonts w:hint="eastAsia" w:ascii="宋体" w:hAnsi="宋体" w:eastAsia="宋体" w:cs="宋体"/>
          <w:color w:val="auto"/>
          <w:spacing w:val="-8"/>
          <w:sz w:val="24"/>
          <w:szCs w:val="24"/>
          <w:highlight w:val="none"/>
        </w:rPr>
        <w:t>稳定货源</w:t>
      </w:r>
      <w:r>
        <w:rPr>
          <w:rFonts w:hint="eastAsia" w:ascii="宋体" w:hAnsi="宋体" w:eastAsia="宋体" w:cs="宋体"/>
          <w:color w:val="auto"/>
          <w:spacing w:val="-8"/>
          <w:sz w:val="24"/>
          <w:szCs w:val="24"/>
          <w:highlight w:val="none"/>
          <w:lang w:val="en-US" w:eastAsia="zh-CN"/>
        </w:rPr>
        <w:t>和</w:t>
      </w:r>
      <w:r>
        <w:rPr>
          <w:rFonts w:hint="eastAsia" w:ascii="宋体" w:hAnsi="宋体" w:eastAsia="宋体" w:cs="宋体"/>
          <w:color w:val="auto"/>
          <w:spacing w:val="-8"/>
          <w:sz w:val="24"/>
          <w:szCs w:val="24"/>
          <w:highlight w:val="none"/>
        </w:rPr>
        <w:t>仓储等防风险能力，具备专用车配送能力；</w:t>
      </w:r>
    </w:p>
    <w:p w14:paraId="01663C26">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8" w:right="11"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2、本项目供应商中标后，采购人以对所需商品按市场价或询价后最低价批次购</w:t>
      </w:r>
      <w:r>
        <w:rPr>
          <w:rFonts w:hint="eastAsia" w:ascii="宋体" w:hAnsi="宋体" w:eastAsia="宋体" w:cs="宋体"/>
          <w:color w:val="auto"/>
          <w:spacing w:val="-4"/>
          <w:sz w:val="24"/>
          <w:szCs w:val="24"/>
          <w:highlight w:val="none"/>
        </w:rPr>
        <w:t>进。</w:t>
      </w:r>
    </w:p>
    <w:p w14:paraId="2E512D7A">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8" w:right="11"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3、配送要求：中标单位应根据采购人需求计划提供有关产品，保质保量满足采</w:t>
      </w:r>
      <w:r>
        <w:rPr>
          <w:rFonts w:hint="eastAsia" w:ascii="宋体" w:hAnsi="宋体" w:eastAsia="宋体" w:cs="宋体"/>
          <w:color w:val="auto"/>
          <w:spacing w:val="-3"/>
          <w:sz w:val="24"/>
          <w:szCs w:val="24"/>
          <w:highlight w:val="none"/>
        </w:rPr>
        <w:t>购人需求；中标单位各自备送货车，安排</w:t>
      </w:r>
      <w:r>
        <w:rPr>
          <w:rFonts w:hint="eastAsia" w:ascii="宋体" w:hAnsi="宋体" w:eastAsia="宋体" w:cs="宋体"/>
          <w:color w:val="auto"/>
          <w:spacing w:val="-3"/>
          <w:sz w:val="24"/>
          <w:szCs w:val="24"/>
          <w:highlight w:val="none"/>
          <w:lang w:eastAsia="zh-CN"/>
        </w:rPr>
        <w:t>专人</w:t>
      </w:r>
      <w:r>
        <w:rPr>
          <w:rFonts w:hint="eastAsia" w:ascii="宋体" w:hAnsi="宋体" w:eastAsia="宋体" w:cs="宋体"/>
          <w:color w:val="auto"/>
          <w:spacing w:val="-3"/>
          <w:sz w:val="24"/>
          <w:szCs w:val="24"/>
          <w:highlight w:val="none"/>
        </w:rPr>
        <w:t>人及时供货，装卸费、送货费用及运</w:t>
      </w:r>
      <w:r>
        <w:rPr>
          <w:rFonts w:hint="eastAsia" w:ascii="宋体" w:hAnsi="宋体" w:eastAsia="宋体" w:cs="宋体"/>
          <w:color w:val="auto"/>
          <w:spacing w:val="4"/>
          <w:sz w:val="24"/>
          <w:szCs w:val="24"/>
          <w:highlight w:val="none"/>
        </w:rPr>
        <w:t>输安全由供货方承担；配送司机及车辆符合采购方要求，车辆长度不允许超过</w:t>
      </w:r>
      <w:r>
        <w:rPr>
          <w:rFonts w:hint="eastAsia" w:ascii="宋体" w:hAnsi="宋体" w:eastAsia="宋体" w:cs="宋体"/>
          <w:color w:val="auto"/>
          <w:spacing w:val="-4"/>
          <w:sz w:val="24"/>
          <w:szCs w:val="24"/>
          <w:highlight w:val="none"/>
        </w:rPr>
        <w:t>9.6</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米</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包括</w:t>
      </w:r>
      <w:r>
        <w:rPr>
          <w:rFonts w:hint="eastAsia" w:ascii="宋体" w:hAnsi="宋体" w:eastAsia="宋体" w:cs="宋体"/>
          <w:color w:val="auto"/>
          <w:spacing w:val="-4"/>
          <w:sz w:val="24"/>
          <w:szCs w:val="24"/>
          <w:highlight w:val="none"/>
          <w:lang w:eastAsia="zh-CN"/>
        </w:rPr>
        <w:t>冷链</w:t>
      </w:r>
      <w:r>
        <w:rPr>
          <w:rFonts w:hint="eastAsia" w:ascii="宋体" w:hAnsi="宋体" w:cs="宋体"/>
          <w:color w:val="auto"/>
          <w:spacing w:val="-4"/>
          <w:sz w:val="24"/>
          <w:szCs w:val="24"/>
          <w:highlight w:val="none"/>
          <w:lang w:val="en-US" w:eastAsia="zh-CN"/>
        </w:rPr>
        <w:t>车</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不得超载运输，</w:t>
      </w:r>
      <w:r>
        <w:rPr>
          <w:rFonts w:hint="eastAsia" w:ascii="宋体" w:hAnsi="宋体" w:eastAsia="宋体" w:cs="宋体"/>
          <w:color w:val="auto"/>
          <w:spacing w:val="-4"/>
          <w:sz w:val="24"/>
          <w:szCs w:val="24"/>
          <w:highlight w:val="none"/>
        </w:rPr>
        <w:t>车辆内不得有采购方不</w:t>
      </w:r>
      <w:r>
        <w:rPr>
          <w:rFonts w:hint="eastAsia" w:ascii="宋体" w:hAnsi="宋体" w:eastAsia="宋体" w:cs="宋体"/>
          <w:color w:val="auto"/>
          <w:spacing w:val="-5"/>
          <w:sz w:val="24"/>
          <w:szCs w:val="24"/>
          <w:highlight w:val="none"/>
        </w:rPr>
        <w:t>允许携带的物品，</w:t>
      </w:r>
      <w:r>
        <w:rPr>
          <w:rFonts w:hint="eastAsia" w:ascii="宋体" w:hAnsi="宋体" w:eastAsia="宋体" w:cs="宋体"/>
          <w:color w:val="auto"/>
          <w:spacing w:val="-3"/>
          <w:sz w:val="24"/>
          <w:szCs w:val="24"/>
          <w:highlight w:val="none"/>
        </w:rPr>
        <w:t>在采购人场地须上缴手机等通讯工具，所有供应商必须按照需求单位要求的品种、标准、数量进行供货，</w:t>
      </w:r>
      <w:r>
        <w:rPr>
          <w:rFonts w:hint="eastAsia" w:ascii="宋体" w:hAnsi="宋体" w:eastAsia="宋体" w:cs="宋体"/>
          <w:color w:val="auto"/>
          <w:spacing w:val="-4"/>
          <w:sz w:val="24"/>
          <w:szCs w:val="24"/>
          <w:highlight w:val="none"/>
        </w:rPr>
        <w:t>满足</w:t>
      </w:r>
      <w:r>
        <w:rPr>
          <w:rFonts w:hint="eastAsia" w:ascii="宋体" w:hAnsi="宋体" w:eastAsia="宋体" w:cs="宋体"/>
          <w:color w:val="auto"/>
          <w:spacing w:val="-3"/>
          <w:sz w:val="24"/>
          <w:szCs w:val="24"/>
          <w:highlight w:val="none"/>
        </w:rPr>
        <w:t>采购方使用需求。所有产品均以需求单位通知为准</w:t>
      </w:r>
      <w:r>
        <w:rPr>
          <w:rFonts w:hint="eastAsia" w:ascii="宋体" w:hAnsi="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需求单位有权根据实际需求量随时调整采购计划及供货时间段。中标单位每次实施配送时，必须按照规定格</w:t>
      </w:r>
      <w:r>
        <w:rPr>
          <w:rFonts w:hint="eastAsia" w:ascii="宋体" w:hAnsi="宋体" w:eastAsia="宋体" w:cs="宋体"/>
          <w:color w:val="auto"/>
          <w:spacing w:val="-1"/>
          <w:sz w:val="24"/>
          <w:szCs w:val="24"/>
          <w:highlight w:val="none"/>
        </w:rPr>
        <w:t>式开具供货清单。</w:t>
      </w:r>
    </w:p>
    <w:p w14:paraId="442D7634">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0" w:right="10" w:firstLine="45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4、中标单位应保留和提供所有食材（物资）的溯源信息依据。如产地、生产</w:t>
      </w:r>
      <w:r>
        <w:rPr>
          <w:rFonts w:hint="eastAsia" w:ascii="宋体" w:hAnsi="宋体" w:eastAsia="宋体" w:cs="宋体"/>
          <w:color w:val="auto"/>
          <w:spacing w:val="-7"/>
          <w:sz w:val="24"/>
          <w:szCs w:val="24"/>
          <w:highlight w:val="none"/>
        </w:rPr>
        <w:t>商、</w:t>
      </w:r>
      <w:r>
        <w:rPr>
          <w:rFonts w:hint="eastAsia" w:ascii="宋体" w:hAnsi="宋体" w:eastAsia="宋体" w:cs="宋体"/>
          <w:color w:val="auto"/>
          <w:spacing w:val="2"/>
          <w:sz w:val="24"/>
          <w:szCs w:val="24"/>
          <w:highlight w:val="none"/>
        </w:rPr>
        <w:t>生产批次、质保期限等信息资料。</w:t>
      </w:r>
    </w:p>
    <w:p w14:paraId="702AE9C7">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2" w:right="9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5、采购人有权对中标单位供应的货物进行定期或不定期的抽样检验，采购人对</w:t>
      </w:r>
      <w:r>
        <w:rPr>
          <w:rFonts w:hint="eastAsia" w:ascii="宋体" w:hAnsi="宋体" w:eastAsia="宋体" w:cs="宋体"/>
          <w:color w:val="auto"/>
          <w:sz w:val="24"/>
          <w:szCs w:val="24"/>
          <w:highlight w:val="none"/>
        </w:rPr>
        <w:t>有疑议的货物有权提取样品送权威部门检验</w:t>
      </w:r>
      <w:r>
        <w:rPr>
          <w:rFonts w:hint="eastAsia" w:ascii="宋体" w:hAnsi="宋体" w:eastAsia="宋体" w:cs="宋体"/>
          <w:color w:val="auto"/>
          <w:spacing w:val="-1"/>
          <w:sz w:val="24"/>
          <w:szCs w:val="24"/>
          <w:highlight w:val="none"/>
        </w:rPr>
        <w:t>，检验费用由供应商支付。</w:t>
      </w:r>
    </w:p>
    <w:p w14:paraId="3D996156">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2" w:right="11"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6、所配送的食品如发生以下所列情形的，直接取消中标配送资格，扣除当月货</w:t>
      </w:r>
      <w:r>
        <w:rPr>
          <w:rFonts w:hint="eastAsia" w:ascii="宋体" w:hAnsi="宋体" w:eastAsia="宋体" w:cs="宋体"/>
          <w:color w:val="auto"/>
          <w:spacing w:val="-1"/>
          <w:sz w:val="24"/>
          <w:szCs w:val="24"/>
          <w:highlight w:val="none"/>
        </w:rPr>
        <w:t>款的</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25%，除全部退货外，并由乙方承担由此造成的经济责任和法律责任。</w:t>
      </w:r>
    </w:p>
    <w:p w14:paraId="1AAA6762">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21" w:right="9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（1）腐败变质、油脂酸败、霉变、生虫、污秽不洁、混有异物或者其他感官性</w:t>
      </w:r>
      <w:r>
        <w:rPr>
          <w:rFonts w:hint="eastAsia" w:ascii="宋体" w:hAnsi="宋体" w:eastAsia="宋体" w:cs="宋体"/>
          <w:color w:val="auto"/>
          <w:spacing w:val="-1"/>
          <w:sz w:val="24"/>
          <w:szCs w:val="24"/>
          <w:highlight w:val="none"/>
        </w:rPr>
        <w:t>状异常，对人体健康有害的；</w:t>
      </w:r>
    </w:p>
    <w:p w14:paraId="17F0FC82">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32"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（2）含有毒、有害物质或被有害物质污染，对人体健康有害的；</w:t>
      </w:r>
    </w:p>
    <w:p w14:paraId="30791C2C">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32"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（3）含有致病性寄生虫、微生物或者微生物含量超过国家限定标准的；</w:t>
      </w:r>
    </w:p>
    <w:p w14:paraId="580D8BE0">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32"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（4）病死、毒死或者死因不明的禽、畜、兽水产品动物等及其制品；</w:t>
      </w:r>
    </w:p>
    <w:p w14:paraId="7FD25CA9">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32"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（5）掺假、掺杂、伪造，影响营养、卫生的；</w:t>
      </w:r>
    </w:p>
    <w:p w14:paraId="70D6667B">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63" w:firstLine="476" w:firstLineChars="200"/>
        <w:textAlignment w:val="baseline"/>
        <w:rPr>
          <w:rFonts w:hint="eastAsia"/>
          <w:color w:val="auto"/>
        </w:rPr>
      </w:pPr>
      <w:r>
        <w:rPr>
          <w:rFonts w:hint="eastAsia" w:ascii="宋体" w:hAnsi="宋体" w:eastAsia="宋体" w:cs="宋体"/>
          <w:color w:val="auto"/>
          <w:spacing w:val="-1"/>
          <w:sz w:val="24"/>
          <w:szCs w:val="24"/>
          <w:highlight w:val="none"/>
        </w:rPr>
        <w:t>（6）用非食品原料加工的，加入非食品用化学物质或者将非食品当做食品的；</w:t>
      </w:r>
    </w:p>
    <w:p w14:paraId="0A3D5167">
      <w:pPr>
        <w:pStyle w:val="5"/>
        <w:keepNext w:val="0"/>
        <w:keepLines w:val="0"/>
        <w:pageBreakBefore w:val="0"/>
        <w:widowControl/>
        <w:kinsoku w:val="0"/>
        <w:wordWrap/>
        <w:overflowPunct/>
        <w:topLinePunct w:val="0"/>
        <w:autoSpaceDE w:val="0"/>
        <w:autoSpaceDN w:val="0"/>
        <w:bidi w:val="0"/>
        <w:adjustRightInd w:val="0"/>
        <w:snapToGrid w:val="0"/>
        <w:spacing w:before="10" w:after="10" w:afterAutospacing="0" w:line="360" w:lineRule="auto"/>
        <w:ind w:left="59" w:right="71" w:firstLine="480" w:firstLineChars="200"/>
        <w:textAlignment w:val="baseline"/>
        <w:rPr>
          <w:rFonts w:hint="eastAsia" w:ascii="宋体" w:hAnsi="宋体" w:eastAsia="宋体" w:cs="宋体"/>
          <w:color w:val="FF0000"/>
          <w:spacing w:val="-2"/>
          <w:sz w:val="24"/>
          <w:szCs w:val="24"/>
          <w:highlight w:val="none"/>
        </w:rPr>
      </w:pPr>
      <w:r>
        <w:rPr>
          <w:rFonts w:hint="eastAsia" w:ascii="宋体" w:hAnsi="宋体" w:eastAsia="宋体" w:cs="宋体"/>
          <w:color w:val="auto"/>
          <w:sz w:val="24"/>
          <w:szCs w:val="24"/>
          <w:highlight w:val="none"/>
        </w:rPr>
        <w:t>中标单位为确保不出现以上问题，应建立</w:t>
      </w:r>
      <w:r>
        <w:rPr>
          <w:rFonts w:hint="eastAsia" w:ascii="宋体" w:hAnsi="宋体" w:eastAsia="宋体" w:cs="宋体"/>
          <w:color w:val="auto"/>
          <w:sz w:val="24"/>
          <w:szCs w:val="24"/>
          <w:highlight w:val="none"/>
          <w:lang w:val="en-US" w:eastAsia="zh-CN"/>
        </w:rPr>
        <w:t>固定的配送服务体系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拥有</w:t>
      </w:r>
      <w:r>
        <w:rPr>
          <w:rFonts w:hint="eastAsia" w:ascii="宋体" w:hAnsi="宋体" w:eastAsia="宋体" w:cs="宋体"/>
          <w:color w:val="auto"/>
          <w:sz w:val="24"/>
          <w:szCs w:val="24"/>
          <w:highlight w:val="none"/>
        </w:rPr>
        <w:t>正规</w:t>
      </w:r>
      <w:r>
        <w:rPr>
          <w:rFonts w:hint="eastAsia" w:ascii="宋体" w:hAnsi="宋体" w:eastAsia="宋体" w:cs="宋体"/>
          <w:color w:val="auto"/>
          <w:spacing w:val="-2"/>
          <w:sz w:val="24"/>
          <w:szCs w:val="24"/>
          <w:highlight w:val="none"/>
        </w:rPr>
        <w:t>的产品供应渠道、制定安全的产品配送制度。</w:t>
      </w:r>
    </w:p>
    <w:p w14:paraId="0E341EF6">
      <w:pPr>
        <w:pStyle w:val="5"/>
        <w:rPr>
          <w:rFonts w:hint="eastAsia"/>
          <w:lang w:val="en-US" w:eastAsia="zh-CN"/>
        </w:rPr>
      </w:pPr>
    </w:p>
    <w:p w14:paraId="219AF681">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30D46E22">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r>
        <w:rPr>
          <w:rFonts w:ascii="宋体" w:hAnsi="宋体" w:eastAsia="宋体" w:cs="宋体"/>
          <w:spacing w:val="5"/>
          <w:sz w:val="35"/>
          <w:szCs w:val="35"/>
          <w:highlight w:val="none"/>
        </w:rPr>
        <w:t xml:space="preserve"> </w:t>
      </w:r>
      <w:bookmarkStart w:id="42" w:name="_Toc3487"/>
      <w:bookmarkStart w:id="43" w:name="_Toc13704"/>
      <w:r>
        <w:rPr>
          <w:rFonts w:ascii="宋体" w:hAnsi="宋体" w:eastAsia="宋体" w:cs="宋体"/>
          <w:b/>
          <w:bCs/>
          <w:spacing w:val="5"/>
          <w:sz w:val="35"/>
          <w:szCs w:val="35"/>
          <w:highlight w:val="none"/>
        </w:rPr>
        <w:t>评标方法</w:t>
      </w:r>
      <w:bookmarkEnd w:id="42"/>
      <w:bookmarkEnd w:id="43"/>
    </w:p>
    <w:tbl>
      <w:tblPr>
        <w:tblStyle w:val="1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14:paraId="736D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14:paraId="4F607EC0">
            <w:pPr>
              <w:spacing w:line="360" w:lineRule="auto"/>
              <w:ind w:firstLine="708" w:firstLineChars="294"/>
              <w:jc w:val="both"/>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147" w:type="dxa"/>
            <w:gridSpan w:val="2"/>
            <w:noWrap w:val="0"/>
            <w:vAlign w:val="center"/>
          </w:tcPr>
          <w:p w14:paraId="0D7FD95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c>
          <w:tcPr>
            <w:tcW w:w="1235" w:type="dxa"/>
            <w:noWrap w:val="0"/>
            <w:vAlign w:val="center"/>
          </w:tcPr>
          <w:p w14:paraId="14DBC1AA">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评审</w:t>
            </w:r>
            <w:r>
              <w:rPr>
                <w:rFonts w:hint="eastAsia" w:ascii="宋体" w:hAnsi="宋体" w:eastAsia="宋体" w:cs="宋体"/>
                <w:b/>
                <w:color w:val="auto"/>
                <w:sz w:val="24"/>
                <w:szCs w:val="24"/>
                <w:lang w:eastAsia="zh-CN"/>
              </w:rPr>
              <w:t>结论</w:t>
            </w:r>
          </w:p>
        </w:tc>
      </w:tr>
      <w:tr w14:paraId="520F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14:paraId="0445A440">
            <w:pPr>
              <w:spacing w:line="360" w:lineRule="auto"/>
              <w:ind w:firstLine="120" w:firstLineChars="50"/>
              <w:jc w:val="both"/>
              <w:rPr>
                <w:rFonts w:hint="eastAsia" w:ascii="宋体" w:hAnsi="宋体" w:eastAsia="宋体" w:cs="宋体"/>
                <w:color w:val="auto"/>
                <w:sz w:val="24"/>
                <w:szCs w:val="24"/>
              </w:rPr>
            </w:pPr>
            <w:r>
              <w:rPr>
                <w:rFonts w:hint="eastAsia" w:ascii="宋体" w:hAnsi="宋体" w:eastAsia="宋体" w:cs="宋体"/>
                <w:color w:val="auto"/>
                <w:sz w:val="24"/>
                <w:szCs w:val="24"/>
              </w:rPr>
              <w:t>初步评审</w:t>
            </w:r>
          </w:p>
        </w:tc>
        <w:tc>
          <w:tcPr>
            <w:tcW w:w="1406" w:type="dxa"/>
            <w:noWrap w:val="0"/>
            <w:vAlign w:val="center"/>
          </w:tcPr>
          <w:p w14:paraId="64E928A0">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7382" w:type="dxa"/>
            <w:gridSpan w:val="3"/>
            <w:vMerge w:val="restart"/>
            <w:noWrap w:val="0"/>
            <w:vAlign w:val="center"/>
          </w:tcPr>
          <w:p w14:paraId="7EB0876B">
            <w:pPr>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lang w:eastAsia="zh-CN"/>
              </w:rPr>
              <w:t>详见附表</w:t>
            </w:r>
            <w:r>
              <w:rPr>
                <w:rFonts w:hint="eastAsia" w:ascii="宋体" w:hAnsi="宋体" w:eastAsia="宋体" w:cs="宋体"/>
                <w:color w:val="auto"/>
                <w:sz w:val="24"/>
                <w:szCs w:val="24"/>
                <w:highlight w:val="none"/>
                <w:lang w:val="en-US" w:eastAsia="zh-CN"/>
              </w:rPr>
              <w:t>一</w:t>
            </w:r>
          </w:p>
        </w:tc>
      </w:tr>
      <w:tr w14:paraId="46AF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14:paraId="0893FE5D">
            <w:pPr>
              <w:spacing w:line="360" w:lineRule="auto"/>
              <w:jc w:val="center"/>
              <w:rPr>
                <w:rFonts w:hint="eastAsia" w:ascii="宋体" w:hAnsi="宋体" w:eastAsia="宋体" w:cs="宋体"/>
                <w:color w:val="auto"/>
                <w:sz w:val="24"/>
                <w:szCs w:val="24"/>
              </w:rPr>
            </w:pPr>
          </w:p>
        </w:tc>
        <w:tc>
          <w:tcPr>
            <w:tcW w:w="1406" w:type="dxa"/>
            <w:noWrap w:val="0"/>
            <w:vAlign w:val="center"/>
          </w:tcPr>
          <w:p w14:paraId="5E253551">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符合性</w:t>
            </w:r>
            <w:r>
              <w:rPr>
                <w:rFonts w:hint="eastAsia" w:ascii="宋体" w:hAnsi="宋体" w:eastAsia="宋体" w:cs="宋体"/>
                <w:color w:val="auto"/>
                <w:sz w:val="24"/>
                <w:szCs w:val="24"/>
                <w:lang w:eastAsia="zh-CN"/>
              </w:rPr>
              <w:t>审查</w:t>
            </w:r>
          </w:p>
        </w:tc>
        <w:tc>
          <w:tcPr>
            <w:tcW w:w="7382" w:type="dxa"/>
            <w:gridSpan w:val="3"/>
            <w:vMerge w:val="continue"/>
            <w:noWrap w:val="0"/>
            <w:vAlign w:val="center"/>
          </w:tcPr>
          <w:p w14:paraId="393A0C4C">
            <w:pPr>
              <w:spacing w:line="360" w:lineRule="auto"/>
              <w:jc w:val="center"/>
              <w:rPr>
                <w:rFonts w:hint="eastAsia" w:ascii="宋体" w:hAnsi="宋体" w:eastAsia="宋体" w:cs="宋体"/>
                <w:color w:val="auto"/>
                <w:sz w:val="24"/>
                <w:szCs w:val="24"/>
              </w:rPr>
            </w:pPr>
          </w:p>
        </w:tc>
      </w:tr>
      <w:tr w14:paraId="23F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234929AB">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说明：</w:t>
            </w:r>
            <w:r>
              <w:rPr>
                <w:rFonts w:hint="eastAsia" w:ascii="宋体" w:hAnsi="宋体" w:eastAsia="宋体" w:cs="宋体"/>
                <w:color w:val="auto"/>
                <w:sz w:val="24"/>
                <w:szCs w:val="24"/>
              </w:rPr>
              <w:t>初步评审</w:t>
            </w:r>
            <w:r>
              <w:rPr>
                <w:rFonts w:hint="eastAsia" w:ascii="宋体" w:hAnsi="宋体" w:eastAsia="宋体" w:cs="宋体"/>
                <w:color w:val="auto"/>
                <w:sz w:val="24"/>
                <w:szCs w:val="24"/>
                <w:lang w:eastAsia="zh-CN"/>
              </w:rPr>
              <w:t>不通过的</w:t>
            </w:r>
            <w:r>
              <w:rPr>
                <w:rFonts w:hint="eastAsia" w:ascii="宋体" w:hAnsi="宋体" w:eastAsia="宋体" w:cs="宋体"/>
                <w:color w:val="auto"/>
                <w:sz w:val="24"/>
                <w:szCs w:val="24"/>
                <w:lang w:val="en-US" w:eastAsia="zh-CN"/>
              </w:rPr>
              <w:t>不再进入详细评审</w:t>
            </w:r>
          </w:p>
        </w:tc>
      </w:tr>
      <w:tr w14:paraId="5843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1E7356FB">
            <w:pPr>
              <w:spacing w:line="360" w:lineRule="auto"/>
              <w:ind w:firstLine="590" w:firstLineChars="245"/>
              <w:rPr>
                <w:rFonts w:hint="eastAsia" w:ascii="宋体" w:hAnsi="宋体" w:eastAsia="宋体" w:cs="宋体"/>
                <w:color w:val="000000"/>
                <w:sz w:val="24"/>
                <w:szCs w:val="24"/>
              </w:rPr>
            </w:pPr>
            <w:r>
              <w:rPr>
                <w:rFonts w:hint="eastAsia" w:ascii="宋体" w:hAnsi="宋体" w:eastAsia="宋体" w:cs="宋体"/>
                <w:b/>
                <w:color w:val="000000"/>
                <w:sz w:val="24"/>
                <w:szCs w:val="24"/>
              </w:rPr>
              <w:t>评分因素</w:t>
            </w:r>
          </w:p>
        </w:tc>
        <w:tc>
          <w:tcPr>
            <w:tcW w:w="1174" w:type="dxa"/>
            <w:noWrap w:val="0"/>
            <w:vAlign w:val="center"/>
          </w:tcPr>
          <w:p w14:paraId="3BCD4CC5">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评分点</w:t>
            </w:r>
          </w:p>
        </w:tc>
        <w:tc>
          <w:tcPr>
            <w:tcW w:w="4973" w:type="dxa"/>
            <w:noWrap w:val="0"/>
            <w:vAlign w:val="center"/>
          </w:tcPr>
          <w:p w14:paraId="7E5A7179">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评分标准</w:t>
            </w:r>
          </w:p>
        </w:tc>
        <w:tc>
          <w:tcPr>
            <w:tcW w:w="1235" w:type="dxa"/>
            <w:noWrap w:val="0"/>
            <w:vAlign w:val="top"/>
          </w:tcPr>
          <w:p w14:paraId="75C40216">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lang w:eastAsia="zh-CN"/>
              </w:rPr>
              <w:t>分值</w:t>
            </w:r>
            <w:r>
              <w:rPr>
                <w:rFonts w:hint="eastAsia" w:ascii="宋体" w:hAnsi="宋体" w:eastAsia="宋体" w:cs="宋体"/>
                <w:b/>
                <w:color w:val="000000"/>
                <w:sz w:val="24"/>
                <w:szCs w:val="24"/>
              </w:rPr>
              <w:t>权重</w:t>
            </w:r>
          </w:p>
        </w:tc>
      </w:tr>
      <w:tr w14:paraId="0660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1202" w:type="dxa"/>
            <w:vMerge w:val="restart"/>
            <w:noWrap w:val="0"/>
            <w:vAlign w:val="center"/>
          </w:tcPr>
          <w:p w14:paraId="3343B47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详细评审</w:t>
            </w:r>
          </w:p>
        </w:tc>
        <w:tc>
          <w:tcPr>
            <w:tcW w:w="1406" w:type="dxa"/>
            <w:noWrap w:val="0"/>
            <w:vAlign w:val="center"/>
          </w:tcPr>
          <w:p w14:paraId="15106DB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价格评审</w:t>
            </w:r>
          </w:p>
          <w:p w14:paraId="3DEF6C6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30分</w:t>
            </w:r>
          </w:p>
        </w:tc>
        <w:tc>
          <w:tcPr>
            <w:tcW w:w="1174" w:type="dxa"/>
            <w:noWrap w:val="0"/>
            <w:vAlign w:val="center"/>
          </w:tcPr>
          <w:p w14:paraId="0FCF352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4973" w:type="dxa"/>
            <w:noWrap w:val="0"/>
            <w:vAlign w:val="center"/>
          </w:tcPr>
          <w:p w14:paraId="2807C77D">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价格分应当采用下浮率最高值为评标基准价计算，即满足招标文件要求且下浮率最高值为评标基准价，其价格分为满分。</w:t>
            </w:r>
          </w:p>
          <w:p w14:paraId="43FFECC5">
            <w:pPr>
              <w:pStyle w:val="5"/>
              <w:numPr>
                <w:ilvl w:val="0"/>
                <w:numId w:val="6"/>
              </w:num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价格部分组成（30分）=牛肉类（15分）+羊肉类（15分）</w:t>
            </w:r>
          </w:p>
          <w:p w14:paraId="50292111">
            <w:pPr>
              <w:pStyle w:val="6"/>
              <w:numPr>
                <w:ilvl w:val="0"/>
                <w:numId w:val="6"/>
              </w:numP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N代表各个品类的报价所占总分值（100分）的百分比【牛肉类N=15%、羊肉类N=15%】</w:t>
            </w:r>
          </w:p>
          <w:p w14:paraId="29F465BD">
            <w:pPr>
              <w:spacing w:line="420" w:lineRule="exact"/>
              <w:rPr>
                <w:rFonts w:hint="eastAsia"/>
                <w:lang w:val="en-US" w:eastAsia="zh-CN"/>
              </w:rPr>
            </w:pPr>
          </w:p>
          <w:p w14:paraId="14315683">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报价计算方式为:评分标准=(1-评标基准价)/(1-有效投标报价)*</w:t>
            </w:r>
            <w:r>
              <w:rPr>
                <w:rFonts w:hint="eastAsia" w:ascii="宋体" w:hAnsi="宋体" w:eastAsia="宋体" w:cs="宋体"/>
                <w:color w:val="000000"/>
                <w:kern w:val="2"/>
                <w:sz w:val="24"/>
                <w:szCs w:val="24"/>
                <w:highlight w:val="none"/>
                <w:lang w:val="en-US" w:eastAsia="zh-CN" w:bidi="ar-SA"/>
              </w:rPr>
              <w:t>N</w:t>
            </w:r>
            <w:r>
              <w:rPr>
                <w:rFonts w:hint="eastAsia" w:ascii="宋体" w:hAnsi="宋体" w:eastAsia="宋体" w:cs="宋体"/>
                <w:color w:val="000000"/>
                <w:sz w:val="24"/>
                <w:szCs w:val="24"/>
                <w:highlight w:val="none"/>
                <w:lang w:val="en-US" w:eastAsia="zh-CN"/>
              </w:rPr>
              <w:t>分。（保留小数点后两位）</w:t>
            </w:r>
          </w:p>
          <w:p w14:paraId="0C701C80">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评标基准价:下浮率最高值为评标基准价</w:t>
            </w:r>
          </w:p>
          <w:p w14:paraId="2ABAFD79">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注：本项目专门面向中小企业采购，不作价格扣除。</w:t>
            </w:r>
          </w:p>
        </w:tc>
        <w:tc>
          <w:tcPr>
            <w:tcW w:w="1235" w:type="dxa"/>
            <w:noWrap w:val="0"/>
            <w:vAlign w:val="center"/>
          </w:tcPr>
          <w:p w14:paraId="3D4575DC">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r>
      <w:tr w14:paraId="3C0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14:paraId="5867955A">
            <w:pPr>
              <w:spacing w:line="360" w:lineRule="auto"/>
              <w:jc w:val="center"/>
              <w:rPr>
                <w:rFonts w:hint="eastAsia" w:ascii="宋体" w:hAnsi="宋体" w:eastAsia="宋体" w:cs="宋体"/>
                <w:color w:val="000000"/>
                <w:sz w:val="24"/>
                <w:szCs w:val="24"/>
              </w:rPr>
            </w:pPr>
          </w:p>
        </w:tc>
        <w:tc>
          <w:tcPr>
            <w:tcW w:w="1406" w:type="dxa"/>
            <w:noWrap w:val="0"/>
            <w:vAlign w:val="center"/>
          </w:tcPr>
          <w:p w14:paraId="0D7D8399">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商务</w:t>
            </w:r>
            <w:r>
              <w:rPr>
                <w:rFonts w:hint="eastAsia" w:ascii="宋体" w:hAnsi="宋体" w:eastAsia="宋体" w:cs="宋体"/>
                <w:color w:val="000000"/>
                <w:sz w:val="24"/>
                <w:szCs w:val="24"/>
                <w:highlight w:val="none"/>
              </w:rPr>
              <w:t>技术标评审</w:t>
            </w:r>
            <w:r>
              <w:rPr>
                <w:rFonts w:hint="eastAsia" w:ascii="宋体" w:hAnsi="宋体" w:eastAsia="宋体" w:cs="宋体"/>
                <w:color w:val="000000"/>
                <w:sz w:val="24"/>
                <w:szCs w:val="24"/>
                <w:highlight w:val="none"/>
                <w:lang w:val="en-US" w:eastAsia="zh-CN"/>
              </w:rPr>
              <w:t>70分</w:t>
            </w:r>
          </w:p>
        </w:tc>
        <w:tc>
          <w:tcPr>
            <w:tcW w:w="6147" w:type="dxa"/>
            <w:gridSpan w:val="2"/>
            <w:noWrap w:val="0"/>
            <w:vAlign w:val="center"/>
          </w:tcPr>
          <w:p w14:paraId="60204755">
            <w:pPr>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详见附表</w:t>
            </w:r>
            <w:r>
              <w:rPr>
                <w:rFonts w:hint="eastAsia" w:ascii="宋体" w:hAnsi="宋体" w:eastAsia="宋体" w:cs="宋体"/>
                <w:color w:val="000000"/>
                <w:sz w:val="24"/>
                <w:szCs w:val="24"/>
                <w:highlight w:val="none"/>
                <w:lang w:val="en-US" w:eastAsia="zh-CN"/>
              </w:rPr>
              <w:t>二</w:t>
            </w:r>
          </w:p>
        </w:tc>
        <w:tc>
          <w:tcPr>
            <w:tcW w:w="1235" w:type="dxa"/>
            <w:noWrap w:val="0"/>
            <w:vAlign w:val="center"/>
          </w:tcPr>
          <w:p w14:paraId="755CE792">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70%</w:t>
            </w:r>
          </w:p>
        </w:tc>
      </w:tr>
      <w:tr w14:paraId="5C9D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31E3E0C5">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100分</w:t>
            </w:r>
            <w:r>
              <w:rPr>
                <w:rFonts w:hint="eastAsia" w:ascii="宋体" w:hAnsi="宋体" w:eastAsia="宋体" w:cs="宋体"/>
                <w:color w:val="000000"/>
                <w:sz w:val="24"/>
                <w:szCs w:val="24"/>
                <w:lang w:eastAsia="zh-CN"/>
              </w:rPr>
              <w:t>）</w:t>
            </w:r>
          </w:p>
        </w:tc>
        <w:tc>
          <w:tcPr>
            <w:tcW w:w="6147" w:type="dxa"/>
            <w:gridSpan w:val="2"/>
            <w:noWrap w:val="0"/>
            <w:vAlign w:val="center"/>
          </w:tcPr>
          <w:p w14:paraId="62422505">
            <w:pPr>
              <w:spacing w:line="360" w:lineRule="auto"/>
              <w:jc w:val="center"/>
              <w:rPr>
                <w:rFonts w:hint="eastAsia" w:ascii="宋体" w:hAnsi="宋体" w:eastAsia="宋体" w:cs="宋体"/>
                <w:color w:val="000000"/>
                <w:sz w:val="24"/>
                <w:szCs w:val="24"/>
              </w:rPr>
            </w:pPr>
          </w:p>
        </w:tc>
        <w:tc>
          <w:tcPr>
            <w:tcW w:w="1235" w:type="dxa"/>
            <w:noWrap w:val="0"/>
            <w:vAlign w:val="top"/>
          </w:tcPr>
          <w:p w14:paraId="5309C22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608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03FD1591">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注：评分分值计算保留小数点后两位，小数点后第三位“四舍五入”</w:t>
            </w:r>
          </w:p>
        </w:tc>
      </w:tr>
    </w:tbl>
    <w:p w14:paraId="45C4957A">
      <w:pPr>
        <w:pStyle w:val="5"/>
      </w:pPr>
    </w:p>
    <w:p w14:paraId="2089FA6F">
      <w:pPr>
        <w:pStyle w:val="6"/>
      </w:pPr>
    </w:p>
    <w:p w14:paraId="4CAD2085"/>
    <w:p w14:paraId="74D49FE7">
      <w:pPr>
        <w:pStyle w:val="5"/>
      </w:pPr>
    </w:p>
    <w:p w14:paraId="0F965B3A">
      <w:pPr>
        <w:pStyle w:val="6"/>
      </w:pPr>
    </w:p>
    <w:p w14:paraId="246AF2CF">
      <w:pPr>
        <w:pStyle w:val="6"/>
      </w:pPr>
    </w:p>
    <w:p w14:paraId="20ACA82D">
      <w:pPr>
        <w:widowControl/>
        <w:kinsoku w:val="0"/>
        <w:autoSpaceDE w:val="0"/>
        <w:autoSpaceDN w:val="0"/>
        <w:adjustRightInd w:val="0"/>
        <w:snapToGrid w:val="0"/>
        <w:spacing w:before="19" w:line="219" w:lineRule="auto"/>
        <w:jc w:val="left"/>
        <w:textAlignment w:val="baseline"/>
        <w:rPr>
          <w:rFonts w:ascii="宋体" w:hAnsi="宋体" w:eastAsia="宋体" w:cs="宋体"/>
          <w:snapToGrid w:val="0"/>
          <w:color w:val="000000"/>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val="0"/>
          <w:bCs w:val="0"/>
          <w:snapToGrid w:val="0"/>
          <w:color w:val="000000"/>
          <w:spacing w:val="-3"/>
          <w:kern w:val="0"/>
          <w:sz w:val="28"/>
          <w:szCs w:val="28"/>
          <w:highlight w:val="none"/>
          <w:lang w:eastAsia="en-US"/>
        </w:rPr>
      </w:pPr>
      <w:r>
        <w:rPr>
          <w:rFonts w:ascii="宋体" w:hAnsi="宋体" w:eastAsia="宋体" w:cs="宋体"/>
          <w:b w:val="0"/>
          <w:bCs w:val="0"/>
          <w:snapToGrid w:val="0"/>
          <w:color w:val="000000"/>
          <w:spacing w:val="-3"/>
          <w:kern w:val="0"/>
          <w:sz w:val="28"/>
          <w:szCs w:val="28"/>
          <w:highlight w:val="none"/>
          <w:lang w:eastAsia="en-US"/>
        </w:rPr>
        <w:t>初步评审－资格、符合性审查表</w:t>
      </w:r>
    </w:p>
    <w:tbl>
      <w:tblPr>
        <w:tblStyle w:val="22"/>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评审意</w:t>
            </w:r>
            <w:r>
              <w:rPr>
                <w:rFonts w:ascii="宋体" w:hAnsi="宋体" w:eastAsia="宋体" w:cs="宋体"/>
                <w:b/>
                <w:bCs/>
                <w:snapToGrid w:val="0"/>
                <w:color w:val="000000"/>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jc w:val="center"/>
        </w:trPr>
        <w:tc>
          <w:tcPr>
            <w:tcW w:w="500" w:type="dxa"/>
            <w:vMerge w:val="restart"/>
            <w:tcBorders>
              <w:bottom w:val="nil"/>
            </w:tcBorders>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初</w:t>
            </w:r>
            <w:r>
              <w:rPr>
                <w:rFonts w:hint="eastAsia" w:ascii="宋体" w:hAnsi="宋体" w:eastAsia="宋体" w:cs="宋体"/>
                <w:snapToGrid w:val="0"/>
                <w:color w:val="000000"/>
                <w:spacing w:val="-46"/>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步</w:t>
            </w:r>
            <w:r>
              <w:rPr>
                <w:rFonts w:hint="eastAsia" w:ascii="宋体" w:hAnsi="宋体" w:eastAsia="宋体" w:cs="宋体"/>
                <w:snapToGrid w:val="0"/>
                <w:color w:val="000000"/>
                <w:spacing w:val="-50"/>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评</w:t>
            </w:r>
            <w:r>
              <w:rPr>
                <w:rFonts w:hint="eastAsia" w:ascii="宋体" w:hAnsi="宋体" w:eastAsia="宋体" w:cs="宋体"/>
                <w:snapToGrid w:val="0"/>
                <w:color w:val="000000"/>
                <w:spacing w:val="-48"/>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审</w:t>
            </w:r>
          </w:p>
        </w:tc>
        <w:tc>
          <w:tcPr>
            <w:tcW w:w="482" w:type="dxa"/>
            <w:vMerge w:val="restart"/>
            <w:tcBorders>
              <w:bottom w:val="nil"/>
            </w:tcBorders>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6"/>
                <w:kern w:val="0"/>
                <w:sz w:val="24"/>
                <w:szCs w:val="24"/>
                <w:highlight w:val="none"/>
                <w:lang w:val="en-US" w:eastAsia="en-US" w:bidi="ar-SA"/>
              </w:rPr>
              <w:t>具有独立承担民事责任</w:t>
            </w:r>
            <w:r>
              <w:rPr>
                <w:rFonts w:hint="eastAsia" w:ascii="宋体" w:hAnsi="宋体" w:eastAsia="宋体" w:cs="宋体"/>
                <w:snapToGrid w:val="0"/>
                <w:color w:val="000000"/>
                <w:spacing w:val="-13"/>
                <w:kern w:val="0"/>
                <w:sz w:val="24"/>
                <w:szCs w:val="24"/>
                <w:highlight w:val="none"/>
                <w:lang w:val="en-US" w:eastAsia="en-US" w:bidi="ar-SA"/>
              </w:rPr>
              <w:t>的能力</w:t>
            </w:r>
          </w:p>
        </w:tc>
        <w:tc>
          <w:tcPr>
            <w:tcW w:w="5116" w:type="dxa"/>
            <w:vAlign w:val="top"/>
          </w:tcPr>
          <w:p w14:paraId="1D99E324">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法人或者其他组织的营业执照等证明文件，自然人的身份证明，无三证合一的法人或者其他组织需提供营业执照、税务登记证和组织机构代码证:</w:t>
            </w:r>
          </w:p>
          <w:p w14:paraId="0327318C">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(其他组织除外)</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spacing w:val="53"/>
                <w:kern w:val="0"/>
                <w:sz w:val="24"/>
                <w:szCs w:val="24"/>
                <w:highlight w:val="none"/>
                <w:lang w:val="en-US" w:eastAsia="en-US" w:bidi="ar-SA"/>
              </w:rPr>
            </w:pPr>
          </w:p>
        </w:tc>
        <w:tc>
          <w:tcPr>
            <w:tcW w:w="2144" w:type="dxa"/>
            <w:vAlign w:val="top"/>
          </w:tcPr>
          <w:p w14:paraId="142E90FC">
            <w:pPr>
              <w:pStyle w:val="21"/>
              <w:spacing w:before="104" w:line="228" w:lineRule="auto"/>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授权委托书</w:t>
            </w:r>
          </w:p>
        </w:tc>
        <w:tc>
          <w:tcPr>
            <w:tcW w:w="5116" w:type="dxa"/>
            <w:vAlign w:val="top"/>
          </w:tcPr>
          <w:p w14:paraId="42E4E58D">
            <w:pPr>
              <w:pStyle w:val="21"/>
              <w:spacing w:before="104" w:line="227" w:lineRule="auto"/>
              <w:ind w:left="11"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供应商代表按照招标文件规定提供了法定代表人（单位负责人）身份证明或授权委托书；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cBorders>
              <w:top w:val="nil"/>
              <w:bottom w:val="nil"/>
            </w:tcBorders>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w:t>
            </w: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024</w:t>
            </w:r>
            <w:r>
              <w:rPr>
                <w:rFonts w:hint="eastAsia" w:ascii="宋体" w:hAnsi="宋体" w:eastAsia="宋体" w:cs="宋体"/>
                <w:snapToGrid w:val="0"/>
                <w:color w:val="000000"/>
                <w:kern w:val="0"/>
                <w:sz w:val="24"/>
                <w:szCs w:val="24"/>
                <w:highlight w:val="none"/>
                <w:lang w:val="en-US" w:eastAsia="zh-CN" w:bidi="ar-SA"/>
              </w:rPr>
              <w:t>或2025年</w:t>
            </w:r>
            <w:r>
              <w:rPr>
                <w:rFonts w:hint="eastAsia" w:ascii="宋体" w:hAnsi="宋体" w:eastAsia="宋体" w:cs="宋体"/>
                <w:snapToGrid w:val="0"/>
                <w:color w:val="000000"/>
                <w:kern w:val="0"/>
                <w:sz w:val="24"/>
                <w:szCs w:val="24"/>
                <w:highlight w:val="none"/>
                <w:lang w:val="en-US" w:eastAsia="en-US" w:bidi="ar-SA"/>
              </w:rPr>
              <w:t>度财务审计财务报告或财务报表，包括资产负债表、利润表、现金流量表或基本开户银行出具的资信证明原件扫描件；供应商成立时间少于该规定时限的，提供成立至今的材料原件扫描件；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cBorders>
              <w:top w:val="nil"/>
              <w:bottom w:val="nil"/>
            </w:tcBorders>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cBorders>
              <w:top w:val="nil"/>
              <w:bottom w:val="nil"/>
            </w:tcBorders>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有依法缴纳税收和社会保障</w:t>
            </w:r>
            <w:r>
              <w:rPr>
                <w:rFonts w:hint="eastAsia" w:ascii="宋体" w:hAnsi="宋体" w:eastAsia="宋体" w:cs="宋体"/>
                <w:snapToGrid w:val="0"/>
                <w:color w:val="000000"/>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提供2026年1月至今</w:t>
            </w:r>
            <w:r>
              <w:rPr>
                <w:rFonts w:hint="eastAsia" w:ascii="宋体" w:hAnsi="宋体" w:eastAsia="宋体" w:cs="宋体"/>
                <w:b w:val="0"/>
                <w:bCs w:val="0"/>
                <w:spacing w:val="-1"/>
                <w:sz w:val="24"/>
                <w:szCs w:val="24"/>
                <w:highlight w:val="none"/>
                <w:lang w:val="en-US" w:eastAsia="zh-CN"/>
              </w:rPr>
              <w:t>连续</w:t>
            </w:r>
            <w:r>
              <w:rPr>
                <w:rFonts w:hint="eastAsia" w:ascii="宋体" w:hAnsi="宋体" w:eastAsia="宋体" w:cs="宋体"/>
                <w:snapToGrid w:val="0"/>
                <w:color w:val="000000"/>
                <w:kern w:val="0"/>
                <w:sz w:val="24"/>
                <w:szCs w:val="24"/>
                <w:highlight w:val="none"/>
                <w:lang w:val="en-US" w:eastAsia="zh-CN" w:bidi="ar-SA"/>
              </w:rPr>
              <w:t>三个月</w:t>
            </w:r>
            <w:r>
              <w:rPr>
                <w:rFonts w:hint="eastAsia" w:ascii="宋体" w:hAnsi="宋体" w:eastAsia="宋体" w:cs="宋体"/>
                <w:snapToGrid w:val="0"/>
                <w:color w:val="000000"/>
                <w:kern w:val="0"/>
                <w:sz w:val="24"/>
                <w:szCs w:val="24"/>
                <w:highlight w:val="none"/>
                <w:lang w:val="en-US" w:eastAsia="en-US" w:bidi="ar-SA"/>
              </w:rPr>
              <w:t>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cBorders>
              <w:top w:val="nil"/>
              <w:bottom w:val="nil"/>
            </w:tcBorders>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0"/>
                <w:kern w:val="0"/>
                <w:sz w:val="24"/>
                <w:szCs w:val="24"/>
                <w:highlight w:val="none"/>
                <w:lang w:val="en-US" w:eastAsia="en-US" w:bidi="ar-SA"/>
              </w:rPr>
              <w:t>参加政府采购活动前三年内，</w:t>
            </w:r>
            <w:r>
              <w:rPr>
                <w:rFonts w:hint="eastAsia" w:ascii="宋体" w:hAnsi="宋体" w:eastAsia="宋体" w:cs="宋体"/>
                <w:snapToGrid w:val="0"/>
                <w:color w:val="000000"/>
                <w:spacing w:val="-5"/>
                <w:kern w:val="0"/>
                <w:sz w:val="24"/>
                <w:szCs w:val="24"/>
                <w:highlight w:val="none"/>
                <w:lang w:val="en-US" w:eastAsia="en-US" w:bidi="ar-SA"/>
              </w:rPr>
              <w:t>在经营活动中没有重大违法</w:t>
            </w:r>
            <w:r>
              <w:rPr>
                <w:rFonts w:hint="eastAsia" w:ascii="宋体" w:hAnsi="宋体" w:eastAsia="宋体" w:cs="宋体"/>
                <w:snapToGrid w:val="0"/>
                <w:color w:val="000000"/>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000000"/>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top w:val="nil"/>
              <w:bottom w:val="nil"/>
            </w:tcBorders>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tcBorders>
              <w:top w:val="nil"/>
              <w:bottom w:val="nil"/>
            </w:tcBorders>
            <w:textDirection w:val="tbRlV"/>
            <w:vAlign w:val="top"/>
          </w:tcPr>
          <w:p w14:paraId="1EF2B39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供应商如在“信用中国 ”网站、中国政府采购网被列入严重违法失信行为记录名单的（尚在处罚期内的），将拒绝其参加本次政府采购活动（注：开标当天由采购人或采购代理机构在线查询供应商的信用记录供应商存在不良信用记录的，其投标按无效投标处理。</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68E8F4BC">
            <w:pPr>
              <w:pStyle w:val="21"/>
              <w:spacing w:before="40" w:line="222" w:lineRule="auto"/>
              <w:ind w:left="19" w:leftChars="0" w:right="128" w:rightChars="0" w:hanging="8" w:firstLineChars="0"/>
              <w:rPr>
                <w:rFonts w:hint="eastAsia" w:ascii="宋体" w:hAnsi="宋体" w:eastAsia="宋体" w:cs="宋体"/>
                <w:spacing w:val="-3"/>
                <w:sz w:val="24"/>
                <w:szCs w:val="24"/>
                <w:highlight w:val="none"/>
              </w:rPr>
            </w:pPr>
            <w:r>
              <w:rPr>
                <w:spacing w:val="-1"/>
                <w:highlight w:val="none"/>
              </w:rPr>
              <w:t>落实政府采购政策需满足的</w:t>
            </w:r>
            <w:r>
              <w:rPr>
                <w:spacing w:val="-5"/>
                <w:highlight w:val="none"/>
              </w:rPr>
              <w:t>资格要求</w:t>
            </w:r>
          </w:p>
        </w:tc>
        <w:tc>
          <w:tcPr>
            <w:tcW w:w="5116" w:type="dxa"/>
            <w:vAlign w:val="top"/>
          </w:tcPr>
          <w:p w14:paraId="386F5930">
            <w:pPr>
              <w:pStyle w:val="21"/>
              <w:spacing w:before="192" w:line="219" w:lineRule="auto"/>
              <w:ind w:left="14" w:leftChars="0"/>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请根据要求单独上传《中小企业声明函》。格式以采购文件要求为准。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0636F0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Merge w:val="restart"/>
            <w:vAlign w:val="top"/>
          </w:tcPr>
          <w:p w14:paraId="5ED0016A">
            <w:pPr>
              <w:pStyle w:val="21"/>
              <w:spacing w:before="193" w:line="219" w:lineRule="auto"/>
              <w:ind w:left="9" w:leftChars="0"/>
              <w:rPr>
                <w:rFonts w:hint="eastAsia" w:ascii="宋体" w:hAnsi="宋体" w:eastAsia="宋体" w:cs="宋体"/>
                <w:spacing w:val="-1"/>
                <w:highlight w:val="none"/>
              </w:rPr>
            </w:pPr>
            <w:r>
              <w:rPr>
                <w:rFonts w:hint="eastAsia" w:ascii="宋体" w:hAnsi="宋体" w:eastAsia="宋体" w:cs="宋体"/>
                <w:spacing w:val="-1"/>
                <w:highlight w:val="none"/>
              </w:rPr>
              <w:t>供应商名称与</w:t>
            </w:r>
            <w:r>
              <w:rPr>
                <w:rFonts w:hint="eastAsia" w:cs="宋体"/>
                <w:spacing w:val="-1"/>
                <w:highlight w:val="none"/>
                <w:lang w:val="en-US" w:eastAsia="zh-CN"/>
              </w:rPr>
              <w:t>获取</w:t>
            </w:r>
            <w:r>
              <w:rPr>
                <w:rFonts w:hint="eastAsia" w:ascii="宋体" w:hAnsi="宋体" w:eastAsia="宋体" w:cs="宋体"/>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15858782">
            <w:pPr>
              <w:pStyle w:val="21"/>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0DF28F0D">
            <w:pPr>
              <w:pStyle w:val="21"/>
              <w:spacing w:before="195" w:line="218" w:lineRule="auto"/>
              <w:ind w:left="9"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lang w:val="en-US" w:eastAsia="zh-CN"/>
              </w:rPr>
              <w:t>投标报价不得超过最高限价</w:t>
            </w:r>
            <w:r>
              <w:rPr>
                <w:rFonts w:hint="eastAsia" w:ascii="宋体" w:hAnsi="宋体" w:eastAsia="宋体" w:cs="宋体"/>
                <w:spacing w:val="-1"/>
                <w:highlight w:val="none"/>
                <w:lang w:eastAsia="zh-CN"/>
              </w:rPr>
              <w:t>；</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695AFFF1">
            <w:pPr>
              <w:pStyle w:val="21"/>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4B95A1AD">
            <w:pPr>
              <w:pStyle w:val="21"/>
              <w:spacing w:before="40" w:line="223" w:lineRule="auto"/>
              <w:ind w:left="10" w:leftChars="0" w:right="32" w:righ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符合招标文件中规定的实质性要求和条件（招标</w:t>
            </w:r>
            <w:r>
              <w:rPr>
                <w:rFonts w:hint="eastAsia" w:ascii="宋体" w:hAnsi="宋体" w:eastAsia="宋体" w:cs="宋体"/>
                <w:spacing w:val="-2"/>
                <w:highlight w:val="none"/>
              </w:rPr>
              <w:t>文件中标注“★</w:t>
            </w:r>
            <w:r>
              <w:rPr>
                <w:rFonts w:hint="eastAsia" w:ascii="宋体" w:hAnsi="宋体" w:eastAsia="宋体" w:cs="宋体"/>
                <w:spacing w:val="-88"/>
                <w:highlight w:val="none"/>
              </w:rPr>
              <w:t xml:space="preserve"> </w:t>
            </w:r>
            <w:r>
              <w:rPr>
                <w:rFonts w:hint="eastAsia" w:ascii="宋体" w:hAnsi="宋体" w:eastAsia="宋体" w:cs="宋体"/>
                <w:spacing w:val="-2"/>
                <w:highlight w:val="none"/>
              </w:rPr>
              <w:t>”符号的所</w:t>
            </w:r>
            <w:r>
              <w:rPr>
                <w:rFonts w:hint="eastAsia" w:ascii="宋体" w:hAnsi="宋体" w:eastAsia="宋体" w:cs="宋体"/>
                <w:spacing w:val="-4"/>
                <w:highlight w:val="none"/>
              </w:rPr>
              <w:t>有条款</w:t>
            </w:r>
            <w:r>
              <w:rPr>
                <w:rFonts w:hint="eastAsia" w:ascii="宋体" w:hAnsi="宋体" w:eastAsia="宋体" w:cs="宋体"/>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3803465">
            <w:pPr>
              <w:pStyle w:val="21"/>
              <w:spacing w:before="193"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投标文件中没有采购人不能接受的附加条件的；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5055353">
            <w:pPr>
              <w:pStyle w:val="21"/>
              <w:spacing w:before="195" w:line="219" w:lineRule="auto"/>
              <w:ind w:left="13"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336" w:type="dxa"/>
            <w:gridSpan w:val="5"/>
            <w:vAlign w:val="center"/>
          </w:tcPr>
          <w:p w14:paraId="3C3D9C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r>
              <w:rPr>
                <w:b/>
                <w:bCs/>
                <w:spacing w:val="-2"/>
                <w:sz w:val="24"/>
                <w:szCs w:val="24"/>
                <w:highlight w:val="none"/>
              </w:rPr>
              <w:t>注：以上检查内容必须全部满足检查标准，否则视为无效投标。</w:t>
            </w:r>
          </w:p>
        </w:tc>
      </w:tr>
    </w:tbl>
    <w:p w14:paraId="16F7FD9C">
      <w:pPr>
        <w:rPr>
          <w:rFonts w:hint="eastAsia" w:ascii="宋体" w:hAnsi="宋体" w:eastAsia="宋体" w:cs="宋体"/>
          <w:b/>
          <w:bCs/>
          <w:snapToGrid w:val="0"/>
          <w:color w:val="000000"/>
          <w:spacing w:val="-3"/>
          <w:kern w:val="0"/>
          <w:sz w:val="28"/>
          <w:szCs w:val="28"/>
          <w:highlight w:val="none"/>
          <w:lang w:val="en-US" w:eastAsia="zh-CN"/>
        </w:rPr>
      </w:pPr>
      <w:r>
        <w:rPr>
          <w:rFonts w:hint="eastAsia" w:ascii="宋体" w:hAnsi="宋体" w:eastAsia="宋体" w:cs="宋体"/>
          <w:b/>
          <w:bCs/>
          <w:snapToGrid w:val="0"/>
          <w:color w:val="000000"/>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snapToGrid w:val="0"/>
          <w:color w:val="000000"/>
          <w:spacing w:val="-7"/>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w:t>
      </w:r>
      <w:r>
        <w:rPr>
          <w:rFonts w:hint="eastAsia" w:ascii="宋体" w:hAnsi="宋体" w:eastAsia="宋体" w:cs="宋体"/>
          <w:snapToGrid w:val="0"/>
          <w:color w:val="000000"/>
          <w:spacing w:val="-7"/>
          <w:kern w:val="0"/>
          <w:sz w:val="22"/>
          <w:szCs w:val="22"/>
          <w:highlight w:val="none"/>
          <w:lang w:val="en-US" w:eastAsia="zh-CN"/>
        </w:rPr>
        <w:t>二</w:t>
      </w:r>
      <w:r>
        <w:rPr>
          <w:rFonts w:ascii="宋体" w:hAnsi="宋体" w:eastAsia="宋体" w:cs="宋体"/>
          <w:snapToGrid w:val="0"/>
          <w:color w:val="000000"/>
          <w:spacing w:val="-7"/>
          <w:kern w:val="0"/>
          <w:sz w:val="22"/>
          <w:szCs w:val="22"/>
          <w:highlight w:val="none"/>
          <w:lang w:eastAsia="en-US"/>
        </w:rPr>
        <w:t>：</w:t>
      </w:r>
    </w:p>
    <w:p w14:paraId="0F16B6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val="en-US" w:eastAsia="zh-CN"/>
        </w:rPr>
        <w:t xml:space="preserve"> </w:t>
      </w:r>
      <w:r>
        <w:rPr>
          <w:rFonts w:ascii="宋体" w:hAnsi="宋体" w:eastAsia="宋体" w:cs="宋体"/>
          <w:b/>
          <w:bCs/>
          <w:spacing w:val="-3"/>
          <w:sz w:val="24"/>
          <w:szCs w:val="24"/>
          <w:highlight w:val="none"/>
        </w:rPr>
        <w:t>评分标准和评分细则</w:t>
      </w:r>
    </w:p>
    <w:p w14:paraId="37414588">
      <w:pPr>
        <w:pStyle w:val="5"/>
        <w:rPr>
          <w:rFonts w:ascii="宋体" w:hAnsi="宋体" w:eastAsia="宋体" w:cs="宋体"/>
          <w:b/>
          <w:bCs/>
          <w:spacing w:val="-3"/>
          <w:sz w:val="24"/>
          <w:szCs w:val="24"/>
          <w:highlight w:val="none"/>
        </w:rPr>
      </w:pPr>
    </w:p>
    <w:p w14:paraId="25C6C6F2">
      <w:pPr>
        <w:bidi w:val="0"/>
        <w:rPr>
          <w:rFonts w:hint="default"/>
          <w:b/>
          <w:bCs/>
          <w:sz w:val="24"/>
          <w:szCs w:val="24"/>
          <w:lang w:val="en-US"/>
        </w:rPr>
      </w:pPr>
      <w:r>
        <w:rPr>
          <w:rFonts w:hint="eastAsia"/>
          <w:b/>
          <w:bCs/>
          <w:sz w:val="24"/>
          <w:szCs w:val="24"/>
          <w:lang w:eastAsia="zh-CN"/>
        </w:rPr>
        <w:t>商务</w:t>
      </w:r>
      <w:r>
        <w:rPr>
          <w:rFonts w:hint="eastAsia"/>
          <w:b/>
          <w:bCs/>
          <w:sz w:val="24"/>
          <w:szCs w:val="24"/>
          <w:lang w:val="en-US" w:eastAsia="zh-CN"/>
        </w:rPr>
        <w:t>评审</w:t>
      </w:r>
      <w:r>
        <w:rPr>
          <w:rFonts w:hint="eastAsia"/>
          <w:b/>
          <w:bCs/>
          <w:sz w:val="24"/>
          <w:szCs w:val="24"/>
          <w:lang w:eastAsia="zh-CN"/>
        </w:rPr>
        <w:t>（</w:t>
      </w:r>
      <w:r>
        <w:rPr>
          <w:rFonts w:hint="eastAsia"/>
          <w:b/>
          <w:bCs/>
          <w:sz w:val="24"/>
          <w:szCs w:val="24"/>
          <w:lang w:val="en-US" w:eastAsia="zh-CN"/>
        </w:rPr>
        <w:t>35分</w:t>
      </w:r>
      <w:r>
        <w:rPr>
          <w:rFonts w:hint="eastAsia"/>
          <w:b/>
          <w:bCs/>
          <w:sz w:val="24"/>
          <w:szCs w:val="24"/>
          <w:lang w:eastAsia="zh-CN"/>
        </w:rPr>
        <w:t>）</w:t>
      </w:r>
    </w:p>
    <w:tbl>
      <w:tblPr>
        <w:tblStyle w:val="22"/>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2646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2F457AA2">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序号</w:t>
            </w:r>
          </w:p>
        </w:tc>
        <w:tc>
          <w:tcPr>
            <w:tcW w:w="1195" w:type="dxa"/>
            <w:vAlign w:val="center"/>
          </w:tcPr>
          <w:p w14:paraId="48800F74">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hint="eastAsia" w:ascii="Calibri" w:hAnsi="Calibri" w:eastAsia="宋体" w:cs="Times New Roman"/>
                <w:snapToGrid/>
                <w:color w:val="000000"/>
                <w:kern w:val="2"/>
                <w:sz w:val="24"/>
                <w:szCs w:val="24"/>
                <w:highlight w:val="none"/>
                <w:lang w:val="en-US" w:eastAsia="en-US"/>
              </w:rPr>
              <w:t>评审项目</w:t>
            </w:r>
          </w:p>
        </w:tc>
        <w:tc>
          <w:tcPr>
            <w:tcW w:w="1275" w:type="dxa"/>
            <w:vAlign w:val="center"/>
          </w:tcPr>
          <w:p w14:paraId="4300FEE2">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分数</w:t>
            </w:r>
          </w:p>
        </w:tc>
        <w:tc>
          <w:tcPr>
            <w:tcW w:w="6489" w:type="dxa"/>
            <w:vAlign w:val="center"/>
          </w:tcPr>
          <w:p w14:paraId="5E7DF84D">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hint="eastAsia" w:ascii="Calibri" w:hAnsi="Calibri" w:eastAsia="宋体" w:cs="Times New Roman"/>
                <w:snapToGrid/>
                <w:color w:val="000000"/>
                <w:kern w:val="2"/>
                <w:sz w:val="24"/>
                <w:szCs w:val="24"/>
                <w:highlight w:val="none"/>
                <w:lang w:val="en-US" w:eastAsia="en-US"/>
              </w:rPr>
              <w:t>评审细则</w:t>
            </w:r>
          </w:p>
        </w:tc>
      </w:tr>
      <w:tr w14:paraId="66AF0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0C7CB68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1</w:t>
            </w:r>
          </w:p>
        </w:tc>
        <w:tc>
          <w:tcPr>
            <w:tcW w:w="1195" w:type="dxa"/>
            <w:vAlign w:val="center"/>
          </w:tcPr>
          <w:p w14:paraId="04525BC2">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人员配备</w:t>
            </w:r>
          </w:p>
        </w:tc>
        <w:tc>
          <w:tcPr>
            <w:tcW w:w="1275" w:type="dxa"/>
            <w:vAlign w:val="center"/>
          </w:tcPr>
          <w:p w14:paraId="69A6709B">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0-</w:t>
            </w:r>
            <w:r>
              <w:rPr>
                <w:rFonts w:hint="eastAsia" w:ascii="宋体" w:hAnsi="宋体" w:eastAsia="宋体" w:cs="宋体"/>
                <w:snapToGrid/>
                <w:color w:val="000000"/>
                <w:kern w:val="2"/>
                <w:sz w:val="24"/>
                <w:szCs w:val="24"/>
                <w:highlight w:val="none"/>
                <w:lang w:val="en-US" w:eastAsia="zh-CN"/>
              </w:rPr>
              <w:t>5</w:t>
            </w:r>
            <w:r>
              <w:rPr>
                <w:rFonts w:hint="eastAsia" w:ascii="宋体" w:hAnsi="宋体" w:eastAsia="宋体" w:cs="宋体"/>
                <w:snapToGrid/>
                <w:color w:val="000000"/>
                <w:kern w:val="2"/>
                <w:sz w:val="24"/>
                <w:szCs w:val="24"/>
                <w:highlight w:val="none"/>
                <w:lang w:val="en-US" w:eastAsia="en-US"/>
              </w:rPr>
              <w:t>分</w:t>
            </w:r>
          </w:p>
        </w:tc>
        <w:tc>
          <w:tcPr>
            <w:tcW w:w="6489" w:type="dxa"/>
            <w:vAlign w:val="center"/>
          </w:tcPr>
          <w:p w14:paraId="6232B30A">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供应商拟为本项目提供服务团队配置健全(包括</w:t>
            </w:r>
            <w:r>
              <w:rPr>
                <w:rFonts w:hint="eastAsia" w:ascii="宋体" w:hAnsi="宋体" w:eastAsia="宋体" w:cs="宋体"/>
                <w:snapToGrid/>
                <w:color w:val="000000"/>
                <w:kern w:val="2"/>
                <w:sz w:val="24"/>
                <w:szCs w:val="24"/>
                <w:highlight w:val="none"/>
                <w:lang w:val="en-US" w:eastAsia="zh-CN"/>
              </w:rPr>
              <w:t>但不限于</w:t>
            </w:r>
            <w:r>
              <w:rPr>
                <w:rFonts w:hint="eastAsia" w:ascii="宋体" w:hAnsi="宋体" w:eastAsia="宋体" w:cs="宋体"/>
                <w:snapToGrid/>
                <w:color w:val="000000"/>
                <w:kern w:val="2"/>
                <w:sz w:val="24"/>
                <w:szCs w:val="24"/>
                <w:highlight w:val="none"/>
                <w:lang w:val="en-US" w:eastAsia="en-US"/>
              </w:rPr>
              <w:t>项目负责人、财务人员、采购人员、配送人员及其职责分工等)，可服务本项目人员不少于</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val="en-US" w:eastAsia="en-US"/>
              </w:rPr>
              <w:t>人，每增加1人加</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val="en-US" w:eastAsia="en-US"/>
              </w:rPr>
              <w:t>分，满分</w:t>
            </w:r>
            <w:r>
              <w:rPr>
                <w:rFonts w:hint="eastAsia" w:ascii="宋体" w:hAnsi="宋体" w:eastAsia="宋体" w:cs="宋体"/>
                <w:snapToGrid/>
                <w:color w:val="000000"/>
                <w:kern w:val="2"/>
                <w:sz w:val="24"/>
                <w:szCs w:val="24"/>
                <w:highlight w:val="none"/>
                <w:lang w:val="en-US" w:eastAsia="zh-CN"/>
              </w:rPr>
              <w:t>5</w:t>
            </w:r>
            <w:r>
              <w:rPr>
                <w:rFonts w:hint="eastAsia" w:ascii="宋体" w:hAnsi="宋体" w:eastAsia="宋体" w:cs="宋体"/>
                <w:snapToGrid/>
                <w:color w:val="000000"/>
                <w:kern w:val="2"/>
                <w:sz w:val="24"/>
                <w:szCs w:val="24"/>
                <w:highlight w:val="none"/>
                <w:lang w:val="en-US" w:eastAsia="en-US"/>
              </w:rPr>
              <w:t>分。</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val="en-US" w:eastAsia="en-US"/>
              </w:rPr>
              <w:t>人以下不得分。(须提供拟派人员身份证、在本单位签订的劳动合同；未提供证明材料或者提供的证明材料不符合要求或者提供的证明材料不清晰导致评审专家无法辨认的，不得分。)</w:t>
            </w:r>
          </w:p>
        </w:tc>
      </w:tr>
      <w:tr w14:paraId="4AAD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0146CA98">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2</w:t>
            </w:r>
          </w:p>
        </w:tc>
        <w:tc>
          <w:tcPr>
            <w:tcW w:w="1195" w:type="dxa"/>
            <w:vAlign w:val="center"/>
          </w:tcPr>
          <w:p w14:paraId="4B1C4AE8">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车辆配备</w:t>
            </w:r>
          </w:p>
        </w:tc>
        <w:tc>
          <w:tcPr>
            <w:tcW w:w="1275" w:type="dxa"/>
            <w:vAlign w:val="center"/>
          </w:tcPr>
          <w:p w14:paraId="7BE3980D">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0-8分</w:t>
            </w:r>
          </w:p>
        </w:tc>
        <w:tc>
          <w:tcPr>
            <w:tcW w:w="6489" w:type="dxa"/>
            <w:vAlign w:val="center"/>
          </w:tcPr>
          <w:p w14:paraId="7E00BA97">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供应商拟为本项目提供配送车辆(须为满足项目配送需求的货运车辆，为公司或法人所有或租用的国家标准货运车辆)，每提供1辆得2分，满分8分。</w:t>
            </w:r>
          </w:p>
          <w:p w14:paraId="326792B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注:所有车辆均须提供正面照片，有效的机动车行驶证，租赁车辆还须提供租赁合同和与租赁合同双方信息一致的付款凭证及发票。</w:t>
            </w:r>
          </w:p>
          <w:p w14:paraId="316B7A5C">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未提供证明材料或者提供的证明材料不符合要求或者提供的证明材料不清晰导致评审专家无法辨认的，不得分。</w:t>
            </w:r>
          </w:p>
        </w:tc>
      </w:tr>
      <w:tr w14:paraId="23D1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553" w:type="dxa"/>
            <w:vAlign w:val="center"/>
          </w:tcPr>
          <w:p w14:paraId="2FED828B">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3</w:t>
            </w:r>
          </w:p>
        </w:tc>
        <w:tc>
          <w:tcPr>
            <w:tcW w:w="1195" w:type="dxa"/>
            <w:vAlign w:val="center"/>
          </w:tcPr>
          <w:p w14:paraId="7EF12026">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zh-CN"/>
              </w:rPr>
              <w:t>类似业绩</w:t>
            </w:r>
          </w:p>
        </w:tc>
        <w:tc>
          <w:tcPr>
            <w:tcW w:w="1275" w:type="dxa"/>
            <w:vAlign w:val="center"/>
          </w:tcPr>
          <w:p w14:paraId="590EDE78">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0-</w:t>
            </w:r>
            <w:r>
              <w:rPr>
                <w:rFonts w:hint="eastAsia" w:ascii="宋体" w:hAnsi="宋体" w:eastAsia="宋体" w:cs="宋体"/>
                <w:snapToGrid/>
                <w:color w:val="000000"/>
                <w:kern w:val="2"/>
                <w:sz w:val="24"/>
                <w:szCs w:val="24"/>
                <w:highlight w:val="none"/>
                <w:lang w:val="en-US" w:eastAsia="zh-CN"/>
              </w:rPr>
              <w:t>4</w:t>
            </w:r>
            <w:r>
              <w:rPr>
                <w:rFonts w:hint="eastAsia" w:ascii="宋体" w:hAnsi="宋体" w:eastAsia="宋体" w:cs="宋体"/>
                <w:snapToGrid/>
                <w:color w:val="000000"/>
                <w:kern w:val="2"/>
                <w:sz w:val="24"/>
                <w:szCs w:val="24"/>
                <w:highlight w:val="none"/>
                <w:lang w:val="en-US" w:eastAsia="en-US"/>
              </w:rPr>
              <w:t>分</w:t>
            </w:r>
          </w:p>
        </w:tc>
        <w:tc>
          <w:tcPr>
            <w:tcW w:w="6489" w:type="dxa"/>
            <w:vAlign w:val="center"/>
          </w:tcPr>
          <w:p w14:paraId="0FAD03AB">
            <w:pPr>
              <w:widowControl w:val="0"/>
              <w:kinsoku/>
              <w:autoSpaceDE/>
              <w:autoSpaceDN/>
              <w:adjustRightInd/>
              <w:snapToGrid/>
              <w:spacing w:line="240" w:lineRule="auto"/>
              <w:jc w:val="left"/>
              <w:textAlignment w:val="auto"/>
              <w:rPr>
                <w:rFonts w:hint="default" w:ascii="宋体" w:hAnsi="宋体" w:eastAsia="宋体" w:cs="宋体"/>
                <w:b/>
                <w:bCs/>
                <w:snapToGrid/>
                <w:color w:val="000000"/>
                <w:kern w:val="2"/>
                <w:sz w:val="24"/>
                <w:szCs w:val="24"/>
                <w:highlight w:val="none"/>
                <w:lang w:val="en-US" w:eastAsia="zh-CN"/>
              </w:rPr>
            </w:pPr>
            <w:r>
              <w:rPr>
                <w:rFonts w:hint="default" w:ascii="宋体" w:hAnsi="宋体" w:eastAsia="宋体" w:cs="宋体"/>
                <w:b w:val="0"/>
                <w:bCs w:val="0"/>
                <w:snapToGrid/>
                <w:color w:val="000000"/>
                <w:kern w:val="2"/>
                <w:sz w:val="24"/>
                <w:szCs w:val="24"/>
                <w:highlight w:val="none"/>
                <w:lang w:val="en-US" w:eastAsia="zh-CN"/>
              </w:rPr>
              <w:t>根据供应商近三年(202</w:t>
            </w:r>
            <w:r>
              <w:rPr>
                <w:rFonts w:hint="eastAsia" w:ascii="宋体" w:hAnsi="宋体" w:eastAsia="宋体" w:cs="宋体"/>
                <w:b w:val="0"/>
                <w:bCs w:val="0"/>
                <w:snapToGrid/>
                <w:color w:val="000000"/>
                <w:kern w:val="2"/>
                <w:sz w:val="24"/>
                <w:szCs w:val="24"/>
                <w:highlight w:val="none"/>
                <w:lang w:val="en-US" w:eastAsia="zh-CN"/>
              </w:rPr>
              <w:t>3</w:t>
            </w:r>
            <w:r>
              <w:rPr>
                <w:rFonts w:hint="default" w:ascii="宋体" w:hAnsi="宋体" w:eastAsia="宋体" w:cs="宋体"/>
                <w:b w:val="0"/>
                <w:bCs w:val="0"/>
                <w:snapToGrid/>
                <w:color w:val="000000"/>
                <w:kern w:val="2"/>
                <w:sz w:val="24"/>
                <w:szCs w:val="24"/>
                <w:highlight w:val="none"/>
                <w:lang w:val="en-US" w:eastAsia="zh-CN"/>
              </w:rPr>
              <w:t>年1月1日至今)类似业绩情况进行评定:每提供一个有效业绩加2分，满分</w:t>
            </w:r>
            <w:r>
              <w:rPr>
                <w:rFonts w:hint="eastAsia" w:ascii="宋体" w:hAnsi="宋体" w:eastAsia="宋体" w:cs="宋体"/>
                <w:b w:val="0"/>
                <w:bCs w:val="0"/>
                <w:snapToGrid/>
                <w:color w:val="000000"/>
                <w:kern w:val="2"/>
                <w:sz w:val="24"/>
                <w:szCs w:val="24"/>
                <w:highlight w:val="none"/>
                <w:lang w:val="en-US" w:eastAsia="zh-CN"/>
              </w:rPr>
              <w:t>4</w:t>
            </w:r>
            <w:r>
              <w:rPr>
                <w:rFonts w:hint="default" w:ascii="宋体" w:hAnsi="宋体" w:eastAsia="宋体" w:cs="宋体"/>
                <w:b w:val="0"/>
                <w:bCs w:val="0"/>
                <w:snapToGrid/>
                <w:color w:val="000000"/>
                <w:kern w:val="2"/>
                <w:sz w:val="24"/>
                <w:szCs w:val="24"/>
                <w:highlight w:val="none"/>
                <w:lang w:val="en-US" w:eastAsia="zh-CN"/>
              </w:rPr>
              <w:t>分，同一项目续签合同的不可重复得分。(业绩证明资料须同时提供合同和中标通知书及发票扫描件〈发票应体现具体内容，如发票未体现具体内容，应附清单&gt;，上述材料缺一不可，提供不全或上述材料不清晰不完整无法辨识的本项不得分。)</w:t>
            </w:r>
          </w:p>
        </w:tc>
      </w:tr>
      <w:tr w14:paraId="4BA7E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79FB4AA4">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4</w:t>
            </w:r>
          </w:p>
        </w:tc>
        <w:tc>
          <w:tcPr>
            <w:tcW w:w="1195" w:type="dxa"/>
            <w:vAlign w:val="center"/>
          </w:tcPr>
          <w:p w14:paraId="71408F6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default" w:ascii="宋体" w:hAnsi="宋体" w:eastAsia="宋体" w:cs="宋体"/>
                <w:snapToGrid/>
                <w:color w:val="000000"/>
                <w:kern w:val="2"/>
                <w:sz w:val="24"/>
                <w:szCs w:val="24"/>
                <w:highlight w:val="none"/>
                <w:lang w:val="en-US" w:eastAsia="zh-CN"/>
              </w:rPr>
              <w:t>仓储能</w:t>
            </w:r>
            <w:r>
              <w:rPr>
                <w:rFonts w:hint="eastAsia" w:ascii="宋体" w:hAnsi="宋体" w:eastAsia="宋体" w:cs="宋体"/>
                <w:snapToGrid/>
                <w:color w:val="000000"/>
                <w:kern w:val="2"/>
                <w:sz w:val="24"/>
                <w:szCs w:val="24"/>
                <w:highlight w:val="none"/>
                <w:lang w:val="en-US" w:eastAsia="zh-CN"/>
              </w:rPr>
              <w:t>力</w:t>
            </w:r>
          </w:p>
        </w:tc>
        <w:tc>
          <w:tcPr>
            <w:tcW w:w="1275" w:type="dxa"/>
            <w:vAlign w:val="center"/>
          </w:tcPr>
          <w:p w14:paraId="0C74B747">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0-5分</w:t>
            </w:r>
          </w:p>
        </w:tc>
        <w:tc>
          <w:tcPr>
            <w:tcW w:w="6489" w:type="dxa"/>
            <w:vAlign w:val="center"/>
          </w:tcPr>
          <w:p w14:paraId="5E5A6C64">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在本地须有仓储分拣中心（自有或租赁）：</w:t>
            </w:r>
          </w:p>
          <w:p w14:paraId="119902E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1.总面积在≥</w:t>
            </w:r>
            <w:r>
              <w:rPr>
                <w:rFonts w:hint="eastAsia" w:ascii="宋体" w:hAnsi="宋体" w:eastAsia="宋体" w:cs="宋体"/>
                <w:snapToGrid/>
                <w:color w:val="000000"/>
                <w:kern w:val="2"/>
                <w:sz w:val="24"/>
                <w:szCs w:val="24"/>
                <w:highlight w:val="none"/>
                <w:lang w:val="en-US" w:eastAsia="zh-CN"/>
              </w:rPr>
              <w:t>10</w:t>
            </w:r>
            <w:r>
              <w:rPr>
                <w:rFonts w:hint="eastAsia" w:ascii="宋体" w:hAnsi="宋体" w:eastAsia="宋体" w:cs="宋体"/>
                <w:snapToGrid/>
                <w:color w:val="000000"/>
                <w:kern w:val="2"/>
                <w:sz w:val="24"/>
                <w:szCs w:val="24"/>
                <w:highlight w:val="none"/>
                <w:lang w:eastAsia="zh-CN"/>
              </w:rPr>
              <w:t>00平方米（含）以上得</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eastAsia="zh-CN"/>
              </w:rPr>
              <w:t>分；</w:t>
            </w:r>
          </w:p>
          <w:p w14:paraId="3F8FB24D">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总面积在≥</w:t>
            </w:r>
            <w:r>
              <w:rPr>
                <w:rFonts w:hint="eastAsia" w:ascii="宋体" w:hAnsi="宋体" w:eastAsia="宋体" w:cs="宋体"/>
                <w:snapToGrid/>
                <w:color w:val="000000"/>
                <w:kern w:val="2"/>
                <w:sz w:val="24"/>
                <w:szCs w:val="24"/>
                <w:highlight w:val="none"/>
                <w:lang w:val="en-US" w:eastAsia="zh-CN"/>
              </w:rPr>
              <w:t>500</w:t>
            </w:r>
            <w:r>
              <w:rPr>
                <w:rFonts w:hint="eastAsia" w:ascii="宋体" w:hAnsi="宋体" w:eastAsia="宋体" w:cs="宋体"/>
                <w:snapToGrid/>
                <w:color w:val="000000"/>
                <w:kern w:val="2"/>
                <w:sz w:val="24"/>
                <w:szCs w:val="24"/>
                <w:highlight w:val="none"/>
                <w:lang w:eastAsia="zh-CN"/>
              </w:rPr>
              <w:t>平方米（含）以上得</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1E079DCC">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总面积在≥</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00平方米（含）以上得1分</w:t>
            </w:r>
          </w:p>
          <w:p w14:paraId="4594D84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00平方米以下不得分。</w:t>
            </w:r>
          </w:p>
          <w:p w14:paraId="6058D705">
            <w:pPr>
              <w:widowControl w:val="0"/>
              <w:numPr>
                <w:ilvl w:val="0"/>
                <w:numId w:val="7"/>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其中包含的冷藏、冷库面积100㎡得1分，每增加100㎡加1分，满分</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753901FD">
            <w:pPr>
              <w:widowControl w:val="0"/>
              <w:numPr>
                <w:ilvl w:val="0"/>
                <w:numId w:val="7"/>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(供应商需提供现场实景照片及详细具体地点，供应商提供的资料模糊或无法认定具体地点的不得分）</w:t>
            </w:r>
          </w:p>
          <w:p w14:paraId="06C5F517">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注:【供应商须提供以上房屋、厂房或库房的自有产权证明材料或租赁协议及产权证明材料，供应商不得提供虚假资料，其相关法律后果由供应商承担，采购人不定期现场检查】。</w:t>
            </w:r>
          </w:p>
        </w:tc>
      </w:tr>
      <w:tr w14:paraId="5D5D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553" w:type="dxa"/>
            <w:vAlign w:val="center"/>
          </w:tcPr>
          <w:p w14:paraId="0956257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5</w:t>
            </w:r>
          </w:p>
        </w:tc>
        <w:tc>
          <w:tcPr>
            <w:tcW w:w="1195" w:type="dxa"/>
            <w:vAlign w:val="center"/>
          </w:tcPr>
          <w:p w14:paraId="0D29778E">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en-US"/>
              </w:rPr>
              <w:t>供应产品的来源</w:t>
            </w:r>
          </w:p>
        </w:tc>
        <w:tc>
          <w:tcPr>
            <w:tcW w:w="1275" w:type="dxa"/>
            <w:vAlign w:val="center"/>
          </w:tcPr>
          <w:p w14:paraId="03B65910">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0-8分</w:t>
            </w:r>
          </w:p>
        </w:tc>
        <w:tc>
          <w:tcPr>
            <w:tcW w:w="6489" w:type="dxa"/>
            <w:vAlign w:val="center"/>
          </w:tcPr>
          <w:p w14:paraId="047C454E">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default" w:ascii="宋体" w:hAnsi="宋体" w:eastAsia="宋体" w:cs="宋体"/>
                <w:b w:val="0"/>
                <w:bCs w:val="0"/>
                <w:snapToGrid/>
                <w:color w:val="000000"/>
                <w:kern w:val="2"/>
                <w:sz w:val="24"/>
                <w:szCs w:val="24"/>
                <w:highlight w:val="none"/>
                <w:lang w:val="en-US" w:eastAsia="zh-CN"/>
              </w:rPr>
              <w:t>投标人须承诺中标后与货源供应商签订有效的合同，且货源可追溯，且包含所投标项的所有货物品类的得8分，提供的供应产品一半及以上能够清晰的道溯来源得4分，未提供不得分</w:t>
            </w:r>
          </w:p>
        </w:tc>
      </w:tr>
      <w:tr w14:paraId="08C36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553" w:type="dxa"/>
            <w:vAlign w:val="center"/>
          </w:tcPr>
          <w:p w14:paraId="5E1AD4AF">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6</w:t>
            </w:r>
          </w:p>
        </w:tc>
        <w:tc>
          <w:tcPr>
            <w:tcW w:w="1195" w:type="dxa"/>
            <w:vAlign w:val="center"/>
          </w:tcPr>
          <w:p w14:paraId="29908BED">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食品安全检测能力</w:t>
            </w:r>
          </w:p>
        </w:tc>
        <w:tc>
          <w:tcPr>
            <w:tcW w:w="1275" w:type="dxa"/>
            <w:vAlign w:val="center"/>
          </w:tcPr>
          <w:p w14:paraId="4B16DC4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0-5</w:t>
            </w:r>
            <w:r>
              <w:rPr>
                <w:rFonts w:hint="eastAsia" w:ascii="宋体" w:hAnsi="宋体" w:eastAsia="宋体" w:cs="宋体"/>
                <w:snapToGrid/>
                <w:color w:val="auto"/>
                <w:kern w:val="2"/>
                <w:sz w:val="24"/>
                <w:szCs w:val="24"/>
                <w:highlight w:val="none"/>
                <w:lang w:val="en-US" w:eastAsia="zh-CN"/>
              </w:rPr>
              <w:t>分</w:t>
            </w:r>
          </w:p>
        </w:tc>
        <w:tc>
          <w:tcPr>
            <w:tcW w:w="6489" w:type="dxa"/>
            <w:vAlign w:val="center"/>
          </w:tcPr>
          <w:p w14:paraId="3653E093">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eastAsia="zh-CN"/>
              </w:rPr>
              <w:t>供应商须承诺，中标后按采购人要求提供:第三方食品检测机构出具的由供应商送检的实际供货货物的食品检测报告的得5分，未提供的不得分。</w:t>
            </w:r>
          </w:p>
        </w:tc>
      </w:tr>
      <w:tr w14:paraId="704FC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9512" w:type="dxa"/>
            <w:gridSpan w:val="4"/>
            <w:vAlign w:val="center"/>
          </w:tcPr>
          <w:p w14:paraId="6C60B0E4">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b/>
                <w:bCs/>
                <w:snapToGrid/>
                <w:color w:val="000000"/>
                <w:kern w:val="2"/>
                <w:sz w:val="24"/>
                <w:szCs w:val="24"/>
                <w:highlight w:val="none"/>
                <w:lang w:val="en-US" w:eastAsia="zh-CN"/>
              </w:rPr>
              <w:t>技术评审（35分）</w:t>
            </w:r>
          </w:p>
        </w:tc>
      </w:tr>
      <w:tr w14:paraId="48DA0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4B8E71D6">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7</w:t>
            </w:r>
          </w:p>
        </w:tc>
        <w:tc>
          <w:tcPr>
            <w:tcW w:w="1195" w:type="dxa"/>
            <w:vAlign w:val="center"/>
          </w:tcPr>
          <w:p w14:paraId="1CD7160E">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实施方案</w:t>
            </w:r>
          </w:p>
        </w:tc>
        <w:tc>
          <w:tcPr>
            <w:tcW w:w="1275" w:type="dxa"/>
            <w:vAlign w:val="center"/>
          </w:tcPr>
          <w:p w14:paraId="432A6241">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5DD7A48E">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根据供应商提供的实施方案进行综合评审，供应商能够详细列出实施方案，包括但不限于①采购及配送方案、②运输周转方案、③交货验收方案、④缺陷货物退换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07C5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5E18CEA8">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8</w:t>
            </w:r>
          </w:p>
        </w:tc>
        <w:tc>
          <w:tcPr>
            <w:tcW w:w="1195" w:type="dxa"/>
            <w:vAlign w:val="center"/>
          </w:tcPr>
          <w:p w14:paraId="4EF735A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特殊情况应急保障方案</w:t>
            </w:r>
          </w:p>
        </w:tc>
        <w:tc>
          <w:tcPr>
            <w:tcW w:w="1275" w:type="dxa"/>
            <w:vAlign w:val="center"/>
          </w:tcPr>
          <w:p w14:paraId="4FAEBBBC">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0-5分</w:t>
            </w:r>
          </w:p>
        </w:tc>
        <w:tc>
          <w:tcPr>
            <w:tcW w:w="6489" w:type="dxa"/>
            <w:vAlign w:val="center"/>
          </w:tcPr>
          <w:p w14:paraId="3DF96A21">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eastAsia="zh-CN"/>
              </w:rPr>
              <w:t>根据</w:t>
            </w: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提供的应急保障方案进行综合评审，包括但不限于</w:t>
            </w:r>
            <w:r>
              <w:rPr>
                <w:rFonts w:hint="eastAsia" w:ascii="宋体" w:hAnsi="宋体" w:eastAsia="宋体" w:cs="宋体"/>
                <w:snapToGrid/>
                <w:color w:val="000000"/>
                <w:kern w:val="2"/>
                <w:sz w:val="24"/>
                <w:szCs w:val="24"/>
                <w:highlight w:val="none"/>
                <w:lang w:val="en-US" w:eastAsia="zh-CN"/>
              </w:rPr>
              <w:t>①</w:t>
            </w:r>
            <w:r>
              <w:rPr>
                <w:rFonts w:hint="eastAsia" w:ascii="宋体" w:hAnsi="宋体" w:eastAsia="宋体" w:cs="宋体"/>
                <w:snapToGrid/>
                <w:color w:val="000000"/>
                <w:kern w:val="2"/>
                <w:sz w:val="24"/>
                <w:szCs w:val="24"/>
                <w:highlight w:val="none"/>
                <w:lang w:eastAsia="zh-CN"/>
              </w:rPr>
              <w:t>恶劣天气、②车辆抛锚、③突发安全卫生事件、</w:t>
            </w:r>
            <w:r>
              <w:rPr>
                <w:rFonts w:hint="eastAsia" w:ascii="宋体" w:hAnsi="宋体" w:eastAsia="宋体" w:cs="宋体"/>
                <w:snapToGrid/>
                <w:color w:val="000000"/>
                <w:kern w:val="2"/>
                <w:sz w:val="24"/>
                <w:szCs w:val="24"/>
                <w:highlight w:val="none"/>
                <w:lang w:val="en-US" w:eastAsia="zh-CN"/>
              </w:rPr>
              <w:t>④</w:t>
            </w:r>
            <w:r>
              <w:rPr>
                <w:rFonts w:hint="eastAsia" w:ascii="宋体" w:hAnsi="宋体" w:eastAsia="宋体" w:cs="宋体"/>
                <w:snapToGrid/>
                <w:color w:val="000000"/>
                <w:kern w:val="2"/>
                <w:sz w:val="24"/>
                <w:szCs w:val="24"/>
                <w:highlight w:val="none"/>
                <w:lang w:eastAsia="zh-CN"/>
              </w:rPr>
              <w:t>货源短缺、</w:t>
            </w:r>
            <w:r>
              <w:rPr>
                <w:rFonts w:hint="eastAsia" w:ascii="宋体" w:hAnsi="宋体" w:eastAsia="宋体" w:cs="宋体"/>
                <w:snapToGrid/>
                <w:color w:val="000000"/>
                <w:kern w:val="2"/>
                <w:sz w:val="24"/>
                <w:szCs w:val="24"/>
                <w:highlight w:val="none"/>
                <w:lang w:val="en-US" w:eastAsia="zh-CN"/>
              </w:rPr>
              <w:t>⑤</w:t>
            </w:r>
            <w:r>
              <w:rPr>
                <w:rFonts w:hint="eastAsia" w:ascii="宋体" w:hAnsi="宋体" w:eastAsia="宋体" w:cs="宋体"/>
                <w:snapToGrid/>
                <w:color w:val="000000"/>
                <w:kern w:val="2"/>
                <w:sz w:val="24"/>
                <w:szCs w:val="24"/>
                <w:highlight w:val="none"/>
                <w:lang w:eastAsia="zh-CN"/>
              </w:rPr>
              <w:t>其他不可抗力等突发情况的物资筹措及配送途径，进行综合评审，上述每项内容1分，满分5分;未提供或缺失对应内容不得分，每项内容出现不符合项目情况或不利于项目实施或内容表述错误或内容前后矛盾等情形，每处扣0.5分，扣完为止。</w:t>
            </w:r>
          </w:p>
        </w:tc>
      </w:tr>
      <w:tr w14:paraId="471B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7B15FD60">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9</w:t>
            </w:r>
          </w:p>
        </w:tc>
        <w:tc>
          <w:tcPr>
            <w:tcW w:w="1195" w:type="dxa"/>
            <w:vAlign w:val="center"/>
          </w:tcPr>
          <w:p w14:paraId="2B27B76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产品质量保障</w:t>
            </w:r>
          </w:p>
        </w:tc>
        <w:tc>
          <w:tcPr>
            <w:tcW w:w="1275" w:type="dxa"/>
            <w:vAlign w:val="center"/>
          </w:tcPr>
          <w:p w14:paraId="23525221">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23B9110A">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根据其所投标项</w:t>
            </w:r>
            <w:r>
              <w:rPr>
                <w:rFonts w:hint="eastAsia" w:ascii="宋体" w:hAnsi="宋体" w:eastAsia="宋体" w:cs="宋体"/>
                <w:snapToGrid/>
                <w:color w:val="000000"/>
                <w:kern w:val="2"/>
                <w:sz w:val="24"/>
                <w:szCs w:val="24"/>
                <w:highlight w:val="none"/>
                <w:lang w:val="en-US" w:eastAsia="zh-CN"/>
              </w:rPr>
              <w:t>目</w:t>
            </w:r>
            <w:r>
              <w:rPr>
                <w:rFonts w:hint="eastAsia" w:ascii="宋体" w:hAnsi="宋体" w:eastAsia="宋体" w:cs="宋体"/>
                <w:snapToGrid/>
                <w:color w:val="000000"/>
                <w:kern w:val="2"/>
                <w:sz w:val="24"/>
                <w:szCs w:val="24"/>
                <w:highlight w:val="none"/>
                <w:lang w:eastAsia="zh-CN"/>
              </w:rPr>
              <w:t>采购需求的特性提供的质量保障方案，包含但不限于</w:t>
            </w:r>
            <w:r>
              <w:rPr>
                <w:rFonts w:hint="eastAsia" w:ascii="宋体" w:hAnsi="宋体" w:eastAsia="宋体" w:cs="宋体"/>
                <w:snapToGrid/>
                <w:color w:val="000000"/>
                <w:kern w:val="2"/>
                <w:sz w:val="24"/>
                <w:szCs w:val="24"/>
                <w:highlight w:val="none"/>
                <w:lang w:val="en-US" w:eastAsia="zh-CN"/>
              </w:rPr>
              <w:t>①</w:t>
            </w:r>
            <w:r>
              <w:rPr>
                <w:rFonts w:hint="eastAsia" w:ascii="宋体" w:hAnsi="宋体" w:eastAsia="宋体" w:cs="宋体"/>
                <w:snapToGrid/>
                <w:color w:val="000000"/>
                <w:kern w:val="2"/>
                <w:sz w:val="24"/>
                <w:szCs w:val="24"/>
                <w:highlight w:val="none"/>
                <w:lang w:eastAsia="zh-CN"/>
              </w:rPr>
              <w:t>产品质量保障承诺、②货源品质保障、③内部质量监督管理、</w:t>
            </w:r>
            <w:r>
              <w:rPr>
                <w:rFonts w:hint="eastAsia" w:ascii="宋体" w:hAnsi="宋体" w:eastAsia="宋体" w:cs="宋体"/>
                <w:snapToGrid/>
                <w:color w:val="000000"/>
                <w:kern w:val="2"/>
                <w:sz w:val="24"/>
                <w:szCs w:val="24"/>
                <w:highlight w:val="none"/>
                <w:lang w:val="en-US" w:eastAsia="zh-CN"/>
              </w:rPr>
              <w:t>④</w:t>
            </w:r>
            <w:r>
              <w:rPr>
                <w:rFonts w:hint="eastAsia" w:ascii="宋体" w:hAnsi="宋体" w:eastAsia="宋体" w:cs="宋体"/>
                <w:snapToGrid/>
                <w:color w:val="000000"/>
                <w:kern w:val="2"/>
                <w:sz w:val="24"/>
                <w:szCs w:val="24"/>
                <w:highlight w:val="none"/>
                <w:lang w:eastAsia="zh-CN"/>
              </w:rPr>
              <w:t>临时存放产品质量保证、</w:t>
            </w:r>
            <w:r>
              <w:rPr>
                <w:rFonts w:hint="eastAsia" w:ascii="宋体" w:hAnsi="宋体" w:eastAsia="宋体" w:cs="宋体"/>
                <w:snapToGrid/>
                <w:color w:val="000000"/>
                <w:kern w:val="2"/>
                <w:sz w:val="24"/>
                <w:szCs w:val="24"/>
                <w:highlight w:val="none"/>
                <w:lang w:val="en-US" w:eastAsia="zh-CN"/>
              </w:rPr>
              <w:t>⑤</w:t>
            </w:r>
            <w:r>
              <w:rPr>
                <w:rFonts w:hint="eastAsia" w:ascii="宋体" w:hAnsi="宋体" w:eastAsia="宋体" w:cs="宋体"/>
                <w:snapToGrid/>
                <w:color w:val="000000"/>
                <w:kern w:val="2"/>
                <w:sz w:val="24"/>
                <w:szCs w:val="24"/>
                <w:highlight w:val="none"/>
                <w:lang w:eastAsia="zh-CN"/>
              </w:rPr>
              <w:t>配送途中产品质量保证等内容，上述每项内容2分，满分10分;未提供或缺失对应内容不得分，每项内容出现不符合项目情况或不利于项目实施或内容表述错误或内容前后矛盾等情形，每处扣1分，扣完为止。</w:t>
            </w:r>
          </w:p>
        </w:tc>
      </w:tr>
      <w:tr w14:paraId="3BAB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4235FEB4">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10</w:t>
            </w:r>
          </w:p>
        </w:tc>
        <w:tc>
          <w:tcPr>
            <w:tcW w:w="1195" w:type="dxa"/>
            <w:vAlign w:val="center"/>
          </w:tcPr>
          <w:p w14:paraId="7CD50A2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食品安全保障措施</w:t>
            </w:r>
          </w:p>
        </w:tc>
        <w:tc>
          <w:tcPr>
            <w:tcW w:w="1275" w:type="dxa"/>
            <w:vAlign w:val="center"/>
          </w:tcPr>
          <w:p w14:paraId="62B2587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4D0FB5FA">
            <w:pPr>
              <w:widowControl w:val="0"/>
              <w:numPr>
                <w:ilvl w:val="0"/>
                <w:numId w:val="0"/>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供应商根据采购需求的特性提供的食品安全保障措施，包括但不限于①食品安全保障承诺、</w:t>
            </w:r>
            <w:r>
              <w:rPr>
                <w:rFonts w:hint="eastAsia" w:ascii="宋体" w:hAnsi="宋体" w:eastAsia="宋体" w:cs="宋体"/>
                <w:snapToGrid/>
                <w:color w:val="000000"/>
                <w:kern w:val="2"/>
                <w:sz w:val="24"/>
                <w:szCs w:val="24"/>
                <w:highlight w:val="none"/>
                <w:lang w:eastAsia="zh-CN"/>
              </w:rPr>
              <w:t>②</w:t>
            </w:r>
            <w:r>
              <w:rPr>
                <w:rFonts w:hint="eastAsia" w:ascii="宋体" w:hAnsi="宋体" w:eastAsia="宋体" w:cs="宋体"/>
                <w:snapToGrid/>
                <w:color w:val="000000"/>
                <w:kern w:val="2"/>
                <w:sz w:val="24"/>
                <w:szCs w:val="24"/>
                <w:highlight w:val="none"/>
                <w:lang w:val="en-US" w:eastAsia="zh-CN"/>
              </w:rPr>
              <w:t>食品安全监管措施、</w:t>
            </w:r>
            <w:r>
              <w:rPr>
                <w:rFonts w:hint="eastAsia" w:ascii="宋体" w:hAnsi="宋体" w:eastAsia="宋体" w:cs="宋体"/>
                <w:snapToGrid/>
                <w:color w:val="000000"/>
                <w:kern w:val="2"/>
                <w:sz w:val="24"/>
                <w:szCs w:val="24"/>
                <w:highlight w:val="none"/>
                <w:lang w:eastAsia="zh-CN"/>
              </w:rPr>
              <w:t>③</w:t>
            </w:r>
            <w:r>
              <w:rPr>
                <w:rFonts w:hint="eastAsia" w:ascii="宋体" w:hAnsi="宋体" w:eastAsia="宋体" w:cs="宋体"/>
                <w:snapToGrid/>
                <w:color w:val="000000"/>
                <w:kern w:val="2"/>
                <w:sz w:val="24"/>
                <w:szCs w:val="24"/>
                <w:highlight w:val="none"/>
                <w:lang w:val="en-US" w:eastAsia="zh-CN"/>
              </w:rPr>
              <w:t>配送途径的安全保障、④卫生安全管理、⑤卫生防疫等内容，上述每项内容2分，</w:t>
            </w:r>
            <w:r>
              <w:rPr>
                <w:rFonts w:hint="eastAsia" w:ascii="宋体" w:hAnsi="宋体" w:eastAsia="宋体" w:cs="宋体"/>
                <w:snapToGrid/>
                <w:color w:val="000000"/>
                <w:kern w:val="2"/>
                <w:sz w:val="24"/>
                <w:szCs w:val="24"/>
                <w:highlight w:val="none"/>
                <w:lang w:eastAsia="zh-CN"/>
              </w:rPr>
              <w:t>满分10分;</w:t>
            </w:r>
            <w:r>
              <w:rPr>
                <w:rFonts w:hint="eastAsia" w:ascii="宋体" w:hAnsi="宋体" w:eastAsia="宋体" w:cs="宋体"/>
                <w:snapToGrid/>
                <w:color w:val="000000"/>
                <w:kern w:val="2"/>
                <w:sz w:val="24"/>
                <w:szCs w:val="24"/>
                <w:highlight w:val="none"/>
                <w:lang w:val="en-US" w:eastAsia="zh-CN"/>
              </w:rPr>
              <w:t>未提供或缺失对应内容不得分;每项内容出现不符合项目情况或不利于项目实施或内容表述错误或内容前后矛盾等情形，每处扣1分，扣完为止</w:t>
            </w:r>
          </w:p>
        </w:tc>
      </w:tr>
    </w:tbl>
    <w:p w14:paraId="43ABE61C">
      <w:pPr>
        <w:widowControl/>
        <w:kinsoku w:val="0"/>
        <w:autoSpaceDE w:val="0"/>
        <w:autoSpaceDN w:val="0"/>
        <w:adjustRightInd w:val="0"/>
        <w:snapToGrid w:val="0"/>
        <w:spacing w:before="91" w:line="221" w:lineRule="auto"/>
        <w:jc w:val="left"/>
        <w:textAlignment w:val="baseline"/>
        <w:outlineLvl w:val="9"/>
        <w:rPr>
          <w:rFonts w:ascii="宋体" w:hAnsi="宋体" w:eastAsia="宋体" w:cs="宋体"/>
          <w:b/>
          <w:bCs/>
          <w:snapToGrid w:val="0"/>
          <w:color w:val="000000"/>
          <w:spacing w:val="-8"/>
          <w:kern w:val="0"/>
          <w:sz w:val="28"/>
          <w:szCs w:val="28"/>
          <w:highlight w:val="none"/>
          <w:lang w:eastAsia="en-US"/>
        </w:rPr>
      </w:pPr>
    </w:p>
    <w:p w14:paraId="1774BC88">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91" w:line="440" w:lineRule="exact"/>
        <w:jc w:val="left"/>
        <w:textAlignment w:val="baseline"/>
        <w:outlineLvl w:val="1"/>
        <w:rPr>
          <w:rFonts w:ascii="宋体" w:hAnsi="宋体" w:eastAsia="宋体" w:cs="宋体"/>
          <w:b/>
          <w:bCs/>
          <w:snapToGrid w:val="0"/>
          <w:color w:val="000000"/>
          <w:spacing w:val="-8"/>
          <w:kern w:val="0"/>
          <w:sz w:val="28"/>
          <w:szCs w:val="28"/>
          <w:highlight w:val="none"/>
          <w:lang w:eastAsia="en-US"/>
        </w:rPr>
      </w:pPr>
      <w:r>
        <w:rPr>
          <w:rFonts w:ascii="宋体" w:hAnsi="宋体" w:eastAsia="宋体" w:cs="宋体"/>
          <w:b/>
          <w:bCs/>
          <w:snapToGrid w:val="0"/>
          <w:color w:val="000000"/>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宋体" w:hAnsi="宋体" w:eastAsia="宋体" w:cs="宋体"/>
          <w:snapToGrid w:val="0"/>
          <w:color w:val="000000"/>
          <w:spacing w:val="-2"/>
          <w:kern w:val="0"/>
          <w:sz w:val="24"/>
          <w:szCs w:val="24"/>
          <w:highlight w:val="none"/>
          <w:lang w:val="en-US" w:eastAsia="zh-CN"/>
        </w:rPr>
        <w:t>成交</w:t>
      </w:r>
      <w:r>
        <w:rPr>
          <w:rFonts w:ascii="宋体" w:hAnsi="宋体" w:eastAsia="宋体" w:cs="宋体"/>
          <w:snapToGrid w:val="0"/>
          <w:color w:val="000000"/>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ascii="宋体" w:hAnsi="宋体" w:eastAsia="宋体" w:cs="宋体"/>
          <w:snapToGrid w:val="0"/>
          <w:color w:val="000000"/>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ascii="宋体" w:hAnsi="宋体" w:eastAsia="宋体" w:cs="宋体"/>
          <w:snapToGrid w:val="0"/>
          <w:color w:val="000000"/>
          <w:kern w:val="0"/>
          <w:sz w:val="28"/>
          <w:szCs w:val="28"/>
          <w:highlight w:val="none"/>
          <w:lang w:eastAsia="en-US"/>
        </w:rPr>
      </w:pPr>
      <w:bookmarkStart w:id="44" w:name="bookmark31"/>
      <w:bookmarkEnd w:id="44"/>
      <w:bookmarkStart w:id="45" w:name="bookmark32"/>
      <w:bookmarkEnd w:id="45"/>
      <w:r>
        <w:rPr>
          <w:rFonts w:ascii="宋体" w:hAnsi="宋体" w:eastAsia="宋体" w:cs="宋体"/>
          <w:b/>
          <w:bCs/>
          <w:snapToGrid w:val="0"/>
          <w:color w:val="000000"/>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2.1.2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符合性评审标准：见评标办法前</w:t>
      </w:r>
      <w:r>
        <w:rPr>
          <w:rFonts w:ascii="宋体" w:hAnsi="宋体" w:eastAsia="宋体" w:cs="宋体"/>
          <w:snapToGrid w:val="0"/>
          <w:color w:val="000000"/>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资格审查依据法律法规和招标文件的规定，</w:t>
      </w:r>
      <w:r>
        <w:rPr>
          <w:rFonts w:ascii="宋体" w:hAnsi="宋体" w:eastAsia="宋体" w:cs="宋体"/>
          <w:b w:val="0"/>
          <w:bCs w:val="0"/>
          <w:snapToGrid w:val="0"/>
          <w:color w:val="000000"/>
          <w:spacing w:val="-2"/>
          <w:kern w:val="0"/>
          <w:sz w:val="24"/>
          <w:szCs w:val="24"/>
          <w:highlight w:val="none"/>
          <w:lang w:eastAsia="en-US"/>
        </w:rPr>
        <w:t>采购人或招标代理机构依法对投</w:t>
      </w:r>
      <w:r>
        <w:rPr>
          <w:rFonts w:ascii="宋体" w:hAnsi="宋体" w:eastAsia="宋体" w:cs="宋体"/>
          <w:b w:val="0"/>
          <w:bCs w:val="0"/>
          <w:snapToGrid w:val="0"/>
          <w:color w:val="000000"/>
          <w:spacing w:val="-3"/>
          <w:kern w:val="0"/>
          <w:sz w:val="24"/>
          <w:szCs w:val="24"/>
          <w:highlight w:val="none"/>
          <w:lang w:eastAsia="en-US"/>
        </w:rPr>
        <w:t>标文件中的资格证明文件进行审查。</w:t>
      </w:r>
      <w:r>
        <w:rPr>
          <w:rFonts w:ascii="宋体" w:hAnsi="宋体" w:eastAsia="宋体" w:cs="宋体"/>
          <w:snapToGrid w:val="0"/>
          <w:color w:val="000000"/>
          <w:spacing w:val="-3"/>
          <w:kern w:val="0"/>
          <w:sz w:val="24"/>
          <w:szCs w:val="24"/>
          <w:highlight w:val="none"/>
          <w:lang w:eastAsia="en-US"/>
        </w:rPr>
        <w:t>未通过资格审查的供应商不进入评标程序；通过资</w:t>
      </w:r>
      <w:r>
        <w:rPr>
          <w:rFonts w:ascii="宋体" w:hAnsi="宋体" w:eastAsia="宋体" w:cs="宋体"/>
          <w:snapToGrid w:val="0"/>
          <w:color w:val="000000"/>
          <w:spacing w:val="-2"/>
          <w:kern w:val="0"/>
          <w:sz w:val="24"/>
          <w:szCs w:val="24"/>
          <w:highlight w:val="none"/>
          <w:lang w:eastAsia="en-US"/>
        </w:rPr>
        <w:t>格审查的供应商少于</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2.2.2</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符合性审查依据招标文件的规定，由评标委员会从投标文件的有效性、完整</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性和对招标文件的响应程度进行审查，以确定是否</w:t>
      </w:r>
      <w:r>
        <w:rPr>
          <w:rFonts w:ascii="宋体" w:hAnsi="宋体" w:eastAsia="宋体" w:cs="宋体"/>
          <w:snapToGrid w:val="0"/>
          <w:color w:val="000000"/>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2.2.3</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如果投标文件实质上没有响应招标文件的要求，评标委员会将予以拒绝，供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应商不得通过修改或撤销不合要求的偏离而使其投标成为实质性响应的投标。未通过资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格审查或符合性审查的供应商，采购人或采购代理机构将在评标现场向其授权代表告知</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未通过资格审查或符合性审查的原因，评审结束后，采购人或采购代理机构将不再告知</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ascii="宋体" w:hAnsi="宋体" w:eastAsia="宋体" w:cs="宋体"/>
          <w:snapToGrid w:val="0"/>
          <w:color w:val="000000"/>
          <w:kern w:val="0"/>
          <w:sz w:val="28"/>
          <w:szCs w:val="28"/>
          <w:highlight w:val="none"/>
          <w:lang w:eastAsia="en-US"/>
        </w:rPr>
      </w:pPr>
      <w:bookmarkStart w:id="46" w:name="bookmark33"/>
      <w:bookmarkEnd w:id="46"/>
      <w:bookmarkStart w:id="47" w:name="bookmark34"/>
      <w:bookmarkEnd w:id="47"/>
      <w:r>
        <w:rPr>
          <w:rFonts w:ascii="宋体" w:hAnsi="宋体" w:eastAsia="宋体" w:cs="宋体"/>
          <w:b/>
          <w:bCs/>
          <w:snapToGrid w:val="0"/>
          <w:color w:val="000000"/>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3.2.1 评标委员会按本章规定的量化因素和分值进行打分，并计算出综合评估得</w:t>
      </w:r>
      <w:r>
        <w:rPr>
          <w:rFonts w:ascii="宋体" w:hAnsi="宋体" w:eastAsia="宋体" w:cs="宋体"/>
          <w:snapToGrid w:val="0"/>
          <w:color w:val="000000"/>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（1）按本章规定的评审因素和分值对投标报价计算出得分</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3.2.2 评分分值计算保留小数点后两位，小数</w:t>
      </w:r>
      <w:r>
        <w:rPr>
          <w:rFonts w:ascii="宋体" w:hAnsi="宋体" w:eastAsia="宋体" w:cs="宋体"/>
          <w:snapToGrid w:val="0"/>
          <w:color w:val="000000"/>
          <w:spacing w:val="-2"/>
          <w:kern w:val="0"/>
          <w:sz w:val="24"/>
          <w:szCs w:val="24"/>
          <w:highlight w:val="none"/>
          <w:lang w:eastAsia="en-US"/>
        </w:rPr>
        <w:t>点后第三位“</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四舍五入</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3.2.3 供应商得分=A+B。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评标委员会有权要求供应商对投标文件中含义不明确、同类问题表述不一致</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或者有明显文字和计算错误等内容作必要的澄清、说明或者补正。该要求应当采用书面</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形式，并由评标委员会成员签字。评标委员会不接受供应商主动提出的澄清、说明或者</w:t>
      </w:r>
      <w:r>
        <w:rPr>
          <w:rFonts w:ascii="宋体" w:hAnsi="宋体" w:eastAsia="宋体" w:cs="宋体"/>
          <w:snapToGrid w:val="0"/>
          <w:color w:val="000000"/>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供应商必须按照评标委员会通知的内容和时间做出书面答复，该答复经法定</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代表人（单位负责人）或其委托代理人的签字认可，将作为投标文件内容的一部分。澄</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清、说明或者补正不得超出投标文件的范围或者改变投标文件的实质性内容。供应商拒</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不按照要求对投标文件进行澄清、说明或者补正的，评标</w:t>
      </w:r>
      <w:r>
        <w:rPr>
          <w:rFonts w:ascii="宋体" w:hAnsi="宋体" w:eastAsia="宋体" w:cs="宋体"/>
          <w:snapToGrid w:val="0"/>
          <w:color w:val="000000"/>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评标委员会认为供应商的报价明显低于其他通过符合性审查供应商的报价，</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有可能影响产品质量或者不能诚信履约的，应当要求其在评标现场合理的时间内提供书</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面说明，必要时提交相关证明材料；供应商不能证明其报价合理性的，评标委员会应当</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评标委员会应当要求其在评标现场合理的时间内提供成本构成书面说明，并提交相</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关证明材料。供应商书面说明应当按照国家财务会计制度的规定要求，逐项就供应商提供的货物、工程和服务的主营业务成本（应根据供应商企业类型予以区别）、税金及附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供应商书面说明应当签字确认或者加盖公章，否则无效。书面说明的签字确认，供应商为法人的，由其法定代表人或者代理人签字确认；供应商为其他组织的，由其主要</w:t>
      </w:r>
      <w:r>
        <w:rPr>
          <w:rFonts w:ascii="宋体" w:hAnsi="宋体" w:eastAsia="宋体" w:cs="宋体"/>
          <w:snapToGrid w:val="0"/>
          <w:color w:val="000000"/>
          <w:kern w:val="0"/>
          <w:sz w:val="24"/>
          <w:szCs w:val="24"/>
          <w:highlight w:val="none"/>
          <w:lang w:eastAsia="en-US"/>
        </w:rPr>
        <w:t>负责人或者代理人签字确认；供应商为自然人的，由其本</w:t>
      </w:r>
      <w:r>
        <w:rPr>
          <w:rFonts w:ascii="宋体" w:hAnsi="宋体" w:eastAsia="宋体" w:cs="宋体"/>
          <w:snapToGrid w:val="0"/>
          <w:color w:val="000000"/>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供应商提供书面说明后，评标委员会应当结合采</w:t>
      </w:r>
      <w:r>
        <w:rPr>
          <w:rFonts w:ascii="宋体" w:hAnsi="宋体" w:eastAsia="宋体" w:cs="宋体"/>
          <w:snapToGrid w:val="0"/>
          <w:color w:val="000000"/>
          <w:spacing w:val="-2"/>
          <w:kern w:val="0"/>
          <w:sz w:val="24"/>
          <w:szCs w:val="24"/>
          <w:highlight w:val="none"/>
          <w:lang w:eastAsia="en-US"/>
        </w:rPr>
        <w:t>购项目采购需求、专业实际情况、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供应商财务状况报告、与其他供应商比较情况等就供应商书面说明进行审查评价。供应商拒绝或者变相拒绝提供有效书面说明或者书面说明不能证明其报价合理性的，评标委</w:t>
      </w:r>
      <w:r>
        <w:rPr>
          <w:rFonts w:ascii="宋体" w:hAnsi="宋体" w:eastAsia="宋体" w:cs="宋体"/>
          <w:snapToGrid w:val="0"/>
          <w:color w:val="000000"/>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3.3.4 投标报价有算术错误及其他错误的，评标委员会按以下原则对投标报价进行</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修正，并要求供应商书面澄清确认。供应商拒不澄清确认的，评标委员会应当否决其投</w:t>
      </w:r>
      <w:r>
        <w:rPr>
          <w:rFonts w:ascii="宋体" w:hAnsi="宋体" w:eastAsia="宋体" w:cs="宋体"/>
          <w:snapToGrid w:val="0"/>
          <w:color w:val="000000"/>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（3）单价金额小数点或者百分比有明显错位的，以报价表的总价为准，并修改单</w:t>
      </w:r>
      <w:r>
        <w:rPr>
          <w:rFonts w:ascii="宋体" w:hAnsi="宋体" w:eastAsia="宋体" w:cs="宋体"/>
          <w:snapToGrid w:val="0"/>
          <w:color w:val="000000"/>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同时出现两种以上错误的，按照前款规定的顺序修正。如果报价表中存在缺漏项，</w:t>
      </w:r>
      <w:r>
        <w:rPr>
          <w:rFonts w:ascii="宋体" w:hAnsi="宋体" w:eastAsia="宋体" w:cs="宋体"/>
          <w:snapToGrid w:val="0"/>
          <w:color w:val="000000"/>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80" w:line="440" w:lineRule="exact"/>
        <w:jc w:val="left"/>
        <w:textAlignment w:val="baseline"/>
        <w:outlineLvl w:val="1"/>
        <w:rPr>
          <w:rFonts w:ascii="宋体" w:hAnsi="宋体" w:eastAsia="宋体" w:cs="宋体"/>
          <w:b/>
          <w:bCs/>
          <w:snapToGrid w:val="0"/>
          <w:color w:val="000000"/>
          <w:spacing w:val="-5"/>
          <w:kern w:val="0"/>
          <w:sz w:val="28"/>
          <w:szCs w:val="28"/>
          <w:highlight w:val="none"/>
          <w:lang w:eastAsia="en-US"/>
        </w:rPr>
      </w:pPr>
      <w:bookmarkStart w:id="48" w:name="bookmark36"/>
      <w:bookmarkEnd w:id="48"/>
      <w:bookmarkStart w:id="49" w:name="bookmark35"/>
      <w:bookmarkEnd w:id="49"/>
      <w:r>
        <w:rPr>
          <w:rFonts w:ascii="宋体" w:hAnsi="宋体" w:eastAsia="宋体" w:cs="宋体"/>
          <w:b/>
          <w:bCs/>
          <w:snapToGrid w:val="0"/>
          <w:color w:val="000000"/>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kern w:val="0"/>
          <w:sz w:val="24"/>
          <w:szCs w:val="24"/>
          <w:highlight w:val="none"/>
          <w:lang w:eastAsia="en-US"/>
        </w:rPr>
        <w:t>评标委员会完成评标后，应当向采购人提交书面评标报</w:t>
      </w:r>
      <w:r>
        <w:rPr>
          <w:rFonts w:ascii="宋体" w:hAnsi="宋体" w:eastAsia="宋体" w:cs="宋体"/>
          <w:snapToGrid w:val="0"/>
          <w:color w:val="000000"/>
          <w:spacing w:val="-1"/>
          <w:kern w:val="0"/>
          <w:sz w:val="24"/>
          <w:szCs w:val="24"/>
          <w:highlight w:val="none"/>
          <w:lang w:eastAsia="en-US"/>
        </w:rPr>
        <w:t>告和中标候选人名单</w:t>
      </w:r>
      <w:r>
        <w:rPr>
          <w:rFonts w:hint="eastAsia" w:ascii="宋体" w:hAnsi="宋体" w:eastAsia="宋体" w:cs="宋体"/>
          <w:snapToGrid w:val="0"/>
          <w:color w:val="000000"/>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ascii="宋体" w:hAnsi="宋体" w:eastAsia="宋体" w:cs="宋体"/>
          <w:snapToGrid w:val="0"/>
          <w:color w:val="000000"/>
          <w:kern w:val="0"/>
          <w:sz w:val="28"/>
          <w:szCs w:val="28"/>
          <w:highlight w:val="none"/>
          <w:lang w:eastAsia="en-US"/>
        </w:rPr>
      </w:pPr>
      <w:bookmarkStart w:id="50" w:name="bookmark37"/>
      <w:bookmarkEnd w:id="50"/>
      <w:bookmarkStart w:id="51" w:name="bookmark38"/>
      <w:bookmarkEnd w:id="51"/>
      <w:r>
        <w:rPr>
          <w:rFonts w:ascii="宋体" w:hAnsi="宋体" w:eastAsia="宋体" w:cs="宋体"/>
          <w:b/>
          <w:bCs/>
          <w:snapToGrid w:val="0"/>
          <w:color w:val="000000"/>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供应商不遵循公平竞争的原则，恶意串通，妨碍其他供应商的竞争，损害采购人或</w:t>
      </w:r>
      <w:r>
        <w:rPr>
          <w:rFonts w:ascii="宋体" w:hAnsi="宋体" w:eastAsia="宋体" w:cs="宋体"/>
          <w:snapToGrid w:val="0"/>
          <w:color w:val="000000"/>
          <w:spacing w:val="-1"/>
          <w:kern w:val="0"/>
          <w:sz w:val="24"/>
          <w:szCs w:val="24"/>
          <w:highlight w:val="none"/>
          <w:lang w:eastAsia="en-US"/>
        </w:rPr>
        <w:t>者其他供应商的合法权益，评标委员会应当认定其投标无效。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5.2.1</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符合专业条件的供应商或者对招标文件作实质响应的供应商不足三家的；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5.2.2</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供应商的报价均超过了采购预算，采购人不能支付的；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5.2.4</w:t>
      </w:r>
      <w:r>
        <w:rPr>
          <w:rFonts w:ascii="宋体" w:hAnsi="宋体" w:eastAsia="宋体" w:cs="宋体"/>
          <w:snapToGrid w:val="0"/>
          <w:color w:val="000000"/>
          <w:spacing w:val="-1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5.3</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投标截止后供应商不足</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家或者通过资格审查或符合性审查的供应商不足</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（1）招标文件存在不合理条款或者招标程序不符合规定的，采购人、采购代理机</w:t>
      </w:r>
      <w:r>
        <w:rPr>
          <w:rFonts w:ascii="宋体" w:hAnsi="宋体" w:eastAsia="宋体" w:cs="宋体"/>
          <w:snapToGrid w:val="0"/>
          <w:color w:val="000000"/>
          <w:spacing w:val="-2"/>
          <w:kern w:val="0"/>
          <w:sz w:val="24"/>
          <w:szCs w:val="24"/>
          <w:highlight w:val="none"/>
          <w:lang w:eastAsia="en-US"/>
        </w:rPr>
        <w:t>构改正后依法重新招标；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（2）招标文件没有不合理条款、招标程序符合规定，需要采用其他采购方式采购</w:t>
      </w:r>
      <w:r>
        <w:rPr>
          <w:rFonts w:ascii="宋体" w:hAnsi="宋体" w:eastAsia="宋体" w:cs="宋体"/>
          <w:snapToGrid w:val="0"/>
          <w:color w:val="000000"/>
          <w:spacing w:val="-2"/>
          <w:kern w:val="0"/>
          <w:sz w:val="24"/>
          <w:szCs w:val="24"/>
          <w:highlight w:val="none"/>
          <w:lang w:eastAsia="en-US"/>
        </w:rPr>
        <w:t>的，采购人应当依法报财政部门批准。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ascii="宋体" w:hAnsi="宋体" w:eastAsia="宋体" w:cs="宋体"/>
          <w:b/>
          <w:bCs/>
          <w:snapToGrid w:val="0"/>
          <w:color w:val="000000"/>
          <w:spacing w:val="-4"/>
          <w:kern w:val="0"/>
          <w:sz w:val="28"/>
          <w:szCs w:val="28"/>
          <w:highlight w:val="none"/>
          <w:lang w:eastAsia="en-US"/>
        </w:rPr>
      </w:pPr>
      <w:bookmarkStart w:id="52" w:name="_Toc24046"/>
      <w:r>
        <w:rPr>
          <w:rFonts w:ascii="宋体" w:hAnsi="宋体" w:eastAsia="宋体" w:cs="宋体"/>
          <w:b/>
          <w:bCs/>
          <w:snapToGrid w:val="0"/>
          <w:color w:val="000000"/>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3" w:name="_Toc7614"/>
      <w:r>
        <w:rPr>
          <w:rFonts w:ascii="宋体" w:hAnsi="宋体" w:eastAsia="宋体" w:cs="宋体"/>
          <w:snapToGrid w:val="0"/>
          <w:color w:val="000000"/>
          <w:spacing w:val="-3"/>
          <w:kern w:val="0"/>
          <w:sz w:val="24"/>
          <w:szCs w:val="24"/>
          <w:highlight w:val="none"/>
          <w:lang w:eastAsia="en-US"/>
        </w:rPr>
        <w:t>有下列情形之一的，视为供应商串通投标，其投标无效：</w:t>
      </w:r>
      <w:bookmarkEnd w:id="53"/>
    </w:p>
    <w:p w14:paraId="34B50440">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4" w:name="_Toc709"/>
      <w:r>
        <w:rPr>
          <w:rFonts w:ascii="宋体" w:hAnsi="宋体" w:eastAsia="宋体" w:cs="宋体"/>
          <w:snapToGrid w:val="0"/>
          <w:color w:val="000000"/>
          <w:spacing w:val="-1"/>
          <w:kern w:val="0"/>
          <w:sz w:val="24"/>
          <w:szCs w:val="24"/>
          <w:highlight w:val="none"/>
          <w:lang w:eastAsia="en-US"/>
        </w:rPr>
        <w:t>不同供应商的投标文件由同一单位或者</w:t>
      </w:r>
      <w:r>
        <w:rPr>
          <w:rFonts w:ascii="宋体" w:hAnsi="宋体" w:eastAsia="宋体" w:cs="宋体"/>
          <w:snapToGrid w:val="0"/>
          <w:color w:val="000000"/>
          <w:spacing w:val="-2"/>
          <w:kern w:val="0"/>
          <w:sz w:val="24"/>
          <w:szCs w:val="24"/>
          <w:highlight w:val="none"/>
          <w:lang w:eastAsia="en-US"/>
        </w:rPr>
        <w:t>个人编制；</w:t>
      </w:r>
      <w:bookmarkEnd w:id="54"/>
    </w:p>
    <w:p w14:paraId="1C24CFB3">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5" w:name="_Toc574"/>
      <w:r>
        <w:rPr>
          <w:rFonts w:ascii="宋体" w:hAnsi="宋体" w:eastAsia="宋体" w:cs="宋体"/>
          <w:snapToGrid w:val="0"/>
          <w:color w:val="000000"/>
          <w:spacing w:val="-1"/>
          <w:kern w:val="0"/>
          <w:sz w:val="24"/>
          <w:szCs w:val="24"/>
          <w:highlight w:val="none"/>
          <w:lang w:eastAsia="en-US"/>
        </w:rPr>
        <w:t>不同供应商委托同一单位或者个人办理投标事宜；</w:t>
      </w:r>
      <w:bookmarkEnd w:id="55"/>
    </w:p>
    <w:p w14:paraId="2928F181">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6" w:name="_Toc25691"/>
      <w:r>
        <w:rPr>
          <w:rFonts w:ascii="宋体" w:hAnsi="宋体" w:eastAsia="宋体" w:cs="宋体"/>
          <w:snapToGrid w:val="0"/>
          <w:color w:val="000000"/>
          <w:spacing w:val="-2"/>
          <w:kern w:val="0"/>
          <w:sz w:val="24"/>
          <w:szCs w:val="24"/>
          <w:highlight w:val="none"/>
          <w:lang w:eastAsia="en-US"/>
        </w:rPr>
        <w:t>不同供应商的投标文件载明的项目管理</w:t>
      </w:r>
      <w:r>
        <w:rPr>
          <w:rFonts w:ascii="宋体" w:hAnsi="宋体" w:eastAsia="宋体" w:cs="宋体"/>
          <w:snapToGrid w:val="0"/>
          <w:color w:val="000000"/>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7" w:name="_Toc6107"/>
      <w:r>
        <w:rPr>
          <w:rFonts w:ascii="宋体" w:hAnsi="宋体" w:eastAsia="宋体" w:cs="宋体"/>
          <w:snapToGrid w:val="0"/>
          <w:color w:val="000000"/>
          <w:kern w:val="0"/>
          <w:sz w:val="24"/>
          <w:szCs w:val="24"/>
          <w:highlight w:val="none"/>
          <w:lang w:eastAsia="en-US"/>
        </w:rPr>
        <w:t>不同供应商的投标文件异常一致或者投</w:t>
      </w:r>
      <w:r>
        <w:rPr>
          <w:rFonts w:ascii="宋体" w:hAnsi="宋体" w:eastAsia="宋体" w:cs="宋体"/>
          <w:snapToGrid w:val="0"/>
          <w:color w:val="000000"/>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kern w:val="0"/>
          <w:sz w:val="24"/>
          <w:szCs w:val="24"/>
          <w:highlight w:val="none"/>
          <w:lang w:eastAsia="en-US"/>
        </w:rPr>
      </w:pPr>
      <w:bookmarkStart w:id="58" w:name="_Toc15749"/>
      <w:r>
        <w:rPr>
          <w:rFonts w:ascii="宋体" w:hAnsi="宋体" w:eastAsia="宋体" w:cs="宋体"/>
          <w:snapToGrid w:val="0"/>
          <w:color w:val="000000"/>
          <w:spacing w:val="-1"/>
          <w:kern w:val="0"/>
          <w:sz w:val="24"/>
          <w:szCs w:val="24"/>
          <w:highlight w:val="none"/>
          <w:lang w:eastAsia="en-US"/>
        </w:rPr>
        <w:t>5.不同供应商的投标文件相互混装；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6.不同供应商的投标保证金从同一单位或者个人的账户转出。</w:t>
      </w:r>
    </w:p>
    <w:p w14:paraId="78058C30">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7A851779">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ascii="宋体" w:hAnsi="宋体" w:eastAsia="宋体" w:cs="宋体"/>
          <w:b/>
          <w:bCs/>
          <w:spacing w:val="5"/>
          <w:sz w:val="35"/>
          <w:szCs w:val="35"/>
          <w:highlight w:val="none"/>
        </w:rPr>
      </w:pPr>
      <w:bookmarkStart w:id="59" w:name="_Toc19470"/>
      <w:bookmarkStart w:id="60" w:name="_Toc25339"/>
      <w:r>
        <w:rPr>
          <w:rFonts w:ascii="宋体" w:hAnsi="宋体" w:eastAsia="宋体" w:cs="宋体"/>
          <w:b/>
          <w:bCs/>
          <w:spacing w:val="5"/>
          <w:sz w:val="35"/>
          <w:szCs w:val="35"/>
          <w:highlight w:val="none"/>
        </w:rPr>
        <w:t>采购合同</w:t>
      </w:r>
      <w:bookmarkEnd w:id="59"/>
      <w:bookmarkEnd w:id="60"/>
    </w:p>
    <w:p w14:paraId="0DAC4F07">
      <w:pPr>
        <w:pStyle w:val="5"/>
      </w:pPr>
    </w:p>
    <w:p w14:paraId="02102D4F">
      <w:pPr>
        <w:bidi w:val="0"/>
        <w:ind w:firstLine="482" w:firstLineChars="200"/>
        <w:jc w:val="left"/>
        <w:rPr>
          <w:rFonts w:hint="eastAsia"/>
          <w:b/>
          <w:bCs/>
          <w:sz w:val="24"/>
          <w:szCs w:val="24"/>
          <w:lang w:eastAsia="en-US"/>
        </w:rPr>
      </w:pPr>
      <w:r>
        <w:rPr>
          <w:rFonts w:hint="eastAsia"/>
          <w:b/>
          <w:bCs/>
          <w:sz w:val="24"/>
          <w:szCs w:val="24"/>
          <w:lang w:eastAsia="en-US"/>
        </w:rPr>
        <w:t>（</w:t>
      </w:r>
      <w:r>
        <w:rPr>
          <w:rFonts w:hint="eastAsia"/>
          <w:b/>
          <w:bCs/>
          <w:sz w:val="24"/>
          <w:szCs w:val="24"/>
          <w:lang w:val="en-US" w:eastAsia="en-US"/>
        </w:rPr>
        <w:t>最终以甲乙双方实际签订合同为准，本合同只提供参考</w:t>
      </w:r>
      <w:r>
        <w:rPr>
          <w:rFonts w:hint="eastAsia"/>
          <w:b/>
          <w:bCs/>
          <w:sz w:val="24"/>
          <w:szCs w:val="24"/>
          <w:lang w:eastAsia="en-US"/>
        </w:rPr>
        <w:t>）</w:t>
      </w:r>
    </w:p>
    <w:p w14:paraId="02E319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7B1CB4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61" w:name="_Toc26793"/>
      <w:bookmarkStart w:id="62" w:name="_Toc6256"/>
      <w:bookmarkStart w:id="63" w:name="_Toc1720"/>
      <w:bookmarkStart w:id="64" w:name="_Toc20936_WPSOffice_Level1"/>
      <w:bookmarkStart w:id="65" w:name="_Toc7496"/>
    </w:p>
    <w:p w14:paraId="58DB3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6FF014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第一部分 合同书</w:t>
      </w:r>
      <w:bookmarkEnd w:id="61"/>
      <w:bookmarkEnd w:id="62"/>
      <w:bookmarkEnd w:id="63"/>
      <w:bookmarkEnd w:id="64"/>
      <w:bookmarkEnd w:id="65"/>
    </w:p>
    <w:p w14:paraId="33445D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082707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4E68F2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3A8E0B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14:paraId="168D08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535BB9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11373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w:t>
      </w:r>
    </w:p>
    <w:p w14:paraId="77CB2E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45E4D4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14:paraId="59571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6034E3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                                     </w:t>
      </w:r>
    </w:p>
    <w:p w14:paraId="4CD61D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79A047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14:paraId="31EC48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sectPr>
          <w:headerReference r:id="rId3" w:type="default"/>
          <w:footerReference r:id="rId4" w:type="default"/>
          <w:pgSz w:w="11907" w:h="16840"/>
          <w:pgMar w:top="1474" w:right="1814" w:bottom="1474" w:left="1814" w:header="851" w:footer="851" w:gutter="0"/>
          <w:pgNumType w:fmt="decimal"/>
          <w:cols w:space="720" w:num="1"/>
          <w:docGrid w:linePitch="462" w:charSpace="0"/>
        </w:sectPr>
      </w:pPr>
    </w:p>
    <w:p w14:paraId="668A8C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rPr>
        <w:t xml:space="preserve"> 以</w:t>
      </w:r>
      <w:r>
        <w:rPr>
          <w:rFonts w:hint="eastAsia" w:ascii="宋体" w:hAnsi="宋体" w:eastAsia="宋体" w:cs="宋体"/>
          <w:color w:val="auto"/>
          <w:sz w:val="24"/>
          <w:szCs w:val="24"/>
          <w:u w:val="single"/>
        </w:rPr>
        <w:t xml:space="preserve">   （政府采购方式）  </w:t>
      </w:r>
      <w:r>
        <w:rPr>
          <w:rFonts w:hint="eastAsia" w:ascii="宋体" w:hAnsi="宋体" w:eastAsia="宋体" w:cs="宋体"/>
          <w:color w:val="auto"/>
          <w:sz w:val="24"/>
          <w:szCs w:val="24"/>
        </w:rPr>
        <w:t xml:space="preserve">对   </w:t>
      </w:r>
      <w:r>
        <w:rPr>
          <w:rFonts w:hint="eastAsia" w:ascii="宋体" w:hAnsi="宋体" w:eastAsia="宋体" w:cs="宋体"/>
          <w:color w:val="auto"/>
          <w:sz w:val="24"/>
          <w:szCs w:val="24"/>
          <w:u w:val="single"/>
        </w:rPr>
        <w:t xml:space="preserve">（同前页项目名称）   </w:t>
      </w:r>
      <w:r>
        <w:rPr>
          <w:rFonts w:hint="eastAsia" w:ascii="宋体" w:hAnsi="宋体" w:eastAsia="宋体" w:cs="宋体"/>
          <w:color w:val="auto"/>
          <w:sz w:val="24"/>
          <w:szCs w:val="24"/>
        </w:rPr>
        <w:t>项目进行了采购。经</w:t>
      </w:r>
      <w:r>
        <w:rPr>
          <w:rFonts w:hint="eastAsia" w:ascii="宋体" w:hAnsi="宋体" w:eastAsia="宋体" w:cs="宋体"/>
          <w:color w:val="auto"/>
          <w:sz w:val="24"/>
          <w:szCs w:val="24"/>
          <w:u w:val="single"/>
        </w:rPr>
        <w:t xml:space="preserve">   （相关评定主体名称）   </w:t>
      </w:r>
      <w:r>
        <w:rPr>
          <w:rFonts w:hint="eastAsia" w:ascii="宋体" w:hAnsi="宋体" w:eastAsia="宋体" w:cs="宋体"/>
          <w:color w:val="auto"/>
          <w:sz w:val="24"/>
          <w:szCs w:val="24"/>
        </w:rPr>
        <w:t xml:space="preserve">评定，   </w:t>
      </w:r>
      <w:r>
        <w:rPr>
          <w:rFonts w:hint="eastAsia" w:ascii="宋体" w:hAnsi="宋体" w:eastAsia="宋体" w:cs="宋体"/>
          <w:color w:val="auto"/>
          <w:sz w:val="24"/>
          <w:szCs w:val="24"/>
          <w:u w:val="single"/>
        </w:rPr>
        <w:t>（成交供应商名称）</w:t>
      </w:r>
      <w:r>
        <w:rPr>
          <w:rFonts w:hint="eastAsia" w:ascii="宋体" w:hAnsi="宋体" w:eastAsia="宋体" w:cs="宋体"/>
          <w:color w:val="auto"/>
          <w:sz w:val="24"/>
          <w:szCs w:val="24"/>
        </w:rPr>
        <w:t>为该项目成交供应商。现于成交通知书发出之日起三十日内，按照采购文件确定的事项签订本合同。</w:t>
      </w:r>
    </w:p>
    <w:p w14:paraId="580295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w:t>
      </w:r>
      <w:r>
        <w:rPr>
          <w:rFonts w:hint="eastAsia" w:ascii="宋体" w:hAnsi="宋体" w:eastAsia="宋体" w:cs="宋体"/>
          <w:color w:val="auto"/>
          <w:sz w:val="24"/>
          <w:szCs w:val="24"/>
          <w:highlight w:val="none"/>
          <w:lang w:val="zh-CN"/>
        </w:rPr>
        <w:t>《中华人民共和国民法典</w:t>
      </w:r>
      <w:r>
        <w:rPr>
          <w:rFonts w:hint="eastAsia" w:ascii="宋体" w:hAnsi="宋体" w:eastAsia="宋体" w:cs="宋体"/>
          <w:color w:val="auto"/>
          <w:sz w:val="24"/>
          <w:szCs w:val="24"/>
          <w:lang w:val="zh-CN"/>
        </w:rPr>
        <w:t>》、《中华人民共和国政府采购法》等相关法律法规之规定，按照平等、自愿、公平和诚实信用的原则，经</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u w:val="single"/>
          <w:lang w:val="zh-CN"/>
        </w:rPr>
        <w:t>(以下简称：甲方)</w:t>
      </w:r>
      <w:r>
        <w:rPr>
          <w:rFonts w:hint="eastAsia" w:ascii="宋体" w:hAnsi="宋体" w:eastAsia="宋体" w:cs="宋体"/>
          <w:color w:val="auto"/>
          <w:sz w:val="24"/>
          <w:szCs w:val="24"/>
          <w:lang w:val="zh-CN"/>
        </w:rPr>
        <w:t>和</w:t>
      </w:r>
      <w:r>
        <w:rPr>
          <w:rFonts w:hint="eastAsia" w:ascii="宋体" w:hAnsi="宋体" w:eastAsia="宋体" w:cs="宋体"/>
          <w:color w:val="auto"/>
          <w:sz w:val="24"/>
          <w:szCs w:val="24"/>
          <w:u w:val="single"/>
        </w:rPr>
        <w:t xml:space="preserve">   （成交供应商名称）   </w:t>
      </w:r>
      <w:r>
        <w:rPr>
          <w:rFonts w:hint="eastAsia" w:ascii="宋体" w:hAnsi="宋体" w:eastAsia="宋体" w:cs="宋体"/>
          <w:color w:val="auto"/>
          <w:sz w:val="24"/>
          <w:szCs w:val="24"/>
          <w:u w:val="single"/>
          <w:lang w:val="zh-CN"/>
        </w:rPr>
        <w:t>(以下简称：乙方)</w:t>
      </w:r>
      <w:r>
        <w:rPr>
          <w:rFonts w:hint="eastAsia" w:ascii="宋体" w:hAnsi="宋体" w:eastAsia="宋体" w:cs="宋体"/>
          <w:color w:val="auto"/>
          <w:sz w:val="24"/>
          <w:szCs w:val="24"/>
          <w:lang w:val="zh-CN"/>
        </w:rPr>
        <w:t>协商一致，约定以下合同</w:t>
      </w:r>
      <w:r>
        <w:rPr>
          <w:rFonts w:hint="eastAsia" w:ascii="宋体" w:hAnsi="宋体" w:eastAsia="宋体" w:cs="宋体"/>
          <w:color w:val="auto"/>
          <w:sz w:val="24"/>
          <w:szCs w:val="24"/>
        </w:rPr>
        <w:t>条款，以兹共同遵守、全面履行。</w:t>
      </w:r>
    </w:p>
    <w:p w14:paraId="6D25BD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66" w:name="_Toc5083"/>
      <w:bookmarkStart w:id="67" w:name="_Toc2232"/>
      <w:bookmarkStart w:id="68" w:name="_Toc24059"/>
      <w:bookmarkStart w:id="69" w:name="_Toc6067"/>
      <w:bookmarkStart w:id="70" w:name="_Toc893"/>
      <w:bookmarkStart w:id="71" w:name="_Toc533_WPSOffice_Level2"/>
      <w:bookmarkStart w:id="72" w:name="_Toc3029"/>
      <w:r>
        <w:rPr>
          <w:rFonts w:hint="eastAsia" w:ascii="宋体" w:hAnsi="宋体" w:eastAsia="宋体" w:cs="宋体"/>
          <w:color w:val="auto"/>
          <w:sz w:val="24"/>
          <w:szCs w:val="24"/>
        </w:rPr>
        <w:t>1.1 合同组成部分</w:t>
      </w:r>
      <w:bookmarkEnd w:id="66"/>
      <w:bookmarkEnd w:id="67"/>
      <w:bookmarkEnd w:id="68"/>
      <w:bookmarkEnd w:id="69"/>
      <w:bookmarkEnd w:id="70"/>
      <w:bookmarkEnd w:id="71"/>
      <w:bookmarkEnd w:id="72"/>
    </w:p>
    <w:p w14:paraId="6884CB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B4B00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本合同及其补充合同、变更协议；</w:t>
      </w:r>
    </w:p>
    <w:p w14:paraId="50B919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成交通知书；</w:t>
      </w:r>
    </w:p>
    <w:p w14:paraId="6BB110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响应文件（含澄清或者说明文件）；</w:t>
      </w:r>
    </w:p>
    <w:p w14:paraId="07982C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1.1.4 磋商文件（含澄清或者修改文件）；</w:t>
      </w:r>
    </w:p>
    <w:p w14:paraId="7D2B1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1.1.5 其他相关采购文件。</w:t>
      </w:r>
    </w:p>
    <w:p w14:paraId="23BB5C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73" w:name="_Toc27126"/>
      <w:bookmarkStart w:id="74" w:name="_Toc24300"/>
      <w:bookmarkStart w:id="75" w:name="_Toc18094"/>
      <w:bookmarkStart w:id="76" w:name="_Toc25124_WPSOffice_Level2"/>
      <w:bookmarkStart w:id="77" w:name="_Toc21295"/>
      <w:bookmarkStart w:id="78" w:name="_Toc21966"/>
      <w:bookmarkStart w:id="79" w:name="_Toc4996"/>
      <w:r>
        <w:rPr>
          <w:rFonts w:hint="eastAsia" w:ascii="宋体" w:hAnsi="宋体" w:eastAsia="宋体" w:cs="宋体"/>
          <w:color w:val="auto"/>
          <w:sz w:val="24"/>
          <w:szCs w:val="24"/>
        </w:rPr>
        <w:t>1.2 服务</w:t>
      </w:r>
      <w:bookmarkEnd w:id="73"/>
      <w:bookmarkEnd w:id="74"/>
      <w:bookmarkEnd w:id="75"/>
      <w:bookmarkEnd w:id="76"/>
      <w:bookmarkEnd w:id="77"/>
      <w:bookmarkEnd w:id="78"/>
      <w:bookmarkEnd w:id="79"/>
    </w:p>
    <w:p w14:paraId="3E5511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服务名称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26019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服务数量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4B31C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服务质量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3193E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80" w:name="_Toc21551"/>
      <w:bookmarkStart w:id="81" w:name="_Toc6851_WPSOffice_Level2"/>
      <w:bookmarkStart w:id="82" w:name="_Toc4815"/>
      <w:bookmarkStart w:id="83" w:name="_Toc21631"/>
      <w:bookmarkStart w:id="84" w:name="_Toc23292"/>
      <w:bookmarkStart w:id="85" w:name="_Toc7340"/>
      <w:bookmarkStart w:id="86" w:name="_Toc31267"/>
      <w:r>
        <w:rPr>
          <w:rFonts w:hint="eastAsia" w:ascii="宋体" w:hAnsi="宋体" w:eastAsia="宋体" w:cs="宋体"/>
          <w:color w:val="auto"/>
          <w:sz w:val="24"/>
          <w:szCs w:val="24"/>
        </w:rPr>
        <w:t>1.3 价款</w:t>
      </w:r>
      <w:bookmarkEnd w:id="80"/>
      <w:bookmarkEnd w:id="81"/>
      <w:bookmarkEnd w:id="82"/>
      <w:bookmarkEnd w:id="83"/>
      <w:bookmarkEnd w:id="84"/>
      <w:bookmarkEnd w:id="85"/>
      <w:bookmarkEnd w:id="86"/>
    </w:p>
    <w:p w14:paraId="282B47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元（大写：                 元人民币）</w:t>
      </w:r>
      <w:r>
        <w:rPr>
          <w:rFonts w:hint="eastAsia" w:ascii="宋体" w:hAnsi="宋体" w:eastAsia="宋体" w:cs="宋体"/>
          <w:color w:val="auto"/>
          <w:sz w:val="24"/>
          <w:szCs w:val="24"/>
        </w:rPr>
        <w:t>。</w:t>
      </w:r>
    </w:p>
    <w:p w14:paraId="74F663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4053"/>
        <w:gridCol w:w="3039"/>
      </w:tblGrid>
      <w:tr w14:paraId="6B2B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5B378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378" w:type="pct"/>
            <w:noWrap w:val="0"/>
            <w:vAlign w:val="center"/>
          </w:tcPr>
          <w:p w14:paraId="362BC5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分项名称</w:t>
            </w:r>
          </w:p>
        </w:tc>
        <w:tc>
          <w:tcPr>
            <w:tcW w:w="1783" w:type="pct"/>
            <w:noWrap w:val="0"/>
            <w:vAlign w:val="center"/>
          </w:tcPr>
          <w:p w14:paraId="49F3F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分项价格</w:t>
            </w:r>
          </w:p>
        </w:tc>
      </w:tr>
      <w:tr w14:paraId="6A1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44509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2378" w:type="pct"/>
            <w:noWrap w:val="0"/>
            <w:vAlign w:val="center"/>
          </w:tcPr>
          <w:p w14:paraId="786CD7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1783" w:type="pct"/>
            <w:noWrap w:val="0"/>
            <w:vAlign w:val="center"/>
          </w:tcPr>
          <w:p w14:paraId="3625AD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r w14:paraId="497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78C30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2378" w:type="pct"/>
            <w:noWrap w:val="0"/>
            <w:vAlign w:val="center"/>
          </w:tcPr>
          <w:p w14:paraId="40171D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1783" w:type="pct"/>
            <w:noWrap w:val="0"/>
            <w:vAlign w:val="center"/>
          </w:tcPr>
          <w:p w14:paraId="14A1B0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r w14:paraId="6F9B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16" w:type="pct"/>
            <w:gridSpan w:val="2"/>
            <w:noWrap w:val="0"/>
            <w:vAlign w:val="center"/>
          </w:tcPr>
          <w:p w14:paraId="771CF5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c>
          <w:tcPr>
            <w:tcW w:w="1783" w:type="pct"/>
            <w:noWrap w:val="0"/>
            <w:vAlign w:val="center"/>
          </w:tcPr>
          <w:p w14:paraId="7E2C5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bl>
    <w:p w14:paraId="2E4750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87" w:name="_Toc1814"/>
      <w:bookmarkStart w:id="88" w:name="_Toc28198"/>
      <w:bookmarkStart w:id="89" w:name="_Toc10340"/>
      <w:bookmarkStart w:id="90" w:name="_Toc9077_WPSOffice_Level2"/>
      <w:bookmarkStart w:id="91" w:name="_Toc6076"/>
      <w:bookmarkStart w:id="92" w:name="_Toc22618"/>
      <w:bookmarkStart w:id="93" w:name="_Toc28728"/>
      <w:r>
        <w:rPr>
          <w:rFonts w:hint="eastAsia" w:ascii="宋体" w:hAnsi="宋体" w:eastAsia="宋体" w:cs="宋体"/>
          <w:color w:val="auto"/>
          <w:sz w:val="24"/>
          <w:szCs w:val="24"/>
        </w:rPr>
        <w:t>1.4 付款方式和发票开具方式</w:t>
      </w:r>
      <w:bookmarkEnd w:id="87"/>
      <w:bookmarkEnd w:id="88"/>
      <w:bookmarkEnd w:id="89"/>
      <w:bookmarkEnd w:id="90"/>
      <w:bookmarkEnd w:id="91"/>
      <w:bookmarkEnd w:id="92"/>
      <w:bookmarkEnd w:id="93"/>
    </w:p>
    <w:p w14:paraId="5D2A96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付款方式：</w:t>
      </w:r>
      <w:r>
        <w:rPr>
          <w:rFonts w:hint="eastAsia" w:ascii="宋体" w:hAnsi="宋体" w:eastAsia="宋体" w:cs="宋体"/>
          <w:color w:val="auto"/>
          <w:sz w:val="24"/>
          <w:szCs w:val="24"/>
          <w:u w:val="single"/>
        </w:rPr>
        <w:t xml:space="preserve">                                                ；</w:t>
      </w:r>
    </w:p>
    <w:p w14:paraId="04BC9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发票开具方式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C07F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94" w:name="_Toc1510"/>
      <w:bookmarkStart w:id="95" w:name="_Toc32071"/>
      <w:bookmarkStart w:id="96" w:name="_Toc19304"/>
      <w:bookmarkStart w:id="97" w:name="_Toc31787"/>
      <w:bookmarkStart w:id="98" w:name="_Toc2846"/>
      <w:bookmarkStart w:id="99" w:name="_Toc5663"/>
      <w:bookmarkStart w:id="100" w:name="_Toc31453_WPSOffice_Level2"/>
      <w:r>
        <w:rPr>
          <w:rFonts w:hint="eastAsia" w:ascii="宋体" w:hAnsi="宋体" w:eastAsia="宋体" w:cs="宋体"/>
          <w:color w:val="auto"/>
          <w:sz w:val="24"/>
          <w:szCs w:val="24"/>
        </w:rPr>
        <w:t>1.5 服务交付期限、地点和方式</w:t>
      </w:r>
      <w:bookmarkEnd w:id="94"/>
      <w:bookmarkEnd w:id="95"/>
      <w:bookmarkEnd w:id="96"/>
      <w:bookmarkEnd w:id="97"/>
      <w:bookmarkEnd w:id="98"/>
      <w:bookmarkEnd w:id="99"/>
      <w:bookmarkEnd w:id="100"/>
    </w:p>
    <w:p w14:paraId="7398A7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 交付期限：</w:t>
      </w:r>
      <w:r>
        <w:rPr>
          <w:rFonts w:hint="eastAsia" w:ascii="宋体" w:hAnsi="宋体" w:eastAsia="宋体" w:cs="宋体"/>
          <w:color w:val="auto"/>
          <w:sz w:val="24"/>
          <w:szCs w:val="24"/>
          <w:u w:val="single"/>
        </w:rPr>
        <w:t xml:space="preserve">                                                ；</w:t>
      </w:r>
    </w:p>
    <w:p w14:paraId="49924E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 交付地点</w:t>
      </w:r>
      <w:r>
        <w:rPr>
          <w:rFonts w:hint="eastAsia" w:ascii="宋体" w:hAnsi="宋体" w:eastAsia="宋体" w:cs="宋体"/>
          <w:color w:val="auto"/>
          <w:sz w:val="24"/>
          <w:szCs w:val="24"/>
          <w:u w:val="single"/>
        </w:rPr>
        <w:t>：                                                ；</w:t>
      </w:r>
    </w:p>
    <w:p w14:paraId="37E3CF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1.5.3 交付方式</w:t>
      </w:r>
      <w:r>
        <w:rPr>
          <w:rFonts w:hint="eastAsia" w:ascii="宋体" w:hAnsi="宋体" w:eastAsia="宋体" w:cs="宋体"/>
          <w:color w:val="auto"/>
          <w:sz w:val="24"/>
          <w:szCs w:val="24"/>
          <w:u w:val="single"/>
        </w:rPr>
        <w:t>：　　　　　　　　　                      　      。</w:t>
      </w:r>
    </w:p>
    <w:p w14:paraId="22437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01" w:name="_Toc21423"/>
      <w:bookmarkStart w:id="102" w:name="_Toc14728"/>
      <w:bookmarkStart w:id="103" w:name="_Toc19554"/>
      <w:bookmarkStart w:id="104" w:name="_Toc27250"/>
      <w:bookmarkStart w:id="105" w:name="_Toc22576"/>
      <w:bookmarkStart w:id="106" w:name="_Toc12013"/>
      <w:bookmarkStart w:id="107" w:name="_Toc17563_WPSOffice_Level2"/>
      <w:r>
        <w:rPr>
          <w:rFonts w:hint="eastAsia" w:ascii="宋体" w:hAnsi="宋体" w:eastAsia="宋体" w:cs="宋体"/>
          <w:color w:val="auto"/>
          <w:sz w:val="24"/>
          <w:szCs w:val="24"/>
        </w:rPr>
        <w:t>1.6 违约责任</w:t>
      </w:r>
      <w:bookmarkEnd w:id="101"/>
      <w:bookmarkEnd w:id="102"/>
      <w:bookmarkEnd w:id="103"/>
      <w:bookmarkEnd w:id="104"/>
      <w:bookmarkEnd w:id="105"/>
      <w:bookmarkEnd w:id="106"/>
      <w:bookmarkEnd w:id="107"/>
    </w:p>
    <w:p w14:paraId="1927DD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；迟延交付服务的违约金计算数额达到前述最高限额之日起，甲方有权在要求乙方支付违约金的同时，书面通知乙方解除本合同；</w:t>
      </w:r>
    </w:p>
    <w:p w14:paraId="49D2C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60D6B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7148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9BF0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CFC5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5808B2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08" w:name="_Toc28375"/>
      <w:bookmarkStart w:id="109" w:name="_Toc27472"/>
      <w:bookmarkStart w:id="110" w:name="_Toc2407"/>
      <w:bookmarkStart w:id="111" w:name="_Toc18995_WPSOffice_Level2"/>
      <w:bookmarkStart w:id="112" w:name="_Toc15583"/>
      <w:bookmarkStart w:id="113" w:name="_Toc30335"/>
      <w:bookmarkStart w:id="114" w:name="_Toc16021"/>
      <w:r>
        <w:rPr>
          <w:rFonts w:hint="eastAsia" w:ascii="宋体" w:hAnsi="宋体" w:eastAsia="宋体" w:cs="宋体"/>
          <w:color w:val="auto"/>
          <w:sz w:val="24"/>
          <w:szCs w:val="24"/>
        </w:rPr>
        <w:t>1.7 合同争议的解决</w:t>
      </w:r>
      <w:bookmarkEnd w:id="108"/>
      <w:bookmarkEnd w:id="109"/>
      <w:bookmarkEnd w:id="110"/>
      <w:bookmarkEnd w:id="111"/>
      <w:bookmarkEnd w:id="112"/>
      <w:bookmarkEnd w:id="113"/>
      <w:bookmarkEnd w:id="114"/>
    </w:p>
    <w:p w14:paraId="6B2557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14:paraId="4152EE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 将争议提交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仲裁委员会依申请仲裁时其现行有效的仲裁规则裁决；</w:t>
      </w:r>
    </w:p>
    <w:p w14:paraId="026D7B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1.7.2 向 </w:t>
      </w:r>
      <w:r>
        <w:rPr>
          <w:rFonts w:hint="eastAsia" w:ascii="宋体" w:hAnsi="宋体" w:eastAsia="宋体" w:cs="宋体"/>
          <w:color w:val="auto"/>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rPr>
        <w:t>人民法院起诉。</w:t>
      </w:r>
    </w:p>
    <w:p w14:paraId="3DA266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15" w:name="_Toc11173"/>
      <w:bookmarkStart w:id="116" w:name="_Toc7245"/>
      <w:bookmarkStart w:id="117" w:name="_Toc12251"/>
      <w:bookmarkStart w:id="118" w:name="_Toc22758_WPSOffice_Level2"/>
      <w:bookmarkStart w:id="119" w:name="_Toc15322"/>
      <w:bookmarkStart w:id="120" w:name="_Toc22902"/>
      <w:bookmarkStart w:id="121" w:name="_Toc17966"/>
      <w:r>
        <w:rPr>
          <w:rFonts w:hint="eastAsia" w:ascii="宋体" w:hAnsi="宋体" w:eastAsia="宋体" w:cs="宋体"/>
          <w:color w:val="auto"/>
          <w:sz w:val="24"/>
          <w:szCs w:val="24"/>
        </w:rPr>
        <w:t>1.8 合同生效</w:t>
      </w:r>
      <w:bookmarkEnd w:id="115"/>
      <w:bookmarkEnd w:id="116"/>
      <w:bookmarkEnd w:id="117"/>
      <w:bookmarkEnd w:id="118"/>
      <w:bookmarkEnd w:id="119"/>
      <w:bookmarkEnd w:id="120"/>
      <w:bookmarkEnd w:id="121"/>
    </w:p>
    <w:p w14:paraId="26CC50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本合同自双方当事人盖章或者签字时生效。</w:t>
      </w:r>
    </w:p>
    <w:p w14:paraId="6154FF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p>
    <w:p w14:paraId="787BF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                                   乙方：</w:t>
      </w:r>
    </w:p>
    <w:p w14:paraId="5E2F1B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                        统一社会信用代码或身份证号码：</w:t>
      </w:r>
    </w:p>
    <w:p w14:paraId="6AC04F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p>
    <w:p w14:paraId="7CD59E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住所：                                   住所：</w:t>
      </w:r>
    </w:p>
    <w:p w14:paraId="0884E8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                             法定代表人</w:t>
      </w:r>
    </w:p>
    <w:p w14:paraId="3B5D64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授权代表（签字）：                        或授权代表（签字）: </w:t>
      </w:r>
    </w:p>
    <w:p w14:paraId="70E964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                                 联系人：</w:t>
      </w:r>
    </w:p>
    <w:p w14:paraId="281BEB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约定送达地址：                           约定送达地址：</w:t>
      </w:r>
    </w:p>
    <w:p w14:paraId="27CB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邮政编码：                               邮政编码：</w:t>
      </w:r>
    </w:p>
    <w:p w14:paraId="2F517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电话:                                    电话: </w:t>
      </w:r>
    </w:p>
    <w:p w14:paraId="00BBB0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                                    传真:</w:t>
      </w:r>
    </w:p>
    <w:p w14:paraId="09D6B0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                               电子邮箱：</w:t>
      </w:r>
    </w:p>
    <w:p w14:paraId="37B644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14:paraId="6FA4B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开户名称： </w:t>
      </w:r>
    </w:p>
    <w:p w14:paraId="0CCED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开户账号：</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开户账号：</w:t>
      </w:r>
    </w:p>
    <w:p w14:paraId="6BBEB6D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03E28A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438CE7A">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23299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96D00B">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D1964F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621D2B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B69B0D4">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1A27C49">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B5C31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4A9915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E182F7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8E4D7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7D174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E28B046">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2E88017">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BA958FC">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46A19B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859165">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169B84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719109F1">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74C393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pacing w:val="0"/>
          <w:sz w:val="24"/>
          <w:szCs w:val="24"/>
          <w:highlight w:val="none"/>
          <w:lang w:val="en-US" w:eastAsia="zh-CN"/>
        </w:rPr>
      </w:pPr>
    </w:p>
    <w:p w14:paraId="3866C136">
      <w:pPr>
        <w:pStyle w:val="5"/>
        <w:keepNext w:val="0"/>
        <w:keepLines w:val="0"/>
        <w:pageBreakBefore w:val="0"/>
        <w:wordWrap/>
        <w:overflowPunct/>
        <w:topLinePunct w:val="0"/>
        <w:bidi w:val="0"/>
        <w:spacing w:before="84" w:line="360" w:lineRule="auto"/>
        <w:outlineLvl w:val="9"/>
        <w:rPr>
          <w:rFonts w:hint="eastAsia" w:ascii="宋体" w:hAnsi="宋体" w:eastAsia="宋体" w:cs="宋体"/>
          <w:b/>
          <w:bCs/>
          <w:spacing w:val="8"/>
          <w:sz w:val="24"/>
          <w:szCs w:val="24"/>
          <w:highlight w:val="none"/>
        </w:rPr>
      </w:pPr>
    </w:p>
    <w:p w14:paraId="2FC68947">
      <w:pPr>
        <w:keepNext w:val="0"/>
        <w:keepLines w:val="0"/>
        <w:pageBreakBefore w:val="0"/>
        <w:wordWrap/>
        <w:overflowPunct/>
        <w:topLinePunct w:val="0"/>
        <w:bidi w:val="0"/>
        <w:spacing w:line="360" w:lineRule="auto"/>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br w:type="page"/>
      </w:r>
    </w:p>
    <w:p w14:paraId="6210CA22">
      <w:pPr>
        <w:jc w:val="center"/>
        <w:rPr>
          <w:rFonts w:ascii="宋体" w:hAnsi="宋体" w:eastAsia="宋体" w:cs="宋体"/>
          <w:snapToGrid w:val="0"/>
          <w:color w:val="000000"/>
          <w:kern w:val="0"/>
          <w:sz w:val="35"/>
          <w:szCs w:val="35"/>
          <w:highlight w:val="none"/>
          <w:lang w:eastAsia="en-US"/>
        </w:rPr>
      </w:pPr>
      <w:bookmarkStart w:id="122" w:name="_Toc19904"/>
      <w:bookmarkStart w:id="123" w:name="_Toc31519"/>
      <w:r>
        <w:rPr>
          <w:rFonts w:ascii="宋体" w:hAnsi="宋体" w:eastAsia="宋体" w:cs="宋体"/>
          <w:b/>
          <w:bCs/>
          <w:snapToGrid w:val="0"/>
          <w:color w:val="000000"/>
          <w:spacing w:val="6"/>
          <w:kern w:val="0"/>
          <w:sz w:val="35"/>
          <w:szCs w:val="35"/>
          <w:highlight w:val="none"/>
          <w:lang w:eastAsia="en-US"/>
        </w:rPr>
        <w:t>第六章</w:t>
      </w:r>
      <w:r>
        <w:rPr>
          <w:rFonts w:ascii="宋体" w:hAnsi="宋体" w:eastAsia="宋体" w:cs="宋体"/>
          <w:snapToGrid w:val="0"/>
          <w:color w:val="000000"/>
          <w:spacing w:val="6"/>
          <w:kern w:val="0"/>
          <w:sz w:val="35"/>
          <w:szCs w:val="35"/>
          <w:highlight w:val="none"/>
          <w:lang w:eastAsia="en-US"/>
        </w:rPr>
        <w:t xml:space="preserve">  </w:t>
      </w:r>
      <w:r>
        <w:rPr>
          <w:rFonts w:ascii="宋体" w:hAnsi="宋体" w:eastAsia="宋体" w:cs="宋体"/>
          <w:b/>
          <w:bCs/>
          <w:snapToGrid w:val="0"/>
          <w:color w:val="000000"/>
          <w:spacing w:val="6"/>
          <w:kern w:val="0"/>
          <w:sz w:val="35"/>
          <w:szCs w:val="35"/>
          <w:highlight w:val="none"/>
          <w:lang w:eastAsia="en-US"/>
        </w:rPr>
        <w:t>投标文件格式</w:t>
      </w:r>
      <w:bookmarkEnd w:id="122"/>
      <w:bookmarkEnd w:id="123"/>
    </w:p>
    <w:p w14:paraId="1693834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spacing w:val="-4"/>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w:t>
      </w:r>
      <w:r>
        <w:rPr>
          <w:rFonts w:hint="eastAsia" w:ascii="宋体" w:hAnsi="宋体" w:eastAsia="宋体" w:cs="宋体"/>
          <w:snapToGrid w:val="0"/>
          <w:color w:val="000000"/>
          <w:spacing w:val="-4"/>
          <w:kern w:val="0"/>
          <w:sz w:val="28"/>
          <w:szCs w:val="28"/>
          <w:highlight w:val="none"/>
          <w:lang w:val="en-US" w:eastAsia="zh-CN"/>
        </w:rPr>
        <w:t>标项</w:t>
      </w:r>
      <w:r>
        <w:rPr>
          <w:rFonts w:ascii="宋体" w:hAnsi="宋体" w:eastAsia="宋体" w:cs="宋体"/>
          <w:snapToGrid w:val="0"/>
          <w:color w:val="000000"/>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（项目</w:t>
      </w:r>
      <w:r>
        <w:rPr>
          <w:rFonts w:hint="eastAsia" w:ascii="宋体" w:hAnsi="宋体" w:eastAsia="宋体" w:cs="宋体"/>
          <w:snapToGrid w:val="0"/>
          <w:color w:val="000000"/>
          <w:spacing w:val="-4"/>
          <w:kern w:val="0"/>
          <w:sz w:val="28"/>
          <w:szCs w:val="28"/>
          <w:highlight w:val="none"/>
          <w:lang w:val="en-US" w:eastAsia="zh-CN"/>
        </w:rPr>
        <w:t>编号</w:t>
      </w:r>
      <w:r>
        <w:rPr>
          <w:rFonts w:ascii="宋体" w:hAnsi="宋体" w:eastAsia="宋体" w:cs="宋体"/>
          <w:snapToGrid w:val="0"/>
          <w:color w:val="000000"/>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ascii="宋体" w:hAnsi="宋体" w:eastAsia="宋体" w:cs="宋体"/>
          <w:snapToGrid w:val="0"/>
          <w:color w:val="000000"/>
          <w:kern w:val="0"/>
          <w:sz w:val="71"/>
          <w:szCs w:val="71"/>
          <w:highlight w:val="none"/>
          <w:lang w:eastAsia="en-US"/>
        </w:rPr>
      </w:pPr>
      <w:r>
        <w:rPr>
          <w:rFonts w:ascii="宋体" w:hAnsi="宋体" w:eastAsia="宋体" w:cs="宋体"/>
          <w:b/>
          <w:bCs/>
          <w:snapToGrid w:val="0"/>
          <w:color w:val="000000"/>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4"/>
          <w:kern w:val="0"/>
          <w:sz w:val="28"/>
          <w:szCs w:val="28"/>
          <w:highlight w:val="none"/>
          <w:lang w:eastAsia="en-US"/>
        </w:rPr>
        <w:t>供应商</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1"/>
          <w:kern w:val="0"/>
          <w:sz w:val="28"/>
          <w:szCs w:val="28"/>
          <w:highlight w:val="none"/>
          <w:lang w:eastAsia="en-US"/>
        </w:rPr>
        <w:t>法定代表人（单位负责人）或其授权委托人</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2"/>
          <w:kern w:val="0"/>
          <w:sz w:val="28"/>
          <w:szCs w:val="28"/>
          <w:highlight w:val="none"/>
          <w:lang w:eastAsia="en-US"/>
        </w:rPr>
        <w:t>日期</w:t>
      </w:r>
      <w:r>
        <w:rPr>
          <w:rFonts w:ascii="宋体" w:hAnsi="宋体" w:eastAsia="宋体" w:cs="宋体"/>
          <w:snapToGrid w:val="0"/>
          <w:color w:val="000000"/>
          <w:spacing w:val="-21"/>
          <w:kern w:val="0"/>
          <w:sz w:val="28"/>
          <w:szCs w:val="28"/>
          <w:highlight w:val="none"/>
          <w:lang w:eastAsia="en-US"/>
        </w:rPr>
        <w:t>：</w:t>
      </w:r>
      <w:r>
        <w:rPr>
          <w:rFonts w:ascii="宋体" w:hAnsi="宋体" w:eastAsia="宋体" w:cs="宋体"/>
          <w:snapToGrid w:val="0"/>
          <w:color w:val="000000"/>
          <w:spacing w:val="-1"/>
          <w:kern w:val="0"/>
          <w:sz w:val="28"/>
          <w:szCs w:val="28"/>
          <w:highlight w:val="none"/>
          <w:u w:val="single" w:color="auto"/>
          <w:lang w:eastAsia="en-US"/>
        </w:rPr>
        <w:t xml:space="preserve"> </w:t>
      </w:r>
      <w:r>
        <w:rPr>
          <w:rFonts w:ascii="宋体" w:hAnsi="宋体" w:eastAsia="宋体" w:cs="宋体"/>
          <w:snapToGrid w:val="0"/>
          <w:color w:val="000000"/>
          <w:spacing w:val="-21"/>
          <w:kern w:val="0"/>
          <w:sz w:val="28"/>
          <w:szCs w:val="28"/>
          <w:highlight w:val="none"/>
          <w:u w:val="single" w:color="auto"/>
          <w:lang w:eastAsia="en-US"/>
        </w:rPr>
        <w:t>（</w:t>
      </w:r>
      <w:r>
        <w:rPr>
          <w:rFonts w:ascii="宋体" w:hAnsi="宋体" w:eastAsia="宋体" w:cs="宋体"/>
          <w:snapToGrid w:val="0"/>
          <w:color w:val="000000"/>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highlight w:val="none"/>
          <w:lang w:val="en-US" w:eastAsia="en-US" w:bidi="ar-SA"/>
        </w:rPr>
      </w:pPr>
    </w:p>
    <w:p w14:paraId="1B74C5D4">
      <w:pPr>
        <w:rPr>
          <w:rFonts w:ascii="宋体" w:hAnsi="宋体" w:eastAsia="宋体" w:cs="宋体"/>
          <w:b/>
          <w:bCs/>
          <w:snapToGrid w:val="0"/>
          <w:color w:val="000000"/>
          <w:spacing w:val="-3"/>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5"/>
          <w:kern w:val="0"/>
          <w:sz w:val="28"/>
          <w:szCs w:val="28"/>
          <w:highlight w:val="none"/>
          <w:lang w:eastAsia="en-US"/>
        </w:rPr>
        <w:t>目</w:t>
      </w:r>
      <w:r>
        <w:rPr>
          <w:rFonts w:hint="eastAsia" w:ascii="宋体" w:hAnsi="宋体" w:eastAsia="宋体" w:cs="宋体"/>
          <w:b/>
          <w:bCs/>
          <w:snapToGrid w:val="0"/>
          <w:color w:val="000000"/>
          <w:spacing w:val="-35"/>
          <w:kern w:val="0"/>
          <w:sz w:val="28"/>
          <w:szCs w:val="28"/>
          <w:highlight w:val="none"/>
          <w:lang w:val="en-US" w:eastAsia="zh-CN"/>
        </w:rPr>
        <w:t xml:space="preserve"> </w:t>
      </w:r>
      <w:r>
        <w:rPr>
          <w:rFonts w:ascii="宋体" w:hAnsi="宋体" w:eastAsia="宋体" w:cs="宋体"/>
          <w:b/>
          <w:bCs/>
          <w:snapToGrid w:val="0"/>
          <w:color w:val="000000"/>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4A64360C">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u w:val="single" w:color="auto"/>
          <w:lang w:eastAsia="en-US"/>
        </w:rPr>
        <w:tab/>
      </w:r>
      <w:r>
        <w:rPr>
          <w:rFonts w:hint="eastAsia" w:ascii="宋体" w:hAnsi="宋体" w:eastAsia="宋体" w:cs="宋体"/>
          <w:snapToGrid w:val="0"/>
          <w:color w:val="000000"/>
          <w:kern w:val="0"/>
          <w:sz w:val="24"/>
          <w:szCs w:val="24"/>
          <w:highlight w:val="none"/>
          <w:lang w:eastAsia="en-US"/>
        </w:rPr>
        <w:t>（采购人名称）：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1．我方已仔细研究了</w:t>
      </w:r>
      <w:r>
        <w:rPr>
          <w:rFonts w:hint="eastAsia" w:ascii="宋体" w:hAnsi="宋体" w:eastAsia="宋体" w:cs="宋体"/>
          <w:snapToGrid w:val="0"/>
          <w:color w:val="000000"/>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zh-CN"/>
        </w:rPr>
        <w:t>标项</w:t>
      </w:r>
      <w:r>
        <w:rPr>
          <w:rFonts w:hint="eastAsia" w:ascii="宋体" w:hAnsi="宋体" w:eastAsia="宋体" w:cs="宋体"/>
          <w:snapToGrid w:val="0"/>
          <w:color w:val="000000"/>
          <w:kern w:val="0"/>
          <w:sz w:val="24"/>
          <w:szCs w:val="24"/>
          <w:highlight w:val="none"/>
          <w:lang w:eastAsia="en-US"/>
        </w:rPr>
        <w:t>名称）招标文件的</w:t>
      </w:r>
      <w:r>
        <w:rPr>
          <w:rFonts w:hint="eastAsia" w:ascii="宋体" w:hAnsi="宋体" w:eastAsia="宋体" w:cs="宋体"/>
          <w:snapToGrid w:val="0"/>
          <w:color w:val="000000"/>
          <w:spacing w:val="-1"/>
          <w:kern w:val="0"/>
          <w:sz w:val="24"/>
          <w:szCs w:val="24"/>
          <w:highlight w:val="none"/>
          <w:lang w:eastAsia="en-US"/>
        </w:rPr>
        <w:t>全部内容，正式授权</w:t>
      </w:r>
      <w:r>
        <w:rPr>
          <w:rFonts w:hint="eastAsia" w:ascii="宋体" w:hAnsi="宋体" w:eastAsia="宋体" w:cs="宋体"/>
          <w:snapToGrid w:val="0"/>
          <w:color w:val="000000"/>
          <w:spacing w:val="-1"/>
          <w:kern w:val="0"/>
          <w:sz w:val="24"/>
          <w:szCs w:val="24"/>
          <w:highlight w:val="none"/>
          <w:u w:val="single" w:color="auto"/>
          <w:lang w:eastAsia="en-US"/>
        </w:rPr>
        <w:t xml:space="preserve">      </w:t>
      </w:r>
      <w:r>
        <w:rPr>
          <w:rFonts w:hint="eastAsia" w:ascii="宋体" w:hAnsi="宋体" w:eastAsia="宋体" w:cs="宋体"/>
          <w:snapToGrid w:val="0"/>
          <w:color w:val="000000"/>
          <w:spacing w:val="-108"/>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3．我方承诺除商务和技术偏差表列出的偏差</w:t>
      </w:r>
      <w:r>
        <w:rPr>
          <w:rFonts w:hint="eastAsia" w:ascii="宋体" w:hAnsi="宋体" w:eastAsia="宋体" w:cs="宋体"/>
          <w:snapToGrid w:val="0"/>
          <w:color w:val="000000"/>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7．</w:t>
      </w:r>
      <w:r>
        <w:rPr>
          <w:rFonts w:hint="eastAsia" w:ascii="宋体" w:hAnsi="宋体" w:eastAsia="宋体" w:cs="宋体"/>
          <w:snapToGrid w:val="0"/>
          <w:color w:val="000000"/>
          <w:kern w:val="0"/>
          <w:sz w:val="24"/>
          <w:szCs w:val="24"/>
          <w:highlight w:val="none"/>
          <w:u w:val="single"/>
          <w:lang w:eastAsia="en-US"/>
        </w:rPr>
        <w:t xml:space="preserve">                               </w:t>
      </w:r>
      <w:r>
        <w:rPr>
          <w:rFonts w:hint="eastAsia" w:ascii="宋体" w:hAnsi="宋体" w:eastAsia="宋体" w:cs="宋体"/>
          <w:snapToGrid w:val="0"/>
          <w:color w:val="000000"/>
          <w:kern w:val="0"/>
          <w:sz w:val="24"/>
          <w:szCs w:val="24"/>
          <w:highlight w:val="none"/>
          <w:lang w:eastAsia="en-US"/>
        </w:rPr>
        <w:t>（其他补充说明）。</w:t>
      </w:r>
    </w:p>
    <w:p w14:paraId="230827BF">
      <w:pPr>
        <w:pStyle w:val="23"/>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w:t>
      </w:r>
    </w:p>
    <w:p w14:paraId="414B2705">
      <w:pPr>
        <w:pStyle w:val="23"/>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7172C95A">
      <w:pPr>
        <w:pStyle w:val="23"/>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14:paraId="67B950BB">
      <w:pPr>
        <w:pStyle w:val="23"/>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667EA179">
      <w:pPr>
        <w:pStyle w:val="23"/>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A03F71">
      <w:pPr>
        <w:pStyle w:val="23"/>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p>
    <w:p w14:paraId="186E872E">
      <w:pPr>
        <w:pStyle w:val="23"/>
        <w:keepNext w:val="0"/>
        <w:keepLines w:val="0"/>
        <w:pageBreakBefore w:val="0"/>
        <w:widowControl/>
        <w:wordWrap/>
        <w:overflowPunct/>
        <w:topLinePunct w:val="0"/>
        <w:bidi w:val="0"/>
        <w:spacing w:line="440" w:lineRule="exact"/>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en-US"/>
        </w:rPr>
        <w:t>供应商</w:t>
      </w:r>
      <w:r>
        <w:rPr>
          <w:rFonts w:hint="eastAsia" w:ascii="宋体" w:hAnsi="宋体" w:eastAsia="宋体" w:cs="宋体"/>
          <w:b/>
          <w:color w:val="auto"/>
          <w:sz w:val="24"/>
          <w:szCs w:val="24"/>
          <w:highlight w:val="none"/>
        </w:rPr>
        <w:t>（公章）：</w:t>
      </w:r>
    </w:p>
    <w:p w14:paraId="71B8DE26">
      <w:pPr>
        <w:pStyle w:val="23"/>
        <w:keepNext w:val="0"/>
        <w:keepLines w:val="0"/>
        <w:pageBreakBefore w:val="0"/>
        <w:widowControl/>
        <w:wordWrap/>
        <w:overflowPunct/>
        <w:topLinePunct w:val="0"/>
        <w:bidi w:val="0"/>
        <w:spacing w:line="440" w:lineRule="exact"/>
        <w:ind w:left="101" w:leftChars="48"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法定代表人（单位负责人）或其授权委托人（签字或盖章）：</w:t>
      </w:r>
    </w:p>
    <w:p w14:paraId="1476F3BE">
      <w:pPr>
        <w:pStyle w:val="23"/>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日期：    年     月    日</w:t>
      </w:r>
    </w:p>
    <w:p w14:paraId="58FC9B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BB698D">
      <w:pPr>
        <w:widowControl/>
        <w:kinsoku w:val="0"/>
        <w:autoSpaceDE w:val="0"/>
        <w:autoSpaceDN w:val="0"/>
        <w:adjustRightInd w:val="0"/>
        <w:snapToGrid w:val="0"/>
        <w:spacing w:before="98" w:line="219" w:lineRule="auto"/>
        <w:ind w:left="2169"/>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w:t>
      </w:r>
      <w:r>
        <w:rPr>
          <w:rFonts w:ascii="宋体" w:hAnsi="宋体" w:eastAsia="宋体" w:cs="宋体"/>
          <w:snapToGrid w:val="0"/>
          <w:color w:val="000000"/>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姓名：</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性别：</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年龄：</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职务：</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系</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（供应商名称）的法定代表</w:t>
      </w:r>
      <w:r>
        <w:rPr>
          <w:rFonts w:ascii="宋体" w:hAnsi="宋体" w:eastAsia="宋体" w:cs="宋体"/>
          <w:snapToGrid w:val="0"/>
          <w:color w:val="000000"/>
          <w:spacing w:val="-2"/>
          <w:kern w:val="0"/>
          <w:sz w:val="24"/>
          <w:szCs w:val="24"/>
          <w:highlight w:val="none"/>
          <w:lang w:eastAsia="en-US"/>
        </w:rPr>
        <w:t>人（单位负责人）。</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highlight w:val="none"/>
          <w:lang w:val="en-US" w:eastAsia="en-US" w:bidi="ar-SA"/>
        </w:rPr>
      </w:pPr>
    </w:p>
    <w:p w14:paraId="66494ABF">
      <w:pPr>
        <w:pStyle w:val="24"/>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30CF524F">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ind w:left="38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本人</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（姓名）系</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（供应商名称）的法定代表人（单</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位负责人</w:t>
      </w:r>
      <w:r>
        <w:rPr>
          <w:rFonts w:ascii="宋体" w:hAnsi="宋体" w:eastAsia="宋体" w:cs="宋体"/>
          <w:snapToGrid w:val="0"/>
          <w:color w:val="000000"/>
          <w:spacing w:val="-30"/>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现委托</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lang w:eastAsia="en-US"/>
        </w:rPr>
        <w:t>（姓名）为我方</w:t>
      </w:r>
      <w:r>
        <w:rPr>
          <w:rFonts w:ascii="宋体" w:hAnsi="宋体" w:eastAsia="宋体" w:cs="宋体"/>
          <w:snapToGrid w:val="0"/>
          <w:color w:val="000000"/>
          <w:spacing w:val="-5"/>
          <w:kern w:val="0"/>
          <w:sz w:val="24"/>
          <w:szCs w:val="24"/>
          <w:highlight w:val="none"/>
          <w:lang w:eastAsia="en-US"/>
        </w:rPr>
        <w:t>代理人。代理人根据授权，以我方名义签署、</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澄清确认、递交、撤回、修改本项目投标文</w:t>
      </w:r>
      <w:r>
        <w:rPr>
          <w:rFonts w:ascii="宋体" w:hAnsi="宋体" w:eastAsia="宋体" w:cs="宋体"/>
          <w:snapToGrid w:val="0"/>
          <w:color w:val="000000"/>
          <w:spacing w:val="-3"/>
          <w:kern w:val="0"/>
          <w:sz w:val="24"/>
          <w:szCs w:val="24"/>
          <w:highlight w:val="none"/>
          <w:lang w:eastAsia="en-US"/>
        </w:rPr>
        <w:t>件、签订合同和处理有关事宜，其法律后果由我方</w:t>
      </w:r>
      <w:r>
        <w:rPr>
          <w:rFonts w:ascii="宋体" w:hAnsi="宋体" w:eastAsia="宋体" w:cs="宋体"/>
          <w:snapToGrid w:val="0"/>
          <w:color w:val="000000"/>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委托期限：</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 应</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r>
        <w:rPr>
          <w:rFonts w:ascii="宋体" w:hAnsi="宋体" w:eastAsia="宋体" w:cs="宋体"/>
          <w:snapToGrid w:val="0"/>
          <w:color w:val="000000"/>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kern w:val="0"/>
          <w:sz w:val="24"/>
          <w:szCs w:val="24"/>
          <w:highlight w:val="none"/>
          <w:lang w:eastAsia="en-US"/>
        </w:rPr>
        <w:t>法定代表人（单位负责人</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委托代理人</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ascii="Arial" w:hAnsi="Arial" w:eastAsia="Arial" w:cs="Arial"/>
          <w:snapToGrid w:val="0"/>
          <w:color w:val="000000"/>
          <w:kern w:val="0"/>
          <w:sz w:val="21"/>
          <w:szCs w:val="21"/>
          <w:highlight w:val="none"/>
          <w:lang w:val="en-US" w:eastAsia="en-US" w:bidi="ar-SA"/>
        </w:rPr>
      </w:pPr>
    </w:p>
    <w:p w14:paraId="3F433905">
      <w:pPr>
        <w:pStyle w:val="24"/>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691FCA12">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3"/>
          <w:kern w:val="0"/>
          <w:sz w:val="24"/>
          <w:szCs w:val="24"/>
          <w:highlight w:val="none"/>
          <w:lang w:eastAsia="en-US"/>
        </w:rPr>
        <w:t>（所有成员单位名称）自愿组成</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（联合体名称）联合体，共同</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参加</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（项目名称）投标。现就联</w:t>
      </w:r>
      <w:r>
        <w:rPr>
          <w:rFonts w:ascii="宋体" w:hAnsi="宋体" w:eastAsia="宋体" w:cs="宋体"/>
          <w:snapToGrid w:val="0"/>
          <w:color w:val="000000"/>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 xml:space="preserve">1.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（某成员单位名称）为</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 联合体各成员授权牵头人代表联合体参加投标活动，签署文件，提交和接收相关的资</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料、信息及指示，进行合同谈判活动，负责</w:t>
      </w:r>
      <w:r>
        <w:rPr>
          <w:rFonts w:ascii="宋体" w:hAnsi="宋体" w:eastAsia="宋体" w:cs="宋体"/>
          <w:snapToGrid w:val="0"/>
          <w:color w:val="000000"/>
          <w:spacing w:val="-3"/>
          <w:kern w:val="0"/>
          <w:sz w:val="24"/>
          <w:szCs w:val="24"/>
          <w:highlight w:val="none"/>
          <w:lang w:eastAsia="en-US"/>
        </w:rPr>
        <w:t>合同实施阶段的组织和协调工作，以及处理与本招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 联合体牵头人在本项目中签署的一切文件和处理的一切事宜，联合体各成员均予以承</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认。联合体各成员将严格按照招标文件、投</w:t>
      </w:r>
      <w:r>
        <w:rPr>
          <w:rFonts w:ascii="宋体" w:hAnsi="宋体" w:eastAsia="宋体" w:cs="宋体"/>
          <w:snapToGrid w:val="0"/>
          <w:color w:val="000000"/>
          <w:spacing w:val="-3"/>
          <w:kern w:val="0"/>
          <w:sz w:val="24"/>
          <w:szCs w:val="24"/>
          <w:highlight w:val="none"/>
          <w:lang w:eastAsia="en-US"/>
        </w:rPr>
        <w:t>标文件和合同的要求全面履行义务，并向采购人承</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 联合体各成员单位内部的职责分工如下：</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5. 本协议书自所有成员单位法定代表人（单位负责人）或其委托代理人签字或盖单位章</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 本协议书一式</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ascii="Arial" w:hAnsi="Arial" w:eastAsia="Arial" w:cs="Arial"/>
          <w:snapToGrid w:val="0"/>
          <w:color w:val="000000"/>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注：本协议书由法定代表人（单位负责人）签字的，应附法定代表人（单位负责人）身份</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联合体牵头人名称</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w:t>
      </w:r>
      <w:bookmarkStart w:id="126" w:name="_GoBack"/>
      <w:bookmarkEnd w:id="126"/>
      <w:r>
        <w:rPr>
          <w:rFonts w:ascii="宋体" w:hAnsi="宋体" w:eastAsia="宋体" w:cs="宋体"/>
          <w:snapToGrid w:val="0"/>
          <w:color w:val="000000"/>
          <w:spacing w:val="2"/>
          <w:kern w:val="0"/>
          <w:sz w:val="24"/>
          <w:szCs w:val="24"/>
          <w:highlight w:val="none"/>
          <w:lang w:eastAsia="en-US"/>
        </w:rPr>
        <w:t>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3FF0965B">
      <w:pPr>
        <w:pStyle w:val="24"/>
        <w:jc w:val="right"/>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年</w:t>
      </w:r>
      <w:r>
        <w:rPr>
          <w:rFonts w:ascii="宋体" w:hAnsi="宋体" w:eastAsia="宋体" w:cs="宋体"/>
          <w:snapToGrid w:val="0"/>
          <w:color w:val="000000"/>
          <w:spacing w:val="19"/>
          <w:kern w:val="0"/>
          <w:sz w:val="24"/>
          <w:szCs w:val="24"/>
          <w:highlight w:val="none"/>
          <w:u w:val="single" w:color="auto"/>
          <w:lang w:eastAsia="en-US"/>
        </w:rPr>
        <w:t xml:space="preserve">      </w:t>
      </w:r>
      <w:r>
        <w:rPr>
          <w:rFonts w:ascii="宋体" w:hAnsi="宋体" w:eastAsia="宋体" w:cs="宋体"/>
          <w:snapToGrid w:val="0"/>
          <w:color w:val="000000"/>
          <w:spacing w:val="-9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日</w:t>
      </w:r>
    </w:p>
    <w:p w14:paraId="50D9416C">
      <w:pPr>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spacing w:val="-26"/>
          <w:kern w:val="0"/>
          <w:sz w:val="24"/>
          <w:szCs w:val="24"/>
          <w:highlight w:val="none"/>
          <w:lang w:eastAsia="en-US"/>
        </w:rPr>
        <w:br w:type="page"/>
      </w:r>
    </w:p>
    <w:p w14:paraId="48FF7E06">
      <w:pPr>
        <w:pStyle w:val="24"/>
        <w:jc w:val="center"/>
        <w:rPr>
          <w:rFonts w:ascii="宋体" w:hAnsi="宋体" w:eastAsia="宋体" w:cs="宋体"/>
          <w:b/>
          <w:bCs/>
          <w:spacing w:val="4"/>
          <w:sz w:val="31"/>
          <w:szCs w:val="31"/>
          <w:highlight w:val="none"/>
        </w:rPr>
      </w:pPr>
      <w:r>
        <w:rPr>
          <w:rFonts w:ascii="宋体" w:hAnsi="宋体" w:eastAsia="宋体" w:cs="宋体"/>
          <w:b/>
          <w:bCs/>
          <w:spacing w:val="4"/>
          <w:sz w:val="30"/>
          <w:szCs w:val="30"/>
          <w:highlight w:val="none"/>
        </w:rPr>
        <w:t>五、</w:t>
      </w:r>
      <w:r>
        <w:rPr>
          <w:rFonts w:ascii="宋体" w:hAnsi="宋体" w:eastAsia="宋体" w:cs="宋体"/>
          <w:b/>
          <w:bCs/>
          <w:spacing w:val="4"/>
          <w:sz w:val="31"/>
          <w:szCs w:val="31"/>
          <w:highlight w:val="none"/>
        </w:rPr>
        <w:t>投标保证金缴存凭证</w:t>
      </w:r>
      <w:r>
        <w:rPr>
          <w:rFonts w:ascii="宋体" w:hAnsi="宋体" w:eastAsia="宋体" w:cs="宋体"/>
          <w:b/>
          <w:bCs/>
          <w:snapToGrid w:val="0"/>
          <w:color w:val="000000"/>
          <w:spacing w:val="-5"/>
          <w:kern w:val="0"/>
          <w:sz w:val="30"/>
          <w:szCs w:val="30"/>
          <w:highlight w:val="none"/>
          <w:lang w:eastAsia="en-US"/>
        </w:rPr>
        <w:t>（本项目不适用）</w:t>
      </w:r>
    </w:p>
    <w:p w14:paraId="0F5DB7A3">
      <w:pPr>
        <w:rPr>
          <w:rFonts w:ascii="宋体" w:hAnsi="宋体" w:eastAsia="宋体" w:cs="宋体"/>
          <w:b/>
          <w:bCs/>
          <w:spacing w:val="4"/>
          <w:sz w:val="31"/>
          <w:szCs w:val="31"/>
          <w:highlight w:val="none"/>
        </w:rPr>
      </w:pPr>
      <w:r>
        <w:rPr>
          <w:rFonts w:ascii="宋体" w:hAnsi="宋体" w:eastAsia="宋体" w:cs="宋体"/>
          <w:b/>
          <w:bCs/>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000000"/>
          <w:kern w:val="0"/>
          <w:szCs w:val="21"/>
          <w:highlight w:val="none"/>
          <w:lang w:eastAsia="en-US"/>
        </w:rPr>
      </w:pPr>
    </w:p>
    <w:tbl>
      <w:tblPr>
        <w:tblStyle w:val="22"/>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序号</w:t>
            </w:r>
          </w:p>
        </w:tc>
        <w:tc>
          <w:tcPr>
            <w:tcW w:w="3071" w:type="dxa"/>
            <w:vAlign w:val="center"/>
          </w:tcPr>
          <w:p w14:paraId="1F22E707">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采购文件章节及条款号</w:t>
            </w:r>
          </w:p>
        </w:tc>
        <w:tc>
          <w:tcPr>
            <w:tcW w:w="3395" w:type="dxa"/>
            <w:vAlign w:val="center"/>
          </w:tcPr>
          <w:p w14:paraId="395501A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响应文件章节及条款号</w:t>
            </w:r>
          </w:p>
        </w:tc>
        <w:tc>
          <w:tcPr>
            <w:tcW w:w="1854" w:type="dxa"/>
            <w:vAlign w:val="center"/>
          </w:tcPr>
          <w:p w14:paraId="20EA18A9">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偏离情况</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1</w:t>
            </w:r>
          </w:p>
        </w:tc>
        <w:tc>
          <w:tcPr>
            <w:tcW w:w="3071" w:type="dxa"/>
            <w:vAlign w:val="center"/>
          </w:tcPr>
          <w:p w14:paraId="75D82F4B">
            <w:pPr>
              <w:jc w:val="center"/>
              <w:rPr>
                <w:rFonts w:hint="eastAsia" w:ascii="宋体" w:hAnsi="宋体" w:eastAsia="宋体" w:cs="宋体"/>
                <w:sz w:val="24"/>
                <w:szCs w:val="24"/>
                <w:highlight w:val="none"/>
                <w:lang w:eastAsia="zh-CN"/>
              </w:rPr>
            </w:pPr>
          </w:p>
        </w:tc>
        <w:tc>
          <w:tcPr>
            <w:tcW w:w="3395" w:type="dxa"/>
            <w:vAlign w:val="center"/>
          </w:tcPr>
          <w:p w14:paraId="7B214005">
            <w:pPr>
              <w:jc w:val="center"/>
              <w:rPr>
                <w:rFonts w:hint="eastAsia" w:ascii="宋体" w:hAnsi="宋体" w:eastAsia="宋体" w:cs="宋体"/>
                <w:sz w:val="24"/>
                <w:szCs w:val="24"/>
                <w:highlight w:val="none"/>
                <w:lang w:eastAsia="en-US"/>
              </w:rPr>
            </w:pPr>
          </w:p>
        </w:tc>
        <w:tc>
          <w:tcPr>
            <w:tcW w:w="1854" w:type="dxa"/>
            <w:vAlign w:val="center"/>
          </w:tcPr>
          <w:p w14:paraId="109E6219">
            <w:pPr>
              <w:jc w:val="center"/>
              <w:rPr>
                <w:rFonts w:hint="eastAsia" w:ascii="宋体" w:hAnsi="宋体" w:eastAsia="宋体" w:cs="宋体"/>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w:t>
            </w:r>
          </w:p>
        </w:tc>
        <w:tc>
          <w:tcPr>
            <w:tcW w:w="3071" w:type="dxa"/>
            <w:vAlign w:val="center"/>
          </w:tcPr>
          <w:p w14:paraId="1FCCFA36">
            <w:pPr>
              <w:jc w:val="center"/>
              <w:rPr>
                <w:rFonts w:hint="eastAsia" w:ascii="宋体" w:hAnsi="宋体" w:eastAsia="宋体" w:cs="宋体"/>
                <w:sz w:val="24"/>
                <w:szCs w:val="24"/>
                <w:highlight w:val="none"/>
                <w:lang w:eastAsia="en-US"/>
              </w:rPr>
            </w:pPr>
          </w:p>
        </w:tc>
        <w:tc>
          <w:tcPr>
            <w:tcW w:w="3395" w:type="dxa"/>
            <w:vAlign w:val="center"/>
          </w:tcPr>
          <w:p w14:paraId="1DD9CDC2">
            <w:pPr>
              <w:jc w:val="center"/>
              <w:rPr>
                <w:rFonts w:hint="eastAsia" w:ascii="宋体" w:hAnsi="宋体" w:eastAsia="宋体" w:cs="宋体"/>
                <w:sz w:val="24"/>
                <w:szCs w:val="24"/>
                <w:highlight w:val="none"/>
                <w:lang w:eastAsia="en-US"/>
              </w:rPr>
            </w:pPr>
          </w:p>
        </w:tc>
        <w:tc>
          <w:tcPr>
            <w:tcW w:w="1854" w:type="dxa"/>
            <w:vAlign w:val="center"/>
          </w:tcPr>
          <w:p w14:paraId="422FF89B">
            <w:pPr>
              <w:jc w:val="center"/>
              <w:rPr>
                <w:rFonts w:hint="eastAsia" w:ascii="宋体" w:hAnsi="宋体" w:eastAsia="宋体" w:cs="宋体"/>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3</w:t>
            </w:r>
          </w:p>
        </w:tc>
        <w:tc>
          <w:tcPr>
            <w:tcW w:w="3071" w:type="dxa"/>
            <w:vAlign w:val="center"/>
          </w:tcPr>
          <w:p w14:paraId="58A1FF25">
            <w:pPr>
              <w:jc w:val="center"/>
              <w:rPr>
                <w:rFonts w:hint="eastAsia" w:ascii="宋体" w:hAnsi="宋体" w:eastAsia="宋体" w:cs="宋体"/>
                <w:sz w:val="24"/>
                <w:szCs w:val="24"/>
                <w:highlight w:val="none"/>
                <w:lang w:eastAsia="en-US"/>
              </w:rPr>
            </w:pPr>
          </w:p>
        </w:tc>
        <w:tc>
          <w:tcPr>
            <w:tcW w:w="3395" w:type="dxa"/>
            <w:vAlign w:val="center"/>
          </w:tcPr>
          <w:p w14:paraId="7A9DF6BE">
            <w:pPr>
              <w:jc w:val="center"/>
              <w:rPr>
                <w:rFonts w:hint="eastAsia" w:ascii="宋体" w:hAnsi="宋体" w:eastAsia="宋体" w:cs="宋体"/>
                <w:sz w:val="24"/>
                <w:szCs w:val="24"/>
                <w:highlight w:val="none"/>
                <w:lang w:eastAsia="en-US"/>
              </w:rPr>
            </w:pPr>
          </w:p>
        </w:tc>
        <w:tc>
          <w:tcPr>
            <w:tcW w:w="1854" w:type="dxa"/>
            <w:vAlign w:val="center"/>
          </w:tcPr>
          <w:p w14:paraId="3CDBC8BA">
            <w:pPr>
              <w:jc w:val="center"/>
              <w:rPr>
                <w:rFonts w:hint="eastAsia" w:ascii="宋体" w:hAnsi="宋体" w:eastAsia="宋体" w:cs="宋体"/>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4</w:t>
            </w:r>
          </w:p>
        </w:tc>
        <w:tc>
          <w:tcPr>
            <w:tcW w:w="3071" w:type="dxa"/>
            <w:vAlign w:val="center"/>
          </w:tcPr>
          <w:p w14:paraId="6F7EC2C1">
            <w:pPr>
              <w:jc w:val="center"/>
              <w:rPr>
                <w:rFonts w:hint="eastAsia" w:ascii="宋体" w:hAnsi="宋体" w:eastAsia="宋体" w:cs="宋体"/>
                <w:sz w:val="24"/>
                <w:szCs w:val="24"/>
                <w:highlight w:val="none"/>
                <w:lang w:eastAsia="zh-CN"/>
              </w:rPr>
            </w:pPr>
          </w:p>
        </w:tc>
        <w:tc>
          <w:tcPr>
            <w:tcW w:w="3395" w:type="dxa"/>
            <w:vAlign w:val="center"/>
          </w:tcPr>
          <w:p w14:paraId="6308F538">
            <w:pPr>
              <w:jc w:val="center"/>
              <w:rPr>
                <w:rFonts w:hint="eastAsia" w:ascii="宋体" w:hAnsi="宋体" w:eastAsia="宋体" w:cs="宋体"/>
                <w:sz w:val="24"/>
                <w:szCs w:val="24"/>
                <w:highlight w:val="none"/>
                <w:lang w:eastAsia="en-US"/>
              </w:rPr>
            </w:pPr>
          </w:p>
        </w:tc>
        <w:tc>
          <w:tcPr>
            <w:tcW w:w="1854" w:type="dxa"/>
            <w:vAlign w:val="center"/>
          </w:tcPr>
          <w:p w14:paraId="0DFEA786">
            <w:pPr>
              <w:jc w:val="center"/>
              <w:rPr>
                <w:rFonts w:hint="eastAsia" w:ascii="宋体" w:hAnsi="宋体" w:eastAsia="宋体" w:cs="宋体"/>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5</w:t>
            </w:r>
          </w:p>
        </w:tc>
        <w:tc>
          <w:tcPr>
            <w:tcW w:w="3071" w:type="dxa"/>
            <w:vAlign w:val="center"/>
          </w:tcPr>
          <w:p w14:paraId="1EE42A8B">
            <w:pPr>
              <w:jc w:val="center"/>
              <w:rPr>
                <w:rFonts w:hint="default" w:ascii="宋体" w:hAnsi="宋体" w:eastAsia="宋体" w:cs="宋体"/>
                <w:sz w:val="24"/>
                <w:szCs w:val="24"/>
                <w:highlight w:val="none"/>
                <w:lang w:val="en-US" w:eastAsia="zh-CN"/>
              </w:rPr>
            </w:pPr>
          </w:p>
        </w:tc>
        <w:tc>
          <w:tcPr>
            <w:tcW w:w="3395" w:type="dxa"/>
            <w:vAlign w:val="center"/>
          </w:tcPr>
          <w:p w14:paraId="3169AE31">
            <w:pPr>
              <w:jc w:val="center"/>
              <w:rPr>
                <w:rFonts w:hint="eastAsia" w:ascii="宋体" w:hAnsi="宋体" w:eastAsia="宋体" w:cs="宋体"/>
                <w:sz w:val="24"/>
                <w:szCs w:val="24"/>
                <w:highlight w:val="none"/>
                <w:lang w:eastAsia="en-US"/>
              </w:rPr>
            </w:pPr>
          </w:p>
        </w:tc>
        <w:tc>
          <w:tcPr>
            <w:tcW w:w="1854" w:type="dxa"/>
            <w:vAlign w:val="center"/>
          </w:tcPr>
          <w:p w14:paraId="3B1FC524">
            <w:pPr>
              <w:jc w:val="center"/>
              <w:rPr>
                <w:rFonts w:hint="eastAsia" w:ascii="宋体" w:hAnsi="宋体" w:eastAsia="宋体" w:cs="宋体"/>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71" w:type="dxa"/>
            <w:vAlign w:val="center"/>
          </w:tcPr>
          <w:p w14:paraId="5BA27B65">
            <w:pPr>
              <w:jc w:val="center"/>
              <w:rPr>
                <w:rFonts w:hint="eastAsia" w:ascii="宋体" w:hAnsi="宋体" w:eastAsia="宋体" w:cs="宋体"/>
                <w:sz w:val="24"/>
                <w:szCs w:val="24"/>
                <w:highlight w:val="none"/>
                <w:lang w:eastAsia="en-US"/>
              </w:rPr>
            </w:pPr>
          </w:p>
        </w:tc>
        <w:tc>
          <w:tcPr>
            <w:tcW w:w="3395" w:type="dxa"/>
            <w:vAlign w:val="center"/>
          </w:tcPr>
          <w:p w14:paraId="59FC307D">
            <w:pPr>
              <w:jc w:val="center"/>
              <w:rPr>
                <w:rFonts w:hint="eastAsia" w:ascii="宋体" w:hAnsi="宋体" w:eastAsia="宋体" w:cs="宋体"/>
                <w:sz w:val="24"/>
                <w:szCs w:val="24"/>
                <w:highlight w:val="none"/>
                <w:lang w:eastAsia="en-US"/>
              </w:rPr>
            </w:pPr>
          </w:p>
        </w:tc>
        <w:tc>
          <w:tcPr>
            <w:tcW w:w="1854" w:type="dxa"/>
            <w:vAlign w:val="center"/>
          </w:tcPr>
          <w:p w14:paraId="6301EA68">
            <w:pPr>
              <w:jc w:val="center"/>
              <w:rPr>
                <w:rFonts w:hint="eastAsia" w:ascii="宋体" w:hAnsi="宋体" w:eastAsia="宋体" w:cs="宋体"/>
                <w:sz w:val="24"/>
                <w:szCs w:val="24"/>
                <w:highlight w:val="none"/>
                <w:lang w:eastAsia="en-US"/>
              </w:rPr>
            </w:pPr>
          </w:p>
        </w:tc>
      </w:tr>
      <w:tr w14:paraId="7301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E7813E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w:t>
            </w:r>
          </w:p>
        </w:tc>
        <w:tc>
          <w:tcPr>
            <w:tcW w:w="3071" w:type="dxa"/>
            <w:vAlign w:val="center"/>
          </w:tcPr>
          <w:p w14:paraId="500B2B05">
            <w:pPr>
              <w:jc w:val="center"/>
              <w:rPr>
                <w:rFonts w:hint="eastAsia" w:ascii="宋体" w:hAnsi="宋体" w:eastAsia="宋体" w:cs="宋体"/>
                <w:sz w:val="24"/>
                <w:szCs w:val="24"/>
                <w:highlight w:val="none"/>
                <w:lang w:eastAsia="en-US"/>
              </w:rPr>
            </w:pPr>
          </w:p>
        </w:tc>
        <w:tc>
          <w:tcPr>
            <w:tcW w:w="3395" w:type="dxa"/>
            <w:vAlign w:val="center"/>
          </w:tcPr>
          <w:p w14:paraId="46FE95C3">
            <w:pPr>
              <w:jc w:val="center"/>
              <w:rPr>
                <w:rFonts w:hint="eastAsia" w:ascii="宋体" w:hAnsi="宋体" w:eastAsia="宋体" w:cs="宋体"/>
                <w:sz w:val="24"/>
                <w:szCs w:val="24"/>
                <w:highlight w:val="none"/>
                <w:lang w:eastAsia="en-US"/>
              </w:rPr>
            </w:pPr>
          </w:p>
        </w:tc>
        <w:tc>
          <w:tcPr>
            <w:tcW w:w="1854" w:type="dxa"/>
            <w:vAlign w:val="center"/>
          </w:tcPr>
          <w:p w14:paraId="5A352C58">
            <w:pPr>
              <w:jc w:val="center"/>
              <w:rPr>
                <w:rFonts w:hint="eastAsia" w:ascii="宋体" w:hAnsi="宋体" w:eastAsia="宋体" w:cs="宋体"/>
                <w:sz w:val="24"/>
                <w:szCs w:val="24"/>
                <w:highlight w:val="none"/>
                <w:lang w:eastAsia="en-US"/>
              </w:rPr>
            </w:pPr>
          </w:p>
        </w:tc>
      </w:tr>
    </w:tbl>
    <w:p w14:paraId="3B1A2D8F">
      <w:pPr>
        <w:rPr>
          <w:rFonts w:hint="eastAsia"/>
          <w:sz w:val="24"/>
          <w:szCs w:val="24"/>
          <w:highlight w:val="none"/>
          <w:lang w:eastAsia="en-US"/>
        </w:rPr>
      </w:pPr>
    </w:p>
    <w:p w14:paraId="25D73456">
      <w:pPr>
        <w:bidi w:val="0"/>
        <w:rPr>
          <w:rFonts w:hint="eastAsia" w:ascii="宋体" w:hAnsi="宋体" w:eastAsia="宋体" w:cs="宋体"/>
          <w:sz w:val="24"/>
          <w:szCs w:val="24"/>
          <w:lang w:eastAsia="en-US"/>
        </w:rPr>
      </w:pPr>
      <w:r>
        <w:rPr>
          <w:rFonts w:hint="eastAsia" w:ascii="宋体" w:hAnsi="宋体" w:eastAsia="宋体" w:cs="宋体"/>
          <w:sz w:val="24"/>
          <w:szCs w:val="24"/>
          <w:lang w:eastAsia="en-US"/>
        </w:rPr>
        <w:t>注:如供应商提交的商务/技术条款与采购文件的要求存在偏离，需在偏 离一栏中详细说明。上述条款若无偏离，请在上述表内注明“无偏离”或“/”， 未填写视为不响应采购文件。以上有一项负偏离视为不响应采购文件。</w:t>
      </w:r>
    </w:p>
    <w:p w14:paraId="1306D014">
      <w:pPr>
        <w:jc w:val="center"/>
        <w:rPr>
          <w:rFonts w:hint="eastAsia" w:ascii="宋体" w:hAnsi="宋体" w:eastAsia="宋体" w:cs="宋体"/>
          <w:b/>
          <w:bCs/>
          <w:snapToGrid w:val="0"/>
          <w:color w:val="000000"/>
          <w:spacing w:val="-4"/>
          <w:kern w:val="0"/>
          <w:sz w:val="30"/>
          <w:szCs w:val="30"/>
          <w:highlight w:val="none"/>
          <w:lang w:eastAsia="en-US"/>
        </w:rPr>
      </w:pPr>
    </w:p>
    <w:p w14:paraId="1800AB02">
      <w:pPr>
        <w:jc w:val="center"/>
        <w:rPr>
          <w:rFonts w:hint="eastAsia" w:ascii="宋体" w:hAnsi="宋体" w:eastAsia="宋体" w:cs="宋体"/>
          <w:b/>
          <w:bCs/>
          <w:snapToGrid w:val="0"/>
          <w:color w:val="000000"/>
          <w:spacing w:val="-4"/>
          <w:kern w:val="0"/>
          <w:sz w:val="30"/>
          <w:szCs w:val="30"/>
          <w:highlight w:val="none"/>
          <w:lang w:eastAsia="en-US"/>
        </w:rPr>
      </w:pPr>
    </w:p>
    <w:p w14:paraId="700B047A">
      <w:pPr>
        <w:jc w:val="center"/>
        <w:rPr>
          <w:rFonts w:hint="eastAsia" w:ascii="宋体" w:hAnsi="宋体" w:eastAsia="宋体" w:cs="宋体"/>
          <w:b/>
          <w:bCs/>
          <w:snapToGrid w:val="0"/>
          <w:color w:val="000000"/>
          <w:spacing w:val="-4"/>
          <w:kern w:val="0"/>
          <w:sz w:val="30"/>
          <w:szCs w:val="30"/>
          <w:highlight w:val="none"/>
          <w:lang w:eastAsia="en-US"/>
        </w:rPr>
      </w:pPr>
    </w:p>
    <w:p w14:paraId="05D0EE6A">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en-US" w:bidi="ar-SA"/>
        </w:rPr>
        <w:t>供应商</w:t>
      </w:r>
      <w:r>
        <w:rPr>
          <w:rFonts w:hint="eastAsia" w:ascii="宋体" w:hAnsi="宋体" w:eastAsia="宋体" w:cs="宋体"/>
          <w:b w:val="0"/>
          <w:bCs/>
          <w:color w:val="auto"/>
          <w:kern w:val="0"/>
          <w:sz w:val="24"/>
          <w:szCs w:val="24"/>
          <w:highlight w:val="none"/>
          <w:lang w:val="en-US" w:eastAsia="zh-CN" w:bidi="ar-SA"/>
        </w:rPr>
        <w:t>（公章）：</w:t>
      </w:r>
    </w:p>
    <w:p w14:paraId="4A791DBF">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3D054D80">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5FEE4381">
      <w:pPr>
        <w:jc w:val="center"/>
        <w:rPr>
          <w:rFonts w:hint="eastAsia" w:ascii="宋体" w:hAnsi="宋体" w:eastAsia="宋体" w:cs="宋体"/>
          <w:b/>
          <w:bCs/>
          <w:snapToGrid w:val="0"/>
          <w:color w:val="000000"/>
          <w:spacing w:val="-4"/>
          <w:kern w:val="0"/>
          <w:sz w:val="30"/>
          <w:szCs w:val="30"/>
          <w:highlight w:val="none"/>
          <w:lang w:eastAsia="en-US"/>
        </w:rPr>
      </w:pPr>
    </w:p>
    <w:p w14:paraId="20898CF9">
      <w:pPr>
        <w:jc w:val="center"/>
        <w:rPr>
          <w:rFonts w:hint="eastAsia" w:ascii="宋体" w:hAnsi="宋体" w:eastAsia="宋体" w:cs="宋体"/>
          <w:b/>
          <w:bCs/>
          <w:snapToGrid w:val="0"/>
          <w:color w:val="000000"/>
          <w:spacing w:val="-4"/>
          <w:kern w:val="0"/>
          <w:sz w:val="30"/>
          <w:szCs w:val="30"/>
          <w:highlight w:val="none"/>
          <w:lang w:eastAsia="en-US"/>
        </w:rPr>
      </w:pPr>
    </w:p>
    <w:p w14:paraId="28ED5B09">
      <w:pPr>
        <w:jc w:val="center"/>
        <w:rPr>
          <w:rFonts w:hint="eastAsia" w:ascii="宋体" w:hAnsi="宋体" w:eastAsia="宋体" w:cs="宋体"/>
          <w:b/>
          <w:bCs/>
          <w:snapToGrid w:val="0"/>
          <w:color w:val="000000"/>
          <w:spacing w:val="-4"/>
          <w:kern w:val="0"/>
          <w:sz w:val="30"/>
          <w:szCs w:val="30"/>
          <w:highlight w:val="none"/>
          <w:lang w:eastAsia="en-US"/>
        </w:rPr>
      </w:pPr>
    </w:p>
    <w:p w14:paraId="06E7573D">
      <w:pPr>
        <w:jc w:val="center"/>
        <w:rPr>
          <w:rFonts w:hint="eastAsia" w:ascii="宋体" w:hAnsi="宋体" w:eastAsia="宋体" w:cs="宋体"/>
          <w:b/>
          <w:bCs/>
          <w:snapToGrid w:val="0"/>
          <w:color w:val="000000"/>
          <w:spacing w:val="-4"/>
          <w:kern w:val="0"/>
          <w:sz w:val="30"/>
          <w:szCs w:val="30"/>
          <w:highlight w:val="none"/>
          <w:lang w:eastAsia="en-US"/>
        </w:rPr>
      </w:pPr>
    </w:p>
    <w:p w14:paraId="5D5106DE">
      <w:pPr>
        <w:jc w:val="center"/>
        <w:rPr>
          <w:rFonts w:hint="eastAsia" w:ascii="宋体" w:hAnsi="宋体" w:eastAsia="宋体" w:cs="宋体"/>
          <w:b/>
          <w:bCs/>
          <w:snapToGrid w:val="0"/>
          <w:color w:val="000000"/>
          <w:spacing w:val="-4"/>
          <w:kern w:val="0"/>
          <w:sz w:val="30"/>
          <w:szCs w:val="30"/>
          <w:highlight w:val="none"/>
          <w:lang w:eastAsia="en-US"/>
        </w:rPr>
      </w:pPr>
    </w:p>
    <w:p w14:paraId="42E50F92">
      <w:pPr>
        <w:jc w:val="center"/>
        <w:rPr>
          <w:rFonts w:hint="eastAsia" w:ascii="宋体" w:hAnsi="宋体" w:eastAsia="宋体" w:cs="宋体"/>
          <w:b/>
          <w:bCs/>
          <w:snapToGrid w:val="0"/>
          <w:color w:val="000000"/>
          <w:spacing w:val="-4"/>
          <w:kern w:val="0"/>
          <w:sz w:val="30"/>
          <w:szCs w:val="30"/>
          <w:highlight w:val="none"/>
          <w:lang w:eastAsia="en-US"/>
        </w:rPr>
      </w:pPr>
    </w:p>
    <w:p w14:paraId="772068D8">
      <w:pPr>
        <w:jc w:val="center"/>
        <w:rPr>
          <w:rFonts w:hint="eastAsia" w:ascii="宋体" w:hAnsi="宋体" w:eastAsia="宋体" w:cs="宋体"/>
          <w:b/>
          <w:bCs/>
          <w:snapToGrid w:val="0"/>
          <w:color w:val="000000"/>
          <w:spacing w:val="-4"/>
          <w:kern w:val="0"/>
          <w:sz w:val="30"/>
          <w:szCs w:val="30"/>
          <w:highlight w:val="none"/>
          <w:lang w:eastAsia="en-US"/>
        </w:rPr>
      </w:pPr>
    </w:p>
    <w:p w14:paraId="15C22A58">
      <w:pPr>
        <w:jc w:val="center"/>
        <w:rPr>
          <w:rFonts w:hint="eastAsia" w:ascii="宋体" w:hAnsi="宋体" w:eastAsia="宋体" w:cs="宋体"/>
          <w:b/>
          <w:bCs/>
          <w:snapToGrid w:val="0"/>
          <w:color w:val="000000"/>
          <w:spacing w:val="-4"/>
          <w:kern w:val="0"/>
          <w:sz w:val="30"/>
          <w:szCs w:val="30"/>
          <w:highlight w:val="none"/>
          <w:lang w:eastAsia="en-US"/>
        </w:rPr>
      </w:pPr>
    </w:p>
    <w:p w14:paraId="66BBA211">
      <w:pPr>
        <w:jc w:val="both"/>
        <w:rPr>
          <w:rFonts w:hint="eastAsia" w:ascii="宋体" w:hAnsi="宋体" w:eastAsia="宋体" w:cs="宋体"/>
          <w:b/>
          <w:bCs/>
          <w:snapToGrid w:val="0"/>
          <w:color w:val="000000"/>
          <w:spacing w:val="-4"/>
          <w:kern w:val="0"/>
          <w:sz w:val="30"/>
          <w:szCs w:val="30"/>
          <w:highlight w:val="none"/>
          <w:lang w:eastAsia="en-US"/>
        </w:rPr>
      </w:pPr>
    </w:p>
    <w:p w14:paraId="566E02C9">
      <w:pPr>
        <w:jc w:val="center"/>
        <w:rPr>
          <w:rFonts w:hint="eastAsia" w:ascii="仿宋" w:hAnsi="仿宋" w:eastAsia="仿宋" w:cs="仿宋"/>
          <w:b/>
          <w:bCs/>
          <w:color w:val="auto"/>
          <w:sz w:val="30"/>
          <w:szCs w:val="30"/>
          <w:lang w:val="en-US" w:eastAsia="zh-CN"/>
        </w:rPr>
      </w:pPr>
      <w:r>
        <w:rPr>
          <w:rFonts w:ascii="宋体" w:hAnsi="宋体" w:eastAsia="宋体" w:cs="宋体"/>
          <w:b/>
          <w:bCs/>
          <w:snapToGrid w:val="0"/>
          <w:color w:val="000000"/>
          <w:spacing w:val="-4"/>
          <w:kern w:val="0"/>
          <w:sz w:val="30"/>
          <w:szCs w:val="30"/>
          <w:highlight w:val="none"/>
          <w:lang w:eastAsia="en-US"/>
        </w:rPr>
        <w:t>七、</w:t>
      </w:r>
      <w:r>
        <w:rPr>
          <w:rFonts w:hint="eastAsia" w:ascii="宋体" w:hAnsi="宋体" w:eastAsia="宋体" w:cs="宋体"/>
          <w:b/>
          <w:bCs/>
          <w:snapToGrid w:val="0"/>
          <w:color w:val="000000"/>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szCs w:val="22"/>
          <w:lang w:val="en-US" w:eastAsia="zh-CN"/>
        </w:rPr>
      </w:pPr>
    </w:p>
    <w:p w14:paraId="260FD5DE">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价格单位：</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74"/>
        <w:gridCol w:w="5108"/>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12" w:type="pct"/>
            <w:tcBorders>
              <w:bottom w:val="single" w:color="auto" w:sz="4" w:space="0"/>
            </w:tcBorders>
            <w:noWrap w:val="0"/>
            <w:vAlign w:val="center"/>
          </w:tcPr>
          <w:p w14:paraId="2233AA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p>
        </w:tc>
        <w:tc>
          <w:tcPr>
            <w:tcW w:w="3687" w:type="pct"/>
            <w:gridSpan w:val="2"/>
            <w:tcBorders>
              <w:bottom w:val="single" w:color="auto" w:sz="4" w:space="0"/>
            </w:tcBorders>
            <w:noWrap w:val="0"/>
            <w:vAlign w:val="center"/>
          </w:tcPr>
          <w:p w14:paraId="138404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60A7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312" w:type="pct"/>
            <w:vMerge w:val="restart"/>
            <w:noWrap w:val="0"/>
            <w:vAlign w:val="center"/>
          </w:tcPr>
          <w:p w14:paraId="2B8A33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w:t>
            </w:r>
          </w:p>
        </w:tc>
        <w:tc>
          <w:tcPr>
            <w:tcW w:w="689" w:type="pct"/>
            <w:noWrap w:val="0"/>
            <w:vAlign w:val="top"/>
          </w:tcPr>
          <w:p w14:paraId="69CDA0E2">
            <w:pPr>
              <w:jc w:val="center"/>
              <w:rPr>
                <w:rFonts w:hint="eastAsia" w:ascii="宋体" w:hAnsi="宋体" w:eastAsia="宋体" w:cs="宋体"/>
                <w:sz w:val="24"/>
                <w:szCs w:val="24"/>
                <w:highlight w:val="none"/>
                <w:lang w:val="en-US" w:eastAsia="zh-CN"/>
              </w:rPr>
            </w:pPr>
          </w:p>
          <w:p w14:paraId="4F50F98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牛肉类</w:t>
            </w:r>
          </w:p>
        </w:tc>
        <w:tc>
          <w:tcPr>
            <w:tcW w:w="2998" w:type="pct"/>
            <w:noWrap w:val="0"/>
            <w:vAlign w:val="top"/>
          </w:tcPr>
          <w:p w14:paraId="2EE2E131">
            <w:pPr>
              <w:jc w:val="left"/>
              <w:rPr>
                <w:rFonts w:hint="eastAsia" w:ascii="宋体" w:hAnsi="宋体" w:eastAsia="宋体" w:cs="宋体"/>
                <w:sz w:val="24"/>
                <w:szCs w:val="24"/>
                <w:highlight w:val="none"/>
                <w:lang w:val="en-US" w:eastAsia="zh-CN"/>
              </w:rPr>
            </w:pPr>
          </w:p>
          <w:p w14:paraId="4197B8D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下浮率：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p>
        </w:tc>
      </w:tr>
      <w:tr w14:paraId="5F49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312" w:type="pct"/>
            <w:vMerge w:val="continue"/>
            <w:noWrap w:val="0"/>
            <w:vAlign w:val="center"/>
          </w:tcPr>
          <w:p w14:paraId="5DCB3D28">
            <w:pPr>
              <w:jc w:val="left"/>
            </w:pPr>
          </w:p>
        </w:tc>
        <w:tc>
          <w:tcPr>
            <w:tcW w:w="689" w:type="pct"/>
            <w:noWrap w:val="0"/>
            <w:vAlign w:val="top"/>
          </w:tcPr>
          <w:p w14:paraId="1458A91E">
            <w:pPr>
              <w:jc w:val="left"/>
              <w:rPr>
                <w:rFonts w:hint="eastAsia"/>
                <w:lang w:val="en-US" w:eastAsia="zh-CN"/>
              </w:rPr>
            </w:pPr>
          </w:p>
          <w:p w14:paraId="790114FE">
            <w:pPr>
              <w:jc w:val="left"/>
            </w:pPr>
            <w:r>
              <w:rPr>
                <w:rFonts w:hint="eastAsia" w:ascii="宋体" w:hAnsi="宋体" w:eastAsia="宋体" w:cs="宋体"/>
                <w:sz w:val="24"/>
                <w:szCs w:val="24"/>
                <w:highlight w:val="none"/>
                <w:lang w:val="en-US" w:eastAsia="zh-CN"/>
              </w:rPr>
              <w:t>羊肉类</w:t>
            </w:r>
          </w:p>
        </w:tc>
        <w:tc>
          <w:tcPr>
            <w:tcW w:w="2998" w:type="pct"/>
            <w:noWrap w:val="0"/>
            <w:vAlign w:val="top"/>
          </w:tcPr>
          <w:p w14:paraId="6F3059A3">
            <w:pPr>
              <w:jc w:val="left"/>
              <w:rPr>
                <w:rFonts w:hint="eastAsia" w:ascii="宋体" w:hAnsi="宋体" w:eastAsia="宋体" w:cs="宋体"/>
                <w:sz w:val="24"/>
                <w:szCs w:val="24"/>
                <w:highlight w:val="none"/>
                <w:lang w:val="en-US" w:eastAsia="zh-CN"/>
              </w:rPr>
            </w:pPr>
          </w:p>
          <w:p w14:paraId="70F3C42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下浮率：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312" w:type="pct"/>
            <w:noWrap w:val="0"/>
            <w:vAlign w:val="top"/>
          </w:tcPr>
          <w:p w14:paraId="58187E2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w:t>
            </w:r>
          </w:p>
        </w:tc>
        <w:tc>
          <w:tcPr>
            <w:tcW w:w="3687" w:type="pct"/>
            <w:gridSpan w:val="2"/>
            <w:noWrap w:val="0"/>
            <w:vAlign w:val="top"/>
          </w:tcPr>
          <w:p w14:paraId="244D5A4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3"/>
            <w:noWrap w:val="0"/>
            <w:vAlign w:val="top"/>
          </w:tcPr>
          <w:p w14:paraId="5FE0FEA2">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 参照北园春网站（http://www.beiyuanchun.com/）最新公布的相应产品的“中间价”作为基准报下浮率 %</w:t>
            </w:r>
          </w:p>
        </w:tc>
      </w:tr>
    </w:tbl>
    <w:p w14:paraId="23924F13">
      <w:pPr>
        <w:jc w:val="both"/>
        <w:rPr>
          <w:rFonts w:hint="eastAsia" w:ascii="宋体" w:hAnsi="宋体" w:eastAsia="宋体" w:cs="宋体"/>
          <w:sz w:val="24"/>
          <w:szCs w:val="24"/>
          <w:highlight w:val="none"/>
          <w:lang w:val="en-US" w:eastAsia="zh-CN"/>
        </w:rPr>
      </w:pPr>
      <w:bookmarkStart w:id="124" w:name="_Toc485895993"/>
    </w:p>
    <w:p w14:paraId="4F5B2000">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7CC0E9E3">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1、投标人严格按照规定的格式填写。</w:t>
      </w:r>
    </w:p>
    <w:p w14:paraId="0A18C06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2、任何有选择或有条件的投标报价或表中某一包填写多个报价，均将导致投标被拒绝。</w:t>
      </w:r>
    </w:p>
    <w:p w14:paraId="3BCE40E0">
      <w:pPr>
        <w:jc w:val="center"/>
        <w:rPr>
          <w:rFonts w:hint="eastAsia" w:ascii="宋体" w:hAnsi="宋体" w:eastAsia="宋体" w:cs="宋体"/>
          <w:sz w:val="24"/>
          <w:szCs w:val="24"/>
          <w:highlight w:val="none"/>
          <w:lang w:val="en-US" w:eastAsia="zh-CN"/>
        </w:rPr>
      </w:pPr>
    </w:p>
    <w:p w14:paraId="12F1AFEF">
      <w:pPr>
        <w:jc w:val="center"/>
        <w:rPr>
          <w:rFonts w:hint="eastAsia" w:ascii="宋体" w:hAnsi="宋体" w:eastAsia="宋体" w:cs="宋体"/>
          <w:sz w:val="24"/>
          <w:szCs w:val="24"/>
          <w:highlight w:val="none"/>
          <w:lang w:val="en-US" w:eastAsia="zh-CN"/>
        </w:rPr>
      </w:pPr>
    </w:p>
    <w:p w14:paraId="0A5769FD">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en-US" w:bidi="ar-SA"/>
        </w:rPr>
        <w:t>供应商</w:t>
      </w:r>
      <w:r>
        <w:rPr>
          <w:rFonts w:hint="eastAsia" w:ascii="宋体" w:hAnsi="宋体" w:eastAsia="宋体" w:cs="宋体"/>
          <w:b w:val="0"/>
          <w:bCs/>
          <w:color w:val="auto"/>
          <w:kern w:val="0"/>
          <w:sz w:val="24"/>
          <w:szCs w:val="24"/>
          <w:highlight w:val="none"/>
          <w:lang w:val="en-US" w:eastAsia="zh-CN" w:bidi="ar-SA"/>
        </w:rPr>
        <w:t>（公章）：</w:t>
      </w:r>
    </w:p>
    <w:p w14:paraId="3FD5B32D">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2239C736">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5E499101">
      <w:pPr>
        <w:spacing w:line="360" w:lineRule="auto"/>
        <w:rPr>
          <w:rFonts w:hint="eastAsia" w:ascii="仿宋" w:hAnsi="仿宋" w:eastAsia="仿宋" w:cs="仿宋"/>
          <w:color w:val="auto"/>
          <w:sz w:val="28"/>
          <w:szCs w:val="22"/>
        </w:rPr>
      </w:pPr>
    </w:p>
    <w:p w14:paraId="355225B5">
      <w:pPr>
        <w:rPr>
          <w:rFonts w:hint="eastAsia" w:ascii="仿宋" w:hAnsi="仿宋" w:eastAsia="仿宋" w:cs="仿宋"/>
          <w:color w:val="auto"/>
          <w:szCs w:val="22"/>
        </w:rPr>
      </w:pPr>
    </w:p>
    <w:p w14:paraId="57B126B3">
      <w:pPr>
        <w:rPr>
          <w:rFonts w:hint="eastAsia" w:ascii="仿宋" w:hAnsi="仿宋" w:eastAsia="仿宋" w:cs="仿宋"/>
          <w:color w:val="auto"/>
          <w:szCs w:val="22"/>
        </w:rPr>
      </w:pPr>
    </w:p>
    <w:p w14:paraId="5996D4C0">
      <w:pPr>
        <w:rPr>
          <w:rFonts w:hint="eastAsia" w:ascii="仿宋" w:hAnsi="仿宋" w:eastAsia="仿宋" w:cs="仿宋"/>
          <w:color w:val="auto"/>
          <w:szCs w:val="22"/>
        </w:rPr>
      </w:pPr>
    </w:p>
    <w:p w14:paraId="320F9B75">
      <w:pPr>
        <w:rPr>
          <w:rFonts w:hint="eastAsia" w:ascii="仿宋" w:hAnsi="仿宋" w:eastAsia="仿宋" w:cs="仿宋"/>
          <w:color w:val="auto"/>
          <w:szCs w:val="22"/>
        </w:rPr>
      </w:pPr>
    </w:p>
    <w:p w14:paraId="1D4A8371">
      <w:pPr>
        <w:rPr>
          <w:rFonts w:hint="eastAsia" w:ascii="仿宋" w:hAnsi="仿宋" w:eastAsia="仿宋" w:cs="仿宋"/>
          <w:color w:val="auto"/>
          <w:szCs w:val="22"/>
        </w:rPr>
      </w:pPr>
    </w:p>
    <w:p w14:paraId="67E5CC7C">
      <w:pPr>
        <w:rPr>
          <w:rFonts w:hint="eastAsia" w:ascii="仿宋" w:hAnsi="仿宋" w:eastAsia="仿宋" w:cs="仿宋"/>
          <w:color w:val="auto"/>
          <w:szCs w:val="22"/>
        </w:rPr>
      </w:pPr>
    </w:p>
    <w:p w14:paraId="1BFAD184">
      <w:pPr>
        <w:rPr>
          <w:rFonts w:hint="eastAsia" w:ascii="仿宋" w:hAnsi="仿宋" w:eastAsia="仿宋" w:cs="仿宋"/>
          <w:color w:val="auto"/>
          <w:szCs w:val="22"/>
        </w:rPr>
      </w:pPr>
    </w:p>
    <w:p w14:paraId="6BA6E06A">
      <w:pPr>
        <w:rPr>
          <w:rFonts w:hint="eastAsia" w:ascii="仿宋" w:hAnsi="仿宋" w:eastAsia="仿宋" w:cs="仿宋"/>
          <w:color w:val="auto"/>
          <w:szCs w:val="22"/>
        </w:rPr>
      </w:pPr>
    </w:p>
    <w:p w14:paraId="3038D01D">
      <w:pPr>
        <w:rPr>
          <w:rFonts w:hint="eastAsia" w:ascii="仿宋" w:hAnsi="仿宋" w:eastAsia="仿宋" w:cs="仿宋"/>
          <w:color w:val="auto"/>
          <w:szCs w:val="22"/>
        </w:rPr>
      </w:pPr>
    </w:p>
    <w:p w14:paraId="7AD045C5">
      <w:pPr>
        <w:widowControl/>
        <w:autoSpaceDE w:val="0"/>
        <w:autoSpaceDN w:val="0"/>
        <w:adjustRightInd w:val="0"/>
        <w:spacing w:line="440" w:lineRule="exact"/>
        <w:ind w:right="-481"/>
        <w:jc w:val="center"/>
        <w:rPr>
          <w:rFonts w:hint="eastAsia" w:ascii="仿宋" w:hAnsi="仿宋" w:eastAsia="仿宋" w:cs="仿宋"/>
          <w:b/>
          <w:bCs/>
          <w:kern w:val="1"/>
          <w:sz w:val="24"/>
          <w:szCs w:val="24"/>
          <w:lang w:val="en-US" w:eastAsia="zh-CN"/>
        </w:rPr>
      </w:pPr>
    </w:p>
    <w:p w14:paraId="47751F0C">
      <w:pPr>
        <w:rPr>
          <w:rFonts w:hint="eastAsia" w:ascii="仿宋" w:hAnsi="仿宋" w:eastAsia="仿宋" w:cs="仿宋"/>
          <w:b/>
          <w:bCs/>
          <w:kern w:val="1"/>
          <w:sz w:val="24"/>
          <w:szCs w:val="24"/>
          <w:lang w:val="en-US" w:eastAsia="zh-CN"/>
        </w:rPr>
      </w:pPr>
    </w:p>
    <w:bookmarkEnd w:id="124"/>
    <w:p w14:paraId="7415B8B1">
      <w:pPr>
        <w:jc w:val="center"/>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供应商应根据供应商须知前附表要求提供相关证明材料。</w:t>
      </w:r>
    </w:p>
    <w:p w14:paraId="733F1E0D">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附件一：具备履行合同所必需的设备和专业</w:t>
      </w:r>
      <w:r>
        <w:rPr>
          <w:rFonts w:ascii="宋体" w:hAnsi="宋体" w:eastAsia="宋体" w:cs="宋体"/>
          <w:snapToGrid w:val="0"/>
          <w:color w:val="000000"/>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我单位郑重声明：我单位具备履行本项采购合同所必需的设备和专业技术能力，为履行本</w:t>
      </w:r>
      <w:r>
        <w:rPr>
          <w:rFonts w:ascii="宋体" w:hAnsi="宋体" w:eastAsia="宋体" w:cs="宋体"/>
          <w:snapToGrid w:val="0"/>
          <w:color w:val="000000"/>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主要设备有：</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主要专业技术能力有：</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61A97A1D">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附件二：参加政府采购活动前 3 年内在经营活动中没有重大</w:t>
      </w:r>
      <w:r>
        <w:rPr>
          <w:rFonts w:ascii="宋体" w:hAnsi="宋体" w:eastAsia="宋体" w:cs="宋体"/>
          <w:snapToGrid w:val="0"/>
          <w:color w:val="000000"/>
          <w:spacing w:val="-2"/>
          <w:kern w:val="0"/>
          <w:sz w:val="30"/>
          <w:szCs w:val="30"/>
          <w:highlight w:val="none"/>
          <w:lang w:eastAsia="en-US"/>
        </w:rPr>
        <w:t>违法记录的书</w:t>
      </w:r>
      <w:r>
        <w:rPr>
          <w:rFonts w:ascii="宋体" w:hAnsi="宋体" w:eastAsia="宋体" w:cs="宋体"/>
          <w:snapToGrid w:val="0"/>
          <w:color w:val="000000"/>
          <w:kern w:val="0"/>
          <w:sz w:val="30"/>
          <w:szCs w:val="30"/>
          <w:highlight w:val="none"/>
          <w:lang w:eastAsia="en-US"/>
        </w:rPr>
        <w:t xml:space="preserve"> </w:t>
      </w:r>
      <w:r>
        <w:rPr>
          <w:rFonts w:ascii="宋体" w:hAnsi="宋体" w:eastAsia="宋体" w:cs="宋体"/>
          <w:snapToGrid w:val="0"/>
          <w:color w:val="000000"/>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9"/>
          <w:kern w:val="0"/>
          <w:sz w:val="31"/>
          <w:szCs w:val="31"/>
          <w:highlight w:val="none"/>
          <w:lang w:eastAsia="en-US"/>
        </w:rPr>
        <w:t>声</w:t>
      </w:r>
      <w:r>
        <w:rPr>
          <w:rFonts w:ascii="宋体" w:hAnsi="宋体" w:eastAsia="宋体" w:cs="宋体"/>
          <w:snapToGrid w:val="0"/>
          <w:color w:val="000000"/>
          <w:spacing w:val="28"/>
          <w:kern w:val="0"/>
          <w:sz w:val="31"/>
          <w:szCs w:val="31"/>
          <w:highlight w:val="none"/>
          <w:lang w:eastAsia="en-US"/>
        </w:rPr>
        <w:t xml:space="preserve">  </w:t>
      </w:r>
      <w:r>
        <w:rPr>
          <w:rFonts w:ascii="宋体" w:hAnsi="宋体" w:eastAsia="宋体" w:cs="宋体"/>
          <w:b/>
          <w:bCs/>
          <w:snapToGrid w:val="0"/>
          <w:color w:val="000000"/>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我单位郑重声明：参加本次政府采购活动前 3 年内，我单位在经营活动中没有因违法经</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营受到刑事处罚或者责令停产停业、吊销许可</w:t>
      </w:r>
      <w:r>
        <w:rPr>
          <w:rFonts w:ascii="宋体" w:hAnsi="宋体" w:eastAsia="宋体" w:cs="宋体"/>
          <w:snapToGrid w:val="0"/>
          <w:color w:val="000000"/>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13179075">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2B12CCB2">
      <w:pPr>
        <w:widowControl/>
        <w:numPr>
          <w:ilvl w:val="0"/>
          <w:numId w:val="11"/>
        </w:numPr>
        <w:kinsoku w:val="0"/>
        <w:autoSpaceDE w:val="0"/>
        <w:autoSpaceDN w:val="0"/>
        <w:adjustRightInd w:val="0"/>
        <w:snapToGrid w:val="0"/>
        <w:spacing w:before="98" w:line="219" w:lineRule="auto"/>
        <w:ind w:left="2740"/>
        <w:jc w:val="left"/>
        <w:textAlignment w:val="baseline"/>
        <w:rPr>
          <w:rFonts w:ascii="宋体" w:hAnsi="宋体" w:eastAsia="宋体" w:cs="宋体"/>
          <w:b/>
          <w:bCs/>
          <w:snapToGrid w:val="0"/>
          <w:color w:val="000000"/>
          <w:spacing w:val="-5"/>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同类项目业绩</w:t>
      </w:r>
    </w:p>
    <w:p w14:paraId="5AA21097">
      <w:pPr>
        <w:widowControl/>
        <w:numPr>
          <w:ilvl w:val="0"/>
          <w:numId w:val="0"/>
        </w:numPr>
        <w:kinsoku w:val="0"/>
        <w:autoSpaceDE w:val="0"/>
        <w:autoSpaceDN w:val="0"/>
        <w:adjustRightInd w:val="0"/>
        <w:snapToGrid w:val="0"/>
        <w:spacing w:before="98" w:line="219" w:lineRule="auto"/>
        <w:jc w:val="left"/>
        <w:textAlignment w:val="baseline"/>
        <w:rPr>
          <w:rFonts w:ascii="宋体" w:hAnsi="宋体" w:eastAsia="宋体" w:cs="宋体"/>
          <w:b/>
          <w:bCs/>
          <w:snapToGrid w:val="0"/>
          <w:color w:val="000000"/>
          <w:spacing w:val="-5"/>
          <w:kern w:val="0"/>
          <w:sz w:val="30"/>
          <w:szCs w:val="30"/>
          <w:highlight w:val="none"/>
          <w:lang w:eastAsia="en-US"/>
        </w:rPr>
      </w:pPr>
    </w:p>
    <w:p w14:paraId="1AC5CF66">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根据商务技术评分标准内容提供相关证明文件</w:t>
      </w:r>
    </w:p>
    <w:p w14:paraId="10AD0D6B">
      <w:pPr>
        <w:rPr>
          <w:rFonts w:hint="eastAsia" w:ascii="宋体" w:hAnsi="宋体" w:eastAsia="宋体" w:cs="宋体"/>
          <w:b/>
          <w:bCs/>
          <w:color w:val="000000"/>
          <w:sz w:val="24"/>
          <w:szCs w:val="24"/>
        </w:rPr>
      </w:pPr>
    </w:p>
    <w:p w14:paraId="1212B5AB">
      <w:pPr>
        <w:rPr>
          <w:rFonts w:hint="eastAsia" w:ascii="宋体" w:hAnsi="宋体" w:eastAsia="宋体" w:cs="宋体"/>
          <w:b/>
          <w:bCs/>
          <w:color w:val="000000"/>
          <w:sz w:val="24"/>
          <w:szCs w:val="24"/>
        </w:rPr>
      </w:pPr>
    </w:p>
    <w:p w14:paraId="509BA38E">
      <w:pPr>
        <w:rPr>
          <w:rFonts w:hint="eastAsia" w:ascii="宋体" w:hAnsi="宋体" w:eastAsia="宋体" w:cs="宋体"/>
          <w:b/>
          <w:bCs/>
          <w:color w:val="000000"/>
          <w:sz w:val="24"/>
          <w:szCs w:val="24"/>
        </w:rPr>
      </w:pPr>
    </w:p>
    <w:p w14:paraId="652D47FE">
      <w:pPr>
        <w:rPr>
          <w:rFonts w:hint="eastAsia" w:ascii="宋体" w:hAnsi="宋体" w:eastAsia="宋体" w:cs="宋体"/>
          <w:b/>
          <w:bCs/>
          <w:color w:val="000000"/>
          <w:sz w:val="24"/>
          <w:szCs w:val="24"/>
        </w:rPr>
      </w:pPr>
    </w:p>
    <w:p w14:paraId="72D62755">
      <w:pPr>
        <w:rPr>
          <w:rFonts w:hint="eastAsia" w:ascii="宋体" w:hAnsi="宋体" w:eastAsia="宋体" w:cs="宋体"/>
          <w:b/>
          <w:bCs/>
          <w:color w:val="000000"/>
          <w:sz w:val="24"/>
          <w:szCs w:val="24"/>
        </w:rPr>
      </w:pPr>
    </w:p>
    <w:p w14:paraId="77C93C21">
      <w:pPr>
        <w:rPr>
          <w:rFonts w:hint="eastAsia" w:ascii="宋体" w:hAnsi="宋体" w:eastAsia="宋体" w:cs="宋体"/>
          <w:b/>
          <w:bCs/>
          <w:color w:val="000000"/>
          <w:sz w:val="24"/>
          <w:szCs w:val="24"/>
        </w:rPr>
      </w:pPr>
    </w:p>
    <w:p w14:paraId="48F37ED3">
      <w:pPr>
        <w:rPr>
          <w:rFonts w:hint="eastAsia" w:ascii="宋体" w:hAnsi="宋体" w:eastAsia="宋体" w:cs="宋体"/>
          <w:b/>
          <w:bCs/>
          <w:color w:val="000000"/>
          <w:sz w:val="24"/>
          <w:szCs w:val="24"/>
        </w:rPr>
      </w:pPr>
    </w:p>
    <w:p w14:paraId="3099E499">
      <w:pPr>
        <w:rPr>
          <w:rFonts w:hint="eastAsia" w:ascii="宋体" w:hAnsi="宋体" w:eastAsia="宋体" w:cs="宋体"/>
          <w:b/>
          <w:bCs/>
          <w:color w:val="000000"/>
          <w:sz w:val="24"/>
          <w:szCs w:val="24"/>
        </w:rPr>
      </w:pPr>
    </w:p>
    <w:p w14:paraId="01BFC505">
      <w:pPr>
        <w:rPr>
          <w:rFonts w:hint="eastAsia" w:ascii="宋体" w:hAnsi="宋体" w:eastAsia="宋体" w:cs="宋体"/>
          <w:b/>
          <w:bCs/>
          <w:color w:val="000000"/>
          <w:sz w:val="24"/>
          <w:szCs w:val="24"/>
        </w:rPr>
      </w:pPr>
    </w:p>
    <w:p w14:paraId="16A9C493">
      <w:pPr>
        <w:rPr>
          <w:rFonts w:hint="eastAsia" w:ascii="宋体" w:hAnsi="宋体" w:eastAsia="宋体" w:cs="宋体"/>
          <w:b/>
          <w:bCs/>
          <w:color w:val="000000"/>
          <w:sz w:val="24"/>
          <w:szCs w:val="24"/>
        </w:rPr>
      </w:pPr>
    </w:p>
    <w:p w14:paraId="1193C5AF">
      <w:pPr>
        <w:rPr>
          <w:rFonts w:hint="eastAsia" w:ascii="宋体" w:hAnsi="宋体" w:eastAsia="宋体" w:cs="宋体"/>
          <w:b/>
          <w:bCs/>
          <w:color w:val="000000"/>
          <w:sz w:val="24"/>
          <w:szCs w:val="24"/>
        </w:rPr>
      </w:pPr>
    </w:p>
    <w:p w14:paraId="6C2812B6">
      <w:pPr>
        <w:rPr>
          <w:rFonts w:hint="eastAsia" w:ascii="宋体" w:hAnsi="宋体" w:eastAsia="宋体" w:cs="宋体"/>
          <w:b/>
          <w:bCs/>
          <w:color w:val="000000"/>
          <w:sz w:val="24"/>
          <w:szCs w:val="24"/>
        </w:rPr>
      </w:pPr>
    </w:p>
    <w:p w14:paraId="33473D53">
      <w:pPr>
        <w:rPr>
          <w:rFonts w:hint="eastAsia" w:ascii="宋体" w:hAnsi="宋体" w:eastAsia="宋体" w:cs="宋体"/>
          <w:b/>
          <w:bCs/>
          <w:color w:val="000000"/>
          <w:sz w:val="24"/>
          <w:szCs w:val="24"/>
        </w:rPr>
      </w:pPr>
    </w:p>
    <w:p w14:paraId="017D40E8">
      <w:pPr>
        <w:rPr>
          <w:rFonts w:hint="eastAsia" w:ascii="宋体" w:hAnsi="宋体" w:eastAsia="宋体" w:cs="宋体"/>
          <w:b/>
          <w:bCs/>
          <w:color w:val="000000"/>
          <w:sz w:val="24"/>
          <w:szCs w:val="24"/>
        </w:rPr>
      </w:pPr>
    </w:p>
    <w:p w14:paraId="55A91BFF">
      <w:pPr>
        <w:rPr>
          <w:rFonts w:hint="eastAsia" w:ascii="宋体" w:hAnsi="宋体" w:eastAsia="宋体" w:cs="宋体"/>
          <w:b/>
          <w:bCs/>
          <w:color w:val="000000"/>
          <w:sz w:val="24"/>
          <w:szCs w:val="24"/>
        </w:rPr>
      </w:pPr>
    </w:p>
    <w:p w14:paraId="240EEC9A">
      <w:pPr>
        <w:rPr>
          <w:rFonts w:hint="eastAsia" w:ascii="宋体" w:hAnsi="宋体" w:eastAsia="宋体" w:cs="宋体"/>
          <w:b/>
          <w:bCs/>
          <w:color w:val="000000"/>
          <w:sz w:val="24"/>
          <w:szCs w:val="24"/>
        </w:rPr>
      </w:pPr>
    </w:p>
    <w:p w14:paraId="296C551D">
      <w:pPr>
        <w:rPr>
          <w:rFonts w:hint="eastAsia" w:ascii="宋体" w:hAnsi="宋体" w:eastAsia="宋体" w:cs="宋体"/>
          <w:b/>
          <w:bCs/>
          <w:color w:val="000000"/>
          <w:sz w:val="24"/>
          <w:szCs w:val="24"/>
        </w:rPr>
      </w:pPr>
    </w:p>
    <w:p w14:paraId="6BAFB4F8">
      <w:pPr>
        <w:rPr>
          <w:rFonts w:hint="eastAsia" w:ascii="宋体" w:hAnsi="宋体" w:eastAsia="宋体" w:cs="宋体"/>
          <w:b/>
          <w:bCs/>
          <w:color w:val="000000"/>
          <w:sz w:val="24"/>
          <w:szCs w:val="24"/>
        </w:rPr>
      </w:pPr>
    </w:p>
    <w:p w14:paraId="2B79BE78">
      <w:pPr>
        <w:rPr>
          <w:rFonts w:hint="eastAsia" w:ascii="宋体" w:hAnsi="宋体" w:eastAsia="宋体" w:cs="宋体"/>
          <w:b/>
          <w:bCs/>
          <w:color w:val="000000"/>
          <w:sz w:val="24"/>
          <w:szCs w:val="24"/>
        </w:rPr>
      </w:pPr>
    </w:p>
    <w:p w14:paraId="4FF4F9BE">
      <w:pPr>
        <w:rPr>
          <w:rFonts w:hint="eastAsia" w:ascii="宋体" w:hAnsi="宋体" w:eastAsia="宋体" w:cs="宋体"/>
          <w:b/>
          <w:bCs/>
          <w:color w:val="000000"/>
          <w:sz w:val="24"/>
          <w:szCs w:val="24"/>
        </w:rPr>
      </w:pPr>
    </w:p>
    <w:p w14:paraId="55A7AF6A">
      <w:pPr>
        <w:rPr>
          <w:rFonts w:hint="eastAsia" w:ascii="宋体" w:hAnsi="宋体" w:eastAsia="宋体" w:cs="宋体"/>
          <w:b/>
          <w:bCs/>
          <w:color w:val="000000"/>
          <w:sz w:val="24"/>
          <w:szCs w:val="24"/>
        </w:rPr>
      </w:pPr>
    </w:p>
    <w:p w14:paraId="5C114639">
      <w:pPr>
        <w:rPr>
          <w:rFonts w:hint="eastAsia" w:ascii="宋体" w:hAnsi="宋体" w:eastAsia="宋体" w:cs="宋体"/>
          <w:b/>
          <w:bCs/>
          <w:color w:val="000000"/>
          <w:sz w:val="24"/>
          <w:szCs w:val="24"/>
        </w:rPr>
      </w:pPr>
    </w:p>
    <w:p w14:paraId="09B9B620">
      <w:pPr>
        <w:rPr>
          <w:rFonts w:hint="eastAsia" w:ascii="宋体" w:hAnsi="宋体" w:eastAsia="宋体" w:cs="宋体"/>
          <w:b/>
          <w:bCs/>
          <w:color w:val="000000"/>
          <w:sz w:val="24"/>
          <w:szCs w:val="24"/>
        </w:rPr>
      </w:pPr>
    </w:p>
    <w:p w14:paraId="0EF9E873">
      <w:pPr>
        <w:rPr>
          <w:rFonts w:hint="eastAsia" w:ascii="宋体" w:hAnsi="宋体" w:eastAsia="宋体" w:cs="宋体"/>
          <w:b/>
          <w:bCs/>
          <w:color w:val="000000"/>
          <w:sz w:val="24"/>
          <w:szCs w:val="24"/>
        </w:rPr>
      </w:pPr>
    </w:p>
    <w:p w14:paraId="344D3E30">
      <w:pPr>
        <w:rPr>
          <w:rFonts w:hint="eastAsia" w:ascii="宋体" w:hAnsi="宋体" w:eastAsia="宋体" w:cs="宋体"/>
          <w:b/>
          <w:bCs/>
          <w:color w:val="000000"/>
          <w:sz w:val="24"/>
          <w:szCs w:val="24"/>
        </w:rPr>
      </w:pPr>
    </w:p>
    <w:p w14:paraId="43CA7917">
      <w:pPr>
        <w:rPr>
          <w:rFonts w:hint="eastAsia" w:ascii="宋体" w:hAnsi="宋体" w:eastAsia="宋体" w:cs="宋体"/>
          <w:b/>
          <w:bCs/>
          <w:color w:val="000000"/>
          <w:sz w:val="24"/>
          <w:szCs w:val="24"/>
        </w:rPr>
      </w:pPr>
    </w:p>
    <w:p w14:paraId="5928A6A0">
      <w:pPr>
        <w:rPr>
          <w:rFonts w:hint="eastAsia" w:ascii="宋体" w:hAnsi="宋体" w:eastAsia="宋体" w:cs="宋体"/>
          <w:b/>
          <w:bCs/>
          <w:color w:val="000000"/>
          <w:sz w:val="24"/>
          <w:szCs w:val="24"/>
        </w:rPr>
      </w:pPr>
    </w:p>
    <w:p w14:paraId="5A442774">
      <w:pPr>
        <w:rPr>
          <w:rFonts w:hint="eastAsia" w:ascii="宋体" w:hAnsi="宋体" w:eastAsia="宋体" w:cs="宋体"/>
          <w:b/>
          <w:bCs/>
          <w:color w:val="000000"/>
          <w:sz w:val="24"/>
          <w:szCs w:val="24"/>
        </w:rPr>
      </w:pPr>
    </w:p>
    <w:p w14:paraId="383705DB">
      <w:pPr>
        <w:rPr>
          <w:rFonts w:hint="eastAsia" w:ascii="宋体" w:hAnsi="宋体" w:eastAsia="宋体" w:cs="宋体"/>
          <w:b/>
          <w:bCs/>
          <w:color w:val="000000"/>
          <w:sz w:val="24"/>
          <w:szCs w:val="24"/>
        </w:rPr>
      </w:pPr>
    </w:p>
    <w:p w14:paraId="40291894">
      <w:pPr>
        <w:rPr>
          <w:rFonts w:hint="eastAsia" w:ascii="宋体" w:hAnsi="宋体" w:eastAsia="宋体" w:cs="宋体"/>
          <w:b/>
          <w:bCs/>
          <w:color w:val="000000"/>
          <w:sz w:val="24"/>
          <w:szCs w:val="24"/>
        </w:rPr>
      </w:pPr>
    </w:p>
    <w:p w14:paraId="0F7C7889">
      <w:pPr>
        <w:rPr>
          <w:rFonts w:hint="eastAsia" w:ascii="宋体" w:hAnsi="宋体" w:eastAsia="宋体" w:cs="宋体"/>
          <w:b/>
          <w:bCs/>
          <w:color w:val="000000"/>
          <w:sz w:val="24"/>
          <w:szCs w:val="24"/>
        </w:rPr>
      </w:pPr>
    </w:p>
    <w:p w14:paraId="7239BBE2">
      <w:pPr>
        <w:rPr>
          <w:rFonts w:hint="eastAsia" w:ascii="宋体" w:hAnsi="宋体" w:eastAsia="宋体" w:cs="宋体"/>
          <w:b/>
          <w:bCs/>
          <w:color w:val="000000"/>
          <w:sz w:val="24"/>
          <w:szCs w:val="24"/>
        </w:rPr>
      </w:pPr>
    </w:p>
    <w:p w14:paraId="258B079B">
      <w:pPr>
        <w:rPr>
          <w:rFonts w:hint="eastAsia" w:ascii="宋体" w:hAnsi="宋体" w:eastAsia="宋体" w:cs="宋体"/>
          <w:b/>
          <w:bCs/>
          <w:color w:val="000000"/>
          <w:sz w:val="24"/>
          <w:szCs w:val="24"/>
        </w:rPr>
      </w:pPr>
    </w:p>
    <w:p w14:paraId="61774BCD">
      <w:pPr>
        <w:rPr>
          <w:rFonts w:hint="eastAsia" w:ascii="宋体" w:hAnsi="宋体" w:eastAsia="宋体" w:cs="宋体"/>
          <w:b/>
          <w:bCs/>
          <w:color w:val="000000"/>
          <w:sz w:val="24"/>
          <w:szCs w:val="24"/>
        </w:rPr>
      </w:pPr>
    </w:p>
    <w:p w14:paraId="049CBE67">
      <w:pPr>
        <w:rPr>
          <w:rFonts w:hint="eastAsia" w:ascii="宋体" w:hAnsi="宋体" w:eastAsia="宋体" w:cs="宋体"/>
          <w:b/>
          <w:bCs/>
          <w:color w:val="000000"/>
          <w:sz w:val="24"/>
          <w:szCs w:val="24"/>
        </w:rPr>
      </w:pPr>
    </w:p>
    <w:p w14:paraId="39E674FB">
      <w:pPr>
        <w:rPr>
          <w:rFonts w:hint="eastAsia" w:ascii="宋体" w:hAnsi="宋体" w:eastAsia="宋体" w:cs="宋体"/>
          <w:b/>
          <w:bCs/>
          <w:color w:val="000000"/>
          <w:sz w:val="24"/>
          <w:szCs w:val="24"/>
        </w:rPr>
      </w:pPr>
    </w:p>
    <w:p w14:paraId="47B6F662">
      <w:pPr>
        <w:rPr>
          <w:rFonts w:hint="eastAsia" w:ascii="宋体" w:hAnsi="宋体" w:eastAsia="宋体" w:cs="宋体"/>
          <w:b/>
          <w:bCs/>
          <w:color w:val="000000"/>
          <w:sz w:val="24"/>
          <w:szCs w:val="24"/>
        </w:rPr>
      </w:pPr>
    </w:p>
    <w:p w14:paraId="78D9C39E">
      <w:pPr>
        <w:rPr>
          <w:rFonts w:hint="eastAsia" w:ascii="宋体" w:hAnsi="宋体" w:eastAsia="宋体" w:cs="宋体"/>
          <w:b/>
          <w:bCs/>
          <w:color w:val="000000"/>
          <w:sz w:val="24"/>
          <w:szCs w:val="24"/>
        </w:rPr>
      </w:pPr>
    </w:p>
    <w:p w14:paraId="49289668">
      <w:pPr>
        <w:rPr>
          <w:rFonts w:hint="eastAsia" w:ascii="宋体" w:hAnsi="宋体" w:eastAsia="宋体" w:cs="宋体"/>
          <w:b/>
          <w:bCs/>
          <w:color w:val="000000"/>
          <w:sz w:val="24"/>
          <w:szCs w:val="24"/>
        </w:rPr>
      </w:pPr>
    </w:p>
    <w:p w14:paraId="1BF9A4F0">
      <w:pPr>
        <w:rPr>
          <w:rFonts w:hint="eastAsia" w:ascii="宋体" w:hAnsi="宋体" w:eastAsia="宋体" w:cs="宋体"/>
          <w:b/>
          <w:bCs/>
          <w:color w:val="000000"/>
          <w:sz w:val="24"/>
          <w:szCs w:val="24"/>
        </w:rPr>
      </w:pPr>
    </w:p>
    <w:p w14:paraId="74113949">
      <w:pPr>
        <w:rPr>
          <w:rFonts w:hint="eastAsia" w:ascii="宋体" w:hAnsi="宋体" w:eastAsia="宋体" w:cs="宋体"/>
          <w:b/>
          <w:bCs/>
          <w:color w:val="000000"/>
          <w:sz w:val="24"/>
          <w:szCs w:val="24"/>
        </w:rPr>
      </w:pPr>
    </w:p>
    <w:p w14:paraId="79158E1E">
      <w:pPr>
        <w:rPr>
          <w:rFonts w:hint="eastAsia" w:ascii="宋体" w:hAnsi="宋体" w:eastAsia="宋体" w:cs="宋体"/>
          <w:b/>
          <w:bCs/>
          <w:color w:val="000000"/>
          <w:sz w:val="24"/>
          <w:szCs w:val="24"/>
        </w:rPr>
      </w:pPr>
    </w:p>
    <w:p w14:paraId="04237EF4">
      <w:pPr>
        <w:rPr>
          <w:rFonts w:hint="eastAsia" w:ascii="宋体" w:hAnsi="宋体" w:eastAsia="宋体" w:cs="宋体"/>
          <w:b/>
          <w:bCs/>
          <w:color w:val="000000"/>
          <w:sz w:val="24"/>
          <w:szCs w:val="24"/>
          <w:lang w:val="en-US" w:eastAsia="zh-CN"/>
        </w:rPr>
      </w:pP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十</w:t>
      </w:r>
      <w:r>
        <w:rPr>
          <w:rFonts w:ascii="宋体" w:hAnsi="宋体" w:eastAsia="宋体" w:cs="宋体"/>
          <w:b/>
          <w:bCs/>
          <w:snapToGrid w:val="0"/>
          <w:color w:val="000000"/>
          <w:spacing w:val="-5"/>
          <w:kern w:val="0"/>
          <w:sz w:val="30"/>
          <w:szCs w:val="30"/>
          <w:highlight w:val="none"/>
          <w:lang w:eastAsia="en-US"/>
        </w:rPr>
        <w:t>、</w:t>
      </w:r>
      <w:r>
        <w:rPr>
          <w:rFonts w:hint="eastAsia" w:ascii="宋体" w:hAnsi="宋体" w:eastAsia="宋体" w:cs="宋体"/>
          <w:b/>
          <w:bCs/>
          <w:snapToGrid w:val="0"/>
          <w:color w:val="000000"/>
          <w:kern w:val="0"/>
          <w:sz w:val="36"/>
          <w:szCs w:val="36"/>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default" w:ascii="宋体" w:hAnsi="宋体" w:eastAsia="宋体" w:cs="宋体"/>
          <w:b/>
          <w:bCs/>
          <w:snapToGrid w:val="0"/>
          <w:color w:val="000000"/>
          <w:kern w:val="0"/>
          <w:sz w:val="36"/>
          <w:szCs w:val="36"/>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default"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ascii="宋体" w:hAnsi="宋体" w:eastAsia="宋体" w:cs="宋体"/>
          <w:snapToGrid w:val="0"/>
          <w:color w:val="000000"/>
          <w:kern w:val="0"/>
          <w:sz w:val="30"/>
          <w:szCs w:val="30"/>
          <w:highlight w:val="none"/>
          <w:lang w:eastAsia="en-US"/>
        </w:rPr>
      </w:pPr>
    </w:p>
    <w:p w14:paraId="2964BBAD">
      <w:pPr>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br w:type="page"/>
      </w:r>
    </w:p>
    <w:p w14:paraId="21A95D6C">
      <w:pPr>
        <w:widowControl/>
        <w:kinsoku w:val="0"/>
        <w:autoSpaceDE w:val="0"/>
        <w:autoSpaceDN w:val="0"/>
        <w:adjustRightInd w:val="0"/>
        <w:snapToGrid w:val="0"/>
        <w:spacing w:before="100" w:line="225"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3"/>
          <w:kern w:val="0"/>
          <w:sz w:val="30"/>
          <w:szCs w:val="30"/>
          <w:highlight w:val="none"/>
          <w:lang w:eastAsia="en-US"/>
        </w:rPr>
        <w:t>十</w:t>
      </w:r>
      <w:r>
        <w:rPr>
          <w:rFonts w:hint="eastAsia" w:ascii="宋体" w:hAnsi="宋体" w:eastAsia="宋体" w:cs="宋体"/>
          <w:b/>
          <w:bCs/>
          <w:snapToGrid w:val="0"/>
          <w:color w:val="000000"/>
          <w:spacing w:val="3"/>
          <w:kern w:val="0"/>
          <w:sz w:val="30"/>
          <w:szCs w:val="30"/>
          <w:highlight w:val="none"/>
          <w:lang w:val="en-US" w:eastAsia="zh-CN"/>
        </w:rPr>
        <w:t>一</w:t>
      </w:r>
      <w:r>
        <w:rPr>
          <w:rFonts w:ascii="宋体" w:hAnsi="宋体" w:eastAsia="宋体" w:cs="宋体"/>
          <w:b/>
          <w:bCs/>
          <w:snapToGrid w:val="0"/>
          <w:color w:val="000000"/>
          <w:spacing w:val="3"/>
          <w:kern w:val="0"/>
          <w:sz w:val="30"/>
          <w:szCs w:val="30"/>
          <w:highlight w:val="none"/>
          <w:lang w:eastAsia="en-US"/>
        </w:rPr>
        <w:t>、</w:t>
      </w:r>
      <w:r>
        <w:rPr>
          <w:rFonts w:ascii="宋体" w:hAnsi="宋体" w:eastAsia="宋体" w:cs="宋体"/>
          <w:b/>
          <w:bCs/>
          <w:snapToGrid w:val="0"/>
          <w:color w:val="000000"/>
          <w:spacing w:val="3"/>
          <w:kern w:val="0"/>
          <w:sz w:val="31"/>
          <w:szCs w:val="31"/>
          <w:highlight w:val="none"/>
          <w:lang w:eastAsia="en-US"/>
        </w:rPr>
        <w:t>中小企业声明函</w:t>
      </w:r>
    </w:p>
    <w:p w14:paraId="1AF52008">
      <w:pPr>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highlight w:val="none"/>
          <w:lang w:val="en-US" w:eastAsia="en-US" w:bidi="ar-SA"/>
        </w:rPr>
      </w:pPr>
    </w:p>
    <w:p w14:paraId="3C1C21D7">
      <w:pPr>
        <w:widowControl/>
        <w:kinsoku w:val="0"/>
        <w:autoSpaceDE w:val="0"/>
        <w:autoSpaceDN w:val="0"/>
        <w:adjustRightInd w:val="0"/>
        <w:snapToGrid w:val="0"/>
        <w:spacing w:before="91" w:line="222" w:lineRule="auto"/>
        <w:ind w:left="3359"/>
        <w:jc w:val="left"/>
        <w:textAlignment w:val="baseline"/>
        <w:outlineLvl w:val="9"/>
        <w:rPr>
          <w:rFonts w:ascii="黑体" w:hAnsi="黑体" w:eastAsia="黑体" w:cs="黑体"/>
          <w:snapToGrid w:val="0"/>
          <w:color w:val="000000"/>
          <w:kern w:val="0"/>
          <w:sz w:val="28"/>
          <w:szCs w:val="28"/>
          <w:highlight w:val="none"/>
          <w:lang w:eastAsia="en-US"/>
        </w:rPr>
      </w:pPr>
      <w:bookmarkStart w:id="125" w:name="bookmark45"/>
      <w:bookmarkEnd w:id="125"/>
      <w:r>
        <w:rPr>
          <w:rFonts w:ascii="黑体" w:hAnsi="黑体" w:eastAsia="黑体" w:cs="黑体"/>
          <w:b/>
          <w:bCs/>
          <w:snapToGrid w:val="0"/>
          <w:color w:val="000000"/>
          <w:spacing w:val="-5"/>
          <w:kern w:val="0"/>
          <w:sz w:val="28"/>
          <w:szCs w:val="28"/>
          <w:highlight w:val="none"/>
          <w:lang w:eastAsia="en-US"/>
        </w:rPr>
        <w:t>中小企业声明函（服务）</w:t>
      </w:r>
    </w:p>
    <w:p w14:paraId="7D9AA9BE">
      <w:pPr>
        <w:widowControl/>
        <w:kinsoku w:val="0"/>
        <w:autoSpaceDE w:val="0"/>
        <w:autoSpaceDN w:val="0"/>
        <w:adjustRightInd w:val="0"/>
        <w:snapToGrid w:val="0"/>
        <w:spacing w:before="228" w:line="355" w:lineRule="auto"/>
        <w:ind w:left="9" w:firstLine="428" w:firstLineChars="20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t>本公司（联合体）郑重声明，根据《政府采购促进中小企业发展管理办法》（财库﹝</w:t>
      </w:r>
      <w:r>
        <w:rPr>
          <w:rFonts w:ascii="Times New Roman" w:hAnsi="Times New Roman" w:eastAsia="Times New Roman" w:cs="Times New Roman"/>
          <w:snapToGrid w:val="0"/>
          <w:color w:val="000000"/>
          <w:spacing w:val="-13"/>
          <w:kern w:val="0"/>
          <w:sz w:val="24"/>
          <w:szCs w:val="24"/>
          <w:highlight w:val="none"/>
          <w:lang w:eastAsia="en-US"/>
        </w:rPr>
        <w:t>2020</w:t>
      </w:r>
      <w:r>
        <w:rPr>
          <w:rFonts w:ascii="宋体" w:hAnsi="宋体" w:eastAsia="宋体" w:cs="宋体"/>
          <w:snapToGrid w:val="0"/>
          <w:color w:val="000000"/>
          <w:spacing w:val="-13"/>
          <w:kern w:val="0"/>
          <w:sz w:val="24"/>
          <w:szCs w:val="24"/>
          <w:highlight w:val="none"/>
          <w:lang w:eastAsia="en-US"/>
        </w:rPr>
        <w:t>﹞</w:t>
      </w:r>
      <w:r>
        <w:rPr>
          <w:rFonts w:ascii="Times New Roman" w:hAnsi="Times New Roman" w:eastAsia="Times New Roman" w:cs="Times New Roman"/>
          <w:snapToGrid w:val="0"/>
          <w:color w:val="000000"/>
          <w:spacing w:val="-13"/>
          <w:kern w:val="0"/>
          <w:sz w:val="24"/>
          <w:szCs w:val="24"/>
          <w:highlight w:val="none"/>
          <w:lang w:eastAsia="en-US"/>
        </w:rPr>
        <w:t xml:space="preserve">46  </w:t>
      </w:r>
      <w:r>
        <w:rPr>
          <w:rFonts w:ascii="宋体" w:hAnsi="宋体" w:eastAsia="宋体" w:cs="宋体"/>
          <w:snapToGrid w:val="0"/>
          <w:color w:val="000000"/>
          <w:spacing w:val="-13"/>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的规定，本公司（联合体）参加</w:t>
      </w:r>
      <w:r>
        <w:rPr>
          <w:rFonts w:hint="eastAsia" w:ascii="宋体" w:hAnsi="宋体" w:eastAsia="宋体" w:cs="宋体"/>
          <w:snapToGrid w:val="0"/>
          <w:color w:val="000000"/>
          <w:spacing w:val="2"/>
          <w:kern w:val="0"/>
          <w:sz w:val="24"/>
          <w:szCs w:val="24"/>
          <w:highlight w:val="none"/>
          <w:u w:val="single" w:color="auto"/>
          <w:lang w:val="en-US" w:eastAsia="en-US"/>
        </w:rPr>
        <w:t>（新疆维吾尔自治区阿克苏某单位）</w:t>
      </w:r>
      <w:r>
        <w:rPr>
          <w:rFonts w:ascii="宋体" w:hAnsi="宋体" w:eastAsia="宋体" w:cs="宋体"/>
          <w:snapToGrid w:val="0"/>
          <w:color w:val="000000"/>
          <w:spacing w:val="2"/>
          <w:kern w:val="0"/>
          <w:sz w:val="24"/>
          <w:szCs w:val="24"/>
          <w:highlight w:val="none"/>
          <w:lang w:eastAsia="en-US"/>
        </w:rPr>
        <w:t>的</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none"/>
          <w:u w:val="single" w:color="auto"/>
          <w:lang w:eastAsia="en-US"/>
        </w:rPr>
        <w:t>阿克苏某单位2026-2027年牛羊肉采购项目</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采购活动，</w:t>
      </w:r>
      <w:r>
        <w:rPr>
          <w:rFonts w:ascii="宋体" w:hAnsi="宋体" w:eastAsia="宋体" w:cs="宋体"/>
          <w:snapToGrid w:val="0"/>
          <w:color w:val="000000"/>
          <w:spacing w:val="-3"/>
          <w:kern w:val="0"/>
          <w:sz w:val="24"/>
          <w:szCs w:val="24"/>
          <w:highlight w:val="none"/>
          <w:lang w:eastAsia="en-US"/>
        </w:rPr>
        <w:t>服务</w:t>
      </w:r>
      <w:r>
        <w:rPr>
          <w:rFonts w:ascii="宋体" w:hAnsi="宋体" w:eastAsia="宋体" w:cs="宋体"/>
          <w:snapToGrid w:val="0"/>
          <w:color w:val="000000"/>
          <w:kern w:val="0"/>
          <w:sz w:val="24"/>
          <w:szCs w:val="24"/>
          <w:highlight w:val="none"/>
          <w:lang w:eastAsia="en-US"/>
        </w:rPr>
        <w:t>全部由符合政策要求的中小企业承接。相关企业（含联合体中的中小企业、签订分包意向</w:t>
      </w:r>
      <w:r>
        <w:rPr>
          <w:rFonts w:ascii="宋体" w:hAnsi="宋体" w:eastAsia="宋体" w:cs="宋体"/>
          <w:snapToGrid w:val="0"/>
          <w:color w:val="000000"/>
          <w:spacing w:val="-1"/>
          <w:kern w:val="0"/>
          <w:sz w:val="24"/>
          <w:szCs w:val="24"/>
          <w:highlight w:val="none"/>
          <w:lang w:eastAsia="en-US"/>
        </w:rPr>
        <w:t>协议的中小企业）的具体情况如下：</w:t>
      </w:r>
    </w:p>
    <w:p w14:paraId="60BE896A">
      <w:pPr>
        <w:widowControl/>
        <w:kinsoku w:val="0"/>
        <w:autoSpaceDE w:val="0"/>
        <w:autoSpaceDN w:val="0"/>
        <w:adjustRightInd w:val="0"/>
        <w:snapToGrid w:val="0"/>
        <w:spacing w:before="154" w:line="351" w:lineRule="auto"/>
        <w:ind w:left="13" w:firstLine="14"/>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4"/>
          <w:kern w:val="0"/>
          <w:sz w:val="24"/>
          <w:szCs w:val="24"/>
          <w:highlight w:val="none"/>
          <w:lang w:eastAsia="en-US"/>
        </w:rPr>
        <w:t>1.</w:t>
      </w:r>
      <w:r>
        <w:rPr>
          <w:rFonts w:ascii="宋体" w:hAnsi="宋体" w:eastAsia="宋体" w:cs="宋体"/>
          <w:snapToGrid w:val="0"/>
          <w:color w:val="000000"/>
          <w:spacing w:val="-4"/>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u w:val="single" w:color="auto"/>
          <w:lang w:eastAsia="en-US"/>
        </w:rPr>
        <w:t>阿克苏某单位2026-2027年牛羊肉采购项目</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en-US"/>
        </w:rPr>
        <w:t>零售业</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1FF691FE">
      <w:pPr>
        <w:widowControl/>
        <w:kinsoku w:val="0"/>
        <w:autoSpaceDE w:val="0"/>
        <w:autoSpaceDN w:val="0"/>
        <w:adjustRightInd w:val="0"/>
        <w:snapToGrid w:val="0"/>
        <w:spacing w:before="155" w:line="351" w:lineRule="auto"/>
        <w:ind w:left="13" w:hanging="8"/>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3"/>
          <w:kern w:val="0"/>
          <w:sz w:val="24"/>
          <w:szCs w:val="24"/>
          <w:highlight w:val="none"/>
          <w:lang w:eastAsia="en-US"/>
        </w:rPr>
        <w:t>2.</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hint="eastAsia" w:ascii="宋体" w:hAnsi="宋体" w:eastAsia="宋体" w:cs="宋体"/>
          <w:snapToGrid w:val="0"/>
          <w:color w:val="000000"/>
          <w:spacing w:val="-24"/>
          <w:kern w:val="0"/>
          <w:sz w:val="24"/>
          <w:szCs w:val="24"/>
          <w:highlight w:val="none"/>
          <w:lang w:val="en-US" w:eastAsia="zh-CN"/>
        </w:rPr>
        <w:t xml:space="preserve"> </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2B7BAC3F">
      <w:pPr>
        <w:widowControl/>
        <w:kinsoku w:val="0"/>
        <w:autoSpaceDE w:val="0"/>
        <w:autoSpaceDN w:val="0"/>
        <w:adjustRightInd w:val="0"/>
        <w:snapToGrid w:val="0"/>
        <w:spacing w:before="154" w:line="378" w:lineRule="exact"/>
        <w:ind w:left="2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2441D0C9">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以上企业，不属于大企业的分支机构，不存在控股股东为大企业的情</w:t>
      </w:r>
      <w:r>
        <w:rPr>
          <w:rFonts w:ascii="宋体" w:hAnsi="宋体" w:eastAsia="宋体" w:cs="宋体"/>
          <w:snapToGrid w:val="0"/>
          <w:color w:val="000000"/>
          <w:spacing w:val="-4"/>
          <w:kern w:val="0"/>
          <w:sz w:val="24"/>
          <w:szCs w:val="24"/>
          <w:highlight w:val="none"/>
          <w:lang w:eastAsia="en-US"/>
        </w:rPr>
        <w:t>形，也不存在与大企业的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负责人为同一人的情形。</w:t>
      </w:r>
    </w:p>
    <w:p w14:paraId="6A756A3B">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 xml:space="preserve">本企业对上述声明内容的真实性负责。如有虚假，将依法承担相应责任。 </w:t>
      </w:r>
    </w:p>
    <w:p w14:paraId="4667D9AD">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 xml:space="preserve">          </w:t>
      </w: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color w:val="auto"/>
          <w:sz w:val="24"/>
          <w:szCs w:val="22"/>
          <w:highlight w:val="none"/>
        </w:rPr>
        <w:t>：</w:t>
      </w:r>
    </w:p>
    <w:p w14:paraId="21875322">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日期：</w:t>
      </w:r>
    </w:p>
    <w:p w14:paraId="0A07EBD7">
      <w:pPr>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highlight w:val="none"/>
          <w:lang w:val="en-US" w:eastAsia="en-US" w:bidi="ar-SA"/>
        </w:rPr>
      </w:pPr>
    </w:p>
    <w:p w14:paraId="6B3D5297">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000000"/>
          <w:kern w:val="0"/>
          <w:sz w:val="24"/>
          <w:szCs w:val="24"/>
          <w:highlight w:val="none"/>
          <w:lang w:eastAsia="en-US"/>
        </w:rPr>
      </w:pPr>
      <w:r>
        <w:rPr>
          <w:rFonts w:ascii="Calibri" w:hAnsi="Calibri" w:eastAsia="Calibri" w:cs="Calibri"/>
          <w:snapToGrid w:val="0"/>
          <w:color w:val="000000"/>
          <w:spacing w:val="-1"/>
          <w:kern w:val="0"/>
          <w:sz w:val="24"/>
          <w:szCs w:val="24"/>
          <w:highlight w:val="none"/>
          <w:lang w:eastAsia="en-US"/>
        </w:rPr>
        <w:t>1.</w:t>
      </w:r>
      <w:r>
        <w:rPr>
          <w:rFonts w:ascii="宋体" w:hAnsi="宋体" w:eastAsia="宋体" w:cs="宋体"/>
          <w:snapToGrid w:val="0"/>
          <w:color w:val="000000"/>
          <w:spacing w:val="-1"/>
          <w:kern w:val="0"/>
          <w:sz w:val="24"/>
          <w:szCs w:val="24"/>
          <w:highlight w:val="none"/>
          <w:lang w:eastAsia="en-US"/>
        </w:rPr>
        <w:t>从业人员、营业收入、资产总额填报上一年度数据，无</w:t>
      </w:r>
      <w:r>
        <w:rPr>
          <w:rFonts w:ascii="宋体" w:hAnsi="宋体" w:eastAsia="宋体" w:cs="宋体"/>
          <w:snapToGrid w:val="0"/>
          <w:color w:val="000000"/>
          <w:spacing w:val="-2"/>
          <w:kern w:val="0"/>
          <w:sz w:val="24"/>
          <w:szCs w:val="24"/>
          <w:highlight w:val="none"/>
          <w:lang w:eastAsia="en-US"/>
        </w:rPr>
        <w:t>上一年度数据的新成立企业可不填</w:t>
      </w:r>
      <w:r>
        <w:rPr>
          <w:rFonts w:ascii="宋体" w:hAnsi="宋体" w:eastAsia="宋体" w:cs="宋体"/>
          <w:snapToGrid w:val="0"/>
          <w:color w:val="000000"/>
          <w:spacing w:val="-4"/>
          <w:kern w:val="0"/>
          <w:sz w:val="24"/>
          <w:szCs w:val="24"/>
          <w:highlight w:val="none"/>
          <w:lang w:eastAsia="en-US"/>
        </w:rPr>
        <w:t>报。</w:t>
      </w:r>
    </w:p>
    <w:p w14:paraId="5DEF02D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1"/>
          <w:kern w:val="0"/>
          <w:sz w:val="24"/>
          <w:szCs w:val="24"/>
          <w:highlight w:val="none"/>
          <w:lang w:eastAsia="zh-CN"/>
        </w:rPr>
      </w:pPr>
      <w:r>
        <w:rPr>
          <w:rFonts w:ascii="Calibri" w:hAnsi="Calibri" w:eastAsia="Calibri" w:cs="Calibri"/>
          <w:snapToGrid w:val="0"/>
          <w:color w:val="000000"/>
          <w:spacing w:val="-7"/>
          <w:kern w:val="0"/>
          <w:sz w:val="24"/>
          <w:szCs w:val="24"/>
          <w:highlight w:val="none"/>
          <w:lang w:eastAsia="en-US"/>
        </w:rPr>
        <w:t>2.</w:t>
      </w:r>
      <w:r>
        <w:rPr>
          <w:rFonts w:ascii="宋体" w:hAnsi="宋体" w:eastAsia="宋体" w:cs="宋体"/>
          <w:snapToGrid w:val="0"/>
          <w:color w:val="000000"/>
          <w:spacing w:val="-7"/>
          <w:kern w:val="0"/>
          <w:sz w:val="24"/>
          <w:szCs w:val="24"/>
          <w:highlight w:val="none"/>
          <w:lang w:eastAsia="en-US"/>
        </w:rPr>
        <w:t>投标企业按照新疆维吾尔自治区财政厅《关于落实好政府采购支持中小企业发展的通知》（新</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财购</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2022</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22</w:t>
      </w:r>
      <w:r>
        <w:rPr>
          <w:rFonts w:ascii="Calibri" w:hAnsi="Calibri" w:eastAsia="Calibri" w:cs="Calibri"/>
          <w:snapToGrid w:val="0"/>
          <w:color w:val="000000"/>
          <w:spacing w:val="19"/>
          <w:w w:val="10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明确说明企业类型为中型企业或小型企业或微型企业，不得用中小微</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企业简单概括，否则，后果自负</w:t>
      </w:r>
      <w:r>
        <w:rPr>
          <w:rFonts w:hint="eastAsia" w:ascii="宋体" w:hAnsi="宋体" w:eastAsia="宋体" w:cs="宋体"/>
          <w:snapToGrid w:val="0"/>
          <w:color w:val="000000"/>
          <w:spacing w:val="-1"/>
          <w:kern w:val="0"/>
          <w:sz w:val="24"/>
          <w:szCs w:val="24"/>
          <w:highlight w:val="none"/>
          <w:lang w:eastAsia="zh-CN"/>
        </w:rPr>
        <w:t>。</w:t>
      </w:r>
    </w:p>
    <w:p w14:paraId="2818EA64">
      <w:pPr>
        <w:rPr>
          <w:rFonts w:hint="eastAsia" w:ascii="宋体" w:hAnsi="宋体" w:eastAsia="宋体" w:cs="宋体"/>
          <w:snapToGrid w:val="0"/>
          <w:color w:val="000000"/>
          <w:spacing w:val="-1"/>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zh-CN"/>
        </w:rPr>
        <w:br w:type="page"/>
      </w:r>
    </w:p>
    <w:p w14:paraId="4E7FF714">
      <w:pPr>
        <w:widowControl/>
        <w:kinsoku w:val="0"/>
        <w:autoSpaceDE w:val="0"/>
        <w:autoSpaceDN w:val="0"/>
        <w:adjustRightInd w:val="0"/>
        <w:snapToGrid w:val="0"/>
        <w:spacing w:before="101" w:line="224"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6"/>
          <w:kern w:val="0"/>
          <w:sz w:val="31"/>
          <w:szCs w:val="31"/>
          <w:highlight w:val="none"/>
          <w:lang w:eastAsia="en-US"/>
        </w:rPr>
        <w:t>十</w:t>
      </w:r>
      <w:r>
        <w:rPr>
          <w:rFonts w:hint="eastAsia" w:ascii="宋体" w:hAnsi="宋体" w:eastAsia="宋体" w:cs="宋体"/>
          <w:b/>
          <w:bCs/>
          <w:snapToGrid w:val="0"/>
          <w:color w:val="000000"/>
          <w:spacing w:val="6"/>
          <w:kern w:val="0"/>
          <w:sz w:val="31"/>
          <w:szCs w:val="31"/>
          <w:highlight w:val="none"/>
          <w:lang w:val="en-US" w:eastAsia="zh-CN"/>
        </w:rPr>
        <w:t>二</w:t>
      </w:r>
      <w:r>
        <w:rPr>
          <w:rFonts w:ascii="宋体" w:hAnsi="宋体" w:eastAsia="宋体" w:cs="宋体"/>
          <w:b/>
          <w:bCs/>
          <w:snapToGrid w:val="0"/>
          <w:color w:val="000000"/>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为了积极配合采购人组织的</w:t>
      </w:r>
      <w:r>
        <w:rPr>
          <w:rFonts w:ascii="宋体" w:hAnsi="宋体" w:eastAsia="宋体" w:cs="宋体"/>
          <w:snapToGrid w:val="0"/>
          <w:color w:val="000000"/>
          <w:spacing w:val="-48"/>
          <w:kern w:val="0"/>
          <w:sz w:val="24"/>
          <w:szCs w:val="24"/>
          <w:highlight w:val="none"/>
          <w:u w:val="single"/>
          <w:lang w:eastAsia="en-US"/>
        </w:rPr>
        <w:t xml:space="preserve"> </w:t>
      </w:r>
      <w:r>
        <w:rPr>
          <w:rFonts w:hint="eastAsia" w:ascii="宋体" w:hAnsi="宋体" w:eastAsia="宋体" w:cs="宋体"/>
          <w:snapToGrid w:val="0"/>
          <w:color w:val="000000"/>
          <w:spacing w:val="-48"/>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u w:val="single" w:color="auto"/>
          <w:lang w:val="en-US" w:eastAsia="zh-CN"/>
        </w:rPr>
        <w:t xml:space="preserve">标项名称 </w:t>
      </w:r>
      <w:r>
        <w:rPr>
          <w:rFonts w:ascii="宋体" w:hAnsi="宋体" w:eastAsia="宋体" w:cs="宋体"/>
          <w:snapToGrid w:val="0"/>
          <w:color w:val="000000"/>
          <w:spacing w:val="-1"/>
          <w:kern w:val="0"/>
          <w:sz w:val="24"/>
          <w:szCs w:val="24"/>
          <w:highlight w:val="none"/>
          <w:lang w:eastAsia="en-US"/>
        </w:rPr>
        <w:t>的招</w:t>
      </w:r>
      <w:r>
        <w:rPr>
          <w:rFonts w:ascii="宋体" w:hAnsi="宋体" w:eastAsia="宋体" w:cs="宋体"/>
          <w:snapToGrid w:val="0"/>
          <w:color w:val="000000"/>
          <w:spacing w:val="-6"/>
          <w:kern w:val="0"/>
          <w:sz w:val="24"/>
          <w:szCs w:val="24"/>
          <w:highlight w:val="none"/>
          <w:lang w:eastAsia="en-US"/>
        </w:rPr>
        <w:t>标采购工作，有效遏制不公平竞争和违法违纪问题的发生，确保招标工作的公平、公正、公开，</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我方保证认真贯彻《中华人民共和国政府采购法》、《政府采购货物和服务招标投标管理办法》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三、不与其他投标人相互串通投标报价；不使用不正当手段妨碍、排挤其它供应商的公平竞争，</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8"/>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四、不与招标人或招标代理机构串通投标，损害国家利益、社会</w:t>
      </w:r>
      <w:r>
        <w:rPr>
          <w:rFonts w:ascii="宋体" w:hAnsi="宋体" w:eastAsia="宋体" w:cs="宋体"/>
          <w:snapToGrid w:val="0"/>
          <w:color w:val="000000"/>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十、不在开标后进行虚假恶意投诉；</w:t>
      </w:r>
    </w:p>
    <w:p w14:paraId="3DB272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ascii="Arial" w:hAnsi="Arial" w:eastAsia="Arial" w:cs="Arial"/>
          <w:snapToGrid w:val="0"/>
          <w:color w:val="000000"/>
          <w:kern w:val="0"/>
          <w:sz w:val="21"/>
          <w:szCs w:val="21"/>
          <w:highlight w:val="none"/>
          <w:lang w:val="en-US" w:eastAsia="en-US" w:bidi="ar-SA"/>
        </w:rPr>
      </w:pPr>
      <w:r>
        <w:rPr>
          <w:rFonts w:ascii="宋体" w:hAnsi="宋体" w:eastAsia="宋体" w:cs="宋体"/>
          <w:snapToGrid w:val="0"/>
          <w:color w:val="000000"/>
          <w:kern w:val="0"/>
          <w:sz w:val="24"/>
          <w:szCs w:val="24"/>
          <w:highlight w:val="none"/>
          <w:lang w:eastAsia="en-US"/>
        </w:rPr>
        <w:t>十一、开标后配合采购人对人员、车辆、经营场所及实体配送</w:t>
      </w:r>
      <w:r>
        <w:rPr>
          <w:rFonts w:ascii="宋体" w:hAnsi="宋体" w:eastAsia="宋体" w:cs="宋体"/>
          <w:snapToGrid w:val="0"/>
          <w:color w:val="000000"/>
          <w:spacing w:val="-1"/>
          <w:kern w:val="0"/>
          <w:sz w:val="24"/>
          <w:szCs w:val="24"/>
          <w:highlight w:val="none"/>
          <w:lang w:eastAsia="en-US"/>
        </w:rPr>
        <w:t>中心等内容进行现场核实；</w:t>
      </w: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本公司若有违反本承诺书内容的行为，自愿取消中标资格，接受行政主管部门作出的任何</w:t>
      </w:r>
      <w:r>
        <w:rPr>
          <w:rFonts w:ascii="宋体" w:hAnsi="宋体" w:eastAsia="宋体" w:cs="宋体"/>
          <w:snapToGrid w:val="0"/>
          <w:color w:val="000000"/>
          <w:spacing w:val="-2"/>
          <w:kern w:val="0"/>
          <w:sz w:val="24"/>
          <w:szCs w:val="24"/>
          <w:highlight w:val="none"/>
          <w:lang w:eastAsia="en-US"/>
        </w:rPr>
        <w:t>处罚，并愿意承担法律责任！</w:t>
      </w:r>
    </w:p>
    <w:p w14:paraId="2D047A9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en-US"/>
        </w:rPr>
        <w:t xml:space="preserve"> </w:t>
      </w:r>
      <w:r>
        <w:rPr>
          <w:rFonts w:ascii="宋体" w:hAnsi="宋体" w:eastAsia="宋体" w:cs="宋体"/>
          <w:snapToGrid w:val="0"/>
          <w:color w:val="000000"/>
          <w:spacing w:val="2"/>
          <w:kern w:val="0"/>
          <w:sz w:val="24"/>
          <w:szCs w:val="24"/>
          <w:highlight w:val="none"/>
          <w:lang w:eastAsia="en-US"/>
        </w:rPr>
        <w:t>供应商名称（公章）</w:t>
      </w:r>
      <w:r>
        <w:rPr>
          <w:rFonts w:hint="eastAsia" w:ascii="宋体" w:hAnsi="宋体" w:eastAsia="宋体" w:cs="宋体"/>
          <w:snapToGrid w:val="0"/>
          <w:color w:val="000000"/>
          <w:spacing w:val="2"/>
          <w:kern w:val="0"/>
          <w:sz w:val="24"/>
          <w:szCs w:val="24"/>
          <w:highlight w:val="none"/>
          <w:lang w:eastAsia="en-US"/>
        </w:rPr>
        <w:t>：</w:t>
      </w:r>
    </w:p>
    <w:p w14:paraId="5FF386DB">
      <w:pPr>
        <w:keepNext w:val="0"/>
        <w:keepLines w:val="0"/>
        <w:pageBreakBefore w:val="0"/>
        <w:wordWrap w:val="0"/>
        <w:overflowPunct/>
        <w:topLinePunct w:val="0"/>
        <w:bidi w:val="0"/>
        <w:spacing w:line="400" w:lineRule="exact"/>
        <w:jc w:val="righ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b w:val="0"/>
          <w:bCs/>
          <w:color w:val="auto"/>
          <w:sz w:val="24"/>
          <w:szCs w:val="24"/>
          <w:highlight w:val="none"/>
        </w:rPr>
        <w:t>法定代表人（单位负责人）或其授权委托人（签字或盖章）</w:t>
      </w:r>
      <w:r>
        <w:rPr>
          <w:rFonts w:ascii="宋体" w:hAnsi="宋体" w:eastAsia="宋体" w:cs="宋体"/>
          <w:b w:val="0"/>
          <w:bCs/>
          <w:snapToGrid w:val="0"/>
          <w:color w:val="000000"/>
          <w:spacing w:val="-31"/>
          <w:kern w:val="0"/>
          <w:sz w:val="24"/>
          <w:szCs w:val="24"/>
          <w:highlight w:val="none"/>
          <w:lang w:eastAsia="en-US"/>
        </w:rPr>
        <w:t>：</w:t>
      </w:r>
      <w:r>
        <w:rPr>
          <w:rFonts w:ascii="宋体" w:hAnsi="宋体" w:eastAsia="宋体" w:cs="宋体"/>
          <w:b w:val="0"/>
          <w:bCs/>
          <w:snapToGrid w:val="0"/>
          <w:color w:val="000000"/>
          <w:spacing w:val="1"/>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ascii="宋体" w:hAnsi="宋体" w:eastAsia="宋体" w:cs="宋体"/>
          <w:b/>
          <w:bCs/>
          <w:spacing w:val="6"/>
          <w:sz w:val="31"/>
          <w:szCs w:val="31"/>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宋体" w:hAnsi="宋体" w:eastAsia="宋体" w:cs="宋体"/>
          <w:b/>
          <w:bCs/>
          <w:snapToGrid w:val="0"/>
          <w:color w:val="000000"/>
          <w:spacing w:val="6"/>
          <w:kern w:val="0"/>
          <w:sz w:val="31"/>
          <w:szCs w:val="31"/>
          <w:highlight w:val="none"/>
          <w:lang w:eastAsia="en-US"/>
        </w:rPr>
      </w:pPr>
      <w:r>
        <w:rPr>
          <w:rFonts w:hint="eastAsia" w:ascii="宋体" w:hAnsi="宋体" w:eastAsia="宋体" w:cs="宋体"/>
          <w:b/>
          <w:bCs/>
          <w:snapToGrid w:val="0"/>
          <w:color w:val="000000"/>
          <w:spacing w:val="6"/>
          <w:kern w:val="0"/>
          <w:sz w:val="31"/>
          <w:szCs w:val="31"/>
          <w:highlight w:val="none"/>
          <w:lang w:val="en-US" w:eastAsia="zh-CN"/>
        </w:rPr>
        <w:t>十三</w:t>
      </w:r>
      <w:r>
        <w:rPr>
          <w:rFonts w:ascii="宋体" w:hAnsi="宋体" w:eastAsia="宋体" w:cs="宋体"/>
          <w:b/>
          <w:bCs/>
          <w:snapToGrid w:val="0"/>
          <w:color w:val="000000"/>
          <w:spacing w:val="6"/>
          <w:kern w:val="0"/>
          <w:sz w:val="31"/>
          <w:szCs w:val="31"/>
          <w:highlight w:val="none"/>
          <w:lang w:eastAsia="en-US"/>
        </w:rPr>
        <w:t>、</w:t>
      </w:r>
      <w:r>
        <w:rPr>
          <w:rFonts w:hint="eastAsia" w:ascii="宋体" w:hAnsi="宋体" w:eastAsia="宋体" w:cs="宋体"/>
          <w:b/>
          <w:bCs/>
          <w:snapToGrid w:val="0"/>
          <w:color w:val="000000"/>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(招标人名称)：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default" w:ascii="宋体" w:hAnsi="宋体" w:eastAsia="宋体" w:cs="宋体"/>
          <w:snapToGrid w:val="0"/>
          <w:color w:val="000000"/>
          <w:spacing w:val="-6"/>
          <w:kern w:val="0"/>
          <w:sz w:val="24"/>
          <w:szCs w:val="24"/>
          <w:highlight w:val="none"/>
          <w:lang w:val="en-US" w:eastAsia="en-US"/>
        </w:rPr>
      </w:pPr>
      <w:r>
        <w:rPr>
          <w:rFonts w:hint="eastAsia" w:ascii="宋体" w:hAnsi="宋体" w:eastAsia="宋体" w:cs="宋体"/>
          <w:snapToGrid w:val="0"/>
          <w:color w:val="000000"/>
          <w:spacing w:val="-6"/>
          <w:kern w:val="0"/>
          <w:sz w:val="24"/>
          <w:szCs w:val="24"/>
          <w:highlight w:val="none"/>
          <w:lang w:val="en-US" w:eastAsia="zh-CN"/>
        </w:rPr>
        <w:t>(招标代理机构名称)：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44BF445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 xml:space="preserve">供应商名称（公章）：               </w:t>
      </w:r>
    </w:p>
    <w:p w14:paraId="2D7AE2E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b w:val="0"/>
          <w:bCs/>
          <w:color w:val="auto"/>
          <w:sz w:val="24"/>
          <w:szCs w:val="24"/>
          <w:highlight w:val="none"/>
        </w:rPr>
        <w:t>法定代表人（单位负责人）或其授权委托人（签字或盖章）</w:t>
      </w:r>
      <w:r>
        <w:rPr>
          <w:rFonts w:hint="eastAsia" w:ascii="宋体" w:hAnsi="宋体" w:eastAsia="宋体" w:cs="宋体"/>
          <w:b w:val="0"/>
          <w:bCs/>
          <w:snapToGrid w:val="0"/>
          <w:color w:val="000000"/>
          <w:spacing w:val="-6"/>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 xml:space="preserve">               </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sz w:val="24"/>
          <w:szCs w:val="24"/>
          <w:highlight w:val="none"/>
        </w:rPr>
      </w:pPr>
      <w:r>
        <w:rPr>
          <w:rFonts w:hint="eastAsia" w:ascii="宋体" w:hAnsi="宋体" w:eastAsia="宋体" w:cs="宋体"/>
          <w:snapToGrid w:val="0"/>
          <w:color w:val="000000"/>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ascii="宋体" w:hAnsi="宋体" w:eastAsia="宋体" w:cs="宋体"/>
          <w:b/>
          <w:bCs/>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6D6557CB">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9"/>
          <w:kern w:val="0"/>
          <w:sz w:val="24"/>
          <w:szCs w:val="24"/>
          <w:highlight w:val="none"/>
          <w:lang w:val="en-US" w:eastAsia="zh-CN"/>
        </w:rPr>
      </w:pPr>
      <w:r>
        <w:rPr>
          <w:rFonts w:ascii="宋体" w:hAnsi="宋体" w:eastAsia="宋体" w:cs="宋体"/>
          <w:b/>
          <w:bCs/>
          <w:spacing w:val="6"/>
          <w:sz w:val="31"/>
          <w:szCs w:val="31"/>
          <w:highlight w:val="none"/>
        </w:rPr>
        <w:t>十</w:t>
      </w:r>
      <w:r>
        <w:rPr>
          <w:rFonts w:hint="eastAsia" w:ascii="宋体" w:hAnsi="宋体" w:eastAsia="宋体" w:cs="宋体"/>
          <w:b/>
          <w:bCs/>
          <w:spacing w:val="6"/>
          <w:sz w:val="31"/>
          <w:szCs w:val="31"/>
          <w:highlight w:val="none"/>
          <w:lang w:val="en-US" w:eastAsia="zh-CN"/>
        </w:rPr>
        <w:t>四</w:t>
      </w:r>
      <w:r>
        <w:rPr>
          <w:rFonts w:ascii="宋体" w:hAnsi="宋体" w:eastAsia="宋体" w:cs="宋体"/>
          <w:b/>
          <w:bCs/>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12F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572C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34</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F572C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34</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C57F">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CC57F">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2CA7">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A70D70E4"/>
    <w:multiLevelType w:val="singleLevel"/>
    <w:tmpl w:val="A70D70E4"/>
    <w:lvl w:ilvl="0" w:tentative="0">
      <w:start w:val="1"/>
      <w:numFmt w:val="decimal"/>
      <w:lvlText w:val="%1."/>
      <w:lvlJc w:val="left"/>
      <w:pPr>
        <w:tabs>
          <w:tab w:val="left" w:pos="312"/>
        </w:tabs>
      </w:pPr>
    </w:lvl>
  </w:abstractNum>
  <w:abstractNum w:abstractNumId="3">
    <w:nsid w:val="B6C11B52"/>
    <w:multiLevelType w:val="singleLevel"/>
    <w:tmpl w:val="B6C11B52"/>
    <w:lvl w:ilvl="0" w:tentative="0">
      <w:start w:val="4"/>
      <w:numFmt w:val="chineseCounting"/>
      <w:suff w:val="space"/>
      <w:lvlText w:val="第%1章"/>
      <w:lvlJc w:val="left"/>
      <w:rPr>
        <w:rFonts w:hint="eastAsia"/>
      </w:rPr>
    </w:lvl>
  </w:abstractNum>
  <w:abstractNum w:abstractNumId="4">
    <w:nsid w:val="C197F59D"/>
    <w:multiLevelType w:val="singleLevel"/>
    <w:tmpl w:val="C197F59D"/>
    <w:lvl w:ilvl="0" w:tentative="0">
      <w:start w:val="1"/>
      <w:numFmt w:val="decimal"/>
      <w:suff w:val="nothing"/>
      <w:lvlText w:val="%1、"/>
      <w:lvlJc w:val="left"/>
    </w:lvl>
  </w:abstractNum>
  <w:abstractNum w:abstractNumId="5">
    <w:nsid w:val="C326CCD6"/>
    <w:multiLevelType w:val="singleLevel"/>
    <w:tmpl w:val="C326CCD6"/>
    <w:lvl w:ilvl="0" w:tentative="0">
      <w:start w:val="2"/>
      <w:numFmt w:val="decimal"/>
      <w:lvlText w:val="%1."/>
      <w:lvlJc w:val="left"/>
      <w:pPr>
        <w:tabs>
          <w:tab w:val="left" w:pos="312"/>
        </w:tabs>
      </w:pPr>
    </w:lvl>
  </w:abstractNum>
  <w:abstractNum w:abstractNumId="6">
    <w:nsid w:val="E565C1D7"/>
    <w:multiLevelType w:val="singleLevel"/>
    <w:tmpl w:val="E565C1D7"/>
    <w:lvl w:ilvl="0" w:tentative="0">
      <w:start w:val="1"/>
      <w:numFmt w:val="decimal"/>
      <w:lvlText w:val="%1."/>
      <w:lvlJc w:val="left"/>
      <w:pPr>
        <w:tabs>
          <w:tab w:val="left" w:pos="312"/>
        </w:tabs>
      </w:pPr>
    </w:lvl>
  </w:abstractNum>
  <w:abstractNum w:abstractNumId="7">
    <w:nsid w:val="27608C58"/>
    <w:multiLevelType w:val="singleLevel"/>
    <w:tmpl w:val="27608C58"/>
    <w:lvl w:ilvl="0" w:tentative="0">
      <w:start w:val="1"/>
      <w:numFmt w:val="decimal"/>
      <w:lvlText w:val="%1."/>
      <w:lvlJc w:val="left"/>
      <w:pPr>
        <w:tabs>
          <w:tab w:val="left" w:pos="312"/>
        </w:tabs>
      </w:pPr>
    </w:lvl>
  </w:abstractNum>
  <w:abstractNum w:abstractNumId="8">
    <w:nsid w:val="470112D7"/>
    <w:multiLevelType w:val="singleLevel"/>
    <w:tmpl w:val="470112D7"/>
    <w:lvl w:ilvl="0" w:tentative="0">
      <w:start w:val="3"/>
      <w:numFmt w:val="chineseCounting"/>
      <w:suff w:val="space"/>
      <w:lvlText w:val="第%1章"/>
      <w:lvlJc w:val="left"/>
      <w:rPr>
        <w:rFonts w:hint="eastAsia"/>
      </w:rPr>
    </w:lvl>
  </w:abstractNum>
  <w:abstractNum w:abstractNumId="9">
    <w:nsid w:val="54D0B996"/>
    <w:multiLevelType w:val="singleLevel"/>
    <w:tmpl w:val="54D0B996"/>
    <w:lvl w:ilvl="0" w:tentative="0">
      <w:start w:val="4"/>
      <w:numFmt w:val="decimal"/>
      <w:suff w:val="nothing"/>
      <w:lvlText w:val="%1、"/>
      <w:lvlJc w:val="left"/>
    </w:lvl>
  </w:abstractNum>
  <w:abstractNum w:abstractNumId="10">
    <w:nsid w:val="54F08D81"/>
    <w:multiLevelType w:val="singleLevel"/>
    <w:tmpl w:val="54F08D81"/>
    <w:lvl w:ilvl="0" w:tentative="0">
      <w:start w:val="9"/>
      <w:numFmt w:val="chineseCounting"/>
      <w:suff w:val="nothing"/>
      <w:lvlText w:val="%1、"/>
      <w:lvlJc w:val="left"/>
      <w:rPr>
        <w:rFonts w:hint="eastAsia"/>
      </w:rPr>
    </w:lvl>
  </w:abstractNum>
  <w:num w:numId="1">
    <w:abstractNumId w:val="2"/>
  </w:num>
  <w:num w:numId="2">
    <w:abstractNumId w:val="4"/>
  </w:num>
  <w:num w:numId="3">
    <w:abstractNumId w:val="0"/>
  </w:num>
  <w:num w:numId="4">
    <w:abstractNumId w:val="8"/>
  </w:num>
  <w:num w:numId="5">
    <w:abstractNumId w:val="3"/>
  </w:num>
  <w:num w:numId="6">
    <w:abstractNumId w:val="7"/>
  </w:num>
  <w:num w:numId="7">
    <w:abstractNumId w:val="5"/>
  </w:num>
  <w:num w:numId="8">
    <w:abstractNumId w:val="1"/>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7722F"/>
    <w:rsid w:val="006B6D1F"/>
    <w:rsid w:val="00AE57C3"/>
    <w:rsid w:val="00CA7EEA"/>
    <w:rsid w:val="00DB20F7"/>
    <w:rsid w:val="00E12CB4"/>
    <w:rsid w:val="015A53E2"/>
    <w:rsid w:val="018E7169"/>
    <w:rsid w:val="01C73D4B"/>
    <w:rsid w:val="01EE7C08"/>
    <w:rsid w:val="01F80A87"/>
    <w:rsid w:val="021B5E22"/>
    <w:rsid w:val="037B371D"/>
    <w:rsid w:val="03AD764F"/>
    <w:rsid w:val="03B723C8"/>
    <w:rsid w:val="03D73645"/>
    <w:rsid w:val="03EA43FF"/>
    <w:rsid w:val="04333FF8"/>
    <w:rsid w:val="043D1A24"/>
    <w:rsid w:val="05142A2C"/>
    <w:rsid w:val="05576574"/>
    <w:rsid w:val="05C65696"/>
    <w:rsid w:val="063B6C07"/>
    <w:rsid w:val="0662756F"/>
    <w:rsid w:val="06AB60C8"/>
    <w:rsid w:val="07041C7C"/>
    <w:rsid w:val="07524795"/>
    <w:rsid w:val="07874365"/>
    <w:rsid w:val="082F2355"/>
    <w:rsid w:val="08332819"/>
    <w:rsid w:val="08355E97"/>
    <w:rsid w:val="089E4E47"/>
    <w:rsid w:val="08A454C4"/>
    <w:rsid w:val="08FF6B9F"/>
    <w:rsid w:val="0A1903F4"/>
    <w:rsid w:val="0A22263C"/>
    <w:rsid w:val="0A2467D3"/>
    <w:rsid w:val="0A7C7693"/>
    <w:rsid w:val="0B84710C"/>
    <w:rsid w:val="0B9C7D9C"/>
    <w:rsid w:val="0BAF665A"/>
    <w:rsid w:val="0BBC0D77"/>
    <w:rsid w:val="0C51088D"/>
    <w:rsid w:val="0DA7345B"/>
    <w:rsid w:val="0E557D0D"/>
    <w:rsid w:val="0E67321C"/>
    <w:rsid w:val="0EFE3967"/>
    <w:rsid w:val="0FAA3E0D"/>
    <w:rsid w:val="10F950E4"/>
    <w:rsid w:val="110A60E1"/>
    <w:rsid w:val="118C11EC"/>
    <w:rsid w:val="11B3526D"/>
    <w:rsid w:val="11BF0BA1"/>
    <w:rsid w:val="11EA44ED"/>
    <w:rsid w:val="120945EA"/>
    <w:rsid w:val="12E701AE"/>
    <w:rsid w:val="136441CE"/>
    <w:rsid w:val="142E20E6"/>
    <w:rsid w:val="14AD5701"/>
    <w:rsid w:val="14BB43DE"/>
    <w:rsid w:val="14F4310F"/>
    <w:rsid w:val="159D39C7"/>
    <w:rsid w:val="15D1541F"/>
    <w:rsid w:val="161D68B6"/>
    <w:rsid w:val="16A111E2"/>
    <w:rsid w:val="17467C1C"/>
    <w:rsid w:val="189746FE"/>
    <w:rsid w:val="18B76B4E"/>
    <w:rsid w:val="18E84F59"/>
    <w:rsid w:val="191B15A5"/>
    <w:rsid w:val="1A320B79"/>
    <w:rsid w:val="1AA6035F"/>
    <w:rsid w:val="1AC92B69"/>
    <w:rsid w:val="1ADD3E4A"/>
    <w:rsid w:val="1B3E3557"/>
    <w:rsid w:val="1BBC26CD"/>
    <w:rsid w:val="1C0C5A7F"/>
    <w:rsid w:val="1C170197"/>
    <w:rsid w:val="1D2B28CD"/>
    <w:rsid w:val="1D752B34"/>
    <w:rsid w:val="1DCC309C"/>
    <w:rsid w:val="1E0F2F88"/>
    <w:rsid w:val="1E893264"/>
    <w:rsid w:val="1ED94728"/>
    <w:rsid w:val="1F58270D"/>
    <w:rsid w:val="1F7E03C6"/>
    <w:rsid w:val="1F9F30E8"/>
    <w:rsid w:val="1FAF368D"/>
    <w:rsid w:val="1FEF6BCD"/>
    <w:rsid w:val="20CC3E08"/>
    <w:rsid w:val="20F16975"/>
    <w:rsid w:val="212022A9"/>
    <w:rsid w:val="214E3EFA"/>
    <w:rsid w:val="215A09BE"/>
    <w:rsid w:val="21B9578A"/>
    <w:rsid w:val="21D00C81"/>
    <w:rsid w:val="2298179E"/>
    <w:rsid w:val="22A151E4"/>
    <w:rsid w:val="22CA3922"/>
    <w:rsid w:val="22E26970"/>
    <w:rsid w:val="23247D15"/>
    <w:rsid w:val="23B9320C"/>
    <w:rsid w:val="23BF0FAD"/>
    <w:rsid w:val="23D34A58"/>
    <w:rsid w:val="24363FD0"/>
    <w:rsid w:val="24392C5D"/>
    <w:rsid w:val="248D10AB"/>
    <w:rsid w:val="24A47EFA"/>
    <w:rsid w:val="24B71C84"/>
    <w:rsid w:val="258904E7"/>
    <w:rsid w:val="25AC5B1F"/>
    <w:rsid w:val="27070CA1"/>
    <w:rsid w:val="272E26D1"/>
    <w:rsid w:val="274F43F6"/>
    <w:rsid w:val="2810627B"/>
    <w:rsid w:val="286D0FD7"/>
    <w:rsid w:val="288E0F4E"/>
    <w:rsid w:val="28B55928"/>
    <w:rsid w:val="294840E7"/>
    <w:rsid w:val="29D4637D"/>
    <w:rsid w:val="29EA6657"/>
    <w:rsid w:val="2A007A22"/>
    <w:rsid w:val="2A4F3E17"/>
    <w:rsid w:val="2A583806"/>
    <w:rsid w:val="2A7D127A"/>
    <w:rsid w:val="2B2C517A"/>
    <w:rsid w:val="2BF612E4"/>
    <w:rsid w:val="2C163734"/>
    <w:rsid w:val="2C6022BF"/>
    <w:rsid w:val="2CFA0274"/>
    <w:rsid w:val="2CFB5E46"/>
    <w:rsid w:val="2D5E11CC"/>
    <w:rsid w:val="2D8C6181"/>
    <w:rsid w:val="2E00469C"/>
    <w:rsid w:val="2E6C32E7"/>
    <w:rsid w:val="2E781383"/>
    <w:rsid w:val="2EA17266"/>
    <w:rsid w:val="2EA52D6F"/>
    <w:rsid w:val="2EF12E3A"/>
    <w:rsid w:val="2F551C15"/>
    <w:rsid w:val="2F5E167A"/>
    <w:rsid w:val="2F7312DD"/>
    <w:rsid w:val="303013BE"/>
    <w:rsid w:val="30FF50DE"/>
    <w:rsid w:val="3129239C"/>
    <w:rsid w:val="317B6345"/>
    <w:rsid w:val="319C46DB"/>
    <w:rsid w:val="31BC39F0"/>
    <w:rsid w:val="32690A61"/>
    <w:rsid w:val="335D6D17"/>
    <w:rsid w:val="33A361F5"/>
    <w:rsid w:val="33BE6B8B"/>
    <w:rsid w:val="341920AE"/>
    <w:rsid w:val="34662ACF"/>
    <w:rsid w:val="35351167"/>
    <w:rsid w:val="3579545F"/>
    <w:rsid w:val="3583298C"/>
    <w:rsid w:val="35DC154A"/>
    <w:rsid w:val="35EA0C71"/>
    <w:rsid w:val="362829E1"/>
    <w:rsid w:val="365B6913"/>
    <w:rsid w:val="36EE65D0"/>
    <w:rsid w:val="36F3781E"/>
    <w:rsid w:val="37246363"/>
    <w:rsid w:val="37895702"/>
    <w:rsid w:val="37DF5322"/>
    <w:rsid w:val="37F84740"/>
    <w:rsid w:val="38A547BD"/>
    <w:rsid w:val="3A173CF6"/>
    <w:rsid w:val="3A703167"/>
    <w:rsid w:val="3AAD1AF8"/>
    <w:rsid w:val="3AE315CD"/>
    <w:rsid w:val="3AEC222F"/>
    <w:rsid w:val="3BA40D5C"/>
    <w:rsid w:val="3D233F03"/>
    <w:rsid w:val="3D51281E"/>
    <w:rsid w:val="3DD20C28"/>
    <w:rsid w:val="3E0C4997"/>
    <w:rsid w:val="3E143B9F"/>
    <w:rsid w:val="3E473E70"/>
    <w:rsid w:val="3E686071"/>
    <w:rsid w:val="3E7517F2"/>
    <w:rsid w:val="3EDE6333"/>
    <w:rsid w:val="3F02490E"/>
    <w:rsid w:val="3F6D7479"/>
    <w:rsid w:val="3FC217B1"/>
    <w:rsid w:val="40586799"/>
    <w:rsid w:val="40B97058"/>
    <w:rsid w:val="41562AF9"/>
    <w:rsid w:val="42470693"/>
    <w:rsid w:val="42497F0A"/>
    <w:rsid w:val="42BD040D"/>
    <w:rsid w:val="43824F03"/>
    <w:rsid w:val="43882A36"/>
    <w:rsid w:val="43A63E06"/>
    <w:rsid w:val="449778A1"/>
    <w:rsid w:val="453B34FF"/>
    <w:rsid w:val="45813EBC"/>
    <w:rsid w:val="45925649"/>
    <w:rsid w:val="460565DA"/>
    <w:rsid w:val="46287269"/>
    <w:rsid w:val="46584C1D"/>
    <w:rsid w:val="46CB53EF"/>
    <w:rsid w:val="46D544C0"/>
    <w:rsid w:val="46E44703"/>
    <w:rsid w:val="4761583C"/>
    <w:rsid w:val="47A829EE"/>
    <w:rsid w:val="486A6E89"/>
    <w:rsid w:val="486D02B7"/>
    <w:rsid w:val="48A27825"/>
    <w:rsid w:val="48A73C3A"/>
    <w:rsid w:val="48C32A1D"/>
    <w:rsid w:val="49B04D70"/>
    <w:rsid w:val="49FB248F"/>
    <w:rsid w:val="4A4640A6"/>
    <w:rsid w:val="4A992893"/>
    <w:rsid w:val="4BAA4DF2"/>
    <w:rsid w:val="4C481290"/>
    <w:rsid w:val="4CD82614"/>
    <w:rsid w:val="4CEB4760"/>
    <w:rsid w:val="4EC07803"/>
    <w:rsid w:val="4F2B1E17"/>
    <w:rsid w:val="4F4727B8"/>
    <w:rsid w:val="4F8B17BB"/>
    <w:rsid w:val="4FDE1FB4"/>
    <w:rsid w:val="500371EC"/>
    <w:rsid w:val="500752E9"/>
    <w:rsid w:val="50185A7A"/>
    <w:rsid w:val="502838B2"/>
    <w:rsid w:val="502F321B"/>
    <w:rsid w:val="508A37A8"/>
    <w:rsid w:val="50901457"/>
    <w:rsid w:val="50AE653F"/>
    <w:rsid w:val="510F1E1F"/>
    <w:rsid w:val="51271DBC"/>
    <w:rsid w:val="51AA02F7"/>
    <w:rsid w:val="51B977CF"/>
    <w:rsid w:val="51F138FE"/>
    <w:rsid w:val="51F96A8C"/>
    <w:rsid w:val="51FA3605"/>
    <w:rsid w:val="5281374D"/>
    <w:rsid w:val="529D7401"/>
    <w:rsid w:val="534704F3"/>
    <w:rsid w:val="542645AC"/>
    <w:rsid w:val="547C241E"/>
    <w:rsid w:val="549C661D"/>
    <w:rsid w:val="54E35FFA"/>
    <w:rsid w:val="55A11EDB"/>
    <w:rsid w:val="55FA184D"/>
    <w:rsid w:val="572F5ECC"/>
    <w:rsid w:val="592D3283"/>
    <w:rsid w:val="59C516FB"/>
    <w:rsid w:val="5A785436"/>
    <w:rsid w:val="5A8C467E"/>
    <w:rsid w:val="5AEF3936"/>
    <w:rsid w:val="5B04316E"/>
    <w:rsid w:val="5B13515F"/>
    <w:rsid w:val="5B3A62AE"/>
    <w:rsid w:val="5B7E082A"/>
    <w:rsid w:val="5C294C3A"/>
    <w:rsid w:val="5C90184F"/>
    <w:rsid w:val="5DBE5856"/>
    <w:rsid w:val="5DFE20F6"/>
    <w:rsid w:val="5E421FE3"/>
    <w:rsid w:val="5E602469"/>
    <w:rsid w:val="5E783C56"/>
    <w:rsid w:val="5E8C325E"/>
    <w:rsid w:val="5E9F5687"/>
    <w:rsid w:val="5EB427B5"/>
    <w:rsid w:val="5EDF3CD6"/>
    <w:rsid w:val="5F1871E8"/>
    <w:rsid w:val="5F221E14"/>
    <w:rsid w:val="5F244E7E"/>
    <w:rsid w:val="5FC44C79"/>
    <w:rsid w:val="604F05EC"/>
    <w:rsid w:val="60ED1F06"/>
    <w:rsid w:val="61265BEC"/>
    <w:rsid w:val="613F6CAD"/>
    <w:rsid w:val="616D6DFA"/>
    <w:rsid w:val="61E613B8"/>
    <w:rsid w:val="61EF2482"/>
    <w:rsid w:val="620A72BB"/>
    <w:rsid w:val="62E029FB"/>
    <w:rsid w:val="62F615EE"/>
    <w:rsid w:val="62F95F66"/>
    <w:rsid w:val="631F0B45"/>
    <w:rsid w:val="63D6044B"/>
    <w:rsid w:val="64273ED1"/>
    <w:rsid w:val="654F75A3"/>
    <w:rsid w:val="65533E5D"/>
    <w:rsid w:val="65CE6852"/>
    <w:rsid w:val="65E0270A"/>
    <w:rsid w:val="65E22973"/>
    <w:rsid w:val="670C13E0"/>
    <w:rsid w:val="676F7BC1"/>
    <w:rsid w:val="67AF7FBD"/>
    <w:rsid w:val="683230C8"/>
    <w:rsid w:val="684252F7"/>
    <w:rsid w:val="688E4077"/>
    <w:rsid w:val="69C922CC"/>
    <w:rsid w:val="6A47042A"/>
    <w:rsid w:val="6A694D9B"/>
    <w:rsid w:val="6ACD3676"/>
    <w:rsid w:val="6B1A4CBA"/>
    <w:rsid w:val="6B1D005F"/>
    <w:rsid w:val="6B3C7DBA"/>
    <w:rsid w:val="6B596BBE"/>
    <w:rsid w:val="6B6F4633"/>
    <w:rsid w:val="6BD61FBC"/>
    <w:rsid w:val="6C5F1FB2"/>
    <w:rsid w:val="6D0D7EFA"/>
    <w:rsid w:val="6D4B0463"/>
    <w:rsid w:val="6D5C321E"/>
    <w:rsid w:val="6DB0568D"/>
    <w:rsid w:val="6DB4457F"/>
    <w:rsid w:val="6E0E7420"/>
    <w:rsid w:val="6E4753F3"/>
    <w:rsid w:val="6E641B01"/>
    <w:rsid w:val="6E69536A"/>
    <w:rsid w:val="6E7D0E15"/>
    <w:rsid w:val="6EB10C80"/>
    <w:rsid w:val="6ED07197"/>
    <w:rsid w:val="6EE82732"/>
    <w:rsid w:val="6FEA072C"/>
    <w:rsid w:val="6FEF10F8"/>
    <w:rsid w:val="70666005"/>
    <w:rsid w:val="70F84165"/>
    <w:rsid w:val="719113E8"/>
    <w:rsid w:val="72251164"/>
    <w:rsid w:val="72303324"/>
    <w:rsid w:val="7269097B"/>
    <w:rsid w:val="72B62B48"/>
    <w:rsid w:val="7304286D"/>
    <w:rsid w:val="73832A2A"/>
    <w:rsid w:val="73B93D0D"/>
    <w:rsid w:val="73FA7201"/>
    <w:rsid w:val="74061249"/>
    <w:rsid w:val="74343D24"/>
    <w:rsid w:val="746C4EBA"/>
    <w:rsid w:val="74F87447"/>
    <w:rsid w:val="74FE759E"/>
    <w:rsid w:val="750A2B3F"/>
    <w:rsid w:val="758D465D"/>
    <w:rsid w:val="768A40CF"/>
    <w:rsid w:val="76E934EC"/>
    <w:rsid w:val="77853729"/>
    <w:rsid w:val="77D31AA6"/>
    <w:rsid w:val="77E141C3"/>
    <w:rsid w:val="785C7CED"/>
    <w:rsid w:val="78BC04F3"/>
    <w:rsid w:val="78CB7A6C"/>
    <w:rsid w:val="78E0091E"/>
    <w:rsid w:val="793341DD"/>
    <w:rsid w:val="7A325859"/>
    <w:rsid w:val="7A3C7DD6"/>
    <w:rsid w:val="7A520239"/>
    <w:rsid w:val="7A601D17"/>
    <w:rsid w:val="7A883805"/>
    <w:rsid w:val="7AA51B4A"/>
    <w:rsid w:val="7BA45C33"/>
    <w:rsid w:val="7BB85CC9"/>
    <w:rsid w:val="7CBE2D25"/>
    <w:rsid w:val="7D01475A"/>
    <w:rsid w:val="7D99109C"/>
    <w:rsid w:val="7E2E5C88"/>
    <w:rsid w:val="7E4454AB"/>
    <w:rsid w:val="7E7062A0"/>
    <w:rsid w:val="7E98148A"/>
    <w:rsid w:val="7EC14D4E"/>
    <w:rsid w:val="7F272B88"/>
    <w:rsid w:val="7F353899"/>
    <w:rsid w:val="7F92305C"/>
    <w:rsid w:val="7FEA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99"/>
    <w:pPr>
      <w:keepNext/>
      <w:keepLines/>
      <w:widowControl w:val="0"/>
      <w:spacing w:before="260" w:after="260" w:line="416" w:lineRule="auto"/>
      <w:jc w:val="both"/>
      <w:outlineLvl w:val="2"/>
    </w:pPr>
    <w:rPr>
      <w:rFonts w:ascii="Times New Roman" w:hAnsi="Times New Roman" w:eastAsia="宋体" w:cs="Times New Roman"/>
      <w:b/>
      <w:bCs/>
      <w:kern w:val="0"/>
      <w:sz w:val="32"/>
      <w:szCs w:val="32"/>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szCs w:val="24"/>
    </w:rPr>
  </w:style>
  <w:style w:type="paragraph" w:styleId="5">
    <w:name w:val="Body Text"/>
    <w:basedOn w:val="1"/>
    <w:next w:val="6"/>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w:basedOn w:val="1"/>
    <w:next w:val="8"/>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8">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6"/>
    <w:basedOn w:val="1"/>
    <w:next w:val="1"/>
    <w:qFormat/>
    <w:uiPriority w:val="0"/>
    <w:pPr>
      <w:ind w:left="1050"/>
      <w:jc w:val="left"/>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lang w:val="en-US" w:eastAsia="zh-CN" w:bidi="ar-SA"/>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5"/>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basedOn w:val="7"/>
    <w:next w:val="14"/>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日期_0"/>
    <w:next w:val="24"/>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styleId="26">
    <w:name w:val="List Paragraph"/>
    <w:basedOn w:val="1"/>
    <w:unhideWhenUsed/>
    <w:qFormat/>
    <w:uiPriority w:val="99"/>
    <w:pPr>
      <w:ind w:firstLine="420" w:firstLineChars="200"/>
    </w:pPr>
  </w:style>
  <w:style w:type="paragraph" w:customStyle="1" w:styleId="2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2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样式 仿宋"/>
    <w:qFormat/>
    <w:uiPriority w:val="0"/>
    <w:rPr>
      <w:rFonts w:ascii="仿宋" w:hAnsi="仿宋" w:eastAsia="仿宋"/>
      <w:kern w:val="1"/>
    </w:rPr>
  </w:style>
  <w:style w:type="paragraph" w:customStyle="1" w:styleId="31">
    <w:name w:val=" Char"/>
    <w:basedOn w:val="1"/>
    <w:qFormat/>
    <w:uiPriority w:val="0"/>
    <w:pPr>
      <w:tabs>
        <w:tab w:val="left" w:pos="432"/>
      </w:tabs>
      <w:spacing w:before="156" w:beforeLines="50" w:after="156" w:afterLines="50"/>
      <w:ind w:left="432" w:hanging="432"/>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3204</Words>
  <Characters>3638</Characters>
  <Lines>0</Lines>
  <Paragraphs>0</Paragraphs>
  <TotalTime>2</TotalTime>
  <ScaleCrop>false</ScaleCrop>
  <LinksUpToDate>false</LinksUpToDate>
  <CharactersWithSpaces>3797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聒</cp:lastModifiedBy>
  <cp:lastPrinted>2025-12-26T11:10:00Z</cp:lastPrinted>
  <dcterms:modified xsi:type="dcterms:W3CDTF">2026-05-25T09:58:35Z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AB3075B9B67C4C4AA2758AA630C72AE6_13</vt:lpwstr>
  </property>
  <property fmtid="{D5CDD505-2E9C-101B-9397-08002B2CF9AE}" pid="4" name="KSOTemplateDocerSaveRecord">
    <vt:lpwstr>eyJoZGlkIjoiZmE4YTNiZjI2NGE0NjlhNDZhYTEwMmRjZjcyN2U0MmMiLCJ1c2VySWQiOiIzMTEyMTMxNjQifQ==</vt:lpwstr>
  </property>
</Properties>
</file>