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val="0"/>
        <w:overflowPunct/>
        <w:topLinePunct w:val="0"/>
        <w:autoSpaceDE/>
        <w:autoSpaceDN/>
        <w:bidi w:val="0"/>
        <w:adjustRightInd w:val="0"/>
        <w:spacing w:line="360" w:lineRule="auto"/>
        <w:jc w:val="both"/>
        <w:textAlignment w:val="auto"/>
        <w:rPr>
          <w:rFonts w:hint="eastAsia" w:ascii="宋体" w:hAnsi="宋体" w:eastAsia="宋体" w:cs="宋体"/>
          <w:b/>
          <w:sz w:val="30"/>
          <w:szCs w:val="30"/>
        </w:rPr>
      </w:pPr>
    </w:p>
    <w:p>
      <w:pPr>
        <w:keepNext w:val="0"/>
        <w:keepLines w:val="0"/>
        <w:pageBreakBefore w:val="0"/>
        <w:widowControl w:val="0"/>
        <w:kinsoku/>
        <w:wordWrap w:val="0"/>
        <w:overflowPunct/>
        <w:topLinePunct w:val="0"/>
        <w:autoSpaceDE/>
        <w:autoSpaceDN/>
        <w:bidi w:val="0"/>
        <w:adjustRightInd w:val="0"/>
        <w:spacing w:line="360" w:lineRule="auto"/>
        <w:jc w:val="both"/>
        <w:textAlignment w:val="auto"/>
        <w:rPr>
          <w:rFonts w:hint="eastAsia" w:ascii="宋体" w:hAnsi="宋体" w:eastAsia="宋体" w:cs="宋体"/>
          <w:b/>
          <w:sz w:val="30"/>
          <w:szCs w:val="30"/>
        </w:rPr>
      </w:pPr>
      <w:r>
        <w:rPr>
          <w:rFonts w:hint="eastAsia" w:ascii="宋体" w:hAnsi="宋体" w:cs="宋体"/>
          <w:b/>
          <w:sz w:val="30"/>
          <w:szCs w:val="30"/>
          <w:lang w:val="en-US" w:eastAsia="zh-CN"/>
        </w:rPr>
        <w:t xml:space="preserve">                 </w:t>
      </w:r>
      <w:bookmarkStart w:id="0" w:name="_Toc152042287"/>
      <w:bookmarkStart w:id="1" w:name="_Toc144974479"/>
      <w:bookmarkStart w:id="2" w:name="_Toc152045511"/>
    </w:p>
    <w:p>
      <w:pPr>
        <w:keepNext w:val="0"/>
        <w:keepLines w:val="0"/>
        <w:pageBreakBefore w:val="0"/>
        <w:widowControl w:val="0"/>
        <w:kinsoku/>
        <w:wordWrap w:val="0"/>
        <w:overflowPunct/>
        <w:topLinePunct w:val="0"/>
        <w:autoSpaceDE/>
        <w:autoSpaceDN/>
        <w:bidi w:val="0"/>
        <w:snapToGrid w:val="0"/>
        <w:spacing w:line="360" w:lineRule="auto"/>
        <w:ind w:left="4216" w:hanging="4216" w:hangingChars="1400"/>
        <w:jc w:val="both"/>
        <w:textAlignment w:val="auto"/>
        <w:rPr>
          <w:rFonts w:hint="eastAsia" w:ascii="宋体" w:hAnsi="宋体" w:eastAsia="宋体" w:cs="宋体"/>
          <w:b/>
          <w:bCs/>
          <w:sz w:val="28"/>
          <w:szCs w:val="28"/>
        </w:rPr>
      </w:pPr>
      <w:r>
        <w:rPr>
          <w:rFonts w:hint="eastAsia" w:ascii="宋体" w:hAnsi="宋体" w:cs="宋体"/>
          <w:b/>
          <w:sz w:val="30"/>
          <w:szCs w:val="30"/>
          <w:lang w:val="en-US" w:eastAsia="zh-CN"/>
        </w:rPr>
        <w:t xml:space="preserve"> </w:t>
      </w:r>
      <w:r>
        <w:rPr>
          <w:rFonts w:hint="eastAsia" w:ascii="宋体" w:hAnsi="宋体" w:eastAsia="宋体" w:cs="宋体"/>
          <w:b/>
          <w:sz w:val="28"/>
          <w:szCs w:val="28"/>
        </w:rPr>
        <w:t>项目编号：采购计划-[2026]-00640号-01</w:t>
      </w:r>
    </w:p>
    <w:p>
      <w:pPr>
        <w:keepNext w:val="0"/>
        <w:keepLines w:val="0"/>
        <w:pageBreakBefore w:val="0"/>
        <w:widowControl w:val="0"/>
        <w:kinsoku/>
        <w:wordWrap w:val="0"/>
        <w:overflowPunct/>
        <w:topLinePunct w:val="0"/>
        <w:autoSpaceDE/>
        <w:autoSpaceDN/>
        <w:bidi w:val="0"/>
        <w:adjustRightInd w:val="0"/>
        <w:ind w:left="4"/>
        <w:jc w:val="center"/>
        <w:rPr>
          <w:rFonts w:hint="eastAsia" w:ascii="宋体" w:hAnsi="宋体" w:eastAsia="宋体" w:cs="宋体"/>
          <w:b/>
          <w:bCs/>
          <w:spacing w:val="160"/>
          <w:sz w:val="36"/>
          <w:szCs w:val="36"/>
          <w:lang w:val="zh-CN"/>
        </w:rPr>
      </w:pPr>
    </w:p>
    <w:p>
      <w:pPr>
        <w:keepNext w:val="0"/>
        <w:keepLines w:val="0"/>
        <w:pageBreakBefore w:val="0"/>
        <w:widowControl w:val="0"/>
        <w:kinsoku/>
        <w:wordWrap w:val="0"/>
        <w:overflowPunct/>
        <w:topLinePunct w:val="0"/>
        <w:autoSpaceDE/>
        <w:autoSpaceDN/>
        <w:bidi w:val="0"/>
        <w:adjustRightInd w:val="0"/>
        <w:ind w:left="4"/>
        <w:jc w:val="center"/>
        <w:rPr>
          <w:rFonts w:hint="eastAsia" w:ascii="宋体" w:hAnsi="宋体" w:eastAsia="宋体" w:cs="宋体"/>
          <w:b/>
          <w:sz w:val="48"/>
          <w:szCs w:val="48"/>
          <w:lang w:val="zh-CN"/>
        </w:rPr>
      </w:pPr>
      <w:r>
        <w:rPr>
          <w:rFonts w:hint="eastAsia" w:ascii="宋体" w:hAnsi="宋体" w:eastAsia="宋体" w:cs="宋体"/>
          <w:b/>
          <w:sz w:val="48"/>
          <w:szCs w:val="48"/>
          <w:lang w:val="zh-CN"/>
        </w:rPr>
        <w:t>龙潭区2026年上半年随见修工程（零星维修工程）</w:t>
      </w:r>
    </w:p>
    <w:p>
      <w:pPr>
        <w:keepNext w:val="0"/>
        <w:keepLines w:val="0"/>
        <w:pageBreakBefore w:val="0"/>
        <w:widowControl w:val="0"/>
        <w:kinsoku/>
        <w:wordWrap w:val="0"/>
        <w:overflowPunct/>
        <w:topLinePunct w:val="0"/>
        <w:autoSpaceDE/>
        <w:autoSpaceDN/>
        <w:bidi w:val="0"/>
        <w:adjustRightInd w:val="0"/>
        <w:ind w:left="4"/>
        <w:jc w:val="center"/>
        <w:rPr>
          <w:rFonts w:hint="eastAsia" w:ascii="宋体" w:hAnsi="宋体" w:eastAsia="宋体" w:cs="宋体"/>
          <w:b/>
          <w:bCs/>
          <w:spacing w:val="160"/>
          <w:sz w:val="52"/>
          <w:szCs w:val="52"/>
          <w:lang w:val="zh-CN"/>
        </w:rPr>
      </w:pPr>
    </w:p>
    <w:p>
      <w:pPr>
        <w:keepNext w:val="0"/>
        <w:keepLines w:val="0"/>
        <w:pageBreakBefore w:val="0"/>
        <w:widowControl w:val="0"/>
        <w:kinsoku/>
        <w:wordWrap w:val="0"/>
        <w:overflowPunct/>
        <w:topLinePunct w:val="0"/>
        <w:autoSpaceDE/>
        <w:autoSpaceDN/>
        <w:bidi w:val="0"/>
        <w:adjustRightInd w:val="0"/>
        <w:ind w:left="4"/>
        <w:jc w:val="center"/>
        <w:rPr>
          <w:rFonts w:hint="eastAsia" w:ascii="宋体" w:hAnsi="宋体" w:eastAsia="宋体" w:cs="宋体"/>
          <w:b/>
          <w:bCs/>
          <w:spacing w:val="160"/>
          <w:sz w:val="52"/>
          <w:szCs w:val="52"/>
          <w:lang w:val="zh-CN"/>
        </w:rPr>
      </w:pPr>
    </w:p>
    <w:p>
      <w:pPr>
        <w:keepNext w:val="0"/>
        <w:keepLines w:val="0"/>
        <w:pageBreakBefore w:val="0"/>
        <w:widowControl w:val="0"/>
        <w:kinsoku/>
        <w:wordWrap w:val="0"/>
        <w:overflowPunct/>
        <w:topLinePunct w:val="0"/>
        <w:autoSpaceDE/>
        <w:autoSpaceDN/>
        <w:bidi w:val="0"/>
        <w:adjustRightInd w:val="0"/>
        <w:ind w:left="4"/>
        <w:jc w:val="center"/>
        <w:rPr>
          <w:rFonts w:hint="eastAsia" w:ascii="宋体" w:hAnsi="宋体" w:eastAsia="宋体" w:cs="宋体"/>
          <w:b/>
          <w:bCs/>
          <w:spacing w:val="160"/>
          <w:sz w:val="96"/>
          <w:szCs w:val="84"/>
          <w:lang w:val="zh-CN"/>
        </w:rPr>
      </w:pPr>
      <w:r>
        <w:rPr>
          <w:rFonts w:hint="eastAsia" w:ascii="宋体" w:hAnsi="宋体" w:eastAsia="宋体" w:cs="宋体"/>
          <w:b/>
          <w:bCs/>
          <w:spacing w:val="160"/>
          <w:sz w:val="52"/>
          <w:szCs w:val="52"/>
          <w:lang w:val="zh-CN"/>
        </w:rPr>
        <w:t>磋商文件</w:t>
      </w:r>
    </w:p>
    <w:p>
      <w:pPr>
        <w:keepNext w:val="0"/>
        <w:keepLines w:val="0"/>
        <w:pageBreakBefore w:val="0"/>
        <w:widowControl w:val="0"/>
        <w:kinsoku/>
        <w:wordWrap w:val="0"/>
        <w:overflowPunct/>
        <w:topLinePunct w:val="0"/>
        <w:autoSpaceDE/>
        <w:autoSpaceDN/>
        <w:bidi w:val="0"/>
        <w:adjustRightInd w:val="0"/>
        <w:ind w:left="4" w:firstLine="2570" w:firstLineChars="800"/>
        <w:jc w:val="both"/>
        <w:rPr>
          <w:rFonts w:hint="eastAsia" w:ascii="宋体" w:hAnsi="宋体" w:eastAsia="宋体" w:cs="宋体"/>
          <w:b/>
          <w:bCs/>
          <w:sz w:val="32"/>
          <w:szCs w:val="84"/>
        </w:rPr>
      </w:pPr>
      <w:r>
        <w:rPr>
          <w:rFonts w:hint="eastAsia" w:ascii="宋体" w:hAnsi="宋体" w:eastAsia="宋体" w:cs="宋体"/>
          <w:b/>
          <w:bCs/>
          <w:sz w:val="32"/>
          <w:szCs w:val="84"/>
        </w:rPr>
        <w:t>（</w:t>
      </w:r>
      <w:r>
        <w:rPr>
          <w:rFonts w:hint="eastAsia" w:ascii="宋体" w:hAnsi="宋体" w:eastAsia="宋体" w:cs="宋体"/>
          <w:b/>
          <w:bCs/>
          <w:sz w:val="32"/>
          <w:szCs w:val="84"/>
          <w:lang w:eastAsia="zh-CN"/>
        </w:rPr>
        <w:t>竞争性磋商招标</w:t>
      </w:r>
      <w:r>
        <w:rPr>
          <w:rFonts w:hint="eastAsia" w:ascii="宋体" w:hAnsi="宋体" w:eastAsia="宋体" w:cs="宋体"/>
          <w:b/>
          <w:bCs/>
          <w:sz w:val="32"/>
          <w:szCs w:val="84"/>
        </w:rPr>
        <w:t>）</w:t>
      </w:r>
    </w:p>
    <w:p>
      <w:pPr>
        <w:pStyle w:val="37"/>
        <w:rPr>
          <w:rFonts w:hint="eastAsia"/>
          <w:lang w:val="zh-CN"/>
        </w:rPr>
      </w:pPr>
    </w:p>
    <w:p>
      <w:pPr>
        <w:keepNext w:val="0"/>
        <w:keepLines w:val="0"/>
        <w:pageBreakBefore w:val="0"/>
        <w:widowControl w:val="0"/>
        <w:kinsoku/>
        <w:wordWrap w:val="0"/>
        <w:overflowPunct/>
        <w:topLinePunct w:val="0"/>
        <w:autoSpaceDE/>
        <w:autoSpaceDN/>
        <w:bidi w:val="0"/>
        <w:adjustRightInd w:val="0"/>
        <w:jc w:val="center"/>
        <w:rPr>
          <w:rFonts w:hint="eastAsia" w:ascii="宋体" w:hAnsi="宋体" w:eastAsia="宋体" w:cs="宋体"/>
          <w:b/>
          <w:sz w:val="32"/>
          <w:szCs w:val="32"/>
          <w:lang w:val="zh-CN"/>
        </w:rPr>
      </w:pPr>
    </w:p>
    <w:p>
      <w:pPr>
        <w:pStyle w:val="61"/>
        <w:keepNext w:val="0"/>
        <w:keepLines w:val="0"/>
        <w:pageBreakBefore w:val="0"/>
        <w:widowControl w:val="0"/>
        <w:kinsoku/>
        <w:wordWrap w:val="0"/>
        <w:overflowPunct/>
        <w:topLinePunct w:val="0"/>
        <w:autoSpaceDE/>
        <w:autoSpaceDN/>
        <w:bidi w:val="0"/>
        <w:ind w:left="0" w:leftChars="0" w:right="0" w:rightChars="0" w:firstLine="0" w:firstLineChars="0"/>
        <w:jc w:val="both"/>
        <w:rPr>
          <w:rFonts w:hint="eastAsia" w:ascii="宋体" w:hAnsi="宋体" w:eastAsia="宋体" w:cs="宋体"/>
          <w:b/>
          <w:sz w:val="32"/>
          <w:szCs w:val="32"/>
          <w:lang w:val="zh-CN"/>
        </w:rPr>
      </w:pPr>
    </w:p>
    <w:p>
      <w:pPr>
        <w:pStyle w:val="61"/>
        <w:keepNext w:val="0"/>
        <w:keepLines w:val="0"/>
        <w:pageBreakBefore w:val="0"/>
        <w:widowControl w:val="0"/>
        <w:kinsoku/>
        <w:wordWrap w:val="0"/>
        <w:overflowPunct/>
        <w:topLinePunct w:val="0"/>
        <w:autoSpaceDE/>
        <w:autoSpaceDN/>
        <w:bidi w:val="0"/>
        <w:ind w:left="0" w:leftChars="0" w:right="0" w:rightChars="0" w:firstLine="0" w:firstLineChars="0"/>
        <w:jc w:val="center"/>
        <w:rPr>
          <w:rFonts w:hint="eastAsia" w:ascii="宋体" w:hAnsi="宋体" w:eastAsia="宋体" w:cs="宋体"/>
          <w:b/>
          <w:sz w:val="32"/>
          <w:szCs w:val="32"/>
          <w:lang w:val="zh-CN"/>
        </w:rPr>
      </w:pPr>
    </w:p>
    <w:p>
      <w:pPr>
        <w:autoSpaceDE w:val="0"/>
        <w:spacing w:line="360" w:lineRule="auto"/>
        <w:ind w:firstLine="964" w:firstLineChars="300"/>
        <w:rPr>
          <w:rFonts w:hint="eastAsia" w:ascii="宋体" w:hAnsi="宋体" w:cs="宋体"/>
          <w:b/>
          <w:sz w:val="32"/>
          <w:szCs w:val="32"/>
          <w:u w:val="none"/>
          <w:lang w:val="en-US" w:eastAsia="zh-CN"/>
        </w:rPr>
      </w:pPr>
    </w:p>
    <w:p>
      <w:pPr>
        <w:autoSpaceDE w:val="0"/>
        <w:spacing w:line="360" w:lineRule="auto"/>
        <w:ind w:firstLine="964" w:firstLineChars="300"/>
        <w:rPr>
          <w:rFonts w:hint="eastAsia" w:ascii="宋体" w:hAnsi="宋体" w:eastAsia="宋体" w:cs="宋体"/>
          <w:b/>
          <w:sz w:val="32"/>
          <w:szCs w:val="32"/>
          <w:u w:val="none"/>
          <w:lang w:val="zh-CN"/>
        </w:rPr>
      </w:pPr>
      <w:r>
        <w:rPr>
          <w:rFonts w:hint="eastAsia" w:ascii="宋体" w:hAnsi="宋体" w:cs="宋体"/>
          <w:b/>
          <w:sz w:val="32"/>
          <w:szCs w:val="32"/>
          <w:u w:val="none"/>
          <w:lang w:val="en-US" w:eastAsia="zh-CN"/>
        </w:rPr>
        <w:t>采购</w:t>
      </w:r>
      <w:r>
        <w:rPr>
          <w:rFonts w:hint="eastAsia" w:ascii="宋体" w:hAnsi="宋体" w:eastAsia="宋体" w:cs="宋体"/>
          <w:b/>
          <w:sz w:val="32"/>
          <w:szCs w:val="32"/>
          <w:u w:val="none"/>
          <w:lang w:val="zh-CN"/>
        </w:rPr>
        <w:t>人：吉林市龙潭区住房和城乡建设局</w:t>
      </w:r>
    </w:p>
    <w:p>
      <w:pPr>
        <w:autoSpaceDE w:val="0"/>
        <w:spacing w:line="360" w:lineRule="auto"/>
        <w:ind w:firstLine="2249" w:firstLineChars="700"/>
        <w:rPr>
          <w:rFonts w:hint="eastAsia" w:ascii="宋体" w:hAnsi="宋体" w:eastAsia="宋体" w:cs="宋体"/>
          <w:b/>
          <w:sz w:val="32"/>
          <w:szCs w:val="32"/>
          <w:u w:val="none"/>
          <w:lang w:val="zh-CN"/>
        </w:rPr>
      </w:pPr>
      <w:r>
        <w:rPr>
          <w:rFonts w:hint="eastAsia" w:ascii="宋体" w:hAnsi="宋体" w:eastAsia="宋体" w:cs="宋体"/>
          <w:b/>
          <w:sz w:val="32"/>
          <w:szCs w:val="32"/>
          <w:u w:val="none"/>
          <w:lang w:val="zh-CN"/>
        </w:rPr>
        <w:t>（吉林市龙潭区城市管理行政执法局）</w:t>
      </w:r>
    </w:p>
    <w:p>
      <w:pPr>
        <w:autoSpaceDE w:val="0"/>
        <w:spacing w:line="360" w:lineRule="auto"/>
        <w:ind w:firstLine="922" w:firstLineChars="300"/>
        <w:rPr>
          <w:rFonts w:hint="eastAsia" w:ascii="宋体" w:hAnsi="宋体" w:eastAsia="宋体" w:cs="宋体"/>
          <w:b/>
          <w:spacing w:val="-7"/>
          <w:sz w:val="32"/>
          <w:szCs w:val="32"/>
          <w:u w:val="none"/>
          <w:lang w:val="zh-CN"/>
        </w:rPr>
      </w:pPr>
      <w:r>
        <w:rPr>
          <w:rFonts w:hint="eastAsia" w:ascii="宋体" w:hAnsi="宋体" w:cs="宋体"/>
          <w:b/>
          <w:spacing w:val="-7"/>
          <w:sz w:val="32"/>
          <w:szCs w:val="32"/>
          <w:u w:val="none"/>
          <w:lang w:val="en-US" w:eastAsia="zh-CN"/>
        </w:rPr>
        <w:t>采购</w:t>
      </w:r>
      <w:r>
        <w:rPr>
          <w:rFonts w:hint="eastAsia" w:ascii="宋体" w:hAnsi="宋体" w:eastAsia="宋体" w:cs="宋体"/>
          <w:b/>
          <w:spacing w:val="-7"/>
          <w:sz w:val="32"/>
          <w:szCs w:val="32"/>
          <w:u w:val="none"/>
          <w:lang w:val="zh-CN"/>
        </w:rPr>
        <w:t>代理机构：</w:t>
      </w:r>
      <w:r>
        <w:rPr>
          <w:rFonts w:hint="eastAsia" w:ascii="宋体" w:hAnsi="宋体" w:eastAsia="宋体" w:cs="宋体"/>
          <w:b/>
          <w:sz w:val="32"/>
          <w:szCs w:val="32"/>
          <w:highlight w:val="none"/>
          <w:lang w:eastAsia="zh-CN"/>
        </w:rPr>
        <w:t>吉林玖远项目管理有限公司</w:t>
      </w:r>
    </w:p>
    <w:p>
      <w:pPr>
        <w:keepNext w:val="0"/>
        <w:keepLines w:val="0"/>
        <w:pageBreakBefore w:val="0"/>
        <w:widowControl w:val="0"/>
        <w:kinsoku/>
        <w:wordWrap w:val="0"/>
        <w:overflowPunct/>
        <w:topLinePunct w:val="0"/>
        <w:autoSpaceDE/>
        <w:autoSpaceDN/>
        <w:bidi w:val="0"/>
        <w:adjustRightInd w:val="0"/>
        <w:snapToGrid/>
        <w:spacing w:line="240" w:lineRule="auto"/>
        <w:ind w:left="0" w:leftChars="0" w:right="0" w:rightChars="0" w:firstLine="964" w:firstLineChars="300"/>
        <w:jc w:val="both"/>
        <w:textAlignment w:val="auto"/>
        <w:rPr>
          <w:rFonts w:hint="eastAsia" w:ascii="宋体" w:hAnsi="宋体" w:eastAsia="宋体" w:cs="宋体"/>
          <w:b/>
          <w:color w:val="FF0000"/>
          <w:sz w:val="32"/>
          <w:szCs w:val="32"/>
          <w:lang w:val="en-US" w:eastAsia="zh-CN"/>
        </w:rPr>
      </w:pPr>
      <w:r>
        <w:rPr>
          <w:rFonts w:hint="eastAsia" w:ascii="宋体" w:hAnsi="宋体" w:eastAsia="宋体" w:cs="宋体"/>
          <w:b/>
          <w:sz w:val="32"/>
          <w:szCs w:val="32"/>
          <w:lang w:val="zh-CN"/>
        </w:rPr>
        <w:t>日期：</w:t>
      </w:r>
      <w:r>
        <w:rPr>
          <w:rFonts w:hint="eastAsia" w:ascii="宋体" w:hAnsi="宋体" w:eastAsia="宋体" w:cs="宋体"/>
          <w:b/>
          <w:color w:val="auto"/>
          <w:sz w:val="32"/>
          <w:szCs w:val="32"/>
          <w:lang w:val="zh-CN"/>
        </w:rPr>
        <w:t>202</w:t>
      </w:r>
      <w:r>
        <w:rPr>
          <w:rFonts w:hint="eastAsia" w:ascii="宋体" w:hAnsi="宋体" w:cs="宋体"/>
          <w:b/>
          <w:color w:val="auto"/>
          <w:sz w:val="32"/>
          <w:szCs w:val="32"/>
          <w:lang w:val="en-US" w:eastAsia="zh-CN"/>
        </w:rPr>
        <w:t>6</w:t>
      </w:r>
      <w:r>
        <w:rPr>
          <w:rFonts w:hint="eastAsia" w:ascii="宋体" w:hAnsi="宋体" w:eastAsia="宋体" w:cs="宋体"/>
          <w:b/>
          <w:color w:val="auto"/>
          <w:sz w:val="32"/>
          <w:szCs w:val="32"/>
          <w:lang w:val="zh-CN"/>
        </w:rPr>
        <w:t>年</w:t>
      </w:r>
      <w:r>
        <w:rPr>
          <w:rFonts w:hint="eastAsia" w:ascii="宋体" w:hAnsi="宋体" w:cs="宋体"/>
          <w:b/>
          <w:color w:val="auto"/>
          <w:sz w:val="32"/>
          <w:szCs w:val="32"/>
          <w:lang w:val="en-US" w:eastAsia="zh-CN"/>
        </w:rPr>
        <w:t>05</w:t>
      </w:r>
      <w:r>
        <w:rPr>
          <w:rFonts w:hint="eastAsia" w:ascii="宋体" w:hAnsi="宋体" w:eastAsia="宋体" w:cs="宋体"/>
          <w:b/>
          <w:color w:val="auto"/>
          <w:sz w:val="32"/>
          <w:szCs w:val="32"/>
          <w:lang w:val="zh-CN"/>
        </w:rPr>
        <w:t>月</w:t>
      </w:r>
      <w:r>
        <w:rPr>
          <w:rFonts w:hint="eastAsia" w:ascii="宋体" w:hAnsi="宋体" w:cs="宋体"/>
          <w:b/>
          <w:color w:val="auto"/>
          <w:sz w:val="32"/>
          <w:szCs w:val="32"/>
          <w:lang w:val="en-US" w:eastAsia="zh-CN"/>
        </w:rPr>
        <w:t>19</w:t>
      </w:r>
      <w:r>
        <w:rPr>
          <w:rFonts w:hint="eastAsia" w:ascii="宋体" w:hAnsi="宋体" w:eastAsia="宋体" w:cs="宋体"/>
          <w:b/>
          <w:color w:val="auto"/>
          <w:sz w:val="32"/>
          <w:szCs w:val="32"/>
          <w:lang w:val="en-US" w:eastAsia="zh-CN"/>
        </w:rPr>
        <w:t>日</w:t>
      </w:r>
    </w:p>
    <w:p>
      <w:pPr>
        <w:keepNext w:val="0"/>
        <w:keepLines w:val="0"/>
        <w:pageBreakBefore w:val="0"/>
        <w:widowControl w:val="0"/>
        <w:kinsoku/>
        <w:wordWrap w:val="0"/>
        <w:overflowPunct/>
        <w:topLinePunct w:val="0"/>
        <w:autoSpaceDE/>
        <w:autoSpaceDN/>
        <w:bidi w:val="0"/>
        <w:adjustRightInd w:val="0"/>
        <w:snapToGrid/>
        <w:spacing w:line="240" w:lineRule="auto"/>
        <w:ind w:left="0" w:leftChars="0" w:right="0" w:rightChars="0" w:firstLine="964" w:firstLineChars="300"/>
        <w:jc w:val="both"/>
        <w:textAlignment w:val="auto"/>
        <w:rPr>
          <w:rFonts w:hint="eastAsia" w:ascii="宋体" w:hAnsi="宋体" w:eastAsia="宋体" w:cs="宋体"/>
          <w:b/>
          <w:color w:val="FF0000"/>
          <w:sz w:val="32"/>
          <w:szCs w:val="32"/>
          <w:lang w:val="en-US" w:eastAsia="zh-CN"/>
        </w:rPr>
      </w:pPr>
    </w:p>
    <w:p>
      <w:pPr>
        <w:keepNext w:val="0"/>
        <w:keepLines w:val="0"/>
        <w:pageBreakBefore w:val="0"/>
        <w:widowControl w:val="0"/>
        <w:kinsoku/>
        <w:wordWrap w:val="0"/>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宋体" w:hAnsi="宋体" w:eastAsia="宋体" w:cs="宋体"/>
          <w:b/>
          <w:color w:val="FF0000"/>
          <w:sz w:val="32"/>
          <w:szCs w:val="32"/>
          <w:lang w:val="en-US" w:eastAsia="zh-CN"/>
        </w:rPr>
      </w:pPr>
      <w:r>
        <w:rPr>
          <w:rFonts w:hint="eastAsia" w:ascii="宋体" w:hAnsi="宋体" w:eastAsia="宋体" w:cs="宋体"/>
          <w:b/>
          <w:color w:val="FF0000"/>
          <w:sz w:val="32"/>
          <w:szCs w:val="32"/>
          <w:lang w:val="en-US" w:eastAsia="zh-CN"/>
        </w:rPr>
        <w:br w:type="page"/>
      </w:r>
    </w:p>
    <w:p>
      <w:pPr>
        <w:keepNext w:val="0"/>
        <w:keepLines w:val="0"/>
        <w:pageBreakBefore w:val="0"/>
        <w:widowControl w:val="0"/>
        <w:kinsoku/>
        <w:wordWrap w:val="0"/>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宋体" w:hAnsi="宋体" w:eastAsia="宋体" w:cs="宋体"/>
          <w:b/>
          <w:bCs w:val="0"/>
          <w:sz w:val="24"/>
          <w:szCs w:val="24"/>
        </w:rPr>
      </w:pPr>
      <w:r>
        <w:rPr>
          <w:rFonts w:hint="eastAsia" w:ascii="宋体" w:hAnsi="宋体" w:eastAsia="宋体" w:cs="宋体"/>
          <w:b/>
          <w:bCs w:val="0"/>
          <w:color w:val="auto"/>
          <w:sz w:val="36"/>
          <w:szCs w:val="36"/>
          <w:lang w:val="zh-CN"/>
        </w:rPr>
        <w:t>目录</w:t>
      </w:r>
    </w:p>
    <w:p>
      <w:pPr>
        <w:pStyle w:val="29"/>
        <w:tabs>
          <w:tab w:val="right" w:leader="dot" w:pos="8299"/>
        </w:tabs>
      </w:pP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TOC \o "1-2" \h \u </w:instrText>
      </w:r>
      <w:r>
        <w:rPr>
          <w:rFonts w:hint="eastAsia" w:ascii="宋体" w:hAnsi="宋体" w:eastAsia="宋体" w:cs="宋体"/>
          <w:b w:val="0"/>
          <w:bCs w:val="0"/>
          <w:sz w:val="24"/>
          <w:szCs w:val="24"/>
        </w:rPr>
        <w:fldChar w:fldCharType="separate"/>
      </w: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_Toc2687 </w:instrText>
      </w:r>
      <w:r>
        <w:rPr>
          <w:rFonts w:hint="eastAsia" w:ascii="宋体" w:hAnsi="宋体" w:eastAsia="宋体" w:cs="宋体"/>
          <w:bCs w:val="0"/>
          <w:szCs w:val="24"/>
        </w:rPr>
        <w:fldChar w:fldCharType="separate"/>
      </w:r>
      <w:r>
        <w:rPr>
          <w:rFonts w:hint="eastAsia" w:ascii="宋体" w:hAnsi="宋体" w:eastAsia="宋体" w:cs="宋体"/>
        </w:rPr>
        <w:t xml:space="preserve">第一章 </w:t>
      </w:r>
      <w:r>
        <w:rPr>
          <w:rFonts w:hint="eastAsia" w:ascii="宋体" w:hAnsi="宋体" w:eastAsia="宋体" w:cs="宋体"/>
          <w:lang w:eastAsia="zh-CN"/>
        </w:rPr>
        <w:t>竞争性磋商公告</w:t>
      </w:r>
      <w:r>
        <w:tab/>
      </w:r>
      <w:r>
        <w:fldChar w:fldCharType="begin"/>
      </w:r>
      <w:r>
        <w:instrText xml:space="preserve"> PAGEREF _Toc2687 </w:instrText>
      </w:r>
      <w:r>
        <w:fldChar w:fldCharType="separate"/>
      </w:r>
      <w:r>
        <w:t>1</w:t>
      </w:r>
      <w:r>
        <w:fldChar w:fldCharType="end"/>
      </w:r>
      <w:r>
        <w:rPr>
          <w:rFonts w:hint="eastAsia" w:ascii="宋体" w:hAnsi="宋体" w:eastAsia="宋体" w:cs="宋体"/>
          <w:bCs w:val="0"/>
          <w:szCs w:val="24"/>
        </w:rPr>
        <w:fldChar w:fldCharType="end"/>
      </w:r>
    </w:p>
    <w:p>
      <w:pPr>
        <w:pStyle w:val="29"/>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_Toc24809 </w:instrText>
      </w:r>
      <w:r>
        <w:rPr>
          <w:rFonts w:hint="eastAsia" w:ascii="宋体" w:hAnsi="宋体" w:eastAsia="宋体" w:cs="宋体"/>
          <w:bCs w:val="0"/>
          <w:szCs w:val="24"/>
        </w:rPr>
        <w:fldChar w:fldCharType="separate"/>
      </w:r>
      <w:r>
        <w:rPr>
          <w:rFonts w:hint="eastAsia" w:ascii="宋体" w:hAnsi="宋体" w:eastAsia="宋体" w:cs="宋体"/>
        </w:rPr>
        <w:t xml:space="preserve">第二章 </w:t>
      </w:r>
      <w:r>
        <w:rPr>
          <w:rFonts w:hint="eastAsia" w:ascii="宋体" w:hAnsi="宋体" w:eastAsia="宋体" w:cs="宋体"/>
          <w:lang w:eastAsia="zh-CN"/>
        </w:rPr>
        <w:t>供应商</w:t>
      </w:r>
      <w:r>
        <w:rPr>
          <w:rFonts w:hint="eastAsia" w:ascii="宋体" w:hAnsi="宋体" w:eastAsia="宋体" w:cs="宋体"/>
        </w:rPr>
        <w:t>须知</w:t>
      </w:r>
      <w:r>
        <w:tab/>
      </w:r>
      <w:r>
        <w:fldChar w:fldCharType="begin"/>
      </w:r>
      <w:r>
        <w:instrText xml:space="preserve"> PAGEREF _Toc24809 </w:instrText>
      </w:r>
      <w:r>
        <w:fldChar w:fldCharType="separate"/>
      </w:r>
      <w:r>
        <w:t>6</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_Toc7481 </w:instrText>
      </w:r>
      <w:r>
        <w:rPr>
          <w:rFonts w:hint="eastAsia" w:ascii="宋体" w:hAnsi="宋体" w:eastAsia="宋体" w:cs="宋体"/>
          <w:bCs w:val="0"/>
          <w:szCs w:val="24"/>
        </w:rPr>
        <w:fldChar w:fldCharType="separate"/>
      </w:r>
      <w:r>
        <w:rPr>
          <w:rFonts w:hint="eastAsia" w:ascii="宋体" w:hAnsi="宋体" w:eastAsia="宋体" w:cs="宋体"/>
          <w:lang w:eastAsia="zh-CN"/>
        </w:rPr>
        <w:t>供应商</w:t>
      </w:r>
      <w:r>
        <w:rPr>
          <w:rFonts w:hint="eastAsia" w:ascii="宋体" w:hAnsi="宋体" w:eastAsia="宋体" w:cs="宋体"/>
        </w:rPr>
        <w:t>须知前附表</w:t>
      </w:r>
      <w:r>
        <w:tab/>
      </w:r>
      <w:r>
        <w:fldChar w:fldCharType="begin"/>
      </w:r>
      <w:r>
        <w:instrText xml:space="preserve"> PAGEREF _Toc7481 </w:instrText>
      </w:r>
      <w:r>
        <w:fldChar w:fldCharType="separate"/>
      </w:r>
      <w:r>
        <w:t>6</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_Toc2897 </w:instrText>
      </w:r>
      <w:r>
        <w:rPr>
          <w:rFonts w:hint="eastAsia" w:ascii="宋体" w:hAnsi="宋体" w:eastAsia="宋体" w:cs="宋体"/>
          <w:bCs w:val="0"/>
          <w:szCs w:val="24"/>
        </w:rPr>
        <w:fldChar w:fldCharType="separate"/>
      </w:r>
      <w:r>
        <w:rPr>
          <w:rFonts w:hint="eastAsia" w:ascii="宋体" w:hAnsi="宋体" w:eastAsia="宋体" w:cs="宋体"/>
          <w:lang w:eastAsia="zh-CN"/>
        </w:rPr>
        <w:t>供应商</w:t>
      </w:r>
      <w:r>
        <w:rPr>
          <w:rFonts w:hint="eastAsia" w:ascii="宋体" w:hAnsi="宋体" w:eastAsia="宋体" w:cs="宋体"/>
        </w:rPr>
        <w:t>须知正文部分</w:t>
      </w:r>
      <w:r>
        <w:tab/>
      </w:r>
      <w:r>
        <w:fldChar w:fldCharType="begin"/>
      </w:r>
      <w:r>
        <w:instrText xml:space="preserve"> PAGEREF _Toc2897 </w:instrText>
      </w:r>
      <w:r>
        <w:fldChar w:fldCharType="separate"/>
      </w:r>
      <w:r>
        <w:t>22</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_Toc29405 </w:instrText>
      </w:r>
      <w:r>
        <w:rPr>
          <w:rFonts w:hint="eastAsia" w:ascii="宋体" w:hAnsi="宋体" w:eastAsia="宋体" w:cs="宋体"/>
          <w:bCs w:val="0"/>
          <w:szCs w:val="24"/>
        </w:rPr>
        <w:fldChar w:fldCharType="separate"/>
      </w:r>
      <w:r>
        <w:rPr>
          <w:rFonts w:hint="eastAsia" w:ascii="宋体" w:hAnsi="宋体" w:eastAsia="宋体" w:cs="宋体"/>
          <w:bCs/>
          <w:szCs w:val="32"/>
          <w:lang w:val="en-US" w:eastAsia="zh-CN"/>
        </w:rPr>
        <w:t>1.</w:t>
      </w:r>
      <w:r>
        <w:rPr>
          <w:rFonts w:hint="eastAsia" w:ascii="宋体" w:hAnsi="宋体" w:eastAsia="宋体" w:cs="宋体"/>
          <w:bCs/>
          <w:szCs w:val="32"/>
        </w:rPr>
        <w:t>总则</w:t>
      </w:r>
      <w:r>
        <w:tab/>
      </w:r>
      <w:r>
        <w:fldChar w:fldCharType="begin"/>
      </w:r>
      <w:r>
        <w:instrText xml:space="preserve"> PAGEREF _Toc29405 </w:instrText>
      </w:r>
      <w:r>
        <w:fldChar w:fldCharType="separate"/>
      </w:r>
      <w:r>
        <w:t>22</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_Toc5619 </w:instrText>
      </w:r>
      <w:r>
        <w:rPr>
          <w:rFonts w:hint="eastAsia" w:ascii="宋体" w:hAnsi="宋体" w:eastAsia="宋体" w:cs="宋体"/>
          <w:bCs w:val="0"/>
          <w:szCs w:val="24"/>
        </w:rPr>
        <w:fldChar w:fldCharType="separate"/>
      </w:r>
      <w:r>
        <w:rPr>
          <w:rFonts w:hint="eastAsia" w:ascii="宋体" w:hAnsi="宋体" w:eastAsia="宋体" w:cs="宋体"/>
          <w:bCs/>
          <w:szCs w:val="32"/>
        </w:rPr>
        <w:t>2.</w:t>
      </w:r>
      <w:r>
        <w:rPr>
          <w:rFonts w:hint="eastAsia" w:ascii="宋体" w:hAnsi="宋体" w:eastAsia="宋体" w:cs="宋体"/>
          <w:bCs/>
          <w:szCs w:val="32"/>
          <w:lang w:eastAsia="zh-CN"/>
        </w:rPr>
        <w:t>磋商文件</w:t>
      </w:r>
      <w:r>
        <w:tab/>
      </w:r>
      <w:r>
        <w:fldChar w:fldCharType="begin"/>
      </w:r>
      <w:r>
        <w:instrText xml:space="preserve"> PAGEREF _Toc5619 </w:instrText>
      </w:r>
      <w:r>
        <w:fldChar w:fldCharType="separate"/>
      </w:r>
      <w:r>
        <w:t>24</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_Toc4596 </w:instrText>
      </w:r>
      <w:r>
        <w:rPr>
          <w:rFonts w:hint="eastAsia" w:ascii="宋体" w:hAnsi="宋体" w:eastAsia="宋体" w:cs="宋体"/>
          <w:bCs w:val="0"/>
          <w:szCs w:val="24"/>
        </w:rPr>
        <w:fldChar w:fldCharType="separate"/>
      </w:r>
      <w:r>
        <w:rPr>
          <w:rFonts w:hint="eastAsia" w:ascii="宋体" w:hAnsi="宋体" w:eastAsia="宋体" w:cs="宋体"/>
          <w:bCs/>
          <w:szCs w:val="32"/>
        </w:rPr>
        <w:t>3.</w:t>
      </w:r>
      <w:r>
        <w:rPr>
          <w:rFonts w:hint="eastAsia" w:ascii="宋体" w:hAnsi="宋体" w:eastAsia="宋体" w:cs="宋体"/>
          <w:bCs/>
          <w:szCs w:val="32"/>
          <w:lang w:eastAsia="zh-CN"/>
        </w:rPr>
        <w:t>响应文件</w:t>
      </w:r>
      <w:r>
        <w:tab/>
      </w:r>
      <w:r>
        <w:fldChar w:fldCharType="begin"/>
      </w:r>
      <w:r>
        <w:instrText xml:space="preserve"> PAGEREF _Toc4596 </w:instrText>
      </w:r>
      <w:r>
        <w:fldChar w:fldCharType="separate"/>
      </w:r>
      <w:r>
        <w:t>25</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_Toc22233 </w:instrText>
      </w:r>
      <w:r>
        <w:rPr>
          <w:rFonts w:hint="eastAsia" w:ascii="宋体" w:hAnsi="宋体" w:eastAsia="宋体" w:cs="宋体"/>
          <w:bCs w:val="0"/>
          <w:szCs w:val="24"/>
        </w:rPr>
        <w:fldChar w:fldCharType="separate"/>
      </w:r>
      <w:r>
        <w:rPr>
          <w:rFonts w:hint="eastAsia" w:ascii="宋体" w:hAnsi="宋体" w:eastAsia="宋体" w:cs="宋体"/>
          <w:bCs/>
          <w:szCs w:val="32"/>
        </w:rPr>
        <w:t>4.投标</w:t>
      </w:r>
      <w:r>
        <w:tab/>
      </w:r>
      <w:r>
        <w:fldChar w:fldCharType="begin"/>
      </w:r>
      <w:r>
        <w:instrText xml:space="preserve"> PAGEREF _Toc22233 </w:instrText>
      </w:r>
      <w:r>
        <w:fldChar w:fldCharType="separate"/>
      </w:r>
      <w:r>
        <w:t>28</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_Toc25440 </w:instrText>
      </w:r>
      <w:r>
        <w:rPr>
          <w:rFonts w:hint="eastAsia" w:ascii="宋体" w:hAnsi="宋体" w:eastAsia="宋体" w:cs="宋体"/>
          <w:bCs w:val="0"/>
          <w:szCs w:val="24"/>
        </w:rPr>
        <w:fldChar w:fldCharType="separate"/>
      </w:r>
      <w:r>
        <w:rPr>
          <w:rFonts w:hint="eastAsia" w:ascii="宋体" w:hAnsi="宋体" w:eastAsia="宋体" w:cs="宋体"/>
          <w:bCs/>
          <w:szCs w:val="32"/>
        </w:rPr>
        <w:t>5.开标</w:t>
      </w:r>
      <w:r>
        <w:tab/>
      </w:r>
      <w:r>
        <w:fldChar w:fldCharType="begin"/>
      </w:r>
      <w:r>
        <w:instrText xml:space="preserve"> PAGEREF _Toc25440 </w:instrText>
      </w:r>
      <w:r>
        <w:fldChar w:fldCharType="separate"/>
      </w:r>
      <w:r>
        <w:t>29</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_Toc23129 </w:instrText>
      </w:r>
      <w:r>
        <w:rPr>
          <w:rFonts w:hint="eastAsia" w:ascii="宋体" w:hAnsi="宋体" w:eastAsia="宋体" w:cs="宋体"/>
          <w:bCs w:val="0"/>
          <w:szCs w:val="24"/>
        </w:rPr>
        <w:fldChar w:fldCharType="separate"/>
      </w:r>
      <w:r>
        <w:rPr>
          <w:rFonts w:hint="eastAsia" w:ascii="宋体" w:hAnsi="宋体" w:eastAsia="宋体" w:cs="宋体"/>
          <w:bCs/>
          <w:szCs w:val="32"/>
        </w:rPr>
        <w:t>6.评标</w:t>
      </w:r>
      <w:r>
        <w:tab/>
      </w:r>
      <w:r>
        <w:fldChar w:fldCharType="begin"/>
      </w:r>
      <w:r>
        <w:instrText xml:space="preserve"> PAGEREF _Toc23129 </w:instrText>
      </w:r>
      <w:r>
        <w:fldChar w:fldCharType="separate"/>
      </w:r>
      <w:r>
        <w:t>29</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_Toc21810 </w:instrText>
      </w:r>
      <w:r>
        <w:rPr>
          <w:rFonts w:hint="eastAsia" w:ascii="宋体" w:hAnsi="宋体" w:eastAsia="宋体" w:cs="宋体"/>
          <w:bCs w:val="0"/>
          <w:szCs w:val="24"/>
        </w:rPr>
        <w:fldChar w:fldCharType="separate"/>
      </w:r>
      <w:r>
        <w:rPr>
          <w:rFonts w:hint="eastAsia" w:ascii="宋体" w:hAnsi="宋体" w:eastAsia="宋体" w:cs="宋体"/>
          <w:bCs/>
          <w:szCs w:val="32"/>
        </w:rPr>
        <w:t>7.合同授予</w:t>
      </w:r>
      <w:r>
        <w:tab/>
      </w:r>
      <w:r>
        <w:fldChar w:fldCharType="begin"/>
      </w:r>
      <w:r>
        <w:instrText xml:space="preserve"> PAGEREF _Toc21810 </w:instrText>
      </w:r>
      <w:r>
        <w:fldChar w:fldCharType="separate"/>
      </w:r>
      <w:r>
        <w:t>30</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_Toc25866 </w:instrText>
      </w:r>
      <w:r>
        <w:rPr>
          <w:rFonts w:hint="eastAsia" w:ascii="宋体" w:hAnsi="宋体" w:eastAsia="宋体" w:cs="宋体"/>
          <w:bCs w:val="0"/>
          <w:szCs w:val="24"/>
        </w:rPr>
        <w:fldChar w:fldCharType="separate"/>
      </w:r>
      <w:r>
        <w:rPr>
          <w:rFonts w:hint="eastAsia" w:ascii="宋体" w:hAnsi="宋体" w:eastAsia="宋体" w:cs="宋体"/>
          <w:bCs/>
          <w:szCs w:val="32"/>
          <w:lang w:val="zh-CN"/>
        </w:rPr>
        <w:t>8</w:t>
      </w:r>
      <w:r>
        <w:rPr>
          <w:rFonts w:hint="eastAsia" w:ascii="宋体" w:hAnsi="宋体" w:eastAsia="宋体" w:cs="宋体"/>
          <w:bCs/>
          <w:szCs w:val="32"/>
        </w:rPr>
        <w:t>.</w:t>
      </w:r>
      <w:r>
        <w:rPr>
          <w:rFonts w:hint="eastAsia" w:ascii="宋体" w:hAnsi="宋体" w:eastAsia="宋体" w:cs="宋体"/>
          <w:bCs/>
          <w:szCs w:val="32"/>
          <w:lang w:val="zh-CN"/>
        </w:rPr>
        <w:t>重新招标和不再招标</w:t>
      </w:r>
      <w:r>
        <w:tab/>
      </w:r>
      <w:r>
        <w:fldChar w:fldCharType="begin"/>
      </w:r>
      <w:r>
        <w:instrText xml:space="preserve"> PAGEREF _Toc25866 </w:instrText>
      </w:r>
      <w:r>
        <w:fldChar w:fldCharType="separate"/>
      </w:r>
      <w:r>
        <w:t>30</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_Toc5449 </w:instrText>
      </w:r>
      <w:r>
        <w:rPr>
          <w:rFonts w:hint="eastAsia" w:ascii="宋体" w:hAnsi="宋体" w:eastAsia="宋体" w:cs="宋体"/>
          <w:bCs w:val="0"/>
          <w:szCs w:val="24"/>
        </w:rPr>
        <w:fldChar w:fldCharType="separate"/>
      </w:r>
      <w:r>
        <w:rPr>
          <w:rFonts w:hint="eastAsia" w:ascii="宋体" w:hAnsi="宋体" w:eastAsia="宋体" w:cs="宋体"/>
          <w:bCs/>
          <w:szCs w:val="32"/>
          <w:lang w:val="zh-CN"/>
        </w:rPr>
        <w:t>9</w:t>
      </w:r>
      <w:r>
        <w:rPr>
          <w:rFonts w:hint="eastAsia" w:ascii="宋体" w:hAnsi="宋体" w:eastAsia="宋体" w:cs="宋体"/>
          <w:bCs/>
          <w:szCs w:val="32"/>
        </w:rPr>
        <w:t>.</w:t>
      </w:r>
      <w:r>
        <w:rPr>
          <w:rFonts w:hint="eastAsia" w:ascii="宋体" w:hAnsi="宋体" w:eastAsia="宋体" w:cs="宋体"/>
          <w:bCs/>
          <w:szCs w:val="32"/>
          <w:lang w:val="zh-CN"/>
        </w:rPr>
        <w:t>纪律和监督</w:t>
      </w:r>
      <w:r>
        <w:tab/>
      </w:r>
      <w:r>
        <w:fldChar w:fldCharType="begin"/>
      </w:r>
      <w:r>
        <w:instrText xml:space="preserve"> PAGEREF _Toc5449 </w:instrText>
      </w:r>
      <w:r>
        <w:fldChar w:fldCharType="separate"/>
      </w:r>
      <w:r>
        <w:t>31</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_Toc617 </w:instrText>
      </w:r>
      <w:r>
        <w:rPr>
          <w:rFonts w:hint="eastAsia" w:ascii="宋体" w:hAnsi="宋体" w:eastAsia="宋体" w:cs="宋体"/>
          <w:bCs w:val="0"/>
          <w:szCs w:val="24"/>
        </w:rPr>
        <w:fldChar w:fldCharType="separate"/>
      </w:r>
      <w:r>
        <w:rPr>
          <w:rFonts w:hint="eastAsia" w:ascii="宋体" w:hAnsi="宋体" w:eastAsia="宋体" w:cs="宋体"/>
          <w:bCs/>
          <w:szCs w:val="28"/>
          <w:lang w:val="zh-CN"/>
        </w:rPr>
        <w:t>10</w:t>
      </w:r>
      <w:r>
        <w:rPr>
          <w:rFonts w:hint="eastAsia" w:ascii="宋体" w:hAnsi="宋体" w:eastAsia="宋体" w:cs="宋体"/>
          <w:bCs/>
          <w:szCs w:val="28"/>
        </w:rPr>
        <w:t>.</w:t>
      </w:r>
      <w:r>
        <w:rPr>
          <w:rFonts w:hint="eastAsia" w:ascii="宋体" w:hAnsi="宋体" w:eastAsia="宋体" w:cs="宋体"/>
          <w:bCs/>
          <w:szCs w:val="28"/>
          <w:lang w:val="zh-CN"/>
        </w:rPr>
        <w:t>需要补充的其他内容</w:t>
      </w:r>
      <w:r>
        <w:tab/>
      </w:r>
      <w:r>
        <w:fldChar w:fldCharType="begin"/>
      </w:r>
      <w:r>
        <w:instrText xml:space="preserve"> PAGEREF _Toc617 </w:instrText>
      </w:r>
      <w:r>
        <w:fldChar w:fldCharType="separate"/>
      </w:r>
      <w:r>
        <w:t>31</w:t>
      </w:r>
      <w:r>
        <w:fldChar w:fldCharType="end"/>
      </w:r>
      <w:r>
        <w:rPr>
          <w:rFonts w:hint="eastAsia" w:ascii="宋体" w:hAnsi="宋体" w:eastAsia="宋体" w:cs="宋体"/>
          <w:bCs w:val="0"/>
          <w:szCs w:val="24"/>
        </w:rPr>
        <w:fldChar w:fldCharType="end"/>
      </w:r>
    </w:p>
    <w:p>
      <w:pPr>
        <w:pStyle w:val="29"/>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_Toc10716 </w:instrText>
      </w:r>
      <w:r>
        <w:rPr>
          <w:rFonts w:hint="eastAsia" w:ascii="宋体" w:hAnsi="宋体" w:eastAsia="宋体" w:cs="宋体"/>
          <w:bCs w:val="0"/>
          <w:szCs w:val="24"/>
        </w:rPr>
        <w:fldChar w:fldCharType="separate"/>
      </w:r>
      <w:r>
        <w:rPr>
          <w:rFonts w:hint="eastAsia" w:ascii="宋体" w:hAnsi="宋体" w:eastAsia="宋体" w:cs="宋体"/>
        </w:rPr>
        <w:t>第三章 评标办法（综合评估法）</w:t>
      </w:r>
      <w:r>
        <w:tab/>
      </w:r>
      <w:r>
        <w:fldChar w:fldCharType="begin"/>
      </w:r>
      <w:r>
        <w:instrText xml:space="preserve"> PAGEREF _Toc10716 </w:instrText>
      </w:r>
      <w:r>
        <w:fldChar w:fldCharType="separate"/>
      </w:r>
      <w:r>
        <w:t>41</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_Toc28095 </w:instrText>
      </w:r>
      <w:r>
        <w:rPr>
          <w:rFonts w:hint="eastAsia" w:ascii="宋体" w:hAnsi="宋体" w:eastAsia="宋体" w:cs="宋体"/>
          <w:bCs w:val="0"/>
          <w:szCs w:val="24"/>
        </w:rPr>
        <w:fldChar w:fldCharType="separate"/>
      </w:r>
      <w:r>
        <w:rPr>
          <w:rFonts w:hint="eastAsia" w:ascii="宋体" w:hAnsi="宋体" w:eastAsia="宋体" w:cs="宋体"/>
        </w:rPr>
        <w:t>评标办法前附表</w:t>
      </w:r>
      <w:r>
        <w:tab/>
      </w:r>
      <w:r>
        <w:fldChar w:fldCharType="begin"/>
      </w:r>
      <w:r>
        <w:instrText xml:space="preserve"> PAGEREF _Toc28095 </w:instrText>
      </w:r>
      <w:r>
        <w:fldChar w:fldCharType="separate"/>
      </w:r>
      <w:r>
        <w:t>41</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_Toc8023 </w:instrText>
      </w:r>
      <w:r>
        <w:rPr>
          <w:rFonts w:hint="eastAsia" w:ascii="宋体" w:hAnsi="宋体" w:eastAsia="宋体" w:cs="宋体"/>
          <w:bCs w:val="0"/>
          <w:szCs w:val="24"/>
        </w:rPr>
        <w:fldChar w:fldCharType="separate"/>
      </w:r>
      <w:r>
        <w:rPr>
          <w:rFonts w:hint="eastAsia" w:ascii="宋体" w:hAnsi="宋体" w:eastAsia="宋体" w:cs="宋体"/>
          <w:bCs/>
          <w:szCs w:val="28"/>
        </w:rPr>
        <w:t>1.评标方法</w:t>
      </w:r>
      <w:r>
        <w:tab/>
      </w:r>
      <w:r>
        <w:fldChar w:fldCharType="begin"/>
      </w:r>
      <w:r>
        <w:instrText xml:space="preserve"> PAGEREF _Toc8023 </w:instrText>
      </w:r>
      <w:r>
        <w:fldChar w:fldCharType="separate"/>
      </w:r>
      <w:r>
        <w:t>46</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_Toc20218 </w:instrText>
      </w:r>
      <w:r>
        <w:rPr>
          <w:rFonts w:hint="eastAsia" w:ascii="宋体" w:hAnsi="宋体" w:eastAsia="宋体" w:cs="宋体"/>
          <w:bCs w:val="0"/>
          <w:szCs w:val="24"/>
        </w:rPr>
        <w:fldChar w:fldCharType="separate"/>
      </w:r>
      <w:r>
        <w:rPr>
          <w:rFonts w:hint="eastAsia" w:ascii="宋体" w:hAnsi="宋体" w:eastAsia="宋体" w:cs="宋体"/>
          <w:bCs/>
          <w:szCs w:val="28"/>
        </w:rPr>
        <w:t>2.评审标准</w:t>
      </w:r>
      <w:r>
        <w:tab/>
      </w:r>
      <w:r>
        <w:fldChar w:fldCharType="begin"/>
      </w:r>
      <w:r>
        <w:instrText xml:space="preserve"> PAGEREF _Toc20218 </w:instrText>
      </w:r>
      <w:r>
        <w:fldChar w:fldCharType="separate"/>
      </w:r>
      <w:r>
        <w:t>46</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_Toc32318 </w:instrText>
      </w:r>
      <w:r>
        <w:rPr>
          <w:rFonts w:hint="eastAsia" w:ascii="宋体" w:hAnsi="宋体" w:eastAsia="宋体" w:cs="宋体"/>
          <w:bCs w:val="0"/>
          <w:szCs w:val="24"/>
        </w:rPr>
        <w:fldChar w:fldCharType="separate"/>
      </w:r>
      <w:r>
        <w:rPr>
          <w:rFonts w:hint="eastAsia" w:ascii="宋体" w:hAnsi="宋体" w:eastAsia="宋体" w:cs="宋体"/>
          <w:bCs/>
          <w:szCs w:val="28"/>
        </w:rPr>
        <w:t>3.评标程序</w:t>
      </w:r>
      <w:r>
        <w:tab/>
      </w:r>
      <w:r>
        <w:fldChar w:fldCharType="begin"/>
      </w:r>
      <w:r>
        <w:instrText xml:space="preserve"> PAGEREF _Toc32318 </w:instrText>
      </w:r>
      <w:r>
        <w:fldChar w:fldCharType="separate"/>
      </w:r>
      <w:r>
        <w:t>46</w:t>
      </w:r>
      <w:r>
        <w:fldChar w:fldCharType="end"/>
      </w:r>
      <w:r>
        <w:rPr>
          <w:rFonts w:hint="eastAsia" w:ascii="宋体" w:hAnsi="宋体" w:eastAsia="宋体" w:cs="宋体"/>
          <w:bCs w:val="0"/>
          <w:szCs w:val="24"/>
        </w:rPr>
        <w:fldChar w:fldCharType="end"/>
      </w:r>
    </w:p>
    <w:p>
      <w:pPr>
        <w:pStyle w:val="29"/>
        <w:tabs>
          <w:tab w:val="right" w:leader="dot" w:pos="8299"/>
        </w:tabs>
        <w:rPr>
          <w:rFonts w:hint="eastAsia"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_Toc21405 </w:instrText>
      </w:r>
      <w:r>
        <w:rPr>
          <w:rFonts w:hint="eastAsia" w:ascii="宋体" w:hAnsi="宋体" w:eastAsia="宋体" w:cs="宋体"/>
          <w:bCs w:val="0"/>
          <w:szCs w:val="24"/>
        </w:rPr>
        <w:fldChar w:fldCharType="separate"/>
      </w:r>
      <w:r>
        <w:rPr>
          <w:rFonts w:hint="eastAsia" w:ascii="宋体" w:hAnsi="宋体" w:eastAsia="宋体" w:cs="宋体"/>
        </w:rPr>
        <w:t>第四章 合同条款及格式</w:t>
      </w:r>
      <w:r>
        <w:tab/>
      </w:r>
      <w:r>
        <w:rPr>
          <w:rFonts w:hint="eastAsia"/>
          <w:lang w:val="en-US" w:eastAsia="zh-CN"/>
        </w:rPr>
        <w:t>8</w:t>
      </w:r>
      <w:r>
        <w:rPr>
          <w:rFonts w:hint="eastAsia" w:ascii="宋体" w:hAnsi="宋体" w:eastAsia="宋体" w:cs="宋体"/>
          <w:bCs w:val="0"/>
          <w:szCs w:val="24"/>
        </w:rPr>
        <w:fldChar w:fldCharType="end"/>
      </w:r>
      <w:r>
        <w:rPr>
          <w:rFonts w:hint="eastAsia" w:ascii="宋体" w:hAnsi="宋体" w:cs="宋体"/>
          <w:bCs w:val="0"/>
          <w:szCs w:val="24"/>
          <w:lang w:val="en-US" w:eastAsia="zh-CN"/>
        </w:rPr>
        <w:t>3</w:t>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_Toc4328 </w:instrText>
      </w:r>
      <w:r>
        <w:rPr>
          <w:rFonts w:hint="eastAsia" w:ascii="宋体" w:hAnsi="宋体" w:eastAsia="宋体" w:cs="宋体"/>
          <w:bCs w:val="0"/>
          <w:szCs w:val="24"/>
        </w:rPr>
        <w:fldChar w:fldCharType="separate"/>
      </w:r>
      <w:r>
        <w:rPr>
          <w:rFonts w:hint="eastAsia" w:ascii="宋体" w:hAnsi="宋体" w:eastAsia="宋体" w:cs="宋体"/>
          <w:lang w:val="en-US" w:eastAsia="zh-CN"/>
        </w:rPr>
        <w:t>第一部分 合同协议书</w:t>
      </w:r>
      <w:r>
        <w:tab/>
      </w:r>
      <w:r>
        <w:fldChar w:fldCharType="begin"/>
      </w:r>
      <w:r>
        <w:instrText xml:space="preserve"> PAGEREF _Toc4328 </w:instrText>
      </w:r>
      <w:r>
        <w:fldChar w:fldCharType="separate"/>
      </w:r>
      <w:r>
        <w:t>89</w:t>
      </w:r>
      <w:r>
        <w:fldChar w:fldCharType="end"/>
      </w:r>
      <w:r>
        <w:rPr>
          <w:rFonts w:hint="eastAsia" w:ascii="宋体" w:hAnsi="宋体" w:eastAsia="宋体" w:cs="宋体"/>
          <w:bCs w:val="0"/>
          <w:szCs w:val="24"/>
        </w:rPr>
        <w:fldChar w:fldCharType="end"/>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_Toc11260 </w:instrText>
      </w:r>
      <w:r>
        <w:rPr>
          <w:rFonts w:hint="eastAsia" w:ascii="宋体" w:hAnsi="宋体" w:eastAsia="宋体" w:cs="宋体"/>
          <w:bCs w:val="0"/>
          <w:szCs w:val="24"/>
        </w:rPr>
        <w:fldChar w:fldCharType="separate"/>
      </w:r>
      <w:r>
        <w:rPr>
          <w:rFonts w:hint="eastAsia" w:ascii="宋体" w:hAnsi="宋体" w:eastAsia="宋体" w:cs="宋体"/>
          <w:szCs w:val="32"/>
          <w:lang w:val="en-US" w:eastAsia="zh-CN"/>
        </w:rPr>
        <w:t>第二部分 通用合同条款</w:t>
      </w:r>
      <w:r>
        <w:tab/>
      </w:r>
      <w:r>
        <w:fldChar w:fldCharType="begin"/>
      </w:r>
      <w:r>
        <w:instrText xml:space="preserve"> PAGEREF _Toc11260 </w:instrText>
      </w:r>
      <w:r>
        <w:fldChar w:fldCharType="separate"/>
      </w:r>
      <w:r>
        <w:t>92</w:t>
      </w:r>
      <w:r>
        <w:fldChar w:fldCharType="end"/>
      </w:r>
      <w:r>
        <w:rPr>
          <w:rFonts w:hint="eastAsia" w:ascii="宋体" w:hAnsi="宋体" w:eastAsia="宋体" w:cs="宋体"/>
          <w:bCs w:val="0"/>
          <w:szCs w:val="24"/>
        </w:rPr>
        <w:fldChar w:fldCharType="end"/>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_Toc83 </w:instrText>
      </w:r>
      <w:r>
        <w:rPr>
          <w:rFonts w:hint="eastAsia" w:ascii="宋体" w:hAnsi="宋体" w:eastAsia="宋体" w:cs="宋体"/>
          <w:bCs w:val="0"/>
          <w:szCs w:val="24"/>
        </w:rPr>
        <w:fldChar w:fldCharType="separate"/>
      </w:r>
      <w:r>
        <w:rPr>
          <w:rFonts w:hint="eastAsia" w:ascii="宋体" w:hAnsi="宋体" w:eastAsia="宋体" w:cs="宋体"/>
          <w:szCs w:val="32"/>
          <w:lang w:val="en-US" w:eastAsia="zh-CN"/>
        </w:rPr>
        <w:t>第三部分 专用合同条款</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00</w:t>
      </w:r>
    </w:p>
    <w:p>
      <w:pPr>
        <w:pStyle w:val="29"/>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_Toc30538 </w:instrText>
      </w:r>
      <w:r>
        <w:rPr>
          <w:rFonts w:hint="eastAsia" w:ascii="宋体" w:hAnsi="宋体" w:eastAsia="宋体" w:cs="宋体"/>
          <w:bCs w:val="0"/>
          <w:szCs w:val="24"/>
        </w:rPr>
        <w:fldChar w:fldCharType="separate"/>
      </w:r>
      <w:r>
        <w:rPr>
          <w:rFonts w:hint="eastAsia" w:ascii="宋体" w:hAnsi="宋体" w:eastAsia="宋体" w:cs="宋体"/>
        </w:rPr>
        <w:t xml:space="preserve">第五章 </w:t>
      </w:r>
      <w:r>
        <w:rPr>
          <w:rFonts w:hint="eastAsia" w:ascii="宋体" w:hAnsi="宋体" w:eastAsia="宋体" w:cs="宋体"/>
          <w:lang w:eastAsia="zh-CN"/>
        </w:rPr>
        <w:t>工程量清单</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10</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_Toc18530 </w:instrText>
      </w:r>
      <w:r>
        <w:rPr>
          <w:rFonts w:hint="eastAsia" w:ascii="宋体" w:hAnsi="宋体" w:eastAsia="宋体" w:cs="宋体"/>
          <w:bCs w:val="0"/>
          <w:szCs w:val="24"/>
        </w:rPr>
        <w:fldChar w:fldCharType="separate"/>
      </w:r>
      <w:r>
        <w:rPr>
          <w:rFonts w:hint="eastAsia" w:ascii="宋体" w:hAnsi="宋体" w:eastAsia="宋体" w:cs="宋体"/>
          <w:bCs/>
          <w:kern w:val="2"/>
          <w:szCs w:val="32"/>
          <w:lang w:val="en-US" w:eastAsia="zh-CN" w:bidi="ar-SA"/>
        </w:rPr>
        <w:t>1. 工程量清单说明</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10</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_Toc15699 </w:instrText>
      </w:r>
      <w:r>
        <w:rPr>
          <w:rFonts w:hint="eastAsia" w:ascii="宋体" w:hAnsi="宋体" w:eastAsia="宋体" w:cs="宋体"/>
          <w:bCs w:val="0"/>
          <w:szCs w:val="24"/>
        </w:rPr>
        <w:fldChar w:fldCharType="separate"/>
      </w:r>
      <w:r>
        <w:rPr>
          <w:rFonts w:hint="eastAsia" w:ascii="宋体" w:hAnsi="宋体" w:eastAsia="宋体" w:cs="宋体"/>
          <w:bCs/>
          <w:kern w:val="2"/>
          <w:szCs w:val="32"/>
          <w:lang w:val="en-US" w:eastAsia="zh-CN" w:bidi="ar-SA"/>
        </w:rPr>
        <w:t>2. 投标报价说明</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10</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_Toc18243 </w:instrText>
      </w:r>
      <w:r>
        <w:rPr>
          <w:rFonts w:hint="eastAsia" w:ascii="宋体" w:hAnsi="宋体" w:eastAsia="宋体" w:cs="宋体"/>
          <w:bCs w:val="0"/>
          <w:szCs w:val="24"/>
        </w:rPr>
        <w:fldChar w:fldCharType="separate"/>
      </w:r>
      <w:r>
        <w:rPr>
          <w:rFonts w:hint="eastAsia" w:ascii="宋体" w:hAnsi="宋体" w:eastAsia="宋体" w:cs="宋体"/>
          <w:bCs/>
          <w:kern w:val="2"/>
          <w:szCs w:val="32"/>
          <w:lang w:val="en-US" w:eastAsia="zh-CN" w:bidi="ar-SA"/>
        </w:rPr>
        <w:t>3. 其他说明</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12</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_Toc19162 </w:instrText>
      </w:r>
      <w:r>
        <w:rPr>
          <w:rFonts w:hint="eastAsia" w:ascii="宋体" w:hAnsi="宋体" w:eastAsia="宋体" w:cs="宋体"/>
          <w:bCs w:val="0"/>
          <w:szCs w:val="24"/>
        </w:rPr>
        <w:fldChar w:fldCharType="separate"/>
      </w:r>
      <w:r>
        <w:rPr>
          <w:rFonts w:hint="eastAsia" w:ascii="宋体" w:hAnsi="宋体" w:eastAsia="宋体" w:cs="宋体"/>
          <w:bCs/>
          <w:kern w:val="2"/>
          <w:szCs w:val="32"/>
          <w:lang w:val="en-US" w:eastAsia="zh-CN" w:bidi="ar-SA"/>
        </w:rPr>
        <w:t>4. 工程量清单（详见电子磋商文件内工程量清单）</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12</w:t>
      </w:r>
    </w:p>
    <w:p>
      <w:pPr>
        <w:pStyle w:val="29"/>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_Toc2257 </w:instrText>
      </w:r>
      <w:r>
        <w:rPr>
          <w:rFonts w:hint="eastAsia" w:ascii="宋体" w:hAnsi="宋体" w:eastAsia="宋体" w:cs="宋体"/>
          <w:bCs w:val="0"/>
          <w:szCs w:val="24"/>
        </w:rPr>
        <w:fldChar w:fldCharType="separate"/>
      </w:r>
      <w:r>
        <w:rPr>
          <w:rFonts w:hint="eastAsia" w:ascii="宋体" w:hAnsi="宋体" w:eastAsia="宋体" w:cs="宋体"/>
        </w:rPr>
        <w:t>第</w:t>
      </w:r>
      <w:r>
        <w:rPr>
          <w:rFonts w:hint="eastAsia" w:ascii="宋体" w:hAnsi="宋体" w:eastAsia="宋体" w:cs="宋体"/>
          <w:lang w:eastAsia="zh-CN"/>
        </w:rPr>
        <w:t>六</w:t>
      </w:r>
      <w:r>
        <w:rPr>
          <w:rFonts w:hint="eastAsia" w:ascii="宋体" w:hAnsi="宋体" w:eastAsia="宋体" w:cs="宋体"/>
        </w:rPr>
        <w:t xml:space="preserve">章 </w:t>
      </w:r>
      <w:r>
        <w:rPr>
          <w:rFonts w:hint="eastAsia" w:ascii="宋体" w:hAnsi="宋体" w:eastAsia="宋体" w:cs="宋体"/>
          <w:lang w:eastAsia="zh-CN"/>
        </w:rPr>
        <w:t>图纸</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14</w:t>
      </w:r>
    </w:p>
    <w:p>
      <w:pPr>
        <w:pStyle w:val="29"/>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_Toc11750 </w:instrText>
      </w:r>
      <w:r>
        <w:rPr>
          <w:rFonts w:hint="eastAsia" w:ascii="宋体" w:hAnsi="宋体" w:eastAsia="宋体" w:cs="宋体"/>
          <w:bCs w:val="0"/>
          <w:szCs w:val="24"/>
        </w:rPr>
        <w:fldChar w:fldCharType="separate"/>
      </w:r>
      <w:r>
        <w:rPr>
          <w:rFonts w:hint="eastAsia" w:ascii="宋体" w:hAnsi="宋体" w:eastAsia="宋体" w:cs="宋体"/>
        </w:rPr>
        <w:t>第</w:t>
      </w:r>
      <w:r>
        <w:rPr>
          <w:rFonts w:hint="eastAsia" w:ascii="宋体" w:hAnsi="宋体" w:eastAsia="宋体" w:cs="宋体"/>
          <w:lang w:eastAsia="zh-CN"/>
        </w:rPr>
        <w:t>七</w:t>
      </w:r>
      <w:r>
        <w:rPr>
          <w:rFonts w:hint="eastAsia" w:ascii="宋体" w:hAnsi="宋体" w:eastAsia="宋体" w:cs="宋体"/>
        </w:rPr>
        <w:t xml:space="preserve">章 </w:t>
      </w:r>
      <w:r>
        <w:rPr>
          <w:rFonts w:hint="eastAsia" w:ascii="宋体" w:hAnsi="宋体" w:eastAsia="宋体" w:cs="宋体"/>
          <w:lang w:eastAsia="zh-CN"/>
        </w:rPr>
        <w:t>技术标准和要求</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14</w:t>
      </w:r>
    </w:p>
    <w:p>
      <w:pPr>
        <w:pStyle w:val="35"/>
        <w:tabs>
          <w:tab w:val="right" w:leader="dot" w:pos="8299"/>
        </w:tabs>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_Toc13866 </w:instrText>
      </w:r>
      <w:r>
        <w:rPr>
          <w:rFonts w:hint="eastAsia" w:ascii="宋体" w:hAnsi="宋体" w:eastAsia="宋体" w:cs="宋体"/>
          <w:bCs w:val="0"/>
          <w:szCs w:val="24"/>
        </w:rPr>
        <w:fldChar w:fldCharType="separate"/>
      </w:r>
      <w:r>
        <w:rPr>
          <w:rFonts w:hint="eastAsia" w:ascii="宋体" w:hAnsi="宋体" w:eastAsia="宋体" w:cs="宋体"/>
          <w:bCs/>
          <w:szCs w:val="32"/>
        </w:rPr>
        <w:t>第一节 一般要求</w:t>
      </w:r>
      <w:r>
        <w:tab/>
      </w:r>
      <w:r>
        <w:fldChar w:fldCharType="begin"/>
      </w:r>
      <w:r>
        <w:instrText xml:space="preserve"> PAGEREF _Toc13866 </w:instrText>
      </w:r>
      <w:r>
        <w:fldChar w:fldCharType="separate"/>
      </w:r>
      <w:r>
        <w:rPr>
          <w:rFonts w:hint="eastAsia"/>
          <w:lang w:val="en-US" w:eastAsia="zh-CN"/>
        </w:rPr>
        <w:t>1</w:t>
      </w:r>
      <w:r>
        <w:t>18</w:t>
      </w:r>
      <w:r>
        <w:fldChar w:fldCharType="end"/>
      </w:r>
      <w:r>
        <w:rPr>
          <w:rFonts w:hint="eastAsia" w:ascii="宋体" w:hAnsi="宋体" w:eastAsia="宋体" w:cs="宋体"/>
          <w:bCs w:val="0"/>
          <w:szCs w:val="24"/>
        </w:rPr>
        <w:fldChar w:fldCharType="end"/>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_Toc14730 </w:instrText>
      </w:r>
      <w:r>
        <w:rPr>
          <w:rFonts w:hint="eastAsia" w:ascii="宋体" w:hAnsi="宋体" w:eastAsia="宋体" w:cs="宋体"/>
          <w:bCs w:val="0"/>
          <w:szCs w:val="24"/>
        </w:rPr>
        <w:fldChar w:fldCharType="separate"/>
      </w:r>
      <w:r>
        <w:rPr>
          <w:rFonts w:hint="eastAsia" w:ascii="宋体" w:hAnsi="宋体" w:eastAsia="宋体" w:cs="宋体"/>
          <w:bCs/>
          <w:szCs w:val="32"/>
        </w:rPr>
        <w:t>第二节 特殊技术标准和要求</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20</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_Toc4818 </w:instrText>
      </w:r>
      <w:r>
        <w:rPr>
          <w:rFonts w:hint="eastAsia" w:ascii="宋体" w:hAnsi="宋体" w:eastAsia="宋体" w:cs="宋体"/>
          <w:bCs w:val="0"/>
          <w:szCs w:val="24"/>
        </w:rPr>
        <w:fldChar w:fldCharType="separate"/>
      </w:r>
      <w:r>
        <w:rPr>
          <w:rFonts w:hint="eastAsia" w:ascii="宋体" w:hAnsi="宋体" w:eastAsia="宋体" w:cs="宋体"/>
          <w:bCs/>
          <w:szCs w:val="32"/>
        </w:rPr>
        <w:t>第三节 适用的国家、行业以及地方规范、标准和规程</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30</w:t>
      </w:r>
    </w:p>
    <w:p>
      <w:pPr>
        <w:pStyle w:val="29"/>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_Toc29938 </w:instrText>
      </w:r>
      <w:r>
        <w:rPr>
          <w:rFonts w:hint="eastAsia" w:ascii="宋体" w:hAnsi="宋体" w:eastAsia="宋体" w:cs="宋体"/>
          <w:bCs w:val="0"/>
          <w:szCs w:val="24"/>
        </w:rPr>
        <w:fldChar w:fldCharType="separate"/>
      </w:r>
      <w:r>
        <w:rPr>
          <w:rFonts w:hint="eastAsia" w:ascii="宋体" w:hAnsi="宋体" w:eastAsia="宋体" w:cs="宋体"/>
        </w:rPr>
        <w:t>第</w:t>
      </w:r>
      <w:r>
        <w:rPr>
          <w:rFonts w:hint="eastAsia" w:ascii="宋体" w:hAnsi="宋体" w:eastAsia="宋体" w:cs="宋体"/>
          <w:lang w:eastAsia="zh-CN"/>
        </w:rPr>
        <w:t>八</w:t>
      </w:r>
      <w:r>
        <w:rPr>
          <w:rFonts w:hint="eastAsia" w:ascii="宋体" w:hAnsi="宋体" w:eastAsia="宋体" w:cs="宋体"/>
        </w:rPr>
        <w:t xml:space="preserve">章 </w:t>
      </w:r>
      <w:r>
        <w:rPr>
          <w:rFonts w:hint="eastAsia" w:ascii="宋体" w:hAnsi="宋体" w:eastAsia="宋体" w:cs="宋体"/>
          <w:lang w:eastAsia="zh-CN"/>
        </w:rPr>
        <w:t>响应文件</w:t>
      </w:r>
      <w:r>
        <w:rPr>
          <w:rFonts w:hint="eastAsia" w:ascii="宋体" w:hAnsi="宋体" w:eastAsia="宋体" w:cs="宋体"/>
        </w:rPr>
        <w:t>格式</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39</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_Toc31771 </w:instrText>
      </w:r>
      <w:r>
        <w:rPr>
          <w:rFonts w:hint="eastAsia" w:ascii="宋体" w:hAnsi="宋体" w:eastAsia="宋体" w:cs="宋体"/>
          <w:bCs w:val="0"/>
          <w:szCs w:val="24"/>
        </w:rPr>
        <w:fldChar w:fldCharType="separate"/>
      </w:r>
      <w:r>
        <w:rPr>
          <w:rFonts w:hint="eastAsia" w:ascii="宋体" w:hAnsi="宋体" w:eastAsia="宋体" w:cs="宋体"/>
          <w:bCs/>
          <w:szCs w:val="32"/>
        </w:rPr>
        <w:t>目录</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40</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_Toc14257 </w:instrText>
      </w:r>
      <w:r>
        <w:rPr>
          <w:rFonts w:hint="eastAsia" w:ascii="宋体" w:hAnsi="宋体" w:eastAsia="宋体" w:cs="宋体"/>
          <w:bCs w:val="0"/>
          <w:szCs w:val="24"/>
        </w:rPr>
        <w:fldChar w:fldCharType="separate"/>
      </w:r>
      <w:r>
        <w:rPr>
          <w:rFonts w:hint="eastAsia" w:ascii="宋体" w:hAnsi="宋体" w:eastAsia="宋体" w:cs="宋体"/>
          <w:bCs/>
          <w:szCs w:val="32"/>
        </w:rPr>
        <w:t>一、投标函及投标函附录</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41</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_Toc17583 </w:instrText>
      </w:r>
      <w:r>
        <w:rPr>
          <w:rFonts w:hint="eastAsia" w:ascii="宋体" w:hAnsi="宋体" w:eastAsia="宋体" w:cs="宋体"/>
          <w:bCs w:val="0"/>
          <w:szCs w:val="24"/>
        </w:rPr>
        <w:fldChar w:fldCharType="separate"/>
      </w:r>
      <w:r>
        <w:rPr>
          <w:rFonts w:hint="eastAsia" w:ascii="宋体" w:hAnsi="宋体" w:eastAsia="宋体" w:cs="宋体"/>
          <w:bCs/>
          <w:szCs w:val="32"/>
        </w:rPr>
        <w:t>二、法定代表人身份证明</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42</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_Toc1445 </w:instrText>
      </w:r>
      <w:r>
        <w:rPr>
          <w:rFonts w:hint="eastAsia" w:ascii="宋体" w:hAnsi="宋体" w:eastAsia="宋体" w:cs="宋体"/>
          <w:bCs w:val="0"/>
          <w:szCs w:val="24"/>
        </w:rPr>
        <w:fldChar w:fldCharType="separate"/>
      </w:r>
      <w:r>
        <w:rPr>
          <w:rFonts w:hint="eastAsia" w:ascii="宋体" w:hAnsi="宋体" w:eastAsia="宋体" w:cs="宋体"/>
          <w:bCs/>
          <w:szCs w:val="32"/>
        </w:rPr>
        <w:t>二、授权委托书</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43</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_Toc21861 </w:instrText>
      </w:r>
      <w:r>
        <w:rPr>
          <w:rFonts w:hint="eastAsia" w:ascii="宋体" w:hAnsi="宋体" w:eastAsia="宋体" w:cs="宋体"/>
          <w:bCs w:val="0"/>
          <w:szCs w:val="24"/>
        </w:rPr>
        <w:fldChar w:fldCharType="separate"/>
      </w:r>
      <w:r>
        <w:rPr>
          <w:rFonts w:hint="eastAsia" w:ascii="宋体" w:hAnsi="宋体" w:eastAsia="宋体" w:cs="宋体"/>
          <w:bCs/>
          <w:szCs w:val="32"/>
        </w:rPr>
        <w:t>三、联合体协议书（如有）</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44</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_Toc3827 </w:instrText>
      </w:r>
      <w:r>
        <w:rPr>
          <w:rFonts w:hint="eastAsia" w:ascii="宋体" w:hAnsi="宋体" w:eastAsia="宋体" w:cs="宋体"/>
          <w:bCs w:val="0"/>
          <w:szCs w:val="24"/>
        </w:rPr>
        <w:fldChar w:fldCharType="separate"/>
      </w:r>
      <w:r>
        <w:rPr>
          <w:rFonts w:hint="eastAsia" w:ascii="宋体" w:hAnsi="宋体" w:eastAsia="宋体" w:cs="宋体"/>
          <w:bCs/>
          <w:szCs w:val="32"/>
        </w:rPr>
        <w:t>四、</w:t>
      </w:r>
      <w:r>
        <w:rPr>
          <w:rFonts w:hint="eastAsia" w:ascii="宋体" w:hAnsi="宋体" w:eastAsia="宋体" w:cs="宋体"/>
          <w:bCs/>
          <w:szCs w:val="32"/>
          <w:lang w:eastAsia="zh-CN"/>
        </w:rPr>
        <w:t>磋商保证金</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45</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_Toc1483 </w:instrText>
      </w:r>
      <w:r>
        <w:rPr>
          <w:rFonts w:hint="eastAsia" w:ascii="宋体" w:hAnsi="宋体" w:eastAsia="宋体" w:cs="宋体"/>
          <w:bCs w:val="0"/>
          <w:szCs w:val="24"/>
        </w:rPr>
        <w:fldChar w:fldCharType="separate"/>
      </w:r>
      <w:r>
        <w:rPr>
          <w:rFonts w:hint="eastAsia" w:ascii="宋体" w:hAnsi="宋体" w:eastAsia="宋体" w:cs="宋体"/>
          <w:bCs/>
          <w:szCs w:val="32"/>
        </w:rPr>
        <w:t>五、已标价工程量清单</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46</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_Toc7400 </w:instrText>
      </w:r>
      <w:r>
        <w:rPr>
          <w:rFonts w:hint="eastAsia" w:ascii="宋体" w:hAnsi="宋体" w:eastAsia="宋体" w:cs="宋体"/>
          <w:bCs w:val="0"/>
          <w:szCs w:val="24"/>
        </w:rPr>
        <w:fldChar w:fldCharType="separate"/>
      </w:r>
      <w:r>
        <w:rPr>
          <w:rFonts w:hint="eastAsia" w:ascii="宋体" w:hAnsi="宋体" w:eastAsia="宋体" w:cs="宋体"/>
          <w:bCs/>
          <w:szCs w:val="32"/>
        </w:rPr>
        <w:t>六、施工组织设计</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49</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_Toc29204 </w:instrText>
      </w:r>
      <w:r>
        <w:rPr>
          <w:rFonts w:hint="eastAsia" w:ascii="宋体" w:hAnsi="宋体" w:eastAsia="宋体" w:cs="宋体"/>
          <w:bCs w:val="0"/>
          <w:szCs w:val="24"/>
        </w:rPr>
        <w:fldChar w:fldCharType="separate"/>
      </w:r>
      <w:r>
        <w:rPr>
          <w:rFonts w:hint="eastAsia" w:ascii="宋体" w:hAnsi="宋体" w:eastAsia="宋体" w:cs="宋体"/>
        </w:rPr>
        <w:t>七、项目管理机构</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50</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_Toc15032 </w:instrText>
      </w:r>
      <w:r>
        <w:rPr>
          <w:rFonts w:hint="eastAsia" w:ascii="宋体" w:hAnsi="宋体" w:eastAsia="宋体" w:cs="宋体"/>
          <w:bCs w:val="0"/>
          <w:szCs w:val="24"/>
        </w:rPr>
        <w:fldChar w:fldCharType="separate"/>
      </w:r>
      <w:r>
        <w:rPr>
          <w:rFonts w:hint="eastAsia" w:ascii="宋体" w:hAnsi="宋体" w:eastAsia="宋体" w:cs="宋体"/>
          <w:bCs/>
          <w:szCs w:val="32"/>
        </w:rPr>
        <w:t>八、拟分包计划表</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51</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_Toc321 </w:instrText>
      </w:r>
      <w:r>
        <w:rPr>
          <w:rFonts w:hint="eastAsia" w:ascii="宋体" w:hAnsi="宋体" w:eastAsia="宋体" w:cs="宋体"/>
          <w:bCs w:val="0"/>
          <w:szCs w:val="24"/>
        </w:rPr>
        <w:fldChar w:fldCharType="separate"/>
      </w:r>
      <w:r>
        <w:rPr>
          <w:rFonts w:hint="eastAsia" w:ascii="宋体" w:hAnsi="宋体" w:eastAsia="宋体" w:cs="宋体"/>
        </w:rPr>
        <w:t>九、资格审查资料</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52</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_Toc8572 </w:instrText>
      </w:r>
      <w:r>
        <w:rPr>
          <w:rFonts w:hint="eastAsia" w:ascii="宋体" w:hAnsi="宋体" w:eastAsia="宋体" w:cs="宋体"/>
          <w:bCs w:val="0"/>
          <w:szCs w:val="24"/>
        </w:rPr>
        <w:fldChar w:fldCharType="separate"/>
      </w:r>
      <w:r>
        <w:rPr>
          <w:rFonts w:hint="eastAsia" w:ascii="宋体" w:hAnsi="宋体" w:eastAsia="宋体" w:cs="宋体"/>
        </w:rPr>
        <w:t>十、其他材料</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53</w:t>
      </w:r>
    </w:p>
    <w:p>
      <w:pPr>
        <w:pStyle w:val="29"/>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_Toc9659 </w:instrText>
      </w:r>
      <w:r>
        <w:rPr>
          <w:rFonts w:hint="eastAsia" w:ascii="宋体" w:hAnsi="宋体" w:eastAsia="宋体" w:cs="宋体"/>
          <w:bCs w:val="0"/>
          <w:szCs w:val="24"/>
        </w:rPr>
        <w:fldChar w:fldCharType="separate"/>
      </w:r>
      <w:r>
        <w:rPr>
          <w:rFonts w:hint="eastAsia" w:ascii="宋体" w:hAnsi="宋体" w:eastAsia="宋体" w:cs="宋体"/>
        </w:rPr>
        <w:t>第</w:t>
      </w:r>
      <w:r>
        <w:rPr>
          <w:rFonts w:hint="eastAsia" w:ascii="宋体" w:hAnsi="宋体" w:eastAsia="宋体" w:cs="宋体"/>
          <w:lang w:eastAsia="zh-CN"/>
        </w:rPr>
        <w:t>九</w:t>
      </w:r>
      <w:r>
        <w:rPr>
          <w:rFonts w:hint="eastAsia" w:ascii="宋体" w:hAnsi="宋体" w:eastAsia="宋体" w:cs="宋体"/>
        </w:rPr>
        <w:t>章 附件</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54</w:t>
      </w:r>
    </w:p>
    <w:p>
      <w:pPr>
        <w:pStyle w:val="35"/>
        <w:tabs>
          <w:tab w:val="right" w:leader="dot" w:pos="8299"/>
        </w:tabs>
        <w:rPr>
          <w:rFonts w:hint="default" w:eastAsia="宋体"/>
          <w:lang w:val="en-US" w:eastAsia="zh-CN"/>
        </w:rPr>
      </w:pPr>
      <w:r>
        <w:rPr>
          <w:rFonts w:hint="eastAsia" w:ascii="宋体" w:hAnsi="宋体" w:eastAsia="宋体" w:cs="宋体"/>
          <w:bCs w:val="0"/>
          <w:szCs w:val="24"/>
        </w:rPr>
        <w:fldChar w:fldCharType="begin"/>
      </w:r>
      <w:r>
        <w:rPr>
          <w:rFonts w:hint="eastAsia" w:ascii="宋体" w:hAnsi="宋体" w:eastAsia="宋体" w:cs="宋体"/>
          <w:bCs w:val="0"/>
          <w:szCs w:val="24"/>
        </w:rPr>
        <w:instrText xml:space="preserve"> HYPERLINK \l _Toc26844 </w:instrText>
      </w:r>
      <w:r>
        <w:rPr>
          <w:rFonts w:hint="eastAsia" w:ascii="宋体" w:hAnsi="宋体" w:eastAsia="宋体" w:cs="宋体"/>
          <w:bCs w:val="0"/>
          <w:szCs w:val="24"/>
        </w:rPr>
        <w:fldChar w:fldCharType="separate"/>
      </w:r>
      <w:r>
        <w:rPr>
          <w:rFonts w:hint="eastAsia" w:ascii="宋体" w:hAnsi="宋体" w:eastAsia="宋体" w:cs="宋体"/>
          <w:bCs/>
          <w:kern w:val="2"/>
          <w:szCs w:val="32"/>
          <w:highlight w:val="none"/>
          <w:lang w:val="en-US" w:eastAsia="zh-CN" w:bidi="ar-SA"/>
        </w:rPr>
        <w:t>开标一览表</w:t>
      </w:r>
      <w:r>
        <w:rPr>
          <w:rFonts w:hint="eastAsia" w:ascii="宋体" w:hAnsi="宋体" w:eastAsia="宋体" w:cs="宋体"/>
        </w:rPr>
        <w:t>（最终报价）</w:t>
      </w:r>
      <w:r>
        <w:tab/>
      </w:r>
      <w:r>
        <w:rPr>
          <w:rFonts w:hint="eastAsia"/>
          <w:lang w:val="en-US" w:eastAsia="zh-CN"/>
        </w:rPr>
        <w:t>1</w:t>
      </w:r>
      <w:r>
        <w:rPr>
          <w:rFonts w:hint="eastAsia" w:ascii="宋体" w:hAnsi="宋体" w:eastAsia="宋体" w:cs="宋体"/>
          <w:bCs w:val="0"/>
          <w:szCs w:val="24"/>
        </w:rPr>
        <w:fldChar w:fldCharType="end"/>
      </w:r>
      <w:r>
        <w:rPr>
          <w:rFonts w:hint="eastAsia" w:ascii="宋体" w:hAnsi="宋体" w:cs="宋体"/>
          <w:bCs w:val="0"/>
          <w:szCs w:val="24"/>
          <w:lang w:val="en-US" w:eastAsia="zh-CN"/>
        </w:rPr>
        <w:t>55</w:t>
      </w:r>
    </w:p>
    <w:p>
      <w:pPr>
        <w:keepNext w:val="0"/>
        <w:keepLines w:val="0"/>
        <w:pageBreakBefore w:val="0"/>
        <w:widowControl w:val="0"/>
        <w:kinsoku/>
        <w:wordWrap w:val="0"/>
        <w:overflowPunct/>
        <w:topLinePunct w:val="0"/>
        <w:autoSpaceDE/>
        <w:autoSpaceDN/>
        <w:bidi w:val="0"/>
        <w:adjustRightInd/>
        <w:snapToGrid/>
        <w:spacing w:line="360" w:lineRule="exact"/>
        <w:textAlignment w:val="auto"/>
        <w:rPr>
          <w:rFonts w:hint="eastAsia" w:ascii="宋体" w:hAnsi="宋体" w:eastAsia="宋体" w:cs="宋体"/>
        </w:rPr>
        <w:sectPr>
          <w:headerReference r:id="rId3" w:type="default"/>
          <w:footerReference r:id="rId4" w:type="default"/>
          <w:pgSz w:w="11905" w:h="16838"/>
          <w:pgMar w:top="1440" w:right="1803" w:bottom="1440" w:left="1803" w:header="720" w:footer="720" w:gutter="0"/>
          <w:pgNumType w:fmt="decimal" w:start="1"/>
          <w:cols w:space="0" w:num="1"/>
          <w:rtlGutter w:val="0"/>
          <w:docGrid w:linePitch="312" w:charSpace="0"/>
        </w:sectPr>
      </w:pPr>
      <w:r>
        <w:rPr>
          <w:rFonts w:hint="eastAsia" w:ascii="宋体" w:hAnsi="宋体" w:eastAsia="宋体" w:cs="宋体"/>
          <w:bCs w:val="0"/>
          <w:szCs w:val="24"/>
        </w:rPr>
        <w:fldChar w:fldCharType="end"/>
      </w:r>
      <w:bookmarkEnd w:id="0"/>
      <w:bookmarkEnd w:id="1"/>
      <w:bookmarkEnd w:id="2"/>
      <w:bookmarkStart w:id="3" w:name="_Toc29948"/>
      <w:bookmarkStart w:id="4" w:name="_Toc300812777"/>
      <w:bookmarkStart w:id="5" w:name="_Toc32235"/>
      <w:bookmarkStart w:id="6" w:name="_Toc6337"/>
      <w:bookmarkStart w:id="7" w:name="_Toc28614"/>
      <w:bookmarkStart w:id="8" w:name="_Toc29384636"/>
      <w:bookmarkStart w:id="9" w:name="_Toc6620"/>
      <w:bookmarkStart w:id="10" w:name="_Toc15401272"/>
    </w:p>
    <w:p>
      <w:pPr>
        <w:pStyle w:val="3"/>
        <w:keepNext w:val="0"/>
        <w:keepLines w:val="0"/>
        <w:pageBreakBefore w:val="0"/>
        <w:widowControl w:val="0"/>
        <w:kinsoku/>
        <w:wordWrap w:val="0"/>
        <w:overflowPunct/>
        <w:topLinePunct w:val="0"/>
        <w:autoSpaceDE/>
        <w:autoSpaceDN/>
        <w:bidi w:val="0"/>
        <w:adjustRightInd/>
        <w:snapToGrid/>
        <w:spacing w:before="0" w:after="157" w:afterLines="50" w:line="240" w:lineRule="auto"/>
        <w:ind w:left="0" w:leftChars="0" w:right="0" w:rightChars="0" w:firstLine="0" w:firstLineChars="0"/>
        <w:jc w:val="center"/>
        <w:textAlignment w:val="auto"/>
        <w:rPr>
          <w:rFonts w:hint="eastAsia" w:ascii="宋体" w:hAnsi="宋体" w:eastAsia="宋体" w:cs="宋体"/>
          <w:lang w:eastAsia="zh-CN"/>
        </w:rPr>
      </w:pPr>
      <w:bookmarkStart w:id="11" w:name="_Toc2687"/>
      <w:r>
        <w:rPr>
          <w:rFonts w:hint="eastAsia" w:ascii="宋体" w:hAnsi="宋体" w:eastAsia="宋体" w:cs="宋体"/>
        </w:rPr>
        <w:t xml:space="preserve">第一章 </w:t>
      </w:r>
      <w:bookmarkEnd w:id="3"/>
      <w:bookmarkEnd w:id="4"/>
      <w:bookmarkEnd w:id="5"/>
      <w:bookmarkEnd w:id="6"/>
      <w:bookmarkEnd w:id="7"/>
      <w:bookmarkEnd w:id="8"/>
      <w:bookmarkEnd w:id="9"/>
      <w:bookmarkEnd w:id="10"/>
      <w:r>
        <w:rPr>
          <w:rFonts w:hint="eastAsia" w:ascii="宋体" w:hAnsi="宋体" w:eastAsia="宋体" w:cs="宋体"/>
          <w:lang w:eastAsia="zh-CN"/>
        </w:rPr>
        <w:t>竞争性磋商公告</w:t>
      </w:r>
      <w:bookmarkEnd w:id="11"/>
    </w:p>
    <w:p>
      <w:pPr>
        <w:keepNext w:val="0"/>
        <w:keepLines w:val="0"/>
        <w:pageBreakBefore w:val="0"/>
        <w:widowControl w:val="0"/>
        <w:kinsoku/>
        <w:wordWrap w:val="0"/>
        <w:overflowPunct/>
        <w:topLinePunct w:val="0"/>
        <w:autoSpaceDE/>
        <w:autoSpaceDN/>
        <w:bidi w:val="0"/>
        <w:spacing w:beforeLines="0" w:afterLines="0" w:line="360" w:lineRule="auto"/>
        <w:jc w:val="center"/>
        <w:rPr>
          <w:rFonts w:hint="eastAsia" w:ascii="宋体" w:hAnsi="宋体" w:eastAsia="宋体" w:cs="宋体"/>
          <w:b/>
          <w:sz w:val="32"/>
          <w:lang w:eastAsia="zh-CN"/>
        </w:rPr>
      </w:pPr>
      <w:bookmarkStart w:id="12" w:name="_Toc492300351"/>
      <w:bookmarkStart w:id="13" w:name="_Toc15915"/>
      <w:bookmarkStart w:id="14" w:name="_Toc26480"/>
      <w:bookmarkStart w:id="15" w:name="_Toc5544"/>
      <w:bookmarkStart w:id="16" w:name="_Toc14129"/>
      <w:r>
        <w:rPr>
          <w:rFonts w:hint="eastAsia" w:ascii="宋体" w:hAnsi="宋体" w:eastAsia="宋体" w:cs="宋体"/>
          <w:b/>
          <w:sz w:val="32"/>
          <w:lang w:eastAsia="zh-CN"/>
        </w:rPr>
        <w:t>龙潭区2026年上半年随见修工程（零星维修工程）</w:t>
      </w:r>
    </w:p>
    <w:p>
      <w:pPr>
        <w:keepNext w:val="0"/>
        <w:keepLines w:val="0"/>
        <w:pageBreakBefore w:val="0"/>
        <w:widowControl w:val="0"/>
        <w:kinsoku/>
        <w:wordWrap w:val="0"/>
        <w:overflowPunct/>
        <w:topLinePunct w:val="0"/>
        <w:autoSpaceDE/>
        <w:autoSpaceDN/>
        <w:bidi w:val="0"/>
        <w:spacing w:beforeLines="0" w:afterLines="0" w:line="360" w:lineRule="auto"/>
        <w:jc w:val="center"/>
        <w:rPr>
          <w:rFonts w:hint="eastAsia" w:ascii="宋体" w:hAnsi="宋体" w:eastAsia="宋体" w:cs="宋体"/>
          <w:b/>
          <w:sz w:val="32"/>
          <w:lang w:eastAsia="zh-CN"/>
        </w:rPr>
      </w:pPr>
      <w:r>
        <w:rPr>
          <w:rFonts w:hint="eastAsia" w:ascii="宋体" w:hAnsi="宋体" w:eastAsia="宋体" w:cs="宋体"/>
          <w:b/>
          <w:sz w:val="32"/>
          <w:lang w:eastAsia="zh-CN"/>
        </w:rPr>
        <w:t>竞争性磋商公告</w:t>
      </w:r>
    </w:p>
    <w:p>
      <w:pPr>
        <w:widowControl w:val="0"/>
        <w:pBdr>
          <w:top w:val="single" w:color="auto" w:sz="4" w:space="1"/>
          <w:left w:val="single" w:color="auto" w:sz="4" w:space="4"/>
          <w:bottom w:val="single" w:color="auto" w:sz="4" w:space="1"/>
          <w:right w:val="single" w:color="auto" w:sz="4" w:space="4"/>
        </w:pBdr>
        <w:autoSpaceDE w:val="0"/>
        <w:spacing w:line="44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项目概况</w:t>
      </w:r>
    </w:p>
    <w:p>
      <w:pPr>
        <w:widowControl w:val="0"/>
        <w:pBdr>
          <w:top w:val="single" w:color="auto" w:sz="4" w:space="1"/>
          <w:left w:val="single" w:color="auto" w:sz="4" w:space="4"/>
          <w:bottom w:val="single" w:color="auto" w:sz="4" w:space="1"/>
          <w:right w:val="single" w:color="auto" w:sz="4" w:space="4"/>
        </w:pBdr>
        <w:autoSpaceDE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rPr>
        <w:t>龙潭区2026年上半年随见修工程（零星维修工程）的潜在</w:t>
      </w:r>
      <w:r>
        <w:rPr>
          <w:rFonts w:hint="eastAsia" w:ascii="宋体" w:hAnsi="宋体" w:eastAsia="宋体" w:cs="宋体"/>
          <w:sz w:val="24"/>
          <w:szCs w:val="24"/>
          <w:lang w:eastAsia="zh-CN"/>
        </w:rPr>
        <w:t>供应商</w:t>
      </w:r>
      <w:r>
        <w:rPr>
          <w:rFonts w:hint="eastAsia" w:ascii="宋体" w:hAnsi="宋体" w:eastAsia="宋体" w:cs="宋体"/>
          <w:sz w:val="24"/>
          <w:szCs w:val="24"/>
        </w:rPr>
        <w:t>应在</w:t>
      </w:r>
      <w:r>
        <w:rPr>
          <w:rFonts w:hint="eastAsia" w:ascii="宋体" w:hAnsi="宋体" w:eastAsia="宋体" w:cs="宋体"/>
          <w:color w:val="auto"/>
          <w:sz w:val="24"/>
          <w:szCs w:val="24"/>
          <w:lang w:val="en-US" w:eastAsia="zh-CN"/>
        </w:rPr>
        <w:t>政采云平台</w:t>
      </w:r>
      <w:r>
        <w:rPr>
          <w:rFonts w:hint="eastAsia" w:ascii="宋体" w:hAnsi="宋体" w:eastAsia="宋体" w:cs="宋体"/>
          <w:color w:val="auto"/>
          <w:sz w:val="24"/>
          <w:szCs w:val="24"/>
        </w:rPr>
        <w:t>（http://</w:t>
      </w:r>
      <w:r>
        <w:rPr>
          <w:rFonts w:hint="eastAsia" w:ascii="宋体" w:hAnsi="宋体" w:eastAsia="宋体" w:cs="宋体"/>
          <w:color w:val="auto"/>
          <w:sz w:val="24"/>
          <w:szCs w:val="24"/>
          <w:lang w:val="en-US" w:eastAsia="zh-CN"/>
        </w:rPr>
        <w:t>www</w:t>
      </w:r>
      <w:r>
        <w:rPr>
          <w:rFonts w:hint="eastAsia" w:ascii="宋体" w:hAnsi="宋体" w:eastAsia="宋体" w:cs="宋体"/>
          <w:color w:val="auto"/>
          <w:sz w:val="24"/>
          <w:szCs w:val="24"/>
        </w:rPr>
        <w:t>.zcygov.cn）</w:t>
      </w:r>
      <w:r>
        <w:rPr>
          <w:rFonts w:hint="eastAsia" w:ascii="宋体" w:hAnsi="宋体" w:eastAsia="宋体" w:cs="宋体"/>
          <w:sz w:val="24"/>
          <w:szCs w:val="24"/>
        </w:rPr>
        <w:t>获取</w:t>
      </w:r>
      <w:r>
        <w:rPr>
          <w:rFonts w:hint="eastAsia" w:ascii="宋体" w:hAnsi="宋体" w:eastAsia="宋体" w:cs="宋体"/>
          <w:sz w:val="24"/>
          <w:szCs w:val="24"/>
          <w:lang w:eastAsia="zh-CN"/>
        </w:rPr>
        <w:t>磋商</w:t>
      </w:r>
      <w:r>
        <w:rPr>
          <w:rFonts w:hint="eastAsia" w:ascii="宋体" w:hAnsi="宋体" w:eastAsia="宋体" w:cs="宋体"/>
          <w:sz w:val="24"/>
          <w:szCs w:val="24"/>
        </w:rPr>
        <w:t>文件，并</w:t>
      </w:r>
      <w:r>
        <w:rPr>
          <w:rFonts w:hint="eastAsia" w:ascii="宋体" w:hAnsi="宋体" w:eastAsia="宋体" w:cs="宋体"/>
          <w:sz w:val="24"/>
          <w:szCs w:val="24"/>
          <w:highlight w:val="none"/>
        </w:rPr>
        <w:t>于</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rPr>
        <w:t>日</w:t>
      </w:r>
      <w:r>
        <w:rPr>
          <w:rFonts w:hint="default"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0（北京时间）前提交</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w:t>
      </w:r>
    </w:p>
    <w:p>
      <w:pPr>
        <w:widowControl w:val="0"/>
        <w:autoSpaceDE w:val="0"/>
        <w:spacing w:line="440" w:lineRule="exact"/>
        <w:jc w:val="left"/>
        <w:rPr>
          <w:rFonts w:hint="eastAsia" w:ascii="宋体" w:hAnsi="宋体" w:eastAsia="宋体" w:cs="宋体"/>
          <w:b/>
          <w:sz w:val="24"/>
          <w:szCs w:val="24"/>
        </w:rPr>
      </w:pPr>
      <w:r>
        <w:rPr>
          <w:rFonts w:hint="eastAsia" w:ascii="宋体" w:hAnsi="宋体" w:eastAsia="宋体" w:cs="宋体"/>
          <w:b/>
          <w:sz w:val="24"/>
          <w:szCs w:val="24"/>
        </w:rPr>
        <w:t>一、项目基本情况</w:t>
      </w:r>
    </w:p>
    <w:p>
      <w:pPr>
        <w:widowControl w:val="0"/>
        <w:autoSpaceDE w:val="0"/>
        <w:spacing w:line="440" w:lineRule="exact"/>
        <w:ind w:firstLine="480" w:firstLineChars="200"/>
        <w:jc w:val="left"/>
        <w:rPr>
          <w:rFonts w:hint="eastAsia" w:ascii="宋体" w:hAnsi="宋体" w:eastAsia="宋体" w:cs="宋体"/>
          <w:sz w:val="24"/>
          <w:szCs w:val="24"/>
        </w:rPr>
      </w:pPr>
      <w:bookmarkStart w:id="17" w:name="_Toc12406"/>
      <w:bookmarkStart w:id="18" w:name="_Toc8673"/>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项目编号：采购计划-[2026]-00640号-01 ；</w:t>
      </w:r>
    </w:p>
    <w:p>
      <w:pPr>
        <w:widowControl w:val="0"/>
        <w:autoSpaceDE w:val="0"/>
        <w:spacing w:line="44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项目名称：龙潭区2026年上半年随见修工程（零星维修工程）；</w:t>
      </w:r>
    </w:p>
    <w:p>
      <w:pPr>
        <w:widowControl w:val="0"/>
        <w:autoSpaceDE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19</w:t>
      </w:r>
      <w:r>
        <w:rPr>
          <w:rFonts w:hint="eastAsia" w:ascii="宋体" w:hAnsi="宋体" w:cs="宋体"/>
          <w:color w:val="auto"/>
          <w:sz w:val="24"/>
          <w:szCs w:val="24"/>
          <w:highlight w:val="none"/>
          <w:lang w:val="en-US" w:eastAsia="zh-CN"/>
        </w:rPr>
        <w:t>52070</w:t>
      </w:r>
      <w:r>
        <w:rPr>
          <w:rFonts w:hint="eastAsia" w:ascii="宋体" w:hAnsi="宋体" w:eastAsia="宋体" w:cs="宋体"/>
          <w:color w:val="auto"/>
          <w:sz w:val="24"/>
          <w:szCs w:val="24"/>
          <w:highlight w:val="none"/>
        </w:rPr>
        <w:t>.00</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（人民币）；</w:t>
      </w:r>
    </w:p>
    <w:p>
      <w:pPr>
        <w:widowControl w:val="0"/>
        <w:autoSpaceDE w:val="0"/>
        <w:spacing w:line="440" w:lineRule="exact"/>
        <w:ind w:firstLine="480" w:firstLineChars="200"/>
        <w:jc w:val="left"/>
        <w:rPr>
          <w:rFonts w:hint="eastAsia" w:ascii="宋体" w:hAnsi="宋体" w:eastAsia="宋体" w:cs="宋体"/>
          <w:kern w:val="2"/>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资金来源：</w:t>
      </w:r>
      <w:r>
        <w:rPr>
          <w:rFonts w:hint="eastAsia" w:ascii="宋体" w:hAnsi="宋体" w:eastAsia="宋体" w:cs="宋体"/>
          <w:sz w:val="24"/>
          <w:szCs w:val="24"/>
          <w:highlight w:val="none"/>
          <w:lang w:val="en-US" w:eastAsia="zh-CN"/>
        </w:rPr>
        <w:t>财政资金</w:t>
      </w:r>
      <w:r>
        <w:rPr>
          <w:rFonts w:hint="eastAsia" w:ascii="宋体" w:hAnsi="宋体" w:eastAsia="宋体" w:cs="宋体"/>
          <w:sz w:val="24"/>
          <w:szCs w:val="24"/>
          <w:highlight w:val="none"/>
        </w:rPr>
        <w:t>；</w:t>
      </w:r>
    </w:p>
    <w:p>
      <w:pPr>
        <w:widowControl w:val="0"/>
        <w:autoSpaceDE w:val="0"/>
        <w:spacing w:line="440" w:lineRule="exact"/>
        <w:ind w:firstLine="480" w:firstLineChars="200"/>
        <w:jc w:val="left"/>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highlight w:val="none"/>
          <w:lang w:val="en-US" w:eastAsia="zh-CN"/>
        </w:rPr>
        <w:t>.</w:t>
      </w:r>
      <w:r>
        <w:rPr>
          <w:rFonts w:hint="eastAsia" w:ascii="宋体" w:hAnsi="宋体" w:eastAsia="宋体" w:cs="宋体"/>
          <w:kern w:val="2"/>
          <w:sz w:val="24"/>
          <w:szCs w:val="24"/>
          <w:highlight w:val="none"/>
        </w:rPr>
        <w:t>招标范围：工程量清单范围内的所有工程施工</w:t>
      </w:r>
      <w:r>
        <w:rPr>
          <w:rFonts w:hint="eastAsia" w:ascii="宋体" w:hAnsi="宋体" w:eastAsia="宋体" w:cs="宋体"/>
          <w:spacing w:val="0"/>
          <w:sz w:val="24"/>
          <w:highlight w:val="none"/>
        </w:rPr>
        <w:t>（具体详见</w:t>
      </w:r>
      <w:r>
        <w:rPr>
          <w:rFonts w:hint="eastAsia" w:ascii="宋体" w:hAnsi="宋体" w:eastAsia="宋体" w:cs="宋体"/>
          <w:spacing w:val="0"/>
          <w:sz w:val="24"/>
          <w:highlight w:val="none"/>
          <w:lang w:eastAsia="zh-CN"/>
        </w:rPr>
        <w:t>磋商</w:t>
      </w:r>
      <w:r>
        <w:rPr>
          <w:rFonts w:hint="eastAsia" w:ascii="宋体" w:hAnsi="宋体" w:eastAsia="宋体" w:cs="宋体"/>
          <w:spacing w:val="0"/>
          <w:sz w:val="24"/>
          <w:highlight w:val="none"/>
        </w:rPr>
        <w:t>文件）</w:t>
      </w:r>
      <w:r>
        <w:rPr>
          <w:rFonts w:hint="eastAsia" w:ascii="宋体" w:hAnsi="宋体" w:eastAsia="宋体" w:cs="宋体"/>
          <w:spacing w:val="0"/>
          <w:sz w:val="24"/>
          <w:highlight w:val="none"/>
          <w:lang w:eastAsia="zh-CN"/>
        </w:rPr>
        <w:t>；</w:t>
      </w:r>
    </w:p>
    <w:p>
      <w:pPr>
        <w:widowControl w:val="0"/>
        <w:autoSpaceDE w:val="0"/>
        <w:spacing w:line="440" w:lineRule="exact"/>
        <w:ind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6.</w:t>
      </w:r>
      <w:r>
        <w:rPr>
          <w:rFonts w:hint="eastAsia" w:ascii="宋体" w:hAnsi="宋体" w:eastAsia="宋体" w:cs="宋体"/>
          <w:kern w:val="2"/>
          <w:sz w:val="24"/>
          <w:szCs w:val="24"/>
          <w:highlight w:val="none"/>
        </w:rPr>
        <w:t>质量</w:t>
      </w:r>
      <w:r>
        <w:rPr>
          <w:rFonts w:hint="eastAsia" w:ascii="宋体" w:hAnsi="宋体" w:eastAsia="宋体" w:cs="宋体"/>
          <w:kern w:val="2"/>
          <w:sz w:val="24"/>
          <w:szCs w:val="24"/>
          <w:highlight w:val="none"/>
          <w:lang w:eastAsia="zh-CN"/>
        </w:rPr>
        <w:t>标准</w:t>
      </w:r>
      <w:r>
        <w:rPr>
          <w:rFonts w:hint="eastAsia" w:ascii="宋体" w:hAnsi="宋体" w:eastAsia="宋体" w:cs="宋体"/>
          <w:kern w:val="2"/>
          <w:sz w:val="24"/>
          <w:szCs w:val="24"/>
          <w:highlight w:val="none"/>
        </w:rPr>
        <w:t>：符合现行国家有关工程施工</w:t>
      </w:r>
      <w:r>
        <w:rPr>
          <w:rFonts w:hint="eastAsia" w:ascii="宋体" w:hAnsi="宋体" w:eastAsia="宋体" w:cs="宋体"/>
          <w:kern w:val="2"/>
          <w:sz w:val="24"/>
          <w:szCs w:val="24"/>
          <w:highlight w:val="none"/>
          <w:lang w:eastAsia="zh-CN"/>
        </w:rPr>
        <w:t>质量</w:t>
      </w:r>
      <w:r>
        <w:rPr>
          <w:rFonts w:hint="eastAsia" w:ascii="宋体" w:hAnsi="宋体" w:eastAsia="宋体" w:cs="宋体"/>
          <w:kern w:val="2"/>
          <w:sz w:val="24"/>
          <w:szCs w:val="24"/>
          <w:highlight w:val="none"/>
        </w:rPr>
        <w:t>验收规范和标准的合格要求；</w:t>
      </w:r>
    </w:p>
    <w:p>
      <w:pPr>
        <w:widowControl w:val="0"/>
        <w:autoSpaceDE w:val="0"/>
        <w:spacing w:line="440" w:lineRule="exact"/>
        <w:ind w:firstLine="480" w:firstLineChars="200"/>
        <w:jc w:val="left"/>
        <w:rPr>
          <w:rFonts w:hint="eastAsia"/>
          <w:highlight w:val="none"/>
        </w:rPr>
      </w:pPr>
      <w:r>
        <w:rPr>
          <w:rFonts w:hint="eastAsia" w:ascii="宋体" w:hAnsi="宋体" w:eastAsia="宋体" w:cs="宋体"/>
          <w:kern w:val="2"/>
          <w:sz w:val="24"/>
          <w:szCs w:val="24"/>
          <w:highlight w:val="none"/>
          <w:lang w:val="en-US" w:eastAsia="zh-CN"/>
        </w:rPr>
        <w:t>7.建设地点：吉林市龙潭区；</w:t>
      </w:r>
    </w:p>
    <w:p>
      <w:pPr>
        <w:pStyle w:val="2"/>
        <w:keepNext w:val="0"/>
        <w:keepLines w:val="0"/>
        <w:pageBreakBefore w:val="0"/>
        <w:widowControl w:val="0"/>
        <w:kinsoku/>
        <w:wordWrap w:val="0"/>
        <w:overflowPunct/>
        <w:topLinePunct w:val="0"/>
        <w:autoSpaceDE/>
        <w:autoSpaceDN/>
        <w:bidi w:val="0"/>
        <w:spacing w:after="0" w:line="440" w:lineRule="exact"/>
        <w:ind w:firstLine="480" w:firstLineChars="200"/>
        <w:rPr>
          <w:rFonts w:hint="default"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8.</w:t>
      </w:r>
      <w:r>
        <w:rPr>
          <w:rFonts w:hint="eastAsia" w:ascii="宋体" w:hAnsi="宋体" w:eastAsia="宋体" w:cs="宋体"/>
          <w:kern w:val="2"/>
          <w:sz w:val="24"/>
          <w:szCs w:val="24"/>
          <w:highlight w:val="none"/>
        </w:rPr>
        <w:t>计划工期</w:t>
      </w:r>
      <w:r>
        <w:rPr>
          <w:rFonts w:hint="eastAsia" w:ascii="宋体" w:hAnsi="宋体" w:eastAsia="宋体" w:cs="宋体"/>
          <w:color w:val="auto"/>
          <w:kern w:val="2"/>
          <w:sz w:val="24"/>
          <w:szCs w:val="24"/>
          <w:highlight w:val="none"/>
        </w:rPr>
        <w:t>：</w:t>
      </w:r>
      <w:r>
        <w:rPr>
          <w:rFonts w:hint="eastAsia" w:ascii="宋体" w:hAnsi="宋体" w:eastAsia="宋体" w:cs="宋体"/>
          <w:kern w:val="2"/>
          <w:sz w:val="24"/>
          <w:szCs w:val="24"/>
          <w:highlight w:val="none"/>
          <w:lang w:val="en-US" w:eastAsia="zh-CN"/>
        </w:rPr>
        <w:t>202</w:t>
      </w:r>
      <w:r>
        <w:rPr>
          <w:rFonts w:hint="eastAsia" w:ascii="宋体" w:hAnsi="宋体" w:cs="宋体"/>
          <w:kern w:val="2"/>
          <w:sz w:val="24"/>
          <w:szCs w:val="24"/>
          <w:highlight w:val="none"/>
          <w:lang w:val="en-US" w:eastAsia="zh-CN"/>
        </w:rPr>
        <w:t>6</w:t>
      </w:r>
      <w:r>
        <w:rPr>
          <w:rFonts w:hint="eastAsia" w:ascii="宋体" w:hAnsi="宋体" w:eastAsia="宋体" w:cs="宋体"/>
          <w:kern w:val="2"/>
          <w:sz w:val="24"/>
          <w:szCs w:val="24"/>
          <w:highlight w:val="none"/>
          <w:lang w:val="en-US" w:eastAsia="zh-CN"/>
        </w:rPr>
        <w:t>年</w:t>
      </w:r>
      <w:r>
        <w:rPr>
          <w:rFonts w:hint="eastAsia" w:ascii="宋体" w:hAnsi="宋体" w:cs="宋体"/>
          <w:kern w:val="2"/>
          <w:sz w:val="24"/>
          <w:szCs w:val="24"/>
          <w:highlight w:val="none"/>
          <w:lang w:val="en-US" w:eastAsia="zh-CN"/>
        </w:rPr>
        <w:t>06</w:t>
      </w:r>
      <w:r>
        <w:rPr>
          <w:rFonts w:hint="eastAsia" w:ascii="宋体" w:hAnsi="宋体" w:eastAsia="宋体" w:cs="宋体"/>
          <w:kern w:val="2"/>
          <w:sz w:val="24"/>
          <w:szCs w:val="24"/>
          <w:highlight w:val="none"/>
          <w:lang w:val="en-US" w:eastAsia="zh-CN"/>
        </w:rPr>
        <w:t>月</w:t>
      </w:r>
      <w:r>
        <w:rPr>
          <w:rFonts w:hint="eastAsia" w:ascii="宋体" w:hAnsi="宋体" w:cs="宋体"/>
          <w:kern w:val="2"/>
          <w:sz w:val="24"/>
          <w:szCs w:val="24"/>
          <w:highlight w:val="none"/>
          <w:lang w:val="en-US" w:eastAsia="zh-CN"/>
        </w:rPr>
        <w:t>08</w:t>
      </w:r>
      <w:r>
        <w:rPr>
          <w:rFonts w:hint="eastAsia" w:ascii="宋体" w:hAnsi="宋体" w:eastAsia="宋体" w:cs="宋体"/>
          <w:kern w:val="2"/>
          <w:sz w:val="24"/>
          <w:szCs w:val="24"/>
          <w:highlight w:val="none"/>
          <w:lang w:val="en-US" w:eastAsia="zh-CN"/>
        </w:rPr>
        <w:t>日-2025年</w:t>
      </w:r>
      <w:r>
        <w:rPr>
          <w:rFonts w:hint="eastAsia" w:ascii="宋体" w:hAnsi="宋体" w:cs="宋体"/>
          <w:kern w:val="2"/>
          <w:sz w:val="24"/>
          <w:szCs w:val="24"/>
          <w:highlight w:val="none"/>
          <w:lang w:val="en-US" w:eastAsia="zh-CN"/>
        </w:rPr>
        <w:t>07</w:t>
      </w:r>
      <w:r>
        <w:rPr>
          <w:rFonts w:hint="eastAsia" w:ascii="宋体" w:hAnsi="宋体" w:eastAsia="宋体" w:cs="宋体"/>
          <w:kern w:val="2"/>
          <w:sz w:val="24"/>
          <w:szCs w:val="24"/>
          <w:highlight w:val="none"/>
          <w:lang w:val="en-US" w:eastAsia="zh-CN"/>
        </w:rPr>
        <w:t>月</w:t>
      </w:r>
      <w:r>
        <w:rPr>
          <w:rFonts w:hint="eastAsia" w:ascii="宋体" w:hAnsi="宋体" w:cs="宋体"/>
          <w:kern w:val="2"/>
          <w:sz w:val="24"/>
          <w:szCs w:val="24"/>
          <w:highlight w:val="none"/>
          <w:lang w:val="en-US" w:eastAsia="zh-CN"/>
        </w:rPr>
        <w:t>30</w:t>
      </w:r>
      <w:r>
        <w:rPr>
          <w:rFonts w:hint="eastAsia" w:ascii="宋体" w:hAnsi="宋体" w:eastAsia="宋体" w:cs="宋体"/>
          <w:kern w:val="2"/>
          <w:sz w:val="24"/>
          <w:szCs w:val="24"/>
          <w:highlight w:val="none"/>
          <w:lang w:val="en-US" w:eastAsia="zh-CN"/>
        </w:rPr>
        <w:t>日，共计</w:t>
      </w:r>
      <w:r>
        <w:rPr>
          <w:rFonts w:hint="eastAsia" w:ascii="宋体" w:hAnsi="宋体" w:cs="宋体"/>
          <w:kern w:val="2"/>
          <w:sz w:val="24"/>
          <w:szCs w:val="24"/>
          <w:highlight w:val="none"/>
          <w:lang w:val="en-US" w:eastAsia="zh-CN"/>
        </w:rPr>
        <w:t>52</w:t>
      </w:r>
      <w:r>
        <w:rPr>
          <w:rFonts w:hint="eastAsia" w:ascii="宋体" w:hAnsi="宋体" w:eastAsia="宋体" w:cs="宋体"/>
          <w:kern w:val="2"/>
          <w:sz w:val="24"/>
          <w:szCs w:val="24"/>
          <w:highlight w:val="none"/>
          <w:lang w:val="en-US" w:eastAsia="zh-CN"/>
        </w:rPr>
        <w:t>日历天</w:t>
      </w:r>
      <w:r>
        <w:rPr>
          <w:rFonts w:hint="eastAsia" w:ascii="宋体" w:hAnsi="宋体" w:eastAsia="宋体" w:cs="宋体"/>
          <w:kern w:val="2"/>
          <w:sz w:val="24"/>
          <w:szCs w:val="24"/>
          <w:highlight w:val="none"/>
        </w:rPr>
        <w:t>；</w:t>
      </w:r>
    </w:p>
    <w:p>
      <w:pPr>
        <w:widowControl w:val="0"/>
        <w:autoSpaceDE w:val="0"/>
        <w:spacing w:line="440" w:lineRule="exact"/>
        <w:ind w:firstLine="480" w:firstLineChars="200"/>
        <w:jc w:val="lef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9.</w:t>
      </w:r>
      <w:r>
        <w:rPr>
          <w:rFonts w:hint="eastAsia" w:ascii="宋体" w:hAnsi="宋体" w:eastAsia="宋体" w:cs="宋体"/>
          <w:kern w:val="2"/>
          <w:sz w:val="24"/>
          <w:szCs w:val="24"/>
          <w:highlight w:val="none"/>
        </w:rPr>
        <w:t>合同履行期限：</w:t>
      </w:r>
      <w:r>
        <w:rPr>
          <w:rFonts w:hint="eastAsia" w:ascii="宋体" w:hAnsi="宋体" w:eastAsia="宋体" w:cs="宋体"/>
          <w:sz w:val="24"/>
          <w:highlight w:val="none"/>
        </w:rPr>
        <w:t>自合同签订之日起至合同履行完毕</w:t>
      </w:r>
      <w:r>
        <w:rPr>
          <w:rFonts w:hint="eastAsia" w:ascii="宋体" w:hAnsi="宋体" w:eastAsia="宋体" w:cs="宋体"/>
          <w:kern w:val="2"/>
          <w:sz w:val="24"/>
          <w:szCs w:val="24"/>
          <w:highlight w:val="none"/>
        </w:rPr>
        <w:t>；</w:t>
      </w:r>
    </w:p>
    <w:p>
      <w:pPr>
        <w:widowControl w:val="0"/>
        <w:autoSpaceDE w:val="0"/>
        <w:spacing w:line="440" w:lineRule="exact"/>
        <w:ind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kern w:val="2"/>
          <w:sz w:val="24"/>
          <w:szCs w:val="24"/>
          <w:highlight w:val="none"/>
          <w:lang w:val="en-US" w:eastAsia="zh-CN"/>
        </w:rPr>
        <w:t>10.</w:t>
      </w:r>
      <w:r>
        <w:rPr>
          <w:rFonts w:hint="eastAsia" w:ascii="宋体" w:hAnsi="宋体" w:eastAsia="宋体" w:cs="宋体"/>
          <w:kern w:val="2"/>
          <w:sz w:val="24"/>
          <w:szCs w:val="24"/>
          <w:highlight w:val="none"/>
        </w:rPr>
        <w:t>采购方式：</w:t>
      </w:r>
      <w:r>
        <w:rPr>
          <w:rFonts w:hint="eastAsia" w:ascii="宋体" w:hAnsi="宋体" w:eastAsia="宋体" w:cs="宋体"/>
          <w:color w:val="auto"/>
          <w:kern w:val="2"/>
          <w:sz w:val="24"/>
          <w:szCs w:val="24"/>
          <w:highlight w:val="none"/>
          <w:lang w:eastAsia="zh-CN"/>
        </w:rPr>
        <w:t>竞争性磋商</w:t>
      </w:r>
      <w:r>
        <w:rPr>
          <w:rFonts w:hint="eastAsia" w:ascii="宋体" w:hAnsi="宋体" w:eastAsia="宋体" w:cs="宋体"/>
          <w:color w:val="auto"/>
          <w:kern w:val="2"/>
          <w:sz w:val="24"/>
          <w:szCs w:val="24"/>
          <w:highlight w:val="none"/>
        </w:rPr>
        <w:t>；</w:t>
      </w:r>
    </w:p>
    <w:p>
      <w:pPr>
        <w:widowControl w:val="0"/>
        <w:autoSpaceDE w:val="0"/>
        <w:spacing w:line="44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资格审查方式：资格</w:t>
      </w:r>
      <w:r>
        <w:rPr>
          <w:rFonts w:hint="eastAsia" w:ascii="宋体" w:hAnsi="宋体" w:eastAsia="宋体" w:cs="宋体"/>
          <w:color w:val="auto"/>
          <w:kern w:val="2"/>
          <w:sz w:val="24"/>
          <w:szCs w:val="24"/>
        </w:rPr>
        <w:t>后审；</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spacing w:val="0"/>
          <w:sz w:val="24"/>
        </w:rPr>
      </w:pPr>
      <w:r>
        <w:rPr>
          <w:rFonts w:hint="eastAsia" w:ascii="宋体" w:hAnsi="宋体" w:eastAsia="宋体" w:cs="宋体"/>
          <w:color w:val="auto"/>
          <w:spacing w:val="0"/>
          <w:sz w:val="24"/>
          <w:lang w:val="en-US" w:eastAsia="zh-CN"/>
        </w:rPr>
        <w:t>12.</w:t>
      </w:r>
      <w:r>
        <w:rPr>
          <w:rFonts w:hint="eastAsia" w:ascii="宋体" w:hAnsi="宋体" w:eastAsia="宋体" w:cs="宋体"/>
          <w:kern w:val="2"/>
          <w:sz w:val="24"/>
          <w:szCs w:val="24"/>
        </w:rPr>
        <w:t>本项目不接受联合体</w:t>
      </w:r>
      <w:r>
        <w:rPr>
          <w:rFonts w:hint="eastAsia" w:ascii="宋体" w:hAnsi="宋体" w:eastAsia="宋体" w:cs="宋体"/>
          <w:kern w:val="2"/>
          <w:sz w:val="24"/>
          <w:szCs w:val="24"/>
          <w:lang w:eastAsia="zh-CN"/>
        </w:rPr>
        <w:t>投标</w:t>
      </w:r>
      <w:r>
        <w:rPr>
          <w:rFonts w:hint="eastAsia" w:ascii="宋体" w:hAnsi="宋体" w:eastAsia="宋体" w:cs="宋体"/>
          <w:spacing w:val="0"/>
          <w:sz w:val="24"/>
        </w:rPr>
        <w:t>。</w:t>
      </w:r>
    </w:p>
    <w:p>
      <w:pPr>
        <w:widowControl w:val="0"/>
        <w:autoSpaceDE w:val="0"/>
        <w:spacing w:line="440" w:lineRule="exact"/>
        <w:jc w:val="left"/>
        <w:rPr>
          <w:rFonts w:hint="eastAsia" w:ascii="宋体" w:hAnsi="宋体" w:eastAsia="宋体" w:cs="宋体"/>
          <w:sz w:val="24"/>
          <w:szCs w:val="24"/>
        </w:rPr>
      </w:pPr>
      <w:r>
        <w:rPr>
          <w:rFonts w:hint="eastAsia" w:ascii="宋体" w:hAnsi="宋体" w:eastAsia="宋体" w:cs="宋体"/>
          <w:b/>
          <w:sz w:val="24"/>
          <w:szCs w:val="24"/>
        </w:rPr>
        <w:t>二、申请人的资格要求</w:t>
      </w:r>
    </w:p>
    <w:p>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1、满足《中华人民共和国政府采购法》第二十二条规定：</w:t>
      </w:r>
    </w:p>
    <w:p>
      <w:pPr>
        <w:keepNext w:val="0"/>
        <w:keepLines w:val="0"/>
        <w:pageBreakBefore w:val="0"/>
        <w:widowControl w:val="0"/>
        <w:suppressLineNumbers w:val="0"/>
        <w:kinsoku/>
        <w:wordWrap/>
        <w:overflowPunct/>
        <w:topLinePunct w:val="0"/>
        <w:autoSpaceDE w:val="0"/>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spacing w:val="0"/>
          <w:kern w:val="0"/>
          <w:sz w:val="24"/>
          <w:szCs w:val="24"/>
          <w:lang w:val="en-US" w:eastAsia="zh-CN" w:bidi="ar"/>
        </w:rPr>
      </w:pPr>
      <w:r>
        <w:rPr>
          <w:rFonts w:hint="eastAsia" w:ascii="宋体" w:hAnsi="宋体" w:eastAsia="宋体" w:cs="宋体"/>
          <w:spacing w:val="0"/>
          <w:kern w:val="0"/>
          <w:sz w:val="24"/>
          <w:szCs w:val="24"/>
          <w:lang w:val="en-US" w:eastAsia="zh-CN" w:bidi="ar"/>
        </w:rPr>
        <w:t>(1).具有独立承担民事责任的能力；</w:t>
      </w:r>
    </w:p>
    <w:p>
      <w:pPr>
        <w:keepNext w:val="0"/>
        <w:keepLines w:val="0"/>
        <w:pageBreakBefore w:val="0"/>
        <w:widowControl w:val="0"/>
        <w:suppressLineNumbers w:val="0"/>
        <w:kinsoku/>
        <w:wordWrap/>
        <w:overflowPunct/>
        <w:topLinePunct w:val="0"/>
        <w:autoSpaceDE w:val="0"/>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spacing w:val="0"/>
          <w:kern w:val="0"/>
          <w:sz w:val="24"/>
          <w:szCs w:val="24"/>
          <w:lang w:val="en-US" w:eastAsia="zh-CN" w:bidi="ar"/>
        </w:rPr>
      </w:pPr>
      <w:r>
        <w:rPr>
          <w:rFonts w:hint="eastAsia" w:ascii="宋体" w:hAnsi="宋体" w:eastAsia="宋体" w:cs="宋体"/>
          <w:spacing w:val="0"/>
          <w:kern w:val="0"/>
          <w:sz w:val="24"/>
          <w:szCs w:val="24"/>
          <w:lang w:val="en-US" w:eastAsia="zh-CN" w:bidi="ar"/>
        </w:rPr>
        <w:t>(2).具有良好的商业信誉和健全的财务会计制度；</w:t>
      </w:r>
    </w:p>
    <w:p>
      <w:pPr>
        <w:keepNext w:val="0"/>
        <w:keepLines w:val="0"/>
        <w:pageBreakBefore w:val="0"/>
        <w:widowControl w:val="0"/>
        <w:suppressLineNumbers w:val="0"/>
        <w:kinsoku/>
        <w:wordWrap/>
        <w:overflowPunct/>
        <w:topLinePunct w:val="0"/>
        <w:autoSpaceDE w:val="0"/>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spacing w:val="0"/>
          <w:kern w:val="0"/>
          <w:sz w:val="24"/>
          <w:szCs w:val="24"/>
          <w:lang w:val="en-US" w:eastAsia="zh-CN" w:bidi="ar"/>
        </w:rPr>
      </w:pPr>
      <w:r>
        <w:rPr>
          <w:rFonts w:hint="eastAsia" w:ascii="宋体" w:hAnsi="宋体" w:eastAsia="宋体" w:cs="宋体"/>
          <w:spacing w:val="0"/>
          <w:kern w:val="0"/>
          <w:sz w:val="24"/>
          <w:szCs w:val="24"/>
          <w:lang w:val="en-US" w:eastAsia="zh-CN" w:bidi="ar"/>
        </w:rPr>
        <w:t>(3).具有履行合同所必需的设备和专业技术能力；</w:t>
      </w:r>
    </w:p>
    <w:p>
      <w:pPr>
        <w:keepNext w:val="0"/>
        <w:keepLines w:val="0"/>
        <w:pageBreakBefore w:val="0"/>
        <w:widowControl w:val="0"/>
        <w:suppressLineNumbers w:val="0"/>
        <w:kinsoku/>
        <w:wordWrap/>
        <w:overflowPunct/>
        <w:topLinePunct w:val="0"/>
        <w:autoSpaceDE w:val="0"/>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spacing w:val="0"/>
          <w:kern w:val="0"/>
          <w:sz w:val="24"/>
          <w:szCs w:val="24"/>
          <w:lang w:val="en-US" w:eastAsia="zh-CN" w:bidi="ar"/>
        </w:rPr>
      </w:pPr>
      <w:r>
        <w:rPr>
          <w:rFonts w:hint="eastAsia" w:ascii="宋体" w:hAnsi="宋体" w:eastAsia="宋体" w:cs="宋体"/>
          <w:spacing w:val="0"/>
          <w:kern w:val="0"/>
          <w:sz w:val="24"/>
          <w:szCs w:val="24"/>
          <w:lang w:val="en-US" w:eastAsia="zh-CN" w:bidi="ar"/>
        </w:rPr>
        <w:t>(4).有依法缴纳税收和社会保障资金的良好记录；</w:t>
      </w:r>
    </w:p>
    <w:p>
      <w:pPr>
        <w:keepNext w:val="0"/>
        <w:keepLines w:val="0"/>
        <w:pageBreakBefore w:val="0"/>
        <w:widowControl w:val="0"/>
        <w:suppressLineNumbers w:val="0"/>
        <w:kinsoku/>
        <w:wordWrap/>
        <w:overflowPunct/>
        <w:topLinePunct w:val="0"/>
        <w:autoSpaceDE w:val="0"/>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spacing w:val="0"/>
          <w:kern w:val="0"/>
          <w:sz w:val="24"/>
          <w:szCs w:val="24"/>
          <w:lang w:val="en-US" w:eastAsia="zh-CN" w:bidi="ar"/>
        </w:rPr>
      </w:pPr>
      <w:r>
        <w:rPr>
          <w:rFonts w:hint="eastAsia" w:ascii="宋体" w:hAnsi="宋体" w:eastAsia="宋体" w:cs="宋体"/>
          <w:spacing w:val="0"/>
          <w:kern w:val="0"/>
          <w:sz w:val="24"/>
          <w:szCs w:val="24"/>
          <w:lang w:val="en-US" w:eastAsia="zh-CN" w:bidi="ar"/>
        </w:rPr>
        <w:t>(5).参加政府采购活动前三年内，在经营活动中没有重大违法记录；</w:t>
      </w:r>
    </w:p>
    <w:p>
      <w:pPr>
        <w:keepNext w:val="0"/>
        <w:keepLines w:val="0"/>
        <w:pageBreakBefore w:val="0"/>
        <w:widowControl w:val="0"/>
        <w:suppressLineNumbers w:val="0"/>
        <w:kinsoku/>
        <w:wordWrap/>
        <w:overflowPunct/>
        <w:topLinePunct w:val="0"/>
        <w:autoSpaceDE w:val="0"/>
        <w:autoSpaceDN/>
        <w:bidi w:val="0"/>
        <w:adjustRightInd/>
        <w:snapToGrid/>
        <w:spacing w:beforeAutospacing="0" w:after="0" w:afterAutospacing="0" w:line="440" w:lineRule="exact"/>
        <w:ind w:left="0" w:right="0" w:firstLine="720" w:firstLineChars="300"/>
        <w:jc w:val="both"/>
        <w:textAlignment w:val="auto"/>
        <w:outlineLvl w:val="9"/>
        <w:rPr>
          <w:rFonts w:hint="eastAsia" w:ascii="宋体" w:hAnsi="宋体" w:eastAsia="宋体" w:cs="宋体"/>
          <w:spacing w:val="0"/>
          <w:kern w:val="0"/>
          <w:sz w:val="24"/>
          <w:szCs w:val="24"/>
          <w:lang w:val="en-US" w:eastAsia="zh-CN" w:bidi="ar"/>
        </w:rPr>
      </w:pPr>
      <w:r>
        <w:rPr>
          <w:rFonts w:hint="eastAsia" w:ascii="宋体" w:hAnsi="宋体" w:eastAsia="宋体" w:cs="宋体"/>
          <w:spacing w:val="0"/>
          <w:kern w:val="0"/>
          <w:sz w:val="24"/>
          <w:szCs w:val="24"/>
          <w:lang w:val="en-US" w:eastAsia="zh-CN" w:bidi="ar"/>
        </w:rPr>
        <w:t>(6).法律、行政法规规定的其他条件。</w:t>
      </w:r>
    </w:p>
    <w:p>
      <w:pPr>
        <w:widowControl w:val="0"/>
        <w:autoSpaceDE w:val="0"/>
        <w:spacing w:line="440" w:lineRule="exact"/>
        <w:ind w:firstLine="482" w:firstLineChars="200"/>
        <w:rPr>
          <w:rFonts w:hint="eastAsia" w:ascii="宋体" w:hAnsi="宋体" w:eastAsia="宋体" w:cs="宋体"/>
          <w:b w:val="0"/>
          <w:bCs w:val="0"/>
          <w:sz w:val="24"/>
          <w:szCs w:val="24"/>
        </w:rPr>
      </w:pPr>
      <w:r>
        <w:rPr>
          <w:rFonts w:hint="eastAsia" w:ascii="宋体" w:hAnsi="宋体" w:eastAsia="宋体" w:cs="宋体"/>
          <w:b/>
          <w:bCs/>
          <w:sz w:val="24"/>
          <w:szCs w:val="24"/>
        </w:rPr>
        <w:t>2、落实政府采购政策需满足的资格要求：</w:t>
      </w:r>
      <w:r>
        <w:rPr>
          <w:rFonts w:hint="eastAsia" w:ascii="宋体" w:hAnsi="宋体" w:eastAsia="宋体" w:cs="宋体"/>
          <w:b w:val="0"/>
          <w:bCs w:val="0"/>
          <w:sz w:val="24"/>
          <w:szCs w:val="24"/>
        </w:rPr>
        <w:t>本项目属于专门面向中小企业采购的项目，本次招标活动对于满足国家采购政策要求的供应商按照相关规定的扶持政策执行，具体详见</w:t>
      </w:r>
      <w:r>
        <w:rPr>
          <w:rFonts w:hint="eastAsia" w:ascii="宋体" w:hAnsi="宋体" w:eastAsia="宋体" w:cs="宋体"/>
          <w:b w:val="0"/>
          <w:bCs w:val="0"/>
          <w:sz w:val="24"/>
          <w:szCs w:val="24"/>
          <w:lang w:val="en-US" w:eastAsia="zh-CN"/>
        </w:rPr>
        <w:t>竞争性磋商</w:t>
      </w:r>
      <w:r>
        <w:rPr>
          <w:rFonts w:hint="eastAsia" w:ascii="宋体" w:hAnsi="宋体" w:eastAsia="宋体" w:cs="宋体"/>
          <w:b w:val="0"/>
          <w:bCs w:val="0"/>
          <w:sz w:val="24"/>
          <w:szCs w:val="24"/>
        </w:rPr>
        <w:t>文件。</w:t>
      </w:r>
    </w:p>
    <w:p>
      <w:pPr>
        <w:widowControl w:val="0"/>
        <w:autoSpaceDE w:val="0"/>
        <w:spacing w:line="440" w:lineRule="exact"/>
        <w:ind w:firstLine="482" w:firstLineChars="200"/>
        <w:rPr>
          <w:rFonts w:hint="eastAsia" w:ascii="宋体" w:hAnsi="宋体" w:eastAsia="宋体" w:cs="宋体"/>
          <w:sz w:val="24"/>
          <w:szCs w:val="24"/>
          <w:lang w:eastAsia="zh-CN"/>
        </w:rPr>
      </w:pPr>
      <w:r>
        <w:rPr>
          <w:rFonts w:hint="eastAsia" w:ascii="宋体" w:hAnsi="宋体" w:eastAsia="宋体" w:cs="宋体"/>
          <w:b/>
          <w:bCs/>
          <w:sz w:val="24"/>
          <w:szCs w:val="24"/>
        </w:rPr>
        <w:t>3、本项目的特定资格要求：</w:t>
      </w:r>
      <w:r>
        <w:rPr>
          <w:rFonts w:hint="eastAsia" w:ascii="宋体" w:hAnsi="宋体" w:eastAsia="宋体" w:cs="宋体"/>
          <w:sz w:val="24"/>
          <w:szCs w:val="24"/>
        </w:rPr>
        <w:t>以下资格证明材料的具体要求详见</w:t>
      </w:r>
      <w:r>
        <w:rPr>
          <w:rFonts w:hint="eastAsia" w:ascii="宋体" w:hAnsi="宋体" w:eastAsia="宋体" w:cs="宋体"/>
          <w:sz w:val="24"/>
          <w:szCs w:val="24"/>
          <w:lang w:eastAsia="zh-CN"/>
        </w:rPr>
        <w:t>磋商文件</w:t>
      </w:r>
    </w:p>
    <w:p>
      <w:pPr>
        <w:widowControl w:val="0"/>
        <w:autoSpaceDE w:val="0"/>
        <w:spacing w:line="440" w:lineRule="exact"/>
        <w:ind w:firstLine="720" w:firstLineChars="300"/>
        <w:rPr>
          <w:rFonts w:hint="eastAsia" w:ascii="宋体" w:hAnsi="宋体" w:eastAsia="宋体" w:cs="宋体"/>
          <w:sz w:val="24"/>
          <w:szCs w:val="24"/>
        </w:rPr>
      </w:pPr>
      <w:r>
        <w:rPr>
          <w:rFonts w:hint="eastAsia" w:ascii="宋体" w:hAnsi="宋体" w:eastAsia="宋体" w:cs="宋体"/>
          <w:spacing w:val="0"/>
          <w:kern w:val="0"/>
          <w:sz w:val="24"/>
          <w:szCs w:val="24"/>
          <w:lang w:val="en-US" w:eastAsia="zh-CN" w:bidi="ar"/>
        </w:rPr>
        <w:t>(1).</w:t>
      </w:r>
      <w:r>
        <w:rPr>
          <w:rFonts w:hint="eastAsia" w:ascii="宋体" w:hAnsi="宋体" w:eastAsia="宋体" w:cs="宋体"/>
          <w:sz w:val="24"/>
          <w:szCs w:val="24"/>
          <w:lang w:eastAsia="zh-CN"/>
        </w:rPr>
        <w:t>供应商</w:t>
      </w:r>
      <w:r>
        <w:rPr>
          <w:rFonts w:hint="eastAsia" w:ascii="宋体" w:hAnsi="宋体" w:eastAsia="宋体" w:cs="宋体"/>
          <w:sz w:val="24"/>
          <w:szCs w:val="24"/>
        </w:rPr>
        <w:t>参加政府采购活动必须提供下列满足《中华人民共和国政府采购法》第二十二条规定的资格证明材料：1）法人或者其他组织的营业执照等证明文件、自然人的身份证明；2）财务状况报告，依法缴纳税收和社会保障资金的相关材料；3）具备履行合同所必需的设备和专业技术能力的证明材料；4）参加政府采购活动前3年内在经营活动中没有重大违法记录的书面声明；5）具备法律、行政法规规定的其他条件的证明材料；</w:t>
      </w:r>
    </w:p>
    <w:p>
      <w:pPr>
        <w:widowControl w:val="0"/>
        <w:autoSpaceDE w:val="0"/>
        <w:spacing w:line="440" w:lineRule="exact"/>
        <w:ind w:firstLine="720" w:firstLineChars="300"/>
        <w:rPr>
          <w:rFonts w:hint="eastAsia" w:ascii="宋体" w:hAnsi="宋体" w:eastAsia="宋体" w:cs="宋体"/>
          <w:spacing w:val="0"/>
          <w:kern w:val="0"/>
          <w:sz w:val="24"/>
          <w:szCs w:val="24"/>
          <w:highlight w:val="none"/>
          <w:lang w:val="en-US" w:eastAsia="zh-CN" w:bidi="ar"/>
        </w:rPr>
      </w:pPr>
      <w:r>
        <w:rPr>
          <w:rFonts w:hint="eastAsia" w:ascii="宋体" w:hAnsi="宋体" w:eastAsia="宋体" w:cs="宋体"/>
          <w:spacing w:val="0"/>
          <w:kern w:val="0"/>
          <w:sz w:val="24"/>
          <w:szCs w:val="24"/>
          <w:highlight w:val="none"/>
          <w:lang w:val="en-US" w:eastAsia="zh-CN" w:bidi="ar"/>
        </w:rPr>
        <w:t>(2).</w:t>
      </w:r>
      <w:r>
        <w:rPr>
          <w:rFonts w:hint="eastAsia" w:ascii="宋体" w:hAnsi="宋体" w:eastAsia="宋体" w:cs="宋体"/>
          <w:color w:val="auto"/>
          <w:spacing w:val="0"/>
          <w:sz w:val="24"/>
          <w:highlight w:val="none"/>
        </w:rPr>
        <w:t>本次招标要</w:t>
      </w:r>
      <w:r>
        <w:rPr>
          <w:rFonts w:hint="eastAsia" w:ascii="宋体" w:hAnsi="宋体" w:eastAsia="宋体" w:cs="宋体"/>
          <w:color w:val="auto"/>
          <w:spacing w:val="0"/>
          <w:sz w:val="24"/>
          <w:highlight w:val="none"/>
          <w:lang w:val="zh-CN"/>
        </w:rPr>
        <w:t>求</w:t>
      </w:r>
      <w:r>
        <w:rPr>
          <w:rFonts w:hint="eastAsia" w:ascii="宋体" w:hAnsi="宋体" w:eastAsia="宋体" w:cs="宋体"/>
          <w:color w:val="auto"/>
          <w:spacing w:val="0"/>
          <w:sz w:val="24"/>
          <w:highlight w:val="none"/>
        </w:rPr>
        <w:t>投标人须</w:t>
      </w:r>
      <w:r>
        <w:rPr>
          <w:rFonts w:hint="eastAsia" w:ascii="宋体" w:hAnsi="宋体" w:eastAsia="宋体" w:cs="宋体"/>
          <w:color w:val="auto"/>
          <w:spacing w:val="0"/>
          <w:kern w:val="2"/>
          <w:sz w:val="24"/>
          <w:highlight w:val="none"/>
        </w:rPr>
        <w:t>具备建设行政主管部门核发的</w:t>
      </w:r>
      <w:r>
        <w:rPr>
          <w:rFonts w:hint="eastAsia" w:ascii="宋体" w:hAnsi="宋体" w:cs="宋体"/>
          <w:color w:val="auto"/>
          <w:sz w:val="24"/>
          <w:szCs w:val="24"/>
          <w:highlight w:val="none"/>
          <w:lang w:val="en-US" w:eastAsia="zh-CN"/>
        </w:rPr>
        <w:t>市政公用</w:t>
      </w:r>
      <w:r>
        <w:rPr>
          <w:rFonts w:hint="eastAsia" w:ascii="宋体" w:hAnsi="宋体" w:eastAsia="宋体" w:cs="宋体"/>
          <w:color w:val="auto"/>
          <w:sz w:val="24"/>
          <w:szCs w:val="24"/>
          <w:highlight w:val="none"/>
          <w:lang w:val="en-US" w:eastAsia="zh-CN"/>
        </w:rPr>
        <w:t>工程施工总承包</w:t>
      </w:r>
      <w:r>
        <w:rPr>
          <w:rFonts w:hint="eastAsia" w:ascii="宋体" w:hAnsi="宋体" w:cs="宋体"/>
          <w:color w:val="auto"/>
          <w:sz w:val="24"/>
          <w:szCs w:val="24"/>
          <w:highlight w:val="none"/>
          <w:lang w:val="en-US" w:eastAsia="zh-CN"/>
        </w:rPr>
        <w:t>贰</w:t>
      </w:r>
      <w:r>
        <w:rPr>
          <w:rFonts w:hint="eastAsia" w:ascii="宋体" w:hAnsi="宋体" w:eastAsia="宋体" w:cs="宋体"/>
          <w:color w:val="auto"/>
          <w:sz w:val="24"/>
          <w:szCs w:val="24"/>
          <w:highlight w:val="none"/>
          <w:lang w:val="en-US" w:eastAsia="zh-CN"/>
        </w:rPr>
        <w:t>级及以上资质</w:t>
      </w:r>
      <w:r>
        <w:rPr>
          <w:rFonts w:hint="eastAsia" w:ascii="宋体" w:hAnsi="宋体" w:eastAsia="宋体" w:cs="宋体"/>
          <w:color w:val="auto"/>
          <w:spacing w:val="0"/>
          <w:kern w:val="2"/>
          <w:sz w:val="24"/>
          <w:highlight w:val="none"/>
        </w:rPr>
        <w:t>的法人或其他组织，并在人员、设备、资金等方面具有相应的施工能力</w:t>
      </w:r>
      <w:r>
        <w:rPr>
          <w:rFonts w:hint="eastAsia" w:ascii="宋体" w:hAnsi="宋体" w:eastAsia="宋体" w:cs="宋体"/>
          <w:color w:val="auto"/>
          <w:spacing w:val="0"/>
          <w:kern w:val="2"/>
          <w:sz w:val="24"/>
          <w:highlight w:val="none"/>
          <w:lang w:eastAsia="zh-CN"/>
        </w:rPr>
        <w:t>；</w:t>
      </w:r>
      <w:r>
        <w:rPr>
          <w:rFonts w:hint="eastAsia" w:ascii="宋体" w:hAnsi="宋体" w:eastAsia="宋体" w:cs="宋体"/>
          <w:color w:val="auto"/>
          <w:spacing w:val="0"/>
          <w:sz w:val="24"/>
          <w:highlight w:val="none"/>
        </w:rPr>
        <w:t>投标人拟派项目经理须具备</w:t>
      </w:r>
      <w:r>
        <w:rPr>
          <w:rFonts w:hint="eastAsia" w:ascii="宋体" w:hAnsi="宋体" w:eastAsia="宋体" w:cs="宋体"/>
          <w:color w:val="auto"/>
          <w:sz w:val="24"/>
          <w:szCs w:val="24"/>
          <w:highlight w:val="none"/>
        </w:rPr>
        <w:t>建设行政主管部门核发的</w:t>
      </w:r>
      <w:r>
        <w:rPr>
          <w:rFonts w:hint="eastAsia" w:ascii="宋体" w:hAnsi="宋体" w:cs="宋体"/>
          <w:color w:val="auto"/>
          <w:sz w:val="24"/>
          <w:szCs w:val="24"/>
          <w:highlight w:val="none"/>
          <w:lang w:val="en-US" w:eastAsia="zh-CN"/>
        </w:rPr>
        <w:t>市政公用</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专业</w:t>
      </w:r>
      <w:r>
        <w:rPr>
          <w:rFonts w:hint="eastAsia" w:ascii="宋体" w:hAnsi="宋体" w:cs="宋体"/>
          <w:color w:val="auto"/>
          <w:sz w:val="24"/>
          <w:szCs w:val="24"/>
          <w:highlight w:val="none"/>
          <w:lang w:val="en-US" w:eastAsia="zh-CN"/>
        </w:rPr>
        <w:t>贰</w:t>
      </w:r>
      <w:r>
        <w:rPr>
          <w:rFonts w:hint="eastAsia" w:ascii="宋体" w:hAnsi="宋体" w:eastAsia="宋体" w:cs="宋体"/>
          <w:color w:val="auto"/>
          <w:sz w:val="24"/>
          <w:szCs w:val="24"/>
          <w:highlight w:val="none"/>
        </w:rPr>
        <w:t>级注册建造师执业资格</w:t>
      </w:r>
      <w:r>
        <w:rPr>
          <w:rFonts w:hint="eastAsia" w:ascii="宋体" w:hAnsi="宋体" w:eastAsia="宋体" w:cs="宋体"/>
          <w:color w:val="auto"/>
          <w:spacing w:val="0"/>
          <w:sz w:val="24"/>
          <w:highlight w:val="none"/>
        </w:rPr>
        <w:t>，具备有效的安全生产考核合格证书，且未担任其他在施建设工程项目的项目经理</w:t>
      </w:r>
      <w:r>
        <w:rPr>
          <w:rFonts w:hint="eastAsia" w:ascii="宋体" w:hAnsi="宋体" w:eastAsia="宋体" w:cs="宋体"/>
          <w:color w:val="auto"/>
          <w:spacing w:val="0"/>
          <w:sz w:val="24"/>
          <w:highlight w:val="none"/>
          <w:lang w:eastAsia="zh-CN"/>
        </w:rPr>
        <w:t>；</w:t>
      </w:r>
    </w:p>
    <w:p>
      <w:pPr>
        <w:widowControl w:val="0"/>
        <w:autoSpaceDE w:val="0"/>
        <w:spacing w:line="440" w:lineRule="exact"/>
        <w:ind w:firstLine="720" w:firstLineChars="300"/>
        <w:rPr>
          <w:rFonts w:hint="eastAsia" w:ascii="宋体" w:hAnsi="宋体" w:eastAsia="宋体" w:cs="宋体"/>
          <w:sz w:val="24"/>
          <w:szCs w:val="24"/>
          <w:lang w:eastAsia="zh-CN"/>
        </w:rPr>
      </w:pPr>
      <w:r>
        <w:rPr>
          <w:rFonts w:hint="eastAsia" w:ascii="宋体" w:hAnsi="宋体" w:eastAsia="宋体" w:cs="宋体"/>
          <w:spacing w:val="0"/>
          <w:kern w:val="0"/>
          <w:sz w:val="24"/>
          <w:szCs w:val="24"/>
          <w:lang w:val="en-US" w:eastAsia="zh-CN" w:bidi="ar"/>
        </w:rPr>
        <w:t>(3).</w:t>
      </w:r>
      <w:r>
        <w:rPr>
          <w:rFonts w:hint="eastAsia" w:ascii="宋体" w:hAnsi="宋体" w:eastAsia="宋体" w:cs="宋体"/>
          <w:sz w:val="24"/>
          <w:szCs w:val="24"/>
        </w:rPr>
        <w:t>投标企业（含本地、外埠投标企业）须提供</w:t>
      </w:r>
      <w:r>
        <w:rPr>
          <w:rFonts w:hint="eastAsia" w:ascii="宋体" w:hAnsi="宋体" w:eastAsia="宋体" w:cs="宋体"/>
          <w:sz w:val="24"/>
          <w:szCs w:val="24"/>
          <w:lang w:eastAsia="zh-CN"/>
        </w:rPr>
        <w:t>供应商</w:t>
      </w:r>
      <w:r>
        <w:rPr>
          <w:rFonts w:hint="eastAsia" w:ascii="宋体" w:hAnsi="宋体" w:eastAsia="宋体" w:cs="宋体"/>
          <w:sz w:val="24"/>
          <w:szCs w:val="24"/>
        </w:rPr>
        <w:t>自行出具的企业诚信证明承诺</w:t>
      </w:r>
      <w:r>
        <w:rPr>
          <w:rFonts w:hint="eastAsia" w:ascii="宋体" w:hAnsi="宋体" w:eastAsia="宋体" w:cs="宋体"/>
          <w:sz w:val="24"/>
          <w:szCs w:val="24"/>
          <w:lang w:eastAsia="zh-CN"/>
        </w:rPr>
        <w:t>；</w:t>
      </w:r>
    </w:p>
    <w:p>
      <w:pPr>
        <w:widowControl w:val="0"/>
        <w:autoSpaceDE w:val="0"/>
        <w:spacing w:line="440" w:lineRule="exact"/>
        <w:ind w:firstLine="720" w:firstLineChars="300"/>
        <w:rPr>
          <w:rFonts w:hint="eastAsia" w:ascii="宋体" w:hAnsi="宋体" w:eastAsia="宋体" w:cs="宋体"/>
          <w:color w:val="auto"/>
          <w:sz w:val="24"/>
          <w:szCs w:val="21"/>
          <w:lang w:val="en-US" w:eastAsia="zh-CN" w:bidi="ar-SA"/>
        </w:rPr>
      </w:pPr>
      <w:r>
        <w:rPr>
          <w:rFonts w:hint="eastAsia" w:ascii="宋体" w:hAnsi="宋体" w:eastAsia="宋体" w:cs="宋体"/>
          <w:spacing w:val="0"/>
          <w:kern w:val="0"/>
          <w:sz w:val="24"/>
          <w:szCs w:val="24"/>
          <w:lang w:val="en-US" w:eastAsia="zh-CN" w:bidi="ar"/>
        </w:rPr>
        <w:t>(4).</w:t>
      </w:r>
      <w:r>
        <w:rPr>
          <w:rFonts w:hint="eastAsia" w:ascii="宋体" w:hAnsi="宋体" w:eastAsia="宋体" w:cs="宋体"/>
          <w:color w:val="auto"/>
          <w:sz w:val="24"/>
          <w:szCs w:val="21"/>
          <w:lang w:val="en-US" w:eastAsia="zh-CN" w:bidi="ar-SA"/>
        </w:rPr>
        <w:t>拒绝列入政府取消投标资格记录期间的企业或个人投标；</w:t>
      </w:r>
    </w:p>
    <w:p>
      <w:pPr>
        <w:widowControl w:val="0"/>
        <w:autoSpaceDE w:val="0"/>
        <w:spacing w:line="440" w:lineRule="exact"/>
        <w:ind w:firstLine="720" w:firstLineChars="300"/>
        <w:rPr>
          <w:rFonts w:hint="eastAsia" w:ascii="宋体" w:hAnsi="宋体" w:eastAsia="宋体" w:cs="宋体"/>
          <w:sz w:val="24"/>
          <w:szCs w:val="24"/>
        </w:rPr>
      </w:pPr>
      <w:r>
        <w:rPr>
          <w:rFonts w:hint="eastAsia" w:ascii="宋体" w:hAnsi="宋体" w:eastAsia="宋体" w:cs="宋体"/>
          <w:spacing w:val="0"/>
          <w:kern w:val="0"/>
          <w:sz w:val="24"/>
          <w:szCs w:val="24"/>
          <w:lang w:val="en-US" w:eastAsia="zh-CN" w:bidi="ar"/>
        </w:rPr>
        <w:t>(5).</w:t>
      </w:r>
      <w:r>
        <w:rPr>
          <w:rFonts w:hint="eastAsia" w:ascii="宋体" w:hAnsi="宋体" w:eastAsia="宋体" w:cs="宋体"/>
          <w:sz w:val="24"/>
          <w:szCs w:val="24"/>
        </w:rPr>
        <w:t>未被列入“失信被执行人、重大税收违法案件当事人”的记录名单（通过“信用中国”网站(www.creditchina.gov.cn)查询）；</w:t>
      </w:r>
    </w:p>
    <w:p>
      <w:pPr>
        <w:widowControl w:val="0"/>
        <w:autoSpaceDE w:val="0"/>
        <w:spacing w:line="440" w:lineRule="exact"/>
        <w:ind w:firstLine="720" w:firstLineChars="300"/>
        <w:rPr>
          <w:rFonts w:hint="eastAsia" w:ascii="宋体" w:hAnsi="宋体" w:eastAsia="宋体" w:cs="宋体"/>
          <w:sz w:val="24"/>
          <w:szCs w:val="24"/>
        </w:rPr>
      </w:pPr>
      <w:r>
        <w:rPr>
          <w:rFonts w:hint="eastAsia" w:ascii="宋体" w:hAnsi="宋体" w:eastAsia="宋体" w:cs="宋体"/>
          <w:spacing w:val="0"/>
          <w:kern w:val="0"/>
          <w:sz w:val="24"/>
          <w:szCs w:val="24"/>
          <w:lang w:val="en-US" w:eastAsia="zh-CN" w:bidi="ar"/>
        </w:rPr>
        <w:t>(6).</w:t>
      </w:r>
      <w:r>
        <w:rPr>
          <w:rFonts w:hint="eastAsia" w:ascii="宋体" w:hAnsi="宋体" w:eastAsia="宋体" w:cs="宋体"/>
          <w:sz w:val="24"/>
          <w:szCs w:val="24"/>
        </w:rPr>
        <w:t>未被列入“政府采购严重违法失信行为记录名单”（通过“中国政府采购网”（www.ccgp.gov.cn）查询）；</w:t>
      </w:r>
    </w:p>
    <w:p>
      <w:pPr>
        <w:widowControl w:val="0"/>
        <w:autoSpaceDE w:val="0"/>
        <w:spacing w:line="440" w:lineRule="exact"/>
        <w:ind w:firstLine="720" w:firstLineChars="300"/>
        <w:rPr>
          <w:rFonts w:hint="eastAsia" w:ascii="宋体" w:hAnsi="宋体" w:eastAsia="宋体" w:cs="宋体"/>
          <w:lang w:val="en-US" w:eastAsia="zh-CN"/>
        </w:rPr>
      </w:pPr>
      <w:r>
        <w:rPr>
          <w:rFonts w:hint="eastAsia" w:ascii="宋体" w:hAnsi="宋体" w:eastAsia="宋体" w:cs="宋体"/>
          <w:spacing w:val="0"/>
          <w:kern w:val="0"/>
          <w:sz w:val="24"/>
          <w:szCs w:val="24"/>
          <w:lang w:val="en-US" w:eastAsia="zh-CN" w:bidi="ar"/>
        </w:rPr>
        <w:t>(7).</w:t>
      </w:r>
      <w:r>
        <w:rPr>
          <w:rFonts w:hint="eastAsia" w:ascii="宋体" w:hAnsi="宋体" w:eastAsia="宋体" w:cs="宋体"/>
          <w:sz w:val="24"/>
          <w:szCs w:val="24"/>
        </w:rPr>
        <w:t>投标单位和个人（指法定代表人、拟委任的项目经理）未在“中国裁判文书网”（wenshu.court.gov.cn）上有行贿犯罪行为；</w:t>
      </w:r>
    </w:p>
    <w:p>
      <w:pPr>
        <w:widowControl w:val="0"/>
        <w:autoSpaceDE w:val="0"/>
        <w:spacing w:line="440" w:lineRule="exact"/>
        <w:ind w:firstLine="720" w:firstLineChars="300"/>
        <w:rPr>
          <w:rFonts w:hint="eastAsia" w:ascii="宋体" w:hAnsi="宋体" w:eastAsia="宋体" w:cs="宋体"/>
          <w:color w:val="auto"/>
          <w:sz w:val="24"/>
          <w:szCs w:val="21"/>
          <w:lang w:val="en-US" w:eastAsia="zh-CN" w:bidi="ar-SA"/>
        </w:rPr>
      </w:pPr>
      <w:r>
        <w:rPr>
          <w:rFonts w:hint="eastAsia" w:ascii="宋体" w:hAnsi="宋体" w:eastAsia="宋体" w:cs="宋体"/>
          <w:spacing w:val="0"/>
          <w:kern w:val="0"/>
          <w:sz w:val="24"/>
          <w:szCs w:val="24"/>
          <w:lang w:val="en-US" w:eastAsia="zh-CN" w:bidi="ar"/>
        </w:rPr>
        <w:t>(8).</w:t>
      </w:r>
      <w:r>
        <w:rPr>
          <w:rFonts w:hint="eastAsia" w:ascii="宋体" w:hAnsi="宋体" w:eastAsia="宋体" w:cs="宋体"/>
          <w:color w:val="auto"/>
          <w:sz w:val="24"/>
          <w:szCs w:val="21"/>
          <w:lang w:val="en-US" w:eastAsia="zh-CN" w:bidi="ar-SA"/>
        </w:rPr>
        <w:t>单位负责人为同一人或者存在直接控股、管理关系的不同投标人，不得参加</w:t>
      </w:r>
      <w:r>
        <w:rPr>
          <w:rFonts w:hint="eastAsia" w:ascii="宋体" w:hAnsi="宋体" w:eastAsia="宋体" w:cs="宋体"/>
          <w:sz w:val="24"/>
          <w:szCs w:val="24"/>
        </w:rPr>
        <w:t>同一</w:t>
      </w:r>
      <w:r>
        <w:rPr>
          <w:rFonts w:hint="eastAsia" w:ascii="宋体" w:hAnsi="宋体" w:eastAsia="宋体" w:cs="宋体"/>
          <w:sz w:val="24"/>
          <w:szCs w:val="24"/>
          <w:lang w:eastAsia="zh-CN"/>
        </w:rPr>
        <w:t>合同项下的政府采购活动</w:t>
      </w:r>
      <w:r>
        <w:rPr>
          <w:rFonts w:hint="eastAsia" w:ascii="宋体" w:hAnsi="宋体" w:eastAsia="宋体" w:cs="宋体"/>
          <w:sz w:val="24"/>
          <w:szCs w:val="24"/>
        </w:rPr>
        <w:t>，否则，相关投标均无效</w:t>
      </w:r>
      <w:r>
        <w:rPr>
          <w:rFonts w:hint="eastAsia" w:ascii="宋体" w:hAnsi="宋体" w:eastAsia="宋体" w:cs="宋体"/>
          <w:color w:val="auto"/>
          <w:sz w:val="24"/>
          <w:szCs w:val="21"/>
          <w:lang w:val="en-US" w:eastAsia="zh-CN" w:bidi="ar-SA"/>
        </w:rPr>
        <w:t>。</w:t>
      </w:r>
    </w:p>
    <w:bookmarkEnd w:id="17"/>
    <w:bookmarkEnd w:id="18"/>
    <w:p>
      <w:pPr>
        <w:widowControl w:val="0"/>
        <w:autoSpaceDE w:val="0"/>
        <w:spacing w:line="440" w:lineRule="exact"/>
        <w:rPr>
          <w:rFonts w:hint="eastAsia" w:ascii="宋体" w:hAnsi="宋体" w:eastAsia="宋体" w:cs="宋体"/>
          <w:b/>
          <w:sz w:val="24"/>
          <w:szCs w:val="24"/>
          <w:lang w:eastAsia="zh-CN"/>
        </w:rPr>
      </w:pPr>
      <w:bookmarkStart w:id="19" w:name="_Toc16448"/>
      <w:bookmarkStart w:id="20" w:name="_Toc16326"/>
      <w:r>
        <w:rPr>
          <w:rFonts w:hint="eastAsia" w:ascii="宋体" w:hAnsi="宋体" w:eastAsia="宋体" w:cs="宋体"/>
          <w:b/>
          <w:sz w:val="24"/>
          <w:szCs w:val="24"/>
        </w:rPr>
        <w:t>三、获取</w:t>
      </w:r>
      <w:r>
        <w:rPr>
          <w:rFonts w:hint="eastAsia" w:ascii="宋体" w:hAnsi="宋体" w:eastAsia="宋体" w:cs="宋体"/>
          <w:b/>
          <w:sz w:val="24"/>
          <w:szCs w:val="24"/>
          <w:lang w:eastAsia="zh-CN"/>
        </w:rPr>
        <w:t>磋商文件</w:t>
      </w:r>
    </w:p>
    <w:p>
      <w:pPr>
        <w:widowControl w:val="0"/>
        <w:autoSpaceDE w:val="0"/>
        <w:spacing w:line="44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sz w:val="24"/>
          <w:szCs w:val="24"/>
          <w:highlight w:val="none"/>
        </w:rPr>
        <w:t>时间：</w:t>
      </w:r>
      <w:r>
        <w:rPr>
          <w:rFonts w:hint="eastAsia" w:ascii="宋体" w:hAnsi="宋体" w:eastAsia="宋体" w:cs="宋体"/>
          <w:color w:val="auto"/>
          <w:kern w:val="2"/>
          <w:sz w:val="24"/>
          <w:szCs w:val="24"/>
          <w:highlight w:val="none"/>
        </w:rPr>
        <w:t>202</w:t>
      </w:r>
      <w:r>
        <w:rPr>
          <w:rFonts w:hint="eastAsia" w:ascii="宋体" w:hAnsi="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05</w:t>
      </w:r>
      <w:r>
        <w:rPr>
          <w:rFonts w:hint="eastAsia" w:ascii="宋体" w:hAnsi="宋体" w:eastAsia="宋体" w:cs="宋体"/>
          <w:color w:val="auto"/>
          <w:kern w:val="2"/>
          <w:sz w:val="24"/>
          <w:szCs w:val="24"/>
          <w:highlight w:val="none"/>
        </w:rPr>
        <w:t>月</w:t>
      </w:r>
      <w:r>
        <w:rPr>
          <w:rFonts w:hint="eastAsia" w:ascii="宋体" w:hAnsi="宋体" w:cs="宋体"/>
          <w:color w:val="auto"/>
          <w:kern w:val="2"/>
          <w:sz w:val="24"/>
          <w:szCs w:val="24"/>
          <w:highlight w:val="none"/>
          <w:lang w:val="en-US" w:eastAsia="zh-CN"/>
        </w:rPr>
        <w:t>19</w:t>
      </w:r>
      <w:r>
        <w:rPr>
          <w:rFonts w:hint="eastAsia" w:ascii="宋体" w:hAnsi="宋体" w:eastAsia="宋体" w:cs="宋体"/>
          <w:color w:val="auto"/>
          <w:kern w:val="2"/>
          <w:sz w:val="24"/>
          <w:szCs w:val="24"/>
          <w:highlight w:val="none"/>
        </w:rPr>
        <w:t>日至 202</w:t>
      </w:r>
      <w:r>
        <w:rPr>
          <w:rFonts w:hint="eastAsia" w:ascii="宋体" w:hAnsi="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05</w:t>
      </w:r>
      <w:r>
        <w:rPr>
          <w:rFonts w:hint="eastAsia" w:ascii="宋体" w:hAnsi="宋体" w:eastAsia="宋体" w:cs="宋体"/>
          <w:color w:val="auto"/>
          <w:kern w:val="2"/>
          <w:sz w:val="24"/>
          <w:szCs w:val="24"/>
          <w:highlight w:val="none"/>
        </w:rPr>
        <w:t>月</w:t>
      </w:r>
      <w:r>
        <w:rPr>
          <w:rFonts w:hint="eastAsia" w:ascii="宋体" w:hAnsi="宋体" w:cs="宋体"/>
          <w:color w:val="auto"/>
          <w:kern w:val="2"/>
          <w:sz w:val="24"/>
          <w:szCs w:val="24"/>
          <w:highlight w:val="none"/>
          <w:lang w:val="en-US" w:eastAsia="zh-CN"/>
        </w:rPr>
        <w:t>26</w:t>
      </w:r>
      <w:r>
        <w:rPr>
          <w:rFonts w:hint="eastAsia" w:ascii="宋体" w:hAnsi="宋体" w:eastAsia="宋体" w:cs="宋体"/>
          <w:color w:val="auto"/>
          <w:kern w:val="2"/>
          <w:sz w:val="24"/>
          <w:szCs w:val="24"/>
          <w:highlight w:val="none"/>
        </w:rPr>
        <w:t>日</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每天上午08:00至11:30 ，下午13:00至1</w:t>
      </w:r>
      <w:r>
        <w:rPr>
          <w:rFonts w:hint="eastAsia" w:ascii="宋体" w:hAnsi="宋体" w:eastAsia="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rPr>
        <w:t>:00（北京时间，法定节假日除外）</w:t>
      </w:r>
    </w:p>
    <w:p>
      <w:pPr>
        <w:widowControl w:val="0"/>
        <w:autoSpaceDE w:val="0"/>
        <w:spacing w:line="44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地点：</w:t>
      </w:r>
      <w:r>
        <w:rPr>
          <w:rFonts w:hint="eastAsia" w:ascii="宋体" w:hAnsi="宋体" w:eastAsia="宋体" w:cs="宋体"/>
          <w:sz w:val="24"/>
          <w:szCs w:val="24"/>
          <w:highlight w:val="none"/>
          <w:lang w:val="en-US" w:eastAsia="zh-CN"/>
        </w:rPr>
        <w:t>登录</w:t>
      </w:r>
      <w:r>
        <w:rPr>
          <w:rFonts w:hint="eastAsia" w:ascii="宋体" w:hAnsi="宋体" w:eastAsia="宋体" w:cs="宋体"/>
          <w:color w:val="auto"/>
          <w:sz w:val="24"/>
          <w:szCs w:val="24"/>
          <w:highlight w:val="none"/>
          <w:lang w:val="en-US" w:eastAsia="zh-CN"/>
        </w:rPr>
        <w:t>政采云平台</w:t>
      </w:r>
      <w:r>
        <w:rPr>
          <w:rFonts w:hint="eastAsia" w:ascii="宋体" w:hAnsi="宋体" w:eastAsia="宋体" w:cs="宋体"/>
          <w:color w:val="auto"/>
          <w:sz w:val="24"/>
          <w:szCs w:val="24"/>
          <w:highlight w:val="none"/>
        </w:rPr>
        <w:t>（http://</w:t>
      </w:r>
      <w:r>
        <w:rPr>
          <w:rFonts w:hint="eastAsia" w:ascii="宋体" w:hAnsi="宋体" w:eastAsia="宋体" w:cs="宋体"/>
          <w:color w:val="auto"/>
          <w:sz w:val="24"/>
          <w:szCs w:val="24"/>
          <w:highlight w:val="none"/>
          <w:lang w:val="en-US" w:eastAsia="zh-CN"/>
        </w:rPr>
        <w:t>www</w:t>
      </w:r>
      <w:r>
        <w:rPr>
          <w:rFonts w:hint="eastAsia" w:ascii="宋体" w:hAnsi="宋体" w:eastAsia="宋体" w:cs="宋体"/>
          <w:color w:val="auto"/>
          <w:sz w:val="24"/>
          <w:szCs w:val="24"/>
          <w:highlight w:val="none"/>
        </w:rPr>
        <w:t>.zcygov.cn）</w:t>
      </w:r>
      <w:r>
        <w:rPr>
          <w:rFonts w:hint="eastAsia" w:ascii="宋体" w:hAnsi="宋体" w:eastAsia="宋体" w:cs="宋体"/>
          <w:color w:val="auto"/>
          <w:sz w:val="24"/>
          <w:szCs w:val="24"/>
          <w:highlight w:val="none"/>
          <w:lang w:val="en-US" w:eastAsia="zh-CN"/>
        </w:rPr>
        <w:t>在线申请获取磋商文件</w:t>
      </w:r>
    </w:p>
    <w:p>
      <w:pPr>
        <w:widowControl w:val="0"/>
        <w:autoSpaceDE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方式：在线获取</w:t>
      </w:r>
    </w:p>
    <w:p>
      <w:pPr>
        <w:widowControl w:val="0"/>
        <w:autoSpaceDE w:val="0"/>
        <w:spacing w:line="44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售价</w:t>
      </w:r>
      <w:r>
        <w:rPr>
          <w:rFonts w:hint="eastAsia" w:ascii="宋体" w:hAnsi="宋体" w:eastAsia="宋体" w:cs="宋体"/>
          <w:color w:val="auto"/>
          <w:sz w:val="24"/>
          <w:szCs w:val="24"/>
          <w:highlight w:val="none"/>
        </w:rPr>
        <w:t>：¥0</w:t>
      </w:r>
    </w:p>
    <w:p>
      <w:pPr>
        <w:widowControl w:val="0"/>
        <w:autoSpaceDE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四、</w:t>
      </w:r>
      <w:r>
        <w:rPr>
          <w:rFonts w:hint="eastAsia" w:ascii="宋体" w:hAnsi="宋体" w:eastAsia="宋体" w:cs="宋体"/>
          <w:b/>
          <w:kern w:val="0"/>
          <w:sz w:val="24"/>
          <w:szCs w:val="24"/>
          <w:highlight w:val="none"/>
          <w:lang w:eastAsia="zh-CN" w:bidi="ar"/>
        </w:rPr>
        <w:t>响应文件</w:t>
      </w:r>
      <w:r>
        <w:rPr>
          <w:rFonts w:hint="eastAsia" w:ascii="宋体" w:hAnsi="宋体" w:eastAsia="宋体" w:cs="宋体"/>
          <w:b/>
          <w:kern w:val="0"/>
          <w:sz w:val="24"/>
          <w:szCs w:val="24"/>
          <w:highlight w:val="none"/>
          <w:lang w:bidi="ar"/>
        </w:rPr>
        <w:t>提交</w:t>
      </w:r>
    </w:p>
    <w:p>
      <w:pPr>
        <w:widowControl w:val="0"/>
        <w:autoSpaceDE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kern w:val="0"/>
          <w:sz w:val="24"/>
          <w:szCs w:val="24"/>
          <w:highlight w:val="none"/>
          <w:lang w:bidi="ar"/>
        </w:rPr>
        <w:t>截止时间</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0（北京时间）</w:t>
      </w:r>
    </w:p>
    <w:p>
      <w:pPr>
        <w:widowControl w:val="0"/>
        <w:autoSpaceDE w:val="0"/>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地点：在线开标</w:t>
      </w:r>
    </w:p>
    <w:p>
      <w:pPr>
        <w:widowControl w:val="0"/>
        <w:autoSpaceDE w:val="0"/>
        <w:spacing w:line="440" w:lineRule="exact"/>
        <w:rPr>
          <w:rFonts w:hint="eastAsia" w:ascii="宋体" w:hAnsi="宋体" w:eastAsia="宋体" w:cs="宋体"/>
          <w:b/>
          <w:color w:val="auto"/>
          <w:kern w:val="0"/>
          <w:sz w:val="24"/>
          <w:szCs w:val="24"/>
          <w:highlight w:val="none"/>
          <w:lang w:eastAsia="zh-CN" w:bidi="ar"/>
        </w:rPr>
      </w:pPr>
      <w:r>
        <w:rPr>
          <w:rFonts w:hint="eastAsia" w:ascii="宋体" w:hAnsi="宋体" w:eastAsia="宋体" w:cs="宋体"/>
          <w:b/>
          <w:color w:val="auto"/>
          <w:kern w:val="0"/>
          <w:sz w:val="24"/>
          <w:szCs w:val="24"/>
          <w:highlight w:val="none"/>
          <w:lang w:bidi="ar"/>
        </w:rPr>
        <w:t>五、</w:t>
      </w:r>
      <w:r>
        <w:rPr>
          <w:rFonts w:hint="eastAsia" w:ascii="宋体" w:hAnsi="宋体" w:eastAsia="宋体" w:cs="宋体"/>
          <w:b/>
          <w:color w:val="auto"/>
          <w:kern w:val="0"/>
          <w:sz w:val="24"/>
          <w:szCs w:val="24"/>
          <w:highlight w:val="none"/>
          <w:lang w:eastAsia="zh-CN" w:bidi="ar"/>
        </w:rPr>
        <w:t>开启</w:t>
      </w:r>
    </w:p>
    <w:p>
      <w:pPr>
        <w:autoSpaceDE w:val="0"/>
        <w:spacing w:line="440" w:lineRule="exact"/>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时间：</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06</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w:t>
      </w:r>
      <w:r>
        <w:rPr>
          <w:rFonts w:hint="eastAsia" w:ascii="宋体" w:hAnsi="宋体" w:eastAsia="宋体" w:cs="宋体"/>
          <w:color w:val="auto"/>
          <w:kern w:val="0"/>
          <w:sz w:val="24"/>
          <w:szCs w:val="24"/>
          <w:highlight w:val="none"/>
          <w:lang w:bidi="ar"/>
        </w:rPr>
        <w:t>（北京时间）</w:t>
      </w:r>
    </w:p>
    <w:p>
      <w:pPr>
        <w:autoSpaceDE w:val="0"/>
        <w:spacing w:line="440" w:lineRule="exact"/>
        <w:ind w:firstLine="480" w:firstLineChars="200"/>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地点：在线</w:t>
      </w:r>
      <w:r>
        <w:rPr>
          <w:rFonts w:hint="eastAsia" w:ascii="宋体" w:hAnsi="宋体" w:eastAsia="宋体" w:cs="宋体"/>
          <w:color w:val="auto"/>
          <w:kern w:val="0"/>
          <w:sz w:val="24"/>
          <w:szCs w:val="24"/>
          <w:highlight w:val="none"/>
          <w:lang w:eastAsia="zh-CN" w:bidi="ar"/>
        </w:rPr>
        <w:t>开启</w:t>
      </w:r>
    </w:p>
    <w:p>
      <w:pPr>
        <w:widowControl w:val="0"/>
        <w:autoSpaceDE w:val="0"/>
        <w:spacing w:line="440" w:lineRule="exact"/>
        <w:rPr>
          <w:rFonts w:hint="eastAsia" w:ascii="宋体" w:hAnsi="宋体" w:eastAsia="宋体" w:cs="宋体"/>
          <w:b/>
          <w:sz w:val="24"/>
          <w:szCs w:val="24"/>
        </w:rPr>
      </w:pPr>
      <w:r>
        <w:rPr>
          <w:rFonts w:hint="eastAsia" w:ascii="宋体" w:hAnsi="宋体" w:eastAsia="宋体" w:cs="宋体"/>
          <w:b/>
          <w:sz w:val="24"/>
          <w:szCs w:val="24"/>
          <w:lang w:eastAsia="zh-CN"/>
        </w:rPr>
        <w:t>六</w:t>
      </w:r>
      <w:r>
        <w:rPr>
          <w:rFonts w:hint="eastAsia" w:ascii="宋体" w:hAnsi="宋体" w:eastAsia="宋体" w:cs="宋体"/>
          <w:b/>
          <w:sz w:val="24"/>
          <w:szCs w:val="24"/>
        </w:rPr>
        <w:t>、公告期限</w:t>
      </w:r>
    </w:p>
    <w:p>
      <w:pPr>
        <w:widowControl w:val="0"/>
        <w:autoSpaceDE w:val="0"/>
        <w:spacing w:line="44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自本公告发布之日起5个工作日。</w:t>
      </w:r>
    </w:p>
    <w:p>
      <w:pPr>
        <w:widowControl w:val="0"/>
        <w:autoSpaceDE w:val="0"/>
        <w:spacing w:line="440" w:lineRule="exact"/>
        <w:rPr>
          <w:rFonts w:hint="eastAsia" w:ascii="宋体" w:hAnsi="宋体" w:eastAsia="宋体" w:cs="宋体"/>
          <w:b/>
          <w:sz w:val="24"/>
          <w:szCs w:val="24"/>
        </w:rPr>
      </w:pPr>
      <w:r>
        <w:rPr>
          <w:rFonts w:hint="eastAsia" w:ascii="宋体" w:hAnsi="宋体" w:eastAsia="宋体" w:cs="宋体"/>
          <w:b/>
          <w:sz w:val="24"/>
          <w:szCs w:val="24"/>
          <w:lang w:eastAsia="zh-CN"/>
        </w:rPr>
        <w:t>七</w:t>
      </w:r>
      <w:r>
        <w:rPr>
          <w:rFonts w:hint="eastAsia" w:ascii="宋体" w:hAnsi="宋体" w:eastAsia="宋体" w:cs="宋体"/>
          <w:b/>
          <w:sz w:val="24"/>
          <w:szCs w:val="24"/>
        </w:rPr>
        <w:t>、其它补充事宜</w:t>
      </w:r>
    </w:p>
    <w:p>
      <w:pPr>
        <w:widowControl w:val="0"/>
        <w:autoSpaceD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1.供应商在政府采购云平台网注册入库成为正式供应商后，在平台上按《政府采购项目电子交易管理操作指南－供应商》进行投标操作。投标人须办理数字证书方可参加投标。</w:t>
      </w:r>
    </w:p>
    <w:p>
      <w:pPr>
        <w:widowControl w:val="0"/>
        <w:autoSpaceD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2.收到 CA 锁以后在“政采云”登录界面，点击 CA 登录-CA 驱动下载－下载并安装政采云投标客户端和 CA 驱动，账号绑定 CA 后才能进行投标文件制作。</w:t>
      </w:r>
    </w:p>
    <w:p>
      <w:pPr>
        <w:widowControl w:val="0"/>
        <w:numPr>
          <w:ilvl w:val="0"/>
          <w:numId w:val="1"/>
        </w:numPr>
        <w:autoSpaceDE w:val="0"/>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rPr>
        <w:t>若对项目采购电子交易系统操作有疑问，可登录“政采云”平台，点击右侧咨询小采，获取采小蜜智能服务管家帮助，或拨打政采云服务热线 95763 获取帮助</w:t>
      </w:r>
    </w:p>
    <w:p>
      <w:pPr>
        <w:widowControl w:val="0"/>
        <w:autoSpaceDE w:val="0"/>
        <w:spacing w:line="440" w:lineRule="exact"/>
        <w:ind w:firstLine="480"/>
        <w:rPr>
          <w:rFonts w:hint="eastAsia" w:ascii="宋体" w:hAnsi="宋体" w:eastAsia="宋体" w:cs="宋体"/>
          <w:sz w:val="24"/>
          <w:szCs w:val="24"/>
        </w:rPr>
      </w:pPr>
      <w:bookmarkStart w:id="21" w:name="_Toc35393805"/>
      <w:r>
        <w:rPr>
          <w:rFonts w:hint="eastAsia" w:ascii="宋体" w:hAnsi="宋体" w:eastAsia="宋体" w:cs="宋体"/>
          <w:sz w:val="24"/>
          <w:szCs w:val="24"/>
          <w:lang w:val="en-US" w:eastAsia="zh-CN"/>
        </w:rPr>
        <w:t>4.</w:t>
      </w:r>
      <w:r>
        <w:rPr>
          <w:rFonts w:hint="eastAsia" w:ascii="宋体" w:hAnsi="宋体" w:eastAsia="宋体" w:cs="宋体"/>
          <w:sz w:val="24"/>
          <w:szCs w:val="24"/>
        </w:rPr>
        <w:t>有效</w:t>
      </w:r>
      <w:r>
        <w:rPr>
          <w:rFonts w:hint="eastAsia" w:ascii="宋体" w:hAnsi="宋体" w:eastAsia="宋体" w:cs="宋体"/>
          <w:sz w:val="24"/>
          <w:szCs w:val="24"/>
          <w:lang w:eastAsia="zh-CN"/>
        </w:rPr>
        <w:t>供应商</w:t>
      </w:r>
      <w:r>
        <w:rPr>
          <w:rFonts w:hint="eastAsia" w:ascii="宋体" w:hAnsi="宋体" w:eastAsia="宋体" w:cs="宋体"/>
          <w:sz w:val="24"/>
          <w:szCs w:val="24"/>
        </w:rPr>
        <w:t>不足三家时，</w:t>
      </w:r>
      <w:r>
        <w:rPr>
          <w:rFonts w:hint="eastAsia" w:ascii="宋体" w:hAnsi="宋体" w:eastAsia="宋体" w:cs="宋体"/>
          <w:sz w:val="24"/>
          <w:szCs w:val="24"/>
          <w:lang w:eastAsia="zh-CN"/>
        </w:rPr>
        <w:t>采购人</w:t>
      </w:r>
      <w:r>
        <w:rPr>
          <w:rFonts w:hint="eastAsia" w:ascii="宋体" w:hAnsi="宋体" w:eastAsia="宋体" w:cs="宋体"/>
          <w:sz w:val="24"/>
          <w:szCs w:val="24"/>
        </w:rPr>
        <w:t>另行组织招标。</w:t>
      </w:r>
    </w:p>
    <w:p>
      <w:pPr>
        <w:keepNext w:val="0"/>
        <w:keepLines w:val="0"/>
        <w:pageBreakBefore w:val="0"/>
        <w:widowControl w:val="0"/>
        <w:kinsoku/>
        <w:wordWrap w:val="0"/>
        <w:overflowPunct/>
        <w:topLinePunct w:val="0"/>
        <w:autoSpaceDE w:val="0"/>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5.本次公告在“政采云”平台 (http:// www.zcygov.cn) （推送至吉林省政府采购网）、中国政府采购网上同时发布</w:t>
      </w:r>
      <w:r>
        <w:rPr>
          <w:rFonts w:hint="eastAsia" w:ascii="宋体" w:hAnsi="宋体" w:eastAsia="宋体" w:cs="宋体"/>
          <w:sz w:val="24"/>
          <w:szCs w:val="24"/>
        </w:rPr>
        <w:t>。</w:t>
      </w:r>
    </w:p>
    <w:p>
      <w:pPr>
        <w:widowControl w:val="0"/>
        <w:autoSpaceDE w:val="0"/>
        <w:spacing w:line="440" w:lineRule="exact"/>
        <w:rPr>
          <w:rFonts w:hint="eastAsia" w:ascii="宋体" w:hAnsi="宋体" w:eastAsia="宋体" w:cs="宋体"/>
          <w:b/>
          <w:sz w:val="24"/>
          <w:szCs w:val="24"/>
        </w:rPr>
      </w:pPr>
      <w:r>
        <w:rPr>
          <w:rFonts w:hint="eastAsia" w:ascii="宋体" w:hAnsi="宋体" w:eastAsia="宋体" w:cs="宋体"/>
          <w:b/>
          <w:sz w:val="24"/>
          <w:szCs w:val="24"/>
          <w:lang w:eastAsia="zh-CN"/>
        </w:rPr>
        <w:t>八</w:t>
      </w:r>
      <w:r>
        <w:rPr>
          <w:rFonts w:hint="eastAsia" w:ascii="宋体" w:hAnsi="宋体" w:eastAsia="宋体" w:cs="宋体"/>
          <w:b/>
          <w:sz w:val="24"/>
          <w:szCs w:val="24"/>
        </w:rPr>
        <w:t>、</w:t>
      </w:r>
      <w:bookmarkEnd w:id="21"/>
      <w:r>
        <w:rPr>
          <w:rFonts w:hint="eastAsia" w:ascii="宋体" w:hAnsi="宋体" w:eastAsia="宋体" w:cs="宋体"/>
          <w:b/>
          <w:kern w:val="0"/>
          <w:sz w:val="24"/>
          <w:szCs w:val="24"/>
          <w:highlight w:val="none"/>
          <w:lang w:bidi="ar"/>
        </w:rPr>
        <w:t>凡对本次采购提出询问，请按以下方式联系</w:t>
      </w:r>
    </w:p>
    <w:bookmarkEnd w:id="19"/>
    <w:bookmarkEnd w:id="20"/>
    <w:p>
      <w:pPr>
        <w:widowControl w:val="0"/>
        <w:autoSpaceDE w:val="0"/>
        <w:spacing w:line="44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rPr>
        <w:t>采购人信息</w:t>
      </w:r>
    </w:p>
    <w:p>
      <w:pPr>
        <w:widowControl w:val="0"/>
        <w:autoSpaceDE w:val="0"/>
        <w:spacing w:line="440" w:lineRule="exact"/>
        <w:ind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名    称：吉林市龙潭区住房和城乡建设局（吉林市龙潭区城市管理行政执法局）</w:t>
      </w:r>
    </w:p>
    <w:p>
      <w:pPr>
        <w:widowControl w:val="0"/>
        <w:autoSpaceDE w:val="0"/>
        <w:spacing w:line="440" w:lineRule="exact"/>
        <w:ind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地    址：吉林市龙潭区南宁路5号</w:t>
      </w:r>
    </w:p>
    <w:p>
      <w:pPr>
        <w:widowControl w:val="0"/>
        <w:autoSpaceDE w:val="0"/>
        <w:spacing w:line="440" w:lineRule="exact"/>
        <w:ind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 xml:space="preserve">联系方式：张习文 </w:t>
      </w:r>
      <w:r>
        <w:rPr>
          <w:rFonts w:hint="eastAsia" w:ascii="宋体" w:hAnsi="宋体" w:eastAsia="宋体" w:cs="宋体"/>
          <w:sz w:val="24"/>
          <w:szCs w:val="24"/>
          <w:highlight w:val="none"/>
        </w:rPr>
        <w:t>0432-63041993</w:t>
      </w:r>
    </w:p>
    <w:p>
      <w:pPr>
        <w:widowControl w:val="0"/>
        <w:autoSpaceDE w:val="0"/>
        <w:spacing w:line="440" w:lineRule="exact"/>
        <w:ind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lang w:eastAsia="zh-CN"/>
        </w:rPr>
        <w:t>采购代理机构</w:t>
      </w:r>
      <w:r>
        <w:rPr>
          <w:rFonts w:hint="eastAsia" w:ascii="宋体" w:hAnsi="宋体" w:eastAsia="宋体" w:cs="宋体"/>
          <w:color w:val="auto"/>
          <w:kern w:val="2"/>
          <w:sz w:val="24"/>
          <w:szCs w:val="24"/>
          <w:highlight w:val="none"/>
        </w:rPr>
        <w:t>信息</w:t>
      </w:r>
    </w:p>
    <w:p>
      <w:pPr>
        <w:widowControl w:val="0"/>
        <w:autoSpaceDE w:val="0"/>
        <w:spacing w:line="440" w:lineRule="exact"/>
        <w:ind w:firstLine="480" w:firstLineChars="200"/>
        <w:rPr>
          <w:rFonts w:hint="default" w:ascii="宋体" w:hAnsi="宋体" w:eastAsia="宋体" w:cs="宋体"/>
          <w:color w:val="auto"/>
          <w:kern w:val="2"/>
          <w:sz w:val="24"/>
          <w:szCs w:val="24"/>
          <w:highlight w:val="none"/>
          <w:lang w:val="en-US" w:eastAsia="zh-CN"/>
        </w:rPr>
      </w:pPr>
      <w:bookmarkStart w:id="22" w:name="OLE_LINK1"/>
      <w:r>
        <w:rPr>
          <w:rFonts w:hint="default" w:ascii="宋体" w:hAnsi="宋体" w:eastAsia="宋体" w:cs="宋体"/>
          <w:color w:val="auto"/>
          <w:kern w:val="2"/>
          <w:sz w:val="24"/>
          <w:szCs w:val="24"/>
          <w:highlight w:val="none"/>
          <w:lang w:val="en-US" w:eastAsia="zh-CN"/>
        </w:rPr>
        <w:t>名    称：吉林玖远项目管理有限公司</w:t>
      </w:r>
      <w:r>
        <w:rPr>
          <w:rFonts w:hint="default" w:ascii="宋体" w:hAnsi="宋体" w:eastAsia="宋体" w:cs="宋体"/>
          <w:color w:val="auto"/>
          <w:kern w:val="2"/>
          <w:sz w:val="24"/>
          <w:szCs w:val="24"/>
          <w:highlight w:val="none"/>
          <w:lang w:val="en-US" w:eastAsia="zh-CN"/>
        </w:rPr>
        <w:tab/>
      </w:r>
    </w:p>
    <w:p>
      <w:pPr>
        <w:widowControl w:val="0"/>
        <w:autoSpaceDE w:val="0"/>
        <w:spacing w:line="440" w:lineRule="exact"/>
        <w:ind w:firstLine="480" w:firstLineChars="200"/>
        <w:rPr>
          <w:rFonts w:hint="default" w:ascii="宋体" w:hAnsi="宋体" w:eastAsia="宋体" w:cs="宋体"/>
          <w:color w:val="auto"/>
          <w:kern w:val="2"/>
          <w:sz w:val="24"/>
          <w:szCs w:val="24"/>
          <w:highlight w:val="none"/>
          <w:lang w:val="en-US" w:eastAsia="zh-CN"/>
        </w:rPr>
      </w:pPr>
      <w:r>
        <w:rPr>
          <w:rFonts w:hint="default" w:ascii="宋体" w:hAnsi="宋体" w:eastAsia="宋体" w:cs="宋体"/>
          <w:color w:val="auto"/>
          <w:kern w:val="2"/>
          <w:sz w:val="24"/>
          <w:szCs w:val="24"/>
          <w:highlight w:val="none"/>
          <w:lang w:val="en-US" w:eastAsia="zh-CN"/>
        </w:rPr>
        <w:t>地</w:t>
      </w:r>
      <w:r>
        <w:rPr>
          <w:rFonts w:hint="eastAsia" w:ascii="宋体" w:hAnsi="宋体" w:cs="宋体"/>
          <w:color w:val="auto"/>
          <w:kern w:val="2"/>
          <w:sz w:val="24"/>
          <w:szCs w:val="24"/>
          <w:highlight w:val="none"/>
          <w:lang w:val="en-US" w:eastAsia="zh-CN"/>
        </w:rPr>
        <w:t xml:space="preserve">    </w:t>
      </w:r>
      <w:r>
        <w:rPr>
          <w:rFonts w:hint="default" w:ascii="宋体" w:hAnsi="宋体" w:eastAsia="宋体" w:cs="宋体"/>
          <w:color w:val="auto"/>
          <w:kern w:val="2"/>
          <w:sz w:val="24"/>
          <w:szCs w:val="24"/>
          <w:highlight w:val="none"/>
          <w:lang w:val="en-US" w:eastAsia="zh-CN"/>
        </w:rPr>
        <w:t xml:space="preserve">址：吉林市高新技术产业开发区深东路1666号201室    </w:t>
      </w:r>
      <w:r>
        <w:rPr>
          <w:rFonts w:hint="default" w:ascii="宋体" w:hAnsi="宋体" w:eastAsia="宋体" w:cs="宋体"/>
          <w:color w:val="auto"/>
          <w:kern w:val="2"/>
          <w:sz w:val="24"/>
          <w:szCs w:val="24"/>
          <w:highlight w:val="none"/>
          <w:lang w:val="en-US" w:eastAsia="zh-CN"/>
        </w:rPr>
        <w:tab/>
      </w:r>
      <w:r>
        <w:rPr>
          <w:rFonts w:hint="default" w:ascii="宋体" w:hAnsi="宋体" w:eastAsia="宋体" w:cs="宋体"/>
          <w:color w:val="auto"/>
          <w:kern w:val="2"/>
          <w:sz w:val="24"/>
          <w:szCs w:val="24"/>
          <w:highlight w:val="none"/>
          <w:lang w:val="en-US" w:eastAsia="zh-CN"/>
        </w:rPr>
        <w:tab/>
      </w:r>
      <w:r>
        <w:rPr>
          <w:rFonts w:hint="default" w:ascii="宋体" w:hAnsi="宋体" w:eastAsia="宋体" w:cs="宋体"/>
          <w:color w:val="auto"/>
          <w:kern w:val="2"/>
          <w:sz w:val="24"/>
          <w:szCs w:val="24"/>
          <w:highlight w:val="none"/>
          <w:lang w:val="en-US" w:eastAsia="zh-CN"/>
        </w:rPr>
        <w:tab/>
      </w:r>
    </w:p>
    <w:p>
      <w:pPr>
        <w:widowControl w:val="0"/>
        <w:autoSpaceDE w:val="0"/>
        <w:spacing w:line="440" w:lineRule="exact"/>
        <w:ind w:firstLine="480" w:firstLineChars="200"/>
        <w:rPr>
          <w:rFonts w:hint="default" w:ascii="宋体" w:hAnsi="宋体" w:eastAsia="宋体" w:cs="宋体"/>
          <w:color w:val="auto"/>
          <w:kern w:val="2"/>
          <w:sz w:val="24"/>
          <w:szCs w:val="24"/>
          <w:highlight w:val="none"/>
          <w:lang w:val="en-US" w:eastAsia="zh-CN"/>
        </w:rPr>
      </w:pPr>
      <w:r>
        <w:rPr>
          <w:rFonts w:hint="default" w:ascii="宋体" w:hAnsi="宋体" w:eastAsia="宋体" w:cs="宋体"/>
          <w:color w:val="auto"/>
          <w:kern w:val="2"/>
          <w:sz w:val="24"/>
          <w:szCs w:val="24"/>
          <w:highlight w:val="none"/>
          <w:lang w:val="en-US" w:eastAsia="zh-CN"/>
        </w:rPr>
        <w:t xml:space="preserve">联 系 </w:t>
      </w:r>
      <w:r>
        <w:rPr>
          <w:rFonts w:hint="eastAsia" w:ascii="宋体" w:hAnsi="宋体" w:cs="宋体"/>
          <w:color w:val="auto"/>
          <w:kern w:val="2"/>
          <w:sz w:val="24"/>
          <w:szCs w:val="24"/>
          <w:highlight w:val="none"/>
          <w:lang w:val="en-US" w:eastAsia="zh-CN"/>
        </w:rPr>
        <w:t xml:space="preserve">方式 </w:t>
      </w:r>
      <w:r>
        <w:rPr>
          <w:rFonts w:hint="default" w:ascii="宋体" w:hAnsi="宋体" w:eastAsia="宋体" w:cs="宋体"/>
          <w:color w:val="auto"/>
          <w:kern w:val="2"/>
          <w:sz w:val="24"/>
          <w:szCs w:val="24"/>
          <w:highlight w:val="none"/>
          <w:lang w:val="en-US" w:eastAsia="zh-CN"/>
        </w:rPr>
        <w:t>：吴玉凤  15590068486</w:t>
      </w:r>
    </w:p>
    <w:bookmarkEnd w:id="22"/>
    <w:p>
      <w:pPr>
        <w:widowControl w:val="0"/>
        <w:autoSpaceDE w:val="0"/>
        <w:spacing w:line="44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招标监督管理部门：吉林市</w:t>
      </w:r>
      <w:r>
        <w:rPr>
          <w:rFonts w:hint="eastAsia" w:ascii="宋体" w:hAnsi="宋体" w:eastAsia="宋体" w:cs="宋体"/>
          <w:color w:val="auto"/>
          <w:kern w:val="2"/>
          <w:sz w:val="24"/>
          <w:szCs w:val="24"/>
          <w:highlight w:val="none"/>
          <w:lang w:val="en-US" w:eastAsia="zh-CN"/>
        </w:rPr>
        <w:t>龙潭区财政局</w:t>
      </w:r>
      <w:r>
        <w:rPr>
          <w:rFonts w:hint="eastAsia" w:ascii="宋体" w:hAnsi="宋体" w:eastAsia="宋体" w:cs="宋体"/>
          <w:color w:val="auto"/>
          <w:kern w:val="2"/>
          <w:sz w:val="24"/>
          <w:szCs w:val="24"/>
          <w:highlight w:val="none"/>
        </w:rPr>
        <w:t>政府采购管理工作办公室</w:t>
      </w:r>
    </w:p>
    <w:p/>
    <w:p>
      <w:pPr>
        <w:widowControl w:val="0"/>
        <w:autoSpaceDE w:val="0"/>
        <w:spacing w:line="440" w:lineRule="exact"/>
        <w:ind w:firstLine="480" w:firstLineChars="200"/>
        <w:rPr>
          <w:rFonts w:hint="eastAsia" w:ascii="宋体" w:hAnsi="宋体" w:eastAsia="宋体" w:cs="宋体"/>
          <w:color w:val="auto"/>
          <w:kern w:val="2"/>
          <w:sz w:val="24"/>
          <w:szCs w:val="24"/>
          <w:highlight w:val="none"/>
        </w:rPr>
      </w:pPr>
    </w:p>
    <w:p>
      <w:pPr>
        <w:widowControl w:val="0"/>
        <w:autoSpaceDE w:val="0"/>
        <w:spacing w:line="440" w:lineRule="exact"/>
        <w:ind w:firstLine="480" w:firstLineChars="200"/>
        <w:rPr>
          <w:rFonts w:hint="eastAsia" w:ascii="宋体" w:hAnsi="宋体" w:eastAsia="宋体" w:cs="宋体"/>
          <w:color w:val="auto"/>
          <w:kern w:val="2"/>
          <w:sz w:val="24"/>
          <w:szCs w:val="24"/>
          <w:highlight w:val="none"/>
        </w:rPr>
      </w:pPr>
    </w:p>
    <w:p>
      <w:pPr>
        <w:pStyle w:val="3"/>
        <w:keepNext w:val="0"/>
        <w:keepLines w:val="0"/>
        <w:pageBreakBefore w:val="0"/>
        <w:widowControl w:val="0"/>
        <w:kinsoku/>
        <w:wordWrap w:val="0"/>
        <w:overflowPunct/>
        <w:topLinePunct w:val="0"/>
        <w:autoSpaceDE/>
        <w:autoSpaceDN/>
        <w:bidi w:val="0"/>
        <w:adjustRightInd/>
        <w:snapToGrid/>
        <w:spacing w:before="0" w:after="157" w:afterLines="50" w:line="240" w:lineRule="auto"/>
        <w:ind w:left="0" w:leftChars="0" w:right="0" w:rightChars="0" w:firstLine="0" w:firstLineChars="0"/>
        <w:jc w:val="both"/>
        <w:textAlignment w:val="auto"/>
        <w:rPr>
          <w:rFonts w:hint="eastAsia" w:ascii="宋体" w:hAnsi="宋体" w:eastAsia="宋体" w:cs="宋体"/>
        </w:rPr>
      </w:pPr>
      <w:r>
        <w:rPr>
          <w:rFonts w:hint="eastAsia" w:ascii="宋体" w:hAnsi="宋体" w:eastAsia="宋体" w:cs="宋体"/>
        </w:rPr>
        <w:br w:type="page"/>
      </w:r>
      <w:bookmarkEnd w:id="12"/>
      <w:bookmarkEnd w:id="13"/>
      <w:bookmarkEnd w:id="14"/>
      <w:bookmarkEnd w:id="15"/>
      <w:bookmarkEnd w:id="16"/>
      <w:bookmarkStart w:id="23" w:name="_Toc24809"/>
      <w:r>
        <w:rPr>
          <w:rFonts w:hint="eastAsia" w:ascii="宋体" w:hAnsi="宋体" w:cs="宋体"/>
          <w:lang w:val="en-US" w:eastAsia="zh-CN"/>
        </w:rPr>
        <w:t xml:space="preserve">        </w:t>
      </w:r>
      <w:r>
        <w:rPr>
          <w:rFonts w:hint="eastAsia" w:ascii="宋体" w:hAnsi="宋体" w:eastAsia="宋体" w:cs="宋体"/>
        </w:rPr>
        <w:t xml:space="preserve">第二章 </w:t>
      </w:r>
      <w:r>
        <w:rPr>
          <w:rFonts w:hint="eastAsia" w:ascii="宋体" w:hAnsi="宋体" w:eastAsia="宋体" w:cs="宋体"/>
          <w:lang w:eastAsia="zh-CN"/>
        </w:rPr>
        <w:t>供应商</w:t>
      </w:r>
      <w:r>
        <w:rPr>
          <w:rFonts w:hint="eastAsia" w:ascii="宋体" w:hAnsi="宋体" w:eastAsia="宋体" w:cs="宋体"/>
        </w:rPr>
        <w:t>须知</w:t>
      </w:r>
      <w:bookmarkEnd w:id="23"/>
    </w:p>
    <w:p>
      <w:pPr>
        <w:pStyle w:val="4"/>
        <w:keepNext w:val="0"/>
        <w:keepLines w:val="0"/>
        <w:pageBreakBefore w:val="0"/>
        <w:widowControl w:val="0"/>
        <w:kinsoku/>
        <w:wordWrap w:val="0"/>
        <w:overflowPunct/>
        <w:topLinePunct w:val="0"/>
        <w:autoSpaceDE/>
        <w:autoSpaceDN/>
        <w:bidi w:val="0"/>
        <w:adjustRightInd/>
        <w:snapToGrid/>
        <w:spacing w:before="0" w:after="157" w:afterLines="50" w:line="240" w:lineRule="auto"/>
        <w:textAlignment w:val="auto"/>
        <w:rPr>
          <w:rFonts w:hint="eastAsia" w:ascii="宋体" w:hAnsi="宋体" w:eastAsia="宋体" w:cs="宋体"/>
          <w:sz w:val="28"/>
        </w:rPr>
      </w:pPr>
      <w:bookmarkStart w:id="24" w:name="_Toc29384647"/>
      <w:bookmarkStart w:id="25" w:name="_Toc11143"/>
      <w:bookmarkStart w:id="26" w:name="_Toc7481"/>
      <w:bookmarkStart w:id="27" w:name="_Toc11418"/>
      <w:bookmarkStart w:id="28" w:name="_Toc14720971"/>
      <w:bookmarkStart w:id="29" w:name="_Toc16808"/>
      <w:r>
        <w:rPr>
          <w:rFonts w:hint="eastAsia" w:ascii="宋体" w:hAnsi="宋体" w:eastAsia="宋体" w:cs="宋体"/>
          <w:sz w:val="28"/>
          <w:lang w:eastAsia="zh-CN"/>
        </w:rPr>
        <w:t>供应商</w:t>
      </w:r>
      <w:r>
        <w:rPr>
          <w:rFonts w:hint="eastAsia" w:ascii="宋体" w:hAnsi="宋体" w:eastAsia="宋体" w:cs="宋体"/>
          <w:sz w:val="28"/>
        </w:rPr>
        <w:t>须知前附表</w:t>
      </w:r>
      <w:bookmarkEnd w:id="24"/>
      <w:bookmarkEnd w:id="25"/>
      <w:bookmarkEnd w:id="26"/>
      <w:bookmarkEnd w:id="27"/>
      <w:bookmarkEnd w:id="28"/>
      <w:bookmarkEnd w:id="29"/>
    </w:p>
    <w:tbl>
      <w:tblPr>
        <w:tblStyle w:val="43"/>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1712"/>
        <w:gridCol w:w="70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
                <w:bCs/>
                <w:kern w:val="2"/>
                <w:sz w:val="24"/>
                <w:szCs w:val="24"/>
                <w:lang w:val="zh-CN"/>
              </w:rPr>
            </w:pPr>
            <w:bookmarkStart w:id="30" w:name="_Toc4061"/>
            <w:bookmarkStart w:id="31" w:name="_Toc29384648"/>
            <w:r>
              <w:rPr>
                <w:rFonts w:hint="eastAsia" w:ascii="宋体" w:hAnsi="宋体" w:eastAsia="宋体" w:cs="宋体"/>
                <w:b/>
                <w:bCs/>
                <w:kern w:val="2"/>
                <w:sz w:val="24"/>
                <w:szCs w:val="24"/>
                <w:lang w:val="zh-CN"/>
              </w:rPr>
              <w:t>条款号</w:t>
            </w:r>
          </w:p>
        </w:tc>
        <w:tc>
          <w:tcPr>
            <w:tcW w:w="1712" w:type="dxa"/>
            <w:noWrap w:val="0"/>
            <w:vAlign w:val="center"/>
          </w:tcPr>
          <w:p>
            <w:pPr>
              <w:keepNext w:val="0"/>
              <w:keepLines w:val="0"/>
              <w:pageBreakBefore w:val="0"/>
              <w:widowControl w:val="0"/>
              <w:suppressLineNumbers w:val="0"/>
              <w:pBdr>
                <w:bottom w:val="none" w:color="auto" w:sz="0" w:space="0"/>
              </w:pBdr>
              <w:kinsoku/>
              <w:wordWrap w:val="0"/>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b/>
                <w:bCs/>
                <w:kern w:val="2"/>
                <w:sz w:val="24"/>
                <w:szCs w:val="24"/>
                <w:lang w:val="zh-CN" w:eastAsia="zh-CN" w:bidi="ar-SA"/>
              </w:rPr>
            </w:pPr>
            <w:r>
              <w:rPr>
                <w:rFonts w:hint="eastAsia" w:ascii="宋体" w:hAnsi="宋体" w:eastAsia="宋体" w:cs="宋体"/>
                <w:b/>
                <w:bCs/>
                <w:kern w:val="2"/>
                <w:sz w:val="24"/>
                <w:szCs w:val="24"/>
                <w:lang w:val="zh-CN" w:eastAsia="zh-CN" w:bidi="ar-SA"/>
              </w:rPr>
              <w:t>条款名称</w:t>
            </w:r>
          </w:p>
        </w:tc>
        <w:tc>
          <w:tcPr>
            <w:tcW w:w="7017" w:type="dxa"/>
            <w:noWrap w:val="0"/>
            <w:vAlign w:val="center"/>
          </w:tcPr>
          <w:p>
            <w:pPr>
              <w:keepNext w:val="0"/>
              <w:keepLines w:val="0"/>
              <w:pageBreakBefore w:val="0"/>
              <w:widowControl w:val="0"/>
              <w:suppressLineNumbers w:val="0"/>
              <w:pBdr>
                <w:bottom w:val="none" w:color="auto" w:sz="0" w:space="0"/>
              </w:pBdr>
              <w:kinsoku/>
              <w:wordWrap w:val="0"/>
              <w:overflowPunct/>
              <w:topLinePunct w:val="0"/>
              <w:autoSpaceDE/>
              <w:autoSpaceDN/>
              <w:bidi w:val="0"/>
              <w:adjustRightInd w:val="0"/>
              <w:snapToGrid w:val="0"/>
              <w:spacing w:before="0" w:beforeAutospacing="0" w:after="0" w:afterAutospacing="0" w:line="440" w:lineRule="exact"/>
              <w:ind w:left="0" w:right="0" w:rightChars="0"/>
              <w:jc w:val="center"/>
              <w:textAlignment w:val="auto"/>
              <w:rPr>
                <w:rFonts w:hint="eastAsia" w:ascii="宋体" w:hAnsi="宋体" w:eastAsia="宋体" w:cs="宋体"/>
                <w:b/>
                <w:bCs/>
                <w:kern w:val="2"/>
                <w:sz w:val="24"/>
                <w:szCs w:val="24"/>
                <w:lang w:val="zh-CN" w:eastAsia="zh-CN" w:bidi="ar-SA"/>
              </w:rPr>
            </w:pPr>
            <w:r>
              <w:rPr>
                <w:rFonts w:hint="eastAsia" w:ascii="宋体" w:hAnsi="宋体" w:eastAsia="宋体" w:cs="宋体"/>
                <w:b/>
                <w:bCs/>
                <w:kern w:val="2"/>
                <w:sz w:val="24"/>
                <w:szCs w:val="24"/>
                <w:lang w:val="zh-CN" w:eastAsia="zh-CN" w:bidi="ar-SA"/>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center"/>
              <w:textAlignment w:val="auto"/>
              <w:rPr>
                <w:rFonts w:hint="eastAsia" w:ascii="宋体" w:hAnsi="宋体" w:eastAsia="宋体" w:cs="宋体"/>
                <w:bCs/>
                <w:kern w:val="0"/>
                <w:sz w:val="24"/>
                <w:szCs w:val="24"/>
                <w:lang w:val="zh-CN" w:eastAsia="zh-CN" w:bidi="ar-SA"/>
              </w:rPr>
            </w:pPr>
            <w:r>
              <w:rPr>
                <w:rFonts w:hint="eastAsia" w:ascii="宋体" w:hAnsi="宋体" w:eastAsia="宋体" w:cs="宋体"/>
                <w:bCs/>
                <w:kern w:val="0"/>
                <w:sz w:val="24"/>
                <w:szCs w:val="24"/>
                <w:lang w:val="zh-CN"/>
              </w:rPr>
              <w:t>1.1.2</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采购人</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eastAsia" w:ascii="宋体" w:hAnsi="宋体" w:eastAsia="宋体" w:cs="宋体"/>
                <w:kern w:val="0"/>
                <w:sz w:val="24"/>
                <w:szCs w:val="21"/>
                <w:u w:val="none"/>
                <w:lang w:val="en-US" w:eastAsia="zh-CN" w:bidi="ar-SA"/>
              </w:rPr>
            </w:pPr>
            <w:r>
              <w:rPr>
                <w:rFonts w:hint="eastAsia" w:ascii="宋体" w:hAnsi="宋体" w:eastAsia="宋体" w:cs="宋体"/>
                <w:kern w:val="0"/>
                <w:sz w:val="24"/>
                <w:szCs w:val="21"/>
                <w:u w:val="none"/>
                <w:lang w:val="en-US" w:eastAsia="zh-CN" w:bidi="ar-SA"/>
              </w:rPr>
              <w:t>名    称：吉林市龙潭区住房和城乡建设局（吉林市龙潭区城市管理行政执法局）</w:t>
            </w:r>
          </w:p>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eastAsia" w:ascii="宋体" w:hAnsi="宋体" w:eastAsia="宋体" w:cs="宋体"/>
                <w:kern w:val="0"/>
                <w:sz w:val="24"/>
                <w:szCs w:val="21"/>
                <w:u w:val="none"/>
                <w:lang w:val="en-US" w:eastAsia="zh-CN" w:bidi="ar-SA"/>
              </w:rPr>
            </w:pPr>
            <w:r>
              <w:rPr>
                <w:rFonts w:hint="eastAsia" w:ascii="宋体" w:hAnsi="宋体" w:eastAsia="宋体" w:cs="宋体"/>
                <w:kern w:val="0"/>
                <w:sz w:val="24"/>
                <w:szCs w:val="21"/>
                <w:u w:val="none"/>
                <w:lang w:val="en-US" w:eastAsia="zh-CN" w:bidi="ar-SA"/>
              </w:rPr>
              <w:t>地    址：吉林市龙潭区南宁路5号</w:t>
            </w:r>
          </w:p>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eastAsia" w:ascii="宋体" w:hAnsi="宋体" w:eastAsia="宋体" w:cs="宋体"/>
                <w:kern w:val="0"/>
                <w:sz w:val="24"/>
                <w:szCs w:val="21"/>
                <w:u w:val="single"/>
                <w:lang w:val="en-US" w:eastAsia="zh-CN" w:bidi="ar-SA"/>
              </w:rPr>
            </w:pPr>
            <w:r>
              <w:rPr>
                <w:rFonts w:hint="eastAsia" w:ascii="宋体" w:hAnsi="宋体" w:eastAsia="宋体" w:cs="宋体"/>
                <w:kern w:val="0"/>
                <w:sz w:val="24"/>
                <w:szCs w:val="21"/>
                <w:u w:val="none"/>
                <w:lang w:val="en-US" w:eastAsia="zh-CN" w:bidi="ar-SA"/>
              </w:rPr>
              <w:t>联系方式：张习文 0432-63041993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center"/>
              <w:textAlignment w:val="auto"/>
              <w:rPr>
                <w:rFonts w:hint="eastAsia" w:ascii="宋体" w:hAnsi="宋体" w:eastAsia="宋体" w:cs="宋体"/>
                <w:bCs/>
                <w:kern w:val="0"/>
                <w:sz w:val="24"/>
                <w:szCs w:val="24"/>
                <w:lang w:val="zh-CN" w:eastAsia="zh-CN" w:bidi="ar-SA"/>
              </w:rPr>
            </w:pPr>
            <w:r>
              <w:rPr>
                <w:rFonts w:hint="eastAsia" w:ascii="宋体" w:hAnsi="宋体" w:eastAsia="宋体" w:cs="宋体"/>
                <w:bCs/>
                <w:kern w:val="0"/>
                <w:sz w:val="24"/>
                <w:szCs w:val="24"/>
                <w:lang w:val="zh-CN"/>
              </w:rPr>
              <w:t>1.1.3</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采购代理机构</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名    称：吉林玖远项目管理有限公司</w:t>
            </w:r>
            <w:r>
              <w:rPr>
                <w:rFonts w:hint="eastAsia" w:ascii="宋体" w:hAnsi="宋体" w:eastAsia="宋体" w:cs="宋体"/>
                <w:kern w:val="0"/>
                <w:sz w:val="24"/>
                <w:szCs w:val="24"/>
                <w:lang w:val="en-US" w:eastAsia="zh-CN" w:bidi="ar-SA"/>
              </w:rPr>
              <w:tab/>
            </w:r>
          </w:p>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地    址：吉林市高新技术产业开发区深东路1666号201室</w:t>
            </w:r>
          </w:p>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联系方式：吴玉凤 15590068486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center"/>
              <w:textAlignment w:val="auto"/>
              <w:rPr>
                <w:rFonts w:hint="eastAsia" w:ascii="宋体" w:hAnsi="宋体" w:eastAsia="宋体" w:cs="宋体"/>
                <w:bCs/>
                <w:kern w:val="0"/>
                <w:sz w:val="24"/>
                <w:szCs w:val="24"/>
                <w:highlight w:val="none"/>
                <w:lang w:val="zh-CN" w:eastAsia="zh-CN" w:bidi="ar-SA"/>
              </w:rPr>
            </w:pPr>
            <w:r>
              <w:rPr>
                <w:rFonts w:hint="eastAsia" w:ascii="宋体" w:hAnsi="宋体" w:eastAsia="宋体" w:cs="宋体"/>
                <w:bCs/>
                <w:kern w:val="0"/>
                <w:sz w:val="24"/>
                <w:szCs w:val="24"/>
                <w:highlight w:val="none"/>
                <w:lang w:val="zh-CN"/>
              </w:rPr>
              <w:t>1.1.4</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 w:val="0"/>
                <w:bCs/>
                <w:kern w:val="2"/>
                <w:sz w:val="24"/>
                <w:szCs w:val="24"/>
                <w:highlight w:val="none"/>
                <w:lang w:val="zh-CN"/>
              </w:rPr>
            </w:pPr>
            <w:r>
              <w:rPr>
                <w:rFonts w:hint="eastAsia" w:ascii="宋体" w:hAnsi="宋体" w:eastAsia="宋体" w:cs="宋体"/>
                <w:b w:val="0"/>
                <w:bCs/>
                <w:kern w:val="2"/>
                <w:sz w:val="24"/>
                <w:szCs w:val="24"/>
                <w:highlight w:val="none"/>
                <w:lang w:val="zh-CN"/>
              </w:rPr>
              <w:t>项目名称</w:t>
            </w: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b w:val="0"/>
                <w:bCs/>
                <w:kern w:val="0"/>
                <w:sz w:val="24"/>
                <w:szCs w:val="24"/>
                <w:highlight w:val="none"/>
                <w:lang w:val="en-US" w:eastAsia="zh-CN" w:bidi="ar-SA"/>
              </w:rPr>
            </w:pPr>
            <w:r>
              <w:rPr>
                <w:rFonts w:hint="eastAsia" w:ascii="宋体" w:hAnsi="宋体" w:eastAsia="宋体" w:cs="宋体"/>
                <w:sz w:val="24"/>
                <w:szCs w:val="24"/>
              </w:rPr>
              <w:t>龙潭区2026年上半年随见修工程（零星维修工程）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center"/>
              <w:textAlignment w:val="auto"/>
              <w:rPr>
                <w:rFonts w:hint="eastAsia" w:ascii="宋体" w:hAnsi="宋体" w:eastAsia="宋体" w:cs="宋体"/>
                <w:bCs/>
                <w:kern w:val="0"/>
                <w:sz w:val="24"/>
                <w:szCs w:val="24"/>
                <w:lang w:val="zh-CN" w:eastAsia="zh-CN" w:bidi="ar-SA"/>
              </w:rPr>
            </w:pPr>
            <w:r>
              <w:rPr>
                <w:rFonts w:hint="eastAsia" w:ascii="宋体" w:hAnsi="宋体" w:eastAsia="宋体" w:cs="宋体"/>
                <w:bCs/>
                <w:kern w:val="0"/>
                <w:sz w:val="24"/>
                <w:szCs w:val="24"/>
                <w:lang w:val="zh-CN"/>
              </w:rPr>
              <w:t>1.1.5</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建设地点</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吉林市龙潭区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center"/>
              <w:textAlignment w:val="auto"/>
              <w:rPr>
                <w:rFonts w:hint="eastAsia" w:ascii="宋体" w:hAnsi="宋体" w:eastAsia="宋体" w:cs="宋体"/>
                <w:bCs/>
                <w:kern w:val="0"/>
                <w:sz w:val="24"/>
                <w:szCs w:val="24"/>
                <w:lang w:val="zh-CN" w:eastAsia="zh-CN" w:bidi="ar-SA"/>
              </w:rPr>
            </w:pPr>
            <w:r>
              <w:rPr>
                <w:rFonts w:hint="eastAsia" w:ascii="宋体" w:hAnsi="宋体" w:eastAsia="宋体" w:cs="宋体"/>
                <w:bCs/>
                <w:kern w:val="0"/>
                <w:sz w:val="24"/>
                <w:szCs w:val="24"/>
                <w:lang w:val="zh-CN"/>
              </w:rPr>
              <w:t>l.2.1</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highlight w:val="green"/>
                <w:lang w:val="zh-CN"/>
              </w:rPr>
            </w:pPr>
            <w:r>
              <w:rPr>
                <w:rFonts w:hint="eastAsia" w:ascii="宋体" w:hAnsi="宋体" w:eastAsia="宋体" w:cs="宋体"/>
                <w:bCs/>
                <w:kern w:val="2"/>
                <w:sz w:val="24"/>
                <w:szCs w:val="24"/>
                <w:highlight w:val="none"/>
                <w:lang w:val="zh-CN"/>
              </w:rPr>
              <w:t>资金来源</w:t>
            </w: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default" w:ascii="宋体" w:hAnsi="宋体" w:eastAsia="宋体" w:cs="宋体"/>
                <w:kern w:val="0"/>
                <w:sz w:val="24"/>
                <w:szCs w:val="24"/>
                <w:lang w:val="en-US" w:eastAsia="zh-CN" w:bidi="ar-SA"/>
              </w:rPr>
            </w:pPr>
            <w:r>
              <w:rPr>
                <w:rFonts w:hint="eastAsia" w:ascii="宋体" w:hAnsi="宋体" w:cs="宋体"/>
                <w:sz w:val="24"/>
                <w:szCs w:val="24"/>
                <w:lang w:val="en-US" w:eastAsia="zh-CN"/>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center"/>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1.2.2</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color w:val="auto"/>
                <w:kern w:val="2"/>
                <w:sz w:val="24"/>
                <w:szCs w:val="24"/>
                <w:highlight w:val="none"/>
                <w:lang w:val="zh-CN"/>
              </w:rPr>
            </w:pPr>
            <w:r>
              <w:rPr>
                <w:rFonts w:hint="eastAsia" w:ascii="宋体" w:hAnsi="宋体" w:eastAsia="宋体" w:cs="宋体"/>
                <w:bCs/>
                <w:color w:val="auto"/>
                <w:kern w:val="2"/>
                <w:sz w:val="24"/>
                <w:szCs w:val="24"/>
                <w:highlight w:val="none"/>
                <w:lang w:val="zh-CN"/>
              </w:rPr>
              <w:t>出资比例</w:t>
            </w: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100</w:t>
            </w:r>
            <w:r>
              <w:rPr>
                <w:rFonts w:hint="eastAsia" w:ascii="宋体" w:hAnsi="宋体" w:eastAsia="宋体" w:cs="宋体"/>
                <w:color w:val="auto"/>
                <w:kern w:val="0"/>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center"/>
              <w:textAlignment w:val="auto"/>
              <w:rPr>
                <w:rFonts w:hint="eastAsia" w:ascii="宋体" w:hAnsi="宋体" w:eastAsia="宋体" w:cs="宋体"/>
                <w:bCs/>
                <w:kern w:val="0"/>
                <w:sz w:val="24"/>
                <w:szCs w:val="24"/>
                <w:lang w:val="zh-CN" w:eastAsia="zh-CN" w:bidi="ar-SA"/>
              </w:rPr>
            </w:pPr>
            <w:r>
              <w:rPr>
                <w:rFonts w:hint="eastAsia" w:ascii="宋体" w:hAnsi="宋体" w:eastAsia="宋体" w:cs="宋体"/>
                <w:bCs/>
                <w:kern w:val="0"/>
                <w:sz w:val="24"/>
                <w:szCs w:val="24"/>
                <w:lang w:val="zh-CN"/>
              </w:rPr>
              <w:t>1.2.</w:t>
            </w:r>
            <w:r>
              <w:rPr>
                <w:rFonts w:hint="eastAsia" w:ascii="宋体" w:hAnsi="宋体" w:eastAsia="宋体" w:cs="宋体"/>
                <w:bCs/>
                <w:kern w:val="0"/>
                <w:sz w:val="24"/>
                <w:szCs w:val="24"/>
                <w:lang w:val="en-US" w:eastAsia="zh-CN"/>
              </w:rPr>
              <w:t>3</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资金落实情况</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center"/>
              <w:textAlignment w:val="auto"/>
              <w:rPr>
                <w:rFonts w:hint="eastAsia" w:ascii="宋体" w:hAnsi="宋体" w:eastAsia="宋体" w:cs="宋体"/>
                <w:bCs/>
                <w:kern w:val="0"/>
                <w:sz w:val="24"/>
                <w:szCs w:val="24"/>
                <w:lang w:val="zh-CN" w:eastAsia="zh-CN" w:bidi="ar-SA"/>
              </w:rPr>
            </w:pPr>
            <w:r>
              <w:rPr>
                <w:rFonts w:hint="eastAsia" w:ascii="宋体" w:hAnsi="宋体" w:eastAsia="宋体" w:cs="宋体"/>
                <w:bCs/>
                <w:kern w:val="0"/>
                <w:sz w:val="24"/>
                <w:szCs w:val="24"/>
                <w:lang w:val="zh-CN"/>
              </w:rPr>
              <w:t>1.3.1</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招标范围</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2"/>
                <w:sz w:val="24"/>
                <w:szCs w:val="24"/>
              </w:rPr>
              <w:t>工程量清单范围内的所有工程施工</w:t>
            </w:r>
            <w:r>
              <w:rPr>
                <w:rFonts w:hint="eastAsia" w:ascii="宋体" w:hAnsi="宋体" w:eastAsia="宋体" w:cs="宋体"/>
                <w:sz w:val="24"/>
              </w:rPr>
              <w:t>（具体详见</w:t>
            </w:r>
            <w:r>
              <w:rPr>
                <w:rFonts w:hint="eastAsia" w:ascii="宋体" w:hAnsi="宋体" w:cs="宋体"/>
                <w:sz w:val="24"/>
                <w:lang w:eastAsia="zh-CN"/>
              </w:rPr>
              <w:t>工程量清单</w:t>
            </w: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center"/>
              <w:textAlignment w:val="auto"/>
              <w:rPr>
                <w:rFonts w:hint="eastAsia" w:ascii="宋体" w:hAnsi="宋体" w:eastAsia="宋体" w:cs="宋体"/>
                <w:bCs/>
                <w:kern w:val="0"/>
                <w:sz w:val="24"/>
                <w:szCs w:val="24"/>
                <w:lang w:val="zh-CN" w:eastAsia="zh-CN" w:bidi="ar-SA"/>
              </w:rPr>
            </w:pPr>
            <w:r>
              <w:rPr>
                <w:rFonts w:hint="eastAsia" w:ascii="宋体" w:hAnsi="宋体" w:eastAsia="宋体" w:cs="宋体"/>
                <w:bCs/>
                <w:kern w:val="0"/>
                <w:sz w:val="24"/>
                <w:szCs w:val="24"/>
                <w:lang w:val="zh-CN"/>
              </w:rPr>
              <w:t>1.3.2</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highlight w:val="none"/>
                <w:lang w:val="zh-CN"/>
              </w:rPr>
            </w:pPr>
            <w:r>
              <w:rPr>
                <w:rFonts w:hint="eastAsia" w:ascii="宋体" w:hAnsi="宋体" w:eastAsia="宋体" w:cs="宋体"/>
                <w:bCs/>
                <w:kern w:val="2"/>
                <w:sz w:val="24"/>
                <w:szCs w:val="24"/>
                <w:highlight w:val="none"/>
                <w:lang w:val="zh-CN"/>
              </w:rPr>
              <w:t>计划工期</w:t>
            </w: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kern w:val="2"/>
                <w:sz w:val="24"/>
                <w:szCs w:val="24"/>
                <w:highlight w:val="none"/>
                <w:lang w:val="en-US" w:eastAsia="zh-CN"/>
              </w:rPr>
              <w:t>202</w:t>
            </w:r>
            <w:r>
              <w:rPr>
                <w:rFonts w:hint="eastAsia" w:ascii="宋体" w:hAnsi="宋体" w:cs="宋体"/>
                <w:kern w:val="2"/>
                <w:sz w:val="24"/>
                <w:szCs w:val="24"/>
                <w:highlight w:val="none"/>
                <w:lang w:val="en-US" w:eastAsia="zh-CN"/>
              </w:rPr>
              <w:t>6</w:t>
            </w:r>
            <w:r>
              <w:rPr>
                <w:rFonts w:hint="eastAsia" w:ascii="宋体" w:hAnsi="宋体" w:eastAsia="宋体" w:cs="宋体"/>
                <w:kern w:val="2"/>
                <w:sz w:val="24"/>
                <w:szCs w:val="24"/>
                <w:highlight w:val="none"/>
                <w:lang w:val="en-US" w:eastAsia="zh-CN"/>
              </w:rPr>
              <w:t>年</w:t>
            </w:r>
            <w:r>
              <w:rPr>
                <w:rFonts w:hint="eastAsia" w:ascii="宋体" w:hAnsi="宋体" w:cs="宋体"/>
                <w:kern w:val="2"/>
                <w:sz w:val="24"/>
                <w:szCs w:val="24"/>
                <w:highlight w:val="none"/>
                <w:lang w:val="en-US" w:eastAsia="zh-CN"/>
              </w:rPr>
              <w:t>06</w:t>
            </w:r>
            <w:r>
              <w:rPr>
                <w:rFonts w:hint="eastAsia" w:ascii="宋体" w:hAnsi="宋体" w:eastAsia="宋体" w:cs="宋体"/>
                <w:kern w:val="2"/>
                <w:sz w:val="24"/>
                <w:szCs w:val="24"/>
                <w:highlight w:val="none"/>
                <w:lang w:val="en-US" w:eastAsia="zh-CN"/>
              </w:rPr>
              <w:t>月</w:t>
            </w:r>
            <w:r>
              <w:rPr>
                <w:rFonts w:hint="eastAsia" w:ascii="宋体" w:hAnsi="宋体" w:cs="宋体"/>
                <w:kern w:val="2"/>
                <w:sz w:val="24"/>
                <w:szCs w:val="24"/>
                <w:highlight w:val="none"/>
                <w:lang w:val="en-US" w:eastAsia="zh-CN"/>
              </w:rPr>
              <w:t>08</w:t>
            </w:r>
            <w:r>
              <w:rPr>
                <w:rFonts w:hint="eastAsia" w:ascii="宋体" w:hAnsi="宋体" w:eastAsia="宋体" w:cs="宋体"/>
                <w:kern w:val="2"/>
                <w:sz w:val="24"/>
                <w:szCs w:val="24"/>
                <w:highlight w:val="none"/>
                <w:lang w:val="en-US" w:eastAsia="zh-CN"/>
              </w:rPr>
              <w:t>日-2025年</w:t>
            </w:r>
            <w:r>
              <w:rPr>
                <w:rFonts w:hint="eastAsia" w:ascii="宋体" w:hAnsi="宋体" w:cs="宋体"/>
                <w:kern w:val="2"/>
                <w:sz w:val="24"/>
                <w:szCs w:val="24"/>
                <w:highlight w:val="none"/>
                <w:lang w:val="en-US" w:eastAsia="zh-CN"/>
              </w:rPr>
              <w:t>07</w:t>
            </w:r>
            <w:r>
              <w:rPr>
                <w:rFonts w:hint="eastAsia" w:ascii="宋体" w:hAnsi="宋体" w:eastAsia="宋体" w:cs="宋体"/>
                <w:kern w:val="2"/>
                <w:sz w:val="24"/>
                <w:szCs w:val="24"/>
                <w:highlight w:val="none"/>
                <w:lang w:val="en-US" w:eastAsia="zh-CN"/>
              </w:rPr>
              <w:t>月</w:t>
            </w:r>
            <w:r>
              <w:rPr>
                <w:rFonts w:hint="eastAsia" w:ascii="宋体" w:hAnsi="宋体" w:cs="宋体"/>
                <w:kern w:val="2"/>
                <w:sz w:val="24"/>
                <w:szCs w:val="24"/>
                <w:highlight w:val="none"/>
                <w:lang w:val="en-US" w:eastAsia="zh-CN"/>
              </w:rPr>
              <w:t>30</w:t>
            </w:r>
            <w:r>
              <w:rPr>
                <w:rFonts w:hint="eastAsia" w:ascii="宋体" w:hAnsi="宋体" w:eastAsia="宋体" w:cs="宋体"/>
                <w:kern w:val="2"/>
                <w:sz w:val="24"/>
                <w:szCs w:val="24"/>
                <w:highlight w:val="none"/>
                <w:lang w:val="en-US" w:eastAsia="zh-CN"/>
              </w:rPr>
              <w:t>日，共计</w:t>
            </w:r>
            <w:r>
              <w:rPr>
                <w:rFonts w:hint="eastAsia" w:ascii="宋体" w:hAnsi="宋体" w:cs="宋体"/>
                <w:kern w:val="2"/>
                <w:sz w:val="24"/>
                <w:szCs w:val="24"/>
                <w:highlight w:val="none"/>
                <w:lang w:val="en-US" w:eastAsia="zh-CN"/>
              </w:rPr>
              <w:t>52</w:t>
            </w:r>
            <w:r>
              <w:rPr>
                <w:rFonts w:hint="eastAsia" w:ascii="宋体" w:hAnsi="宋体" w:eastAsia="宋体" w:cs="宋体"/>
                <w:kern w:val="2"/>
                <w:sz w:val="24"/>
                <w:szCs w:val="24"/>
                <w:highlight w:val="none"/>
                <w:lang w:val="en-US" w:eastAsia="zh-CN"/>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1.3.3</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质量</w:t>
            </w:r>
            <w:r>
              <w:rPr>
                <w:rFonts w:hint="eastAsia" w:ascii="宋体" w:hAnsi="宋体" w:cs="宋体"/>
                <w:bCs/>
                <w:kern w:val="2"/>
                <w:sz w:val="24"/>
                <w:szCs w:val="24"/>
                <w:lang w:val="zh-CN"/>
              </w:rPr>
              <w:t>标准</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kern w:val="0"/>
                <w:sz w:val="24"/>
                <w:szCs w:val="24"/>
                <w:lang w:val="zh-CN" w:eastAsia="zh-CN" w:bidi="ar-SA"/>
              </w:rPr>
            </w:pPr>
            <w:r>
              <w:rPr>
                <w:rFonts w:hint="eastAsia" w:ascii="宋体" w:hAnsi="宋体" w:eastAsia="宋体" w:cs="宋体"/>
                <w:kern w:val="2"/>
                <w:sz w:val="24"/>
                <w:szCs w:val="24"/>
                <w:highlight w:val="none"/>
              </w:rPr>
              <w:t>符合现行国家有关工程施工</w:t>
            </w:r>
            <w:r>
              <w:rPr>
                <w:rFonts w:hint="eastAsia" w:ascii="宋体" w:hAnsi="宋体" w:eastAsia="宋体" w:cs="宋体"/>
                <w:kern w:val="2"/>
                <w:sz w:val="24"/>
                <w:szCs w:val="24"/>
                <w:highlight w:val="none"/>
                <w:lang w:eastAsia="zh-CN"/>
              </w:rPr>
              <w:t>质量</w:t>
            </w:r>
            <w:r>
              <w:rPr>
                <w:rFonts w:hint="eastAsia" w:ascii="宋体" w:hAnsi="宋体" w:eastAsia="宋体" w:cs="宋体"/>
                <w:kern w:val="2"/>
                <w:sz w:val="24"/>
                <w:szCs w:val="24"/>
                <w:highlight w:val="none"/>
              </w:rPr>
              <w:t>验收规范和标准的合格要求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1.4.1</w:t>
            </w:r>
          </w:p>
        </w:tc>
        <w:tc>
          <w:tcPr>
            <w:tcW w:w="1712" w:type="dxa"/>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kern w:val="0"/>
                <w:sz w:val="24"/>
                <w:szCs w:val="21"/>
                <w:highlight w:val="none"/>
                <w:lang w:val="zh-CN" w:eastAsia="zh-CN" w:bidi="ar-SA"/>
              </w:rPr>
            </w:pPr>
            <w:r>
              <w:rPr>
                <w:rFonts w:hint="eastAsia" w:ascii="宋体" w:hAnsi="宋体" w:eastAsia="宋体" w:cs="宋体"/>
                <w:kern w:val="0"/>
                <w:sz w:val="24"/>
                <w:highlight w:val="none"/>
                <w:lang w:val="zh-CN"/>
              </w:rPr>
              <w:t>供应商资质条件、能力和信誉</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1、满足《中华人民共和国政府采购法》第二十二条规定：</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(1)具有独立承担民事责任的能力；</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(2)具有良好的商业信誉和健全的财务会计制度；</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(3)具有履行合同所必需的设备和专业技术能力；</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(4)有依法缴纳税收和社会保障资金的良好记录；</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(5)参加政府采购活动前三年内，在经营活动中没有重大违法记录；</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(6)法律、行政法规规定的其他条件。</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2、落实政府采购政策需满足的资格要求：本次招标活动对于满足国家采购政策要求的</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按照相关规定的扶持政策执行，具体详见</w:t>
            </w:r>
            <w:r>
              <w:rPr>
                <w:rFonts w:hint="eastAsia" w:ascii="宋体" w:hAnsi="宋体" w:eastAsia="宋体" w:cs="宋体"/>
                <w:bCs/>
                <w:sz w:val="24"/>
                <w:szCs w:val="24"/>
                <w:highlight w:val="none"/>
                <w:lang w:eastAsia="zh-CN"/>
              </w:rPr>
              <w:t>磋商文件</w:t>
            </w:r>
            <w:r>
              <w:rPr>
                <w:rFonts w:hint="eastAsia" w:ascii="宋体" w:hAnsi="宋体" w:eastAsia="宋体" w:cs="宋体"/>
                <w:bCs/>
                <w:sz w:val="24"/>
                <w:szCs w:val="24"/>
                <w:highlight w:val="none"/>
              </w:rPr>
              <w:t>。</w:t>
            </w:r>
          </w:p>
          <w:p>
            <w:pPr>
              <w:widowControl w:val="0"/>
              <w:autoSpaceDE w:val="0"/>
              <w:spacing w:line="44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3、本项目的特定资格要求：以下资格证明材料的具体要求详见</w:t>
            </w:r>
            <w:r>
              <w:rPr>
                <w:rFonts w:hint="eastAsia" w:ascii="宋体" w:hAnsi="宋体" w:eastAsia="宋体" w:cs="宋体"/>
                <w:bCs/>
                <w:sz w:val="24"/>
                <w:szCs w:val="24"/>
                <w:highlight w:val="none"/>
                <w:lang w:eastAsia="zh-CN"/>
              </w:rPr>
              <w:t>磋商文件</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参加政府采购活动必须提供下列满足《中华人民共和国政府采购法》第二十二条规定的资格证明材料：1）法人或者其他组织的营业执照等证明文件、自然人的身份证明；2）财务状况报告，依法缴纳税收和社会保障资金的相关材料；3）具备履行合同所必需的设备和专业技术能力的证明材料；4）参加政府采购活动前3年内在经营活动中没有重大违法记录的书面声明；5）具备法律、行政法规规定的其他条件的证明材料；</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lang w:val="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val="zh-CN"/>
              </w:rPr>
              <w:t>）资质要求：</w:t>
            </w:r>
            <w:r>
              <w:rPr>
                <w:rFonts w:hint="eastAsia" w:ascii="宋体" w:hAnsi="宋体" w:eastAsia="宋体" w:cs="宋体"/>
                <w:spacing w:val="0"/>
                <w:sz w:val="24"/>
                <w:highlight w:val="none"/>
              </w:rPr>
              <w:t>本次招标要</w:t>
            </w:r>
            <w:r>
              <w:rPr>
                <w:rFonts w:hint="eastAsia" w:ascii="宋体" w:hAnsi="宋体" w:eastAsia="宋体" w:cs="宋体"/>
                <w:spacing w:val="0"/>
                <w:sz w:val="24"/>
                <w:highlight w:val="none"/>
                <w:lang w:val="zh-CN"/>
              </w:rPr>
              <w:t>求</w:t>
            </w:r>
            <w:r>
              <w:rPr>
                <w:rFonts w:hint="eastAsia" w:ascii="宋体" w:hAnsi="宋体" w:eastAsia="宋体" w:cs="宋体"/>
                <w:spacing w:val="0"/>
                <w:sz w:val="24"/>
                <w:highlight w:val="none"/>
                <w:lang w:eastAsia="zh-CN"/>
              </w:rPr>
              <w:t>供应商</w:t>
            </w:r>
            <w:r>
              <w:rPr>
                <w:rFonts w:hint="eastAsia" w:ascii="宋体" w:hAnsi="宋体" w:eastAsia="宋体" w:cs="宋体"/>
                <w:spacing w:val="0"/>
                <w:sz w:val="24"/>
                <w:highlight w:val="none"/>
              </w:rPr>
              <w:t>须</w:t>
            </w:r>
            <w:r>
              <w:rPr>
                <w:rFonts w:hint="eastAsia" w:ascii="宋体" w:hAnsi="宋体" w:eastAsia="宋体" w:cs="宋体"/>
                <w:spacing w:val="0"/>
                <w:kern w:val="2"/>
                <w:sz w:val="24"/>
                <w:highlight w:val="none"/>
              </w:rPr>
              <w:t>具备</w:t>
            </w:r>
            <w:r>
              <w:rPr>
                <w:rFonts w:hint="eastAsia" w:ascii="宋体" w:hAnsi="宋体" w:eastAsia="宋体" w:cs="宋体"/>
                <w:color w:val="auto"/>
                <w:spacing w:val="0"/>
                <w:kern w:val="2"/>
                <w:sz w:val="24"/>
                <w:highlight w:val="none"/>
              </w:rPr>
              <w:t>建设行政主管部门核发的</w:t>
            </w:r>
            <w:r>
              <w:rPr>
                <w:rFonts w:hint="eastAsia" w:ascii="宋体" w:hAnsi="宋体" w:eastAsia="宋体" w:cs="宋体"/>
                <w:b/>
                <w:bCs/>
                <w:color w:val="auto"/>
                <w:spacing w:val="0"/>
                <w:kern w:val="2"/>
                <w:sz w:val="24"/>
                <w:highlight w:val="none"/>
              </w:rPr>
              <w:t>市政公用工程</w:t>
            </w:r>
            <w:r>
              <w:rPr>
                <w:rFonts w:hint="eastAsia" w:ascii="宋体" w:hAnsi="宋体"/>
                <w:color w:val="auto"/>
                <w:sz w:val="24"/>
                <w:szCs w:val="24"/>
                <w:highlight w:val="none"/>
                <w:lang w:val="zh-CN"/>
              </w:rPr>
              <w:t>施工总承包</w:t>
            </w:r>
            <w:r>
              <w:rPr>
                <w:rFonts w:hint="eastAsia" w:ascii="宋体" w:hAnsi="宋体"/>
                <w:b/>
                <w:bCs/>
                <w:color w:val="auto"/>
                <w:sz w:val="24"/>
                <w:szCs w:val="24"/>
                <w:highlight w:val="none"/>
                <w:lang w:val="en-US" w:eastAsia="zh-CN"/>
              </w:rPr>
              <w:t>贰</w:t>
            </w:r>
            <w:r>
              <w:rPr>
                <w:rFonts w:hint="eastAsia" w:ascii="宋体" w:hAnsi="宋体"/>
                <w:color w:val="auto"/>
                <w:sz w:val="24"/>
                <w:szCs w:val="24"/>
                <w:highlight w:val="none"/>
                <w:lang w:val="zh-CN"/>
              </w:rPr>
              <w:t>级</w:t>
            </w:r>
            <w:r>
              <w:rPr>
                <w:rFonts w:hint="eastAsia" w:ascii="宋体" w:hAnsi="宋体" w:eastAsia="宋体" w:cs="宋体"/>
                <w:color w:val="auto"/>
                <w:sz w:val="24"/>
                <w:szCs w:val="24"/>
                <w:highlight w:val="none"/>
                <w:lang w:val="en-US" w:eastAsia="zh-CN"/>
              </w:rPr>
              <w:t>及以上资质</w:t>
            </w:r>
            <w:r>
              <w:rPr>
                <w:rFonts w:hint="eastAsia" w:ascii="宋体" w:hAnsi="宋体" w:eastAsia="宋体" w:cs="宋体"/>
                <w:color w:val="auto"/>
                <w:spacing w:val="0"/>
                <w:kern w:val="2"/>
                <w:sz w:val="24"/>
                <w:highlight w:val="none"/>
              </w:rPr>
              <w:t>的法人或其他组织</w:t>
            </w:r>
            <w:r>
              <w:rPr>
                <w:rFonts w:hint="eastAsia" w:ascii="宋体" w:hAnsi="宋体" w:eastAsia="宋体" w:cs="宋体"/>
                <w:spacing w:val="0"/>
                <w:kern w:val="2"/>
                <w:sz w:val="24"/>
                <w:highlight w:val="none"/>
              </w:rPr>
              <w:t>，并在人员、设备、资金等方面具有相应的施工能力</w:t>
            </w:r>
            <w:r>
              <w:rPr>
                <w:rFonts w:hint="eastAsia" w:ascii="宋体" w:hAnsi="宋体" w:eastAsia="宋体" w:cs="宋体"/>
                <w:bCs/>
                <w:sz w:val="24"/>
                <w:szCs w:val="24"/>
                <w:highlight w:val="none"/>
                <w:lang w:val="zh-CN"/>
              </w:rPr>
              <w:t>。</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cs="宋体"/>
                <w:sz w:val="24"/>
                <w:szCs w:val="24"/>
                <w:lang w:val="en-US" w:eastAsia="zh-CN"/>
              </w:rPr>
              <w:t>3</w:t>
            </w:r>
            <w:r>
              <w:rPr>
                <w:rFonts w:hint="eastAsia" w:ascii="宋体" w:hAnsi="宋体" w:eastAsia="宋体" w:cs="宋体"/>
                <w:sz w:val="24"/>
                <w:szCs w:val="24"/>
                <w:lang w:val="zh-CN"/>
              </w:rPr>
              <w:t>）信誉要求：</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cs="宋体"/>
                <w:sz w:val="24"/>
                <w:szCs w:val="24"/>
                <w:lang w:val="en-US" w:eastAsia="zh-CN"/>
              </w:rPr>
              <w:t>3</w:t>
            </w:r>
            <w:r>
              <w:rPr>
                <w:rFonts w:hint="eastAsia" w:ascii="宋体" w:hAnsi="宋体" w:eastAsia="宋体" w:cs="宋体"/>
                <w:sz w:val="24"/>
                <w:szCs w:val="24"/>
              </w:rPr>
              <w:t>.1）</w:t>
            </w:r>
            <w:r>
              <w:rPr>
                <w:rFonts w:hint="eastAsia" w:ascii="宋体" w:hAnsi="宋体" w:eastAsia="宋体" w:cs="宋体"/>
                <w:sz w:val="24"/>
                <w:szCs w:val="24"/>
                <w:lang w:val="zh-CN"/>
              </w:rPr>
              <w:t>拒绝列入政府取消投标资格记录期间的企业或个人投标；</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cs="宋体"/>
                <w:sz w:val="24"/>
                <w:szCs w:val="24"/>
                <w:lang w:val="en-US" w:eastAsia="zh-CN"/>
              </w:rPr>
              <w:t>3</w:t>
            </w:r>
            <w:r>
              <w:rPr>
                <w:rFonts w:hint="eastAsia" w:ascii="宋体" w:hAnsi="宋体" w:eastAsia="宋体" w:cs="宋体"/>
                <w:sz w:val="24"/>
                <w:szCs w:val="24"/>
              </w:rPr>
              <w:t>.2</w:t>
            </w:r>
            <w:r>
              <w:rPr>
                <w:rFonts w:hint="eastAsia" w:ascii="宋体" w:hAnsi="宋体" w:eastAsia="宋体" w:cs="宋体"/>
                <w:sz w:val="24"/>
                <w:szCs w:val="24"/>
                <w:lang w:val="zh-CN"/>
              </w:rPr>
              <w:t>）未被列入“失信被执行人、重大税收违法案件当事人”的记录名单（通过“信用中国”网站(www.creditchina.gov.cn)查询）；</w:t>
            </w:r>
          </w:p>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cs="宋体"/>
                <w:sz w:val="24"/>
                <w:szCs w:val="24"/>
                <w:lang w:val="en-US" w:eastAsia="zh-CN"/>
              </w:rPr>
              <w:t>3</w:t>
            </w:r>
            <w:r>
              <w:rPr>
                <w:rFonts w:hint="eastAsia" w:ascii="宋体" w:hAnsi="宋体" w:eastAsia="宋体" w:cs="宋体"/>
                <w:sz w:val="24"/>
                <w:szCs w:val="24"/>
              </w:rPr>
              <w:t>.3</w:t>
            </w:r>
            <w:r>
              <w:rPr>
                <w:rFonts w:hint="eastAsia" w:ascii="宋体" w:hAnsi="宋体" w:eastAsia="宋体" w:cs="宋体"/>
                <w:sz w:val="24"/>
                <w:szCs w:val="24"/>
                <w:lang w:val="zh-CN"/>
              </w:rPr>
              <w:t>）未被列入“政府采购严重违法失信行为记录名单”（通过“中国政府采购网”（www.ccgp.gov.cn）查询）；</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cs="宋体"/>
                <w:sz w:val="24"/>
                <w:szCs w:val="24"/>
                <w:lang w:val="en-US" w:eastAsia="zh-CN"/>
              </w:rPr>
              <w:t>3</w:t>
            </w:r>
            <w:r>
              <w:rPr>
                <w:rFonts w:hint="eastAsia" w:ascii="宋体" w:hAnsi="宋体" w:eastAsia="宋体" w:cs="宋体"/>
                <w:sz w:val="24"/>
                <w:szCs w:val="24"/>
              </w:rPr>
              <w:t>.4</w:t>
            </w:r>
            <w:r>
              <w:rPr>
                <w:rFonts w:hint="eastAsia" w:ascii="宋体" w:hAnsi="宋体" w:eastAsia="宋体" w:cs="宋体"/>
                <w:sz w:val="24"/>
                <w:szCs w:val="24"/>
                <w:lang w:val="zh-CN"/>
              </w:rPr>
              <w:t>）</w:t>
            </w:r>
            <w:r>
              <w:rPr>
                <w:rFonts w:hint="eastAsia" w:ascii="宋体" w:hAnsi="宋体" w:eastAsia="宋体" w:cs="宋体"/>
                <w:color w:val="auto"/>
                <w:sz w:val="24"/>
              </w:rPr>
              <w:t>（裁判日期：20</w:t>
            </w:r>
            <w:r>
              <w:rPr>
                <w:rFonts w:hint="eastAsia" w:ascii="宋体" w:hAnsi="宋体" w:cs="宋体"/>
                <w:color w:val="auto"/>
                <w:sz w:val="24"/>
                <w:lang w:val="en-US" w:eastAsia="zh-CN"/>
              </w:rPr>
              <w:t>22</w:t>
            </w:r>
            <w:r>
              <w:rPr>
                <w:rFonts w:hint="eastAsia" w:ascii="宋体" w:hAnsi="宋体" w:eastAsia="宋体" w:cs="宋体"/>
                <w:color w:val="auto"/>
                <w:sz w:val="24"/>
              </w:rPr>
              <w:t>年1月1日至</w:t>
            </w:r>
            <w:r>
              <w:rPr>
                <w:rFonts w:hint="eastAsia" w:ascii="宋体" w:hAnsi="宋体" w:eastAsia="宋体" w:cs="宋体"/>
                <w:color w:val="auto"/>
                <w:sz w:val="24"/>
                <w:lang w:eastAsia="zh-CN"/>
              </w:rPr>
              <w:t>竞争性磋商公告</w:t>
            </w:r>
            <w:r>
              <w:rPr>
                <w:rFonts w:hint="eastAsia" w:ascii="宋体" w:hAnsi="宋体" w:eastAsia="宋体" w:cs="宋体"/>
                <w:color w:val="auto"/>
                <w:sz w:val="24"/>
              </w:rPr>
              <w:t>发布之日止、案由：行贿）</w:t>
            </w:r>
            <w:r>
              <w:rPr>
                <w:rFonts w:hint="eastAsia" w:ascii="宋体" w:hAnsi="宋体" w:eastAsia="宋体" w:cs="宋体"/>
                <w:sz w:val="24"/>
                <w:szCs w:val="24"/>
                <w:lang w:val="zh-CN"/>
              </w:rPr>
              <w:t>投标单位和个人（指法定代表人、拟委任的项目经理）未在“中国裁判文书网”（wensu.court.gov.cn）上有行贿犯罪行为；</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响应文件内（1）附由法定代表人或其委托代理人签字并加盖投标单位公章的承诺书，（2）至（4）附网站查询截图复印件加盖投标单位公章（所有截图须包括单位名称、查询内容及查询时间，查询时间为竞争性磋商公告发布之日至开标截止之日期间内任意一天）。</w:t>
            </w:r>
          </w:p>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lang w:val="zh-CN"/>
              </w:rPr>
              <w:t>（</w:t>
            </w:r>
            <w:r>
              <w:rPr>
                <w:rFonts w:hint="eastAsia" w:ascii="宋体" w:hAnsi="宋体" w:cs="宋体"/>
                <w:sz w:val="24"/>
                <w:szCs w:val="24"/>
                <w:lang w:val="en-US" w:eastAsia="zh-CN"/>
              </w:rPr>
              <w:t>4</w:t>
            </w:r>
            <w:r>
              <w:rPr>
                <w:rFonts w:hint="eastAsia" w:ascii="宋体" w:hAnsi="宋体" w:eastAsia="宋体" w:cs="宋体"/>
                <w:sz w:val="24"/>
                <w:szCs w:val="24"/>
                <w:lang w:val="zh-CN"/>
              </w:rPr>
              <w:t>）项目经理资格：</w:t>
            </w:r>
            <w:r>
              <w:rPr>
                <w:rFonts w:hint="eastAsia" w:ascii="宋体" w:hAnsi="宋体" w:eastAsia="宋体" w:cs="宋体"/>
                <w:sz w:val="24"/>
                <w:lang w:eastAsia="zh-CN"/>
              </w:rPr>
              <w:t>供应商</w:t>
            </w:r>
            <w:r>
              <w:rPr>
                <w:rFonts w:hint="eastAsia" w:ascii="宋体" w:hAnsi="宋体" w:eastAsia="宋体" w:cs="宋体"/>
                <w:sz w:val="24"/>
              </w:rPr>
              <w:t>拟派项目经理须具备</w:t>
            </w:r>
            <w:r>
              <w:rPr>
                <w:rFonts w:hint="eastAsia" w:ascii="宋体" w:hAnsi="宋体" w:eastAsia="宋体" w:cs="宋体"/>
                <w:spacing w:val="0"/>
                <w:sz w:val="24"/>
              </w:rPr>
              <w:t>国家注册</w:t>
            </w:r>
            <w:r>
              <w:rPr>
                <w:rFonts w:hint="eastAsia" w:ascii="宋体" w:hAnsi="宋体" w:eastAsia="宋体" w:cs="宋体"/>
                <w:b/>
                <w:bCs/>
                <w:spacing w:val="0"/>
                <w:sz w:val="24"/>
              </w:rPr>
              <w:t>市政公用</w:t>
            </w:r>
            <w:r>
              <w:rPr>
                <w:rFonts w:hint="eastAsia" w:ascii="宋体" w:hAnsi="宋体" w:cs="宋体"/>
                <w:b/>
                <w:bCs/>
                <w:spacing w:val="0"/>
                <w:sz w:val="24"/>
                <w:lang w:val="en-US" w:eastAsia="zh-CN"/>
              </w:rPr>
              <w:t>工程</w:t>
            </w:r>
            <w:r>
              <w:rPr>
                <w:rFonts w:hint="eastAsia" w:ascii="宋体" w:hAnsi="宋体" w:eastAsia="宋体" w:cs="宋体"/>
                <w:spacing w:val="0"/>
                <w:sz w:val="24"/>
              </w:rPr>
              <w:t>专业贰级及以上建造师资格</w:t>
            </w:r>
            <w:r>
              <w:rPr>
                <w:rFonts w:hint="eastAsia" w:ascii="宋体" w:hAnsi="宋体" w:eastAsia="宋体" w:cs="宋体"/>
                <w:sz w:val="24"/>
              </w:rPr>
              <w:t>，具备有效的安全生产考核合格证书，且</w:t>
            </w:r>
            <w:r>
              <w:rPr>
                <w:rFonts w:hint="eastAsia" w:ascii="宋体" w:hAnsi="宋体" w:eastAsia="宋体" w:cs="宋体"/>
                <w:sz w:val="24"/>
                <w:highlight w:val="none"/>
                <w:lang w:eastAsia="zh-CN"/>
              </w:rPr>
              <w:t>不得</w:t>
            </w:r>
            <w:r>
              <w:rPr>
                <w:rFonts w:hint="eastAsia" w:ascii="宋体" w:hAnsi="宋体" w:eastAsia="宋体" w:cs="宋体"/>
                <w:sz w:val="24"/>
                <w:highlight w:val="none"/>
              </w:rPr>
              <w:t>担任其他在施建设工程项目的项目经理</w:t>
            </w:r>
            <w:r>
              <w:rPr>
                <w:rFonts w:hint="eastAsia" w:ascii="宋体" w:hAnsi="宋体" w:eastAsia="宋体" w:cs="宋体"/>
                <w:sz w:val="24"/>
                <w:szCs w:val="24"/>
                <w:highlight w:val="none"/>
                <w:lang w:eastAsia="zh-CN"/>
              </w:rPr>
              <w:t>，需提供供应商自行出具的</w:t>
            </w:r>
            <w:r>
              <w:rPr>
                <w:rFonts w:hint="eastAsia" w:ascii="宋体" w:hAnsi="宋体" w:eastAsia="宋体" w:cs="宋体"/>
                <w:sz w:val="24"/>
                <w:szCs w:val="24"/>
                <w:highlight w:val="none"/>
              </w:rPr>
              <w:t>项目经理无在建承诺</w:t>
            </w:r>
            <w:r>
              <w:rPr>
                <w:rFonts w:hint="eastAsia" w:ascii="宋体" w:hAnsi="宋体" w:eastAsia="宋体" w:cs="宋体"/>
                <w:sz w:val="24"/>
                <w:szCs w:val="24"/>
                <w:highlight w:val="none"/>
                <w:lang w:eastAsia="zh-CN"/>
              </w:rPr>
              <w:t>。</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）其他要求：</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1）</w:t>
            </w:r>
            <w:r>
              <w:rPr>
                <w:rFonts w:hint="eastAsia" w:ascii="宋体" w:hAnsi="宋体" w:eastAsia="宋体" w:cs="宋体"/>
                <w:color w:val="auto"/>
                <w:sz w:val="24"/>
                <w:szCs w:val="21"/>
                <w:highlight w:val="none"/>
                <w:lang w:val="en-US" w:eastAsia="zh-CN" w:bidi="ar-SA"/>
              </w:rPr>
              <w:t>单位负责人</w:t>
            </w:r>
            <w:r>
              <w:rPr>
                <w:rFonts w:hint="eastAsia" w:ascii="宋体" w:hAnsi="宋体" w:eastAsia="宋体" w:cs="宋体"/>
                <w:color w:val="auto"/>
                <w:sz w:val="24"/>
                <w:szCs w:val="21"/>
                <w:lang w:val="en-US" w:eastAsia="zh-CN" w:bidi="ar-SA"/>
              </w:rPr>
              <w:t>为同一人或者存在直接控股、管理关系的不同供应商，不得参加</w:t>
            </w:r>
            <w:r>
              <w:rPr>
                <w:rFonts w:hint="eastAsia" w:ascii="宋体" w:hAnsi="宋体" w:eastAsia="宋体" w:cs="宋体"/>
                <w:sz w:val="24"/>
                <w:szCs w:val="24"/>
              </w:rPr>
              <w:t>同一</w:t>
            </w:r>
            <w:r>
              <w:rPr>
                <w:rFonts w:hint="eastAsia" w:ascii="宋体" w:hAnsi="宋体" w:eastAsia="宋体" w:cs="宋体"/>
                <w:sz w:val="24"/>
                <w:szCs w:val="24"/>
                <w:lang w:eastAsia="zh-CN"/>
              </w:rPr>
              <w:t>合同项下的政府采购活动</w:t>
            </w:r>
            <w:r>
              <w:rPr>
                <w:rFonts w:hint="eastAsia" w:ascii="宋体" w:hAnsi="宋体" w:eastAsia="宋体" w:cs="宋体"/>
                <w:sz w:val="24"/>
                <w:szCs w:val="24"/>
              </w:rPr>
              <w:t>，否则，相关投标均无效；</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lang w:eastAsia="zh-CN"/>
              </w:rPr>
              <w:t>（</w:t>
            </w:r>
            <w:r>
              <w:rPr>
                <w:rFonts w:hint="eastAsia" w:ascii="宋体" w:hAnsi="宋体" w:cs="宋体"/>
                <w:sz w:val="24"/>
                <w:lang w:val="en-US" w:eastAsia="zh-CN"/>
              </w:rPr>
              <w:t>5</w:t>
            </w:r>
            <w:r>
              <w:rPr>
                <w:rFonts w:hint="eastAsia" w:ascii="宋体" w:hAnsi="宋体" w:eastAsia="宋体" w:cs="宋体"/>
                <w:sz w:val="24"/>
                <w:lang w:val="en-US" w:eastAsia="zh-CN"/>
              </w:rPr>
              <w:t>.2</w:t>
            </w:r>
            <w:r>
              <w:rPr>
                <w:rFonts w:hint="eastAsia" w:ascii="宋体" w:hAnsi="宋体" w:eastAsia="宋体" w:cs="宋体"/>
                <w:sz w:val="24"/>
                <w:lang w:eastAsia="zh-CN"/>
              </w:rPr>
              <w:t>）</w:t>
            </w:r>
            <w:r>
              <w:rPr>
                <w:rFonts w:hint="eastAsia" w:ascii="宋体" w:hAnsi="宋体" w:eastAsia="宋体" w:cs="宋体"/>
                <w:sz w:val="24"/>
                <w:szCs w:val="24"/>
                <w:highlight w:val="none"/>
              </w:rPr>
              <w:t>投标企业（含本地、外埠投标企业）需提供</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自行出具的企业诚信证明承诺；</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）项目管理人员（施工员、质量员、安全员</w:t>
            </w:r>
            <w:r>
              <w:rPr>
                <w:rFonts w:hint="eastAsia" w:ascii="宋体" w:hAnsi="宋体" w:eastAsia="宋体" w:cs="宋体"/>
                <w:sz w:val="24"/>
                <w:szCs w:val="24"/>
                <w:highlight w:val="none"/>
                <w:lang w:eastAsia="zh-CN"/>
              </w:rPr>
              <w:t>等</w:t>
            </w:r>
            <w:r>
              <w:rPr>
                <w:rFonts w:hint="eastAsia" w:ascii="宋体" w:hAnsi="宋体" w:eastAsia="宋体" w:cs="宋体"/>
                <w:sz w:val="24"/>
                <w:szCs w:val="24"/>
                <w:highlight w:val="none"/>
              </w:rPr>
              <w:t>）配备齐全；</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rPr>
              <w:t>）过去三年内，供应商没有骗取中标或严重违约以及发生重大工程质量事故等问题，需提供有法定代表人签署并加盖公章的承诺书；</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5</w:t>
            </w:r>
            <w:r>
              <w:rPr>
                <w:rFonts w:hint="eastAsia" w:ascii="宋体" w:hAnsi="宋体" w:eastAsia="宋体" w:cs="宋体"/>
                <w:sz w:val="24"/>
                <w:szCs w:val="24"/>
              </w:rPr>
              <w:t>）满足《中华人民共和国政府采购法》第二十二条规定，并提供相关资格证明材料。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zh-CN"/>
              </w:rPr>
              <w:t>1.</w:t>
            </w:r>
            <w:r>
              <w:rPr>
                <w:rFonts w:hint="eastAsia" w:ascii="宋体" w:hAnsi="宋体" w:eastAsia="宋体" w:cs="宋体"/>
                <w:bCs/>
                <w:kern w:val="2"/>
                <w:sz w:val="24"/>
                <w:szCs w:val="24"/>
                <w:lang w:val="en-US" w:eastAsia="zh-CN"/>
              </w:rPr>
              <w:t>4.2</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是否接受联合体投标</w:t>
            </w:r>
          </w:p>
        </w:tc>
        <w:tc>
          <w:tcPr>
            <w:tcW w:w="7017" w:type="dxa"/>
            <w:tcBorders>
              <w:top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left"/>
              <w:textAlignment w:val="auto"/>
              <w:rPr>
                <w:rFonts w:hint="eastAsia" w:ascii="宋体" w:hAnsi="宋体" w:eastAsia="宋体" w:cs="宋体"/>
                <w:bCs/>
                <w:kern w:val="2"/>
                <w:sz w:val="24"/>
                <w:szCs w:val="24"/>
                <w:lang w:val="zh-CN"/>
              </w:rPr>
            </w:pPr>
            <w:r>
              <w:rPr>
                <w:rFonts w:hint="eastAsia" w:ascii="宋体" w:hAnsi="宋体" w:eastAsia="宋体" w:cs="宋体"/>
                <w:bCs/>
                <w:sz w:val="24"/>
                <w:szCs w:val="24"/>
                <w:highlight w:val="none"/>
                <w:lang w:val="zh-CN"/>
              </w:rPr>
              <w:fldChar w:fldCharType="begin"/>
            </w:r>
            <w:r>
              <w:rPr>
                <w:rFonts w:hint="eastAsia" w:ascii="宋体" w:hAnsi="宋体" w:eastAsia="宋体" w:cs="宋体"/>
                <w:bCs/>
                <w:sz w:val="24"/>
                <w:szCs w:val="24"/>
                <w:highlight w:val="none"/>
                <w:lang w:val="zh-CN"/>
              </w:rPr>
              <w:instrText xml:space="preserve">eq \o\ac(□,√)</w:instrText>
            </w:r>
            <w:r>
              <w:rPr>
                <w:rFonts w:hint="eastAsia" w:ascii="宋体" w:hAnsi="宋体" w:eastAsia="宋体" w:cs="宋体"/>
                <w:bCs/>
                <w:sz w:val="24"/>
                <w:szCs w:val="24"/>
                <w:highlight w:val="none"/>
                <w:lang w:val="zh-CN"/>
              </w:rPr>
              <w:fldChar w:fldCharType="end"/>
            </w:r>
            <w:r>
              <w:rPr>
                <w:rFonts w:hint="eastAsia" w:ascii="宋体" w:hAnsi="宋体" w:eastAsia="宋体" w:cs="宋体"/>
                <w:bCs/>
                <w:kern w:val="2"/>
                <w:sz w:val="24"/>
                <w:szCs w:val="24"/>
                <w:lang w:val="zh-CN"/>
              </w:rPr>
              <w:t>不接受</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left"/>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□接受，应满足下列要求：</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left"/>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联合体资质按照联合体协议约定的分工认定。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zh-CN" w:eastAsia="zh-CN" w:bidi="ar-SA"/>
              </w:rPr>
            </w:pPr>
            <w:r>
              <w:rPr>
                <w:rFonts w:hint="eastAsia" w:ascii="宋体" w:hAnsi="宋体" w:eastAsia="宋体" w:cs="宋体"/>
                <w:bCs/>
                <w:kern w:val="2"/>
                <w:sz w:val="24"/>
                <w:szCs w:val="24"/>
                <w:lang w:val="zh-CN"/>
              </w:rPr>
              <w:t>1.9.1</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zh-CN" w:eastAsia="zh-CN" w:bidi="ar-SA"/>
              </w:rPr>
            </w:pPr>
            <w:r>
              <w:rPr>
                <w:rFonts w:hint="eastAsia" w:ascii="宋体" w:hAnsi="宋体" w:eastAsia="宋体" w:cs="宋体"/>
                <w:bCs/>
                <w:kern w:val="2"/>
                <w:sz w:val="24"/>
                <w:szCs w:val="24"/>
                <w:lang w:val="zh-CN"/>
              </w:rPr>
              <w:t>踏勘现场</w:t>
            </w:r>
          </w:p>
        </w:tc>
        <w:tc>
          <w:tcPr>
            <w:tcW w:w="7017" w:type="dxa"/>
            <w:tcBorders>
              <w:top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rPr>
            </w:pPr>
            <w:r>
              <w:rPr>
                <w:rFonts w:hint="eastAsia" w:ascii="宋体" w:hAnsi="宋体" w:eastAsia="宋体" w:cs="宋体"/>
                <w:bCs/>
                <w:sz w:val="24"/>
                <w:szCs w:val="24"/>
                <w:highlight w:val="none"/>
                <w:lang w:val="zh-CN"/>
              </w:rPr>
              <w:fldChar w:fldCharType="begin"/>
            </w:r>
            <w:r>
              <w:rPr>
                <w:rFonts w:hint="eastAsia" w:ascii="宋体" w:hAnsi="宋体" w:eastAsia="宋体" w:cs="宋体"/>
                <w:bCs/>
                <w:sz w:val="24"/>
                <w:szCs w:val="24"/>
                <w:highlight w:val="none"/>
                <w:lang w:val="zh-CN"/>
              </w:rPr>
              <w:instrText xml:space="preserve">eq \o\ac(□,√)</w:instrText>
            </w:r>
            <w:r>
              <w:rPr>
                <w:rFonts w:hint="eastAsia" w:ascii="宋体" w:hAnsi="宋体" w:eastAsia="宋体" w:cs="宋体"/>
                <w:bCs/>
                <w:sz w:val="24"/>
                <w:szCs w:val="24"/>
                <w:highlight w:val="none"/>
                <w:lang w:val="zh-CN"/>
              </w:rPr>
              <w:fldChar w:fldCharType="end"/>
            </w:r>
            <w:r>
              <w:rPr>
                <w:rFonts w:hint="eastAsia" w:ascii="宋体" w:hAnsi="宋体" w:eastAsia="宋体" w:cs="宋体"/>
                <w:bCs/>
                <w:kern w:val="2"/>
                <w:sz w:val="24"/>
                <w:szCs w:val="24"/>
              </w:rPr>
              <w:t>不组织</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rPr>
            </w:pPr>
            <w:r>
              <w:rPr>
                <w:rFonts w:hint="eastAsia" w:ascii="宋体" w:hAnsi="宋体" w:eastAsia="宋体" w:cs="宋体"/>
                <w:bCs/>
                <w:kern w:val="2"/>
                <w:sz w:val="24"/>
                <w:szCs w:val="24"/>
              </w:rPr>
              <w:t>□组织，踏勘时间：/</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firstLine="960" w:firstLineChars="400"/>
              <w:textAlignment w:val="auto"/>
              <w:rPr>
                <w:rFonts w:hint="eastAsia" w:ascii="宋体" w:hAnsi="宋体" w:eastAsia="宋体" w:cs="宋体"/>
                <w:bCs/>
                <w:kern w:val="2"/>
                <w:sz w:val="24"/>
                <w:szCs w:val="24"/>
                <w:lang w:val="zh-CN" w:eastAsia="zh-CN" w:bidi="ar-SA"/>
              </w:rPr>
            </w:pPr>
            <w:r>
              <w:rPr>
                <w:rFonts w:hint="eastAsia" w:ascii="宋体" w:hAnsi="宋体" w:eastAsia="宋体" w:cs="宋体"/>
                <w:bCs/>
                <w:kern w:val="2"/>
                <w:sz w:val="24"/>
                <w:szCs w:val="24"/>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1.10.1</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投标预备会</w:t>
            </w:r>
          </w:p>
        </w:tc>
        <w:tc>
          <w:tcPr>
            <w:tcW w:w="7017" w:type="dxa"/>
            <w:tcBorders>
              <w:top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sz w:val="24"/>
                <w:szCs w:val="24"/>
                <w:highlight w:val="none"/>
                <w:lang w:val="zh-CN"/>
              </w:rPr>
              <w:fldChar w:fldCharType="begin"/>
            </w:r>
            <w:r>
              <w:rPr>
                <w:rFonts w:hint="eastAsia" w:ascii="宋体" w:hAnsi="宋体" w:eastAsia="宋体" w:cs="宋体"/>
                <w:bCs/>
                <w:sz w:val="24"/>
                <w:szCs w:val="24"/>
                <w:highlight w:val="none"/>
                <w:lang w:val="zh-CN"/>
              </w:rPr>
              <w:instrText xml:space="preserve">eq \o\ac(□,√)</w:instrText>
            </w:r>
            <w:r>
              <w:rPr>
                <w:rFonts w:hint="eastAsia" w:ascii="宋体" w:hAnsi="宋体" w:eastAsia="宋体" w:cs="宋体"/>
                <w:bCs/>
                <w:sz w:val="24"/>
                <w:szCs w:val="24"/>
                <w:highlight w:val="none"/>
                <w:lang w:val="zh-CN"/>
              </w:rPr>
              <w:fldChar w:fldCharType="end"/>
            </w:r>
            <w:r>
              <w:rPr>
                <w:rFonts w:hint="eastAsia" w:ascii="宋体" w:hAnsi="宋体" w:eastAsia="宋体" w:cs="宋体"/>
                <w:bCs/>
                <w:kern w:val="2"/>
                <w:sz w:val="24"/>
                <w:szCs w:val="24"/>
                <w:lang w:val="zh-CN"/>
              </w:rPr>
              <w:t>不召开</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sym w:font="Wingdings 2" w:char="00A3"/>
            </w:r>
            <w:r>
              <w:rPr>
                <w:rFonts w:hint="eastAsia" w:ascii="宋体" w:hAnsi="宋体" w:eastAsia="宋体" w:cs="宋体"/>
                <w:bCs/>
                <w:kern w:val="2"/>
                <w:sz w:val="24"/>
                <w:szCs w:val="24"/>
                <w:lang w:val="zh-CN"/>
              </w:rPr>
              <w:t>召开,召开时间：/</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right="0" w:rightChars="0" w:firstLine="789" w:firstLineChars="329"/>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2" w:type="dxa"/>
            <w:vMerge w:val="restart"/>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1.10.</w:t>
            </w:r>
            <w:r>
              <w:rPr>
                <w:rFonts w:hint="eastAsia" w:ascii="宋体" w:hAnsi="宋体" w:eastAsia="宋体" w:cs="宋体"/>
                <w:bCs/>
                <w:kern w:val="2"/>
                <w:sz w:val="24"/>
                <w:szCs w:val="24"/>
              </w:rPr>
              <w:t>2</w:t>
            </w:r>
          </w:p>
        </w:tc>
        <w:tc>
          <w:tcPr>
            <w:tcW w:w="1712" w:type="dxa"/>
            <w:vMerge w:val="restart"/>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供应商提出问题的截止时间</w:t>
            </w: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b/>
                <w:kern w:val="2"/>
                <w:sz w:val="24"/>
                <w:szCs w:val="24"/>
              </w:rPr>
            </w:pPr>
            <w:r>
              <w:rPr>
                <w:rFonts w:hint="eastAsia" w:ascii="宋体" w:hAnsi="宋体" w:eastAsia="宋体" w:cs="宋体"/>
                <w:bCs/>
                <w:sz w:val="24"/>
                <w:szCs w:val="24"/>
                <w:highlight w:val="none"/>
              </w:rPr>
              <w:t>时间：</w:t>
            </w:r>
            <w:r>
              <w:rPr>
                <w:rFonts w:hint="eastAsia" w:ascii="宋体" w:hAnsi="宋体" w:eastAsia="宋体" w:cs="宋体"/>
                <w:bCs/>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022" w:type="dxa"/>
            <w:vMerge w:val="continue"/>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rPr>
            </w:pPr>
          </w:p>
        </w:tc>
        <w:tc>
          <w:tcPr>
            <w:tcW w:w="1712" w:type="dxa"/>
            <w:vMerge w:val="continue"/>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rPr>
            </w:pP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bCs/>
                <w:kern w:val="2"/>
                <w:sz w:val="24"/>
                <w:szCs w:val="24"/>
                <w:lang w:val="zh-CN"/>
              </w:rPr>
            </w:pPr>
            <w:r>
              <w:rPr>
                <w:rFonts w:hint="eastAsia" w:ascii="宋体" w:hAnsi="宋体" w:eastAsia="宋体" w:cs="宋体"/>
                <w:bCs/>
                <w:sz w:val="24"/>
                <w:szCs w:val="24"/>
                <w:highlight w:val="none"/>
              </w:rPr>
              <w:t>形式：</w:t>
            </w:r>
            <w:r>
              <w:rPr>
                <w:rFonts w:hint="eastAsia" w:ascii="宋体" w:hAnsi="宋体" w:eastAsia="宋体" w:cs="宋体"/>
                <w:bCs/>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22" w:type="dxa"/>
            <w:vMerge w:val="restart"/>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1.10.</w:t>
            </w:r>
            <w:r>
              <w:rPr>
                <w:rFonts w:hint="eastAsia" w:ascii="宋体" w:hAnsi="宋体" w:eastAsia="宋体" w:cs="宋体"/>
                <w:bCs/>
                <w:kern w:val="2"/>
                <w:sz w:val="24"/>
                <w:szCs w:val="24"/>
              </w:rPr>
              <w:t>3</w:t>
            </w:r>
          </w:p>
        </w:tc>
        <w:tc>
          <w:tcPr>
            <w:tcW w:w="1712" w:type="dxa"/>
            <w:vMerge w:val="restart"/>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采购人书面澄清的时间</w:t>
            </w: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bCs/>
                <w:kern w:val="2"/>
                <w:sz w:val="24"/>
                <w:szCs w:val="24"/>
                <w:lang w:val="zh-CN"/>
              </w:rPr>
            </w:pPr>
            <w:r>
              <w:rPr>
                <w:rFonts w:hint="eastAsia" w:ascii="宋体" w:hAnsi="宋体" w:eastAsia="宋体" w:cs="宋体"/>
                <w:bCs/>
                <w:sz w:val="24"/>
                <w:szCs w:val="24"/>
                <w:highlight w:val="none"/>
              </w:rPr>
              <w:t>时间：</w:t>
            </w:r>
            <w:r>
              <w:rPr>
                <w:rFonts w:hint="eastAsia" w:ascii="宋体" w:hAnsi="宋体" w:eastAsia="宋体" w:cs="宋体"/>
                <w:bCs/>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22" w:type="dxa"/>
            <w:vMerge w:val="continue"/>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left"/>
              <w:textAlignment w:val="auto"/>
              <w:rPr>
                <w:rFonts w:hint="eastAsia" w:ascii="宋体" w:hAnsi="宋体" w:eastAsia="宋体" w:cs="宋体"/>
              </w:rPr>
            </w:pPr>
          </w:p>
        </w:tc>
        <w:tc>
          <w:tcPr>
            <w:tcW w:w="1712" w:type="dxa"/>
            <w:vMerge w:val="continue"/>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left"/>
              <w:textAlignment w:val="auto"/>
              <w:rPr>
                <w:rFonts w:hint="eastAsia" w:ascii="宋体" w:hAnsi="宋体" w:eastAsia="宋体" w:cs="宋体"/>
              </w:rPr>
            </w:pP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bCs/>
                <w:kern w:val="2"/>
                <w:sz w:val="24"/>
                <w:szCs w:val="24"/>
                <w:lang w:val="zh-CN"/>
              </w:rPr>
            </w:pPr>
            <w:r>
              <w:rPr>
                <w:rFonts w:hint="eastAsia" w:ascii="宋体" w:hAnsi="宋体" w:eastAsia="宋体" w:cs="宋体"/>
                <w:bCs/>
                <w:sz w:val="24"/>
                <w:szCs w:val="24"/>
                <w:highlight w:val="none"/>
              </w:rPr>
              <w:t>形式：</w:t>
            </w:r>
            <w:r>
              <w:rPr>
                <w:rFonts w:hint="eastAsia" w:ascii="宋体" w:hAnsi="宋体" w:eastAsia="宋体" w:cs="宋体"/>
                <w:bCs/>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1.11</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分包</w:t>
            </w:r>
          </w:p>
        </w:tc>
        <w:tc>
          <w:tcPr>
            <w:tcW w:w="7017"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lang w:val="zh-CN"/>
              </w:rPr>
            </w:pPr>
            <w:r>
              <w:rPr>
                <w:rFonts w:hint="eastAsia" w:ascii="宋体" w:hAnsi="宋体" w:eastAsia="宋体" w:cs="宋体"/>
                <w:bCs/>
                <w:sz w:val="24"/>
                <w:szCs w:val="24"/>
                <w:highlight w:val="none"/>
                <w:lang w:val="zh-CN"/>
              </w:rPr>
              <w:fldChar w:fldCharType="begin"/>
            </w:r>
            <w:r>
              <w:rPr>
                <w:rFonts w:hint="eastAsia" w:ascii="宋体" w:hAnsi="宋体" w:eastAsia="宋体" w:cs="宋体"/>
                <w:bCs/>
                <w:sz w:val="24"/>
                <w:szCs w:val="24"/>
                <w:highlight w:val="none"/>
                <w:lang w:val="zh-CN"/>
              </w:rPr>
              <w:instrText xml:space="preserve">eq \o\ac(□,√)</w:instrText>
            </w:r>
            <w:r>
              <w:rPr>
                <w:rFonts w:hint="eastAsia" w:ascii="宋体" w:hAnsi="宋体" w:eastAsia="宋体" w:cs="宋体"/>
                <w:bCs/>
                <w:sz w:val="24"/>
                <w:szCs w:val="24"/>
                <w:highlight w:val="none"/>
                <w:lang w:val="zh-CN"/>
              </w:rPr>
              <w:fldChar w:fldCharType="end"/>
            </w:r>
            <w:r>
              <w:rPr>
                <w:rFonts w:hint="eastAsia" w:ascii="宋体" w:hAnsi="宋体" w:eastAsia="宋体" w:cs="宋体"/>
                <w:kern w:val="2"/>
                <w:sz w:val="24"/>
                <w:szCs w:val="24"/>
                <w:lang w:val="zh-CN"/>
              </w:rPr>
              <w:t>不允许</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lang w:val="zh-CN"/>
              </w:rPr>
              <w:t>□允许，分包内容要求：/</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firstLine="960" w:firstLineChars="400"/>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lang w:val="zh-CN"/>
              </w:rPr>
              <w:t>分包金额要求：/</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firstLine="960" w:firstLineChars="400"/>
              <w:textAlignment w:val="auto"/>
              <w:rPr>
                <w:rFonts w:hint="eastAsia" w:ascii="宋体" w:hAnsi="宋体" w:eastAsia="宋体" w:cs="宋体"/>
                <w:bCs/>
                <w:kern w:val="2"/>
                <w:sz w:val="24"/>
                <w:szCs w:val="24"/>
                <w:lang w:val="zh-CN"/>
              </w:rPr>
            </w:pPr>
            <w:r>
              <w:rPr>
                <w:rFonts w:hint="eastAsia" w:ascii="宋体" w:hAnsi="宋体" w:eastAsia="宋体" w:cs="宋体"/>
                <w:kern w:val="2"/>
                <w:sz w:val="24"/>
                <w:szCs w:val="24"/>
                <w:lang w:val="zh-CN"/>
              </w:rPr>
              <w:t>接受分包的第三人资质要求：/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1.12</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偏离</w:t>
            </w:r>
          </w:p>
        </w:tc>
        <w:tc>
          <w:tcPr>
            <w:tcW w:w="7017"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sz w:val="24"/>
                <w:szCs w:val="24"/>
                <w:highlight w:val="none"/>
                <w:lang w:val="zh-CN"/>
              </w:rPr>
              <w:fldChar w:fldCharType="begin"/>
            </w:r>
            <w:r>
              <w:rPr>
                <w:rFonts w:hint="eastAsia" w:ascii="宋体" w:hAnsi="宋体" w:eastAsia="宋体" w:cs="宋体"/>
                <w:bCs/>
                <w:sz w:val="24"/>
                <w:szCs w:val="24"/>
                <w:highlight w:val="none"/>
                <w:lang w:val="zh-CN"/>
              </w:rPr>
              <w:instrText xml:space="preserve">eq \o\ac(□,√)</w:instrText>
            </w:r>
            <w:r>
              <w:rPr>
                <w:rFonts w:hint="eastAsia" w:ascii="宋体" w:hAnsi="宋体" w:eastAsia="宋体" w:cs="宋体"/>
                <w:bCs/>
                <w:sz w:val="24"/>
                <w:szCs w:val="24"/>
                <w:highlight w:val="none"/>
                <w:lang w:val="zh-CN"/>
              </w:rPr>
              <w:fldChar w:fldCharType="end"/>
            </w:r>
            <w:r>
              <w:rPr>
                <w:rFonts w:hint="eastAsia" w:ascii="宋体" w:hAnsi="宋体" w:eastAsia="宋体" w:cs="宋体"/>
                <w:bCs/>
                <w:kern w:val="2"/>
                <w:sz w:val="24"/>
                <w:szCs w:val="24"/>
                <w:lang w:val="zh-CN"/>
              </w:rPr>
              <w:t>不允许</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□允许，可偏离的项目和范围见第七章：/</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firstLine="960" w:firstLineChars="40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“技术标准和要求”：/</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firstLine="960" w:firstLineChars="40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允许偏离最高项数：/</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firstLine="960" w:firstLineChars="400"/>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zh-CN"/>
              </w:rPr>
              <w:t>偏差调整方法：/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2.1</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构成磋商文件的其他材料</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napToGrid w:val="0"/>
              <w:spacing w:line="440" w:lineRule="exact"/>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lang w:val="zh-CN"/>
              </w:rPr>
              <w:t>本项目的澄清、修改、补充说明文件（如有）。</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kern w:val="2"/>
                <w:sz w:val="24"/>
                <w:szCs w:val="24"/>
                <w:lang w:val="zh-CN"/>
              </w:rPr>
              <w:t>注：采购代理机构将上述内容以带有编号的补遗文件发送到</w:t>
            </w:r>
            <w:r>
              <w:rPr>
                <w:rFonts w:hint="eastAsia" w:ascii="宋体" w:hAnsi="宋体" w:eastAsia="宋体" w:cs="宋体"/>
                <w:color w:val="auto"/>
                <w:sz w:val="24"/>
                <w:szCs w:val="24"/>
                <w:lang w:val="en-US" w:eastAsia="zh-CN"/>
              </w:rPr>
              <w:t>政采云平台</w:t>
            </w:r>
            <w:r>
              <w:rPr>
                <w:rFonts w:hint="eastAsia" w:ascii="宋体" w:hAnsi="宋体" w:eastAsia="宋体" w:cs="宋体"/>
                <w:kern w:val="2"/>
                <w:sz w:val="24"/>
                <w:szCs w:val="24"/>
                <w:lang w:val="zh-CN"/>
              </w:rPr>
              <w:t>答疑文件中，各供应商须使用CA数字证书登录</w:t>
            </w:r>
            <w:r>
              <w:rPr>
                <w:rFonts w:hint="eastAsia" w:ascii="宋体" w:hAnsi="宋体" w:eastAsia="宋体" w:cs="宋体"/>
                <w:color w:val="auto"/>
                <w:sz w:val="24"/>
                <w:szCs w:val="24"/>
                <w:lang w:val="en-US" w:eastAsia="zh-CN"/>
              </w:rPr>
              <w:t>政采云平台</w:t>
            </w:r>
            <w:r>
              <w:rPr>
                <w:rFonts w:hint="eastAsia" w:ascii="宋体" w:hAnsi="宋体" w:eastAsia="宋体" w:cs="宋体"/>
                <w:kern w:val="2"/>
                <w:sz w:val="24"/>
                <w:szCs w:val="24"/>
                <w:lang w:val="zh-CN"/>
              </w:rPr>
              <w:t>答疑文件处自行下载。如果供应商未在上述答疑文件中收到相应文件，请及时与采购代理机构联系，否则采购人和采购代理机构不承担任何责任。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022" w:type="dxa"/>
            <w:vMerge w:val="restart"/>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2.2.1</w:t>
            </w:r>
          </w:p>
        </w:tc>
        <w:tc>
          <w:tcPr>
            <w:tcW w:w="1712" w:type="dxa"/>
            <w:vMerge w:val="restart"/>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供应商要求澄清磋商文件的截止时间</w:t>
            </w:r>
          </w:p>
        </w:tc>
        <w:tc>
          <w:tcPr>
            <w:tcW w:w="7017"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
                <w:bCs/>
                <w:kern w:val="2"/>
                <w:sz w:val="24"/>
                <w:szCs w:val="24"/>
                <w:lang w:val="zh-CN"/>
              </w:rPr>
            </w:pPr>
            <w:r>
              <w:rPr>
                <w:rFonts w:hint="eastAsia" w:ascii="宋体" w:hAnsi="宋体" w:eastAsia="宋体" w:cs="宋体"/>
                <w:kern w:val="2"/>
                <w:sz w:val="24"/>
                <w:szCs w:val="24"/>
                <w:lang w:val="zh-CN"/>
              </w:rPr>
              <w:t>时间：</w:t>
            </w:r>
            <w:r>
              <w:rPr>
                <w:rFonts w:hint="eastAsia" w:ascii="宋体" w:hAnsi="宋体" w:eastAsia="宋体" w:cs="宋体"/>
                <w:kern w:val="2"/>
                <w:sz w:val="24"/>
                <w:szCs w:val="24"/>
              </w:rPr>
              <w:t>投标截止日期 5 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022" w:type="dxa"/>
            <w:vMerge w:val="continue"/>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p>
        </w:tc>
        <w:tc>
          <w:tcPr>
            <w:tcW w:w="1712" w:type="dxa"/>
            <w:vMerge w:val="continue"/>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p>
        </w:tc>
        <w:tc>
          <w:tcPr>
            <w:tcW w:w="7017"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lang w:val="zh-CN"/>
              </w:rPr>
              <w:t>形式：各供应商使用CA数字证书登录</w:t>
            </w:r>
            <w:r>
              <w:rPr>
                <w:rFonts w:hint="eastAsia" w:ascii="宋体" w:hAnsi="宋体" w:eastAsia="宋体" w:cs="宋体"/>
                <w:color w:val="auto"/>
                <w:sz w:val="24"/>
                <w:szCs w:val="24"/>
                <w:lang w:val="en-US" w:eastAsia="zh-CN"/>
              </w:rPr>
              <w:t>政采云平台</w:t>
            </w:r>
            <w:r>
              <w:rPr>
                <w:rFonts w:hint="eastAsia" w:ascii="宋体" w:hAnsi="宋体" w:eastAsia="宋体" w:cs="宋体"/>
                <w:kern w:val="2"/>
                <w:sz w:val="24"/>
                <w:szCs w:val="24"/>
                <w:lang w:val="zh-CN"/>
              </w:rPr>
              <w:t>供应商提问栏在线提问，并致电采购代理机构15590068486</w:t>
            </w:r>
            <w:r>
              <w:rPr>
                <w:rFonts w:hint="eastAsia" w:ascii="宋体" w:hAnsi="宋体" w:eastAsia="宋体" w:cs="宋体"/>
                <w:color w:val="auto"/>
                <w:kern w:val="2"/>
                <w:sz w:val="24"/>
                <w:szCs w:val="24"/>
                <w:lang w:val="zh-CN"/>
              </w:rPr>
              <w:t>（</w:t>
            </w:r>
            <w:r>
              <w:rPr>
                <w:rFonts w:hint="eastAsia" w:ascii="宋体" w:hAnsi="宋体" w:eastAsia="宋体" w:cs="宋体"/>
                <w:kern w:val="2"/>
                <w:sz w:val="24"/>
                <w:szCs w:val="24"/>
                <w:lang w:val="zh-CN"/>
              </w:rPr>
              <w:t>供应商在此时间之后提出的问题，采购人不再进行澄清和答复）。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rPr>
            </w:pPr>
            <w:r>
              <w:rPr>
                <w:rFonts w:hint="eastAsia" w:ascii="宋体" w:hAnsi="宋体" w:eastAsia="宋体" w:cs="宋体"/>
                <w:bCs/>
                <w:kern w:val="2"/>
                <w:sz w:val="24"/>
                <w:szCs w:val="24"/>
              </w:rPr>
              <w:t>2.2.2</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highlight w:val="none"/>
                <w:lang w:val="zh-CN"/>
              </w:rPr>
            </w:pPr>
            <w:r>
              <w:rPr>
                <w:rFonts w:hint="eastAsia" w:ascii="宋体" w:hAnsi="宋体" w:eastAsia="宋体" w:cs="宋体"/>
                <w:bCs/>
                <w:kern w:val="2"/>
                <w:sz w:val="24"/>
                <w:szCs w:val="24"/>
                <w:highlight w:val="none"/>
                <w:lang w:val="zh-CN"/>
              </w:rPr>
              <w:t>投标截止时间</w:t>
            </w:r>
          </w:p>
        </w:tc>
        <w:tc>
          <w:tcPr>
            <w:tcW w:w="7017"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highlight w:val="none"/>
                <w:lang w:val="zh-CN"/>
              </w:rPr>
            </w:pPr>
            <w:r>
              <w:rPr>
                <w:rFonts w:hint="eastAsia" w:ascii="宋体" w:hAnsi="宋体" w:eastAsia="宋体" w:cs="宋体"/>
                <w:color w:val="auto"/>
                <w:kern w:val="2"/>
                <w:sz w:val="24"/>
                <w:szCs w:val="24"/>
                <w:highlight w:val="none"/>
                <w:lang w:val="zh-CN"/>
              </w:rPr>
              <w:t>202</w:t>
            </w:r>
            <w:r>
              <w:rPr>
                <w:rFonts w:hint="eastAsia" w:ascii="宋体" w:hAnsi="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lang w:val="zh-CN"/>
              </w:rPr>
              <w:t>年</w:t>
            </w:r>
            <w:r>
              <w:rPr>
                <w:rFonts w:hint="eastAsia" w:ascii="宋体" w:hAnsi="宋体" w:cs="宋体"/>
                <w:color w:val="auto"/>
                <w:kern w:val="2"/>
                <w:sz w:val="24"/>
                <w:szCs w:val="24"/>
                <w:highlight w:val="none"/>
                <w:lang w:val="en-US" w:eastAsia="zh-CN"/>
              </w:rPr>
              <w:t>06</w:t>
            </w:r>
            <w:r>
              <w:rPr>
                <w:rFonts w:hint="eastAsia" w:ascii="宋体" w:hAnsi="宋体" w:eastAsia="宋体" w:cs="宋体"/>
                <w:color w:val="auto"/>
                <w:kern w:val="2"/>
                <w:sz w:val="24"/>
                <w:szCs w:val="24"/>
                <w:highlight w:val="none"/>
                <w:lang w:val="zh-CN"/>
              </w:rPr>
              <w:t>月</w:t>
            </w:r>
            <w:r>
              <w:rPr>
                <w:rFonts w:hint="eastAsia" w:ascii="宋体" w:hAnsi="宋体" w:cs="宋体"/>
                <w:color w:val="auto"/>
                <w:kern w:val="2"/>
                <w:sz w:val="24"/>
                <w:szCs w:val="24"/>
                <w:highlight w:val="none"/>
                <w:lang w:val="en-US" w:eastAsia="zh-CN"/>
              </w:rPr>
              <w:t>04</w:t>
            </w:r>
            <w:r>
              <w:rPr>
                <w:rFonts w:hint="eastAsia" w:ascii="宋体" w:hAnsi="宋体" w:eastAsia="宋体" w:cs="宋体"/>
                <w:color w:val="auto"/>
                <w:kern w:val="2"/>
                <w:sz w:val="24"/>
                <w:szCs w:val="24"/>
                <w:highlight w:val="none"/>
                <w:lang w:val="zh-CN"/>
              </w:rPr>
              <w:t>日</w:t>
            </w:r>
            <w:r>
              <w:rPr>
                <w:rFonts w:hint="eastAsia" w:ascii="宋体" w:hAnsi="宋体" w:cs="宋体"/>
                <w:color w:val="auto"/>
                <w:kern w:val="2"/>
                <w:sz w:val="24"/>
                <w:szCs w:val="24"/>
                <w:highlight w:val="none"/>
                <w:lang w:val="en-US" w:eastAsia="zh-CN"/>
              </w:rPr>
              <w:t>09</w:t>
            </w:r>
            <w:r>
              <w:rPr>
                <w:rFonts w:hint="eastAsia" w:ascii="宋体" w:hAnsi="宋体" w:eastAsia="宋体" w:cs="宋体"/>
                <w:color w:val="auto"/>
                <w:kern w:val="2"/>
                <w:sz w:val="24"/>
                <w:szCs w:val="24"/>
                <w:highlight w:val="none"/>
                <w:lang w:val="zh-CN"/>
              </w:rPr>
              <w:t>时</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val="zh-CN"/>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22" w:type="dxa"/>
            <w:vMerge w:val="restart"/>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2.2.3</w:t>
            </w:r>
          </w:p>
        </w:tc>
        <w:tc>
          <w:tcPr>
            <w:tcW w:w="1712" w:type="dxa"/>
            <w:vMerge w:val="restart"/>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供应商确认收到磋商文件澄清的时间</w:t>
            </w: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rPr>
              <w:t>时间：收到澄清后</w:t>
            </w:r>
            <w:r>
              <w:rPr>
                <w:rFonts w:hint="eastAsia" w:ascii="宋体" w:hAnsi="宋体" w:eastAsia="宋体" w:cs="宋体"/>
                <w:kern w:val="2"/>
                <w:sz w:val="24"/>
                <w:szCs w:val="24"/>
                <w:u w:val="single"/>
              </w:rPr>
              <w:t>24小时</w:t>
            </w:r>
            <w:r>
              <w:rPr>
                <w:rFonts w:hint="eastAsia" w:ascii="宋体" w:hAnsi="宋体" w:eastAsia="宋体" w:cs="宋体"/>
                <w:kern w:val="2"/>
                <w:sz w:val="24"/>
                <w:szCs w:val="24"/>
              </w:rPr>
              <w:t>内（以发出时间为准）。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22" w:type="dxa"/>
            <w:vMerge w:val="continue"/>
            <w:noWrap w:val="0"/>
            <w:vAlign w:val="center"/>
          </w:tcPr>
          <w:p>
            <w:pPr>
              <w:keepNext w:val="0"/>
              <w:keepLines w:val="0"/>
              <w:pageBreakBefore w:val="0"/>
              <w:widowControl w:val="0"/>
              <w:kinsoku/>
              <w:wordWrap w:val="0"/>
              <w:overflowPunct/>
              <w:topLinePunct w:val="0"/>
              <w:autoSpaceDE/>
              <w:autoSpaceDN/>
              <w:bidi w:val="0"/>
              <w:spacing w:line="440" w:lineRule="exact"/>
              <w:jc w:val="both"/>
              <w:textAlignment w:val="auto"/>
              <w:rPr>
                <w:rFonts w:hint="eastAsia" w:ascii="宋体" w:hAnsi="宋体" w:eastAsia="宋体" w:cs="宋体"/>
              </w:rPr>
            </w:pPr>
          </w:p>
        </w:tc>
        <w:tc>
          <w:tcPr>
            <w:tcW w:w="1712" w:type="dxa"/>
            <w:vMerge w:val="continue"/>
            <w:noWrap w:val="0"/>
            <w:vAlign w:val="center"/>
          </w:tcPr>
          <w:p>
            <w:pPr>
              <w:keepNext w:val="0"/>
              <w:keepLines w:val="0"/>
              <w:pageBreakBefore w:val="0"/>
              <w:widowControl w:val="0"/>
              <w:kinsoku/>
              <w:wordWrap w:val="0"/>
              <w:overflowPunct/>
              <w:topLinePunct w:val="0"/>
              <w:autoSpaceDE/>
              <w:autoSpaceDN/>
              <w:bidi w:val="0"/>
              <w:spacing w:line="440" w:lineRule="exact"/>
              <w:jc w:val="both"/>
              <w:textAlignment w:val="auto"/>
              <w:rPr>
                <w:rFonts w:hint="eastAsia" w:ascii="宋体" w:hAnsi="宋体" w:eastAsia="宋体" w:cs="宋体"/>
              </w:rPr>
            </w:pP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napToGrid w:val="0"/>
              <w:spacing w:line="440" w:lineRule="exact"/>
              <w:textAlignment w:val="auto"/>
              <w:rPr>
                <w:rFonts w:hint="eastAsia" w:ascii="宋体" w:hAnsi="宋体" w:eastAsia="宋体" w:cs="宋体"/>
                <w:bCs/>
                <w:kern w:val="2"/>
                <w:sz w:val="24"/>
                <w:szCs w:val="24"/>
                <w:highlight w:val="none"/>
                <w:lang w:val="zh-CN" w:eastAsia="zh-CN" w:bidi="ar-SA"/>
              </w:rPr>
            </w:pPr>
            <w:r>
              <w:rPr>
                <w:rFonts w:hint="eastAsia" w:ascii="宋体" w:hAnsi="宋体" w:eastAsia="宋体" w:cs="宋体"/>
                <w:bCs/>
                <w:kern w:val="2"/>
                <w:sz w:val="24"/>
                <w:szCs w:val="24"/>
                <w:highlight w:val="none"/>
                <w:lang w:val="zh-CN"/>
              </w:rPr>
              <w:t>形式：本项目所有澄清文件均在“</w:t>
            </w:r>
            <w:r>
              <w:rPr>
                <w:rFonts w:hint="eastAsia" w:ascii="宋体" w:hAnsi="宋体" w:eastAsia="宋体" w:cs="宋体"/>
                <w:color w:val="auto"/>
                <w:sz w:val="24"/>
                <w:szCs w:val="24"/>
                <w:highlight w:val="none"/>
                <w:lang w:val="en-US" w:eastAsia="zh-CN"/>
              </w:rPr>
              <w:t>政采云平台</w:t>
            </w:r>
            <w:r>
              <w:rPr>
                <w:rFonts w:hint="eastAsia" w:ascii="宋体" w:hAnsi="宋体" w:eastAsia="宋体" w:cs="宋体"/>
                <w:bCs/>
                <w:kern w:val="2"/>
                <w:sz w:val="24"/>
                <w:szCs w:val="24"/>
                <w:highlight w:val="none"/>
                <w:lang w:val="zh-CN"/>
              </w:rPr>
              <w:t>系统”中发布，供应商收到后必须以确认函的形式发送至采购代理机构的邮箱1281893023</w:t>
            </w:r>
            <w:r>
              <w:rPr>
                <w:rFonts w:hint="eastAsia" w:ascii="宋体" w:hAnsi="宋体" w:cs="宋体"/>
                <w:bCs/>
                <w:kern w:val="2"/>
                <w:sz w:val="24"/>
                <w:szCs w:val="24"/>
                <w:highlight w:val="none"/>
                <w:lang w:val="en-US" w:eastAsia="zh-CN"/>
              </w:rPr>
              <w:t>@qq.com</w:t>
            </w:r>
            <w:r>
              <w:rPr>
                <w:rFonts w:hint="eastAsia" w:ascii="宋体" w:hAnsi="宋体" w:eastAsia="宋体" w:cs="宋体"/>
                <w:bCs/>
                <w:kern w:val="2"/>
                <w:sz w:val="24"/>
                <w:szCs w:val="24"/>
                <w:highlight w:val="none"/>
                <w:lang w:val="zh-CN"/>
              </w:rPr>
              <w:t>，因供应商自身原因未能及时查阅下载所导致的对本项目有关文件理解错误由供应商自行承担。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22" w:type="dxa"/>
            <w:vMerge w:val="restart"/>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rPr>
            </w:pPr>
            <w:r>
              <w:rPr>
                <w:rFonts w:hint="eastAsia" w:ascii="宋体" w:hAnsi="宋体" w:eastAsia="宋体" w:cs="宋体"/>
                <w:bCs/>
                <w:kern w:val="2"/>
                <w:sz w:val="24"/>
                <w:szCs w:val="24"/>
              </w:rPr>
              <w:t>2.3.2</w:t>
            </w:r>
          </w:p>
        </w:tc>
        <w:tc>
          <w:tcPr>
            <w:tcW w:w="1712" w:type="dxa"/>
            <w:vMerge w:val="restart"/>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供应商确认收到磋商文件修改的时间</w:t>
            </w: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bCs/>
                <w:kern w:val="2"/>
                <w:sz w:val="24"/>
                <w:szCs w:val="24"/>
                <w:lang w:val="zh-CN"/>
              </w:rPr>
            </w:pPr>
            <w:r>
              <w:rPr>
                <w:rFonts w:hint="eastAsia" w:ascii="宋体" w:hAnsi="宋体" w:eastAsia="宋体" w:cs="宋体"/>
                <w:kern w:val="2"/>
                <w:sz w:val="24"/>
                <w:szCs w:val="24"/>
              </w:rPr>
              <w:t>时间：收到澄清后</w:t>
            </w:r>
            <w:r>
              <w:rPr>
                <w:rFonts w:hint="eastAsia" w:ascii="宋体" w:hAnsi="宋体" w:eastAsia="宋体" w:cs="宋体"/>
                <w:kern w:val="2"/>
                <w:sz w:val="24"/>
                <w:szCs w:val="24"/>
                <w:u w:val="single"/>
              </w:rPr>
              <w:t>24小时</w:t>
            </w:r>
            <w:r>
              <w:rPr>
                <w:rFonts w:hint="eastAsia" w:ascii="宋体" w:hAnsi="宋体" w:eastAsia="宋体" w:cs="宋体"/>
                <w:kern w:val="2"/>
                <w:sz w:val="24"/>
                <w:szCs w:val="24"/>
              </w:rPr>
              <w:t>内（以发出时间为准）。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22" w:type="dxa"/>
            <w:vMerge w:val="continue"/>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rPr>
            </w:pPr>
          </w:p>
        </w:tc>
        <w:tc>
          <w:tcPr>
            <w:tcW w:w="1712" w:type="dxa"/>
            <w:vMerge w:val="continue"/>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rPr>
            </w:pP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napToGrid w:val="0"/>
              <w:spacing w:line="440" w:lineRule="exact"/>
              <w:textAlignment w:val="auto"/>
              <w:rPr>
                <w:rFonts w:hint="eastAsia" w:ascii="宋体" w:hAnsi="宋体" w:eastAsia="宋体" w:cs="宋体"/>
                <w:bCs/>
                <w:kern w:val="2"/>
                <w:sz w:val="24"/>
                <w:szCs w:val="24"/>
                <w:highlight w:val="none"/>
                <w:lang w:val="zh-CN"/>
              </w:rPr>
            </w:pPr>
            <w:r>
              <w:rPr>
                <w:rFonts w:hint="eastAsia" w:ascii="宋体" w:hAnsi="宋体" w:eastAsia="宋体" w:cs="宋体"/>
                <w:bCs/>
                <w:kern w:val="2"/>
                <w:sz w:val="24"/>
                <w:szCs w:val="24"/>
                <w:highlight w:val="none"/>
                <w:lang w:val="zh-CN"/>
              </w:rPr>
              <w:t>形式：本项目所有修改文件均在“</w:t>
            </w:r>
            <w:r>
              <w:rPr>
                <w:rFonts w:hint="eastAsia" w:ascii="宋体" w:hAnsi="宋体" w:eastAsia="宋体" w:cs="宋体"/>
                <w:color w:val="auto"/>
                <w:sz w:val="24"/>
                <w:szCs w:val="24"/>
                <w:highlight w:val="none"/>
                <w:lang w:val="en-US" w:eastAsia="zh-CN"/>
              </w:rPr>
              <w:t>政采云平台</w:t>
            </w:r>
            <w:r>
              <w:rPr>
                <w:rFonts w:hint="eastAsia" w:ascii="宋体" w:hAnsi="宋体" w:eastAsia="宋体" w:cs="宋体"/>
                <w:bCs/>
                <w:kern w:val="2"/>
                <w:sz w:val="24"/>
                <w:szCs w:val="24"/>
                <w:highlight w:val="none"/>
                <w:lang w:val="zh-CN"/>
              </w:rPr>
              <w:t>”中发布，供应商收到后必须以确认函的形式发送至采购代理机构的邮箱1281893023</w:t>
            </w:r>
            <w:r>
              <w:rPr>
                <w:rFonts w:hint="eastAsia" w:ascii="宋体" w:hAnsi="宋体" w:cs="宋体"/>
                <w:bCs/>
                <w:kern w:val="2"/>
                <w:sz w:val="24"/>
                <w:szCs w:val="24"/>
                <w:highlight w:val="none"/>
                <w:lang w:val="en-US" w:eastAsia="zh-CN"/>
              </w:rPr>
              <w:t>@qq.com</w:t>
            </w:r>
            <w:r>
              <w:rPr>
                <w:rFonts w:hint="eastAsia" w:ascii="宋体" w:hAnsi="宋体" w:eastAsia="宋体" w:cs="宋体"/>
                <w:bCs/>
                <w:color w:val="auto"/>
                <w:kern w:val="2"/>
                <w:sz w:val="24"/>
                <w:szCs w:val="24"/>
                <w:highlight w:val="none"/>
                <w:lang w:val="zh-CN"/>
              </w:rPr>
              <w:t>，</w:t>
            </w:r>
            <w:r>
              <w:rPr>
                <w:rFonts w:hint="eastAsia" w:ascii="宋体" w:hAnsi="宋体" w:eastAsia="宋体" w:cs="宋体"/>
                <w:bCs/>
                <w:kern w:val="2"/>
                <w:sz w:val="24"/>
                <w:szCs w:val="24"/>
                <w:highlight w:val="none"/>
                <w:lang w:val="zh-CN"/>
              </w:rPr>
              <w:t>因供应商自身原因未能及时查阅下载所导致的对本项目有关文件理解错误由供应商自行承担。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3.1.1</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构成响应文件的其他材料</w:t>
            </w: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b/>
                <w:bCs/>
                <w:kern w:val="2"/>
                <w:sz w:val="24"/>
                <w:szCs w:val="24"/>
                <w:lang w:val="zh-CN"/>
              </w:rPr>
            </w:pPr>
            <w:r>
              <w:rPr>
                <w:rFonts w:hint="eastAsia" w:ascii="宋体" w:hAnsi="宋体" w:eastAsia="宋体" w:cs="宋体"/>
                <w:b/>
                <w:bCs/>
                <w:kern w:val="2"/>
                <w:sz w:val="24"/>
                <w:szCs w:val="24"/>
                <w:lang w:eastAsia="zh-CN"/>
              </w:rPr>
              <w:t>供应商</w:t>
            </w:r>
            <w:r>
              <w:rPr>
                <w:rFonts w:hint="eastAsia" w:ascii="宋体" w:hAnsi="宋体" w:eastAsia="宋体" w:cs="宋体"/>
                <w:b/>
                <w:bCs/>
                <w:kern w:val="2"/>
                <w:sz w:val="24"/>
                <w:szCs w:val="24"/>
              </w:rPr>
              <w:t>的下列资质证明文件的</w:t>
            </w:r>
            <w:r>
              <w:rPr>
                <w:rFonts w:hint="eastAsia" w:ascii="宋体" w:hAnsi="宋体" w:eastAsia="宋体" w:cs="宋体"/>
                <w:b/>
                <w:color w:val="auto"/>
                <w:sz w:val="24"/>
              </w:rPr>
              <w:t>彩色</w:t>
            </w:r>
            <w:r>
              <w:rPr>
                <w:rFonts w:hint="eastAsia" w:ascii="宋体" w:hAnsi="宋体" w:eastAsia="宋体" w:cs="宋体"/>
                <w:b/>
                <w:bCs/>
                <w:kern w:val="2"/>
                <w:sz w:val="24"/>
                <w:szCs w:val="24"/>
              </w:rPr>
              <w:t>扫描件随</w:t>
            </w:r>
            <w:r>
              <w:rPr>
                <w:rFonts w:hint="eastAsia" w:ascii="宋体" w:hAnsi="宋体" w:eastAsia="宋体" w:cs="宋体"/>
                <w:b/>
                <w:bCs/>
                <w:kern w:val="2"/>
                <w:sz w:val="24"/>
                <w:szCs w:val="24"/>
                <w:lang w:eastAsia="zh-CN"/>
              </w:rPr>
              <w:t>响应文件</w:t>
            </w:r>
            <w:r>
              <w:rPr>
                <w:rFonts w:hint="eastAsia" w:ascii="宋体" w:hAnsi="宋体" w:eastAsia="宋体" w:cs="宋体"/>
                <w:b/>
                <w:bCs/>
                <w:kern w:val="2"/>
                <w:sz w:val="24"/>
                <w:szCs w:val="24"/>
              </w:rPr>
              <w:t>同时上传：</w:t>
            </w:r>
          </w:p>
          <w:p>
            <w:pPr>
              <w:keepNext w:val="0"/>
              <w:keepLines w:val="0"/>
              <w:pageBreakBefore w:val="0"/>
              <w:widowControl w:val="0"/>
              <w:kinsoku/>
              <w:wordWrap w:val="0"/>
              <w:overflowPunct/>
              <w:topLinePunct w:val="0"/>
              <w:autoSpaceDE/>
              <w:autoSpaceDN/>
              <w:bidi w:val="0"/>
              <w:adjustRightInd w:val="0"/>
              <w:spacing w:line="440" w:lineRule="exact"/>
              <w:jc w:val="left"/>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lang w:val="zh-CN"/>
              </w:rPr>
              <w:t>1、企业营业执照副本；</w:t>
            </w:r>
          </w:p>
          <w:p>
            <w:pPr>
              <w:keepNext w:val="0"/>
              <w:keepLines w:val="0"/>
              <w:pageBreakBefore w:val="0"/>
              <w:widowControl w:val="0"/>
              <w:kinsoku/>
              <w:wordWrap w:val="0"/>
              <w:overflowPunct/>
              <w:topLinePunct w:val="0"/>
              <w:autoSpaceDE/>
              <w:autoSpaceDN/>
              <w:bidi w:val="0"/>
              <w:adjustRightInd w:val="0"/>
              <w:spacing w:line="440" w:lineRule="exact"/>
              <w:jc w:val="left"/>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lang w:val="zh-CN"/>
              </w:rPr>
              <w:t>2、企业资质证书副本（持有新版资质证书的供应商可提供与新版资质证书副本同样大小并加盖投标单位公章（鲜章）的复印件，复印件与原件效力等同）新版资质证书复印件信息的真伪由磋商小组通过扫描二维码标识进行查询确认）；</w:t>
            </w:r>
          </w:p>
          <w:p>
            <w:pPr>
              <w:keepNext w:val="0"/>
              <w:keepLines w:val="0"/>
              <w:pageBreakBefore w:val="0"/>
              <w:widowControl w:val="0"/>
              <w:kinsoku/>
              <w:wordWrap w:val="0"/>
              <w:overflowPunct/>
              <w:topLinePunct w:val="0"/>
              <w:autoSpaceDE/>
              <w:autoSpaceDN/>
              <w:bidi w:val="0"/>
              <w:adjustRightInd w:val="0"/>
              <w:spacing w:line="440" w:lineRule="exact"/>
              <w:jc w:val="left"/>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lang w:val="zh-CN"/>
              </w:rPr>
              <w:t>3、安全生产许可证副本；</w:t>
            </w:r>
          </w:p>
          <w:p>
            <w:pPr>
              <w:keepNext w:val="0"/>
              <w:keepLines w:val="0"/>
              <w:pageBreakBefore w:val="0"/>
              <w:widowControl w:val="0"/>
              <w:kinsoku/>
              <w:wordWrap w:val="0"/>
              <w:overflowPunct/>
              <w:topLinePunct w:val="0"/>
              <w:autoSpaceDE/>
              <w:autoSpaceDN/>
              <w:bidi w:val="0"/>
              <w:adjustRightInd w:val="0"/>
              <w:spacing w:line="440" w:lineRule="exact"/>
              <w:jc w:val="left"/>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lang w:val="zh-CN"/>
              </w:rPr>
              <w:t>4、项目经理注册建造师证书、有效的安全生产考核合格证（原件，也可提供加盖公章的电子证书）及供应商自行出具的项目经理无在建承诺；</w:t>
            </w:r>
          </w:p>
          <w:p>
            <w:pPr>
              <w:keepNext w:val="0"/>
              <w:keepLines w:val="0"/>
              <w:pageBreakBefore w:val="0"/>
              <w:widowControl w:val="0"/>
              <w:kinsoku/>
              <w:wordWrap w:val="0"/>
              <w:overflowPunct/>
              <w:topLinePunct w:val="0"/>
              <w:autoSpaceDE/>
              <w:autoSpaceDN/>
              <w:bidi w:val="0"/>
              <w:adjustRightInd w:val="0"/>
              <w:spacing w:line="440" w:lineRule="exact"/>
              <w:jc w:val="left"/>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lang w:val="zh-CN"/>
              </w:rPr>
              <w:t>5、技术负责人职称证书；</w:t>
            </w:r>
          </w:p>
          <w:p>
            <w:pPr>
              <w:keepNext w:val="0"/>
              <w:keepLines w:val="0"/>
              <w:pageBreakBefore w:val="0"/>
              <w:widowControl w:val="0"/>
              <w:kinsoku/>
              <w:wordWrap w:val="0"/>
              <w:overflowPunct/>
              <w:topLinePunct w:val="0"/>
              <w:autoSpaceDE/>
              <w:autoSpaceDN/>
              <w:bidi w:val="0"/>
              <w:adjustRightInd w:val="0"/>
              <w:spacing w:line="440" w:lineRule="exact"/>
              <w:jc w:val="left"/>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lang w:val="zh-CN"/>
              </w:rPr>
              <w:t>6、项目管理人员：施工员、质量员等的职称证书或岗位证书及专职安全员安全生产考核合格证书（提供加盖公章的电子证书）；项目管理机构人员近6个月</w:t>
            </w:r>
            <w:r>
              <w:rPr>
                <w:rFonts w:hint="eastAsia" w:ascii="宋体" w:hAnsi="宋体" w:cs="宋体"/>
                <w:kern w:val="2"/>
                <w:sz w:val="24"/>
                <w:szCs w:val="24"/>
                <w:lang w:val="en-US" w:eastAsia="zh-CN"/>
              </w:rPr>
              <w:t>任意一个月</w:t>
            </w:r>
            <w:r>
              <w:rPr>
                <w:rFonts w:hint="eastAsia" w:ascii="宋体" w:hAnsi="宋体" w:eastAsia="宋体" w:cs="宋体"/>
                <w:kern w:val="2"/>
                <w:sz w:val="24"/>
                <w:szCs w:val="24"/>
                <w:lang w:val="zh-CN"/>
              </w:rPr>
              <w:t>（须是带二维码的参保证明）及企业的参保证明材料，参保单位必须为投标单位；</w:t>
            </w:r>
          </w:p>
          <w:p>
            <w:pPr>
              <w:keepNext w:val="0"/>
              <w:keepLines w:val="0"/>
              <w:pageBreakBefore w:val="0"/>
              <w:widowControl w:val="0"/>
              <w:kinsoku/>
              <w:wordWrap w:val="0"/>
              <w:overflowPunct/>
              <w:topLinePunct w:val="0"/>
              <w:autoSpaceDE/>
              <w:autoSpaceDN/>
              <w:bidi w:val="0"/>
              <w:adjustRightInd w:val="0"/>
              <w:spacing w:line="440" w:lineRule="exact"/>
              <w:jc w:val="left"/>
              <w:textAlignment w:val="auto"/>
              <w:rPr>
                <w:rFonts w:hint="eastAsia" w:ascii="宋体" w:hAnsi="宋体" w:eastAsia="宋体" w:cs="宋体"/>
                <w:color w:val="auto"/>
                <w:kern w:val="2"/>
                <w:sz w:val="24"/>
                <w:szCs w:val="24"/>
                <w:highlight w:val="none"/>
                <w:lang w:val="zh-CN"/>
              </w:rPr>
            </w:pPr>
            <w:r>
              <w:rPr>
                <w:rFonts w:hint="eastAsia" w:ascii="宋体" w:hAnsi="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lang w:val="zh-CN"/>
              </w:rPr>
              <w:t>、近三年（202</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val="zh-CN"/>
              </w:rPr>
              <w:t>年至202</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lang w:val="zh-CN"/>
              </w:rPr>
              <w:t>年）财务状况良好，提供近三年（202</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val="zh-CN"/>
              </w:rPr>
              <w:t>年至202</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lang w:val="zh-CN"/>
              </w:rPr>
              <w:t>年）</w:t>
            </w:r>
            <w:r>
              <w:rPr>
                <w:rFonts w:hint="eastAsia" w:ascii="宋体" w:hAnsi="宋体" w:cs="宋体"/>
                <w:color w:val="auto"/>
                <w:kern w:val="2"/>
                <w:sz w:val="24"/>
                <w:szCs w:val="24"/>
                <w:highlight w:val="none"/>
                <w:lang w:val="en-US" w:eastAsia="zh-CN"/>
              </w:rPr>
              <w:t>财务报表或审计报告</w:t>
            </w:r>
            <w:r>
              <w:rPr>
                <w:rFonts w:hint="eastAsia" w:ascii="宋体" w:hAnsi="宋体" w:eastAsia="宋体" w:cs="宋体"/>
                <w:color w:val="auto"/>
                <w:kern w:val="2"/>
                <w:sz w:val="24"/>
                <w:szCs w:val="24"/>
                <w:highlight w:val="none"/>
                <w:lang w:val="zh-CN"/>
              </w:rPr>
              <w:t>；（供应商的成立时间少于规定年份的，应提供成立以来至202</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lang w:val="zh-CN"/>
              </w:rPr>
              <w:t>年年末的财务状况表；202</w:t>
            </w:r>
            <w:r>
              <w:rPr>
                <w:rFonts w:hint="eastAsia" w:ascii="宋体" w:hAnsi="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lang w:val="zh-CN"/>
              </w:rPr>
              <w:t>年后新成立企业需提供当年银行出具的公司资信证明）。</w:t>
            </w:r>
          </w:p>
          <w:p>
            <w:pPr>
              <w:keepNext w:val="0"/>
              <w:keepLines w:val="0"/>
              <w:pageBreakBefore w:val="0"/>
              <w:widowControl w:val="0"/>
              <w:kinsoku/>
              <w:wordWrap w:val="0"/>
              <w:overflowPunct/>
              <w:topLinePunct w:val="0"/>
              <w:autoSpaceDE/>
              <w:autoSpaceDN/>
              <w:bidi w:val="0"/>
              <w:adjustRightInd w:val="0"/>
              <w:spacing w:line="440" w:lineRule="exact"/>
              <w:jc w:val="left"/>
              <w:textAlignment w:val="auto"/>
              <w:rPr>
                <w:rFonts w:hint="eastAsia" w:ascii="宋体" w:hAnsi="宋体" w:eastAsia="宋体" w:cs="宋体"/>
                <w:kern w:val="2"/>
                <w:sz w:val="24"/>
                <w:szCs w:val="24"/>
                <w:lang w:val="zh-CN"/>
              </w:rPr>
            </w:pPr>
            <w:r>
              <w:rPr>
                <w:rFonts w:hint="eastAsia" w:ascii="宋体" w:hAnsi="宋体" w:cs="宋体"/>
                <w:kern w:val="2"/>
                <w:sz w:val="24"/>
                <w:szCs w:val="24"/>
                <w:lang w:val="en-US" w:eastAsia="zh-CN"/>
              </w:rPr>
              <w:t>8</w:t>
            </w:r>
            <w:r>
              <w:rPr>
                <w:rFonts w:hint="eastAsia" w:ascii="宋体" w:hAnsi="宋体" w:eastAsia="宋体" w:cs="宋体"/>
                <w:kern w:val="2"/>
                <w:sz w:val="24"/>
                <w:szCs w:val="24"/>
                <w:lang w:val="zh-CN"/>
              </w:rPr>
              <w:t>、加盖公章或财务章的磋商保证金缴纳凭证或投标保函</w:t>
            </w:r>
          </w:p>
          <w:p>
            <w:pPr>
              <w:keepNext w:val="0"/>
              <w:keepLines w:val="0"/>
              <w:pageBreakBefore w:val="0"/>
              <w:widowControl w:val="0"/>
              <w:kinsoku/>
              <w:wordWrap w:val="0"/>
              <w:overflowPunct/>
              <w:topLinePunct w:val="0"/>
              <w:autoSpaceDE/>
              <w:autoSpaceDN/>
              <w:bidi w:val="0"/>
              <w:adjustRightInd w:val="0"/>
              <w:spacing w:line="440" w:lineRule="exact"/>
              <w:jc w:val="left"/>
              <w:textAlignment w:val="auto"/>
              <w:rPr>
                <w:rFonts w:hint="eastAsia" w:ascii="宋体" w:hAnsi="宋体" w:eastAsia="宋体" w:cs="宋体"/>
                <w:kern w:val="2"/>
                <w:sz w:val="24"/>
                <w:szCs w:val="24"/>
              </w:rPr>
            </w:pPr>
            <w:r>
              <w:rPr>
                <w:rFonts w:hint="eastAsia" w:ascii="宋体" w:hAnsi="宋体" w:cs="宋体"/>
                <w:kern w:val="2"/>
                <w:sz w:val="24"/>
                <w:szCs w:val="24"/>
                <w:lang w:val="en-US" w:eastAsia="zh-CN"/>
              </w:rPr>
              <w:t>9</w:t>
            </w:r>
            <w:r>
              <w:rPr>
                <w:rFonts w:hint="eastAsia" w:ascii="宋体" w:hAnsi="宋体" w:eastAsia="宋体" w:cs="宋体"/>
                <w:kern w:val="2"/>
                <w:sz w:val="24"/>
                <w:szCs w:val="24"/>
                <w:lang w:val="zh-CN"/>
              </w:rPr>
              <w:t>、基本账户开户证明或基本存款账户信息；</w:t>
            </w:r>
          </w:p>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color w:val="auto"/>
                <w:kern w:val="2"/>
                <w:sz w:val="24"/>
                <w:szCs w:val="24"/>
              </w:rPr>
            </w:pPr>
            <w:r>
              <w:rPr>
                <w:rFonts w:hint="eastAsia" w:ascii="宋体" w:hAnsi="宋体" w:eastAsia="宋体" w:cs="宋体"/>
                <w:kern w:val="2"/>
                <w:sz w:val="24"/>
                <w:szCs w:val="24"/>
              </w:rPr>
              <w:t>1</w:t>
            </w:r>
            <w:r>
              <w:rPr>
                <w:rFonts w:hint="eastAsia" w:ascii="宋体" w:hAnsi="宋体" w:cs="宋体"/>
                <w:kern w:val="2"/>
                <w:sz w:val="24"/>
                <w:szCs w:val="24"/>
                <w:lang w:val="en-US" w:eastAsia="zh-CN"/>
              </w:rPr>
              <w:t>0</w:t>
            </w:r>
            <w:r>
              <w:rPr>
                <w:rFonts w:hint="eastAsia" w:ascii="宋体" w:hAnsi="宋体" w:eastAsia="宋体" w:cs="宋体"/>
                <w:kern w:val="2"/>
                <w:sz w:val="24"/>
                <w:szCs w:val="24"/>
              </w:rPr>
              <w:t>、未被“信用中国”网站（https://www.creditchina.gov.cn）列入“失信被执行人、重大税收违法案件当事人”记录名单的查询截图；未被“中国政府采购网”（www.ccgp.gov.cn）列入“政府采购严重违法失信行为记录名单”的截图；</w:t>
            </w:r>
            <w:r>
              <w:rPr>
                <w:rFonts w:hint="eastAsia" w:ascii="宋体" w:hAnsi="宋体" w:eastAsia="宋体" w:cs="宋体"/>
                <w:color w:val="auto"/>
                <w:sz w:val="24"/>
              </w:rPr>
              <w:t>（裁判日期：20</w:t>
            </w:r>
            <w:r>
              <w:rPr>
                <w:rFonts w:hint="eastAsia" w:ascii="宋体" w:hAnsi="宋体" w:cs="宋体"/>
                <w:color w:val="auto"/>
                <w:sz w:val="24"/>
                <w:lang w:val="en-US" w:eastAsia="zh-CN"/>
              </w:rPr>
              <w:t>23</w:t>
            </w:r>
            <w:r>
              <w:rPr>
                <w:rFonts w:hint="eastAsia" w:ascii="宋体" w:hAnsi="宋体" w:eastAsia="宋体" w:cs="宋体"/>
                <w:color w:val="auto"/>
                <w:sz w:val="24"/>
              </w:rPr>
              <w:t>年1月1日至</w:t>
            </w:r>
            <w:r>
              <w:rPr>
                <w:rFonts w:hint="eastAsia" w:ascii="宋体" w:hAnsi="宋体" w:eastAsia="宋体" w:cs="宋体"/>
                <w:color w:val="auto"/>
                <w:sz w:val="24"/>
                <w:lang w:eastAsia="zh-CN"/>
              </w:rPr>
              <w:t>竞争性磋商公告</w:t>
            </w:r>
            <w:r>
              <w:rPr>
                <w:rFonts w:hint="eastAsia" w:ascii="宋体" w:hAnsi="宋体" w:eastAsia="宋体" w:cs="宋体"/>
                <w:color w:val="auto"/>
                <w:sz w:val="24"/>
              </w:rPr>
              <w:t>发布之日止、案由：行贿）</w:t>
            </w:r>
            <w:r>
              <w:rPr>
                <w:rFonts w:hint="eastAsia" w:ascii="宋体" w:hAnsi="宋体" w:eastAsia="宋体" w:cs="宋体"/>
                <w:color w:val="auto"/>
                <w:sz w:val="24"/>
                <w:lang w:val="zh-CN"/>
              </w:rPr>
              <w:t>投标单位和个人（指法定代表人、拟委任的项目经理）未在“中国裁判文书网”（wensu.court.gov.cn）上有行贿犯罪行为；</w:t>
            </w:r>
            <w:r>
              <w:rPr>
                <w:rFonts w:hint="eastAsia" w:ascii="宋体" w:hAnsi="宋体" w:eastAsia="宋体" w:cs="宋体"/>
                <w:color w:val="auto"/>
                <w:sz w:val="24"/>
              </w:rPr>
              <w:t>（复印件加盖公章，以上所有截图必须包括单位名称、查询内容及查询时间，查询时间为</w:t>
            </w:r>
            <w:r>
              <w:rPr>
                <w:rFonts w:hint="eastAsia" w:ascii="宋体" w:hAnsi="宋体" w:eastAsia="宋体" w:cs="宋体"/>
                <w:color w:val="auto"/>
                <w:sz w:val="24"/>
                <w:lang w:eastAsia="zh-CN"/>
              </w:rPr>
              <w:t>竞争性磋商公告</w:t>
            </w:r>
            <w:r>
              <w:rPr>
                <w:rFonts w:hint="eastAsia" w:ascii="宋体" w:hAnsi="宋体" w:eastAsia="宋体" w:cs="宋体"/>
                <w:color w:val="auto"/>
                <w:sz w:val="24"/>
              </w:rPr>
              <w:t>发布之日至开标截止之日期间内任意一天）</w:t>
            </w:r>
            <w:r>
              <w:rPr>
                <w:rFonts w:hint="eastAsia" w:ascii="宋体" w:hAnsi="宋体" w:eastAsia="宋体" w:cs="宋体"/>
                <w:color w:val="auto"/>
                <w:kern w:val="2"/>
                <w:sz w:val="24"/>
                <w:szCs w:val="24"/>
              </w:rPr>
              <w:t>；</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kern w:val="2"/>
                <w:sz w:val="24"/>
                <w:szCs w:val="24"/>
              </w:rPr>
            </w:pPr>
            <w:r>
              <w:rPr>
                <w:rFonts w:hint="eastAsia" w:ascii="宋体" w:hAnsi="宋体" w:eastAsia="宋体" w:cs="宋体"/>
                <w:kern w:val="2"/>
                <w:sz w:val="24"/>
                <w:szCs w:val="24"/>
                <w:lang w:val="en-US" w:eastAsia="zh-CN"/>
              </w:rPr>
              <w:t>1</w:t>
            </w:r>
            <w:r>
              <w:rPr>
                <w:rFonts w:hint="eastAsia" w:ascii="宋体" w:hAnsi="宋体" w:cs="宋体"/>
                <w:kern w:val="2"/>
                <w:sz w:val="24"/>
                <w:szCs w:val="24"/>
                <w:lang w:val="en-US" w:eastAsia="zh-CN"/>
              </w:rPr>
              <w:t>1</w:t>
            </w:r>
            <w:r>
              <w:rPr>
                <w:rFonts w:hint="eastAsia" w:ascii="宋体" w:hAnsi="宋体" w:eastAsia="宋体" w:cs="宋体"/>
                <w:kern w:val="2"/>
                <w:sz w:val="24"/>
                <w:szCs w:val="24"/>
              </w:rPr>
              <w:t>、</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不参与涉黑涉恶承诺书；</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cs="宋体"/>
                <w:kern w:val="2"/>
                <w:sz w:val="24"/>
                <w:szCs w:val="24"/>
                <w:lang w:val="en-US" w:eastAsia="zh-CN"/>
              </w:rPr>
              <w:t>2</w:t>
            </w:r>
            <w:r>
              <w:rPr>
                <w:rFonts w:hint="eastAsia" w:ascii="宋体" w:hAnsi="宋体" w:eastAsia="宋体" w:cs="宋体"/>
                <w:kern w:val="2"/>
                <w:sz w:val="24"/>
                <w:szCs w:val="24"/>
              </w:rPr>
              <w:t>、</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要求的其他资料。</w:t>
            </w:r>
          </w:p>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
                <w:bCs/>
                <w:kern w:val="2"/>
                <w:sz w:val="24"/>
                <w:szCs w:val="24"/>
              </w:rPr>
            </w:pPr>
            <w:r>
              <w:rPr>
                <w:rFonts w:hint="eastAsia" w:ascii="宋体" w:hAnsi="宋体" w:eastAsia="宋体" w:cs="宋体"/>
                <w:b/>
                <w:bCs/>
                <w:kern w:val="2"/>
                <w:sz w:val="24"/>
                <w:szCs w:val="24"/>
              </w:rPr>
              <w:t>注：</w:t>
            </w:r>
          </w:p>
          <w:p>
            <w:pPr>
              <w:keepNext w:val="0"/>
              <w:keepLines w:val="0"/>
              <w:pageBreakBefore w:val="0"/>
              <w:widowControl w:val="0"/>
              <w:kinsoku/>
              <w:wordWrap w:val="0"/>
              <w:overflowPunct/>
              <w:topLinePunct w:val="0"/>
              <w:autoSpaceDE/>
              <w:autoSpaceDN/>
              <w:bidi w:val="0"/>
              <w:adjustRightInd w:val="0"/>
              <w:snapToGrid w:val="0"/>
              <w:spacing w:line="440" w:lineRule="exact"/>
              <w:textAlignment w:val="auto"/>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rPr>
              <w:t>1、上述证件应在</w:t>
            </w:r>
            <w:r>
              <w:rPr>
                <w:rFonts w:hint="eastAsia" w:ascii="宋体" w:hAnsi="宋体" w:eastAsia="宋体" w:cs="宋体"/>
                <w:b w:val="0"/>
                <w:bCs w:val="0"/>
                <w:kern w:val="2"/>
                <w:sz w:val="24"/>
                <w:szCs w:val="24"/>
                <w:lang w:eastAsia="zh-CN"/>
              </w:rPr>
              <w:t>响应文件</w:t>
            </w:r>
            <w:r>
              <w:rPr>
                <w:rFonts w:hint="eastAsia" w:ascii="宋体" w:hAnsi="宋体" w:eastAsia="宋体" w:cs="宋体"/>
                <w:b w:val="0"/>
                <w:bCs w:val="0"/>
                <w:kern w:val="2"/>
                <w:sz w:val="24"/>
                <w:szCs w:val="24"/>
              </w:rPr>
              <w:t>其他材料中上传。</w:t>
            </w:r>
          </w:p>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textAlignment w:val="auto"/>
              <w:rPr>
                <w:rFonts w:hint="eastAsia" w:ascii="宋体" w:hAnsi="宋体" w:eastAsia="宋体" w:cs="宋体"/>
                <w:kern w:val="2"/>
                <w:sz w:val="24"/>
                <w:szCs w:val="24"/>
              </w:rPr>
            </w:pPr>
            <w:r>
              <w:rPr>
                <w:rFonts w:hint="eastAsia" w:ascii="宋体" w:hAnsi="宋体" w:cs="宋体"/>
                <w:b w:val="0"/>
                <w:bCs w:val="0"/>
                <w:sz w:val="24"/>
                <w:lang w:val="en-US" w:eastAsia="zh-CN"/>
              </w:rPr>
              <w:t>2</w:t>
            </w:r>
            <w:r>
              <w:rPr>
                <w:rFonts w:hint="eastAsia" w:ascii="宋体" w:hAnsi="宋体" w:eastAsia="宋体" w:cs="宋体"/>
                <w:b w:val="0"/>
                <w:bCs w:val="0"/>
                <w:sz w:val="24"/>
              </w:rPr>
              <w:t>.未按照</w:t>
            </w:r>
            <w:r>
              <w:rPr>
                <w:rFonts w:hint="eastAsia" w:ascii="宋体" w:hAnsi="宋体" w:eastAsia="宋体" w:cs="宋体"/>
                <w:b w:val="0"/>
                <w:bCs w:val="0"/>
                <w:sz w:val="24"/>
                <w:lang w:eastAsia="zh-CN"/>
              </w:rPr>
              <w:t>磋商文件</w:t>
            </w:r>
            <w:r>
              <w:rPr>
                <w:rFonts w:hint="eastAsia" w:ascii="宋体" w:hAnsi="宋体" w:eastAsia="宋体" w:cs="宋体"/>
                <w:b w:val="0"/>
                <w:bCs w:val="0"/>
                <w:sz w:val="24"/>
              </w:rPr>
              <w:t>要求上传递交的按无效投标处理，由此引发的后果和责任由</w:t>
            </w:r>
            <w:r>
              <w:rPr>
                <w:rFonts w:hint="eastAsia" w:ascii="宋体" w:hAnsi="宋体" w:eastAsia="宋体" w:cs="宋体"/>
                <w:b w:val="0"/>
                <w:bCs w:val="0"/>
                <w:sz w:val="24"/>
                <w:lang w:eastAsia="zh-CN"/>
              </w:rPr>
              <w:t>供应商</w:t>
            </w:r>
            <w:r>
              <w:rPr>
                <w:rFonts w:hint="eastAsia" w:ascii="宋体" w:hAnsi="宋体" w:eastAsia="宋体" w:cs="宋体"/>
                <w:b w:val="0"/>
                <w:bCs w:val="0"/>
                <w:sz w:val="24"/>
              </w:rPr>
              <w:t>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3.3.1</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投标有效期</w:t>
            </w:r>
          </w:p>
        </w:tc>
        <w:tc>
          <w:tcPr>
            <w:tcW w:w="7017"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sz w:val="24"/>
                <w:szCs w:val="24"/>
                <w:highlight w:val="none"/>
                <w:lang w:val="zh-CN"/>
              </w:rPr>
              <w:t>投标截止之日后90天（日历天），从开标截止之日算起。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bottom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3.4.1</w:t>
            </w:r>
          </w:p>
        </w:tc>
        <w:tc>
          <w:tcPr>
            <w:tcW w:w="1712" w:type="dxa"/>
            <w:tcBorders>
              <w:bottom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磋商保证金</w:t>
            </w:r>
          </w:p>
        </w:tc>
        <w:tc>
          <w:tcPr>
            <w:tcW w:w="7017" w:type="dxa"/>
            <w:tcBorders>
              <w:bottom w:val="single" w:color="auto" w:sz="4" w:space="0"/>
            </w:tcBorders>
            <w:shd w:val="clear" w:color="auto" w:fill="auto"/>
            <w:noWrap w:val="0"/>
            <w:vAlign w:val="top"/>
          </w:tcPr>
          <w:p>
            <w:pPr>
              <w:keepNext w:val="0"/>
              <w:keepLines w:val="0"/>
              <w:pageBreakBefore w:val="0"/>
              <w:widowControl w:val="0"/>
              <w:tabs>
                <w:tab w:val="right" w:pos="8306"/>
              </w:tabs>
              <w:kinsoku/>
              <w:wordWrap w:val="0"/>
              <w:overflowPunct/>
              <w:topLinePunct w:val="0"/>
              <w:autoSpaceDE/>
              <w:autoSpaceDN/>
              <w:bidi w:val="0"/>
              <w:spacing w:line="440" w:lineRule="exact"/>
              <w:textAlignment w:val="auto"/>
              <w:rPr>
                <w:rFonts w:hint="eastAsia" w:ascii="宋体" w:hAnsi="宋体" w:eastAsia="宋体" w:cs="宋体"/>
                <w:bCs/>
                <w:kern w:val="15"/>
                <w:sz w:val="24"/>
                <w:szCs w:val="24"/>
              </w:rPr>
            </w:pPr>
            <w:r>
              <w:rPr>
                <w:rFonts w:hint="eastAsia" w:ascii="宋体" w:hAnsi="宋体" w:eastAsia="宋体" w:cs="宋体"/>
                <w:bCs/>
                <w:kern w:val="15"/>
                <w:sz w:val="24"/>
                <w:szCs w:val="24"/>
              </w:rPr>
              <w:t>是否要求</w:t>
            </w:r>
            <w:r>
              <w:rPr>
                <w:rFonts w:hint="eastAsia" w:ascii="宋体" w:hAnsi="宋体" w:eastAsia="宋体" w:cs="宋体"/>
                <w:bCs/>
                <w:kern w:val="15"/>
                <w:sz w:val="24"/>
                <w:szCs w:val="24"/>
                <w:lang w:eastAsia="zh-CN"/>
              </w:rPr>
              <w:t>供应商</w:t>
            </w:r>
            <w:r>
              <w:rPr>
                <w:rFonts w:hint="eastAsia" w:ascii="宋体" w:hAnsi="宋体" w:eastAsia="宋体" w:cs="宋体"/>
                <w:bCs/>
                <w:kern w:val="15"/>
                <w:sz w:val="24"/>
                <w:szCs w:val="24"/>
              </w:rPr>
              <w:t>递交</w:t>
            </w:r>
            <w:r>
              <w:rPr>
                <w:rFonts w:hint="eastAsia" w:ascii="宋体" w:hAnsi="宋体" w:eastAsia="宋体" w:cs="宋体"/>
                <w:bCs/>
                <w:kern w:val="15"/>
                <w:sz w:val="24"/>
                <w:szCs w:val="24"/>
                <w:lang w:eastAsia="zh-CN"/>
              </w:rPr>
              <w:t>磋商保证金</w:t>
            </w:r>
            <w:r>
              <w:rPr>
                <w:rFonts w:hint="eastAsia" w:ascii="宋体" w:hAnsi="宋体" w:eastAsia="宋体" w:cs="宋体"/>
                <w:bCs/>
                <w:kern w:val="15"/>
                <w:sz w:val="24"/>
                <w:szCs w:val="24"/>
              </w:rPr>
              <w:t>：</w:t>
            </w:r>
          </w:p>
          <w:p>
            <w:pPr>
              <w:keepNext w:val="0"/>
              <w:keepLines w:val="0"/>
              <w:pageBreakBefore w:val="0"/>
              <w:widowControl w:val="0"/>
              <w:tabs>
                <w:tab w:val="right" w:pos="8306"/>
              </w:tabs>
              <w:kinsoku/>
              <w:wordWrap w:val="0"/>
              <w:overflowPunct/>
              <w:topLinePunct w:val="0"/>
              <w:autoSpaceDE/>
              <w:autoSpaceDN/>
              <w:bidi w:val="0"/>
              <w:spacing w:line="440" w:lineRule="exact"/>
              <w:textAlignment w:val="auto"/>
              <w:rPr>
                <w:rFonts w:hint="eastAsia" w:ascii="宋体" w:hAnsi="宋体" w:eastAsia="宋体" w:cs="宋体"/>
                <w:bCs/>
                <w:kern w:val="15"/>
                <w:sz w:val="24"/>
                <w:szCs w:val="24"/>
              </w:rPr>
            </w:pPr>
            <w:r>
              <w:rPr>
                <w:rFonts w:hint="eastAsia" w:ascii="宋体" w:hAnsi="宋体" w:eastAsia="宋体" w:cs="宋体"/>
                <w:bCs/>
                <w:kern w:val="15"/>
                <w:sz w:val="24"/>
                <w:szCs w:val="24"/>
              </w:rPr>
              <w:fldChar w:fldCharType="begin"/>
            </w:r>
            <w:r>
              <w:rPr>
                <w:rFonts w:hint="eastAsia" w:ascii="宋体" w:hAnsi="宋体" w:eastAsia="宋体" w:cs="宋体"/>
                <w:bCs/>
                <w:kern w:val="15"/>
                <w:sz w:val="24"/>
                <w:szCs w:val="24"/>
              </w:rPr>
              <w:instrText xml:space="preserve">eq \o\ac(□,√)</w:instrText>
            </w:r>
            <w:r>
              <w:rPr>
                <w:rFonts w:hint="eastAsia" w:ascii="宋体" w:hAnsi="宋体" w:eastAsia="宋体" w:cs="宋体"/>
                <w:bCs/>
                <w:kern w:val="15"/>
                <w:sz w:val="24"/>
                <w:szCs w:val="24"/>
              </w:rPr>
              <w:fldChar w:fldCharType="end"/>
            </w:r>
            <w:r>
              <w:rPr>
                <w:rFonts w:hint="eastAsia" w:ascii="宋体" w:hAnsi="宋体" w:eastAsia="宋体" w:cs="宋体"/>
                <w:bCs/>
                <w:kern w:val="15"/>
                <w:sz w:val="24"/>
                <w:szCs w:val="24"/>
              </w:rPr>
              <w:t>要求，递交</w:t>
            </w:r>
            <w:r>
              <w:rPr>
                <w:rFonts w:hint="eastAsia" w:ascii="宋体" w:hAnsi="宋体" w:eastAsia="宋体" w:cs="宋体"/>
                <w:bCs/>
                <w:kern w:val="15"/>
                <w:sz w:val="24"/>
                <w:szCs w:val="24"/>
                <w:lang w:eastAsia="zh-CN"/>
              </w:rPr>
              <w:t>磋商保证金</w:t>
            </w:r>
            <w:r>
              <w:rPr>
                <w:rFonts w:hint="eastAsia" w:ascii="宋体" w:hAnsi="宋体" w:eastAsia="宋体" w:cs="宋体"/>
                <w:bCs/>
                <w:kern w:val="15"/>
                <w:sz w:val="24"/>
                <w:szCs w:val="24"/>
              </w:rPr>
              <w:t>的形式：</w:t>
            </w:r>
          </w:p>
          <w:p>
            <w:pPr>
              <w:keepNext w:val="0"/>
              <w:keepLines w:val="0"/>
              <w:pageBreakBefore w:val="0"/>
              <w:widowControl w:val="0"/>
              <w:tabs>
                <w:tab w:val="right" w:pos="8306"/>
              </w:tabs>
              <w:kinsoku/>
              <w:wordWrap w:val="0"/>
              <w:overflowPunct/>
              <w:topLinePunct w:val="0"/>
              <w:autoSpaceDE/>
              <w:autoSpaceDN/>
              <w:bidi w:val="0"/>
              <w:spacing w:line="440" w:lineRule="exact"/>
              <w:textAlignment w:val="auto"/>
              <w:rPr>
                <w:rFonts w:hint="eastAsia" w:ascii="宋体" w:hAnsi="宋体" w:eastAsia="宋体" w:cs="宋体"/>
                <w:bCs/>
                <w:kern w:val="15"/>
                <w:sz w:val="24"/>
                <w:szCs w:val="24"/>
              </w:rPr>
            </w:pPr>
            <w:r>
              <w:rPr>
                <w:rFonts w:hint="eastAsia" w:ascii="宋体" w:hAnsi="宋体" w:eastAsia="宋体" w:cs="宋体"/>
                <w:bCs/>
                <w:kern w:val="15"/>
                <w:sz w:val="24"/>
                <w:szCs w:val="24"/>
              </w:rPr>
              <w:t>现金、转账、银行出具的现金支票、保兑支票、银行汇票，银行、工程担保机构出具的保函（担保机构须按吉林省相关文件规定执行）。以现金或支票形式提交的投标保证金应当从投标单位的基本账户转出。</w:t>
            </w:r>
          </w:p>
          <w:p>
            <w:pPr>
              <w:keepNext w:val="0"/>
              <w:keepLines w:val="0"/>
              <w:pageBreakBefore w:val="0"/>
              <w:widowControl w:val="0"/>
              <w:suppressLineNumbers w:val="0"/>
              <w:tabs>
                <w:tab w:val="right" w:pos="8306"/>
              </w:tabs>
              <w:kinsoku/>
              <w:wordWrap w:val="0"/>
              <w:overflowPunct/>
              <w:topLinePunct w:val="0"/>
              <w:autoSpaceDE/>
              <w:autoSpaceDN/>
              <w:bidi w:val="0"/>
              <w:spacing w:before="0" w:beforeAutospacing="0" w:afterAutospacing="0" w:line="440" w:lineRule="exact"/>
              <w:ind w:left="0" w:right="0" w:rightChars="0"/>
              <w:textAlignment w:val="auto"/>
              <w:rPr>
                <w:rFonts w:hint="eastAsia" w:ascii="宋体" w:hAnsi="宋体" w:eastAsia="宋体" w:cs="宋体"/>
                <w:b w:val="0"/>
                <w:bCs w:val="0"/>
                <w:color w:val="auto"/>
                <w:kern w:val="15"/>
                <w:sz w:val="24"/>
                <w:szCs w:val="24"/>
                <w:highlight w:val="none"/>
              </w:rPr>
            </w:pPr>
            <w:r>
              <w:rPr>
                <w:rFonts w:hint="eastAsia" w:ascii="宋体" w:hAnsi="宋体" w:eastAsia="宋体" w:cs="宋体"/>
                <w:b w:val="0"/>
                <w:bCs w:val="0"/>
                <w:kern w:val="15"/>
                <w:sz w:val="24"/>
                <w:szCs w:val="24"/>
                <w:lang w:eastAsia="zh-CN"/>
              </w:rPr>
              <w:t>磋商保证金</w:t>
            </w:r>
            <w:r>
              <w:rPr>
                <w:rFonts w:hint="eastAsia" w:ascii="宋体" w:hAnsi="宋体" w:eastAsia="宋体" w:cs="宋体"/>
                <w:b w:val="0"/>
                <w:bCs w:val="0"/>
                <w:kern w:val="15"/>
                <w:sz w:val="24"/>
                <w:szCs w:val="24"/>
              </w:rPr>
              <w:t>的金额</w:t>
            </w:r>
            <w:r>
              <w:rPr>
                <w:rFonts w:hint="eastAsia" w:ascii="宋体" w:hAnsi="宋体" w:eastAsia="宋体" w:cs="宋体"/>
                <w:b w:val="0"/>
                <w:bCs w:val="0"/>
                <w:color w:val="auto"/>
                <w:kern w:val="15"/>
                <w:sz w:val="24"/>
                <w:szCs w:val="24"/>
              </w:rPr>
              <w:t>：</w:t>
            </w:r>
            <w:r>
              <w:rPr>
                <w:rFonts w:hint="eastAsia" w:ascii="宋体" w:hAnsi="宋体" w:eastAsia="宋体" w:cs="宋体"/>
                <w:b w:val="0"/>
                <w:bCs w:val="0"/>
                <w:color w:val="auto"/>
                <w:kern w:val="15"/>
                <w:sz w:val="24"/>
                <w:szCs w:val="24"/>
                <w:highlight w:val="none"/>
              </w:rPr>
              <w:t>人民币</w:t>
            </w:r>
            <w:r>
              <w:rPr>
                <w:rFonts w:hint="eastAsia" w:ascii="宋体" w:hAnsi="宋体" w:cs="宋体"/>
                <w:b w:val="0"/>
                <w:bCs w:val="0"/>
                <w:color w:val="auto"/>
                <w:kern w:val="15"/>
                <w:sz w:val="24"/>
                <w:szCs w:val="24"/>
                <w:highlight w:val="none"/>
                <w:lang w:val="en-US" w:eastAsia="zh-CN"/>
              </w:rPr>
              <w:t>16000</w:t>
            </w:r>
            <w:r>
              <w:rPr>
                <w:rFonts w:hint="eastAsia" w:ascii="宋体" w:hAnsi="宋体" w:eastAsia="宋体" w:cs="宋体"/>
                <w:b w:val="0"/>
                <w:bCs w:val="0"/>
                <w:color w:val="auto"/>
                <w:kern w:val="15"/>
                <w:sz w:val="24"/>
                <w:szCs w:val="24"/>
                <w:highlight w:val="none"/>
              </w:rPr>
              <w:t>元整</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宋体" w:hAnsi="宋体" w:eastAsia="宋体" w:cs="宋体"/>
                <w:b w:val="0"/>
                <w:bCs w:val="0"/>
                <w:kern w:val="15"/>
                <w:sz w:val="24"/>
                <w:szCs w:val="24"/>
                <w:lang w:val="en-US" w:eastAsia="zh-CN" w:bidi="ar-SA"/>
              </w:rPr>
            </w:pPr>
            <w:r>
              <w:rPr>
                <w:rFonts w:hint="eastAsia" w:ascii="宋体" w:hAnsi="宋体" w:eastAsia="宋体" w:cs="宋体"/>
                <w:b w:val="0"/>
                <w:bCs w:val="0"/>
                <w:kern w:val="2"/>
                <w:sz w:val="24"/>
                <w:szCs w:val="24"/>
                <w:lang w:val="en-US" w:eastAsia="zh-CN" w:bidi="ar-SA"/>
              </w:rPr>
              <w:t>收款单位：</w:t>
            </w:r>
            <w:r>
              <w:rPr>
                <w:rFonts w:hint="eastAsia" w:ascii="宋体" w:hAnsi="宋体" w:eastAsia="宋体" w:cs="宋体"/>
                <w:color w:val="auto"/>
                <w:kern w:val="2"/>
                <w:sz w:val="24"/>
                <w:szCs w:val="24"/>
                <w:highlight w:val="none"/>
                <w:lang w:val="en-US" w:eastAsia="zh-CN" w:bidi="ar-SA"/>
              </w:rPr>
              <w:t>吉林</w:t>
            </w:r>
            <w:r>
              <w:rPr>
                <w:rFonts w:hint="eastAsia" w:ascii="宋体" w:hAnsi="宋体" w:cs="宋体"/>
                <w:color w:val="auto"/>
                <w:kern w:val="2"/>
                <w:sz w:val="24"/>
                <w:szCs w:val="24"/>
                <w:highlight w:val="none"/>
                <w:lang w:val="en-US" w:eastAsia="zh-CN" w:bidi="ar-SA"/>
              </w:rPr>
              <w:t>玖远</w:t>
            </w:r>
            <w:r>
              <w:rPr>
                <w:rFonts w:hint="eastAsia" w:ascii="宋体" w:hAnsi="宋体" w:eastAsia="宋体" w:cs="宋体"/>
                <w:color w:val="auto"/>
                <w:kern w:val="2"/>
                <w:sz w:val="24"/>
                <w:szCs w:val="24"/>
                <w:highlight w:val="none"/>
                <w:lang w:val="en-US" w:eastAsia="zh-CN" w:bidi="ar-SA"/>
              </w:rPr>
              <w:t>项目管理有限公司</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left"/>
              <w:textAlignment w:val="auto"/>
              <w:rPr>
                <w:rFonts w:hint="eastAsia" w:ascii="宋体" w:hAnsi="宋体" w:eastAsia="宋体" w:cs="宋体"/>
                <w:b w:val="0"/>
                <w:bCs w:val="0"/>
                <w:color w:val="auto"/>
                <w:kern w:val="15"/>
                <w:sz w:val="24"/>
                <w:szCs w:val="24"/>
                <w:lang w:val="en-US" w:eastAsia="zh-CN" w:bidi="ar-SA"/>
              </w:rPr>
            </w:pPr>
            <w:r>
              <w:rPr>
                <w:rFonts w:hint="eastAsia" w:ascii="宋体" w:hAnsi="宋体" w:eastAsia="宋体" w:cs="宋体"/>
                <w:b w:val="0"/>
                <w:bCs w:val="0"/>
                <w:kern w:val="2"/>
                <w:sz w:val="24"/>
                <w:szCs w:val="24"/>
                <w:lang w:val="en-US" w:eastAsia="zh-CN" w:bidi="ar-SA"/>
              </w:rPr>
              <w:t>开户银行：</w:t>
            </w:r>
            <w:r>
              <w:rPr>
                <w:rFonts w:hint="eastAsia" w:ascii="宋体" w:hAnsi="宋体" w:eastAsia="宋体" w:cs="宋体"/>
                <w:b w:val="0"/>
                <w:bCs w:val="0"/>
                <w:color w:val="auto"/>
                <w:kern w:val="15"/>
                <w:sz w:val="24"/>
                <w:szCs w:val="24"/>
                <w:lang w:val="en-US" w:eastAsia="zh-CN" w:bidi="ar-SA"/>
              </w:rPr>
              <w:t>吉林环城农村商业银行股份有限公司政务服务中心支行</w:t>
            </w:r>
          </w:p>
          <w:p>
            <w:pPr>
              <w:pStyle w:val="15"/>
              <w:keepNext w:val="0"/>
              <w:keepLines w:val="0"/>
              <w:pageBreakBefore w:val="0"/>
              <w:widowControl w:val="0"/>
              <w:kinsoku/>
              <w:wordWrap w:val="0"/>
              <w:overflowPunct/>
              <w:topLinePunct w:val="0"/>
              <w:autoSpaceDE/>
              <w:autoSpaceDN/>
              <w:bidi w:val="0"/>
              <w:spacing w:line="440" w:lineRule="exact"/>
              <w:jc w:val="both"/>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账号：0720622011015200008036</w:t>
            </w:r>
          </w:p>
          <w:p>
            <w:pPr>
              <w:keepNext w:val="0"/>
              <w:keepLines w:val="0"/>
              <w:pageBreakBefore w:val="0"/>
              <w:widowControl w:val="0"/>
              <w:kinsoku/>
              <w:wordWrap w:val="0"/>
              <w:overflowPunct/>
              <w:topLinePunct w:val="0"/>
              <w:autoSpaceDE/>
              <w:autoSpaceDN/>
              <w:bidi w:val="0"/>
              <w:snapToGrid/>
              <w:spacing w:line="44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联系人：吴玉凤 </w:t>
            </w:r>
          </w:p>
          <w:p>
            <w:pPr>
              <w:keepNext w:val="0"/>
              <w:keepLines w:val="0"/>
              <w:pageBreakBefore w:val="0"/>
              <w:widowControl w:val="0"/>
              <w:kinsoku/>
              <w:wordWrap w:val="0"/>
              <w:overflowPunct/>
              <w:topLinePunct w:val="0"/>
              <w:autoSpaceDE/>
              <w:autoSpaceDN/>
              <w:bidi w:val="0"/>
              <w:snapToGrid/>
              <w:spacing w:line="440" w:lineRule="exact"/>
              <w:jc w:val="both"/>
              <w:textAlignment w:val="auto"/>
              <w:rPr>
                <w:rFonts w:hint="eastAsia" w:ascii="宋体" w:hAnsi="宋体" w:eastAsia="宋体" w:cs="宋体"/>
                <w:color w:val="FF0000"/>
                <w:sz w:val="24"/>
                <w:szCs w:val="24"/>
              </w:rPr>
            </w:pPr>
            <w:r>
              <w:rPr>
                <w:rFonts w:hint="eastAsia" w:ascii="宋体" w:hAnsi="宋体" w:eastAsia="宋体" w:cs="宋体"/>
                <w:sz w:val="24"/>
                <w:szCs w:val="24"/>
              </w:rPr>
              <w:t>联系电话：15590068486</w:t>
            </w:r>
          </w:p>
          <w:p>
            <w:pPr>
              <w:keepNext w:val="0"/>
              <w:keepLines w:val="0"/>
              <w:pageBreakBefore w:val="0"/>
              <w:widowControl w:val="0"/>
              <w:kinsoku/>
              <w:wordWrap w:val="0"/>
              <w:overflowPunct/>
              <w:topLinePunct w:val="0"/>
              <w:autoSpaceDE/>
              <w:autoSpaceDN/>
              <w:bidi w:val="0"/>
              <w:adjustRightInd/>
              <w:snapToGrid/>
              <w:spacing w:line="440" w:lineRule="exact"/>
              <w:textAlignment w:val="auto"/>
              <w:rPr>
                <w:rFonts w:hint="eastAsia" w:ascii="宋体" w:hAnsi="宋体" w:eastAsia="宋体" w:cs="宋体"/>
                <w:color w:val="auto"/>
                <w:kern w:val="15"/>
                <w:sz w:val="24"/>
              </w:rPr>
            </w:pPr>
            <w:r>
              <w:rPr>
                <w:rFonts w:hint="eastAsia" w:ascii="宋体" w:hAnsi="宋体" w:eastAsia="宋体" w:cs="宋体"/>
                <w:b/>
                <w:kern w:val="15"/>
                <w:sz w:val="24"/>
                <w:szCs w:val="24"/>
              </w:rPr>
              <w:t>注：</w:t>
            </w:r>
          </w:p>
          <w:p>
            <w:pPr>
              <w:widowControl w:val="0"/>
              <w:wordWrap w:val="0"/>
              <w:spacing w:line="440" w:lineRule="exact"/>
              <w:rPr>
                <w:rFonts w:hint="default" w:ascii="宋体" w:hAnsi="宋体" w:eastAsia="宋体" w:cs="宋体"/>
                <w:kern w:val="2"/>
                <w:sz w:val="24"/>
                <w:szCs w:val="24"/>
                <w:lang w:val="en-US" w:eastAsia="zh-CN"/>
              </w:rPr>
            </w:pPr>
            <w:r>
              <w:rPr>
                <w:rFonts w:hint="eastAsia" w:ascii="宋体" w:hAnsi="宋体" w:eastAsia="宋体" w:cs="宋体"/>
                <w:color w:val="auto"/>
                <w:sz w:val="24"/>
                <w:szCs w:val="24"/>
                <w:highlight w:val="none"/>
                <w:lang w:val="zh-CN"/>
              </w:rPr>
              <w:t>递交</w:t>
            </w:r>
            <w:r>
              <w:rPr>
                <w:rFonts w:hint="eastAsia" w:ascii="宋体" w:hAnsi="宋体" w:cs="宋体"/>
                <w:color w:val="auto"/>
                <w:sz w:val="24"/>
                <w:szCs w:val="24"/>
                <w:highlight w:val="none"/>
                <w:lang w:val="en-US" w:eastAsia="zh-CN"/>
              </w:rPr>
              <w:t>截止时间</w:t>
            </w: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en-US" w:eastAsia="zh-CN"/>
              </w:rPr>
              <w:t>2026年06月04日09:30分前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highlight w:val="none"/>
                <w:lang w:val="zh-CN"/>
              </w:rPr>
            </w:pPr>
            <w:r>
              <w:rPr>
                <w:rFonts w:hint="eastAsia" w:ascii="宋体" w:hAnsi="宋体" w:eastAsia="宋体" w:cs="宋体"/>
                <w:bCs/>
                <w:kern w:val="2"/>
                <w:sz w:val="24"/>
                <w:szCs w:val="24"/>
                <w:highlight w:val="none"/>
                <w:lang w:val="zh-CN"/>
              </w:rPr>
              <w:t>3.5.2</w:t>
            </w:r>
          </w:p>
        </w:tc>
        <w:tc>
          <w:tcPr>
            <w:tcW w:w="1712" w:type="dxa"/>
            <w:tcBorders>
              <w:top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i w:val="0"/>
                <w:iCs w:val="0"/>
                <w:kern w:val="2"/>
                <w:sz w:val="24"/>
                <w:szCs w:val="24"/>
                <w:highlight w:val="none"/>
                <w:u w:val="none"/>
                <w:lang w:val="zh-CN"/>
              </w:rPr>
            </w:pPr>
            <w:r>
              <w:rPr>
                <w:rFonts w:hint="eastAsia" w:ascii="宋体" w:hAnsi="宋体" w:eastAsia="宋体" w:cs="宋体"/>
                <w:bCs/>
                <w:i w:val="0"/>
                <w:iCs w:val="0"/>
                <w:kern w:val="2"/>
                <w:sz w:val="24"/>
                <w:szCs w:val="24"/>
                <w:highlight w:val="none"/>
                <w:u w:val="none"/>
                <w:lang w:val="zh-CN"/>
              </w:rPr>
              <w:t>近年财务状况的年份要求</w:t>
            </w:r>
          </w:p>
        </w:tc>
        <w:tc>
          <w:tcPr>
            <w:tcW w:w="7017" w:type="dxa"/>
            <w:tcBorders>
              <w:top w:val="single" w:color="auto" w:sz="4" w:space="0"/>
            </w:tcBorders>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i w:val="0"/>
                <w:iCs w:val="0"/>
                <w:color w:val="auto"/>
                <w:kern w:val="2"/>
                <w:sz w:val="24"/>
                <w:szCs w:val="24"/>
                <w:highlight w:val="none"/>
                <w:u w:val="none"/>
              </w:rPr>
            </w:pPr>
            <w:r>
              <w:rPr>
                <w:rFonts w:hint="eastAsia" w:ascii="宋体" w:hAnsi="宋体" w:eastAsia="宋体" w:cs="宋体"/>
                <w:color w:val="auto"/>
                <w:kern w:val="2"/>
                <w:sz w:val="24"/>
                <w:szCs w:val="24"/>
                <w:highlight w:val="none"/>
                <w:lang w:val="zh-CN"/>
              </w:rPr>
              <w:t>供近三年（202</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val="zh-CN"/>
              </w:rPr>
              <w:t>年至202</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lang w:val="zh-CN"/>
              </w:rPr>
              <w:t>年）</w:t>
            </w:r>
            <w:r>
              <w:rPr>
                <w:rFonts w:hint="eastAsia" w:ascii="宋体" w:hAnsi="宋体" w:cs="宋体"/>
                <w:color w:val="auto"/>
                <w:kern w:val="2"/>
                <w:sz w:val="24"/>
                <w:szCs w:val="24"/>
                <w:highlight w:val="none"/>
                <w:lang w:val="en-US" w:eastAsia="zh-CN"/>
              </w:rPr>
              <w:t>财务报表或审计报告；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kern w:val="2"/>
                <w:sz w:val="24"/>
                <w:szCs w:val="24"/>
                <w:lang w:val="zh-CN"/>
              </w:rPr>
            </w:pPr>
            <w:r>
              <w:rPr>
                <w:rFonts w:hint="eastAsia" w:ascii="宋体" w:hAnsi="宋体" w:eastAsia="宋体" w:cs="宋体"/>
                <w:kern w:val="2"/>
                <w:sz w:val="24"/>
                <w:szCs w:val="24"/>
              </w:rPr>
              <w:t>3.5.3</w:t>
            </w:r>
          </w:p>
        </w:tc>
        <w:tc>
          <w:tcPr>
            <w:tcW w:w="1712" w:type="dxa"/>
            <w:tcBorders>
              <w:top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近年完成的类似项目的年份要求</w:t>
            </w:r>
          </w:p>
        </w:tc>
        <w:tc>
          <w:tcPr>
            <w:tcW w:w="7017" w:type="dxa"/>
            <w:tcBorders>
              <w:top w:val="single" w:color="auto" w:sz="4" w:space="0"/>
            </w:tcBorders>
            <w:noWrap w:val="0"/>
            <w:vAlign w:val="center"/>
          </w:tcPr>
          <w:p>
            <w:pPr>
              <w:keepNext w:val="0"/>
              <w:keepLines w:val="0"/>
              <w:pageBreakBefore w:val="0"/>
              <w:widowControl w:val="0"/>
              <w:kinsoku/>
              <w:wordWrap w:val="0"/>
              <w:overflowPunct/>
              <w:topLinePunct w:val="0"/>
              <w:autoSpaceDE/>
              <w:autoSpaceDN/>
              <w:bidi w:val="0"/>
              <w:spacing w:line="440" w:lineRule="exact"/>
              <w:jc w:val="left"/>
              <w:textAlignment w:val="auto"/>
              <w:rPr>
                <w:rFonts w:hint="eastAsia" w:ascii="宋体" w:hAnsi="宋体" w:eastAsia="宋体" w:cs="宋体"/>
                <w:bCs/>
                <w:color w:val="auto"/>
                <w:kern w:val="2"/>
                <w:sz w:val="24"/>
                <w:szCs w:val="24"/>
                <w:u w:val="single"/>
              </w:rPr>
            </w:pPr>
            <w:r>
              <w:rPr>
                <w:rFonts w:hint="eastAsia" w:ascii="宋体" w:hAnsi="宋体" w:eastAsia="宋体" w:cs="宋体"/>
                <w:color w:val="auto"/>
                <w:kern w:val="2"/>
                <w:sz w:val="24"/>
                <w:szCs w:val="24"/>
              </w:rPr>
              <w:t>20</w:t>
            </w:r>
            <w:r>
              <w:rPr>
                <w:rFonts w:hint="eastAsia" w:ascii="宋体" w:hAnsi="宋体" w:eastAsia="宋体" w:cs="宋体"/>
                <w:color w:val="auto"/>
                <w:kern w:val="2"/>
                <w:sz w:val="24"/>
                <w:szCs w:val="24"/>
                <w:lang w:val="en-US" w:eastAsia="zh-CN"/>
              </w:rPr>
              <w:t>2</w:t>
            </w:r>
            <w:r>
              <w:rPr>
                <w:rFonts w:hint="eastAsia" w:ascii="宋体" w:hAnsi="宋体" w:cs="宋体"/>
                <w:color w:val="auto"/>
                <w:kern w:val="2"/>
                <w:sz w:val="24"/>
                <w:szCs w:val="24"/>
                <w:lang w:val="en-US" w:eastAsia="zh-CN"/>
              </w:rPr>
              <w:t>3至今</w:t>
            </w:r>
            <w:r>
              <w:rPr>
                <w:rFonts w:hint="eastAsia" w:ascii="宋体" w:hAnsi="宋体" w:eastAsia="宋体" w:cs="宋体"/>
                <w:color w:val="auto"/>
                <w:kern w:val="2"/>
                <w:sz w:val="24"/>
                <w:szCs w:val="24"/>
              </w:rPr>
              <w:t>年，指</w:t>
            </w:r>
            <w:r>
              <w:rPr>
                <w:rFonts w:hint="eastAsia" w:ascii="宋体" w:hAnsi="宋体" w:eastAsia="宋体" w:cs="宋体"/>
                <w:color w:val="auto"/>
                <w:kern w:val="2"/>
                <w:sz w:val="24"/>
                <w:szCs w:val="24"/>
                <w:u w:val="single"/>
              </w:rPr>
              <w:t>20</w:t>
            </w:r>
            <w:r>
              <w:rPr>
                <w:rFonts w:hint="eastAsia" w:ascii="宋体" w:hAnsi="宋体" w:eastAsia="宋体" w:cs="宋体"/>
                <w:color w:val="auto"/>
                <w:kern w:val="2"/>
                <w:sz w:val="24"/>
                <w:szCs w:val="24"/>
                <w:u w:val="single"/>
                <w:lang w:val="en-US" w:eastAsia="zh-CN"/>
              </w:rPr>
              <w:t>2</w:t>
            </w:r>
            <w:r>
              <w:rPr>
                <w:rFonts w:hint="eastAsia" w:ascii="宋体" w:hAnsi="宋体" w:cs="宋体"/>
                <w:color w:val="auto"/>
                <w:kern w:val="2"/>
                <w:sz w:val="24"/>
                <w:szCs w:val="24"/>
                <w:u w:val="single"/>
                <w:lang w:val="en-US" w:eastAsia="zh-CN"/>
              </w:rPr>
              <w:t>3</w:t>
            </w:r>
            <w:r>
              <w:rPr>
                <w:rFonts w:hint="eastAsia" w:ascii="宋体" w:hAnsi="宋体" w:eastAsia="宋体" w:cs="宋体"/>
                <w:color w:val="auto"/>
                <w:kern w:val="2"/>
                <w:sz w:val="24"/>
                <w:szCs w:val="24"/>
              </w:rPr>
              <w:t>年</w:t>
            </w:r>
            <w:r>
              <w:rPr>
                <w:rFonts w:hint="eastAsia" w:ascii="宋体" w:hAnsi="宋体" w:eastAsia="宋体" w:cs="宋体"/>
                <w:color w:val="auto"/>
                <w:kern w:val="2"/>
                <w:sz w:val="24"/>
                <w:szCs w:val="24"/>
                <w:u w:val="single"/>
              </w:rPr>
              <w:t>1</w:t>
            </w:r>
            <w:r>
              <w:rPr>
                <w:rFonts w:hint="eastAsia" w:ascii="宋体" w:hAnsi="宋体" w:eastAsia="宋体" w:cs="宋体"/>
                <w:color w:val="auto"/>
                <w:kern w:val="2"/>
                <w:sz w:val="24"/>
                <w:szCs w:val="24"/>
              </w:rPr>
              <w:t>月</w:t>
            </w:r>
            <w:r>
              <w:rPr>
                <w:rFonts w:hint="eastAsia" w:ascii="宋体" w:hAnsi="宋体" w:eastAsia="宋体" w:cs="宋体"/>
                <w:color w:val="auto"/>
                <w:kern w:val="2"/>
                <w:sz w:val="24"/>
                <w:szCs w:val="24"/>
                <w:u w:val="single"/>
              </w:rPr>
              <w:t>1</w:t>
            </w:r>
            <w:r>
              <w:rPr>
                <w:rFonts w:hint="eastAsia" w:ascii="宋体" w:hAnsi="宋体" w:eastAsia="宋体" w:cs="宋体"/>
                <w:color w:val="auto"/>
                <w:kern w:val="2"/>
                <w:sz w:val="24"/>
                <w:szCs w:val="24"/>
              </w:rPr>
              <w:t>日起至</w:t>
            </w:r>
            <w:r>
              <w:rPr>
                <w:rFonts w:hint="eastAsia" w:ascii="宋体" w:hAnsi="宋体" w:cs="宋体"/>
                <w:color w:val="auto"/>
                <w:kern w:val="2"/>
                <w:sz w:val="24"/>
                <w:szCs w:val="24"/>
                <w:u w:val="single"/>
                <w:lang w:val="en-US" w:eastAsia="zh-CN"/>
              </w:rPr>
              <w:t>今</w:t>
            </w:r>
            <w:r>
              <w:rPr>
                <w:rFonts w:hint="eastAsia" w:ascii="宋体" w:hAnsi="宋体" w:eastAsia="宋体" w:cs="宋体"/>
                <w:color w:val="auto"/>
                <w:kern w:val="2"/>
                <w:sz w:val="24"/>
                <w:szCs w:val="24"/>
              </w:rPr>
              <w:t>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rPr>
            </w:pPr>
            <w:r>
              <w:rPr>
                <w:rFonts w:hint="eastAsia" w:ascii="宋体" w:hAnsi="宋体" w:eastAsia="宋体" w:cs="宋体"/>
                <w:bCs/>
                <w:kern w:val="2"/>
                <w:sz w:val="24"/>
                <w:szCs w:val="24"/>
                <w:lang w:val="zh-CN"/>
              </w:rPr>
              <w:t>3.5.</w:t>
            </w:r>
            <w:r>
              <w:rPr>
                <w:rFonts w:hint="eastAsia" w:ascii="宋体" w:hAnsi="宋体" w:eastAsia="宋体" w:cs="宋体"/>
                <w:bCs/>
                <w:kern w:val="2"/>
                <w:sz w:val="24"/>
                <w:szCs w:val="24"/>
              </w:rPr>
              <w:t>5</w:t>
            </w:r>
          </w:p>
        </w:tc>
        <w:tc>
          <w:tcPr>
            <w:tcW w:w="171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近年发生的诉讼及仲裁情况的年份要求</w:t>
            </w:r>
          </w:p>
        </w:tc>
        <w:tc>
          <w:tcPr>
            <w:tcW w:w="7017" w:type="dxa"/>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20</w:t>
            </w:r>
            <w:r>
              <w:rPr>
                <w:rFonts w:hint="eastAsia" w:ascii="宋体" w:hAnsi="宋体" w:cs="宋体"/>
                <w:bCs/>
                <w:color w:val="auto"/>
                <w:kern w:val="2"/>
                <w:sz w:val="24"/>
                <w:szCs w:val="24"/>
                <w:lang w:val="en-US" w:eastAsia="zh-CN"/>
              </w:rPr>
              <w:t>23</w:t>
            </w:r>
            <w:r>
              <w:rPr>
                <w:rFonts w:hint="eastAsia" w:ascii="宋体" w:hAnsi="宋体" w:eastAsia="宋体" w:cs="宋体"/>
                <w:bCs/>
                <w:color w:val="auto"/>
                <w:kern w:val="2"/>
                <w:sz w:val="24"/>
                <w:szCs w:val="24"/>
                <w:lang w:val="zh-CN"/>
              </w:rPr>
              <w:t>年1月1日至竞争性磋商公告发布之日止。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3.6</w:t>
            </w:r>
          </w:p>
        </w:tc>
        <w:tc>
          <w:tcPr>
            <w:tcW w:w="1712" w:type="dxa"/>
            <w:noWrap w:val="0"/>
            <w:vAlign w:val="center"/>
          </w:tcPr>
          <w:p>
            <w:pPr>
              <w:keepNext w:val="0"/>
              <w:keepLines w:val="0"/>
              <w:pageBreakBefore w:val="0"/>
              <w:widowControl w:val="0"/>
              <w:kinsoku/>
              <w:wordWrap w:val="0"/>
              <w:overflowPunct/>
              <w:topLinePunct w:val="0"/>
              <w:autoSpaceDE/>
              <w:autoSpaceDN/>
              <w:bidi w:val="0"/>
              <w:snapToGrid w:val="0"/>
              <w:spacing w:line="400" w:lineRule="exact"/>
              <w:ind w:left="0" w:leftChars="0" w:right="0" w:rightChars="0" w:firstLine="0" w:firstLineChars="0"/>
              <w:jc w:val="center"/>
              <w:textAlignment w:val="auto"/>
              <w:rPr>
                <w:rFonts w:hint="eastAsia" w:ascii="宋体" w:hAnsi="宋体" w:eastAsia="宋体" w:cs="宋体"/>
                <w:color w:val="auto"/>
                <w:sz w:val="21"/>
                <w:szCs w:val="21"/>
                <w:highlight w:val="none"/>
                <w:lang w:val="zh-CN" w:eastAsia="zh-CN" w:bidi="ar-SA"/>
              </w:rPr>
            </w:pPr>
            <w:r>
              <w:rPr>
                <w:rFonts w:hint="eastAsia" w:ascii="宋体" w:hAnsi="宋体" w:eastAsia="宋体" w:cs="宋体"/>
                <w:sz w:val="24"/>
                <w:szCs w:val="21"/>
                <w:highlight w:val="none"/>
                <w:lang w:val="zh-CN" w:eastAsia="zh-CN" w:bidi="ar-SA"/>
              </w:rPr>
              <w:t>是否允许递交备选投标方案</w:t>
            </w:r>
          </w:p>
        </w:tc>
        <w:tc>
          <w:tcPr>
            <w:tcW w:w="7017" w:type="dxa"/>
            <w:noWrap w:val="0"/>
            <w:vAlign w:val="center"/>
          </w:tcPr>
          <w:p>
            <w:pPr>
              <w:keepNext w:val="0"/>
              <w:keepLines w:val="0"/>
              <w:pageBreakBefore w:val="0"/>
              <w:widowControl w:val="0"/>
              <w:kinsoku/>
              <w:wordWrap w:val="0"/>
              <w:overflowPunct/>
              <w:topLinePunct w:val="0"/>
              <w:autoSpaceDE/>
              <w:autoSpaceDN/>
              <w:bidi w:val="0"/>
              <w:snapToGrid w:val="0"/>
              <w:spacing w:line="400" w:lineRule="exact"/>
              <w:textAlignment w:val="auto"/>
              <w:rPr>
                <w:rFonts w:hint="eastAsia" w:ascii="宋体" w:hAnsi="宋体" w:eastAsia="宋体" w:cs="宋体"/>
                <w:bCs/>
                <w:sz w:val="24"/>
                <w:szCs w:val="24"/>
              </w:rPr>
            </w:pPr>
            <w:r>
              <w:rPr>
                <w:rFonts w:hint="eastAsia" w:ascii="宋体" w:hAnsi="宋体" w:eastAsia="宋体" w:cs="宋体"/>
                <w:bCs/>
                <w:sz w:val="24"/>
                <w:highlight w:val="none"/>
                <w:lang w:val="zh-CN"/>
              </w:rPr>
              <w:fldChar w:fldCharType="begin"/>
            </w:r>
            <w:r>
              <w:rPr>
                <w:rFonts w:hint="eastAsia" w:ascii="宋体" w:hAnsi="宋体" w:eastAsia="宋体" w:cs="宋体"/>
                <w:bCs/>
                <w:sz w:val="24"/>
                <w:highlight w:val="none"/>
                <w:lang w:val="zh-CN"/>
              </w:rPr>
              <w:instrText xml:space="preserve">eq \o\ac(□,√)</w:instrText>
            </w:r>
            <w:r>
              <w:rPr>
                <w:rFonts w:hint="eastAsia" w:ascii="宋体" w:hAnsi="宋体" w:eastAsia="宋体" w:cs="宋体"/>
                <w:bCs/>
                <w:sz w:val="24"/>
                <w:highlight w:val="none"/>
                <w:lang w:val="zh-CN"/>
              </w:rPr>
              <w:fldChar w:fldCharType="end"/>
            </w:r>
            <w:r>
              <w:rPr>
                <w:rFonts w:hint="eastAsia" w:ascii="宋体" w:hAnsi="宋体" w:eastAsia="宋体" w:cs="宋体"/>
                <w:bCs/>
                <w:sz w:val="24"/>
                <w:szCs w:val="24"/>
              </w:rPr>
              <w:t>不允许</w:t>
            </w:r>
          </w:p>
          <w:p>
            <w:pPr>
              <w:keepNext w:val="0"/>
              <w:keepLines w:val="0"/>
              <w:pageBreakBefore w:val="0"/>
              <w:widowControl w:val="0"/>
              <w:kinsoku/>
              <w:wordWrap w:val="0"/>
              <w:overflowPunct/>
              <w:topLinePunct w:val="0"/>
              <w:autoSpaceDE/>
              <w:autoSpaceDN/>
              <w:bidi w:val="0"/>
              <w:snapToGrid w:val="0"/>
              <w:spacing w:line="400" w:lineRule="exact"/>
              <w:textAlignment w:val="auto"/>
              <w:rPr>
                <w:rFonts w:hint="eastAsia" w:ascii="宋体" w:hAnsi="宋体" w:eastAsia="宋体" w:cs="宋体"/>
                <w:color w:val="auto"/>
                <w:sz w:val="21"/>
                <w:szCs w:val="21"/>
                <w:highlight w:val="none"/>
                <w:u w:val="single"/>
                <w:lang w:val="zh-CN" w:eastAsia="zh-CN" w:bidi="ar-SA"/>
              </w:rPr>
            </w:pPr>
            <w:r>
              <w:rPr>
                <w:rFonts w:hint="eastAsia" w:ascii="宋体" w:hAnsi="宋体" w:eastAsia="宋体" w:cs="宋体"/>
                <w:bCs/>
                <w:sz w:val="24"/>
                <w:szCs w:val="24"/>
              </w:rPr>
              <w:t>□允许，备选投标方案的编制要求见附表七“备选投标方案编制要求”，评审和比较方法见第三章“评标办法”。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szCs w:val="21"/>
                <w:highlight w:val="none"/>
                <w:lang w:val="zh-CN" w:eastAsia="zh-CN" w:bidi="ar-SA"/>
              </w:rPr>
            </w:pPr>
            <w:r>
              <w:rPr>
                <w:rFonts w:hint="eastAsia" w:ascii="宋体" w:hAnsi="宋体" w:eastAsia="宋体" w:cs="宋体"/>
                <w:sz w:val="24"/>
                <w:highlight w:val="none"/>
                <w:lang w:val="zh-CN"/>
              </w:rPr>
              <w:t>3.</w:t>
            </w:r>
            <w:r>
              <w:rPr>
                <w:rFonts w:hint="eastAsia" w:ascii="宋体" w:hAnsi="宋体" w:eastAsia="宋体" w:cs="宋体"/>
                <w:sz w:val="24"/>
                <w:highlight w:val="none"/>
                <w:lang w:val="en-US" w:eastAsia="zh-CN"/>
              </w:rPr>
              <w:t>7</w:t>
            </w:r>
            <w:r>
              <w:rPr>
                <w:rFonts w:hint="eastAsia" w:ascii="宋体" w:hAnsi="宋体" w:eastAsia="宋体" w:cs="宋体"/>
                <w:sz w:val="24"/>
                <w:highlight w:val="none"/>
                <w:lang w:val="zh-CN"/>
              </w:rPr>
              <w:t>.3</w:t>
            </w:r>
          </w:p>
        </w:tc>
        <w:tc>
          <w:tcPr>
            <w:tcW w:w="171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ind w:left="0" w:leftChars="0" w:right="0" w:rightChars="0" w:firstLine="0" w:firstLineChars="0"/>
              <w:jc w:val="center"/>
              <w:textAlignment w:val="auto"/>
              <w:rPr>
                <w:rFonts w:hint="eastAsia" w:ascii="宋体" w:hAnsi="宋体" w:eastAsia="宋体" w:cs="宋体"/>
                <w:sz w:val="24"/>
                <w:szCs w:val="21"/>
                <w:highlight w:val="none"/>
                <w:lang w:val="zh-CN" w:eastAsia="zh-CN" w:bidi="ar-SA"/>
              </w:rPr>
            </w:pPr>
            <w:r>
              <w:rPr>
                <w:rFonts w:hint="eastAsia" w:ascii="宋体" w:hAnsi="宋体" w:eastAsia="宋体" w:cs="宋体"/>
                <w:bCs/>
                <w:sz w:val="24"/>
                <w:szCs w:val="24"/>
                <w:lang w:val="zh-CN"/>
              </w:rPr>
              <w:t>响应文件签字或盖章要求</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eastAsia" w:ascii="宋体" w:hAnsi="宋体" w:eastAsia="宋体" w:cs="宋体"/>
                <w:sz w:val="24"/>
                <w:szCs w:val="21"/>
                <w:highlight w:val="none"/>
                <w:lang w:val="en-US" w:eastAsia="zh-CN" w:bidi="ar-SA"/>
              </w:rPr>
            </w:pPr>
            <w:r>
              <w:rPr>
                <w:rFonts w:hint="eastAsia" w:ascii="宋体" w:hAnsi="宋体" w:eastAsia="宋体" w:cs="宋体"/>
                <w:bCs/>
                <w:sz w:val="24"/>
                <w:szCs w:val="24"/>
                <w:lang w:val="zh-CN"/>
              </w:rPr>
              <w:t>响应文件</w:t>
            </w:r>
            <w:r>
              <w:rPr>
                <w:rFonts w:hint="eastAsia" w:ascii="宋体" w:hAnsi="宋体" w:eastAsia="宋体" w:cs="宋体"/>
                <w:bCs/>
                <w:sz w:val="24"/>
                <w:szCs w:val="24"/>
              </w:rPr>
              <w:t>要求签字盖章处必须签字盖章，</w:t>
            </w:r>
            <w:r>
              <w:rPr>
                <w:rFonts w:hint="eastAsia" w:ascii="宋体" w:hAnsi="宋体" w:eastAsia="宋体" w:cs="宋体"/>
                <w:bCs/>
                <w:sz w:val="24"/>
                <w:szCs w:val="24"/>
                <w:lang w:val="zh-CN"/>
              </w:rPr>
              <w:t>按系统要求签字盖章，如被授权人无法网上签字，需将此页打印签字后扫描上传至响应文件。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3.7.4</w:t>
            </w:r>
          </w:p>
        </w:tc>
        <w:tc>
          <w:tcPr>
            <w:tcW w:w="1712" w:type="dxa"/>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响应文件的补充递交</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中标单位需在成交通知书领取之前到采购代理机构提交纸质版响应文件副本</w:t>
            </w:r>
            <w:r>
              <w:rPr>
                <w:rFonts w:hint="eastAsia" w:ascii="宋体" w:hAnsi="宋体" w:cs="宋体"/>
                <w:bCs/>
                <w:color w:val="auto"/>
                <w:sz w:val="24"/>
                <w:szCs w:val="24"/>
                <w:lang w:val="en-US" w:eastAsia="zh-CN"/>
              </w:rPr>
              <w:t>3</w:t>
            </w:r>
            <w:r>
              <w:rPr>
                <w:rFonts w:hint="eastAsia" w:ascii="宋体" w:hAnsi="宋体" w:eastAsia="宋体" w:cs="宋体"/>
                <w:bCs/>
                <w:sz w:val="24"/>
                <w:szCs w:val="24"/>
                <w:lang w:val="zh-CN"/>
              </w:rPr>
              <w:t>套（中标单位提交的纸质版响应文件副本，必须与上传的电子响应文件以及开标截止时间前递交的纸质版响应文件正本相同，装订要整齐、牢固、采用左侧纵向无线胶订机胶订，编制目录及页码，使用标准的宋体字、A4纸打印胶装装订成册），否则视为放弃中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ind w:left="0" w:leftChars="0" w:right="0" w:rightChars="0" w:firstLine="0" w:firstLine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rPr>
              <w:t>4.1.1</w:t>
            </w:r>
          </w:p>
        </w:tc>
        <w:tc>
          <w:tcPr>
            <w:tcW w:w="1712"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ind w:left="0" w:leftChars="0" w:right="0" w:rightChars="0" w:firstLine="0" w:firstLine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响应文件加密要求</w:t>
            </w:r>
          </w:p>
        </w:tc>
        <w:tc>
          <w:tcPr>
            <w:tcW w:w="7017" w:type="dxa"/>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供应商需在开标前将响应文件制作工具生成的ca锁加密文件上传到政采云平台，原件及纸质版递交要求详见供应商须知前附表第</w:t>
            </w:r>
            <w:r>
              <w:rPr>
                <w:rFonts w:hint="eastAsia" w:ascii="宋体" w:hAnsi="宋体" w:eastAsia="宋体" w:cs="宋体"/>
                <w:bCs/>
                <w:sz w:val="24"/>
                <w:szCs w:val="24"/>
                <w:lang w:val="en-US" w:eastAsia="zh-CN"/>
              </w:rPr>
              <w:t>3.1.1项</w:t>
            </w:r>
            <w:r>
              <w:rPr>
                <w:rFonts w:hint="eastAsia" w:ascii="宋体" w:hAnsi="宋体" w:eastAsia="宋体" w:cs="宋体"/>
                <w:bCs/>
                <w:sz w:val="24"/>
                <w:szCs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4.2.2</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递交响应文件的地点</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en-US" w:eastAsia="zh-CN"/>
              </w:rPr>
              <w:t>1、</w:t>
            </w:r>
            <w:r>
              <w:rPr>
                <w:rFonts w:hint="eastAsia" w:ascii="宋体" w:hAnsi="宋体" w:eastAsia="宋体" w:cs="宋体"/>
                <w:bCs/>
                <w:kern w:val="2"/>
                <w:sz w:val="24"/>
                <w:szCs w:val="24"/>
                <w:lang w:val="zh-CN"/>
              </w:rPr>
              <w:t>电子响应文件在本须知第</w:t>
            </w:r>
            <w:r>
              <w:rPr>
                <w:rFonts w:hint="eastAsia" w:ascii="宋体" w:hAnsi="宋体" w:eastAsia="宋体" w:cs="宋体"/>
                <w:bCs/>
                <w:kern w:val="2"/>
                <w:sz w:val="24"/>
                <w:szCs w:val="24"/>
                <w:lang w:val="en-US" w:eastAsia="zh-CN"/>
              </w:rPr>
              <w:t>2.2.2款规定的</w:t>
            </w:r>
            <w:r>
              <w:rPr>
                <w:rFonts w:hint="eastAsia" w:ascii="宋体" w:hAnsi="宋体" w:eastAsia="宋体" w:cs="宋体"/>
                <w:bCs/>
                <w:kern w:val="2"/>
                <w:sz w:val="24"/>
                <w:szCs w:val="24"/>
                <w:lang w:val="zh-CN"/>
              </w:rPr>
              <w:t>投标截止时间前在</w:t>
            </w:r>
            <w:r>
              <w:rPr>
                <w:rFonts w:hint="eastAsia" w:ascii="宋体" w:hAnsi="宋体" w:eastAsia="宋体" w:cs="宋体"/>
                <w:color w:val="auto"/>
                <w:sz w:val="24"/>
                <w:szCs w:val="24"/>
                <w:lang w:val="en-US" w:eastAsia="zh-CN"/>
              </w:rPr>
              <w:t>政采云平台</w:t>
            </w:r>
            <w:r>
              <w:rPr>
                <w:rFonts w:hint="eastAsia" w:ascii="宋体" w:hAnsi="宋体" w:eastAsia="宋体" w:cs="宋体"/>
                <w:color w:val="auto"/>
                <w:sz w:val="24"/>
                <w:szCs w:val="24"/>
              </w:rPr>
              <w:t>（http://</w:t>
            </w:r>
            <w:r>
              <w:rPr>
                <w:rFonts w:hint="eastAsia" w:ascii="宋体" w:hAnsi="宋体" w:eastAsia="宋体" w:cs="宋体"/>
                <w:color w:val="auto"/>
                <w:sz w:val="24"/>
                <w:szCs w:val="24"/>
                <w:lang w:val="en-US" w:eastAsia="zh-CN"/>
              </w:rPr>
              <w:t>www</w:t>
            </w:r>
            <w:r>
              <w:rPr>
                <w:rFonts w:hint="eastAsia" w:ascii="宋体" w:hAnsi="宋体" w:eastAsia="宋体" w:cs="宋体"/>
                <w:color w:val="auto"/>
                <w:sz w:val="24"/>
                <w:szCs w:val="24"/>
              </w:rPr>
              <w:t>.zcygov.cn）</w:t>
            </w:r>
            <w:r>
              <w:rPr>
                <w:rFonts w:hint="eastAsia" w:ascii="宋体" w:hAnsi="宋体" w:eastAsia="宋体" w:cs="宋体"/>
                <w:bCs/>
                <w:kern w:val="2"/>
                <w:sz w:val="24"/>
                <w:szCs w:val="24"/>
                <w:lang w:val="zh-CN"/>
              </w:rPr>
              <w:t>直接上传</w:t>
            </w:r>
            <w:r>
              <w:rPr>
                <w:rFonts w:hint="eastAsia" w:ascii="宋体" w:hAnsi="宋体" w:eastAsia="宋体" w:cs="宋体"/>
                <w:bCs/>
                <w:color w:val="auto"/>
                <w:kern w:val="2"/>
                <w:sz w:val="24"/>
                <w:szCs w:val="24"/>
                <w:u w:val="none"/>
                <w:lang w:val="zh-CN"/>
              </w:rPr>
              <w:t>提交电子</w:t>
            </w:r>
            <w:r>
              <w:rPr>
                <w:rFonts w:hint="eastAsia" w:ascii="宋体" w:hAnsi="宋体" w:eastAsia="宋体" w:cs="宋体"/>
                <w:bCs/>
                <w:kern w:val="2"/>
                <w:sz w:val="24"/>
                <w:szCs w:val="24"/>
                <w:lang w:val="zh-CN"/>
              </w:rPr>
              <w:t>响应文件。</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en-US" w:eastAsia="zh-CN"/>
              </w:rPr>
              <w:t>2、</w:t>
            </w:r>
            <w:r>
              <w:rPr>
                <w:rFonts w:hint="eastAsia" w:ascii="宋体" w:hAnsi="宋体" w:eastAsia="宋体" w:cs="宋体"/>
                <w:bCs/>
                <w:kern w:val="2"/>
                <w:sz w:val="24"/>
                <w:szCs w:val="24"/>
                <w:lang w:val="zh-CN"/>
              </w:rPr>
              <w:t>供应商的磋商保证金如采用保函的，须在响应文件中明确可查询保函的平台和方法。</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en-US" w:eastAsia="zh-CN"/>
              </w:rPr>
              <w:t>3、</w:t>
            </w:r>
            <w:r>
              <w:rPr>
                <w:rFonts w:hint="eastAsia" w:ascii="宋体" w:hAnsi="宋体" w:eastAsia="宋体" w:cs="宋体"/>
                <w:bCs/>
                <w:kern w:val="2"/>
                <w:sz w:val="24"/>
                <w:szCs w:val="24"/>
                <w:lang w:val="zh-CN"/>
              </w:rPr>
              <w:t>逾期未上传提交的响应文件，采购人不予受理。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4.2.3</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是否退还响应文件</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sz w:val="24"/>
                <w:highlight w:val="none"/>
                <w:lang w:val="zh-CN"/>
              </w:rPr>
              <w:fldChar w:fldCharType="begin"/>
            </w:r>
            <w:r>
              <w:rPr>
                <w:rFonts w:hint="eastAsia" w:ascii="宋体" w:hAnsi="宋体" w:eastAsia="宋体" w:cs="宋体"/>
                <w:bCs/>
                <w:sz w:val="24"/>
                <w:highlight w:val="none"/>
                <w:lang w:val="zh-CN"/>
              </w:rPr>
              <w:instrText xml:space="preserve">eq \o\ac(□,√)</w:instrText>
            </w:r>
            <w:r>
              <w:rPr>
                <w:rFonts w:hint="eastAsia" w:ascii="宋体" w:hAnsi="宋体" w:eastAsia="宋体" w:cs="宋体"/>
                <w:bCs/>
                <w:sz w:val="24"/>
                <w:highlight w:val="none"/>
                <w:lang w:val="zh-CN"/>
              </w:rPr>
              <w:fldChar w:fldCharType="end"/>
            </w:r>
            <w:r>
              <w:rPr>
                <w:rFonts w:hint="eastAsia" w:ascii="宋体" w:hAnsi="宋体" w:eastAsia="宋体" w:cs="宋体"/>
                <w:bCs/>
                <w:kern w:val="2"/>
                <w:sz w:val="24"/>
                <w:szCs w:val="24"/>
                <w:lang w:val="zh-CN"/>
              </w:rPr>
              <w:t>否</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zh-CN"/>
              </w:rPr>
              <w:t>□是，退还安排：</w:t>
            </w:r>
            <w:r>
              <w:rPr>
                <w:rFonts w:hint="eastAsia" w:ascii="宋体" w:hAnsi="宋体" w:eastAsia="宋体" w:cs="宋体"/>
                <w:bCs/>
                <w:kern w:val="2"/>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5.1</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开标时间和地点</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开标时间：同投标截止时间</w:t>
            </w:r>
          </w:p>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开标地点：约定的开标室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rPr>
            </w:pPr>
            <w:r>
              <w:rPr>
                <w:rFonts w:hint="eastAsia" w:ascii="宋体" w:hAnsi="宋体" w:eastAsia="宋体" w:cs="宋体"/>
                <w:bCs/>
                <w:kern w:val="2"/>
                <w:sz w:val="24"/>
                <w:szCs w:val="24"/>
                <w:lang w:val="zh-CN"/>
              </w:rPr>
              <w:t>5.2</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开标程序</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w:t>
            </w:r>
            <w:r>
              <w:rPr>
                <w:rFonts w:hint="eastAsia" w:ascii="宋体" w:hAnsi="宋体" w:eastAsia="宋体" w:cs="宋体"/>
                <w:bCs/>
                <w:kern w:val="2"/>
                <w:sz w:val="24"/>
                <w:szCs w:val="24"/>
                <w:lang w:val="en-US" w:eastAsia="zh-CN"/>
              </w:rPr>
              <w:t>4</w:t>
            </w:r>
            <w:r>
              <w:rPr>
                <w:rFonts w:hint="eastAsia" w:ascii="宋体" w:hAnsi="宋体" w:eastAsia="宋体" w:cs="宋体"/>
                <w:bCs/>
                <w:kern w:val="2"/>
                <w:sz w:val="24"/>
                <w:szCs w:val="24"/>
                <w:lang w:val="zh-CN"/>
              </w:rPr>
              <w:t>）开标顺序：按照系统的先后顺序当众开标。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6.1.1</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磋商小组的组建</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color w:val="auto"/>
                <w:kern w:val="2"/>
                <w:sz w:val="24"/>
                <w:szCs w:val="24"/>
                <w:lang w:val="zh-CN"/>
              </w:rPr>
            </w:pPr>
            <w:r>
              <w:rPr>
                <w:rFonts w:hint="eastAsia" w:ascii="宋体" w:hAnsi="宋体" w:eastAsia="宋体" w:cs="宋体"/>
                <w:bCs/>
                <w:kern w:val="2"/>
                <w:sz w:val="24"/>
                <w:szCs w:val="24"/>
                <w:lang w:val="zh-CN"/>
              </w:rPr>
              <w:t>磋商小组成员构成</w:t>
            </w:r>
            <w:r>
              <w:rPr>
                <w:rFonts w:hint="eastAsia" w:ascii="宋体" w:hAnsi="宋体" w:eastAsia="宋体" w:cs="宋体"/>
                <w:bCs/>
                <w:color w:val="auto"/>
                <w:kern w:val="2"/>
                <w:sz w:val="24"/>
                <w:szCs w:val="24"/>
                <w:lang w:val="zh-CN"/>
              </w:rPr>
              <w:t>：</w:t>
            </w:r>
            <w:r>
              <w:rPr>
                <w:rFonts w:hint="eastAsia" w:ascii="宋体" w:hAnsi="宋体" w:cs="宋体"/>
                <w:bCs/>
                <w:color w:val="auto"/>
                <w:kern w:val="2"/>
                <w:sz w:val="24"/>
                <w:szCs w:val="24"/>
                <w:lang w:val="en-US" w:eastAsia="zh-CN"/>
              </w:rPr>
              <w:t>3</w:t>
            </w:r>
            <w:r>
              <w:rPr>
                <w:rFonts w:hint="eastAsia" w:ascii="宋体" w:hAnsi="宋体" w:eastAsia="宋体" w:cs="宋体"/>
                <w:bCs/>
                <w:color w:val="auto"/>
                <w:kern w:val="2"/>
                <w:sz w:val="24"/>
                <w:szCs w:val="24"/>
                <w:lang w:val="zh-CN"/>
              </w:rPr>
              <w:t>人</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color w:val="auto"/>
                <w:kern w:val="2"/>
                <w:sz w:val="24"/>
                <w:szCs w:val="24"/>
                <w:lang w:val="zh-CN"/>
              </w:rPr>
            </w:pPr>
            <w:r>
              <w:rPr>
                <w:rFonts w:hint="eastAsia" w:ascii="宋体" w:hAnsi="宋体" w:eastAsia="宋体" w:cs="宋体"/>
                <w:bCs/>
                <w:color w:val="auto"/>
                <w:kern w:val="2"/>
                <w:sz w:val="24"/>
                <w:szCs w:val="24"/>
                <w:lang w:val="zh-CN"/>
              </w:rPr>
              <w:t>其中采购人代表</w:t>
            </w:r>
            <w:bookmarkStart w:id="404" w:name="_GoBack"/>
            <w:bookmarkEnd w:id="404"/>
            <w:r>
              <w:rPr>
                <w:rFonts w:hint="eastAsia" w:ascii="宋体" w:hAnsi="宋体" w:cs="宋体"/>
                <w:bCs/>
                <w:color w:val="auto"/>
                <w:kern w:val="2"/>
                <w:sz w:val="24"/>
                <w:szCs w:val="24"/>
                <w:lang w:val="en-US" w:eastAsia="zh-CN"/>
              </w:rPr>
              <w:t>0-1</w:t>
            </w:r>
            <w:r>
              <w:rPr>
                <w:rFonts w:hint="eastAsia" w:ascii="宋体" w:hAnsi="宋体" w:eastAsia="宋体" w:cs="宋体"/>
                <w:bCs/>
                <w:color w:val="auto"/>
                <w:kern w:val="2"/>
                <w:sz w:val="24"/>
                <w:szCs w:val="24"/>
                <w:lang w:val="zh-CN"/>
              </w:rPr>
              <w:t>人（限采购人在职人员，且应当具备评标专家相应的或者类似的条件），评审专家</w:t>
            </w:r>
            <w:r>
              <w:rPr>
                <w:rFonts w:hint="eastAsia" w:ascii="宋体" w:hAnsi="宋体" w:cs="宋体"/>
                <w:bCs/>
                <w:color w:val="auto"/>
                <w:kern w:val="2"/>
                <w:sz w:val="24"/>
                <w:szCs w:val="24"/>
                <w:lang w:val="en-US" w:eastAsia="zh-CN"/>
              </w:rPr>
              <w:t>2-3</w:t>
            </w:r>
            <w:r>
              <w:rPr>
                <w:rFonts w:hint="eastAsia" w:ascii="宋体" w:hAnsi="宋体" w:eastAsia="宋体" w:cs="宋体"/>
                <w:bCs/>
                <w:color w:val="auto"/>
                <w:kern w:val="2"/>
                <w:sz w:val="24"/>
                <w:szCs w:val="24"/>
                <w:lang w:val="zh-CN"/>
              </w:rPr>
              <w:t>人；</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评审专家确定方式：</w:t>
            </w:r>
            <w:r>
              <w:rPr>
                <w:rFonts w:hint="eastAsia" w:ascii="宋体" w:hAnsi="宋体" w:eastAsia="宋体" w:cs="宋体"/>
                <w:bCs/>
                <w:kern w:val="2"/>
                <w:sz w:val="24"/>
                <w:szCs w:val="24"/>
                <w:u w:val="single"/>
                <w:lang w:val="zh-CN"/>
              </w:rPr>
              <w:t>由采购人在行政监督管理部门的监督下在吉林市公共资源交易服务中心</w:t>
            </w:r>
            <w:r>
              <w:rPr>
                <w:rFonts w:hint="eastAsia" w:ascii="宋体" w:hAnsi="宋体" w:eastAsia="宋体" w:cs="宋体"/>
                <w:kern w:val="0"/>
                <w:sz w:val="24"/>
                <w:u w:val="single"/>
              </w:rPr>
              <w:t>政府采购评审专家库内相关专业的专家名单中随机抽取</w:t>
            </w:r>
            <w:r>
              <w:rPr>
                <w:rFonts w:hint="eastAsia" w:ascii="宋体" w:hAnsi="宋体" w:eastAsia="宋体" w:cs="宋体"/>
                <w:bCs/>
                <w:kern w:val="2"/>
                <w:sz w:val="24"/>
                <w:szCs w:val="24"/>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highlight w:val="none"/>
                <w:lang w:val="zh-CN" w:eastAsia="zh-CN" w:bidi="ar-SA"/>
              </w:rPr>
            </w:pPr>
            <w:r>
              <w:rPr>
                <w:rFonts w:hint="eastAsia" w:ascii="宋体" w:hAnsi="宋体" w:eastAsia="宋体" w:cs="宋体"/>
                <w:bCs/>
                <w:kern w:val="2"/>
                <w:sz w:val="24"/>
                <w:szCs w:val="24"/>
                <w:highlight w:val="none"/>
              </w:rPr>
              <w:t>7.1</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highlight w:val="none"/>
                <w:lang w:val="zh-CN" w:eastAsia="zh-CN" w:bidi="ar-SA"/>
              </w:rPr>
            </w:pPr>
            <w:r>
              <w:rPr>
                <w:rFonts w:hint="eastAsia" w:ascii="宋体" w:hAnsi="宋体" w:eastAsia="宋体" w:cs="宋体"/>
                <w:bCs/>
                <w:kern w:val="2"/>
                <w:sz w:val="24"/>
                <w:szCs w:val="24"/>
                <w:highlight w:val="none"/>
                <w:lang w:val="zh-CN" w:eastAsia="zh-CN" w:bidi="ar-SA"/>
              </w:rPr>
              <w:t>是否授权磋商小组确定成交供应商</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textAlignment w:val="auto"/>
              <w:rPr>
                <w:rFonts w:hint="eastAsia" w:ascii="宋体" w:hAnsi="宋体" w:eastAsia="宋体" w:cs="宋体"/>
                <w:bCs/>
                <w:kern w:val="2"/>
                <w:sz w:val="24"/>
                <w:szCs w:val="24"/>
                <w:highlight w:val="none"/>
                <w:lang w:val="zh-CN"/>
              </w:rPr>
            </w:pPr>
            <w:r>
              <w:rPr>
                <w:rFonts w:hint="eastAsia" w:ascii="宋体" w:hAnsi="宋体" w:eastAsia="宋体" w:cs="宋体"/>
                <w:bCs/>
                <w:kern w:val="2"/>
                <w:sz w:val="24"/>
                <w:szCs w:val="24"/>
                <w:highlight w:val="none"/>
                <w:lang w:val="zh-CN"/>
              </w:rPr>
              <w:sym w:font="Wingdings 2" w:char="00A3"/>
            </w:r>
            <w:r>
              <w:rPr>
                <w:rFonts w:hint="eastAsia" w:ascii="宋体" w:hAnsi="宋体" w:eastAsia="宋体" w:cs="宋体"/>
                <w:bCs/>
                <w:kern w:val="2"/>
                <w:sz w:val="24"/>
                <w:szCs w:val="24"/>
                <w:highlight w:val="none"/>
                <w:lang w:val="zh-CN"/>
              </w:rPr>
              <w:t>是</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textAlignment w:val="auto"/>
              <w:rPr>
                <w:rFonts w:hint="eastAsia" w:ascii="宋体" w:hAnsi="宋体" w:eastAsia="宋体" w:cs="宋体"/>
                <w:bCs/>
                <w:kern w:val="2"/>
                <w:sz w:val="24"/>
                <w:szCs w:val="24"/>
                <w:highlight w:val="none"/>
                <w:lang w:val="zh-CN" w:eastAsia="zh-CN" w:bidi="ar-SA"/>
              </w:rPr>
            </w:pP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eq \o\ac(□,√)</w:instrText>
            </w:r>
            <w:r>
              <w:rPr>
                <w:rFonts w:hint="eastAsia" w:ascii="宋体" w:hAnsi="宋体" w:eastAsia="宋体" w:cs="宋体"/>
                <w:bCs/>
                <w:sz w:val="24"/>
                <w:highlight w:val="none"/>
              </w:rPr>
              <w:fldChar w:fldCharType="end"/>
            </w:r>
            <w:r>
              <w:rPr>
                <w:rFonts w:hint="eastAsia" w:ascii="宋体" w:hAnsi="宋体" w:eastAsia="宋体" w:cs="宋体"/>
                <w:bCs/>
                <w:kern w:val="2"/>
                <w:sz w:val="24"/>
                <w:szCs w:val="24"/>
                <w:highlight w:val="none"/>
                <w:lang w:val="zh-CN"/>
              </w:rPr>
              <w:t>否，推荐的成交候选供应商数：</w:t>
            </w:r>
            <w:r>
              <w:rPr>
                <w:rFonts w:hint="eastAsia" w:ascii="宋体" w:hAnsi="宋体" w:eastAsia="宋体" w:cs="宋体"/>
                <w:bCs/>
                <w:color w:val="auto"/>
                <w:kern w:val="2"/>
                <w:sz w:val="24"/>
                <w:szCs w:val="24"/>
                <w:highlight w:val="none"/>
                <w:u w:val="single"/>
                <w:lang w:val="zh-CN"/>
              </w:rPr>
              <w:t>3</w:t>
            </w:r>
            <w:r>
              <w:rPr>
                <w:rFonts w:hint="eastAsia" w:ascii="宋体" w:hAnsi="宋体" w:eastAsia="宋体" w:cs="宋体"/>
                <w:bCs/>
                <w:color w:val="auto"/>
                <w:kern w:val="2"/>
                <w:sz w:val="24"/>
                <w:szCs w:val="24"/>
                <w:highlight w:val="none"/>
                <w:lang w:val="zh-CN"/>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7.</w:t>
            </w:r>
            <w:r>
              <w:rPr>
                <w:rFonts w:hint="eastAsia" w:ascii="宋体" w:hAnsi="宋体" w:eastAsia="宋体" w:cs="宋体"/>
                <w:bCs/>
                <w:kern w:val="2"/>
                <w:sz w:val="24"/>
                <w:szCs w:val="24"/>
                <w:lang w:val="en-US" w:eastAsia="zh-CN"/>
              </w:rPr>
              <w:t>3.</w:t>
            </w:r>
            <w:r>
              <w:rPr>
                <w:rFonts w:hint="eastAsia" w:ascii="宋体" w:hAnsi="宋体" w:eastAsia="宋体" w:cs="宋体"/>
                <w:bCs/>
                <w:kern w:val="2"/>
                <w:sz w:val="24"/>
                <w:szCs w:val="24"/>
                <w:lang w:val="zh-CN"/>
              </w:rPr>
              <w:t>1</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履约担保</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履约担保的形式：/</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履约担保的金额：/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51"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10    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firstLine="0" w:firstLine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10.1</w:t>
            </w:r>
          </w:p>
        </w:tc>
        <w:tc>
          <w:tcPr>
            <w:tcW w:w="8729"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firstLine="360" w:firstLineChars="150"/>
              <w:jc w:val="left"/>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词语定义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zh-CN"/>
              </w:rPr>
              <w:t>10.</w:t>
            </w:r>
            <w:r>
              <w:rPr>
                <w:rFonts w:hint="eastAsia" w:ascii="宋体" w:hAnsi="宋体" w:eastAsia="宋体" w:cs="宋体"/>
                <w:bCs/>
                <w:kern w:val="2"/>
                <w:sz w:val="24"/>
                <w:szCs w:val="24"/>
                <w:lang w:val="en-US" w:eastAsia="zh-CN"/>
              </w:rPr>
              <w:t>1.1</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szCs w:val="24"/>
                <w:lang w:val="zh-CN" w:eastAsia="zh-CN" w:bidi="ar-SA"/>
              </w:rPr>
            </w:pPr>
            <w:r>
              <w:rPr>
                <w:rFonts w:hint="eastAsia" w:ascii="宋体" w:hAnsi="宋体" w:eastAsia="宋体" w:cs="宋体"/>
                <w:sz w:val="24"/>
                <w:szCs w:val="24"/>
              </w:rPr>
              <w:t>类似项目</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both"/>
              <w:textAlignment w:val="auto"/>
              <w:rPr>
                <w:rFonts w:hint="eastAsia" w:ascii="宋体" w:hAnsi="宋体" w:eastAsia="宋体" w:cs="宋体"/>
                <w:sz w:val="24"/>
                <w:szCs w:val="24"/>
                <w:lang w:val="zh-CN" w:eastAsia="zh-CN" w:bidi="ar-SA"/>
              </w:rPr>
            </w:pPr>
            <w:r>
              <w:rPr>
                <w:rFonts w:hint="eastAsia" w:ascii="宋体" w:hAnsi="宋体" w:eastAsia="宋体" w:cs="宋体"/>
                <w:sz w:val="24"/>
                <w:szCs w:val="24"/>
              </w:rPr>
              <w:t>类似项目是指：工程内容及规模与招标内容相类似的工程。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10.1.2</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szCs w:val="24"/>
                <w:lang w:val="zh-CN" w:eastAsia="zh-CN" w:bidi="ar-SA"/>
              </w:rPr>
            </w:pPr>
            <w:r>
              <w:rPr>
                <w:rFonts w:hint="eastAsia" w:ascii="宋体" w:hAnsi="宋体" w:eastAsia="宋体" w:cs="宋体"/>
                <w:sz w:val="24"/>
                <w:szCs w:val="24"/>
              </w:rPr>
              <w:t>不良行为记录</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both"/>
              <w:textAlignment w:val="auto"/>
              <w:rPr>
                <w:rFonts w:hint="eastAsia" w:ascii="宋体" w:hAnsi="宋体" w:eastAsia="宋体" w:cs="宋体"/>
                <w:sz w:val="24"/>
                <w:szCs w:val="24"/>
                <w:lang w:val="zh-CN" w:eastAsia="zh-CN" w:bidi="ar-SA"/>
              </w:rPr>
            </w:pPr>
            <w:r>
              <w:rPr>
                <w:rFonts w:hint="eastAsia" w:ascii="宋体" w:hAnsi="宋体" w:eastAsia="宋体" w:cs="宋体"/>
                <w:sz w:val="24"/>
                <w:szCs w:val="24"/>
              </w:rPr>
              <w:t>不良行为记录是指：在工程建设过程中违反有关工程的法律、法规、规章或强制性标准和执业行为规范，经县级以上建设行政主管部门或其委托的执法监督机构以查实和行政处罚，形成的不良行为记录。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10.2</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招标控制价</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□不设招标控制价</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color w:val="auto"/>
                <w:kern w:val="0"/>
                <w:sz w:val="24"/>
                <w:szCs w:val="24"/>
              </w:rPr>
            </w:pP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eq \o\ac(□,√)</w:instrText>
            </w:r>
            <w:r>
              <w:rPr>
                <w:rFonts w:hint="eastAsia" w:ascii="宋体" w:hAnsi="宋体" w:eastAsia="宋体" w:cs="宋体"/>
                <w:bCs/>
                <w:sz w:val="24"/>
                <w:highlight w:val="none"/>
              </w:rPr>
              <w:fldChar w:fldCharType="end"/>
            </w:r>
            <w:r>
              <w:rPr>
                <w:rFonts w:hint="eastAsia" w:ascii="宋体" w:hAnsi="宋体" w:eastAsia="宋体" w:cs="宋体"/>
                <w:color w:val="auto"/>
                <w:kern w:val="0"/>
                <w:sz w:val="24"/>
                <w:szCs w:val="24"/>
              </w:rPr>
              <w:t>设招标控制价，招标控制价</w:t>
            </w:r>
            <w:r>
              <w:rPr>
                <w:rFonts w:hint="eastAsia" w:ascii="宋体" w:hAnsi="宋体" w:eastAsia="宋体" w:cs="宋体"/>
                <w:color w:val="auto"/>
                <w:kern w:val="0"/>
                <w:sz w:val="24"/>
                <w:szCs w:val="24"/>
                <w:lang w:eastAsia="zh-CN"/>
              </w:rPr>
              <w:t>为</w:t>
            </w:r>
            <w:r>
              <w:rPr>
                <w:rFonts w:hint="eastAsia" w:ascii="宋体" w:hAnsi="宋体" w:eastAsia="宋体" w:cs="宋体"/>
                <w:color w:val="auto"/>
                <w:kern w:val="0"/>
                <w:sz w:val="24"/>
                <w:szCs w:val="24"/>
              </w:rPr>
              <w:t>：¥</w:t>
            </w:r>
            <w:r>
              <w:rPr>
                <w:rFonts w:hint="eastAsia" w:ascii="宋体" w:hAnsi="宋体" w:cs="宋体"/>
                <w:color w:val="auto"/>
                <w:kern w:val="0"/>
                <w:sz w:val="24"/>
                <w:szCs w:val="24"/>
                <w:lang w:val="en-US" w:eastAsia="zh-CN"/>
              </w:rPr>
              <w:t>1952070</w:t>
            </w:r>
            <w:r>
              <w:rPr>
                <w:rFonts w:hint="eastAsia" w:ascii="宋体" w:hAnsi="宋体" w:eastAsia="宋体" w:cs="宋体"/>
                <w:color w:val="auto"/>
                <w:kern w:val="0"/>
                <w:sz w:val="24"/>
                <w:szCs w:val="24"/>
              </w:rPr>
              <w:t>.00</w:t>
            </w:r>
            <w:r>
              <w:rPr>
                <w:rFonts w:hint="eastAsia" w:ascii="宋体" w:hAnsi="宋体" w:eastAsia="宋体" w:cs="宋体"/>
                <w:color w:val="auto"/>
                <w:kern w:val="0"/>
                <w:sz w:val="24"/>
                <w:szCs w:val="24"/>
                <w:lang w:eastAsia="zh-CN"/>
              </w:rPr>
              <w:t>元</w:t>
            </w:r>
            <w:r>
              <w:rPr>
                <w:rFonts w:hint="eastAsia" w:ascii="宋体" w:hAnsi="宋体" w:eastAsia="宋体" w:cs="宋体"/>
                <w:color w:val="auto"/>
                <w:kern w:val="0"/>
                <w:sz w:val="24"/>
                <w:szCs w:val="24"/>
              </w:rPr>
              <w:t>（人民币）</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color w:val="FF0000"/>
                <w:kern w:val="0"/>
                <w:sz w:val="24"/>
                <w:szCs w:val="24"/>
                <w:lang w:eastAsia="zh-CN"/>
              </w:rPr>
            </w:pPr>
            <w:r>
              <w:rPr>
                <w:rFonts w:hint="eastAsia" w:ascii="宋体" w:hAnsi="宋体" w:eastAsia="宋体" w:cs="宋体"/>
                <w:color w:val="auto"/>
                <w:kern w:val="0"/>
                <w:sz w:val="24"/>
                <w:szCs w:val="24"/>
                <w:lang w:eastAsia="zh-CN"/>
              </w:rPr>
              <w:t>详见本招标文件附件：</w:t>
            </w:r>
            <w:r>
              <w:rPr>
                <w:rFonts w:hint="eastAsia" w:ascii="宋体" w:hAnsi="宋体" w:eastAsia="宋体" w:cs="宋体"/>
                <w:color w:val="auto"/>
                <w:kern w:val="0"/>
                <w:sz w:val="24"/>
                <w:szCs w:val="24"/>
              </w:rPr>
              <w:t>投标人总报价不能超过招标控制价，</w:t>
            </w:r>
            <w:r>
              <w:rPr>
                <w:rFonts w:hint="eastAsia" w:ascii="宋体" w:hAnsi="宋体" w:eastAsia="宋体" w:cs="宋体"/>
                <w:color w:val="auto"/>
                <w:kern w:val="0"/>
                <w:sz w:val="24"/>
                <w:szCs w:val="24"/>
                <w:lang w:eastAsia="zh-CN"/>
              </w:rPr>
              <w:t>不得低于成本价。</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color w:val="auto"/>
                <w:kern w:val="0"/>
                <w:sz w:val="24"/>
                <w:szCs w:val="24"/>
                <w:lang w:eastAsia="zh-CN"/>
              </w:rPr>
              <w:t>注：超过上述价格或未按建设单位提供工程量清单中暂列金额，专业工程暂估价进行报价的视为废标。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10.3</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“暗标”评审</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widowControl w:val="0"/>
              <w:wordWrap w:val="0"/>
              <w:adjustRightInd w:val="0"/>
              <w:snapToGrid w:val="0"/>
              <w:spacing w:line="440" w:lineRule="exact"/>
              <w:rPr>
                <w:rFonts w:ascii="宋体" w:hAnsi="宋体" w:cs="宋体"/>
                <w:bCs/>
                <w:kern w:val="2"/>
                <w:sz w:val="24"/>
                <w:szCs w:val="24"/>
                <w:lang w:val="zh-CN"/>
              </w:rPr>
            </w:pPr>
            <w:r>
              <w:rPr>
                <w:rFonts w:hint="eastAsia" w:ascii="宋体" w:hAnsi="宋体" w:cs="宋体"/>
                <w:bCs/>
                <w:kern w:val="2"/>
                <w:sz w:val="24"/>
                <w:szCs w:val="24"/>
                <w:lang w:val="zh-CN"/>
              </w:rPr>
              <w:t>施工组织设计是否采用“暗标”评审方式</w:t>
            </w:r>
          </w:p>
          <w:p>
            <w:pPr>
              <w:widowControl w:val="0"/>
              <w:wordWrap w:val="0"/>
              <w:adjustRightInd w:val="0"/>
              <w:snapToGrid w:val="0"/>
              <w:spacing w:line="440" w:lineRule="exact"/>
              <w:rPr>
                <w:rFonts w:ascii="宋体" w:hAnsi="宋体" w:cs="宋体"/>
                <w:bCs/>
                <w:kern w:val="2"/>
                <w:sz w:val="24"/>
                <w:szCs w:val="24"/>
                <w:lang w:val="zh-CN"/>
              </w:rPr>
            </w:pPr>
            <w:r>
              <w:rPr>
                <w:rFonts w:hint="eastAsia" w:ascii="宋体" w:hAnsi="宋体" w:cs="宋体"/>
                <w:bCs/>
                <w:sz w:val="24"/>
              </w:rPr>
              <w:fldChar w:fldCharType="begin"/>
            </w:r>
            <w:r>
              <w:rPr>
                <w:rFonts w:hint="eastAsia" w:ascii="宋体" w:hAnsi="宋体" w:cs="宋体"/>
                <w:bCs/>
                <w:sz w:val="24"/>
              </w:rPr>
              <w:instrText xml:space="preserve">eq \o\ac(□)</w:instrText>
            </w:r>
            <w:r>
              <w:rPr>
                <w:rFonts w:hint="eastAsia" w:ascii="宋体" w:hAnsi="宋体" w:cs="宋体"/>
                <w:bCs/>
                <w:sz w:val="24"/>
              </w:rPr>
              <w:fldChar w:fldCharType="end"/>
            </w:r>
            <w:r>
              <w:rPr>
                <w:rFonts w:hint="eastAsia" w:ascii="宋体" w:hAnsi="宋体" w:cs="宋体"/>
                <w:bCs/>
                <w:kern w:val="2"/>
                <w:sz w:val="24"/>
                <w:szCs w:val="24"/>
                <w:lang w:val="zh-CN"/>
              </w:rPr>
              <w:t>不采用</w:t>
            </w:r>
          </w:p>
          <w:p>
            <w:pPr>
              <w:pStyle w:val="114"/>
              <w:spacing w:line="360" w:lineRule="auto"/>
              <w:jc w:val="both"/>
              <w:rPr>
                <w:rFonts w:ascii="宋体" w:hAnsi="宋体" w:eastAsia="宋体" w:cs="宋体"/>
                <w:sz w:val="24"/>
                <w:szCs w:val="24"/>
              </w:rPr>
            </w:pPr>
            <w:r>
              <w:rPr>
                <w:rFonts w:hint="eastAsia" w:ascii="宋体" w:hAnsi="宋体" w:eastAsia="宋体" w:cs="宋体"/>
                <w:bCs/>
                <w:kern w:val="2"/>
                <w:sz w:val="24"/>
                <w:szCs w:val="24"/>
                <w:lang w:val="zh-CN"/>
              </w:rPr>
              <w:sym w:font="Wingdings 2" w:char="0052"/>
            </w:r>
            <w:r>
              <w:rPr>
                <w:rFonts w:hint="eastAsia" w:ascii="宋体" w:hAnsi="宋体" w:eastAsia="宋体" w:cs="宋体"/>
                <w:bCs/>
                <w:kern w:val="2"/>
                <w:sz w:val="24"/>
                <w:szCs w:val="24"/>
                <w:lang w:val="zh-CN"/>
              </w:rPr>
              <w:t>采用，</w:t>
            </w:r>
            <w:r>
              <w:rPr>
                <w:rFonts w:hint="eastAsia" w:ascii="宋体" w:hAnsi="宋体" w:eastAsia="宋体" w:cs="宋体"/>
                <w:sz w:val="24"/>
                <w:szCs w:val="24"/>
              </w:rPr>
              <w:t>投标文件技术标必须遵守的统一格式和规范。</w:t>
            </w:r>
          </w:p>
          <w:p>
            <w:pPr>
              <w:pStyle w:val="114"/>
              <w:spacing w:line="360" w:lineRule="auto"/>
              <w:jc w:val="both"/>
              <w:rPr>
                <w:rFonts w:ascii="宋体" w:hAnsi="宋体" w:eastAsia="宋体" w:cs="宋体"/>
                <w:sz w:val="24"/>
                <w:szCs w:val="24"/>
              </w:rPr>
            </w:pPr>
            <w:r>
              <w:rPr>
                <w:rFonts w:hint="eastAsia" w:ascii="宋体" w:hAnsi="宋体" w:eastAsia="宋体" w:cs="宋体"/>
                <w:sz w:val="24"/>
                <w:szCs w:val="24"/>
              </w:rPr>
              <w:t xml:space="preserve"> 技术标文件（暗标）未按以下“盲评”要求制作的，为无效投标，除下述要求外，不得因暗标格式问题认定为无效投标：</w:t>
            </w:r>
          </w:p>
          <w:p>
            <w:pPr>
              <w:pStyle w:val="114"/>
              <w:spacing w:line="360" w:lineRule="auto"/>
              <w:jc w:val="both"/>
              <w:rPr>
                <w:rFonts w:ascii="宋体" w:hAnsi="宋体" w:eastAsia="宋体" w:cs="宋体"/>
                <w:sz w:val="24"/>
                <w:szCs w:val="24"/>
              </w:rPr>
            </w:pPr>
            <w:r>
              <w:rPr>
                <w:rFonts w:hint="eastAsia" w:ascii="宋体" w:hAnsi="宋体" w:eastAsia="宋体" w:cs="宋体"/>
                <w:sz w:val="24"/>
                <w:szCs w:val="24"/>
              </w:rPr>
              <w:t xml:space="preserve"> 1.版面要求：A4纸张大小；</w:t>
            </w:r>
          </w:p>
          <w:p>
            <w:pPr>
              <w:pStyle w:val="114"/>
              <w:spacing w:line="360" w:lineRule="auto"/>
              <w:jc w:val="both"/>
              <w:rPr>
                <w:rFonts w:ascii="宋体" w:hAnsi="宋体" w:eastAsia="宋体" w:cs="宋体"/>
                <w:sz w:val="24"/>
                <w:szCs w:val="24"/>
              </w:rPr>
            </w:pPr>
            <w:r>
              <w:rPr>
                <w:rFonts w:hint="eastAsia" w:ascii="宋体" w:hAnsi="宋体" w:eastAsia="宋体" w:cs="宋体"/>
                <w:sz w:val="24"/>
                <w:szCs w:val="24"/>
              </w:rPr>
              <w:t xml:space="preserve"> 2.颜色要求：所有文字、图表均为黑色；</w:t>
            </w:r>
          </w:p>
          <w:p>
            <w:pPr>
              <w:pStyle w:val="114"/>
              <w:spacing w:line="360" w:lineRule="auto"/>
              <w:jc w:val="both"/>
              <w:rPr>
                <w:rFonts w:ascii="宋体" w:hAnsi="宋体" w:eastAsia="宋体" w:cs="宋体"/>
                <w:sz w:val="24"/>
                <w:szCs w:val="24"/>
              </w:rPr>
            </w:pPr>
            <w:r>
              <w:rPr>
                <w:rFonts w:hint="eastAsia" w:ascii="宋体" w:hAnsi="宋体" w:eastAsia="宋体" w:cs="宋体"/>
                <w:sz w:val="24"/>
                <w:szCs w:val="24"/>
              </w:rPr>
              <w:t xml:space="preserve"> 3.字体要求：标题及正文部分所用文字均采用“宋体”四号“常规”字；图、表内的字体及字号不作要求；全部使用中文标点符号；所有字体均不得出现加粗、加色、倾斜、下划线等标记；</w:t>
            </w:r>
          </w:p>
          <w:p>
            <w:pPr>
              <w:pStyle w:val="114"/>
              <w:spacing w:line="360" w:lineRule="auto"/>
              <w:jc w:val="both"/>
              <w:rPr>
                <w:rFonts w:hint="eastAsia" w:ascii="宋体" w:hAnsi="宋体" w:eastAsia="宋体" w:cs="宋体"/>
                <w:sz w:val="24"/>
                <w:szCs w:val="24"/>
              </w:rPr>
            </w:pPr>
            <w:r>
              <w:rPr>
                <w:rFonts w:hint="eastAsia" w:ascii="宋体" w:hAnsi="宋体" w:eastAsia="宋体" w:cs="宋体"/>
                <w:sz w:val="24"/>
                <w:szCs w:val="24"/>
              </w:rPr>
              <w:t xml:space="preserve"> 4.排版要求：页边距要求上边距2.5厘米，其余均为2厘米；不得设置目录；正文行间距为固定值30磅；文字内容（含正文标题、正文及表格标题）统一设为左对齐；首行缩进2字符，不得有空格；段落前后不设置空行；不得设置页眉、页脚和页码；图、表部分对齐形式统一设为居中对齐；</w:t>
            </w:r>
          </w:p>
          <w:p>
            <w:pPr>
              <w:pStyle w:val="27"/>
              <w:ind w:firstLine="240" w:firstLineChars="100"/>
            </w:pPr>
            <w:r>
              <w:rPr>
                <w:rFonts w:hint="eastAsia" w:ascii="宋体" w:hAnsi="宋体" w:cs="宋体"/>
                <w:sz w:val="24"/>
                <w:szCs w:val="24"/>
                <w:lang w:val="en-US" w:eastAsia="zh-CN"/>
              </w:rPr>
              <w:t>5.不得超出300页</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textAlignment w:val="auto"/>
              <w:rPr>
                <w:rFonts w:hint="eastAsia" w:ascii="宋体" w:hAnsi="宋体" w:eastAsia="宋体" w:cs="宋体"/>
                <w:bCs/>
                <w:kern w:val="2"/>
                <w:sz w:val="24"/>
                <w:szCs w:val="24"/>
                <w:lang w:val="zh-CN"/>
              </w:rPr>
            </w:pPr>
            <w:r>
              <w:rPr>
                <w:rFonts w:hint="eastAsia" w:ascii="宋体" w:hAnsi="宋体" w:cs="宋体"/>
                <w:sz w:val="24"/>
                <w:szCs w:val="24"/>
              </w:rPr>
              <w:t xml:space="preserve"> </w:t>
            </w:r>
            <w:r>
              <w:rPr>
                <w:rFonts w:hint="eastAsia" w:ascii="宋体" w:hAnsi="宋体" w:cs="宋体"/>
                <w:sz w:val="24"/>
                <w:szCs w:val="24"/>
                <w:lang w:val="en-US" w:eastAsia="zh-CN"/>
              </w:rPr>
              <w:t xml:space="preserve"> 6</w:t>
            </w:r>
            <w:r>
              <w:rPr>
                <w:rFonts w:hint="eastAsia" w:ascii="宋体" w:hAnsi="宋体" w:cs="宋体"/>
                <w:sz w:val="24"/>
                <w:szCs w:val="24"/>
              </w:rPr>
              <w:t>.其它：除满足上述各项要求外，构成投标文件的“技术暗标”的正文中均不得出现供应商的名称和其它可识别供应商身份的字符、徽标、人员名称以及其他可能被辨别出供应商身份的任何标记。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10.4</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sz w:val="24"/>
                <w:szCs w:val="24"/>
                <w:lang w:val="zh-CN" w:eastAsia="zh-CN" w:bidi="ar-SA"/>
              </w:rPr>
            </w:pPr>
            <w:r>
              <w:rPr>
                <w:rFonts w:hint="eastAsia" w:ascii="宋体" w:hAnsi="宋体" w:eastAsia="宋体" w:cs="宋体"/>
                <w:bCs/>
                <w:kern w:val="2"/>
                <w:sz w:val="24"/>
                <w:szCs w:val="24"/>
                <w:lang w:val="zh-CN"/>
              </w:rPr>
              <w:t>供应商代表出席开标会</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textAlignment w:val="auto"/>
              <w:rPr>
                <w:rFonts w:hint="eastAsia" w:ascii="宋体" w:hAnsi="宋体" w:eastAsia="宋体" w:cs="宋体"/>
                <w:sz w:val="24"/>
                <w:szCs w:val="24"/>
                <w:lang w:val="zh-CN" w:eastAsia="zh-CN" w:bidi="ar-SA"/>
              </w:rPr>
            </w:pPr>
            <w:r>
              <w:rPr>
                <w:rFonts w:hint="eastAsia" w:ascii="宋体" w:hAnsi="宋体" w:eastAsia="宋体" w:cs="宋体"/>
                <w:bCs/>
                <w:kern w:val="2"/>
                <w:sz w:val="24"/>
                <w:szCs w:val="24"/>
                <w:lang w:val="zh-CN"/>
              </w:rPr>
              <w:t>按照本须知第5.1款的规定，采购人邀请所有供应商的法定代表人或其委托代理人参加网上开标会。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10.5</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zh-CN" w:eastAsia="zh-CN" w:bidi="ar-SA"/>
              </w:rPr>
            </w:pPr>
            <w:r>
              <w:rPr>
                <w:rFonts w:hint="eastAsia" w:ascii="宋体" w:hAnsi="宋体" w:eastAsia="宋体" w:cs="宋体"/>
                <w:bCs/>
                <w:kern w:val="2"/>
                <w:sz w:val="24"/>
                <w:szCs w:val="24"/>
                <w:lang w:val="zh-CN"/>
              </w:rPr>
              <w:t>评标方法</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textAlignment w:val="auto"/>
              <w:rPr>
                <w:rFonts w:hint="eastAsia" w:ascii="宋体" w:hAnsi="宋体" w:eastAsia="宋体" w:cs="宋体"/>
                <w:bCs/>
                <w:kern w:val="2"/>
                <w:sz w:val="24"/>
                <w:szCs w:val="24"/>
                <w:lang w:val="zh-CN" w:eastAsia="zh-CN" w:bidi="ar-SA"/>
              </w:rPr>
            </w:pPr>
            <w:r>
              <w:rPr>
                <w:rFonts w:hint="eastAsia" w:ascii="宋体" w:hAnsi="宋体" w:eastAsia="宋体" w:cs="宋体"/>
                <w:bCs/>
                <w:kern w:val="2"/>
                <w:sz w:val="24"/>
                <w:szCs w:val="24"/>
                <w:lang w:val="zh-CN"/>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szCs w:val="21"/>
                <w:lang w:val="en-US" w:eastAsia="zh-CN" w:bidi="ar-SA"/>
              </w:rPr>
            </w:pPr>
            <w:r>
              <w:rPr>
                <w:rFonts w:hint="eastAsia" w:ascii="宋体" w:hAnsi="宋体" w:eastAsia="宋体" w:cs="宋体"/>
                <w:sz w:val="24"/>
                <w:lang w:val="en-US" w:eastAsia="zh-CN"/>
              </w:rPr>
              <w:t>10.6</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szCs w:val="21"/>
                <w:lang w:val="zh-CN" w:eastAsia="zh-CN" w:bidi="ar-SA"/>
              </w:rPr>
            </w:pPr>
            <w:r>
              <w:rPr>
                <w:rFonts w:hint="eastAsia" w:ascii="宋体" w:hAnsi="宋体" w:eastAsia="宋体" w:cs="宋体"/>
                <w:sz w:val="24"/>
                <w:szCs w:val="21"/>
                <w:lang w:val="zh-CN" w:eastAsia="zh-CN" w:bidi="ar-SA"/>
              </w:rPr>
              <w:t>成交公告</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eastAsia" w:ascii="宋体" w:hAnsi="宋体" w:eastAsia="宋体" w:cs="宋体"/>
                <w:color w:val="auto"/>
                <w:sz w:val="24"/>
                <w:szCs w:val="21"/>
                <w:lang w:val="zh-CN" w:eastAsia="zh-CN" w:bidi="ar-SA"/>
              </w:rPr>
            </w:pPr>
            <w:r>
              <w:rPr>
                <w:rFonts w:hint="eastAsia" w:ascii="宋体" w:hAnsi="宋体" w:eastAsia="宋体" w:cs="宋体"/>
                <w:color w:val="auto"/>
                <w:sz w:val="24"/>
                <w:szCs w:val="24"/>
              </w:rPr>
              <w:t>在</w:t>
            </w:r>
            <w:r>
              <w:rPr>
                <w:rFonts w:hint="eastAsia" w:ascii="宋体" w:hAnsi="宋体" w:eastAsia="宋体" w:cs="宋体"/>
                <w:color w:val="auto"/>
                <w:sz w:val="24"/>
                <w:szCs w:val="24"/>
                <w:lang w:eastAsia="zh-CN"/>
              </w:rPr>
              <w:t>成交通知书</w:t>
            </w:r>
            <w:r>
              <w:rPr>
                <w:rFonts w:hint="eastAsia" w:ascii="宋体" w:hAnsi="宋体" w:eastAsia="宋体" w:cs="宋体"/>
                <w:color w:val="auto"/>
                <w:sz w:val="24"/>
                <w:szCs w:val="24"/>
              </w:rPr>
              <w:t>发出前，</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w:t>
            </w:r>
            <w:r>
              <w:rPr>
                <w:rFonts w:hint="eastAsia" w:ascii="宋体" w:hAnsi="宋体" w:eastAsia="宋体" w:cs="宋体"/>
                <w:color w:val="auto"/>
                <w:sz w:val="24"/>
                <w:szCs w:val="24"/>
                <w:lang w:eastAsia="zh-CN"/>
              </w:rPr>
              <w:t>成交候选供应商</w:t>
            </w:r>
            <w:r>
              <w:rPr>
                <w:rFonts w:hint="eastAsia" w:ascii="宋体" w:hAnsi="宋体" w:eastAsia="宋体" w:cs="宋体"/>
                <w:color w:val="auto"/>
                <w:sz w:val="24"/>
                <w:szCs w:val="24"/>
              </w:rPr>
              <w:t>的情况在本招标项目</w:t>
            </w:r>
            <w:r>
              <w:rPr>
                <w:rFonts w:hint="eastAsia" w:ascii="宋体" w:hAnsi="宋体" w:eastAsia="宋体" w:cs="宋体"/>
                <w:color w:val="auto"/>
                <w:sz w:val="24"/>
                <w:szCs w:val="24"/>
                <w:lang w:eastAsia="zh-CN"/>
              </w:rPr>
              <w:t>竞争性磋商公告</w:t>
            </w:r>
            <w:r>
              <w:rPr>
                <w:rFonts w:hint="eastAsia" w:ascii="宋体" w:hAnsi="宋体" w:eastAsia="宋体" w:cs="宋体"/>
                <w:color w:val="auto"/>
                <w:sz w:val="24"/>
                <w:szCs w:val="24"/>
              </w:rPr>
              <w:t>发布的同一媒介和交易中心网予以</w:t>
            </w:r>
            <w:r>
              <w:rPr>
                <w:rFonts w:hint="eastAsia" w:ascii="宋体" w:hAnsi="宋体" w:eastAsia="宋体" w:cs="宋体"/>
                <w:color w:val="auto"/>
                <w:sz w:val="24"/>
                <w:szCs w:val="24"/>
                <w:lang w:eastAsia="zh-CN"/>
              </w:rPr>
              <w:t>公告</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公告</w:t>
            </w:r>
            <w:r>
              <w:rPr>
                <w:rFonts w:hint="eastAsia" w:ascii="宋体" w:hAnsi="宋体" w:eastAsia="宋体" w:cs="宋体"/>
                <w:color w:val="auto"/>
                <w:sz w:val="24"/>
                <w:szCs w:val="24"/>
              </w:rPr>
              <w:t>期</w:t>
            </w:r>
            <w:r>
              <w:rPr>
                <w:rFonts w:hint="eastAsia" w:ascii="宋体" w:hAnsi="宋体" w:eastAsia="宋体" w:cs="宋体"/>
                <w:color w:val="auto"/>
                <w:sz w:val="24"/>
                <w:szCs w:val="24"/>
                <w:lang w:eastAsia="zh-CN"/>
              </w:rPr>
              <w:t>限</w:t>
            </w:r>
            <w:r>
              <w:rPr>
                <w:rFonts w:hint="eastAsia" w:ascii="宋体" w:hAnsi="宋体" w:eastAsia="宋体" w:cs="宋体"/>
                <w:color w:val="auto"/>
                <w:sz w:val="24"/>
                <w:szCs w:val="24"/>
              </w:rPr>
              <w:t>不少于3日</w:t>
            </w:r>
            <w:r>
              <w:rPr>
                <w:rFonts w:hint="eastAsia" w:ascii="宋体" w:hAnsi="宋体" w:eastAsia="宋体" w:cs="宋体"/>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10.7</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zh-CN" w:eastAsia="zh-CN" w:bidi="ar-SA"/>
              </w:rPr>
            </w:pPr>
            <w:r>
              <w:rPr>
                <w:rFonts w:hint="eastAsia" w:ascii="宋体" w:hAnsi="宋体" w:eastAsia="宋体" w:cs="宋体"/>
                <w:bCs/>
                <w:kern w:val="2"/>
                <w:sz w:val="24"/>
                <w:szCs w:val="24"/>
                <w:lang w:val="zh-CN"/>
              </w:rPr>
              <w:t>招标代理费</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收费依据：按照国家发展计划委员会“发改价格【2015】299号”文要求。</w:t>
            </w:r>
            <w:r>
              <w:rPr>
                <w:rFonts w:hint="eastAsia" w:ascii="宋体" w:hAnsi="宋体" w:cs="宋体"/>
                <w:color w:val="auto"/>
                <w:sz w:val="24"/>
                <w:szCs w:val="24"/>
                <w:lang w:val="en-US" w:eastAsia="zh-CN"/>
              </w:rPr>
              <w:t>收取</w:t>
            </w:r>
            <w:r>
              <w:rPr>
                <w:rFonts w:hint="eastAsia" w:ascii="宋体" w:hAnsi="宋体" w:eastAsia="宋体" w:cs="宋体"/>
                <w:color w:val="auto"/>
                <w:sz w:val="24"/>
                <w:szCs w:val="24"/>
                <w:lang w:val="en-US" w:eastAsia="zh-CN"/>
              </w:rPr>
              <w:t>中标价的</w:t>
            </w:r>
            <w:r>
              <w:rPr>
                <w:rFonts w:hint="eastAsia" w:ascii="宋体" w:hAnsi="宋体" w:cs="宋体"/>
                <w:color w:val="auto"/>
                <w:sz w:val="24"/>
                <w:szCs w:val="24"/>
                <w:lang w:val="en-US" w:eastAsia="zh-CN"/>
              </w:rPr>
              <w:t>0.8</w:t>
            </w:r>
            <w:r>
              <w:rPr>
                <w:rFonts w:hint="eastAsia" w:ascii="宋体" w:hAnsi="宋体" w:eastAsia="宋体" w:cs="宋体"/>
                <w:color w:val="auto"/>
                <w:sz w:val="24"/>
                <w:szCs w:val="24"/>
                <w:lang w:val="en-US" w:eastAsia="zh-CN"/>
              </w:rPr>
              <w:t>%</w:t>
            </w:r>
          </w:p>
          <w:p>
            <w:pPr>
              <w:keepNext w:val="0"/>
              <w:keepLines w:val="0"/>
              <w:pageBreakBefore w:val="0"/>
              <w:widowControl w:val="0"/>
              <w:kinsoku/>
              <w:wordWrap w:val="0"/>
              <w:overflowPunct/>
              <w:topLinePunct w:val="0"/>
              <w:autoSpaceDE/>
              <w:autoSpaceDN/>
              <w:bidi w:val="0"/>
              <w:adjustRightInd w:val="0"/>
              <w:snapToGrid/>
              <w:spacing w:line="440" w:lineRule="exact"/>
              <w:jc w:val="both"/>
              <w:textAlignment w:val="auto"/>
              <w:rPr>
                <w:rFonts w:hint="eastAsia" w:ascii="宋体" w:hAnsi="宋体" w:eastAsia="宋体" w:cs="宋体"/>
                <w:bCs/>
                <w:color w:val="auto"/>
                <w:kern w:val="2"/>
                <w:sz w:val="24"/>
                <w:szCs w:val="24"/>
                <w:lang w:val="zh-CN" w:eastAsia="zh-CN" w:bidi="ar-SA"/>
              </w:rPr>
            </w:pPr>
            <w:r>
              <w:rPr>
                <w:rFonts w:hint="eastAsia" w:ascii="宋体" w:hAnsi="宋体" w:eastAsia="宋体" w:cs="宋体"/>
                <w:color w:val="auto"/>
                <w:sz w:val="24"/>
                <w:szCs w:val="24"/>
                <w:lang w:val="en-US" w:eastAsia="zh-CN"/>
              </w:rPr>
              <w:t>收取对象：中标供应商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10.8</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highlight w:val="none"/>
                <w:lang w:val="zh-CN" w:eastAsia="zh-CN" w:bidi="ar-SA"/>
              </w:rPr>
            </w:pPr>
            <w:r>
              <w:rPr>
                <w:rFonts w:hint="eastAsia" w:ascii="宋体" w:hAnsi="宋体" w:eastAsia="宋体" w:cs="宋体"/>
                <w:bCs/>
                <w:kern w:val="2"/>
                <w:sz w:val="24"/>
                <w:szCs w:val="24"/>
                <w:highlight w:val="none"/>
                <w:lang w:val="zh-CN"/>
              </w:rPr>
              <w:t>付款方式</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cs="宋体"/>
                <w:bCs/>
                <w:color w:val="auto"/>
                <w:kern w:val="2"/>
                <w:sz w:val="24"/>
                <w:szCs w:val="24"/>
                <w:highlight w:val="none"/>
                <w:lang w:val="zh-CN"/>
              </w:rPr>
              <w:t>双方按合同约定执行</w:t>
            </w:r>
            <w:r>
              <w:rPr>
                <w:rFonts w:hint="eastAsia" w:ascii="宋体" w:hAnsi="宋体" w:eastAsia="宋体" w:cs="宋体"/>
                <w:bCs/>
                <w:color w:val="auto"/>
                <w:kern w:val="2"/>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highlight w:val="none"/>
                <w:lang w:val="en-US" w:eastAsia="zh-CN"/>
              </w:rPr>
            </w:pPr>
            <w:r>
              <w:rPr>
                <w:rFonts w:hint="eastAsia" w:ascii="宋体" w:hAnsi="宋体" w:eastAsia="宋体" w:cs="宋体"/>
                <w:bCs/>
                <w:kern w:val="2"/>
                <w:sz w:val="24"/>
                <w:szCs w:val="24"/>
                <w:highlight w:val="none"/>
                <w:lang w:val="en-US" w:eastAsia="zh-CN"/>
              </w:rPr>
              <w:t>10.9</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highlight w:val="none"/>
                <w:lang w:val="zh-CN" w:eastAsia="zh-CN" w:bidi="ar-SA"/>
              </w:rPr>
            </w:pPr>
            <w:r>
              <w:rPr>
                <w:rFonts w:hint="eastAsia" w:ascii="宋体" w:hAnsi="宋体" w:eastAsia="宋体" w:cs="宋体"/>
                <w:bCs/>
                <w:kern w:val="2"/>
                <w:sz w:val="24"/>
                <w:szCs w:val="24"/>
                <w:highlight w:val="none"/>
                <w:lang w:val="zh-CN" w:eastAsia="zh-CN" w:bidi="ar-SA"/>
              </w:rPr>
              <w:t>质量保修期</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cs="宋体"/>
                <w:bCs/>
                <w:color w:val="auto"/>
                <w:kern w:val="2"/>
                <w:sz w:val="24"/>
                <w:szCs w:val="24"/>
                <w:highlight w:val="none"/>
                <w:lang w:val="en-US" w:eastAsia="zh-CN"/>
              </w:rPr>
              <w:t>1</w:t>
            </w:r>
            <w:r>
              <w:rPr>
                <w:rFonts w:hint="eastAsia" w:ascii="宋体" w:hAnsi="宋体" w:eastAsia="宋体" w:cs="宋体"/>
                <w:bCs/>
                <w:color w:val="auto"/>
                <w:kern w:val="2"/>
                <w:sz w:val="24"/>
                <w:szCs w:val="24"/>
                <w:highlight w:val="none"/>
                <w:lang w:val="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10.</w:t>
            </w:r>
            <w:r>
              <w:rPr>
                <w:rFonts w:hint="eastAsia" w:ascii="宋体" w:hAnsi="宋体" w:eastAsia="宋体" w:cs="宋体"/>
                <w:bCs/>
                <w:sz w:val="24"/>
                <w:szCs w:val="24"/>
                <w:highlight w:val="none"/>
                <w:lang w:val="en-US" w:eastAsia="zh-CN"/>
              </w:rPr>
              <w:t>10</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highlight w:val="none"/>
                <w:lang w:val="zh-CN" w:eastAsia="zh-CN" w:bidi="ar-SA"/>
              </w:rPr>
            </w:pPr>
            <w:r>
              <w:rPr>
                <w:rFonts w:hint="eastAsia" w:ascii="宋体" w:hAnsi="宋体" w:eastAsia="宋体" w:cs="宋体"/>
                <w:bCs/>
                <w:kern w:val="2"/>
                <w:sz w:val="24"/>
                <w:szCs w:val="24"/>
                <w:highlight w:val="none"/>
                <w:lang w:val="zh-CN"/>
              </w:rPr>
              <w:t>质量保证金</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10.11</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szCs w:val="21"/>
                <w:lang w:val="en-US" w:eastAsia="zh-CN" w:bidi="ar-SA"/>
              </w:rPr>
            </w:pPr>
            <w:r>
              <w:rPr>
                <w:rFonts w:hint="eastAsia" w:ascii="宋体" w:hAnsi="宋体" w:eastAsia="宋体" w:cs="宋体"/>
                <w:sz w:val="24"/>
              </w:rPr>
              <w:t>知识产权</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1"/>
                <w:lang w:val="en-US" w:eastAsia="zh-CN" w:bidi="ar-SA"/>
              </w:rPr>
            </w:pPr>
            <w:r>
              <w:rPr>
                <w:rFonts w:hint="eastAsia" w:ascii="宋体" w:hAnsi="宋体" w:eastAsia="宋体" w:cs="宋体"/>
                <w:sz w:val="24"/>
              </w:rPr>
              <w:t>构成本</w:t>
            </w:r>
            <w:r>
              <w:rPr>
                <w:rFonts w:hint="eastAsia" w:ascii="宋体" w:hAnsi="宋体" w:eastAsia="宋体" w:cs="宋体"/>
                <w:sz w:val="24"/>
                <w:lang w:eastAsia="zh-CN"/>
              </w:rPr>
              <w:t>磋商文件</w:t>
            </w:r>
            <w:r>
              <w:rPr>
                <w:rFonts w:hint="eastAsia" w:ascii="宋体" w:hAnsi="宋体" w:eastAsia="宋体" w:cs="宋体"/>
                <w:sz w:val="24"/>
              </w:rPr>
              <w:t>各个组成部分的文件，未经</w:t>
            </w:r>
            <w:r>
              <w:rPr>
                <w:rFonts w:hint="eastAsia" w:ascii="宋体" w:hAnsi="宋体" w:eastAsia="宋体" w:cs="宋体"/>
                <w:sz w:val="24"/>
                <w:lang w:eastAsia="zh-CN"/>
              </w:rPr>
              <w:t>采购人</w:t>
            </w:r>
            <w:r>
              <w:rPr>
                <w:rFonts w:hint="eastAsia" w:ascii="宋体" w:hAnsi="宋体" w:eastAsia="宋体" w:cs="宋体"/>
                <w:sz w:val="24"/>
              </w:rPr>
              <w:t>书面同意，</w:t>
            </w:r>
            <w:r>
              <w:rPr>
                <w:rFonts w:hint="eastAsia" w:ascii="宋体" w:hAnsi="宋体" w:eastAsia="宋体" w:cs="宋体"/>
                <w:sz w:val="24"/>
                <w:lang w:eastAsia="zh-CN"/>
              </w:rPr>
              <w:t>供应商</w:t>
            </w:r>
            <w:r>
              <w:rPr>
                <w:rFonts w:hint="eastAsia" w:ascii="宋体" w:hAnsi="宋体" w:eastAsia="宋体" w:cs="宋体"/>
                <w:sz w:val="24"/>
              </w:rPr>
              <w:t>不得擅自复印和用于非本招标项目所需的其他目的。</w:t>
            </w:r>
            <w:r>
              <w:rPr>
                <w:rFonts w:hint="eastAsia" w:ascii="宋体" w:hAnsi="宋体" w:eastAsia="宋体" w:cs="宋体"/>
                <w:sz w:val="24"/>
                <w:lang w:eastAsia="zh-CN"/>
              </w:rPr>
              <w:t>采购人</w:t>
            </w:r>
            <w:r>
              <w:rPr>
                <w:rFonts w:hint="eastAsia" w:ascii="宋体" w:hAnsi="宋体" w:eastAsia="宋体" w:cs="宋体"/>
                <w:sz w:val="24"/>
              </w:rPr>
              <w:t>全部或者部分使用未</w:t>
            </w:r>
            <w:r>
              <w:rPr>
                <w:rFonts w:hint="eastAsia" w:ascii="宋体" w:hAnsi="宋体" w:eastAsia="宋体" w:cs="宋体"/>
                <w:sz w:val="24"/>
                <w:lang w:eastAsia="zh-CN"/>
              </w:rPr>
              <w:t>成交供应商响应文件</w:t>
            </w:r>
            <w:r>
              <w:rPr>
                <w:rFonts w:hint="eastAsia" w:ascii="宋体" w:hAnsi="宋体" w:eastAsia="宋体" w:cs="宋体"/>
                <w:sz w:val="24"/>
              </w:rPr>
              <w:t>中的技术成果或技术方案时，需征得其书面同意，并不得擅自提供给第三人。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10.12</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szCs w:val="21"/>
                <w:lang w:val="en-US" w:eastAsia="zh-CN" w:bidi="ar-SA"/>
              </w:rPr>
            </w:pPr>
            <w:r>
              <w:rPr>
                <w:rFonts w:hint="eastAsia" w:ascii="宋体" w:hAnsi="宋体" w:eastAsia="宋体" w:cs="宋体"/>
                <w:sz w:val="24"/>
              </w:rPr>
              <w:t>重新招标的其他情形</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1"/>
                <w:lang w:val="en-US" w:eastAsia="zh-CN" w:bidi="ar-SA"/>
              </w:rPr>
            </w:pPr>
            <w:r>
              <w:rPr>
                <w:rFonts w:hint="eastAsia" w:ascii="宋体" w:hAnsi="宋体" w:eastAsia="宋体" w:cs="宋体"/>
                <w:sz w:val="24"/>
              </w:rPr>
              <w:t>提交</w:t>
            </w:r>
            <w:r>
              <w:rPr>
                <w:rFonts w:hint="eastAsia" w:ascii="宋体" w:hAnsi="宋体" w:eastAsia="宋体" w:cs="宋体"/>
                <w:sz w:val="24"/>
                <w:lang w:eastAsia="zh-CN"/>
              </w:rPr>
              <w:t>响应文件</w:t>
            </w:r>
            <w:r>
              <w:rPr>
                <w:rFonts w:hint="eastAsia" w:ascii="宋体" w:hAnsi="宋体" w:eastAsia="宋体" w:cs="宋体"/>
                <w:sz w:val="24"/>
              </w:rPr>
              <w:t>的</w:t>
            </w:r>
            <w:r>
              <w:rPr>
                <w:rFonts w:hint="eastAsia" w:ascii="宋体" w:hAnsi="宋体" w:eastAsia="宋体" w:cs="宋体"/>
                <w:sz w:val="24"/>
                <w:lang w:eastAsia="zh-CN"/>
              </w:rPr>
              <w:t>供应商</w:t>
            </w:r>
            <w:r>
              <w:rPr>
                <w:rFonts w:hint="eastAsia" w:ascii="宋体" w:hAnsi="宋体" w:eastAsia="宋体" w:cs="宋体"/>
                <w:sz w:val="24"/>
              </w:rPr>
              <w:t>少于三个的，</w:t>
            </w:r>
            <w:r>
              <w:rPr>
                <w:rFonts w:hint="eastAsia" w:ascii="宋体" w:hAnsi="宋体" w:eastAsia="宋体" w:cs="宋体"/>
                <w:sz w:val="24"/>
                <w:lang w:eastAsia="zh-CN"/>
              </w:rPr>
              <w:t>采购人</w:t>
            </w:r>
            <w:r>
              <w:rPr>
                <w:rFonts w:hint="eastAsia" w:ascii="宋体" w:hAnsi="宋体" w:eastAsia="宋体" w:cs="宋体"/>
                <w:sz w:val="24"/>
              </w:rPr>
              <w:t>应当依法重新招标。重新招标后</w:t>
            </w:r>
            <w:r>
              <w:rPr>
                <w:rFonts w:hint="eastAsia" w:ascii="宋体" w:hAnsi="宋体" w:eastAsia="宋体" w:cs="宋体"/>
                <w:sz w:val="24"/>
                <w:lang w:eastAsia="zh-CN"/>
              </w:rPr>
              <w:t>供应商</w:t>
            </w:r>
            <w:r>
              <w:rPr>
                <w:rFonts w:hint="eastAsia" w:ascii="宋体" w:hAnsi="宋体" w:eastAsia="宋体" w:cs="宋体"/>
                <w:sz w:val="24"/>
              </w:rPr>
              <w:t>仍少于三个的，属于必须审批的工程建设项目，报经原审批部门批准后可以不再进行招标；其他工程建设项目，</w:t>
            </w:r>
            <w:r>
              <w:rPr>
                <w:rFonts w:hint="eastAsia" w:ascii="宋体" w:hAnsi="宋体" w:eastAsia="宋体" w:cs="宋体"/>
                <w:sz w:val="24"/>
                <w:lang w:eastAsia="zh-CN"/>
              </w:rPr>
              <w:t>采购人</w:t>
            </w:r>
            <w:r>
              <w:rPr>
                <w:rFonts w:hint="eastAsia" w:ascii="宋体" w:hAnsi="宋体" w:eastAsia="宋体" w:cs="宋体"/>
                <w:sz w:val="24"/>
              </w:rPr>
              <w:t>可自行决定不再进行招标。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10.13</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szCs w:val="21"/>
                <w:lang w:val="en-US" w:eastAsia="zh-CN" w:bidi="ar-SA"/>
              </w:rPr>
            </w:pPr>
            <w:r>
              <w:rPr>
                <w:rFonts w:hint="eastAsia" w:ascii="宋体" w:hAnsi="宋体" w:eastAsia="宋体" w:cs="宋体"/>
                <w:sz w:val="24"/>
              </w:rPr>
              <w:t>同义词语</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1"/>
                <w:lang w:val="en-US" w:eastAsia="zh-CN" w:bidi="ar-SA"/>
              </w:rPr>
            </w:pPr>
            <w:r>
              <w:rPr>
                <w:rFonts w:hint="eastAsia" w:ascii="宋体" w:hAnsi="宋体" w:eastAsia="宋体" w:cs="宋体"/>
                <w:sz w:val="24"/>
              </w:rPr>
              <w:t>构成</w:t>
            </w:r>
            <w:r>
              <w:rPr>
                <w:rFonts w:hint="eastAsia" w:ascii="宋体" w:hAnsi="宋体" w:eastAsia="宋体" w:cs="宋体"/>
                <w:sz w:val="24"/>
                <w:lang w:eastAsia="zh-CN"/>
              </w:rPr>
              <w:t>磋商文件</w:t>
            </w:r>
            <w:r>
              <w:rPr>
                <w:rFonts w:hint="eastAsia" w:ascii="宋体" w:hAnsi="宋体" w:eastAsia="宋体" w:cs="宋体"/>
                <w:sz w:val="24"/>
              </w:rPr>
              <w:t>组成部分的“通用合同条款”、“专用合同条款”、“技术标准和要求”和“工程量清单”等章节中出现的措辞“发包人”和“承包人”，在招标投标阶段应当分别按“</w:t>
            </w:r>
            <w:r>
              <w:rPr>
                <w:rFonts w:hint="eastAsia" w:ascii="宋体" w:hAnsi="宋体" w:eastAsia="宋体" w:cs="宋体"/>
                <w:sz w:val="24"/>
                <w:lang w:eastAsia="zh-CN"/>
              </w:rPr>
              <w:t>采购人</w:t>
            </w:r>
            <w:r>
              <w:rPr>
                <w:rFonts w:hint="eastAsia" w:ascii="宋体" w:hAnsi="宋体" w:eastAsia="宋体" w:cs="宋体"/>
                <w:sz w:val="24"/>
              </w:rPr>
              <w:t>”和“</w:t>
            </w:r>
            <w:r>
              <w:rPr>
                <w:rFonts w:hint="eastAsia" w:ascii="宋体" w:hAnsi="宋体" w:eastAsia="宋体" w:cs="宋体"/>
                <w:sz w:val="24"/>
                <w:lang w:eastAsia="zh-CN"/>
              </w:rPr>
              <w:t>供应商</w:t>
            </w:r>
            <w:r>
              <w:rPr>
                <w:rFonts w:hint="eastAsia" w:ascii="宋体" w:hAnsi="宋体" w:eastAsia="宋体" w:cs="宋体"/>
                <w:sz w:val="24"/>
              </w:rPr>
              <w:t>”进行理解。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10.14</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szCs w:val="21"/>
                <w:lang w:val="en-US" w:eastAsia="zh-CN" w:bidi="ar-SA"/>
              </w:rPr>
            </w:pPr>
            <w:r>
              <w:rPr>
                <w:rFonts w:hint="eastAsia" w:ascii="宋体" w:hAnsi="宋体" w:eastAsia="宋体" w:cs="宋体"/>
                <w:sz w:val="24"/>
              </w:rPr>
              <w:t>监督</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1"/>
                <w:lang w:val="en-US" w:eastAsia="zh-CN" w:bidi="ar-SA"/>
              </w:rPr>
            </w:pPr>
            <w:r>
              <w:rPr>
                <w:rFonts w:hint="eastAsia" w:ascii="宋体" w:hAnsi="宋体" w:eastAsia="宋体" w:cs="宋体"/>
                <w:sz w:val="24"/>
              </w:rPr>
              <w:t>本项目的招标投标活动及其相关当事人应当接受有管辖权的建设工程招标投标行政监督部门依法实施的监督。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10.15</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jc w:val="center"/>
              <w:textAlignment w:val="auto"/>
              <w:rPr>
                <w:rFonts w:hint="eastAsia" w:ascii="宋体" w:hAnsi="宋体" w:eastAsia="宋体" w:cs="宋体"/>
                <w:sz w:val="24"/>
                <w:szCs w:val="21"/>
                <w:lang w:val="en-US" w:eastAsia="zh-CN" w:bidi="ar-SA"/>
              </w:rPr>
            </w:pPr>
            <w:r>
              <w:rPr>
                <w:rFonts w:hint="eastAsia" w:ascii="宋体" w:hAnsi="宋体" w:eastAsia="宋体" w:cs="宋体"/>
                <w:sz w:val="24"/>
              </w:rPr>
              <w:t>解释权</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adjustRightInd w:val="0"/>
              <w:spacing w:line="440" w:lineRule="exact"/>
              <w:textAlignment w:val="auto"/>
              <w:rPr>
                <w:rFonts w:hint="eastAsia" w:ascii="宋体" w:hAnsi="宋体" w:eastAsia="宋体" w:cs="宋体"/>
                <w:sz w:val="24"/>
                <w:szCs w:val="21"/>
                <w:lang w:val="en-US" w:eastAsia="zh-CN" w:bidi="ar-SA"/>
              </w:rPr>
            </w:pPr>
            <w:r>
              <w:rPr>
                <w:rFonts w:hint="eastAsia" w:ascii="宋体" w:hAnsi="宋体" w:eastAsia="宋体" w:cs="宋体"/>
                <w:sz w:val="24"/>
              </w:rPr>
              <w:t>构成本</w:t>
            </w:r>
            <w:r>
              <w:rPr>
                <w:rFonts w:hint="eastAsia" w:ascii="宋体" w:hAnsi="宋体" w:eastAsia="宋体" w:cs="宋体"/>
                <w:sz w:val="24"/>
                <w:lang w:eastAsia="zh-CN"/>
              </w:rPr>
              <w:t>磋商文件</w:t>
            </w:r>
            <w:r>
              <w:rPr>
                <w:rFonts w:hint="eastAsia" w:ascii="宋体" w:hAnsi="宋体" w:eastAsia="宋体" w:cs="宋体"/>
                <w:sz w:val="24"/>
              </w:rPr>
              <w:t>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4"/>
                <w:lang w:eastAsia="zh-CN"/>
              </w:rPr>
              <w:t>磋商文件</w:t>
            </w:r>
            <w:r>
              <w:rPr>
                <w:rFonts w:hint="eastAsia" w:ascii="宋体" w:hAnsi="宋体" w:eastAsia="宋体" w:cs="宋体"/>
                <w:sz w:val="24"/>
              </w:rPr>
              <w:t>中有特别规定外，仅适用于招标投标阶段的规定，按</w:t>
            </w:r>
            <w:r>
              <w:rPr>
                <w:rFonts w:hint="eastAsia" w:ascii="宋体" w:hAnsi="宋体" w:eastAsia="宋体" w:cs="宋体"/>
                <w:sz w:val="24"/>
                <w:lang w:eastAsia="zh-CN"/>
              </w:rPr>
              <w:t>竞争性磋商公告</w:t>
            </w:r>
            <w:r>
              <w:rPr>
                <w:rFonts w:hint="eastAsia" w:ascii="宋体" w:hAnsi="宋体" w:eastAsia="宋体" w:cs="宋体"/>
                <w:sz w:val="24"/>
              </w:rPr>
              <w:t>（投标邀请书）、</w:t>
            </w:r>
            <w:r>
              <w:rPr>
                <w:rFonts w:hint="eastAsia" w:ascii="宋体" w:hAnsi="宋体" w:eastAsia="宋体" w:cs="宋体"/>
                <w:sz w:val="24"/>
                <w:lang w:eastAsia="zh-CN"/>
              </w:rPr>
              <w:t>供应商</w:t>
            </w:r>
            <w:r>
              <w:rPr>
                <w:rFonts w:hint="eastAsia" w:ascii="宋体" w:hAnsi="宋体" w:eastAsia="宋体" w:cs="宋体"/>
                <w:sz w:val="24"/>
              </w:rPr>
              <w:t>须知、评标办法、</w:t>
            </w:r>
            <w:r>
              <w:rPr>
                <w:rFonts w:hint="eastAsia" w:ascii="宋体" w:hAnsi="宋体" w:eastAsia="宋体" w:cs="宋体"/>
                <w:sz w:val="24"/>
                <w:lang w:eastAsia="zh-CN"/>
              </w:rPr>
              <w:t>响应文件</w:t>
            </w:r>
            <w:r>
              <w:rPr>
                <w:rFonts w:hint="eastAsia" w:ascii="宋体" w:hAnsi="宋体" w:eastAsia="宋体" w:cs="宋体"/>
                <w:sz w:val="24"/>
              </w:rPr>
              <w:t>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eastAsia="宋体" w:cs="宋体"/>
                <w:sz w:val="24"/>
                <w:lang w:eastAsia="zh-CN"/>
              </w:rPr>
              <w:t>采购人</w:t>
            </w:r>
            <w:r>
              <w:rPr>
                <w:rFonts w:hint="eastAsia" w:ascii="宋体" w:hAnsi="宋体" w:eastAsia="宋体" w:cs="宋体"/>
                <w:sz w:val="24"/>
              </w:rPr>
              <w:t>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zh-CN"/>
              </w:rPr>
              <w:t>10.</w:t>
            </w:r>
            <w:r>
              <w:rPr>
                <w:rFonts w:hint="eastAsia" w:ascii="宋体" w:hAnsi="宋体" w:eastAsia="宋体" w:cs="宋体"/>
                <w:bCs/>
                <w:kern w:val="2"/>
                <w:sz w:val="24"/>
                <w:szCs w:val="24"/>
                <w:lang w:val="en-US" w:eastAsia="zh-CN"/>
              </w:rPr>
              <w:t>16</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供应商废标说明</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1、供应商需在开标前将响应文件制作工具生成的加密文件上传到</w:t>
            </w:r>
            <w:r>
              <w:rPr>
                <w:rFonts w:hint="eastAsia" w:ascii="宋体" w:hAnsi="宋体" w:eastAsia="宋体" w:cs="宋体"/>
                <w:color w:val="auto"/>
                <w:sz w:val="24"/>
                <w:szCs w:val="24"/>
                <w:lang w:val="en-US" w:eastAsia="zh-CN"/>
              </w:rPr>
              <w:t>政采云平台</w:t>
            </w:r>
            <w:r>
              <w:rPr>
                <w:rFonts w:hint="eastAsia" w:ascii="宋体" w:hAnsi="宋体" w:eastAsia="宋体" w:cs="宋体"/>
                <w:bCs/>
                <w:kern w:val="2"/>
                <w:sz w:val="24"/>
                <w:szCs w:val="24"/>
                <w:lang w:val="zh-CN"/>
              </w:rPr>
              <w:t>。</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2、开标时，供应商需用生成最终响应文件所使用的ca锁，以防</w:t>
            </w:r>
            <w:r>
              <w:rPr>
                <w:rFonts w:hint="eastAsia" w:ascii="宋体" w:hAnsi="宋体" w:cs="宋体"/>
                <w:bCs/>
                <w:sz w:val="24"/>
                <w:szCs w:val="24"/>
                <w:highlight w:val="none"/>
              </w:rPr>
              <w:t>签到、</w:t>
            </w:r>
            <w:r>
              <w:rPr>
                <w:rFonts w:hint="eastAsia" w:ascii="宋体" w:hAnsi="宋体" w:cs="宋体"/>
                <w:bCs/>
                <w:sz w:val="24"/>
                <w:szCs w:val="24"/>
                <w:highlight w:val="none"/>
                <w:lang w:val="zh-CN"/>
              </w:rPr>
              <w:t>解密失败</w:t>
            </w:r>
            <w:r>
              <w:rPr>
                <w:rFonts w:hint="eastAsia" w:ascii="宋体" w:hAnsi="宋体" w:eastAsia="宋体" w:cs="宋体"/>
                <w:bCs/>
                <w:kern w:val="2"/>
                <w:sz w:val="24"/>
                <w:szCs w:val="24"/>
                <w:lang w:val="zh-CN"/>
              </w:rPr>
              <w:t>。</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3、清标系统中，如电子响应文件的制作机器码、文件创建标识码一致均视为废标，清单五要素如有与招标清单不一致并投标报价产生实质性影响视为废标。</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4、供应商在编制电子响应文件前，请严格按照评分办法中所要求的证明证件进行诚信库的完善，比如企业信息，业绩信息，人员信息等诚信库信息。</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开评标过程中如因上述原因导致废标，供应商自行承担后果。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zh-CN"/>
              </w:rPr>
              <w:t>10.</w:t>
            </w:r>
            <w:r>
              <w:rPr>
                <w:rFonts w:hint="eastAsia" w:ascii="宋体" w:hAnsi="宋体" w:eastAsia="宋体" w:cs="宋体"/>
                <w:bCs/>
                <w:kern w:val="2"/>
                <w:sz w:val="24"/>
                <w:szCs w:val="24"/>
              </w:rPr>
              <w:t>1</w:t>
            </w:r>
            <w:r>
              <w:rPr>
                <w:rFonts w:hint="eastAsia" w:ascii="宋体" w:hAnsi="宋体" w:eastAsia="宋体" w:cs="宋体"/>
                <w:bCs/>
                <w:kern w:val="2"/>
                <w:sz w:val="24"/>
                <w:szCs w:val="24"/>
                <w:lang w:val="en-US" w:eastAsia="zh-CN"/>
              </w:rPr>
              <w:t>7</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电子招投标相关说明</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val="0"/>
              <w:overflowPunct/>
              <w:topLinePunct w:val="0"/>
              <w:autoSpaceDE/>
              <w:autoSpaceDN/>
              <w:bidi w:val="0"/>
              <w:spacing w:line="440" w:lineRule="exact"/>
              <w:textAlignment w:val="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政府采购实行不见面开标，具体要求如下：</w:t>
            </w:r>
          </w:p>
          <w:p>
            <w:pPr>
              <w:widowControl w:val="0"/>
              <w:autoSpaceD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1.供应商在政府采购云平台网注册入库成为正式供应商后，在平台上按《政府采购项目电子交易管理操作指南－供应商》进行投标操作。投标人须办理数字证书方可参加投标。</w:t>
            </w:r>
          </w:p>
          <w:p>
            <w:pPr>
              <w:widowControl w:val="0"/>
              <w:autoSpaceDE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2.收到 CA 锁以后在“政采云”登录界面，点击 CA 登录-CA 驱动下载－下载并安装政采云投标客户端和 CA 驱动，账号绑定 CA 后才能进行投标文件制作。</w:t>
            </w:r>
          </w:p>
          <w:p>
            <w:pPr>
              <w:widowControl w:val="0"/>
              <w:numPr>
                <w:ilvl w:val="0"/>
                <w:numId w:val="1"/>
              </w:numPr>
              <w:autoSpaceDE w:val="0"/>
              <w:spacing w:line="440" w:lineRule="exact"/>
              <w:ind w:firstLine="480"/>
              <w:rPr>
                <w:rFonts w:hint="eastAsia" w:ascii="宋体" w:hAnsi="宋体" w:eastAsia="宋体" w:cs="宋体"/>
                <w:kern w:val="2"/>
                <w:sz w:val="24"/>
                <w:szCs w:val="24"/>
                <w:lang w:val="en-US" w:eastAsia="zh-CN" w:bidi="ar-SA"/>
              </w:rPr>
            </w:pPr>
            <w:r>
              <w:rPr>
                <w:rFonts w:hint="eastAsia" w:ascii="宋体" w:hAnsi="宋体" w:eastAsia="宋体" w:cs="宋体"/>
                <w:sz w:val="24"/>
                <w:szCs w:val="24"/>
              </w:rPr>
              <w:t>若对项目采购电子交易系统操作有疑问，可登录“政采云”平台，点击右侧咨询小采，获取采小蜜智能服务管家帮助，或拨打政采云服务热线 95763 获取帮助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10.18</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jc w:val="center"/>
              <w:textAlignment w:val="auto"/>
              <w:rPr>
                <w:rFonts w:hint="eastAsia" w:ascii="宋体" w:hAnsi="宋体" w:eastAsia="宋体" w:cs="宋体"/>
                <w:bCs/>
                <w:kern w:val="2"/>
                <w:sz w:val="24"/>
                <w:szCs w:val="24"/>
                <w:lang w:val="zh-CN"/>
              </w:rPr>
            </w:pPr>
            <w:r>
              <w:rPr>
                <w:rFonts w:hint="eastAsia" w:ascii="宋体" w:hAnsi="宋体" w:eastAsia="宋体" w:cs="宋体"/>
                <w:bCs/>
                <w:kern w:val="2"/>
                <w:sz w:val="24"/>
                <w:szCs w:val="24"/>
                <w:lang w:val="zh-CN"/>
              </w:rPr>
              <w:t>采购人补充的其他内容</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kern w:val="2"/>
                <w:sz w:val="24"/>
                <w:szCs w:val="24"/>
                <w:lang w:val="en-US" w:eastAsia="zh-CN" w:bidi="ar-SA"/>
              </w:rPr>
              <w:t>1、工程计价方式：</w:t>
            </w:r>
            <w:r>
              <w:rPr>
                <w:rFonts w:hint="eastAsia" w:ascii="宋体" w:hAnsi="宋体" w:eastAsia="宋体" w:cs="宋体"/>
                <w:color w:val="auto"/>
                <w:kern w:val="2"/>
                <w:sz w:val="24"/>
                <w:szCs w:val="24"/>
                <w:lang w:val="en-US" w:eastAsia="zh-CN" w:bidi="ar-SA"/>
              </w:rPr>
              <w:t>工程量清单计价方式。</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default"/>
                <w:lang w:val="en-US" w:eastAsia="zh-CN"/>
              </w:rPr>
            </w:pPr>
            <w:r>
              <w:rPr>
                <w:rFonts w:hint="eastAsia" w:ascii="宋体" w:hAnsi="宋体" w:cs="宋体"/>
                <w:kern w:val="2"/>
                <w:sz w:val="24"/>
                <w:szCs w:val="24"/>
                <w:lang w:val="en-US" w:eastAsia="zh-CN" w:bidi="ar-SA"/>
              </w:rPr>
              <w:t>2</w:t>
            </w:r>
            <w:r>
              <w:rPr>
                <w:rFonts w:hint="eastAsia" w:ascii="宋体" w:hAnsi="宋体" w:eastAsia="宋体" w:cs="宋体"/>
                <w:kern w:val="2"/>
                <w:sz w:val="24"/>
                <w:szCs w:val="24"/>
                <w:lang w:val="en-US" w:eastAsia="zh-CN" w:bidi="ar-SA"/>
              </w:rPr>
              <w:t>、中标单位应当与其使用的农民工签订劳动合同，并在劳动合同中明确约定工资支付项目、支付标准、支付形式、支付时间、农民工工资个人账户及双方约定的其他与工资有关的事项；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rPr>
              <w:t>10.19</w:t>
            </w:r>
          </w:p>
        </w:tc>
        <w:tc>
          <w:tcPr>
            <w:tcW w:w="171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jc w:val="center"/>
              <w:textAlignment w:val="auto"/>
              <w:rPr>
                <w:rFonts w:hint="eastAsia" w:ascii="宋体" w:hAnsi="宋体" w:eastAsia="宋体" w:cs="宋体"/>
                <w:bCs/>
                <w:kern w:val="2"/>
                <w:sz w:val="24"/>
                <w:szCs w:val="24"/>
                <w:lang w:val="zh-CN" w:eastAsia="zh-CN" w:bidi="ar-SA"/>
              </w:rPr>
            </w:pPr>
            <w:r>
              <w:rPr>
                <w:rFonts w:hint="eastAsia" w:ascii="宋体" w:hAnsi="宋体" w:eastAsia="宋体" w:cs="宋体"/>
                <w:bCs/>
                <w:kern w:val="2"/>
                <w:sz w:val="24"/>
                <w:szCs w:val="24"/>
                <w:lang w:val="en-US" w:eastAsia="zh-CN"/>
              </w:rPr>
              <w:t>词语定义</w:t>
            </w:r>
          </w:p>
        </w:tc>
        <w:tc>
          <w:tcPr>
            <w:tcW w:w="70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1、采购人：是指依法进行政府采购的国家机关、事业单位、团体组织。</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2、采购人：是依照《中华人民共和国招标投标法》规定提出招标项目、进行招标的法人或者其他组织。</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3、供应商：是指向采购人提供货物、工程或者服务的法人、其他组织或者自然人。</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4、供应商：是响应招标、参加投标竞争的法人或者其他组织。</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5、采购代理机构：是指集中采购机构以外的采购代理机构，在采购人委托的范围内办理政府采购事宜。</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right="0" w:rightChars="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6、采购代理机构：是依法设立、从事招标代理业务并提供相关服务的社会中介组织。</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right="0" w:rightChars="0"/>
              <w:textAlignment w:val="auto"/>
              <w:rPr>
                <w:rFonts w:hint="eastAsia" w:ascii="宋体" w:hAnsi="宋体" w:eastAsia="宋体" w:cs="宋体"/>
                <w:b/>
                <w:bCs/>
                <w:sz w:val="24"/>
                <w:lang w:eastAsia="zh-CN"/>
              </w:rPr>
            </w:pPr>
            <w:r>
              <w:rPr>
                <w:rFonts w:hint="eastAsia" w:ascii="宋体" w:hAnsi="宋体" w:eastAsia="宋体" w:cs="宋体"/>
                <w:b/>
                <w:bCs/>
                <w:sz w:val="24"/>
                <w:lang w:eastAsia="zh-CN"/>
              </w:rPr>
              <w:t>注：</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right="0" w:righ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政府采购工程以及与工程建设有关的货物、服务采购，可以采用招标方式，也可以采用竞争性磋商、竞争性谈判、单一来源、询价方式。招标分为竞争性磋商招标和邀请招标两种方式。</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right="0" w:righ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lang w:eastAsia="zh-CN"/>
              </w:rPr>
              <w:t>政府采购工程以及与工程建设有关的货物、服务，采用招标方式采购的，适用</w:t>
            </w:r>
            <w:r>
              <w:rPr>
                <w:rFonts w:hint="eastAsia" w:ascii="宋体" w:hAnsi="宋体" w:eastAsia="宋体" w:cs="宋体"/>
                <w:kern w:val="2"/>
                <w:sz w:val="24"/>
                <w:szCs w:val="24"/>
                <w:lang w:val="en-US" w:eastAsia="zh-CN" w:bidi="ar-SA"/>
              </w:rPr>
              <w:t>《中华人民共和国招标投标法》及其实施条例；采用其他方式采购的，适用《中华人民共和国政府采购法》及其实施条例。</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right="0" w:rightChars="0" w:firstLine="480" w:firstLineChars="200"/>
              <w:textAlignment w:val="auto"/>
              <w:rPr>
                <w:rFonts w:hint="eastAsia" w:ascii="宋体" w:hAnsi="宋体" w:eastAsia="宋体" w:cs="宋体"/>
                <w:sz w:val="24"/>
                <w:lang w:val="en-US" w:eastAsia="zh-CN"/>
              </w:rPr>
            </w:pPr>
            <w:r>
              <w:rPr>
                <w:rFonts w:hint="eastAsia" w:ascii="宋体" w:hAnsi="宋体" w:eastAsia="宋体" w:cs="宋体"/>
                <w:kern w:val="2"/>
                <w:sz w:val="24"/>
                <w:szCs w:val="24"/>
                <w:lang w:val="en-US" w:eastAsia="zh-CN" w:bidi="ar-SA"/>
              </w:rPr>
              <w:t>前款所称工程，是指建设工程，包括建筑物和构筑物的新建、改建、扩建及其相关的装修、拆除、修缮等；所称与工程建设有关的货物，是指构成工程不可分割的组成部分，且为实现工程基本功能锁必需的设备、材料等；所称与工程建设有关的服务，是指为完成工程所需的勘察、设计、监理等服务。</w:t>
            </w:r>
          </w:p>
          <w:p>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Autospacing="0" w:line="440" w:lineRule="exact"/>
              <w:ind w:left="0" w:leftChars="0" w:right="0" w:rightChars="0"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lang w:eastAsia="zh-CN"/>
              </w:rPr>
              <w:t>本项目各当事人名称无论命名为“采购人”还是“采购人”、“采购代理机构”还是“采购代理机构”、“供应商”还是“供应商”仅是作为一个代名词，具体的含义根据适用法律的不同来理解，如果本项目适用</w:t>
            </w:r>
            <w:r>
              <w:rPr>
                <w:rFonts w:hint="eastAsia" w:ascii="宋体" w:hAnsi="宋体" w:eastAsia="宋体" w:cs="宋体"/>
                <w:kern w:val="2"/>
                <w:sz w:val="24"/>
                <w:szCs w:val="24"/>
                <w:lang w:val="en-US" w:eastAsia="zh-CN" w:bidi="ar-SA"/>
              </w:rPr>
              <w:t>《中华人民共和国招标投标法》及其实施条例的，则</w:t>
            </w:r>
            <w:r>
              <w:rPr>
                <w:rFonts w:hint="eastAsia" w:ascii="宋体" w:hAnsi="宋体" w:eastAsia="宋体" w:cs="宋体"/>
                <w:sz w:val="24"/>
                <w:lang w:eastAsia="zh-CN"/>
              </w:rPr>
              <w:t>各当事人名称按</w:t>
            </w:r>
            <w:r>
              <w:rPr>
                <w:rFonts w:hint="eastAsia" w:ascii="宋体" w:hAnsi="宋体" w:eastAsia="宋体" w:cs="宋体"/>
                <w:sz w:val="24"/>
              </w:rPr>
              <w:t>“</w:t>
            </w:r>
            <w:r>
              <w:rPr>
                <w:rFonts w:hint="eastAsia" w:ascii="宋体" w:hAnsi="宋体" w:eastAsia="宋体" w:cs="宋体"/>
                <w:sz w:val="24"/>
                <w:lang w:eastAsia="zh-CN"/>
              </w:rPr>
              <w:t>采购人</w:t>
            </w:r>
            <w:r>
              <w:rPr>
                <w:rFonts w:hint="eastAsia" w:ascii="宋体" w:hAnsi="宋体" w:eastAsia="宋体" w:cs="宋体"/>
                <w:sz w:val="24"/>
              </w:rPr>
              <w:t>”、“</w:t>
            </w:r>
            <w:r>
              <w:rPr>
                <w:rFonts w:hint="eastAsia" w:ascii="宋体" w:hAnsi="宋体" w:eastAsia="宋体" w:cs="宋体"/>
                <w:sz w:val="24"/>
                <w:lang w:eastAsia="zh-CN"/>
              </w:rPr>
              <w:t>采购代理机构</w:t>
            </w:r>
            <w:r>
              <w:rPr>
                <w:rFonts w:hint="eastAsia" w:ascii="宋体" w:hAnsi="宋体" w:eastAsia="宋体" w:cs="宋体"/>
                <w:sz w:val="24"/>
              </w:rPr>
              <w:t>”</w:t>
            </w:r>
            <w:r>
              <w:rPr>
                <w:rFonts w:hint="eastAsia" w:ascii="宋体" w:hAnsi="宋体" w:eastAsia="宋体" w:cs="宋体"/>
                <w:sz w:val="24"/>
                <w:lang w:eastAsia="zh-CN"/>
              </w:rPr>
              <w:t>和</w:t>
            </w:r>
            <w:r>
              <w:rPr>
                <w:rFonts w:hint="eastAsia" w:ascii="宋体" w:hAnsi="宋体" w:eastAsia="宋体" w:cs="宋体"/>
                <w:sz w:val="24"/>
              </w:rPr>
              <w:t>“</w:t>
            </w:r>
            <w:r>
              <w:rPr>
                <w:rFonts w:hint="eastAsia" w:ascii="宋体" w:hAnsi="宋体" w:eastAsia="宋体" w:cs="宋体"/>
                <w:sz w:val="24"/>
                <w:lang w:eastAsia="zh-CN"/>
              </w:rPr>
              <w:t>供应商</w:t>
            </w:r>
            <w:r>
              <w:rPr>
                <w:rFonts w:hint="eastAsia" w:ascii="宋体" w:hAnsi="宋体" w:eastAsia="宋体" w:cs="宋体"/>
                <w:sz w:val="24"/>
              </w:rPr>
              <w:t>”</w:t>
            </w:r>
            <w:r>
              <w:rPr>
                <w:rFonts w:hint="eastAsia" w:ascii="宋体" w:hAnsi="宋体" w:eastAsia="宋体" w:cs="宋体"/>
                <w:sz w:val="24"/>
                <w:lang w:eastAsia="zh-CN"/>
              </w:rPr>
              <w:t>来理解；如果本项目</w:t>
            </w:r>
            <w:r>
              <w:rPr>
                <w:rFonts w:hint="eastAsia" w:ascii="宋体" w:hAnsi="宋体" w:eastAsia="宋体" w:cs="宋体"/>
                <w:kern w:val="2"/>
                <w:sz w:val="24"/>
                <w:szCs w:val="24"/>
                <w:lang w:val="en-US" w:eastAsia="zh-CN" w:bidi="ar-SA"/>
              </w:rPr>
              <w:t>适用《中华人民共和国政府采购法》及其实施条例</w:t>
            </w:r>
            <w:r>
              <w:rPr>
                <w:rFonts w:hint="eastAsia" w:ascii="宋体" w:hAnsi="宋体" w:eastAsia="宋体" w:cs="宋体"/>
                <w:sz w:val="24"/>
                <w:lang w:eastAsia="zh-CN"/>
              </w:rPr>
              <w:t>的，</w:t>
            </w:r>
            <w:r>
              <w:rPr>
                <w:rFonts w:hint="eastAsia" w:ascii="宋体" w:hAnsi="宋体" w:eastAsia="宋体" w:cs="宋体"/>
                <w:kern w:val="2"/>
                <w:sz w:val="24"/>
                <w:szCs w:val="24"/>
                <w:lang w:val="en-US" w:eastAsia="zh-CN" w:bidi="ar-SA"/>
              </w:rPr>
              <w:t>则</w:t>
            </w:r>
            <w:r>
              <w:rPr>
                <w:rFonts w:hint="eastAsia" w:ascii="宋体" w:hAnsi="宋体" w:eastAsia="宋体" w:cs="宋体"/>
                <w:sz w:val="24"/>
                <w:lang w:eastAsia="zh-CN"/>
              </w:rPr>
              <w:t>各当事人名称按</w:t>
            </w:r>
            <w:r>
              <w:rPr>
                <w:rFonts w:hint="eastAsia" w:ascii="宋体" w:hAnsi="宋体" w:eastAsia="宋体" w:cs="宋体"/>
                <w:sz w:val="24"/>
              </w:rPr>
              <w:t>“</w:t>
            </w:r>
            <w:r>
              <w:rPr>
                <w:rFonts w:hint="eastAsia" w:ascii="宋体" w:hAnsi="宋体" w:eastAsia="宋体" w:cs="宋体"/>
                <w:sz w:val="24"/>
                <w:lang w:eastAsia="zh-CN"/>
              </w:rPr>
              <w:t>采购</w:t>
            </w:r>
            <w:r>
              <w:rPr>
                <w:rFonts w:hint="eastAsia" w:ascii="宋体" w:hAnsi="宋体" w:eastAsia="宋体" w:cs="宋体"/>
                <w:sz w:val="24"/>
              </w:rPr>
              <w:t>人”、“</w:t>
            </w:r>
            <w:r>
              <w:rPr>
                <w:rFonts w:hint="eastAsia" w:ascii="宋体" w:hAnsi="宋体" w:eastAsia="宋体" w:cs="宋体"/>
                <w:sz w:val="24"/>
                <w:lang w:eastAsia="zh-CN"/>
              </w:rPr>
              <w:t>采购代理机构</w:t>
            </w:r>
            <w:r>
              <w:rPr>
                <w:rFonts w:hint="eastAsia" w:ascii="宋体" w:hAnsi="宋体" w:eastAsia="宋体" w:cs="宋体"/>
                <w:sz w:val="24"/>
              </w:rPr>
              <w:t>”和“</w:t>
            </w:r>
            <w:r>
              <w:rPr>
                <w:rFonts w:hint="eastAsia" w:ascii="宋体" w:hAnsi="宋体" w:eastAsia="宋体" w:cs="宋体"/>
                <w:sz w:val="24"/>
                <w:lang w:eastAsia="zh-CN"/>
              </w:rPr>
              <w:t>供应商</w:t>
            </w:r>
            <w:r>
              <w:rPr>
                <w:rFonts w:hint="eastAsia" w:ascii="宋体" w:hAnsi="宋体" w:eastAsia="宋体" w:cs="宋体"/>
                <w:sz w:val="24"/>
              </w:rPr>
              <w:t>”</w:t>
            </w:r>
            <w:r>
              <w:rPr>
                <w:rFonts w:hint="eastAsia" w:ascii="宋体" w:hAnsi="宋体" w:eastAsia="宋体" w:cs="宋体"/>
                <w:sz w:val="24"/>
                <w:lang w:eastAsia="zh-CN"/>
              </w:rPr>
              <w:t>来理解。</w:t>
            </w:r>
          </w:p>
        </w:tc>
      </w:tr>
    </w:tbl>
    <w:p>
      <w:pPr>
        <w:keepNext w:val="0"/>
        <w:keepLines w:val="0"/>
        <w:pageBreakBefore w:val="0"/>
        <w:widowControl w:val="0"/>
        <w:kinsoku/>
        <w:wordWrap w:val="0"/>
        <w:overflowPunct/>
        <w:topLinePunct w:val="0"/>
        <w:autoSpaceDE/>
        <w:autoSpaceDN/>
        <w:bidi w:val="0"/>
        <w:outlineLvl w:val="1"/>
        <w:rPr>
          <w:rFonts w:hint="eastAsia" w:ascii="宋体" w:hAnsi="宋体" w:eastAsia="宋体" w:cs="宋体"/>
          <w:color w:val="auto"/>
          <w:highlight w:val="none"/>
        </w:rPr>
      </w:pPr>
      <w:r>
        <w:rPr>
          <w:rFonts w:hint="eastAsia" w:ascii="宋体" w:hAnsi="宋体" w:eastAsia="宋体" w:cs="宋体"/>
          <w:b/>
          <w:bCs/>
          <w:sz w:val="28"/>
          <w:szCs w:val="28"/>
          <w:lang w:val="en-US" w:eastAsia="zh-CN"/>
        </w:rPr>
        <w:br w:type="page"/>
      </w:r>
      <w:bookmarkStart w:id="32" w:name="_Toc2897"/>
      <w:r>
        <w:rPr>
          <w:rStyle w:val="64"/>
          <w:rFonts w:hint="eastAsia" w:ascii="宋体" w:hAnsi="宋体" w:eastAsia="宋体" w:cs="宋体"/>
          <w:lang w:eastAsia="zh-CN"/>
        </w:rPr>
        <w:t>供应商</w:t>
      </w:r>
      <w:r>
        <w:rPr>
          <w:rStyle w:val="64"/>
          <w:rFonts w:hint="eastAsia" w:ascii="宋体" w:hAnsi="宋体" w:eastAsia="宋体" w:cs="宋体"/>
        </w:rPr>
        <w:t>须知正文部分</w:t>
      </w:r>
      <w:bookmarkEnd w:id="32"/>
    </w:p>
    <w:p>
      <w:pPr>
        <w:keepNext w:val="0"/>
        <w:keepLines w:val="0"/>
        <w:pageBreakBefore w:val="0"/>
        <w:widowControl w:val="0"/>
        <w:kinsoku/>
        <w:wordWrap w:val="0"/>
        <w:overflowPunct/>
        <w:topLinePunct w:val="0"/>
        <w:autoSpaceDE/>
        <w:autoSpaceDN/>
        <w:bidi w:val="0"/>
        <w:outlineLvl w:val="1"/>
        <w:rPr>
          <w:rFonts w:hint="eastAsia" w:ascii="宋体" w:hAnsi="宋体" w:eastAsia="宋体" w:cs="宋体"/>
          <w:b/>
          <w:bCs/>
          <w:sz w:val="32"/>
          <w:szCs w:val="32"/>
        </w:rPr>
      </w:pPr>
      <w:bookmarkStart w:id="33" w:name="_Toc29405"/>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bookmarkEnd w:id="30"/>
      <w:bookmarkEnd w:id="31"/>
      <w:bookmarkEnd w:id="33"/>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34" w:name="_Toc29384649"/>
      <w:bookmarkStart w:id="35" w:name="_Toc26051"/>
      <w:r>
        <w:rPr>
          <w:rFonts w:hint="eastAsia" w:ascii="宋体" w:hAnsi="宋体" w:eastAsia="宋体" w:cs="宋体"/>
          <w:b/>
          <w:bCs/>
          <w:sz w:val="28"/>
          <w:szCs w:val="28"/>
        </w:rPr>
        <w:t>1.1 项目概况</w:t>
      </w:r>
      <w:bookmarkEnd w:id="34"/>
      <w:bookmarkEnd w:id="35"/>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lang w:val="zh-CN"/>
        </w:rPr>
        <w:t>1.1.1</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根据《</w:t>
      </w:r>
      <w:r>
        <w:rPr>
          <w:rFonts w:hint="eastAsia" w:ascii="宋体" w:hAnsi="宋体" w:cs="宋体"/>
          <w:bCs/>
          <w:sz w:val="24"/>
          <w:szCs w:val="24"/>
          <w:highlight w:val="none"/>
        </w:rPr>
        <w:t>中华人民共和国政府采购法</w:t>
      </w:r>
      <w:r>
        <w:rPr>
          <w:rFonts w:hint="eastAsia" w:ascii="宋体" w:hAnsi="宋体" w:eastAsia="宋体" w:cs="宋体"/>
          <w:bCs/>
          <w:sz w:val="24"/>
          <w:szCs w:val="24"/>
        </w:rPr>
        <w:t>》等有关法律、法规和规章的规定，本招标项目已具备招标条件，现对本项目施工进行招标。</w:t>
      </w:r>
      <w:bookmarkStart w:id="36" w:name="_Toc29384650"/>
      <w:bookmarkStart w:id="37" w:name="_Toc12789"/>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1.1.2 本招标项目</w:t>
      </w:r>
      <w:r>
        <w:rPr>
          <w:rFonts w:hint="eastAsia" w:ascii="宋体" w:hAnsi="宋体" w:eastAsia="宋体" w:cs="宋体"/>
          <w:b w:val="0"/>
          <w:bCs w:val="0"/>
          <w:sz w:val="24"/>
          <w:szCs w:val="24"/>
          <w:lang w:eastAsia="zh-CN"/>
        </w:rPr>
        <w:t>采购人</w:t>
      </w:r>
      <w:r>
        <w:rPr>
          <w:rFonts w:hint="eastAsia" w:ascii="宋体" w:hAnsi="宋体" w:eastAsia="宋体" w:cs="宋体"/>
          <w:b w:val="0"/>
          <w:bCs w:val="0"/>
          <w:sz w:val="24"/>
          <w:szCs w:val="24"/>
        </w:rPr>
        <w:t>：见</w:t>
      </w:r>
      <w:r>
        <w:rPr>
          <w:rFonts w:hint="eastAsia" w:ascii="宋体" w:hAnsi="宋体" w:eastAsia="宋体" w:cs="宋体"/>
          <w:b w:val="0"/>
          <w:bCs w:val="0"/>
          <w:sz w:val="24"/>
          <w:szCs w:val="24"/>
          <w:lang w:eastAsia="zh-CN"/>
        </w:rPr>
        <w:t>供应商</w:t>
      </w:r>
      <w:r>
        <w:rPr>
          <w:rFonts w:hint="eastAsia" w:ascii="宋体" w:hAnsi="宋体" w:eastAsia="宋体" w:cs="宋体"/>
          <w:b w:val="0"/>
          <w:bCs w:val="0"/>
          <w:sz w:val="24"/>
          <w:szCs w:val="24"/>
        </w:rPr>
        <w:t>须知前附表。</w:t>
      </w:r>
    </w:p>
    <w:p>
      <w:pPr>
        <w:keepNext w:val="0"/>
        <w:keepLines w:val="0"/>
        <w:pageBreakBefore w:val="0"/>
        <w:widowControl w:val="0"/>
        <w:kinsoku/>
        <w:wordWrap w:val="0"/>
        <w:overflowPunct/>
        <w:topLinePunct w:val="0"/>
        <w:autoSpaceDE/>
        <w:autoSpaceDN/>
        <w:bidi w:val="0"/>
        <w:adjustRightInd w:val="0"/>
        <w:spacing w:line="440" w:lineRule="exact"/>
        <w:ind w:firstLine="456" w:firstLineChars="200"/>
        <w:jc w:val="left"/>
        <w:outlineLvl w:val="9"/>
        <w:rPr>
          <w:rFonts w:hint="eastAsia" w:ascii="宋体" w:hAnsi="宋体" w:eastAsia="宋体" w:cs="宋体"/>
          <w:b w:val="0"/>
          <w:bCs w:val="0"/>
          <w:spacing w:val="-6"/>
          <w:sz w:val="24"/>
          <w:szCs w:val="24"/>
        </w:rPr>
      </w:pPr>
      <w:r>
        <w:rPr>
          <w:rFonts w:hint="eastAsia" w:ascii="宋体" w:hAnsi="宋体" w:eastAsia="宋体" w:cs="宋体"/>
          <w:b w:val="0"/>
          <w:bCs w:val="0"/>
          <w:spacing w:val="-6"/>
          <w:sz w:val="24"/>
          <w:szCs w:val="24"/>
        </w:rPr>
        <w:t>1.</w:t>
      </w:r>
      <w:r>
        <w:rPr>
          <w:rFonts w:hint="eastAsia" w:ascii="宋体" w:hAnsi="宋体" w:eastAsia="宋体" w:cs="宋体"/>
          <w:b w:val="0"/>
          <w:bCs w:val="0"/>
          <w:spacing w:val="-6"/>
          <w:sz w:val="24"/>
          <w:szCs w:val="24"/>
          <w:lang w:val="en-US" w:eastAsia="zh-CN"/>
        </w:rPr>
        <w:t xml:space="preserve">1.3 </w:t>
      </w:r>
      <w:r>
        <w:rPr>
          <w:rFonts w:hint="eastAsia" w:ascii="宋体" w:hAnsi="宋体" w:eastAsia="宋体" w:cs="宋体"/>
          <w:b w:val="0"/>
          <w:bCs w:val="0"/>
          <w:spacing w:val="-6"/>
          <w:sz w:val="24"/>
          <w:szCs w:val="24"/>
        </w:rPr>
        <w:t>本招标项目</w:t>
      </w:r>
      <w:r>
        <w:rPr>
          <w:rFonts w:hint="eastAsia" w:ascii="宋体" w:hAnsi="宋体" w:eastAsia="宋体" w:cs="宋体"/>
          <w:b w:val="0"/>
          <w:bCs w:val="0"/>
          <w:spacing w:val="-6"/>
          <w:sz w:val="24"/>
          <w:szCs w:val="24"/>
          <w:lang w:eastAsia="zh-CN"/>
        </w:rPr>
        <w:t>采购代理机构</w:t>
      </w:r>
      <w:r>
        <w:rPr>
          <w:rFonts w:hint="eastAsia" w:ascii="宋体" w:hAnsi="宋体" w:eastAsia="宋体" w:cs="宋体"/>
          <w:b w:val="0"/>
          <w:bCs w:val="0"/>
          <w:spacing w:val="-6"/>
          <w:sz w:val="24"/>
          <w:szCs w:val="24"/>
        </w:rPr>
        <w:t>：见</w:t>
      </w:r>
      <w:r>
        <w:rPr>
          <w:rFonts w:hint="eastAsia" w:ascii="宋体" w:hAnsi="宋体" w:eastAsia="宋体" w:cs="宋体"/>
          <w:b w:val="0"/>
          <w:bCs w:val="0"/>
          <w:spacing w:val="-6"/>
          <w:sz w:val="24"/>
          <w:szCs w:val="24"/>
          <w:lang w:eastAsia="zh-CN"/>
        </w:rPr>
        <w:t>供应商</w:t>
      </w:r>
      <w:r>
        <w:rPr>
          <w:rFonts w:hint="eastAsia" w:ascii="宋体" w:hAnsi="宋体" w:eastAsia="宋体" w:cs="宋体"/>
          <w:b w:val="0"/>
          <w:bCs w:val="0"/>
          <w:spacing w:val="-6"/>
          <w:sz w:val="24"/>
          <w:szCs w:val="24"/>
        </w:rPr>
        <w:t>须知前附表。</w:t>
      </w:r>
    </w:p>
    <w:p>
      <w:pPr>
        <w:keepNext w:val="0"/>
        <w:keepLines w:val="0"/>
        <w:pageBreakBefore w:val="0"/>
        <w:widowControl w:val="0"/>
        <w:kinsoku/>
        <w:wordWrap w:val="0"/>
        <w:overflowPunct/>
        <w:topLinePunct w:val="0"/>
        <w:autoSpaceDE/>
        <w:autoSpaceDN/>
        <w:bidi w:val="0"/>
        <w:adjustRightInd/>
        <w:snapToGrid/>
        <w:spacing w:before="0" w:after="0" w:line="440" w:lineRule="exact"/>
        <w:ind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1.1.4 本招标项目名称：见</w:t>
      </w:r>
      <w:r>
        <w:rPr>
          <w:rFonts w:hint="eastAsia" w:ascii="宋体" w:hAnsi="宋体" w:eastAsia="宋体" w:cs="宋体"/>
          <w:b w:val="0"/>
          <w:bCs w:val="0"/>
          <w:sz w:val="24"/>
          <w:szCs w:val="24"/>
          <w:lang w:eastAsia="zh-CN"/>
        </w:rPr>
        <w:t>供应商</w:t>
      </w:r>
      <w:r>
        <w:rPr>
          <w:rFonts w:hint="eastAsia" w:ascii="宋体" w:hAnsi="宋体" w:eastAsia="宋体" w:cs="宋体"/>
          <w:b w:val="0"/>
          <w:bCs w:val="0"/>
          <w:sz w:val="24"/>
          <w:szCs w:val="24"/>
        </w:rPr>
        <w:t>须知前附表。</w:t>
      </w:r>
    </w:p>
    <w:p>
      <w:pPr>
        <w:keepNext w:val="0"/>
        <w:keepLines w:val="0"/>
        <w:pageBreakBefore w:val="0"/>
        <w:widowControl w:val="0"/>
        <w:kinsoku/>
        <w:wordWrap w:val="0"/>
        <w:overflowPunct/>
        <w:topLinePunct w:val="0"/>
        <w:autoSpaceDE/>
        <w:autoSpaceDN/>
        <w:bidi w:val="0"/>
        <w:adjustRightInd/>
        <w:snapToGrid/>
        <w:spacing w:before="0" w:after="0" w:line="440" w:lineRule="exact"/>
        <w:ind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1.1.5 本招标项目建设地点：见</w:t>
      </w:r>
      <w:r>
        <w:rPr>
          <w:rFonts w:hint="eastAsia" w:ascii="宋体" w:hAnsi="宋体" w:eastAsia="宋体" w:cs="宋体"/>
          <w:b w:val="0"/>
          <w:bCs w:val="0"/>
          <w:sz w:val="24"/>
          <w:szCs w:val="24"/>
          <w:lang w:eastAsia="zh-CN"/>
        </w:rPr>
        <w:t>供应商</w:t>
      </w:r>
      <w:r>
        <w:rPr>
          <w:rFonts w:hint="eastAsia" w:ascii="宋体" w:hAnsi="宋体" w:eastAsia="宋体" w:cs="宋体"/>
          <w:b w:val="0"/>
          <w:bCs w:val="0"/>
          <w:sz w:val="24"/>
          <w:szCs w:val="24"/>
        </w:rPr>
        <w:t>须知前附表。</w:t>
      </w:r>
    </w:p>
    <w:bookmarkEnd w:id="36"/>
    <w:bookmarkEnd w:id="37"/>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sz w:val="28"/>
          <w:szCs w:val="28"/>
        </w:rPr>
      </w:pPr>
      <w:bookmarkStart w:id="38" w:name="_Toc152045531"/>
      <w:bookmarkStart w:id="39" w:name="_Toc144974499"/>
      <w:bookmarkStart w:id="40" w:name="_Toc247085691"/>
      <w:bookmarkStart w:id="41" w:name="_Toc246996920"/>
      <w:bookmarkStart w:id="42" w:name="_Toc246996177"/>
      <w:bookmarkStart w:id="43" w:name="_Toc179632548"/>
      <w:bookmarkStart w:id="44" w:name="_Toc152042307"/>
      <w:bookmarkStart w:id="45" w:name="_Toc296602422"/>
      <w:r>
        <w:rPr>
          <w:rFonts w:hint="eastAsia" w:ascii="宋体" w:hAnsi="宋体" w:eastAsia="宋体" w:cs="宋体"/>
          <w:b/>
          <w:bCs/>
          <w:sz w:val="28"/>
          <w:szCs w:val="28"/>
        </w:rPr>
        <w:t>1.2 资金来源和落实情况</w:t>
      </w:r>
      <w:bookmarkEnd w:id="38"/>
      <w:bookmarkEnd w:id="39"/>
      <w:bookmarkEnd w:id="40"/>
      <w:bookmarkEnd w:id="41"/>
      <w:bookmarkEnd w:id="42"/>
      <w:bookmarkEnd w:id="43"/>
      <w:bookmarkEnd w:id="44"/>
      <w:bookmarkEnd w:id="45"/>
    </w:p>
    <w:p>
      <w:pPr>
        <w:keepNext w:val="0"/>
        <w:keepLines w:val="0"/>
        <w:pageBreakBefore w:val="0"/>
        <w:widowControl w:val="0"/>
        <w:kinsoku/>
        <w:wordWrap w:val="0"/>
        <w:overflowPunct/>
        <w:topLinePunct w:val="0"/>
        <w:autoSpaceDE/>
        <w:autoSpaceDN/>
        <w:bidi w:val="0"/>
        <w:adjustRightInd/>
        <w:snapToGrid/>
        <w:spacing w:before="0" w:after="0" w:line="440" w:lineRule="exact"/>
        <w:ind w:firstLine="480" w:firstLineChars="200"/>
        <w:textAlignment w:val="auto"/>
        <w:outlineLvl w:val="9"/>
        <w:rPr>
          <w:rFonts w:hint="eastAsia" w:ascii="宋体" w:hAnsi="宋体" w:eastAsia="宋体" w:cs="宋体"/>
          <w:b w:val="0"/>
          <w:bCs w:val="0"/>
          <w:sz w:val="24"/>
          <w:szCs w:val="24"/>
        </w:rPr>
      </w:pPr>
      <w:bookmarkStart w:id="46" w:name="_Toc15585"/>
      <w:bookmarkStart w:id="47" w:name="_Toc29384651"/>
      <w:r>
        <w:rPr>
          <w:rFonts w:hint="eastAsia" w:ascii="宋体" w:hAnsi="宋体" w:eastAsia="宋体" w:cs="宋体"/>
          <w:b w:val="0"/>
          <w:bCs w:val="0"/>
          <w:sz w:val="24"/>
          <w:szCs w:val="24"/>
        </w:rPr>
        <w:t>1.2.1 本招标项目的资金来源：见</w:t>
      </w:r>
      <w:r>
        <w:rPr>
          <w:rFonts w:hint="eastAsia" w:ascii="宋体" w:hAnsi="宋体" w:eastAsia="宋体" w:cs="宋体"/>
          <w:b w:val="0"/>
          <w:bCs w:val="0"/>
          <w:sz w:val="24"/>
          <w:szCs w:val="24"/>
          <w:lang w:eastAsia="zh-CN"/>
        </w:rPr>
        <w:t>供应商</w:t>
      </w:r>
      <w:r>
        <w:rPr>
          <w:rFonts w:hint="eastAsia" w:ascii="宋体" w:hAnsi="宋体" w:eastAsia="宋体" w:cs="宋体"/>
          <w:b w:val="0"/>
          <w:bCs w:val="0"/>
          <w:sz w:val="24"/>
          <w:szCs w:val="24"/>
        </w:rPr>
        <w:t>须知前附表。</w:t>
      </w:r>
    </w:p>
    <w:p>
      <w:pPr>
        <w:keepNext w:val="0"/>
        <w:keepLines w:val="0"/>
        <w:pageBreakBefore w:val="0"/>
        <w:widowControl w:val="0"/>
        <w:kinsoku/>
        <w:wordWrap w:val="0"/>
        <w:overflowPunct/>
        <w:topLinePunct w:val="0"/>
        <w:autoSpaceDE/>
        <w:autoSpaceDN/>
        <w:bidi w:val="0"/>
        <w:adjustRightInd/>
        <w:snapToGrid/>
        <w:spacing w:before="0" w:after="0" w:line="440" w:lineRule="exact"/>
        <w:ind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1.2.2 本招标项目的出资比例：见</w:t>
      </w:r>
      <w:r>
        <w:rPr>
          <w:rFonts w:hint="eastAsia" w:ascii="宋体" w:hAnsi="宋体" w:eastAsia="宋体" w:cs="宋体"/>
          <w:b w:val="0"/>
          <w:bCs w:val="0"/>
          <w:sz w:val="24"/>
          <w:szCs w:val="24"/>
          <w:lang w:eastAsia="zh-CN"/>
        </w:rPr>
        <w:t>供应商</w:t>
      </w:r>
      <w:r>
        <w:rPr>
          <w:rFonts w:hint="eastAsia" w:ascii="宋体" w:hAnsi="宋体" w:eastAsia="宋体" w:cs="宋体"/>
          <w:b w:val="0"/>
          <w:bCs w:val="0"/>
          <w:sz w:val="24"/>
          <w:szCs w:val="24"/>
        </w:rPr>
        <w:t>须知前附表。</w:t>
      </w:r>
    </w:p>
    <w:p>
      <w:pPr>
        <w:keepNext w:val="0"/>
        <w:keepLines w:val="0"/>
        <w:pageBreakBefore w:val="0"/>
        <w:widowControl w:val="0"/>
        <w:kinsoku/>
        <w:wordWrap w:val="0"/>
        <w:overflowPunct/>
        <w:topLinePunct w:val="0"/>
        <w:autoSpaceDE/>
        <w:autoSpaceDN/>
        <w:bidi w:val="0"/>
        <w:adjustRightInd/>
        <w:snapToGrid/>
        <w:spacing w:before="0" w:after="0" w:line="440" w:lineRule="exact"/>
        <w:ind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1.2.3 本招标项目的资金落实情况：见</w:t>
      </w:r>
      <w:r>
        <w:rPr>
          <w:rFonts w:hint="eastAsia" w:ascii="宋体" w:hAnsi="宋体" w:eastAsia="宋体" w:cs="宋体"/>
          <w:b w:val="0"/>
          <w:bCs w:val="0"/>
          <w:sz w:val="24"/>
          <w:szCs w:val="24"/>
          <w:lang w:eastAsia="zh-CN"/>
        </w:rPr>
        <w:t>供应商</w:t>
      </w:r>
      <w:r>
        <w:rPr>
          <w:rFonts w:hint="eastAsia" w:ascii="宋体" w:hAnsi="宋体" w:eastAsia="宋体" w:cs="宋体"/>
          <w:b w:val="0"/>
          <w:bCs w:val="0"/>
          <w:sz w:val="24"/>
          <w:szCs w:val="24"/>
        </w:rPr>
        <w:t>须知前附表。</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r>
        <w:rPr>
          <w:rFonts w:hint="eastAsia" w:ascii="宋体" w:hAnsi="宋体" w:eastAsia="宋体" w:cs="宋体"/>
          <w:b/>
          <w:bCs/>
          <w:sz w:val="28"/>
          <w:szCs w:val="28"/>
        </w:rPr>
        <w:t xml:space="preserve">1.3 </w:t>
      </w:r>
      <w:bookmarkEnd w:id="46"/>
      <w:bookmarkEnd w:id="47"/>
      <w:r>
        <w:rPr>
          <w:rFonts w:hint="eastAsia" w:ascii="宋体" w:hAnsi="宋体" w:eastAsia="宋体" w:cs="宋体"/>
          <w:b/>
          <w:bCs/>
          <w:sz w:val="28"/>
          <w:szCs w:val="28"/>
        </w:rPr>
        <w:t>招标范围、计划工期、质量要求</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1.3.1 本次招标范围：见</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1.3.2 本</w:t>
      </w:r>
      <w:r>
        <w:rPr>
          <w:rFonts w:hint="eastAsia" w:ascii="宋体" w:hAnsi="宋体" w:eastAsia="宋体" w:cs="宋体"/>
          <w:bCs/>
          <w:sz w:val="24"/>
          <w:szCs w:val="24"/>
          <w:lang w:eastAsia="zh-CN"/>
        </w:rPr>
        <w:t>标段</w:t>
      </w:r>
      <w:r>
        <w:rPr>
          <w:rFonts w:hint="eastAsia" w:ascii="宋体" w:hAnsi="宋体" w:eastAsia="宋体" w:cs="宋体"/>
          <w:bCs/>
          <w:sz w:val="24"/>
          <w:szCs w:val="24"/>
        </w:rPr>
        <w:t>的计划工期：见</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1.3.3 </w:t>
      </w:r>
      <w:r>
        <w:rPr>
          <w:rFonts w:hint="eastAsia" w:ascii="宋体" w:hAnsi="宋体" w:eastAsia="宋体" w:cs="宋体"/>
          <w:bCs/>
          <w:sz w:val="24"/>
          <w:szCs w:val="24"/>
          <w:highlight w:val="none"/>
        </w:rPr>
        <w:t>本</w:t>
      </w:r>
      <w:r>
        <w:rPr>
          <w:rFonts w:hint="eastAsia" w:ascii="宋体" w:hAnsi="宋体" w:eastAsia="宋体" w:cs="宋体"/>
          <w:bCs/>
          <w:sz w:val="24"/>
          <w:szCs w:val="24"/>
          <w:highlight w:val="none"/>
          <w:lang w:eastAsia="zh-CN"/>
        </w:rPr>
        <w:t>标段</w:t>
      </w:r>
      <w:r>
        <w:rPr>
          <w:rFonts w:hint="eastAsia" w:ascii="宋体" w:hAnsi="宋体" w:eastAsia="宋体" w:cs="宋体"/>
          <w:bCs/>
          <w:sz w:val="24"/>
          <w:szCs w:val="24"/>
          <w:highlight w:val="none"/>
        </w:rPr>
        <w:t>的质量要求：见</w:t>
      </w:r>
      <w:r>
        <w:rPr>
          <w:rFonts w:hint="eastAsia" w:ascii="宋体" w:hAnsi="宋体" w:eastAsia="宋体" w:cs="宋体"/>
          <w:bCs/>
          <w:sz w:val="24"/>
          <w:szCs w:val="24"/>
          <w:highlight w:val="none"/>
          <w:lang w:eastAsia="zh-CN"/>
        </w:rPr>
        <w:t>供应商</w:t>
      </w:r>
      <w:r>
        <w:rPr>
          <w:rFonts w:hint="eastAsia" w:ascii="宋体" w:hAnsi="宋体" w:eastAsia="宋体" w:cs="宋体"/>
          <w:bCs/>
          <w:sz w:val="24"/>
          <w:szCs w:val="24"/>
          <w:highlight w:val="none"/>
        </w:rPr>
        <w:t>须知前附表。</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eastAsia="zh-CN"/>
        </w:rPr>
      </w:pPr>
      <w:bookmarkStart w:id="48" w:name="_Toc29384652"/>
      <w:bookmarkStart w:id="49" w:name="_Toc516"/>
      <w:r>
        <w:rPr>
          <w:rFonts w:hint="eastAsia" w:ascii="宋体" w:hAnsi="宋体" w:eastAsia="宋体" w:cs="宋体"/>
          <w:b/>
          <w:bCs/>
          <w:sz w:val="28"/>
          <w:szCs w:val="28"/>
        </w:rPr>
        <w:t xml:space="preserve">1.4 </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资格要求</w:t>
      </w:r>
      <w:bookmarkEnd w:id="48"/>
      <w:bookmarkEnd w:id="49"/>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1.4.1 </w:t>
      </w:r>
      <w:r>
        <w:rPr>
          <w:rFonts w:hint="eastAsia" w:ascii="宋体" w:hAnsi="宋体" w:eastAsia="宋体" w:cs="宋体"/>
          <w:bCs/>
          <w:sz w:val="24"/>
          <w:szCs w:val="24"/>
          <w:lang w:eastAsia="zh-CN"/>
        </w:rPr>
        <w:t>供应商</w:t>
      </w:r>
      <w:r>
        <w:rPr>
          <w:rFonts w:hint="eastAsia" w:ascii="宋体" w:hAnsi="宋体" w:eastAsia="宋体" w:cs="宋体"/>
          <w:bCs/>
          <w:sz w:val="24"/>
          <w:szCs w:val="24"/>
        </w:rPr>
        <w:t>应具备承担本</w:t>
      </w:r>
      <w:r>
        <w:rPr>
          <w:rFonts w:hint="eastAsia" w:ascii="宋体" w:hAnsi="宋体" w:eastAsia="宋体" w:cs="宋体"/>
          <w:bCs/>
          <w:sz w:val="24"/>
          <w:szCs w:val="24"/>
          <w:lang w:eastAsia="zh-CN"/>
        </w:rPr>
        <w:t>标段</w:t>
      </w:r>
      <w:r>
        <w:rPr>
          <w:rFonts w:hint="eastAsia" w:ascii="宋体" w:hAnsi="宋体" w:eastAsia="宋体" w:cs="宋体"/>
          <w:bCs/>
          <w:sz w:val="24"/>
          <w:szCs w:val="24"/>
        </w:rPr>
        <w:t>施工的资质条件、能力和信誉</w:t>
      </w:r>
      <w:r>
        <w:rPr>
          <w:rFonts w:hint="eastAsia" w:ascii="宋体" w:hAnsi="宋体" w:eastAsia="宋体" w:cs="宋体"/>
          <w:bCs/>
          <w:sz w:val="24"/>
          <w:szCs w:val="24"/>
          <w:lang w:eastAsia="zh-CN"/>
        </w:rPr>
        <w:t>：</w:t>
      </w:r>
      <w:r>
        <w:rPr>
          <w:rFonts w:hint="eastAsia" w:ascii="宋体" w:hAnsi="宋体" w:eastAsia="宋体" w:cs="宋体"/>
          <w:bCs/>
          <w:sz w:val="24"/>
          <w:szCs w:val="24"/>
        </w:rPr>
        <w:t>见</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lang w:val="zh-CN"/>
        </w:rPr>
        <w:t>1.4.2</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须知前附表规定接受联合体投标的，除应符合本章第 1.4.1 项和</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须知前附表的要求外，还应遵守以下规定：</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（1）联合体各方应按</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提供的格式签订联合体协议书，明确联合体牵头人和各方权利义务；</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（2）由同一专业的单位组成的联合体，按照资质等级较低的单位确定资质等级；</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（3）联合体各方不得再以自己名义单独或参加其他联合体在</w:t>
      </w:r>
      <w:r>
        <w:rPr>
          <w:rFonts w:hint="eastAsia" w:ascii="宋体" w:hAnsi="宋体" w:eastAsia="宋体" w:cs="宋体"/>
          <w:bCs/>
          <w:sz w:val="24"/>
          <w:szCs w:val="24"/>
          <w:lang w:eastAsia="zh-CN"/>
        </w:rPr>
        <w:t>同一标段</w:t>
      </w:r>
      <w:r>
        <w:rPr>
          <w:rFonts w:hint="eastAsia" w:ascii="宋体" w:hAnsi="宋体" w:eastAsia="宋体" w:cs="宋体"/>
          <w:bCs/>
          <w:sz w:val="24"/>
          <w:szCs w:val="24"/>
        </w:rPr>
        <w:t>中投标。</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1.4.3 供应商不得存在下列情形之一：</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lang w:eastAsia="zh-CN"/>
        </w:rPr>
      </w:pPr>
      <w:r>
        <w:rPr>
          <w:rFonts w:hint="eastAsia" w:ascii="宋体" w:hAnsi="宋体" w:eastAsia="宋体" w:cs="宋体"/>
          <w:bCs/>
          <w:sz w:val="24"/>
          <w:szCs w:val="24"/>
        </w:rPr>
        <w:t>（1）为</w:t>
      </w:r>
      <w:r>
        <w:rPr>
          <w:rFonts w:hint="eastAsia" w:ascii="宋体" w:hAnsi="宋体" w:eastAsia="宋体" w:cs="宋体"/>
          <w:bCs/>
          <w:sz w:val="24"/>
          <w:szCs w:val="24"/>
          <w:lang w:eastAsia="zh-CN"/>
        </w:rPr>
        <w:t>采购人</w:t>
      </w:r>
      <w:r>
        <w:rPr>
          <w:rFonts w:hint="eastAsia" w:ascii="宋体" w:hAnsi="宋体" w:eastAsia="宋体" w:cs="宋体"/>
          <w:bCs/>
          <w:sz w:val="24"/>
          <w:szCs w:val="24"/>
        </w:rPr>
        <w:t>不具有独立法人资格的附属机构（单位）</w:t>
      </w:r>
      <w:r>
        <w:rPr>
          <w:rFonts w:hint="eastAsia" w:ascii="宋体" w:hAnsi="宋体" w:eastAsia="宋体" w:cs="宋体"/>
          <w:bCs/>
          <w:sz w:val="24"/>
          <w:szCs w:val="24"/>
          <w:lang w:eastAsia="zh-CN"/>
        </w:rPr>
        <w:t>；</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（2）为本标段前期准备提供设计或咨询服务的，但设计施工总承包的除外；</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（3）为本标段的监理人；</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（4）为本标段的代建人；</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（5）为本标段提供招标代理服务的；</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lang w:eastAsia="zh-CN"/>
        </w:rPr>
      </w:pPr>
      <w:r>
        <w:rPr>
          <w:rFonts w:hint="eastAsia" w:ascii="宋体" w:hAnsi="宋体" w:eastAsia="宋体" w:cs="宋体"/>
          <w:bCs/>
          <w:sz w:val="24"/>
          <w:szCs w:val="24"/>
        </w:rPr>
        <w:t>（6）与本标段的监理人或代建人或</w:t>
      </w:r>
      <w:r>
        <w:rPr>
          <w:rFonts w:hint="eastAsia" w:ascii="宋体" w:hAnsi="宋体" w:eastAsia="宋体" w:cs="宋体"/>
          <w:bCs/>
          <w:sz w:val="24"/>
          <w:szCs w:val="24"/>
          <w:lang w:eastAsia="zh-CN"/>
        </w:rPr>
        <w:t>采购代理机构</w:t>
      </w:r>
      <w:r>
        <w:rPr>
          <w:rFonts w:hint="eastAsia" w:ascii="宋体" w:hAnsi="宋体" w:eastAsia="宋体" w:cs="宋体"/>
          <w:bCs/>
          <w:sz w:val="24"/>
          <w:szCs w:val="24"/>
        </w:rPr>
        <w:t>同为一个法定代表人的</w:t>
      </w:r>
      <w:r>
        <w:rPr>
          <w:rFonts w:hint="eastAsia" w:ascii="宋体" w:hAnsi="宋体" w:eastAsia="宋体" w:cs="宋体"/>
          <w:bCs/>
          <w:sz w:val="24"/>
          <w:szCs w:val="24"/>
          <w:lang w:eastAsia="zh-CN"/>
        </w:rPr>
        <w:t>；</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（7）与本标段的监理人或代建人或</w:t>
      </w:r>
      <w:r>
        <w:rPr>
          <w:rFonts w:hint="eastAsia" w:ascii="宋体" w:hAnsi="宋体" w:eastAsia="宋体" w:cs="宋体"/>
          <w:bCs/>
          <w:sz w:val="24"/>
          <w:szCs w:val="24"/>
          <w:lang w:eastAsia="zh-CN"/>
        </w:rPr>
        <w:t>采购代理机构</w:t>
      </w:r>
      <w:r>
        <w:rPr>
          <w:rFonts w:hint="eastAsia" w:ascii="宋体" w:hAnsi="宋体" w:eastAsia="宋体" w:cs="宋体"/>
          <w:bCs/>
          <w:sz w:val="24"/>
          <w:szCs w:val="24"/>
        </w:rPr>
        <w:t>相互控股或参股的；</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（8）与本标段的监理人或代建人或</w:t>
      </w:r>
      <w:r>
        <w:rPr>
          <w:rFonts w:hint="eastAsia" w:ascii="宋体" w:hAnsi="宋体" w:eastAsia="宋体" w:cs="宋体"/>
          <w:bCs/>
          <w:sz w:val="24"/>
          <w:szCs w:val="24"/>
          <w:lang w:eastAsia="zh-CN"/>
        </w:rPr>
        <w:t>采购代理机构</w:t>
      </w:r>
      <w:r>
        <w:rPr>
          <w:rFonts w:hint="eastAsia" w:ascii="宋体" w:hAnsi="宋体" w:eastAsia="宋体" w:cs="宋体"/>
          <w:bCs/>
          <w:sz w:val="24"/>
          <w:szCs w:val="24"/>
        </w:rPr>
        <w:t>相互任职或工作的；</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（9）被责令停业的；</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（10）被暂停或取消投标资格的；</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（11）财产被接管或冻结的；</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（12）在最近三年内有骗取中标或严重违约或重大工程质量问题的。</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sz w:val="28"/>
          <w:szCs w:val="28"/>
        </w:rPr>
      </w:pPr>
      <w:bookmarkStart w:id="50" w:name="_Toc29384653"/>
      <w:bookmarkStart w:id="51" w:name="_Toc9105"/>
      <w:r>
        <w:rPr>
          <w:rFonts w:hint="eastAsia" w:ascii="宋体" w:hAnsi="宋体" w:eastAsia="宋体" w:cs="宋体"/>
          <w:b/>
          <w:bCs/>
          <w:sz w:val="28"/>
          <w:szCs w:val="28"/>
        </w:rPr>
        <w:t>1.5 费用承担</w:t>
      </w:r>
      <w:bookmarkEnd w:id="50"/>
      <w:bookmarkEnd w:id="51"/>
    </w:p>
    <w:p>
      <w:pPr>
        <w:keepNext w:val="0"/>
        <w:keepLines w:val="0"/>
        <w:pageBreakBefore w:val="0"/>
        <w:widowControl w:val="0"/>
        <w:kinsoku/>
        <w:wordWrap w:val="0"/>
        <w:overflowPunct/>
        <w:topLinePunct w:val="0"/>
        <w:autoSpaceDE/>
        <w:autoSpaceDN/>
        <w:bidi w:val="0"/>
        <w:adjustRightInd w:val="0"/>
        <w:snapToGrid/>
        <w:spacing w:line="440" w:lineRule="exact"/>
        <w:ind w:firstLine="480" w:firstLineChars="200"/>
        <w:jc w:val="left"/>
        <w:textAlignment w:val="auto"/>
        <w:outlineLvl w:val="9"/>
        <w:rPr>
          <w:rFonts w:hint="eastAsia" w:ascii="宋体" w:hAnsi="宋体" w:eastAsia="宋体" w:cs="宋体"/>
          <w:bCs/>
          <w:sz w:val="24"/>
          <w:szCs w:val="24"/>
        </w:rPr>
      </w:pPr>
      <w:r>
        <w:rPr>
          <w:rFonts w:hint="eastAsia" w:ascii="宋体" w:hAnsi="宋体" w:eastAsia="宋体" w:cs="宋体"/>
          <w:bCs/>
          <w:sz w:val="24"/>
          <w:szCs w:val="24"/>
          <w:lang w:val="zh-CN"/>
        </w:rPr>
        <w:t>供应商准备和参加投标活动发生的费用自理。</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52" w:name="_Toc29384654"/>
      <w:bookmarkStart w:id="53" w:name="_Toc17403"/>
      <w:r>
        <w:rPr>
          <w:rFonts w:hint="eastAsia" w:ascii="宋体" w:hAnsi="宋体" w:eastAsia="宋体" w:cs="宋体"/>
          <w:b/>
          <w:bCs/>
          <w:sz w:val="28"/>
          <w:szCs w:val="28"/>
        </w:rPr>
        <w:t>1.6 保密</w:t>
      </w:r>
      <w:bookmarkEnd w:id="52"/>
      <w:bookmarkEnd w:id="53"/>
    </w:p>
    <w:p>
      <w:pPr>
        <w:keepNext w:val="0"/>
        <w:keepLines w:val="0"/>
        <w:pageBreakBefore w:val="0"/>
        <w:widowControl w:val="0"/>
        <w:kinsoku/>
        <w:wordWrap w:val="0"/>
        <w:overflowPunct/>
        <w:topLinePunct w:val="0"/>
        <w:autoSpaceDE/>
        <w:autoSpaceDN/>
        <w:bidi w:val="0"/>
        <w:adjustRightInd w:val="0"/>
        <w:snapToGrid/>
        <w:spacing w:line="440" w:lineRule="exact"/>
        <w:ind w:firstLine="480" w:firstLineChars="200"/>
        <w:jc w:val="left"/>
        <w:textAlignment w:val="auto"/>
        <w:outlineLvl w:val="9"/>
        <w:rPr>
          <w:rFonts w:hint="eastAsia" w:ascii="宋体" w:hAnsi="宋体" w:eastAsia="宋体" w:cs="宋体"/>
          <w:bCs/>
          <w:sz w:val="24"/>
          <w:szCs w:val="24"/>
        </w:rPr>
      </w:pPr>
      <w:r>
        <w:rPr>
          <w:rFonts w:hint="eastAsia" w:ascii="宋体" w:hAnsi="宋体" w:eastAsia="宋体" w:cs="宋体"/>
          <w:bCs/>
          <w:sz w:val="24"/>
          <w:szCs w:val="24"/>
          <w:lang w:val="zh-CN"/>
        </w:rPr>
        <w:t>参与招标投标活动的各方应对磋商文件和响应文件中的商业和技术等秘密保密，违者应对由此造成的后果承担法律责任</w:t>
      </w:r>
      <w:r>
        <w:rPr>
          <w:rFonts w:hint="eastAsia" w:ascii="宋体" w:hAnsi="宋体" w:eastAsia="宋体" w:cs="宋体"/>
          <w:bCs/>
          <w:sz w:val="24"/>
          <w:szCs w:val="24"/>
        </w:rPr>
        <w:t>。</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54" w:name="_Toc3003"/>
      <w:bookmarkStart w:id="55" w:name="_Toc29384655"/>
      <w:r>
        <w:rPr>
          <w:rFonts w:hint="eastAsia" w:ascii="宋体" w:hAnsi="宋体" w:eastAsia="宋体" w:cs="宋体"/>
          <w:b/>
          <w:bCs/>
          <w:sz w:val="28"/>
          <w:szCs w:val="28"/>
        </w:rPr>
        <w:t>1.7 语言文字</w:t>
      </w:r>
      <w:bookmarkEnd w:id="54"/>
      <w:bookmarkEnd w:id="55"/>
    </w:p>
    <w:p>
      <w:pPr>
        <w:keepNext w:val="0"/>
        <w:keepLines w:val="0"/>
        <w:pageBreakBefore w:val="0"/>
        <w:widowControl w:val="0"/>
        <w:kinsoku/>
        <w:wordWrap w:val="0"/>
        <w:overflowPunct/>
        <w:topLinePunct w:val="0"/>
        <w:autoSpaceDE/>
        <w:autoSpaceDN/>
        <w:bidi w:val="0"/>
        <w:adjustRightInd w:val="0"/>
        <w:snapToGrid/>
        <w:spacing w:line="440" w:lineRule="exact"/>
        <w:ind w:firstLine="480" w:firstLineChars="200"/>
        <w:jc w:val="left"/>
        <w:textAlignment w:val="auto"/>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除专用术语外，与招标投标有关的语言均使用中文。必要时专用术语应附有中文注释。</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56" w:name="_Toc29384656"/>
      <w:bookmarkStart w:id="57" w:name="_Toc20720"/>
      <w:r>
        <w:rPr>
          <w:rFonts w:hint="eastAsia" w:ascii="宋体" w:hAnsi="宋体" w:eastAsia="宋体" w:cs="宋体"/>
          <w:b/>
          <w:bCs/>
          <w:sz w:val="28"/>
          <w:szCs w:val="28"/>
        </w:rPr>
        <w:t>1.8 计量单位</w:t>
      </w:r>
      <w:bookmarkEnd w:id="56"/>
      <w:bookmarkEnd w:id="57"/>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所有计量均采用中华人民共和国法定计量单位。</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58" w:name="_Toc29384657"/>
      <w:bookmarkStart w:id="59" w:name="_Toc9641"/>
      <w:r>
        <w:rPr>
          <w:rFonts w:hint="eastAsia" w:ascii="宋体" w:hAnsi="宋体" w:eastAsia="宋体" w:cs="宋体"/>
          <w:b/>
          <w:bCs/>
          <w:sz w:val="28"/>
          <w:szCs w:val="28"/>
        </w:rPr>
        <w:t>1.9 踏勘现场</w:t>
      </w:r>
      <w:bookmarkEnd w:id="58"/>
      <w:bookmarkEnd w:id="59"/>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1.9.1 </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须知前附表规定组织踏勘现场的，</w:t>
      </w:r>
      <w:r>
        <w:rPr>
          <w:rFonts w:hint="eastAsia" w:ascii="宋体" w:hAnsi="宋体" w:eastAsia="宋体" w:cs="宋体"/>
          <w:bCs/>
          <w:sz w:val="24"/>
          <w:szCs w:val="24"/>
          <w:lang w:eastAsia="zh-CN"/>
        </w:rPr>
        <w:t>采购人</w:t>
      </w:r>
      <w:r>
        <w:rPr>
          <w:rFonts w:hint="eastAsia" w:ascii="宋体" w:hAnsi="宋体" w:eastAsia="宋体" w:cs="宋体"/>
          <w:bCs/>
          <w:sz w:val="24"/>
          <w:szCs w:val="24"/>
        </w:rPr>
        <w:t>按</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须知前附表规定的时间、地点组织</w:t>
      </w:r>
      <w:r>
        <w:rPr>
          <w:rFonts w:hint="eastAsia" w:ascii="宋体" w:hAnsi="宋体" w:eastAsia="宋体" w:cs="宋体"/>
          <w:bCs/>
          <w:sz w:val="24"/>
          <w:szCs w:val="24"/>
          <w:lang w:eastAsia="zh-CN"/>
        </w:rPr>
        <w:t>供应商</w:t>
      </w:r>
      <w:r>
        <w:rPr>
          <w:rFonts w:hint="eastAsia" w:ascii="宋体" w:hAnsi="宋体" w:eastAsia="宋体" w:cs="宋体"/>
          <w:bCs/>
          <w:sz w:val="24"/>
          <w:szCs w:val="24"/>
        </w:rPr>
        <w:t>踏勘项目现场。</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1.9.2 </w:t>
      </w:r>
      <w:r>
        <w:rPr>
          <w:rFonts w:hint="eastAsia" w:ascii="宋体" w:hAnsi="宋体" w:eastAsia="宋体" w:cs="宋体"/>
          <w:bCs/>
          <w:sz w:val="24"/>
          <w:szCs w:val="24"/>
          <w:lang w:eastAsia="zh-CN"/>
        </w:rPr>
        <w:t>供应商</w:t>
      </w:r>
      <w:r>
        <w:rPr>
          <w:rFonts w:hint="eastAsia" w:ascii="宋体" w:hAnsi="宋体" w:eastAsia="宋体" w:cs="宋体"/>
          <w:bCs/>
          <w:sz w:val="24"/>
          <w:szCs w:val="24"/>
        </w:rPr>
        <w:t>踏勘现场发生的费用自理。</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1.9.3 除</w:t>
      </w:r>
      <w:r>
        <w:rPr>
          <w:rFonts w:hint="eastAsia" w:ascii="宋体" w:hAnsi="宋体" w:eastAsia="宋体" w:cs="宋体"/>
          <w:bCs/>
          <w:sz w:val="24"/>
          <w:szCs w:val="24"/>
          <w:lang w:eastAsia="zh-CN"/>
        </w:rPr>
        <w:t>采购人</w:t>
      </w:r>
      <w:r>
        <w:rPr>
          <w:rFonts w:hint="eastAsia" w:ascii="宋体" w:hAnsi="宋体" w:eastAsia="宋体" w:cs="宋体"/>
          <w:bCs/>
          <w:sz w:val="24"/>
          <w:szCs w:val="24"/>
        </w:rPr>
        <w:t>的原因外，</w:t>
      </w:r>
      <w:r>
        <w:rPr>
          <w:rFonts w:hint="eastAsia" w:ascii="宋体" w:hAnsi="宋体" w:eastAsia="宋体" w:cs="宋体"/>
          <w:bCs/>
          <w:sz w:val="24"/>
          <w:szCs w:val="24"/>
          <w:lang w:eastAsia="zh-CN"/>
        </w:rPr>
        <w:t>供应商</w:t>
      </w:r>
      <w:r>
        <w:rPr>
          <w:rFonts w:hint="eastAsia" w:ascii="宋体" w:hAnsi="宋体" w:eastAsia="宋体" w:cs="宋体"/>
          <w:bCs/>
          <w:sz w:val="24"/>
          <w:szCs w:val="24"/>
        </w:rPr>
        <w:t>自行负责在踏勘现场中所发生的人员伤亡和财产损失。</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1.9.4 </w:t>
      </w:r>
      <w:r>
        <w:rPr>
          <w:rFonts w:hint="eastAsia" w:ascii="宋体" w:hAnsi="宋体" w:eastAsia="宋体" w:cs="宋体"/>
          <w:bCs/>
          <w:sz w:val="24"/>
          <w:szCs w:val="24"/>
          <w:lang w:eastAsia="zh-CN"/>
        </w:rPr>
        <w:t>采购人</w:t>
      </w:r>
      <w:r>
        <w:rPr>
          <w:rFonts w:hint="eastAsia" w:ascii="宋体" w:hAnsi="宋体" w:eastAsia="宋体" w:cs="宋体"/>
          <w:bCs/>
          <w:sz w:val="24"/>
          <w:szCs w:val="24"/>
        </w:rPr>
        <w:t>在踏勘现场中介绍的工程场地和相关的周边环境情况，供</w:t>
      </w:r>
      <w:r>
        <w:rPr>
          <w:rFonts w:hint="eastAsia" w:ascii="宋体" w:hAnsi="宋体" w:eastAsia="宋体" w:cs="宋体"/>
          <w:bCs/>
          <w:sz w:val="24"/>
          <w:szCs w:val="24"/>
          <w:lang w:eastAsia="zh-CN"/>
        </w:rPr>
        <w:t>供应商</w:t>
      </w:r>
      <w:r>
        <w:rPr>
          <w:rFonts w:hint="eastAsia" w:ascii="宋体" w:hAnsi="宋体" w:eastAsia="宋体" w:cs="宋体"/>
          <w:bCs/>
          <w:sz w:val="24"/>
          <w:szCs w:val="24"/>
        </w:rPr>
        <w:t>在编制</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时参考，</w:t>
      </w:r>
      <w:r>
        <w:rPr>
          <w:rFonts w:hint="eastAsia" w:ascii="宋体" w:hAnsi="宋体" w:eastAsia="宋体" w:cs="宋体"/>
          <w:bCs/>
          <w:sz w:val="24"/>
          <w:szCs w:val="24"/>
          <w:lang w:eastAsia="zh-CN"/>
        </w:rPr>
        <w:t>采购人</w:t>
      </w:r>
      <w:r>
        <w:rPr>
          <w:rFonts w:hint="eastAsia" w:ascii="宋体" w:hAnsi="宋体" w:eastAsia="宋体" w:cs="宋体"/>
          <w:bCs/>
          <w:sz w:val="24"/>
          <w:szCs w:val="24"/>
        </w:rPr>
        <w:t>不对</w:t>
      </w:r>
      <w:r>
        <w:rPr>
          <w:rFonts w:hint="eastAsia" w:ascii="宋体" w:hAnsi="宋体" w:eastAsia="宋体" w:cs="宋体"/>
          <w:bCs/>
          <w:sz w:val="24"/>
          <w:szCs w:val="24"/>
          <w:lang w:eastAsia="zh-CN"/>
        </w:rPr>
        <w:t>供应商</w:t>
      </w:r>
      <w:r>
        <w:rPr>
          <w:rFonts w:hint="eastAsia" w:ascii="宋体" w:hAnsi="宋体" w:eastAsia="宋体" w:cs="宋体"/>
          <w:bCs/>
          <w:sz w:val="24"/>
          <w:szCs w:val="24"/>
        </w:rPr>
        <w:t>据此作出的判断和决策负责。</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60" w:name="_Toc29384658"/>
      <w:bookmarkStart w:id="61" w:name="_Toc3429"/>
      <w:r>
        <w:rPr>
          <w:rFonts w:hint="eastAsia" w:ascii="宋体" w:hAnsi="宋体" w:eastAsia="宋体" w:cs="宋体"/>
          <w:b/>
          <w:bCs/>
          <w:sz w:val="28"/>
          <w:szCs w:val="28"/>
        </w:rPr>
        <w:t>1.10 投标预备会</w:t>
      </w:r>
      <w:bookmarkEnd w:id="60"/>
      <w:bookmarkEnd w:id="61"/>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lang w:val="zh-CN"/>
        </w:rPr>
        <w:t>1.10.1</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须知前附表规定召开投标预备会的，</w:t>
      </w:r>
      <w:r>
        <w:rPr>
          <w:rFonts w:hint="eastAsia" w:ascii="宋体" w:hAnsi="宋体" w:eastAsia="宋体" w:cs="宋体"/>
          <w:bCs/>
          <w:sz w:val="24"/>
          <w:szCs w:val="24"/>
          <w:lang w:eastAsia="zh-CN"/>
        </w:rPr>
        <w:t>采购人</w:t>
      </w:r>
      <w:r>
        <w:rPr>
          <w:rFonts w:hint="eastAsia" w:ascii="宋体" w:hAnsi="宋体" w:eastAsia="宋体" w:cs="宋体"/>
          <w:bCs/>
          <w:sz w:val="24"/>
          <w:szCs w:val="24"/>
        </w:rPr>
        <w:t>按</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须知前附表规定的时间和地点召开投标预备会，澄清</w:t>
      </w:r>
      <w:r>
        <w:rPr>
          <w:rFonts w:hint="eastAsia" w:ascii="宋体" w:hAnsi="宋体" w:eastAsia="宋体" w:cs="宋体"/>
          <w:bCs/>
          <w:sz w:val="24"/>
          <w:szCs w:val="24"/>
          <w:lang w:eastAsia="zh-CN"/>
        </w:rPr>
        <w:t>供应商</w:t>
      </w:r>
      <w:r>
        <w:rPr>
          <w:rFonts w:hint="eastAsia" w:ascii="宋体" w:hAnsi="宋体" w:eastAsia="宋体" w:cs="宋体"/>
          <w:bCs/>
          <w:sz w:val="24"/>
          <w:szCs w:val="24"/>
        </w:rPr>
        <w:t>提出的问题。</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lang w:val="zh-CN"/>
        </w:rPr>
        <w:t>1.10.2</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eastAsia="zh-CN"/>
        </w:rPr>
        <w:t>供应商</w:t>
      </w:r>
      <w:r>
        <w:rPr>
          <w:rFonts w:hint="eastAsia" w:ascii="宋体" w:hAnsi="宋体" w:eastAsia="宋体" w:cs="宋体"/>
          <w:bCs/>
          <w:sz w:val="24"/>
          <w:szCs w:val="24"/>
        </w:rPr>
        <w:t>应在</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须知前附表规定的时间前，以书面形式将提出的问题送达</w:t>
      </w:r>
      <w:r>
        <w:rPr>
          <w:rFonts w:hint="eastAsia" w:ascii="宋体" w:hAnsi="宋体" w:eastAsia="宋体" w:cs="宋体"/>
          <w:bCs/>
          <w:sz w:val="24"/>
          <w:szCs w:val="24"/>
          <w:lang w:eastAsia="zh-CN"/>
        </w:rPr>
        <w:t>采购人</w:t>
      </w:r>
      <w:r>
        <w:rPr>
          <w:rFonts w:hint="eastAsia" w:ascii="宋体" w:hAnsi="宋体" w:eastAsia="宋体" w:cs="宋体"/>
          <w:bCs/>
          <w:sz w:val="24"/>
          <w:szCs w:val="24"/>
        </w:rPr>
        <w:t>，以便</w:t>
      </w:r>
      <w:r>
        <w:rPr>
          <w:rFonts w:hint="eastAsia" w:ascii="宋体" w:hAnsi="宋体" w:eastAsia="宋体" w:cs="宋体"/>
          <w:bCs/>
          <w:sz w:val="24"/>
          <w:szCs w:val="24"/>
          <w:lang w:eastAsia="zh-CN"/>
        </w:rPr>
        <w:t>采购人</w:t>
      </w:r>
      <w:r>
        <w:rPr>
          <w:rFonts w:hint="eastAsia" w:ascii="宋体" w:hAnsi="宋体" w:eastAsia="宋体" w:cs="宋体"/>
          <w:bCs/>
          <w:sz w:val="24"/>
          <w:szCs w:val="24"/>
        </w:rPr>
        <w:t>在会议期间澄清。</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lang w:val="zh-CN"/>
        </w:rPr>
        <w:t>1.10.3</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投标预备会后，</w:t>
      </w:r>
      <w:r>
        <w:rPr>
          <w:rFonts w:hint="eastAsia" w:ascii="宋体" w:hAnsi="宋体" w:eastAsia="宋体" w:cs="宋体"/>
          <w:bCs/>
          <w:sz w:val="24"/>
          <w:szCs w:val="24"/>
          <w:lang w:eastAsia="zh-CN"/>
        </w:rPr>
        <w:t>采购人</w:t>
      </w:r>
      <w:r>
        <w:rPr>
          <w:rFonts w:hint="eastAsia" w:ascii="宋体" w:hAnsi="宋体" w:eastAsia="宋体" w:cs="宋体"/>
          <w:bCs/>
          <w:sz w:val="24"/>
          <w:szCs w:val="24"/>
        </w:rPr>
        <w:t>在</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须知前附表规定的时间内，将对</w:t>
      </w:r>
      <w:r>
        <w:rPr>
          <w:rFonts w:hint="eastAsia" w:ascii="宋体" w:hAnsi="宋体" w:eastAsia="宋体" w:cs="宋体"/>
          <w:bCs/>
          <w:sz w:val="24"/>
          <w:szCs w:val="24"/>
          <w:lang w:eastAsia="zh-CN"/>
        </w:rPr>
        <w:t>供应商</w:t>
      </w:r>
      <w:r>
        <w:rPr>
          <w:rFonts w:hint="eastAsia" w:ascii="宋体" w:hAnsi="宋体" w:eastAsia="宋体" w:cs="宋体"/>
          <w:bCs/>
          <w:sz w:val="24"/>
          <w:szCs w:val="24"/>
        </w:rPr>
        <w:t>所提问题的澄清，以书面形式通知所有购买</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的</w:t>
      </w:r>
      <w:r>
        <w:rPr>
          <w:rFonts w:hint="eastAsia" w:ascii="宋体" w:hAnsi="宋体" w:eastAsia="宋体" w:cs="宋体"/>
          <w:bCs/>
          <w:sz w:val="24"/>
          <w:szCs w:val="24"/>
          <w:lang w:eastAsia="zh-CN"/>
        </w:rPr>
        <w:t>供应商</w:t>
      </w:r>
      <w:r>
        <w:rPr>
          <w:rFonts w:hint="eastAsia" w:ascii="宋体" w:hAnsi="宋体" w:eastAsia="宋体" w:cs="宋体"/>
          <w:bCs/>
          <w:sz w:val="24"/>
          <w:szCs w:val="24"/>
        </w:rPr>
        <w:t>。该澄清内容为</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的组成部分。</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sz w:val="28"/>
          <w:szCs w:val="28"/>
        </w:rPr>
      </w:pPr>
      <w:bookmarkStart w:id="62" w:name="_Toc29384659"/>
      <w:bookmarkStart w:id="63" w:name="_Toc27561"/>
      <w:r>
        <w:rPr>
          <w:rFonts w:hint="eastAsia" w:ascii="宋体" w:hAnsi="宋体" w:eastAsia="宋体" w:cs="宋体"/>
          <w:b/>
          <w:bCs/>
          <w:sz w:val="28"/>
          <w:szCs w:val="28"/>
        </w:rPr>
        <w:t>1.11 分包</w:t>
      </w:r>
      <w:bookmarkEnd w:id="62"/>
      <w:bookmarkEnd w:id="63"/>
    </w:p>
    <w:p>
      <w:pPr>
        <w:keepNext w:val="0"/>
        <w:keepLines w:val="0"/>
        <w:pageBreakBefore w:val="0"/>
        <w:widowControl w:val="0"/>
        <w:kinsoku/>
        <w:wordWrap w:val="0"/>
        <w:overflowPunct/>
        <w:topLinePunct w:val="0"/>
        <w:autoSpaceDE/>
        <w:autoSpaceDN/>
        <w:bidi w:val="0"/>
        <w:adjustRightInd w:val="0"/>
        <w:spacing w:line="440" w:lineRule="exact"/>
        <w:ind w:firstLine="420"/>
        <w:jc w:val="left"/>
        <w:outlineLvl w:val="9"/>
        <w:rPr>
          <w:rFonts w:hint="eastAsia" w:ascii="宋体" w:hAnsi="宋体" w:eastAsia="宋体" w:cs="宋体"/>
          <w:bCs/>
          <w:sz w:val="24"/>
          <w:szCs w:val="24"/>
        </w:rPr>
      </w:pPr>
      <w:r>
        <w:rPr>
          <w:rFonts w:hint="eastAsia" w:ascii="宋体" w:hAnsi="宋体" w:eastAsia="宋体" w:cs="宋体"/>
          <w:bCs/>
          <w:sz w:val="24"/>
          <w:szCs w:val="24"/>
          <w:lang w:eastAsia="zh-CN"/>
        </w:rPr>
        <w:t>供应商</w:t>
      </w:r>
      <w:r>
        <w:rPr>
          <w:rFonts w:hint="eastAsia" w:ascii="宋体" w:hAnsi="宋体" w:eastAsia="宋体" w:cs="宋体"/>
          <w:bCs/>
          <w:sz w:val="24"/>
          <w:szCs w:val="24"/>
        </w:rPr>
        <w:t>拟在中标后将中标项目的部分非主体、非关键性工作进行分包的，应符合</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须知前附表规定的分包内容、分包金额和接受分包的第三人资质要求等限制性条件。</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eastAsia="zh-CN"/>
        </w:rPr>
      </w:pPr>
      <w:bookmarkStart w:id="64" w:name="_Toc29384660"/>
      <w:bookmarkStart w:id="65" w:name="_Toc31461"/>
      <w:r>
        <w:rPr>
          <w:rFonts w:hint="eastAsia" w:ascii="宋体" w:hAnsi="宋体" w:eastAsia="宋体" w:cs="宋体"/>
          <w:b/>
          <w:bCs/>
          <w:sz w:val="28"/>
          <w:szCs w:val="28"/>
          <w:lang w:val="zh-CN"/>
        </w:rPr>
        <w:t>1.12</w:t>
      </w:r>
      <w:r>
        <w:rPr>
          <w:rFonts w:hint="eastAsia" w:ascii="宋体" w:hAnsi="宋体" w:eastAsia="宋体" w:cs="宋体"/>
          <w:b/>
          <w:bCs/>
          <w:sz w:val="28"/>
          <w:szCs w:val="28"/>
        </w:rPr>
        <w:t xml:space="preserve"> 偏</w:t>
      </w:r>
      <w:bookmarkEnd w:id="64"/>
      <w:bookmarkEnd w:id="65"/>
      <w:r>
        <w:rPr>
          <w:rFonts w:hint="eastAsia" w:ascii="宋体" w:hAnsi="宋体" w:eastAsia="宋体" w:cs="宋体"/>
          <w:b/>
          <w:bCs/>
          <w:sz w:val="28"/>
          <w:szCs w:val="28"/>
          <w:lang w:eastAsia="zh-CN"/>
        </w:rPr>
        <w:t>离</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须知前附表允许</w:t>
      </w:r>
      <w:r>
        <w:rPr>
          <w:rFonts w:hint="eastAsia" w:ascii="宋体" w:hAnsi="宋体" w:eastAsia="宋体" w:cs="宋体"/>
          <w:sz w:val="24"/>
          <w:szCs w:val="24"/>
          <w:lang w:eastAsia="zh-CN"/>
        </w:rPr>
        <w:t>响应文件</w:t>
      </w:r>
      <w:r>
        <w:rPr>
          <w:rFonts w:hint="eastAsia" w:ascii="宋体" w:hAnsi="宋体" w:eastAsia="宋体" w:cs="宋体"/>
          <w:sz w:val="24"/>
          <w:szCs w:val="24"/>
        </w:rPr>
        <w:t>偏离</w:t>
      </w:r>
      <w:r>
        <w:rPr>
          <w:rFonts w:hint="eastAsia" w:ascii="宋体" w:hAnsi="宋体" w:eastAsia="宋体" w:cs="宋体"/>
          <w:sz w:val="24"/>
          <w:szCs w:val="24"/>
          <w:lang w:eastAsia="zh-CN"/>
        </w:rPr>
        <w:t>磋商文件</w:t>
      </w:r>
      <w:r>
        <w:rPr>
          <w:rFonts w:hint="eastAsia" w:ascii="宋体" w:hAnsi="宋体" w:eastAsia="宋体" w:cs="宋体"/>
          <w:sz w:val="24"/>
          <w:szCs w:val="24"/>
        </w:rPr>
        <w:t>某些要求的，偏离应当符合</w:t>
      </w:r>
      <w:r>
        <w:rPr>
          <w:rFonts w:hint="eastAsia" w:ascii="宋体" w:hAnsi="宋体" w:eastAsia="宋体" w:cs="宋体"/>
          <w:sz w:val="24"/>
          <w:szCs w:val="24"/>
          <w:lang w:eastAsia="zh-CN"/>
        </w:rPr>
        <w:t>磋商文件</w:t>
      </w:r>
      <w:r>
        <w:rPr>
          <w:rFonts w:hint="eastAsia" w:ascii="宋体" w:hAnsi="宋体" w:eastAsia="宋体" w:cs="宋体"/>
          <w:sz w:val="24"/>
          <w:szCs w:val="24"/>
        </w:rPr>
        <w:t>规定的偏离范围和幅度。</w:t>
      </w:r>
    </w:p>
    <w:p>
      <w:pPr>
        <w:keepNext w:val="0"/>
        <w:keepLines w:val="0"/>
        <w:pageBreakBefore w:val="0"/>
        <w:widowControl w:val="0"/>
        <w:kinsoku/>
        <w:wordWrap w:val="0"/>
        <w:overflowPunct/>
        <w:topLinePunct w:val="0"/>
        <w:autoSpaceDE/>
        <w:autoSpaceDN/>
        <w:bidi w:val="0"/>
        <w:spacing w:before="0" w:after="0" w:line="440" w:lineRule="exact"/>
        <w:outlineLvl w:val="1"/>
        <w:rPr>
          <w:rFonts w:hint="eastAsia" w:ascii="宋体" w:hAnsi="宋体" w:eastAsia="宋体" w:cs="宋体"/>
          <w:b/>
          <w:bCs/>
          <w:sz w:val="32"/>
          <w:szCs w:val="32"/>
          <w:lang w:eastAsia="zh-CN"/>
        </w:rPr>
      </w:pPr>
      <w:bookmarkStart w:id="66" w:name="_Toc29384661"/>
      <w:bookmarkStart w:id="67" w:name="_Toc20424"/>
      <w:bookmarkStart w:id="68" w:name="_Toc5619"/>
      <w:r>
        <w:rPr>
          <w:rFonts w:hint="eastAsia" w:ascii="宋体" w:hAnsi="宋体" w:eastAsia="宋体" w:cs="宋体"/>
          <w:b/>
          <w:bCs/>
          <w:sz w:val="32"/>
          <w:szCs w:val="32"/>
        </w:rPr>
        <w:t>2.</w:t>
      </w:r>
      <w:bookmarkEnd w:id="66"/>
      <w:bookmarkEnd w:id="67"/>
      <w:r>
        <w:rPr>
          <w:rFonts w:hint="eastAsia" w:ascii="宋体" w:hAnsi="宋体" w:eastAsia="宋体" w:cs="宋体"/>
          <w:b/>
          <w:bCs/>
          <w:sz w:val="32"/>
          <w:szCs w:val="32"/>
          <w:lang w:eastAsia="zh-CN"/>
        </w:rPr>
        <w:t>磋商文件</w:t>
      </w:r>
      <w:bookmarkEnd w:id="68"/>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val="zh-CN"/>
        </w:rPr>
      </w:pPr>
      <w:bookmarkStart w:id="69" w:name="_Toc29384662"/>
      <w:bookmarkStart w:id="70" w:name="_Toc1866"/>
      <w:r>
        <w:rPr>
          <w:rFonts w:hint="eastAsia" w:ascii="宋体" w:hAnsi="宋体" w:eastAsia="宋体" w:cs="宋体"/>
          <w:b/>
          <w:bCs/>
          <w:sz w:val="28"/>
          <w:szCs w:val="28"/>
          <w:lang w:val="zh-CN"/>
        </w:rPr>
        <w:t>2.1 磋商文件的组成</w:t>
      </w:r>
      <w:bookmarkEnd w:id="69"/>
      <w:bookmarkEnd w:id="70"/>
    </w:p>
    <w:p>
      <w:pPr>
        <w:keepNext w:val="0"/>
        <w:keepLines w:val="0"/>
        <w:pageBreakBefore w:val="0"/>
        <w:widowControl w:val="0"/>
        <w:kinsoku/>
        <w:wordWrap w:val="0"/>
        <w:overflowPunct/>
        <w:topLinePunct w:val="0"/>
        <w:autoSpaceDE/>
        <w:autoSpaceDN/>
        <w:bidi w:val="0"/>
        <w:adjustRightInd w:val="0"/>
        <w:spacing w:line="440" w:lineRule="exact"/>
        <w:ind w:firstLine="600" w:firstLineChars="250"/>
        <w:jc w:val="left"/>
        <w:outlineLvl w:val="9"/>
        <w:rPr>
          <w:rFonts w:hint="eastAsia" w:ascii="宋体" w:hAnsi="宋体" w:eastAsia="宋体" w:cs="宋体"/>
          <w:sz w:val="24"/>
          <w:szCs w:val="24"/>
        </w:rPr>
      </w:pPr>
      <w:r>
        <w:rPr>
          <w:rFonts w:hint="eastAsia" w:ascii="宋体" w:hAnsi="宋体" w:eastAsia="宋体" w:cs="宋体"/>
          <w:sz w:val="24"/>
          <w:szCs w:val="24"/>
        </w:rPr>
        <w:t>本</w:t>
      </w:r>
      <w:r>
        <w:rPr>
          <w:rFonts w:hint="eastAsia" w:ascii="宋体" w:hAnsi="宋体" w:eastAsia="宋体" w:cs="宋体"/>
          <w:sz w:val="24"/>
          <w:szCs w:val="24"/>
          <w:lang w:eastAsia="zh-CN"/>
        </w:rPr>
        <w:t>磋商文件</w:t>
      </w:r>
      <w:r>
        <w:rPr>
          <w:rFonts w:hint="eastAsia" w:ascii="宋体" w:hAnsi="宋体" w:eastAsia="宋体" w:cs="宋体"/>
          <w:sz w:val="24"/>
          <w:szCs w:val="24"/>
        </w:rPr>
        <w:t>包括：</w:t>
      </w:r>
    </w:p>
    <w:p>
      <w:pPr>
        <w:keepNext w:val="0"/>
        <w:keepLines w:val="0"/>
        <w:pageBreakBefore w:val="0"/>
        <w:widowControl w:val="0"/>
        <w:kinsoku/>
        <w:wordWrap w:val="0"/>
        <w:overflowPunct/>
        <w:topLinePunct w:val="0"/>
        <w:autoSpaceDE/>
        <w:autoSpaceDN/>
        <w:bidi w:val="0"/>
        <w:adjustRightInd w:val="0"/>
        <w:spacing w:line="440" w:lineRule="exact"/>
        <w:ind w:firstLine="360" w:firstLineChars="150"/>
        <w:jc w:val="left"/>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竞争性磋商公告</w:t>
      </w:r>
      <w:r>
        <w:rPr>
          <w:rFonts w:hint="eastAsia" w:ascii="宋体" w:hAnsi="宋体" w:eastAsia="宋体" w:cs="宋体"/>
          <w:sz w:val="24"/>
          <w:szCs w:val="24"/>
        </w:rPr>
        <w:t>（或投标邀请书）；</w:t>
      </w:r>
    </w:p>
    <w:p>
      <w:pPr>
        <w:keepNext w:val="0"/>
        <w:keepLines w:val="0"/>
        <w:pageBreakBefore w:val="0"/>
        <w:widowControl w:val="0"/>
        <w:kinsoku/>
        <w:wordWrap w:val="0"/>
        <w:overflowPunct/>
        <w:topLinePunct w:val="0"/>
        <w:autoSpaceDE/>
        <w:autoSpaceDN/>
        <w:bidi w:val="0"/>
        <w:adjustRightInd w:val="0"/>
        <w:spacing w:line="440" w:lineRule="exact"/>
        <w:ind w:firstLine="360" w:firstLineChars="150"/>
        <w:jc w:val="left"/>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供应商</w:t>
      </w:r>
      <w:r>
        <w:rPr>
          <w:rFonts w:hint="eastAsia" w:ascii="宋体" w:hAnsi="宋体" w:eastAsia="宋体" w:cs="宋体"/>
          <w:sz w:val="24"/>
          <w:szCs w:val="24"/>
        </w:rPr>
        <w:t>须知；</w:t>
      </w:r>
    </w:p>
    <w:p>
      <w:pPr>
        <w:keepNext w:val="0"/>
        <w:keepLines w:val="0"/>
        <w:pageBreakBefore w:val="0"/>
        <w:widowControl w:val="0"/>
        <w:kinsoku/>
        <w:wordWrap w:val="0"/>
        <w:overflowPunct/>
        <w:topLinePunct w:val="0"/>
        <w:autoSpaceDE/>
        <w:autoSpaceDN/>
        <w:bidi w:val="0"/>
        <w:adjustRightInd w:val="0"/>
        <w:spacing w:line="440" w:lineRule="exact"/>
        <w:ind w:firstLine="360" w:firstLineChars="150"/>
        <w:jc w:val="left"/>
        <w:outlineLvl w:val="9"/>
        <w:rPr>
          <w:rFonts w:hint="eastAsia" w:ascii="宋体" w:hAnsi="宋体" w:eastAsia="宋体" w:cs="宋体"/>
          <w:sz w:val="24"/>
          <w:szCs w:val="24"/>
        </w:rPr>
      </w:pPr>
      <w:r>
        <w:rPr>
          <w:rFonts w:hint="eastAsia" w:ascii="宋体" w:hAnsi="宋体" w:eastAsia="宋体" w:cs="宋体"/>
          <w:sz w:val="24"/>
          <w:szCs w:val="24"/>
        </w:rPr>
        <w:t>（3）评标办法；</w:t>
      </w:r>
    </w:p>
    <w:p>
      <w:pPr>
        <w:keepNext w:val="0"/>
        <w:keepLines w:val="0"/>
        <w:pageBreakBefore w:val="0"/>
        <w:widowControl w:val="0"/>
        <w:kinsoku/>
        <w:wordWrap w:val="0"/>
        <w:overflowPunct/>
        <w:topLinePunct w:val="0"/>
        <w:autoSpaceDE/>
        <w:autoSpaceDN/>
        <w:bidi w:val="0"/>
        <w:adjustRightInd w:val="0"/>
        <w:spacing w:line="440" w:lineRule="exact"/>
        <w:ind w:firstLine="360" w:firstLineChars="150"/>
        <w:jc w:val="left"/>
        <w:outlineLvl w:val="9"/>
        <w:rPr>
          <w:rFonts w:hint="eastAsia" w:ascii="宋体" w:hAnsi="宋体" w:eastAsia="宋体" w:cs="宋体"/>
          <w:sz w:val="24"/>
          <w:szCs w:val="24"/>
        </w:rPr>
      </w:pPr>
      <w:r>
        <w:rPr>
          <w:rFonts w:hint="eastAsia" w:ascii="宋体" w:hAnsi="宋体" w:eastAsia="宋体" w:cs="宋体"/>
          <w:sz w:val="24"/>
          <w:szCs w:val="24"/>
        </w:rPr>
        <w:t>（4）合同条款及格式；</w:t>
      </w:r>
    </w:p>
    <w:p>
      <w:pPr>
        <w:keepNext w:val="0"/>
        <w:keepLines w:val="0"/>
        <w:pageBreakBefore w:val="0"/>
        <w:widowControl w:val="0"/>
        <w:kinsoku/>
        <w:wordWrap w:val="0"/>
        <w:overflowPunct/>
        <w:topLinePunct w:val="0"/>
        <w:autoSpaceDE/>
        <w:autoSpaceDN/>
        <w:bidi w:val="0"/>
        <w:adjustRightInd w:val="0"/>
        <w:spacing w:line="440" w:lineRule="exact"/>
        <w:ind w:firstLine="360" w:firstLineChars="150"/>
        <w:jc w:val="left"/>
        <w:outlineLvl w:val="9"/>
        <w:rPr>
          <w:rFonts w:hint="eastAsia" w:ascii="宋体" w:hAnsi="宋体" w:eastAsia="宋体" w:cs="宋体"/>
          <w:sz w:val="24"/>
          <w:szCs w:val="24"/>
        </w:rPr>
      </w:pPr>
      <w:r>
        <w:rPr>
          <w:rFonts w:hint="eastAsia" w:ascii="宋体" w:hAnsi="宋体" w:eastAsia="宋体" w:cs="宋体"/>
          <w:sz w:val="24"/>
          <w:szCs w:val="24"/>
        </w:rPr>
        <w:t>（5）工程量清单；</w:t>
      </w:r>
    </w:p>
    <w:p>
      <w:pPr>
        <w:keepNext w:val="0"/>
        <w:keepLines w:val="0"/>
        <w:pageBreakBefore w:val="0"/>
        <w:widowControl w:val="0"/>
        <w:kinsoku/>
        <w:wordWrap w:val="0"/>
        <w:overflowPunct/>
        <w:topLinePunct w:val="0"/>
        <w:autoSpaceDE/>
        <w:autoSpaceDN/>
        <w:bidi w:val="0"/>
        <w:adjustRightInd w:val="0"/>
        <w:spacing w:line="440" w:lineRule="exact"/>
        <w:ind w:firstLine="360" w:firstLineChars="150"/>
        <w:jc w:val="left"/>
        <w:outlineLvl w:val="9"/>
        <w:rPr>
          <w:rFonts w:hint="eastAsia" w:ascii="宋体" w:hAnsi="宋体" w:eastAsia="宋体" w:cs="宋体"/>
          <w:sz w:val="24"/>
          <w:szCs w:val="24"/>
          <w:lang w:eastAsia="zh-CN"/>
        </w:rPr>
      </w:pPr>
      <w:r>
        <w:rPr>
          <w:rFonts w:hint="eastAsia" w:ascii="宋体" w:hAnsi="宋体" w:eastAsia="宋体" w:cs="宋体"/>
          <w:sz w:val="24"/>
          <w:szCs w:val="24"/>
        </w:rPr>
        <w:t>（6）</w:t>
      </w:r>
      <w:r>
        <w:rPr>
          <w:rFonts w:hint="eastAsia" w:ascii="宋体" w:hAnsi="宋体" w:eastAsia="宋体" w:cs="宋体"/>
          <w:sz w:val="24"/>
          <w:szCs w:val="24"/>
          <w:lang w:eastAsia="zh-CN"/>
        </w:rPr>
        <w:t>图纸；</w:t>
      </w:r>
    </w:p>
    <w:p>
      <w:pPr>
        <w:keepNext w:val="0"/>
        <w:keepLines w:val="0"/>
        <w:pageBreakBefore w:val="0"/>
        <w:widowControl w:val="0"/>
        <w:kinsoku/>
        <w:wordWrap w:val="0"/>
        <w:overflowPunct/>
        <w:topLinePunct w:val="0"/>
        <w:autoSpaceDE/>
        <w:autoSpaceDN/>
        <w:bidi w:val="0"/>
        <w:adjustRightInd w:val="0"/>
        <w:spacing w:line="440" w:lineRule="exact"/>
        <w:ind w:firstLine="360" w:firstLineChars="150"/>
        <w:jc w:val="left"/>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）技术标准和要求；</w:t>
      </w:r>
    </w:p>
    <w:p>
      <w:pPr>
        <w:keepNext w:val="0"/>
        <w:keepLines w:val="0"/>
        <w:pageBreakBefore w:val="0"/>
        <w:widowControl w:val="0"/>
        <w:kinsoku/>
        <w:wordWrap w:val="0"/>
        <w:overflowPunct/>
        <w:topLinePunct w:val="0"/>
        <w:autoSpaceDE/>
        <w:autoSpaceDN/>
        <w:bidi w:val="0"/>
        <w:adjustRightInd w:val="0"/>
        <w:spacing w:line="440" w:lineRule="exact"/>
        <w:ind w:firstLine="360" w:firstLineChars="150"/>
        <w:jc w:val="left"/>
        <w:outlineLvl w:val="9"/>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）响应文件</w:t>
      </w:r>
      <w:r>
        <w:rPr>
          <w:rFonts w:hint="eastAsia" w:ascii="宋体" w:hAnsi="宋体" w:eastAsia="宋体" w:cs="宋体"/>
          <w:sz w:val="24"/>
          <w:szCs w:val="24"/>
        </w:rPr>
        <w:t>格式；</w:t>
      </w:r>
    </w:p>
    <w:p>
      <w:pPr>
        <w:keepNext w:val="0"/>
        <w:keepLines w:val="0"/>
        <w:pageBreakBefore w:val="0"/>
        <w:widowControl w:val="0"/>
        <w:kinsoku/>
        <w:wordWrap w:val="0"/>
        <w:overflowPunct/>
        <w:topLinePunct w:val="0"/>
        <w:autoSpaceDE/>
        <w:autoSpaceDN/>
        <w:bidi w:val="0"/>
        <w:adjustRightInd w:val="0"/>
        <w:spacing w:line="440" w:lineRule="exact"/>
        <w:ind w:firstLine="360" w:firstLineChars="150"/>
        <w:jc w:val="left"/>
        <w:outlineLvl w:val="9"/>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须知前附表规定的其他资料。</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sz w:val="24"/>
          <w:szCs w:val="24"/>
        </w:rPr>
      </w:pPr>
      <w:r>
        <w:rPr>
          <w:rFonts w:hint="eastAsia" w:ascii="宋体" w:hAnsi="宋体" w:eastAsia="宋体" w:cs="宋体"/>
          <w:sz w:val="24"/>
          <w:szCs w:val="24"/>
        </w:rPr>
        <w:t>根据本章第 1.10 款、第 2.2 款和第 2.3 款对</w:t>
      </w:r>
      <w:r>
        <w:rPr>
          <w:rFonts w:hint="eastAsia" w:ascii="宋体" w:hAnsi="宋体" w:eastAsia="宋体" w:cs="宋体"/>
          <w:sz w:val="24"/>
          <w:szCs w:val="24"/>
          <w:lang w:eastAsia="zh-CN"/>
        </w:rPr>
        <w:t>磋商文件</w:t>
      </w:r>
      <w:r>
        <w:rPr>
          <w:rFonts w:hint="eastAsia" w:ascii="宋体" w:hAnsi="宋体" w:eastAsia="宋体" w:cs="宋体"/>
          <w:sz w:val="24"/>
          <w:szCs w:val="24"/>
        </w:rPr>
        <w:t>所作的澄清、修改，构成</w:t>
      </w:r>
      <w:r>
        <w:rPr>
          <w:rFonts w:hint="eastAsia" w:ascii="宋体" w:hAnsi="宋体" w:eastAsia="宋体" w:cs="宋体"/>
          <w:sz w:val="24"/>
          <w:szCs w:val="24"/>
          <w:lang w:eastAsia="zh-CN"/>
        </w:rPr>
        <w:t>磋商文件</w:t>
      </w:r>
      <w:r>
        <w:rPr>
          <w:rFonts w:hint="eastAsia" w:ascii="宋体" w:hAnsi="宋体" w:eastAsia="宋体" w:cs="宋体"/>
          <w:sz w:val="24"/>
          <w:szCs w:val="24"/>
        </w:rPr>
        <w:t>的组成部分。</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71" w:name="_Toc17520"/>
      <w:bookmarkStart w:id="72" w:name="_Toc29384663"/>
      <w:r>
        <w:rPr>
          <w:rFonts w:hint="eastAsia" w:ascii="宋体" w:hAnsi="宋体" w:eastAsia="宋体" w:cs="宋体"/>
          <w:b/>
          <w:bCs/>
          <w:sz w:val="28"/>
          <w:szCs w:val="28"/>
        </w:rPr>
        <w:t xml:space="preserve">2.2 </w:t>
      </w:r>
      <w:r>
        <w:rPr>
          <w:rFonts w:hint="eastAsia" w:ascii="宋体" w:hAnsi="宋体" w:eastAsia="宋体" w:cs="宋体"/>
          <w:b/>
          <w:bCs/>
          <w:sz w:val="28"/>
          <w:szCs w:val="28"/>
          <w:lang w:eastAsia="zh-CN"/>
        </w:rPr>
        <w:t>磋商文件</w:t>
      </w:r>
      <w:r>
        <w:rPr>
          <w:rFonts w:hint="eastAsia" w:ascii="宋体" w:hAnsi="宋体" w:eastAsia="宋体" w:cs="宋体"/>
          <w:b/>
          <w:bCs/>
          <w:sz w:val="28"/>
          <w:szCs w:val="28"/>
        </w:rPr>
        <w:t>的澄清</w:t>
      </w:r>
      <w:bookmarkEnd w:id="71"/>
      <w:bookmarkEnd w:id="72"/>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2.2.1 </w:t>
      </w:r>
      <w:r>
        <w:rPr>
          <w:rFonts w:hint="eastAsia" w:ascii="宋体" w:hAnsi="宋体" w:eastAsia="宋体" w:cs="宋体"/>
          <w:bCs/>
          <w:sz w:val="24"/>
          <w:szCs w:val="24"/>
          <w:lang w:eastAsia="zh-CN"/>
        </w:rPr>
        <w:t>供应商</w:t>
      </w:r>
      <w:r>
        <w:rPr>
          <w:rFonts w:hint="eastAsia" w:ascii="宋体" w:hAnsi="宋体" w:eastAsia="宋体" w:cs="宋体"/>
          <w:bCs/>
          <w:sz w:val="24"/>
          <w:szCs w:val="24"/>
        </w:rPr>
        <w:t>应仔细阅读和检查</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的全部内容。如发现缺页或附件不全，应及时向</w:t>
      </w:r>
      <w:r>
        <w:rPr>
          <w:rFonts w:hint="eastAsia" w:ascii="宋体" w:hAnsi="宋体" w:eastAsia="宋体" w:cs="宋体"/>
          <w:bCs/>
          <w:sz w:val="24"/>
          <w:szCs w:val="24"/>
          <w:lang w:eastAsia="zh-CN"/>
        </w:rPr>
        <w:t>采购人</w:t>
      </w:r>
      <w:r>
        <w:rPr>
          <w:rFonts w:hint="eastAsia" w:ascii="宋体" w:hAnsi="宋体" w:eastAsia="宋体" w:cs="宋体"/>
          <w:bCs/>
          <w:sz w:val="24"/>
          <w:szCs w:val="24"/>
        </w:rPr>
        <w:t>提出，以便补齐。如有疑问，应在</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须知前附表规定的时间前以书面形式（包括信函、电报、传真等可以有形地表现所载内容的形式，下同），要求</w:t>
      </w:r>
      <w:r>
        <w:rPr>
          <w:rFonts w:hint="eastAsia" w:ascii="宋体" w:hAnsi="宋体" w:eastAsia="宋体" w:cs="宋体"/>
          <w:bCs/>
          <w:sz w:val="24"/>
          <w:szCs w:val="24"/>
          <w:lang w:eastAsia="zh-CN"/>
        </w:rPr>
        <w:t>采购人</w:t>
      </w:r>
      <w:r>
        <w:rPr>
          <w:rFonts w:hint="eastAsia" w:ascii="宋体" w:hAnsi="宋体" w:eastAsia="宋体" w:cs="宋体"/>
          <w:bCs/>
          <w:sz w:val="24"/>
          <w:szCs w:val="24"/>
        </w:rPr>
        <w:t>对</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予以澄清。</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2.2.2 </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的澄清将在</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须知前附表规定的投标截止时间5天前以电子文件形式在</w:t>
      </w:r>
      <w:r>
        <w:rPr>
          <w:rFonts w:hint="eastAsia" w:ascii="宋体" w:hAnsi="宋体" w:eastAsia="宋体" w:cs="宋体"/>
          <w:bCs/>
          <w:sz w:val="24"/>
          <w:szCs w:val="24"/>
          <w:lang w:eastAsia="zh-CN"/>
        </w:rPr>
        <w:t>竞争性磋商公告</w:t>
      </w:r>
      <w:r>
        <w:rPr>
          <w:rFonts w:hint="eastAsia" w:ascii="宋体" w:hAnsi="宋体" w:eastAsia="宋体" w:cs="宋体"/>
          <w:bCs/>
          <w:sz w:val="24"/>
          <w:szCs w:val="24"/>
        </w:rPr>
        <w:t>发布的同一媒介以通知、公告的方式向所有潜在</w:t>
      </w:r>
      <w:r>
        <w:rPr>
          <w:rFonts w:hint="eastAsia" w:ascii="宋体" w:hAnsi="宋体" w:eastAsia="宋体" w:cs="宋体"/>
          <w:bCs/>
          <w:sz w:val="24"/>
          <w:szCs w:val="24"/>
          <w:lang w:eastAsia="zh-CN"/>
        </w:rPr>
        <w:t>供应商</w:t>
      </w:r>
      <w:r>
        <w:rPr>
          <w:rFonts w:hint="eastAsia" w:ascii="宋体" w:hAnsi="宋体" w:eastAsia="宋体" w:cs="宋体"/>
          <w:bCs/>
          <w:sz w:val="24"/>
          <w:szCs w:val="24"/>
        </w:rPr>
        <w:t>公布澄清的内容，但不指明澄清问题的来源。如果澄清发出的时间距投标截止时间不足5天，相应延长投标截止时间。</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2.2.3 </w:t>
      </w:r>
      <w:r>
        <w:rPr>
          <w:rFonts w:hint="eastAsia" w:ascii="宋体" w:hAnsi="宋体" w:eastAsia="宋体" w:cs="宋体"/>
          <w:bCs/>
          <w:sz w:val="24"/>
          <w:szCs w:val="24"/>
          <w:lang w:eastAsia="zh-CN"/>
        </w:rPr>
        <w:t>供应商</w:t>
      </w:r>
      <w:r>
        <w:rPr>
          <w:rFonts w:hint="eastAsia" w:ascii="宋体" w:hAnsi="宋体" w:eastAsia="宋体" w:cs="宋体"/>
          <w:bCs/>
          <w:sz w:val="24"/>
          <w:szCs w:val="24"/>
        </w:rPr>
        <w:t>在收到澄清后，应在</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须知前附表规定的时间内通知</w:t>
      </w:r>
      <w:r>
        <w:rPr>
          <w:rFonts w:hint="eastAsia" w:ascii="宋体" w:hAnsi="宋体" w:eastAsia="宋体" w:cs="宋体"/>
          <w:bCs/>
          <w:sz w:val="24"/>
          <w:szCs w:val="24"/>
          <w:lang w:eastAsia="zh-CN"/>
        </w:rPr>
        <w:t>采购人</w:t>
      </w:r>
      <w:r>
        <w:rPr>
          <w:rFonts w:hint="eastAsia" w:ascii="宋体" w:hAnsi="宋体" w:eastAsia="宋体" w:cs="宋体"/>
          <w:bCs/>
          <w:sz w:val="24"/>
          <w:szCs w:val="24"/>
        </w:rPr>
        <w:t>，确认己收到该澄清。</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73" w:name="_Toc29384664"/>
      <w:bookmarkStart w:id="74" w:name="_Toc3946"/>
      <w:r>
        <w:rPr>
          <w:rFonts w:hint="eastAsia" w:ascii="宋体" w:hAnsi="宋体" w:eastAsia="宋体" w:cs="宋体"/>
          <w:b/>
          <w:bCs/>
          <w:sz w:val="28"/>
          <w:szCs w:val="28"/>
        </w:rPr>
        <w:t xml:space="preserve">2.3 </w:t>
      </w:r>
      <w:r>
        <w:rPr>
          <w:rFonts w:hint="eastAsia" w:ascii="宋体" w:hAnsi="宋体" w:eastAsia="宋体" w:cs="宋体"/>
          <w:b/>
          <w:bCs/>
          <w:sz w:val="28"/>
          <w:szCs w:val="28"/>
          <w:lang w:eastAsia="zh-CN"/>
        </w:rPr>
        <w:t>磋商文件</w:t>
      </w:r>
      <w:r>
        <w:rPr>
          <w:rFonts w:hint="eastAsia" w:ascii="宋体" w:hAnsi="宋体" w:eastAsia="宋体" w:cs="宋体"/>
          <w:b/>
          <w:bCs/>
          <w:sz w:val="28"/>
          <w:szCs w:val="28"/>
        </w:rPr>
        <w:t>的修改</w:t>
      </w:r>
      <w:bookmarkEnd w:id="73"/>
      <w:bookmarkEnd w:id="74"/>
    </w:p>
    <w:p>
      <w:pPr>
        <w:keepNext w:val="0"/>
        <w:keepLines w:val="0"/>
        <w:pageBreakBefore w:val="0"/>
        <w:widowControl w:val="0"/>
        <w:kinsoku/>
        <w:wordWrap w:val="0"/>
        <w:overflowPunct/>
        <w:topLinePunct w:val="0"/>
        <w:autoSpaceDE/>
        <w:autoSpaceDN/>
        <w:bidi w:val="0"/>
        <w:snapToGrid w:val="0"/>
        <w:spacing w:line="440" w:lineRule="exact"/>
        <w:ind w:firstLine="420"/>
        <w:outlineLvl w:val="9"/>
        <w:rPr>
          <w:rFonts w:hint="eastAsia" w:ascii="宋体" w:hAnsi="宋体" w:eastAsia="宋体" w:cs="宋体"/>
          <w:sz w:val="24"/>
          <w:szCs w:val="24"/>
          <w:lang w:eastAsia="zh-CN"/>
        </w:rPr>
      </w:pPr>
      <w:r>
        <w:rPr>
          <w:rFonts w:hint="eastAsia" w:ascii="宋体" w:hAnsi="宋体" w:eastAsia="宋体" w:cs="宋体"/>
          <w:sz w:val="24"/>
          <w:szCs w:val="24"/>
        </w:rPr>
        <w:t>2.3.1 在投标截止时间5天前，</w:t>
      </w:r>
      <w:r>
        <w:rPr>
          <w:rFonts w:hint="eastAsia" w:ascii="宋体" w:hAnsi="宋体" w:eastAsia="宋体" w:cs="宋体"/>
          <w:sz w:val="24"/>
          <w:szCs w:val="24"/>
          <w:lang w:eastAsia="zh-CN"/>
        </w:rPr>
        <w:t>采购人</w:t>
      </w:r>
      <w:r>
        <w:rPr>
          <w:rFonts w:hint="eastAsia" w:ascii="宋体" w:hAnsi="宋体" w:eastAsia="宋体" w:cs="宋体"/>
          <w:sz w:val="24"/>
          <w:szCs w:val="24"/>
        </w:rPr>
        <w:t>可以电子文件形式变更修改</w:t>
      </w:r>
      <w:r>
        <w:rPr>
          <w:rFonts w:hint="eastAsia" w:ascii="宋体" w:hAnsi="宋体" w:eastAsia="宋体" w:cs="宋体"/>
          <w:sz w:val="24"/>
          <w:szCs w:val="24"/>
          <w:lang w:eastAsia="zh-CN"/>
        </w:rPr>
        <w:t>磋商文件</w:t>
      </w:r>
      <w:r>
        <w:rPr>
          <w:rFonts w:hint="eastAsia" w:ascii="宋体" w:hAnsi="宋体" w:eastAsia="宋体" w:cs="宋体"/>
          <w:sz w:val="24"/>
          <w:szCs w:val="24"/>
        </w:rPr>
        <w:t>，在</w:t>
      </w:r>
      <w:r>
        <w:rPr>
          <w:rFonts w:hint="eastAsia" w:ascii="宋体" w:hAnsi="宋体" w:eastAsia="宋体" w:cs="宋体"/>
          <w:sz w:val="24"/>
          <w:szCs w:val="24"/>
          <w:lang w:eastAsia="zh-CN"/>
        </w:rPr>
        <w:t>竞争性磋商公告</w:t>
      </w:r>
      <w:r>
        <w:rPr>
          <w:rFonts w:hint="eastAsia" w:ascii="宋体" w:hAnsi="宋体" w:eastAsia="宋体" w:cs="宋体"/>
          <w:sz w:val="24"/>
          <w:szCs w:val="24"/>
        </w:rPr>
        <w:t>发布的同一媒介以通知、公告的方式向所有潜在</w:t>
      </w:r>
      <w:r>
        <w:rPr>
          <w:rFonts w:hint="eastAsia" w:ascii="宋体" w:hAnsi="宋体" w:eastAsia="宋体" w:cs="宋体"/>
          <w:sz w:val="24"/>
          <w:szCs w:val="24"/>
          <w:lang w:eastAsia="zh-CN"/>
        </w:rPr>
        <w:t>供应商</w:t>
      </w:r>
      <w:r>
        <w:rPr>
          <w:rFonts w:hint="eastAsia" w:ascii="宋体" w:hAnsi="宋体" w:eastAsia="宋体" w:cs="宋体"/>
          <w:sz w:val="24"/>
          <w:szCs w:val="24"/>
        </w:rPr>
        <w:t>公布修改的内容。如果修改</w:t>
      </w:r>
      <w:r>
        <w:rPr>
          <w:rFonts w:hint="eastAsia" w:ascii="宋体" w:hAnsi="宋体" w:eastAsia="宋体" w:cs="宋体"/>
          <w:sz w:val="24"/>
          <w:szCs w:val="24"/>
          <w:lang w:eastAsia="zh-CN"/>
        </w:rPr>
        <w:t>磋商文件</w:t>
      </w:r>
      <w:r>
        <w:rPr>
          <w:rFonts w:hint="eastAsia" w:ascii="宋体" w:hAnsi="宋体" w:eastAsia="宋体" w:cs="宋体"/>
          <w:sz w:val="24"/>
          <w:szCs w:val="24"/>
        </w:rPr>
        <w:t>的时间距投标截止时间不足5天，相应延长投标截止时间</w:t>
      </w:r>
      <w:r>
        <w:rPr>
          <w:rFonts w:hint="eastAsia" w:ascii="宋体" w:hAnsi="宋体" w:eastAsia="宋体" w:cs="宋体"/>
          <w:sz w:val="24"/>
          <w:szCs w:val="24"/>
          <w:lang w:eastAsia="zh-CN"/>
        </w:rPr>
        <w:t>。</w:t>
      </w:r>
    </w:p>
    <w:p>
      <w:pPr>
        <w:keepNext w:val="0"/>
        <w:keepLines w:val="0"/>
        <w:pageBreakBefore w:val="0"/>
        <w:widowControl w:val="0"/>
        <w:kinsoku/>
        <w:wordWrap w:val="0"/>
        <w:overflowPunct/>
        <w:topLinePunct w:val="0"/>
        <w:autoSpaceDE/>
        <w:autoSpaceDN/>
        <w:bidi w:val="0"/>
        <w:snapToGrid w:val="0"/>
        <w:spacing w:line="440" w:lineRule="exact"/>
        <w:ind w:firstLine="420"/>
        <w:outlineLvl w:val="9"/>
        <w:rPr>
          <w:rFonts w:hint="eastAsia" w:ascii="宋体" w:hAnsi="宋体" w:eastAsia="宋体" w:cs="宋体"/>
          <w:sz w:val="24"/>
          <w:szCs w:val="24"/>
        </w:rPr>
      </w:pPr>
      <w:bookmarkStart w:id="75" w:name="_Toc29384665"/>
      <w:bookmarkStart w:id="76" w:name="_Toc24301"/>
      <w:r>
        <w:rPr>
          <w:rFonts w:hint="eastAsia" w:ascii="宋体" w:hAnsi="宋体" w:eastAsia="宋体" w:cs="宋体"/>
          <w:sz w:val="24"/>
          <w:szCs w:val="24"/>
        </w:rPr>
        <w:t xml:space="preserve">2.3.2 </w:t>
      </w:r>
      <w:r>
        <w:rPr>
          <w:rFonts w:hint="eastAsia" w:ascii="宋体" w:hAnsi="宋体" w:eastAsia="宋体" w:cs="宋体"/>
          <w:sz w:val="24"/>
          <w:szCs w:val="24"/>
          <w:lang w:eastAsia="zh-CN"/>
        </w:rPr>
        <w:t>供应商</w:t>
      </w:r>
      <w:r>
        <w:rPr>
          <w:rFonts w:hint="eastAsia" w:ascii="宋体" w:hAnsi="宋体" w:eastAsia="宋体" w:cs="宋体"/>
          <w:sz w:val="24"/>
          <w:szCs w:val="24"/>
        </w:rPr>
        <w:t>看到修改内容后，自行调整拟</w:t>
      </w:r>
      <w:r>
        <w:rPr>
          <w:rFonts w:hint="eastAsia" w:ascii="宋体" w:hAnsi="宋体" w:eastAsia="宋体" w:cs="宋体"/>
          <w:sz w:val="24"/>
          <w:szCs w:val="24"/>
          <w:lang w:eastAsia="zh-CN"/>
        </w:rPr>
        <w:t>响应文件</w:t>
      </w:r>
      <w:r>
        <w:rPr>
          <w:rFonts w:hint="eastAsia" w:ascii="宋体" w:hAnsi="宋体" w:eastAsia="宋体" w:cs="宋体"/>
          <w:sz w:val="24"/>
          <w:szCs w:val="24"/>
        </w:rPr>
        <w:t>。</w:t>
      </w:r>
    </w:p>
    <w:bookmarkEnd w:id="75"/>
    <w:bookmarkEnd w:id="76"/>
    <w:p>
      <w:pPr>
        <w:keepNext w:val="0"/>
        <w:keepLines w:val="0"/>
        <w:pageBreakBefore w:val="0"/>
        <w:widowControl w:val="0"/>
        <w:kinsoku/>
        <w:wordWrap w:val="0"/>
        <w:overflowPunct/>
        <w:topLinePunct w:val="0"/>
        <w:autoSpaceDE/>
        <w:autoSpaceDN/>
        <w:bidi w:val="0"/>
        <w:spacing w:before="0" w:after="0" w:line="440" w:lineRule="exact"/>
        <w:outlineLvl w:val="1"/>
        <w:rPr>
          <w:rFonts w:hint="eastAsia" w:ascii="宋体" w:hAnsi="宋体" w:eastAsia="宋体" w:cs="宋体"/>
          <w:b/>
          <w:bCs/>
          <w:sz w:val="32"/>
          <w:szCs w:val="32"/>
          <w:lang w:eastAsia="zh-CN"/>
        </w:rPr>
      </w:pPr>
      <w:bookmarkStart w:id="77" w:name="_Toc29384666"/>
      <w:bookmarkStart w:id="78" w:name="_Toc30719"/>
      <w:bookmarkStart w:id="79" w:name="_Toc4596"/>
      <w:r>
        <w:rPr>
          <w:rFonts w:hint="eastAsia" w:ascii="宋体" w:hAnsi="宋体" w:eastAsia="宋体" w:cs="宋体"/>
          <w:b/>
          <w:bCs/>
          <w:sz w:val="32"/>
          <w:szCs w:val="32"/>
        </w:rPr>
        <w:t>3.</w:t>
      </w:r>
      <w:bookmarkEnd w:id="77"/>
      <w:bookmarkEnd w:id="78"/>
      <w:r>
        <w:rPr>
          <w:rFonts w:hint="eastAsia" w:ascii="宋体" w:hAnsi="宋体" w:eastAsia="宋体" w:cs="宋体"/>
          <w:b/>
          <w:bCs/>
          <w:sz w:val="32"/>
          <w:szCs w:val="32"/>
          <w:lang w:eastAsia="zh-CN"/>
        </w:rPr>
        <w:t>响应文件</w:t>
      </w:r>
      <w:bookmarkEnd w:id="79"/>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80" w:name="_Toc2855"/>
      <w:bookmarkStart w:id="81" w:name="_Toc29384667"/>
      <w:r>
        <w:rPr>
          <w:rFonts w:hint="eastAsia" w:ascii="宋体" w:hAnsi="宋体" w:eastAsia="宋体" w:cs="宋体"/>
          <w:b/>
          <w:bCs/>
          <w:sz w:val="28"/>
          <w:szCs w:val="28"/>
        </w:rPr>
        <w:t xml:space="preserve">3.1 </w:t>
      </w:r>
      <w:r>
        <w:rPr>
          <w:rFonts w:hint="eastAsia" w:ascii="宋体" w:hAnsi="宋体" w:eastAsia="宋体" w:cs="宋体"/>
          <w:b/>
          <w:bCs/>
          <w:sz w:val="28"/>
          <w:szCs w:val="28"/>
          <w:lang w:eastAsia="zh-CN"/>
        </w:rPr>
        <w:t>响应文件</w:t>
      </w:r>
      <w:r>
        <w:rPr>
          <w:rFonts w:hint="eastAsia" w:ascii="宋体" w:hAnsi="宋体" w:eastAsia="宋体" w:cs="宋体"/>
          <w:b/>
          <w:bCs/>
          <w:sz w:val="28"/>
          <w:szCs w:val="28"/>
        </w:rPr>
        <w:t>的组成</w:t>
      </w:r>
      <w:bookmarkEnd w:id="80"/>
      <w:bookmarkEnd w:id="81"/>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3.1.1 </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应包括下列内容：</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（1）投标函及投标函附录；</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（2）法定代表人身份证明或附有法定代表人身份证明的授权委托书；</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（3）联合体协议书；</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（4）</w:t>
      </w:r>
      <w:r>
        <w:rPr>
          <w:rFonts w:hint="eastAsia" w:ascii="宋体" w:hAnsi="宋体" w:eastAsia="宋体" w:cs="宋体"/>
          <w:bCs/>
          <w:sz w:val="24"/>
          <w:szCs w:val="24"/>
          <w:lang w:eastAsia="zh-CN"/>
        </w:rPr>
        <w:t>磋商保证金</w:t>
      </w:r>
      <w:r>
        <w:rPr>
          <w:rFonts w:hint="eastAsia" w:ascii="宋体" w:hAnsi="宋体" w:eastAsia="宋体" w:cs="宋体"/>
          <w:bCs/>
          <w:sz w:val="24"/>
          <w:szCs w:val="24"/>
        </w:rPr>
        <w:t>；</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（5）已标价工程量清单；</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（6）施工组织设计；</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（7）项目管理机构；</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lang w:eastAsia="zh-CN"/>
        </w:rPr>
      </w:pPr>
      <w:r>
        <w:rPr>
          <w:rFonts w:hint="eastAsia" w:ascii="宋体" w:hAnsi="宋体" w:eastAsia="宋体" w:cs="宋体"/>
          <w:bCs/>
          <w:sz w:val="24"/>
          <w:szCs w:val="24"/>
        </w:rPr>
        <w:t>（8）拟分包项目情况表</w:t>
      </w:r>
      <w:r>
        <w:rPr>
          <w:rFonts w:hint="eastAsia" w:ascii="宋体" w:hAnsi="宋体" w:eastAsia="宋体" w:cs="宋体"/>
          <w:bCs/>
          <w:sz w:val="24"/>
          <w:szCs w:val="24"/>
          <w:lang w:eastAsia="zh-CN"/>
        </w:rPr>
        <w:t>；</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lang w:eastAsia="zh-CN"/>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9</w:t>
      </w:r>
      <w:r>
        <w:rPr>
          <w:rFonts w:hint="eastAsia" w:ascii="宋体" w:hAnsi="宋体" w:eastAsia="宋体" w:cs="宋体"/>
          <w:bCs/>
          <w:sz w:val="24"/>
          <w:szCs w:val="24"/>
          <w:lang w:eastAsia="zh-CN"/>
        </w:rPr>
        <w:t>）资格审查资料；</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lang w:eastAsia="zh-CN"/>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10</w:t>
      </w:r>
      <w:r>
        <w:rPr>
          <w:rFonts w:hint="eastAsia" w:ascii="宋体" w:hAnsi="宋体" w:eastAsia="宋体" w:cs="宋体"/>
          <w:bCs/>
          <w:sz w:val="24"/>
          <w:szCs w:val="24"/>
          <w:lang w:eastAsia="zh-CN"/>
        </w:rPr>
        <w:t>）供应商须知前附表规定的其他材料。</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3.1.2 </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须知前附表规定不接受联合体投标的，或</w:t>
      </w:r>
      <w:r>
        <w:rPr>
          <w:rFonts w:hint="eastAsia" w:ascii="宋体" w:hAnsi="宋体" w:eastAsia="宋体" w:cs="宋体"/>
          <w:bCs/>
          <w:sz w:val="24"/>
          <w:szCs w:val="24"/>
          <w:lang w:eastAsia="zh-CN"/>
        </w:rPr>
        <w:t>供应商</w:t>
      </w:r>
      <w:r>
        <w:rPr>
          <w:rFonts w:hint="eastAsia" w:ascii="宋体" w:hAnsi="宋体" w:eastAsia="宋体" w:cs="宋体"/>
          <w:bCs/>
          <w:sz w:val="24"/>
          <w:szCs w:val="24"/>
        </w:rPr>
        <w:t>没有组成联合体的，</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不包括本章第3.1.1 (3）目所指的联合体协议书。</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highlight w:val="none"/>
        </w:rPr>
      </w:pPr>
      <w:bookmarkStart w:id="82" w:name="_Toc29384668"/>
      <w:bookmarkStart w:id="83" w:name="_Toc5895"/>
      <w:r>
        <w:rPr>
          <w:rFonts w:hint="eastAsia" w:ascii="宋体" w:hAnsi="宋体" w:eastAsia="宋体" w:cs="宋体"/>
          <w:b/>
          <w:bCs/>
          <w:sz w:val="28"/>
          <w:szCs w:val="28"/>
          <w:highlight w:val="none"/>
        </w:rPr>
        <w:t>3.2 投标报价</w:t>
      </w:r>
      <w:bookmarkEnd w:id="82"/>
      <w:bookmarkEnd w:id="83"/>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sz w:val="24"/>
          <w:szCs w:val="24"/>
        </w:rPr>
      </w:pPr>
      <w:r>
        <w:rPr>
          <w:rFonts w:hint="eastAsia" w:ascii="宋体" w:hAnsi="宋体" w:eastAsia="宋体" w:cs="宋体"/>
          <w:sz w:val="24"/>
          <w:szCs w:val="24"/>
        </w:rPr>
        <w:t xml:space="preserve">3.2.1 </w:t>
      </w:r>
      <w:r>
        <w:rPr>
          <w:rFonts w:hint="eastAsia" w:ascii="宋体" w:hAnsi="宋体" w:eastAsia="宋体" w:cs="宋体"/>
          <w:sz w:val="24"/>
          <w:szCs w:val="24"/>
          <w:lang w:eastAsia="zh-CN"/>
        </w:rPr>
        <w:t>供应商</w:t>
      </w:r>
      <w:r>
        <w:rPr>
          <w:rFonts w:hint="eastAsia" w:ascii="宋体" w:hAnsi="宋体" w:eastAsia="宋体" w:cs="宋体"/>
          <w:sz w:val="24"/>
          <w:szCs w:val="24"/>
        </w:rPr>
        <w:t>应按第五章“工程量清单”的要求填写相应表格。</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sz w:val="24"/>
          <w:szCs w:val="24"/>
        </w:rPr>
      </w:pPr>
      <w:r>
        <w:rPr>
          <w:rFonts w:hint="eastAsia" w:ascii="宋体" w:hAnsi="宋体" w:eastAsia="宋体" w:cs="宋体"/>
          <w:sz w:val="24"/>
          <w:szCs w:val="24"/>
        </w:rPr>
        <w:t xml:space="preserve">3.2.2 </w:t>
      </w:r>
      <w:r>
        <w:rPr>
          <w:rFonts w:hint="eastAsia" w:ascii="宋体" w:hAnsi="宋体" w:eastAsia="宋体" w:cs="宋体"/>
          <w:sz w:val="24"/>
          <w:szCs w:val="24"/>
          <w:lang w:eastAsia="zh-CN"/>
        </w:rPr>
        <w:t>供应商</w:t>
      </w:r>
      <w:r>
        <w:rPr>
          <w:rFonts w:hint="eastAsia" w:ascii="宋体" w:hAnsi="宋体" w:eastAsia="宋体" w:cs="宋体"/>
          <w:sz w:val="24"/>
          <w:szCs w:val="24"/>
        </w:rPr>
        <w:t>在投标截止时间前修改投标函中的投标总报价，应同时修改</w:t>
      </w:r>
      <w:r>
        <w:rPr>
          <w:rFonts w:hint="eastAsia" w:ascii="宋体" w:hAnsi="宋体" w:eastAsia="宋体" w:cs="宋体"/>
          <w:sz w:val="24"/>
          <w:szCs w:val="24"/>
          <w:lang w:eastAsia="zh-CN"/>
        </w:rPr>
        <w:t>第五章</w:t>
      </w:r>
      <w:r>
        <w:rPr>
          <w:rFonts w:hint="eastAsia" w:ascii="宋体" w:hAnsi="宋体" w:eastAsia="宋体" w:cs="宋体"/>
          <w:sz w:val="24"/>
          <w:szCs w:val="24"/>
        </w:rPr>
        <w:t>“工程量清单”中的相应报价</w:t>
      </w:r>
      <w:r>
        <w:rPr>
          <w:rFonts w:hint="eastAsia" w:ascii="宋体" w:hAnsi="宋体" w:eastAsia="宋体" w:cs="宋体"/>
          <w:sz w:val="24"/>
          <w:szCs w:val="24"/>
          <w:lang w:eastAsia="zh-CN"/>
        </w:rPr>
        <w:t>。此修改须符合本章第4.3款的有关要求。</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84" w:name="_Toc16910"/>
      <w:bookmarkStart w:id="85" w:name="_Toc29384669"/>
      <w:r>
        <w:rPr>
          <w:rFonts w:hint="eastAsia" w:ascii="宋体" w:hAnsi="宋体" w:eastAsia="宋体" w:cs="宋体"/>
          <w:b/>
          <w:bCs/>
          <w:sz w:val="28"/>
          <w:szCs w:val="28"/>
        </w:rPr>
        <w:t>3.3 投标有效期</w:t>
      </w:r>
      <w:bookmarkEnd w:id="84"/>
      <w:bookmarkEnd w:id="85"/>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sz w:val="24"/>
          <w:szCs w:val="24"/>
        </w:rPr>
      </w:pPr>
      <w:bookmarkStart w:id="86" w:name="_Toc29384670"/>
      <w:bookmarkStart w:id="87" w:name="_Toc14579"/>
      <w:r>
        <w:rPr>
          <w:rFonts w:hint="eastAsia" w:ascii="宋体" w:hAnsi="宋体" w:eastAsia="宋体" w:cs="宋体"/>
          <w:sz w:val="24"/>
          <w:szCs w:val="24"/>
        </w:rPr>
        <w:t>3.3.1 在</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须知前附表规定的投标有效期内，</w:t>
      </w:r>
      <w:r>
        <w:rPr>
          <w:rFonts w:hint="eastAsia" w:ascii="宋体" w:hAnsi="宋体" w:eastAsia="宋体" w:cs="宋体"/>
          <w:sz w:val="24"/>
          <w:szCs w:val="24"/>
          <w:lang w:eastAsia="zh-CN"/>
        </w:rPr>
        <w:t>供应商</w:t>
      </w:r>
      <w:r>
        <w:rPr>
          <w:rFonts w:hint="eastAsia" w:ascii="宋体" w:hAnsi="宋体" w:eastAsia="宋体" w:cs="宋体"/>
          <w:sz w:val="24"/>
          <w:szCs w:val="24"/>
        </w:rPr>
        <w:t>不得要求撤销或修改其</w:t>
      </w:r>
      <w:r>
        <w:rPr>
          <w:rFonts w:hint="eastAsia" w:ascii="宋体" w:hAnsi="宋体" w:eastAsia="宋体" w:cs="宋体"/>
          <w:sz w:val="24"/>
          <w:szCs w:val="24"/>
          <w:lang w:eastAsia="zh-CN"/>
        </w:rPr>
        <w:t>响应文件</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sz w:val="24"/>
          <w:szCs w:val="24"/>
        </w:rPr>
      </w:pPr>
      <w:r>
        <w:rPr>
          <w:rFonts w:hint="eastAsia" w:ascii="宋体" w:hAnsi="宋体" w:eastAsia="宋体" w:cs="宋体"/>
          <w:sz w:val="24"/>
          <w:szCs w:val="24"/>
        </w:rPr>
        <w:t>3.3.2 出现特殊情况需要延长投标有效期的，</w:t>
      </w:r>
      <w:r>
        <w:rPr>
          <w:rFonts w:hint="eastAsia" w:ascii="宋体" w:hAnsi="宋体" w:eastAsia="宋体" w:cs="宋体"/>
          <w:sz w:val="24"/>
          <w:szCs w:val="24"/>
          <w:lang w:eastAsia="zh-CN"/>
        </w:rPr>
        <w:t>采购人</w:t>
      </w:r>
      <w:r>
        <w:rPr>
          <w:rFonts w:hint="eastAsia" w:ascii="宋体" w:hAnsi="宋体" w:eastAsia="宋体" w:cs="宋体"/>
          <w:sz w:val="24"/>
          <w:szCs w:val="24"/>
        </w:rPr>
        <w:t>以电子文件形式在</w:t>
      </w:r>
      <w:r>
        <w:rPr>
          <w:rFonts w:hint="eastAsia" w:ascii="宋体" w:hAnsi="宋体" w:eastAsia="宋体" w:cs="宋体"/>
          <w:sz w:val="24"/>
          <w:szCs w:val="24"/>
          <w:lang w:eastAsia="zh-CN"/>
        </w:rPr>
        <w:t>竞争性磋商公告</w:t>
      </w:r>
      <w:r>
        <w:rPr>
          <w:rFonts w:hint="eastAsia" w:ascii="宋体" w:hAnsi="宋体" w:eastAsia="宋体" w:cs="宋体"/>
          <w:sz w:val="24"/>
          <w:szCs w:val="24"/>
        </w:rPr>
        <w:t>发布的同一媒介以通知、公告的方式通知所有潜在</w:t>
      </w:r>
      <w:r>
        <w:rPr>
          <w:rFonts w:hint="eastAsia" w:ascii="宋体" w:hAnsi="宋体" w:eastAsia="宋体" w:cs="宋体"/>
          <w:sz w:val="24"/>
          <w:szCs w:val="24"/>
          <w:lang w:eastAsia="zh-CN"/>
        </w:rPr>
        <w:t>供应商</w:t>
      </w:r>
      <w:r>
        <w:rPr>
          <w:rFonts w:hint="eastAsia" w:ascii="宋体" w:hAnsi="宋体" w:eastAsia="宋体" w:cs="宋体"/>
          <w:sz w:val="24"/>
          <w:szCs w:val="24"/>
        </w:rPr>
        <w:t>延长投标有效期。</w:t>
      </w:r>
      <w:r>
        <w:rPr>
          <w:rFonts w:hint="eastAsia" w:ascii="宋体" w:hAnsi="宋体" w:eastAsia="宋体" w:cs="宋体"/>
          <w:sz w:val="24"/>
          <w:szCs w:val="24"/>
          <w:lang w:eastAsia="zh-CN"/>
        </w:rPr>
        <w:t>供应商</w:t>
      </w:r>
      <w:r>
        <w:rPr>
          <w:rFonts w:hint="eastAsia" w:ascii="宋体" w:hAnsi="宋体" w:eastAsia="宋体" w:cs="宋体"/>
          <w:sz w:val="24"/>
          <w:szCs w:val="24"/>
        </w:rPr>
        <w:t>同意延长的，应相应延长其</w:t>
      </w:r>
      <w:r>
        <w:rPr>
          <w:rFonts w:hint="eastAsia" w:ascii="宋体" w:hAnsi="宋体" w:eastAsia="宋体" w:cs="宋体"/>
          <w:sz w:val="24"/>
          <w:szCs w:val="24"/>
          <w:lang w:eastAsia="zh-CN"/>
        </w:rPr>
        <w:t>磋商保证金</w:t>
      </w:r>
      <w:r>
        <w:rPr>
          <w:rFonts w:hint="eastAsia" w:ascii="宋体" w:hAnsi="宋体" w:eastAsia="宋体" w:cs="宋体"/>
          <w:sz w:val="24"/>
          <w:szCs w:val="24"/>
        </w:rPr>
        <w:t>的有效期，但不得要求或被允许修改或撤销其</w:t>
      </w:r>
      <w:r>
        <w:rPr>
          <w:rFonts w:hint="eastAsia" w:ascii="宋体" w:hAnsi="宋体" w:eastAsia="宋体" w:cs="宋体"/>
          <w:sz w:val="24"/>
          <w:szCs w:val="24"/>
          <w:lang w:eastAsia="zh-CN"/>
        </w:rPr>
        <w:t>响应文件</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拒绝延长的，其投标失效，但</w:t>
      </w:r>
      <w:r>
        <w:rPr>
          <w:rFonts w:hint="eastAsia" w:ascii="宋体" w:hAnsi="宋体" w:eastAsia="宋体" w:cs="宋体"/>
          <w:sz w:val="24"/>
          <w:szCs w:val="24"/>
          <w:lang w:eastAsia="zh-CN"/>
        </w:rPr>
        <w:t>供应商</w:t>
      </w:r>
      <w:r>
        <w:rPr>
          <w:rFonts w:hint="eastAsia" w:ascii="宋体" w:hAnsi="宋体" w:eastAsia="宋体" w:cs="宋体"/>
          <w:sz w:val="24"/>
          <w:szCs w:val="24"/>
        </w:rPr>
        <w:t>有权收回其</w:t>
      </w:r>
      <w:r>
        <w:rPr>
          <w:rFonts w:hint="eastAsia" w:ascii="宋体" w:hAnsi="宋体" w:eastAsia="宋体" w:cs="宋体"/>
          <w:sz w:val="24"/>
          <w:szCs w:val="24"/>
          <w:lang w:eastAsia="zh-CN"/>
        </w:rPr>
        <w:t>磋商保证金</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3.4 </w:t>
      </w:r>
      <w:bookmarkEnd w:id="86"/>
      <w:bookmarkEnd w:id="87"/>
      <w:r>
        <w:rPr>
          <w:rFonts w:hint="eastAsia" w:ascii="宋体" w:hAnsi="宋体" w:eastAsia="宋体" w:cs="宋体"/>
          <w:b/>
          <w:bCs/>
          <w:sz w:val="28"/>
          <w:szCs w:val="28"/>
          <w:lang w:eastAsia="zh-CN"/>
        </w:rPr>
        <w:t>磋商保证金</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3.4.1 </w:t>
      </w:r>
      <w:r>
        <w:rPr>
          <w:rFonts w:hint="eastAsia" w:ascii="宋体" w:hAnsi="宋体" w:eastAsia="宋体" w:cs="宋体"/>
          <w:bCs/>
          <w:sz w:val="24"/>
          <w:szCs w:val="24"/>
          <w:lang w:eastAsia="zh-CN"/>
        </w:rPr>
        <w:t>供应商</w:t>
      </w:r>
      <w:r>
        <w:rPr>
          <w:rFonts w:hint="eastAsia" w:ascii="宋体" w:hAnsi="宋体" w:eastAsia="宋体" w:cs="宋体"/>
          <w:bCs/>
          <w:sz w:val="24"/>
          <w:szCs w:val="24"/>
        </w:rPr>
        <w:t>在递交</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的同时，应按</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须知前附表规定的金额、担保形式和第八章“</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格式”规定的</w:t>
      </w:r>
      <w:r>
        <w:rPr>
          <w:rFonts w:hint="eastAsia" w:ascii="宋体" w:hAnsi="宋体" w:eastAsia="宋体" w:cs="宋体"/>
          <w:bCs/>
          <w:sz w:val="24"/>
          <w:szCs w:val="24"/>
          <w:lang w:eastAsia="zh-CN"/>
        </w:rPr>
        <w:t>磋商保证金</w:t>
      </w:r>
      <w:r>
        <w:rPr>
          <w:rFonts w:hint="eastAsia" w:ascii="宋体" w:hAnsi="宋体" w:eastAsia="宋体" w:cs="宋体"/>
          <w:bCs/>
          <w:sz w:val="24"/>
          <w:szCs w:val="24"/>
        </w:rPr>
        <w:t>格式递交</w:t>
      </w:r>
      <w:r>
        <w:rPr>
          <w:rFonts w:hint="eastAsia" w:ascii="宋体" w:hAnsi="宋体" w:eastAsia="宋体" w:cs="宋体"/>
          <w:bCs/>
          <w:sz w:val="24"/>
          <w:szCs w:val="24"/>
          <w:lang w:eastAsia="zh-CN"/>
        </w:rPr>
        <w:t>磋商保证金</w:t>
      </w:r>
      <w:r>
        <w:rPr>
          <w:rFonts w:hint="eastAsia" w:ascii="宋体" w:hAnsi="宋体" w:eastAsia="宋体" w:cs="宋体"/>
          <w:bCs/>
          <w:sz w:val="24"/>
          <w:szCs w:val="24"/>
        </w:rPr>
        <w:t>，并作为其</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的组成部分。联合体投标的，其</w:t>
      </w:r>
      <w:r>
        <w:rPr>
          <w:rFonts w:hint="eastAsia" w:ascii="宋体" w:hAnsi="宋体" w:eastAsia="宋体" w:cs="宋体"/>
          <w:bCs/>
          <w:sz w:val="24"/>
          <w:szCs w:val="24"/>
          <w:lang w:eastAsia="zh-CN"/>
        </w:rPr>
        <w:t>磋商保证金</w:t>
      </w:r>
      <w:r>
        <w:rPr>
          <w:rFonts w:hint="eastAsia" w:ascii="宋体" w:hAnsi="宋体" w:eastAsia="宋体" w:cs="宋体"/>
          <w:bCs/>
          <w:sz w:val="24"/>
          <w:szCs w:val="24"/>
        </w:rPr>
        <w:t>由牵头人递交，并应符合</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须知前附表的规定。</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3.4.2 </w:t>
      </w:r>
      <w:r>
        <w:rPr>
          <w:rFonts w:hint="eastAsia" w:ascii="宋体" w:hAnsi="宋体" w:eastAsia="宋体" w:cs="宋体"/>
          <w:bCs/>
          <w:sz w:val="24"/>
          <w:szCs w:val="24"/>
          <w:lang w:eastAsia="zh-CN"/>
        </w:rPr>
        <w:t>供应商</w:t>
      </w:r>
      <w:r>
        <w:rPr>
          <w:rFonts w:hint="eastAsia" w:ascii="宋体" w:hAnsi="宋体" w:eastAsia="宋体" w:cs="宋体"/>
          <w:bCs/>
          <w:sz w:val="24"/>
          <w:szCs w:val="24"/>
        </w:rPr>
        <w:t>不按本章第</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3.4.1 项要求提交</w:t>
      </w:r>
      <w:r>
        <w:rPr>
          <w:rFonts w:hint="eastAsia" w:ascii="宋体" w:hAnsi="宋体" w:eastAsia="宋体" w:cs="宋体"/>
          <w:bCs/>
          <w:sz w:val="24"/>
          <w:szCs w:val="24"/>
          <w:lang w:eastAsia="zh-CN"/>
        </w:rPr>
        <w:t>磋商保证金</w:t>
      </w:r>
      <w:r>
        <w:rPr>
          <w:rFonts w:hint="eastAsia" w:ascii="宋体" w:hAnsi="宋体" w:eastAsia="宋体" w:cs="宋体"/>
          <w:bCs/>
          <w:sz w:val="24"/>
          <w:szCs w:val="24"/>
        </w:rPr>
        <w:t>的，其</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作废标处理。</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3.4.3 </w:t>
      </w:r>
      <w:r>
        <w:rPr>
          <w:rFonts w:hint="eastAsia" w:ascii="宋体" w:hAnsi="宋体" w:eastAsia="宋体" w:cs="宋体"/>
          <w:sz w:val="24"/>
          <w:szCs w:val="24"/>
        </w:rPr>
        <w:t>除因处理质疑、投诉等原因外，未中标</w:t>
      </w:r>
      <w:r>
        <w:rPr>
          <w:rFonts w:hint="eastAsia" w:ascii="宋体" w:hAnsi="宋体" w:eastAsia="宋体" w:cs="宋体"/>
          <w:sz w:val="24"/>
          <w:szCs w:val="24"/>
          <w:lang w:eastAsia="zh-CN"/>
        </w:rPr>
        <w:t>供应商</w:t>
      </w:r>
      <w:r>
        <w:rPr>
          <w:rFonts w:hint="eastAsia" w:ascii="宋体" w:hAnsi="宋体" w:eastAsia="宋体" w:cs="宋体"/>
          <w:sz w:val="24"/>
          <w:szCs w:val="24"/>
        </w:rPr>
        <w:t>的</w:t>
      </w:r>
      <w:r>
        <w:rPr>
          <w:rFonts w:hint="eastAsia" w:ascii="宋体" w:hAnsi="宋体" w:eastAsia="宋体" w:cs="宋体"/>
          <w:sz w:val="24"/>
          <w:szCs w:val="24"/>
          <w:lang w:eastAsia="zh-CN"/>
        </w:rPr>
        <w:t>磋商保证金</w:t>
      </w:r>
      <w:r>
        <w:rPr>
          <w:rFonts w:hint="eastAsia" w:ascii="宋体" w:hAnsi="宋体" w:eastAsia="宋体" w:cs="宋体"/>
          <w:sz w:val="24"/>
          <w:szCs w:val="24"/>
        </w:rPr>
        <w:t>在</w:t>
      </w:r>
      <w:r>
        <w:rPr>
          <w:rFonts w:hint="eastAsia" w:ascii="宋体" w:hAnsi="宋体" w:eastAsia="宋体" w:cs="宋体"/>
          <w:sz w:val="24"/>
          <w:szCs w:val="24"/>
          <w:lang w:eastAsia="zh-CN"/>
        </w:rPr>
        <w:t>成交通知书</w:t>
      </w:r>
      <w:r>
        <w:rPr>
          <w:rFonts w:hint="eastAsia" w:ascii="宋体" w:hAnsi="宋体" w:eastAsia="宋体" w:cs="宋体"/>
          <w:sz w:val="24"/>
          <w:szCs w:val="24"/>
        </w:rPr>
        <w:t>发出之日起5个工作日内退还,</w:t>
      </w:r>
      <w:r>
        <w:rPr>
          <w:rFonts w:hint="eastAsia" w:ascii="宋体" w:hAnsi="宋体" w:eastAsia="宋体" w:cs="宋体"/>
          <w:sz w:val="24"/>
          <w:szCs w:val="24"/>
          <w:lang w:eastAsia="zh-CN"/>
        </w:rPr>
        <w:t>成交供应商</w:t>
      </w:r>
      <w:r>
        <w:rPr>
          <w:rFonts w:hint="eastAsia" w:ascii="宋体" w:hAnsi="宋体" w:eastAsia="宋体" w:cs="宋体"/>
          <w:sz w:val="24"/>
          <w:szCs w:val="24"/>
        </w:rPr>
        <w:t>的</w:t>
      </w:r>
      <w:r>
        <w:rPr>
          <w:rFonts w:hint="eastAsia" w:ascii="宋体" w:hAnsi="宋体" w:eastAsia="宋体" w:cs="宋体"/>
          <w:sz w:val="24"/>
          <w:szCs w:val="24"/>
          <w:lang w:eastAsia="zh-CN"/>
        </w:rPr>
        <w:t>磋商保证金</w:t>
      </w:r>
      <w:r>
        <w:rPr>
          <w:rFonts w:hint="eastAsia" w:ascii="宋体" w:hAnsi="宋体" w:eastAsia="宋体" w:cs="宋体"/>
          <w:sz w:val="24"/>
          <w:szCs w:val="24"/>
        </w:rPr>
        <w:t>自采购合同签订之日起5个工作日内退还或者转为</w:t>
      </w:r>
      <w:r>
        <w:rPr>
          <w:rFonts w:hint="eastAsia" w:ascii="宋体" w:hAnsi="宋体" w:eastAsia="宋体" w:cs="宋体"/>
          <w:sz w:val="24"/>
          <w:szCs w:val="24"/>
          <w:lang w:eastAsia="zh-CN"/>
        </w:rPr>
        <w:t>成交供应商</w:t>
      </w:r>
      <w:r>
        <w:rPr>
          <w:rFonts w:hint="eastAsia" w:ascii="宋体" w:hAnsi="宋体" w:eastAsia="宋体" w:cs="宋体"/>
          <w:sz w:val="24"/>
          <w:szCs w:val="24"/>
        </w:rPr>
        <w:t>的履约保证金</w:t>
      </w:r>
      <w:r>
        <w:rPr>
          <w:rFonts w:hint="eastAsia" w:ascii="宋体" w:hAnsi="宋体" w:cs="宋体"/>
          <w:sz w:val="24"/>
          <w:szCs w:val="24"/>
          <w:lang w:eastAsia="zh-CN"/>
        </w:rPr>
        <w:t>或质量保证金</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被质疑、投诉的，在调查处理期间该项目的</w:t>
      </w:r>
      <w:r>
        <w:rPr>
          <w:rFonts w:hint="eastAsia" w:ascii="宋体" w:hAnsi="宋体" w:eastAsia="宋体" w:cs="宋体"/>
          <w:sz w:val="24"/>
          <w:szCs w:val="24"/>
          <w:lang w:eastAsia="zh-CN"/>
        </w:rPr>
        <w:t>磋商保证金</w:t>
      </w:r>
      <w:r>
        <w:rPr>
          <w:rFonts w:hint="eastAsia" w:ascii="宋体" w:hAnsi="宋体" w:eastAsia="宋体" w:cs="宋体"/>
          <w:sz w:val="24"/>
          <w:szCs w:val="24"/>
        </w:rPr>
        <w:t>暂不退还，待处理结果明确后按规定处理。</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3.4.4 有下列情形之一的，</w:t>
      </w:r>
      <w:r>
        <w:rPr>
          <w:rFonts w:hint="eastAsia" w:ascii="宋体" w:hAnsi="宋体" w:eastAsia="宋体" w:cs="宋体"/>
          <w:bCs/>
          <w:sz w:val="24"/>
          <w:szCs w:val="24"/>
          <w:lang w:eastAsia="zh-CN"/>
        </w:rPr>
        <w:t>磋商保证金</w:t>
      </w:r>
      <w:r>
        <w:rPr>
          <w:rFonts w:hint="eastAsia" w:ascii="宋体" w:hAnsi="宋体" w:eastAsia="宋体" w:cs="宋体"/>
          <w:bCs/>
          <w:sz w:val="24"/>
          <w:szCs w:val="24"/>
        </w:rPr>
        <w:t>将不予退还：</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eastAsia="zh-CN"/>
        </w:rPr>
        <w:t>供应商</w:t>
      </w:r>
      <w:r>
        <w:rPr>
          <w:rFonts w:hint="eastAsia" w:ascii="宋体" w:hAnsi="宋体" w:eastAsia="宋体" w:cs="宋体"/>
          <w:bCs/>
          <w:sz w:val="24"/>
          <w:szCs w:val="24"/>
        </w:rPr>
        <w:t>在规定的投标有效期内修改其</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eastAsia="zh-CN"/>
        </w:rPr>
        <w:t>成交供应商</w:t>
      </w:r>
      <w:r>
        <w:rPr>
          <w:rFonts w:hint="eastAsia" w:ascii="宋体" w:hAnsi="宋体" w:eastAsia="宋体" w:cs="宋体"/>
          <w:bCs/>
          <w:sz w:val="24"/>
          <w:szCs w:val="24"/>
        </w:rPr>
        <w:t>在收到</w:t>
      </w:r>
      <w:r>
        <w:rPr>
          <w:rFonts w:hint="eastAsia" w:ascii="宋体" w:hAnsi="宋体" w:eastAsia="宋体" w:cs="宋体"/>
          <w:bCs/>
          <w:sz w:val="24"/>
          <w:szCs w:val="24"/>
          <w:lang w:eastAsia="zh-CN"/>
        </w:rPr>
        <w:t>成交通知书</w:t>
      </w:r>
      <w:r>
        <w:rPr>
          <w:rFonts w:hint="eastAsia" w:ascii="宋体" w:hAnsi="宋体" w:eastAsia="宋体" w:cs="宋体"/>
          <w:bCs/>
          <w:sz w:val="24"/>
          <w:szCs w:val="24"/>
        </w:rPr>
        <w:t>后，无正当理由拒签合同协议书或未按</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规定提交履约担保。</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88" w:name="_Toc29384671"/>
      <w:bookmarkStart w:id="89" w:name="_Toc142"/>
      <w:r>
        <w:rPr>
          <w:rFonts w:hint="eastAsia" w:ascii="宋体" w:hAnsi="宋体" w:eastAsia="宋体" w:cs="宋体"/>
          <w:b/>
          <w:bCs/>
          <w:sz w:val="28"/>
          <w:szCs w:val="28"/>
        </w:rPr>
        <w:t>3.5 资格审查资料(适用于未进行资格预审的</w:t>
      </w:r>
      <w:r>
        <w:rPr>
          <w:rFonts w:hint="eastAsia" w:ascii="宋体" w:hAnsi="宋体" w:eastAsia="宋体" w:cs="宋体"/>
          <w:b/>
          <w:bCs/>
          <w:sz w:val="28"/>
          <w:szCs w:val="28"/>
          <w:lang w:eastAsia="zh-CN"/>
        </w:rPr>
        <w:t>，注明查询平台和方法</w:t>
      </w:r>
      <w:r>
        <w:rPr>
          <w:rFonts w:hint="eastAsia" w:ascii="宋体" w:hAnsi="宋体" w:eastAsia="宋体" w:cs="宋体"/>
          <w:b/>
          <w:bCs/>
          <w:sz w:val="28"/>
          <w:szCs w:val="28"/>
        </w:rPr>
        <w:t>)</w:t>
      </w:r>
      <w:bookmarkEnd w:id="88"/>
      <w:bookmarkEnd w:id="89"/>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bookmarkStart w:id="90" w:name="_Toc29384672"/>
      <w:bookmarkStart w:id="91" w:name="_Toc10318"/>
      <w:r>
        <w:rPr>
          <w:rFonts w:hint="eastAsia" w:ascii="宋体" w:hAnsi="宋体" w:eastAsia="宋体" w:cs="宋体"/>
          <w:bCs/>
          <w:sz w:val="24"/>
          <w:szCs w:val="24"/>
        </w:rPr>
        <w:t>3.5.1 “</w:t>
      </w:r>
      <w:r>
        <w:rPr>
          <w:rFonts w:hint="eastAsia" w:ascii="宋体" w:hAnsi="宋体" w:eastAsia="宋体" w:cs="宋体"/>
          <w:bCs/>
          <w:sz w:val="24"/>
          <w:szCs w:val="24"/>
          <w:lang w:eastAsia="zh-CN"/>
        </w:rPr>
        <w:t>供应商</w:t>
      </w:r>
      <w:r>
        <w:rPr>
          <w:rFonts w:hint="eastAsia" w:ascii="宋体" w:hAnsi="宋体" w:eastAsia="宋体" w:cs="宋体"/>
          <w:bCs/>
          <w:sz w:val="24"/>
          <w:szCs w:val="24"/>
        </w:rPr>
        <w:t>基本情况表”包含</w:t>
      </w:r>
      <w:r>
        <w:rPr>
          <w:rFonts w:hint="eastAsia" w:ascii="宋体" w:hAnsi="宋体" w:eastAsia="宋体" w:cs="宋体"/>
          <w:bCs/>
          <w:sz w:val="24"/>
          <w:szCs w:val="24"/>
          <w:lang w:eastAsia="zh-CN"/>
        </w:rPr>
        <w:t>供应商</w:t>
      </w:r>
      <w:r>
        <w:rPr>
          <w:rFonts w:hint="eastAsia" w:ascii="宋体" w:hAnsi="宋体" w:eastAsia="宋体" w:cs="宋体"/>
          <w:bCs/>
          <w:sz w:val="24"/>
          <w:szCs w:val="24"/>
        </w:rPr>
        <w:t>营业执照正本或副本</w:t>
      </w:r>
      <w:r>
        <w:rPr>
          <w:rFonts w:hint="eastAsia" w:ascii="宋体" w:hAnsi="宋体" w:eastAsia="宋体" w:cs="宋体"/>
          <w:bCs/>
          <w:sz w:val="24"/>
          <w:szCs w:val="24"/>
          <w:lang w:eastAsia="zh-CN"/>
        </w:rPr>
        <w:t>及</w:t>
      </w:r>
      <w:r>
        <w:rPr>
          <w:rFonts w:hint="eastAsia" w:ascii="宋体" w:hAnsi="宋体" w:eastAsia="宋体" w:cs="宋体"/>
          <w:bCs/>
          <w:sz w:val="24"/>
          <w:szCs w:val="24"/>
        </w:rPr>
        <w:t>其年检合格的证明材料、资质证书正本或副本和安全生产许可证等材料的电子证书及电子扫描件。</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3.5.2 “近年财务状况表”具体年份要求见</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3.5.3 “近年完成的类似项目情况表”应附</w:t>
      </w:r>
      <w:r>
        <w:rPr>
          <w:rFonts w:hint="eastAsia" w:ascii="宋体" w:hAnsi="宋体" w:eastAsia="宋体" w:cs="宋体"/>
          <w:bCs/>
          <w:sz w:val="24"/>
          <w:szCs w:val="24"/>
          <w:lang w:eastAsia="zh-CN"/>
        </w:rPr>
        <w:t>中标、成交通知书</w:t>
      </w:r>
      <w:r>
        <w:rPr>
          <w:rFonts w:hint="eastAsia" w:ascii="宋体" w:hAnsi="宋体" w:eastAsia="宋体" w:cs="宋体"/>
          <w:bCs/>
          <w:sz w:val="24"/>
          <w:szCs w:val="24"/>
        </w:rPr>
        <w:t>和（或）合同协议书、工程接收证书〔工程竣工验收证书）的电子扫描件，具体年份要求见</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须知前附表。每张表格只填写一个项目，并标明序号。</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3.5.4 “正在施工和新承接的项目情况表”应附</w:t>
      </w:r>
      <w:r>
        <w:rPr>
          <w:rFonts w:hint="eastAsia" w:ascii="宋体" w:hAnsi="宋体" w:eastAsia="宋体" w:cs="宋体"/>
          <w:bCs/>
          <w:sz w:val="24"/>
          <w:szCs w:val="24"/>
          <w:lang w:eastAsia="zh-CN"/>
        </w:rPr>
        <w:t>中标、成交通知书</w:t>
      </w:r>
      <w:r>
        <w:rPr>
          <w:rFonts w:hint="eastAsia" w:ascii="宋体" w:hAnsi="宋体" w:eastAsia="宋体" w:cs="宋体"/>
          <w:bCs/>
          <w:sz w:val="24"/>
          <w:szCs w:val="24"/>
        </w:rPr>
        <w:t>和（或）合同协议书电子扫描件。每张表格只填写一个项目，并标明序号。</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3.5.5 “近年发生的诉讼及仲裁情况”应说明相关情况，并附法院或仲裁机构作出的判决、裁决等有关法律文书电子扫描件，具体年份要求见</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 xml:space="preserve">3.5.6 </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须知前附表规定接受联合体投标的，本章第</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3.5.1 项至第</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3.5.5 项规定的表格和资料应包括联合体各方相关情况。</w:t>
      </w:r>
    </w:p>
    <w:p>
      <w:pPr>
        <w:pStyle w:val="2"/>
        <w:ind w:firstLine="480" w:firstLineChars="200"/>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3.5.7供应商自行出具的项目经理在岗承诺</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3.6 </w:t>
      </w:r>
      <w:bookmarkEnd w:id="90"/>
      <w:bookmarkEnd w:id="91"/>
      <w:bookmarkStart w:id="92" w:name="_Toc29384673"/>
      <w:bookmarkStart w:id="93" w:name="_Toc27401"/>
      <w:r>
        <w:rPr>
          <w:rFonts w:hint="eastAsia" w:ascii="宋体" w:hAnsi="宋体" w:eastAsia="宋体" w:cs="宋体"/>
          <w:b/>
          <w:bCs/>
          <w:sz w:val="28"/>
          <w:szCs w:val="28"/>
          <w:lang w:eastAsia="zh-CN"/>
        </w:rPr>
        <w:t>备选</w:t>
      </w:r>
      <w:r>
        <w:rPr>
          <w:rFonts w:hint="eastAsia" w:ascii="宋体" w:hAnsi="宋体" w:eastAsia="宋体" w:cs="宋体"/>
          <w:b/>
          <w:bCs/>
          <w:sz w:val="28"/>
          <w:szCs w:val="28"/>
        </w:rPr>
        <w:t>投标</w:t>
      </w:r>
      <w:bookmarkEnd w:id="92"/>
      <w:bookmarkEnd w:id="93"/>
      <w:r>
        <w:rPr>
          <w:rFonts w:hint="eastAsia" w:ascii="宋体" w:hAnsi="宋体" w:eastAsia="宋体" w:cs="宋体"/>
          <w:b/>
          <w:bCs/>
          <w:sz w:val="28"/>
          <w:szCs w:val="28"/>
          <w:lang w:eastAsia="zh-CN"/>
        </w:rPr>
        <w:t>方案</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除</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须知前附表另有规定外，</w:t>
      </w:r>
      <w:r>
        <w:rPr>
          <w:rFonts w:hint="eastAsia" w:ascii="宋体" w:hAnsi="宋体" w:eastAsia="宋体" w:cs="宋体"/>
          <w:bCs/>
          <w:sz w:val="24"/>
          <w:szCs w:val="24"/>
          <w:lang w:eastAsia="zh-CN"/>
        </w:rPr>
        <w:t>供应商</w:t>
      </w:r>
      <w:r>
        <w:rPr>
          <w:rFonts w:hint="eastAsia" w:ascii="宋体" w:hAnsi="宋体" w:eastAsia="宋体" w:cs="宋体"/>
          <w:bCs/>
          <w:sz w:val="24"/>
          <w:szCs w:val="24"/>
        </w:rPr>
        <w:t>不得递交备选投标方案。允许</w:t>
      </w:r>
      <w:r>
        <w:rPr>
          <w:rFonts w:hint="eastAsia" w:ascii="宋体" w:hAnsi="宋体" w:eastAsia="宋体" w:cs="宋体"/>
          <w:bCs/>
          <w:sz w:val="24"/>
          <w:szCs w:val="24"/>
          <w:lang w:eastAsia="zh-CN"/>
        </w:rPr>
        <w:t>供应商</w:t>
      </w:r>
      <w:r>
        <w:rPr>
          <w:rFonts w:hint="eastAsia" w:ascii="宋体" w:hAnsi="宋体" w:eastAsia="宋体" w:cs="宋体"/>
          <w:bCs/>
          <w:sz w:val="24"/>
          <w:szCs w:val="24"/>
        </w:rPr>
        <w:t>递交备选投标方案的，只有</w:t>
      </w:r>
      <w:r>
        <w:rPr>
          <w:rFonts w:hint="eastAsia" w:ascii="宋体" w:hAnsi="宋体" w:eastAsia="宋体" w:cs="宋体"/>
          <w:bCs/>
          <w:sz w:val="24"/>
          <w:szCs w:val="24"/>
          <w:lang w:eastAsia="zh-CN"/>
        </w:rPr>
        <w:t>成交供应商</w:t>
      </w:r>
      <w:r>
        <w:rPr>
          <w:rFonts w:hint="eastAsia" w:ascii="宋体" w:hAnsi="宋体" w:eastAsia="宋体" w:cs="宋体"/>
          <w:bCs/>
          <w:sz w:val="24"/>
          <w:szCs w:val="24"/>
        </w:rPr>
        <w:t>所递交的备选投标方案方可予以考虑。</w:t>
      </w:r>
      <w:r>
        <w:rPr>
          <w:rFonts w:hint="eastAsia" w:ascii="宋体" w:hAnsi="宋体" w:eastAsia="宋体" w:cs="宋体"/>
          <w:bCs/>
          <w:sz w:val="24"/>
          <w:szCs w:val="24"/>
          <w:lang w:eastAsia="zh-CN"/>
        </w:rPr>
        <w:t>磋商小组</w:t>
      </w:r>
      <w:r>
        <w:rPr>
          <w:rFonts w:hint="eastAsia" w:ascii="宋体" w:hAnsi="宋体" w:eastAsia="宋体" w:cs="宋体"/>
          <w:bCs/>
          <w:sz w:val="24"/>
          <w:szCs w:val="24"/>
        </w:rPr>
        <w:t>认为</w:t>
      </w:r>
      <w:r>
        <w:rPr>
          <w:rFonts w:hint="eastAsia" w:ascii="宋体" w:hAnsi="宋体" w:eastAsia="宋体" w:cs="宋体"/>
          <w:bCs/>
          <w:sz w:val="24"/>
          <w:szCs w:val="24"/>
          <w:lang w:eastAsia="zh-CN"/>
        </w:rPr>
        <w:t>成交供应商</w:t>
      </w:r>
      <w:r>
        <w:rPr>
          <w:rFonts w:hint="eastAsia" w:ascii="宋体" w:hAnsi="宋体" w:eastAsia="宋体" w:cs="宋体"/>
          <w:bCs/>
          <w:sz w:val="24"/>
          <w:szCs w:val="24"/>
        </w:rPr>
        <w:t>的各选投标方案优于其按照</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要求编制的投标方案的，</w:t>
      </w:r>
      <w:r>
        <w:rPr>
          <w:rFonts w:hint="eastAsia" w:ascii="宋体" w:hAnsi="宋体" w:eastAsia="宋体" w:cs="宋体"/>
          <w:bCs/>
          <w:sz w:val="24"/>
          <w:szCs w:val="24"/>
          <w:lang w:eastAsia="zh-CN"/>
        </w:rPr>
        <w:t>采购人</w:t>
      </w:r>
      <w:r>
        <w:rPr>
          <w:rFonts w:hint="eastAsia" w:ascii="宋体" w:hAnsi="宋体" w:eastAsia="宋体" w:cs="宋体"/>
          <w:bCs/>
          <w:sz w:val="24"/>
          <w:szCs w:val="24"/>
        </w:rPr>
        <w:t>可以接受该备选投标方案。</w:t>
      </w:r>
    </w:p>
    <w:p>
      <w:pPr>
        <w:keepNext w:val="0"/>
        <w:keepLines w:val="0"/>
        <w:pageBreakBefore w:val="0"/>
        <w:widowControl w:val="0"/>
        <w:kinsoku/>
        <w:wordWrap w:val="0"/>
        <w:overflowPunct/>
        <w:topLinePunct w:val="0"/>
        <w:autoSpaceDE/>
        <w:autoSpaceDN/>
        <w:bidi w:val="0"/>
        <w:adjustRightInd w:val="0"/>
        <w:spacing w:line="440" w:lineRule="exact"/>
        <w:jc w:val="left"/>
        <w:outlineLvl w:val="9"/>
        <w:rPr>
          <w:rFonts w:hint="eastAsia" w:ascii="宋体" w:hAnsi="宋体" w:eastAsia="宋体" w:cs="宋体"/>
          <w:bCs/>
          <w:sz w:val="24"/>
          <w:szCs w:val="24"/>
          <w:lang w:eastAsia="zh-CN"/>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7</w:t>
      </w:r>
      <w:r>
        <w:rPr>
          <w:rFonts w:hint="eastAsia" w:ascii="宋体" w:hAnsi="宋体" w:eastAsia="宋体" w:cs="宋体"/>
          <w:b/>
          <w:bCs/>
          <w:sz w:val="28"/>
          <w:szCs w:val="28"/>
        </w:rPr>
        <w:t xml:space="preserve"> </w:t>
      </w:r>
      <w:r>
        <w:rPr>
          <w:rFonts w:hint="eastAsia" w:ascii="宋体" w:hAnsi="宋体" w:eastAsia="宋体" w:cs="宋体"/>
          <w:b/>
          <w:bCs/>
          <w:sz w:val="28"/>
          <w:szCs w:val="28"/>
          <w:lang w:eastAsia="zh-CN"/>
        </w:rPr>
        <w:t>响应文件</w:t>
      </w:r>
      <w:r>
        <w:rPr>
          <w:rFonts w:hint="eastAsia" w:ascii="宋体" w:hAnsi="宋体" w:eastAsia="宋体" w:cs="宋体"/>
          <w:b/>
          <w:bCs/>
          <w:sz w:val="28"/>
          <w:szCs w:val="28"/>
        </w:rPr>
        <w:t>的编制</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3.</w:t>
      </w:r>
      <w:r>
        <w:rPr>
          <w:rFonts w:hint="eastAsia" w:ascii="宋体" w:hAnsi="宋体" w:eastAsia="宋体" w:cs="宋体"/>
          <w:bCs/>
          <w:sz w:val="24"/>
          <w:szCs w:val="24"/>
          <w:lang w:val="en-US" w:eastAsia="zh-CN"/>
        </w:rPr>
        <w:t>7</w:t>
      </w:r>
      <w:r>
        <w:rPr>
          <w:rFonts w:hint="eastAsia" w:ascii="宋体" w:hAnsi="宋体" w:eastAsia="宋体" w:cs="宋体"/>
          <w:bCs/>
          <w:sz w:val="24"/>
          <w:szCs w:val="24"/>
        </w:rPr>
        <w:t xml:space="preserve">.1 </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应按第</w:t>
      </w:r>
      <w:r>
        <w:rPr>
          <w:rFonts w:hint="eastAsia" w:ascii="宋体" w:hAnsi="宋体" w:eastAsia="宋体" w:cs="宋体"/>
          <w:bCs/>
          <w:sz w:val="24"/>
          <w:szCs w:val="24"/>
          <w:lang w:eastAsia="zh-CN"/>
        </w:rPr>
        <w:t>八</w:t>
      </w:r>
      <w:r>
        <w:rPr>
          <w:rFonts w:hint="eastAsia" w:ascii="宋体" w:hAnsi="宋体" w:eastAsia="宋体" w:cs="宋体"/>
          <w:bCs/>
          <w:sz w:val="24"/>
          <w:szCs w:val="24"/>
        </w:rPr>
        <w:t>章“</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格式”进行编写，如有必要，可以增加附页，作为</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的组成部分。其中，投标函附录在满足</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实质性要求的基础上，可以提出比</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要求更有利于</w:t>
      </w:r>
      <w:r>
        <w:rPr>
          <w:rFonts w:hint="eastAsia" w:ascii="宋体" w:hAnsi="宋体" w:eastAsia="宋体" w:cs="宋体"/>
          <w:bCs/>
          <w:sz w:val="24"/>
          <w:szCs w:val="24"/>
          <w:lang w:eastAsia="zh-CN"/>
        </w:rPr>
        <w:t>采购人</w:t>
      </w:r>
      <w:r>
        <w:rPr>
          <w:rFonts w:hint="eastAsia" w:ascii="宋体" w:hAnsi="宋体" w:eastAsia="宋体" w:cs="宋体"/>
          <w:bCs/>
          <w:sz w:val="24"/>
          <w:szCs w:val="24"/>
        </w:rPr>
        <w:t>的承诺。</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3.</w:t>
      </w:r>
      <w:r>
        <w:rPr>
          <w:rFonts w:hint="eastAsia" w:ascii="宋体" w:hAnsi="宋体" w:eastAsia="宋体" w:cs="宋体"/>
          <w:bCs/>
          <w:sz w:val="24"/>
          <w:szCs w:val="24"/>
          <w:lang w:val="en-US" w:eastAsia="zh-CN"/>
        </w:rPr>
        <w:t>7</w:t>
      </w:r>
      <w:r>
        <w:rPr>
          <w:rFonts w:hint="eastAsia" w:ascii="宋体" w:hAnsi="宋体" w:eastAsia="宋体" w:cs="宋体"/>
          <w:bCs/>
          <w:sz w:val="24"/>
          <w:szCs w:val="24"/>
        </w:rPr>
        <w:t xml:space="preserve">.2 </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应当对</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有关工期、投标有效期、质量要求、技术标准和要求、招标范围等实质性内容作出响应。</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lang w:val="en-US" w:eastAsia="zh-CN"/>
        </w:rPr>
      </w:pPr>
      <w:r>
        <w:rPr>
          <w:rFonts w:hint="eastAsia" w:ascii="宋体" w:hAnsi="宋体" w:eastAsia="宋体" w:cs="宋体"/>
          <w:bCs/>
          <w:sz w:val="24"/>
          <w:szCs w:val="24"/>
        </w:rPr>
        <w:t>3.</w:t>
      </w:r>
      <w:r>
        <w:rPr>
          <w:rFonts w:hint="eastAsia" w:ascii="宋体" w:hAnsi="宋体" w:eastAsia="宋体" w:cs="宋体"/>
          <w:bCs/>
          <w:sz w:val="24"/>
          <w:szCs w:val="24"/>
          <w:lang w:val="en-US" w:eastAsia="zh-CN"/>
        </w:rPr>
        <w:t>7</w:t>
      </w:r>
      <w:r>
        <w:rPr>
          <w:rFonts w:hint="eastAsia" w:ascii="宋体" w:hAnsi="宋体" w:eastAsia="宋体" w:cs="宋体"/>
          <w:bCs/>
          <w:sz w:val="24"/>
          <w:szCs w:val="24"/>
        </w:rPr>
        <w:t>.3</w:t>
      </w:r>
      <w:r>
        <w:rPr>
          <w:rFonts w:hint="eastAsia" w:ascii="宋体" w:hAnsi="宋体" w:eastAsia="宋体" w:cs="宋体"/>
          <w:bCs/>
          <w:sz w:val="24"/>
          <w:szCs w:val="24"/>
          <w:lang w:val="en-US" w:eastAsia="zh-CN"/>
        </w:rPr>
        <w:t xml:space="preserve"> 响应文件全部采用电子文档，除供应商须知前附表另有规定外，响应文件所附证书证件均为原件扫描件，并采用单位和个人数字证书，按磋商文件要求在相应位置加盖电子印章。由供应商的法定代表人签字或加盖电子印章的，应附法定代表人身份证明，由代理人签字或加盖电子印章的，应附由法定代表人签署的授权委托书。签字或盖章的具体要求见供应商须知前附表。</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3.7.4 </w:t>
      </w:r>
      <w:r>
        <w:rPr>
          <w:rFonts w:hint="eastAsia" w:ascii="宋体" w:hAnsi="宋体" w:eastAsia="宋体" w:cs="宋体"/>
          <w:bCs/>
          <w:sz w:val="24"/>
          <w:szCs w:val="24"/>
          <w:lang w:val="zh-CN"/>
        </w:rPr>
        <w:t>响应文件的补充递交，具体要求见供应商须知前附表规定。</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3.7.5 </w:t>
      </w:r>
      <w:bookmarkStart w:id="94" w:name="_Toc29384674"/>
      <w:bookmarkStart w:id="95" w:name="_Toc5078"/>
      <w:r>
        <w:rPr>
          <w:rFonts w:hint="eastAsia" w:ascii="宋体" w:hAnsi="宋体" w:eastAsia="宋体" w:cs="宋体"/>
          <w:bCs/>
          <w:sz w:val="24"/>
          <w:szCs w:val="24"/>
          <w:lang w:eastAsia="zh-CN"/>
        </w:rPr>
        <w:t>响应文件</w:t>
      </w:r>
      <w:r>
        <w:rPr>
          <w:rFonts w:hint="eastAsia" w:ascii="宋体" w:hAnsi="宋体" w:eastAsia="宋体" w:cs="宋体"/>
          <w:bCs/>
          <w:sz w:val="24"/>
          <w:szCs w:val="24"/>
        </w:rPr>
        <w:t>应按</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所提供的</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格式标准制作，签字或盖章应清晰，易于识别，要求签字盖章处必须签字盖章，严禁代签和仿造行为。</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签字必须由</w:t>
      </w:r>
      <w:r>
        <w:rPr>
          <w:rFonts w:hint="eastAsia" w:ascii="宋体" w:hAnsi="宋体" w:eastAsia="宋体" w:cs="宋体"/>
          <w:bCs/>
          <w:sz w:val="24"/>
          <w:szCs w:val="24"/>
          <w:lang w:eastAsia="zh-CN"/>
        </w:rPr>
        <w:t>供应商</w:t>
      </w:r>
      <w:r>
        <w:rPr>
          <w:rFonts w:hint="eastAsia" w:ascii="宋体" w:hAnsi="宋体" w:eastAsia="宋体" w:cs="宋体"/>
          <w:bCs/>
          <w:sz w:val="24"/>
          <w:szCs w:val="24"/>
        </w:rPr>
        <w:t>的法定代表人或委托代理人亲笔手写签字（包括姓和名），不得用盖章（如签名章、签字章等）代替，也不得由他人代签，电子</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加盖的公章盖电子印章、纸质版</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必须使用从</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制作工具中生成的</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（打印版）进行单面打印并加盖公章鲜章，由委托代理人签字的，</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应附法定代表人签署的授权委托书。</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应尽量避免涂改、行间插字或删除。如果出现上述情况，改动之处应加盖公章并由</w:t>
      </w:r>
      <w:r>
        <w:rPr>
          <w:rFonts w:hint="eastAsia" w:ascii="宋体" w:hAnsi="宋体" w:eastAsia="宋体" w:cs="宋体"/>
          <w:bCs/>
          <w:sz w:val="24"/>
          <w:szCs w:val="24"/>
          <w:lang w:eastAsia="zh-CN"/>
        </w:rPr>
        <w:t>供应商</w:t>
      </w:r>
      <w:r>
        <w:rPr>
          <w:rFonts w:hint="eastAsia" w:ascii="宋体" w:hAnsi="宋体" w:eastAsia="宋体" w:cs="宋体"/>
          <w:bCs/>
          <w:sz w:val="24"/>
          <w:szCs w:val="24"/>
        </w:rPr>
        <w:t>的法定代表人或委托代理人签字确认。纸质版</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应用不褪色的材料书写或打印，正本必须彩色打印并加盖</w:t>
      </w:r>
      <w:r>
        <w:rPr>
          <w:rFonts w:hint="eastAsia" w:ascii="宋体" w:hAnsi="宋体" w:eastAsia="宋体" w:cs="宋体"/>
          <w:bCs/>
          <w:sz w:val="24"/>
          <w:szCs w:val="24"/>
          <w:lang w:eastAsia="zh-CN"/>
        </w:rPr>
        <w:t>供应商</w:t>
      </w:r>
      <w:r>
        <w:rPr>
          <w:rFonts w:hint="eastAsia" w:ascii="宋体" w:hAnsi="宋体" w:eastAsia="宋体" w:cs="宋体"/>
          <w:bCs/>
          <w:sz w:val="24"/>
          <w:szCs w:val="24"/>
        </w:rPr>
        <w:t>公章鲜章，副本可以是正本的复印件，但应加盖骑页公章，并在封面标明“正本”、“副本”字样，当正本与副本内容不一致时，以正本为准。</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因内容不全或关键字迹模糊、无法辨认、字迹潦草或表达不清引起的后果，由</w:t>
      </w:r>
      <w:r>
        <w:rPr>
          <w:rFonts w:hint="eastAsia" w:ascii="宋体" w:hAnsi="宋体" w:eastAsia="宋体" w:cs="宋体"/>
          <w:bCs/>
          <w:sz w:val="24"/>
          <w:szCs w:val="24"/>
          <w:lang w:eastAsia="zh-CN"/>
        </w:rPr>
        <w:t>供应商</w:t>
      </w:r>
      <w:r>
        <w:rPr>
          <w:rFonts w:hint="eastAsia" w:ascii="宋体" w:hAnsi="宋体" w:eastAsia="宋体" w:cs="宋体"/>
          <w:bCs/>
          <w:sz w:val="24"/>
          <w:szCs w:val="24"/>
        </w:rPr>
        <w:t>自行负责</w:t>
      </w:r>
      <w:r>
        <w:rPr>
          <w:rFonts w:hint="eastAsia" w:ascii="宋体" w:hAnsi="宋体" w:eastAsia="宋体" w:cs="宋体"/>
          <w:bCs/>
          <w:sz w:val="24"/>
          <w:szCs w:val="24"/>
          <w:lang w:eastAsia="zh-CN"/>
        </w:rPr>
        <w:t>。</w:t>
      </w:r>
      <w:r>
        <w:rPr>
          <w:rFonts w:hint="eastAsia" w:ascii="宋体" w:hAnsi="宋体" w:eastAsia="宋体" w:cs="宋体"/>
          <w:bCs/>
          <w:sz w:val="24"/>
          <w:szCs w:val="24"/>
        </w:rPr>
        <w:t>纸质版</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的装订要整齐、牢固、采用左侧纵向无线胶订机胶订，编制目录及页码，使用标准的宋体字、A4纸打印胶装装订成册，</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需分册装订的，具体要求见</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须知前附表规定。</w:t>
      </w:r>
    </w:p>
    <w:p>
      <w:pPr>
        <w:pStyle w:val="2"/>
        <w:keepNext w:val="0"/>
        <w:keepLines w:val="0"/>
        <w:pageBreakBefore w:val="0"/>
        <w:widowControl w:val="0"/>
        <w:kinsoku/>
        <w:wordWrap w:val="0"/>
        <w:overflowPunct/>
        <w:topLinePunct w:val="0"/>
        <w:autoSpaceDE/>
        <w:autoSpaceDN/>
        <w:bidi w:val="0"/>
        <w:outlineLvl w:val="1"/>
        <w:rPr>
          <w:rFonts w:hint="eastAsia" w:ascii="宋体" w:hAnsi="宋体" w:eastAsia="宋体" w:cs="宋体"/>
          <w:b/>
          <w:bCs/>
          <w:sz w:val="32"/>
          <w:szCs w:val="32"/>
        </w:rPr>
      </w:pPr>
      <w:bookmarkStart w:id="96" w:name="_Toc22233"/>
      <w:r>
        <w:rPr>
          <w:rFonts w:hint="eastAsia" w:ascii="宋体" w:hAnsi="宋体" w:eastAsia="宋体" w:cs="宋体"/>
          <w:b/>
          <w:bCs/>
          <w:sz w:val="32"/>
          <w:szCs w:val="32"/>
        </w:rPr>
        <w:t>4.投标</w:t>
      </w:r>
      <w:bookmarkEnd w:id="94"/>
      <w:bookmarkEnd w:id="95"/>
      <w:bookmarkEnd w:id="96"/>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97" w:name="_Toc29384675"/>
      <w:bookmarkStart w:id="98" w:name="_Toc10657"/>
      <w:r>
        <w:rPr>
          <w:rFonts w:hint="eastAsia" w:ascii="宋体" w:hAnsi="宋体" w:eastAsia="宋体" w:cs="宋体"/>
          <w:b/>
          <w:bCs/>
          <w:sz w:val="28"/>
          <w:szCs w:val="28"/>
        </w:rPr>
        <w:t xml:space="preserve">4.1 </w:t>
      </w:r>
      <w:bookmarkEnd w:id="97"/>
      <w:bookmarkEnd w:id="98"/>
      <w:r>
        <w:rPr>
          <w:rFonts w:hint="eastAsia" w:ascii="宋体" w:hAnsi="宋体" w:eastAsia="宋体" w:cs="宋体"/>
          <w:b/>
          <w:bCs/>
          <w:sz w:val="28"/>
          <w:szCs w:val="28"/>
          <w:lang w:eastAsia="zh-CN"/>
        </w:rPr>
        <w:t>响应文件</w:t>
      </w:r>
      <w:r>
        <w:rPr>
          <w:rFonts w:hint="eastAsia" w:ascii="宋体" w:hAnsi="宋体" w:eastAsia="宋体" w:cs="宋体"/>
          <w:b/>
          <w:bCs/>
          <w:sz w:val="28"/>
          <w:szCs w:val="28"/>
        </w:rPr>
        <w:t>的</w:t>
      </w:r>
      <w:r>
        <w:rPr>
          <w:rFonts w:hint="eastAsia" w:ascii="宋体" w:hAnsi="宋体" w:eastAsia="宋体" w:cs="宋体"/>
          <w:b/>
          <w:bCs/>
          <w:sz w:val="28"/>
          <w:szCs w:val="28"/>
          <w:lang w:eastAsia="zh-CN"/>
        </w:rPr>
        <w:t>保密</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rPr>
          <w:rFonts w:hint="eastAsia" w:ascii="宋体" w:hAnsi="宋体" w:eastAsia="宋体" w:cs="宋体"/>
          <w:bCs/>
          <w:sz w:val="24"/>
          <w:szCs w:val="24"/>
        </w:rPr>
      </w:pPr>
      <w:bookmarkStart w:id="99" w:name="_Toc19992"/>
      <w:bookmarkStart w:id="100" w:name="_Toc29384676"/>
      <w:r>
        <w:rPr>
          <w:rFonts w:hint="eastAsia" w:ascii="宋体" w:hAnsi="宋体" w:eastAsia="宋体" w:cs="宋体"/>
          <w:bCs/>
          <w:sz w:val="24"/>
          <w:szCs w:val="24"/>
        </w:rPr>
        <w:t xml:space="preserve">4.1.1 </w:t>
      </w:r>
      <w:r>
        <w:rPr>
          <w:rFonts w:hint="eastAsia" w:ascii="宋体" w:hAnsi="宋体" w:eastAsia="宋体" w:cs="宋体"/>
          <w:bCs/>
          <w:sz w:val="24"/>
          <w:szCs w:val="24"/>
          <w:lang w:eastAsia="zh-CN"/>
        </w:rPr>
        <w:t>供应商</w:t>
      </w:r>
      <w:r>
        <w:rPr>
          <w:rFonts w:hint="eastAsia" w:ascii="宋体" w:hAnsi="宋体" w:eastAsia="宋体" w:cs="宋体"/>
          <w:bCs/>
          <w:sz w:val="24"/>
          <w:szCs w:val="24"/>
        </w:rPr>
        <w:t>应当按照</w:t>
      </w:r>
      <w:r>
        <w:rPr>
          <w:rFonts w:hint="eastAsia" w:ascii="宋体" w:hAnsi="宋体" w:eastAsia="宋体" w:cs="宋体"/>
          <w:bCs/>
          <w:sz w:val="24"/>
          <w:szCs w:val="24"/>
          <w:lang w:eastAsia="zh-CN"/>
        </w:rPr>
        <w:t>磋商文件</w:t>
      </w:r>
      <w:r>
        <w:rPr>
          <w:rFonts w:hint="eastAsia" w:ascii="宋体" w:hAnsi="宋体" w:eastAsia="宋体" w:cs="宋体"/>
          <w:bCs/>
          <w:sz w:val="24"/>
          <w:szCs w:val="24"/>
        </w:rPr>
        <w:t>和电子招标投标交易平台的要求加密</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，具体要求见</w:t>
      </w:r>
      <w:r>
        <w:rPr>
          <w:rFonts w:hint="eastAsia" w:ascii="宋体" w:hAnsi="宋体" w:eastAsia="宋体" w:cs="宋体"/>
          <w:bCs/>
          <w:sz w:val="24"/>
          <w:szCs w:val="24"/>
          <w:lang w:eastAsia="zh-CN"/>
        </w:rPr>
        <w:t>供应商</w:t>
      </w:r>
      <w:r>
        <w:rPr>
          <w:rFonts w:hint="eastAsia" w:ascii="宋体" w:hAnsi="宋体" w:eastAsia="宋体" w:cs="宋体"/>
          <w:bCs/>
          <w:sz w:val="24"/>
          <w:szCs w:val="24"/>
        </w:rPr>
        <w:t>须知前附表。</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rPr>
      </w:pPr>
      <w:r>
        <w:rPr>
          <w:rFonts w:hint="eastAsia" w:ascii="宋体" w:hAnsi="宋体" w:eastAsia="宋体" w:cs="宋体"/>
          <w:bCs/>
          <w:sz w:val="24"/>
          <w:szCs w:val="24"/>
        </w:rPr>
        <w:t>4.1.2 未按本章第 4.1.1 项要求</w:t>
      </w:r>
      <w:r>
        <w:rPr>
          <w:rFonts w:hint="eastAsia" w:ascii="宋体" w:hAnsi="宋体" w:eastAsia="宋体" w:cs="宋体"/>
          <w:bCs/>
          <w:sz w:val="24"/>
          <w:szCs w:val="24"/>
          <w:lang w:eastAsia="zh-CN"/>
        </w:rPr>
        <w:t>加密</w:t>
      </w:r>
      <w:r>
        <w:rPr>
          <w:rFonts w:hint="eastAsia" w:ascii="宋体" w:hAnsi="宋体" w:eastAsia="宋体" w:cs="宋体"/>
          <w:bCs/>
          <w:sz w:val="24"/>
          <w:szCs w:val="24"/>
        </w:rPr>
        <w:t>的</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w:t>
      </w:r>
      <w:r>
        <w:rPr>
          <w:rFonts w:hint="eastAsia" w:ascii="宋体" w:hAnsi="宋体" w:eastAsia="宋体" w:cs="宋体"/>
          <w:bCs/>
          <w:sz w:val="24"/>
          <w:szCs w:val="24"/>
          <w:lang w:eastAsia="zh-CN"/>
        </w:rPr>
        <w:t>采购人</w:t>
      </w:r>
      <w:r>
        <w:rPr>
          <w:rFonts w:hint="eastAsia" w:ascii="宋体" w:hAnsi="宋体" w:eastAsia="宋体" w:cs="宋体"/>
          <w:bCs/>
          <w:sz w:val="24"/>
          <w:szCs w:val="24"/>
        </w:rPr>
        <w:t>将予以拒收。</w:t>
      </w:r>
      <w:r>
        <w:rPr>
          <w:rFonts w:hint="eastAsia" w:ascii="宋体" w:hAnsi="宋体" w:eastAsia="宋体" w:cs="宋体"/>
          <w:bCs/>
          <w:sz w:val="24"/>
          <w:szCs w:val="24"/>
          <w:lang w:eastAsia="zh-CN"/>
        </w:rPr>
        <w:t>响应文件</w:t>
      </w:r>
      <w:r>
        <w:rPr>
          <w:rFonts w:hint="eastAsia" w:ascii="宋体" w:hAnsi="宋体" w:eastAsia="宋体" w:cs="宋体"/>
          <w:bCs/>
          <w:sz w:val="24"/>
          <w:szCs w:val="24"/>
        </w:rPr>
        <w:t>应独立制作。</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r>
        <w:rPr>
          <w:rFonts w:hint="eastAsia" w:ascii="宋体" w:hAnsi="宋体" w:eastAsia="宋体" w:cs="宋体"/>
          <w:b/>
          <w:bCs/>
          <w:sz w:val="28"/>
          <w:szCs w:val="28"/>
        </w:rPr>
        <w:t xml:space="preserve">4.2 </w:t>
      </w:r>
      <w:r>
        <w:rPr>
          <w:rFonts w:hint="eastAsia" w:ascii="宋体" w:hAnsi="宋体" w:eastAsia="宋体" w:cs="宋体"/>
          <w:b/>
          <w:bCs/>
          <w:sz w:val="28"/>
          <w:szCs w:val="28"/>
          <w:lang w:eastAsia="zh-CN"/>
        </w:rPr>
        <w:t>响应文件</w:t>
      </w:r>
      <w:r>
        <w:rPr>
          <w:rFonts w:hint="eastAsia" w:ascii="宋体" w:hAnsi="宋体" w:eastAsia="宋体" w:cs="宋体"/>
          <w:b/>
          <w:bCs/>
          <w:sz w:val="28"/>
          <w:szCs w:val="28"/>
        </w:rPr>
        <w:t>的递交</w:t>
      </w:r>
      <w:bookmarkEnd w:id="99"/>
      <w:bookmarkEnd w:id="100"/>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rPr>
          <w:rFonts w:hint="eastAsia" w:ascii="宋体" w:hAnsi="宋体" w:eastAsia="宋体" w:cs="宋体"/>
          <w:bCs/>
          <w:sz w:val="24"/>
          <w:szCs w:val="24"/>
          <w:lang w:val="zh-CN"/>
        </w:rPr>
      </w:pPr>
      <w:bookmarkStart w:id="101" w:name="_Toc29384678"/>
      <w:bookmarkStart w:id="102" w:name="_Toc31489"/>
      <w:r>
        <w:rPr>
          <w:rFonts w:hint="eastAsia" w:ascii="宋体" w:hAnsi="宋体" w:eastAsia="宋体" w:cs="宋体"/>
          <w:bCs/>
          <w:sz w:val="24"/>
          <w:szCs w:val="24"/>
          <w:lang w:val="zh-CN"/>
        </w:rPr>
        <w:t>4.2.1 供应商应在本章第</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zh-CN"/>
        </w:rPr>
        <w:t>2.2.2</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zh-CN"/>
        </w:rPr>
        <w:t>项规定的投标截止时间前递交响应文件。</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rPr>
          <w:rFonts w:hint="eastAsia" w:ascii="宋体" w:hAnsi="宋体" w:eastAsia="宋体" w:cs="宋体"/>
          <w:bCs/>
          <w:sz w:val="24"/>
          <w:szCs w:val="24"/>
          <w:lang w:val="zh-CN"/>
        </w:rPr>
      </w:pPr>
      <w:r>
        <w:rPr>
          <w:rFonts w:hint="eastAsia" w:ascii="宋体" w:hAnsi="宋体" w:eastAsia="宋体" w:cs="宋体"/>
          <w:bCs/>
          <w:sz w:val="24"/>
          <w:szCs w:val="24"/>
          <w:lang w:val="zh-CN"/>
        </w:rPr>
        <w:t>4.2.2 供应商递交响应文件的地点：见供应商须知前附表。</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rPr>
          <w:rFonts w:hint="eastAsia" w:ascii="宋体" w:hAnsi="宋体" w:eastAsia="宋体" w:cs="宋体"/>
          <w:bCs/>
          <w:sz w:val="24"/>
          <w:szCs w:val="24"/>
          <w:lang w:val="zh-CN"/>
        </w:rPr>
      </w:pPr>
      <w:r>
        <w:rPr>
          <w:rFonts w:hint="eastAsia" w:ascii="宋体" w:hAnsi="宋体" w:eastAsia="宋体" w:cs="宋体"/>
          <w:bCs/>
          <w:sz w:val="24"/>
          <w:szCs w:val="24"/>
          <w:lang w:val="zh-CN"/>
        </w:rPr>
        <w:t>4.2.3 除供应商须知前附表另有规定外，供应商所递交的响应文件不予退还。</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rPr>
          <w:rFonts w:hint="eastAsia" w:ascii="宋体" w:hAnsi="宋体" w:eastAsia="宋体" w:cs="宋体"/>
          <w:bCs/>
          <w:sz w:val="24"/>
          <w:szCs w:val="24"/>
          <w:lang w:val="zh-CN"/>
        </w:rPr>
      </w:pPr>
      <w:r>
        <w:rPr>
          <w:rFonts w:hint="eastAsia" w:ascii="宋体" w:hAnsi="宋体" w:eastAsia="宋体" w:cs="宋体"/>
          <w:bCs/>
          <w:sz w:val="24"/>
          <w:szCs w:val="24"/>
          <w:lang w:val="zh-CN"/>
        </w:rPr>
        <w:t>4.2.4 逾期递交上传或者未递交上传到指定地点的响应文件，采购人不予受理。</w:t>
      </w:r>
    </w:p>
    <w:p>
      <w:pPr>
        <w:pStyle w:val="5"/>
        <w:keepNext w:val="0"/>
        <w:keepLines w:val="0"/>
        <w:pageBreakBefore w:val="0"/>
        <w:widowControl w:val="0"/>
        <w:kinsoku/>
        <w:wordWrap w:val="0"/>
        <w:overflowPunct/>
        <w:topLinePunct w:val="0"/>
        <w:autoSpaceDE/>
        <w:autoSpaceDN/>
        <w:bidi w:val="0"/>
        <w:spacing w:before="0" w:after="0" w:line="440" w:lineRule="exact"/>
        <w:ind w:firstLine="0"/>
        <w:rPr>
          <w:rFonts w:hint="eastAsia" w:ascii="宋体" w:hAnsi="宋体" w:eastAsia="宋体" w:cs="宋体"/>
          <w:b/>
          <w:bCs/>
          <w:lang w:val="zh-CN"/>
        </w:rPr>
      </w:pPr>
      <w:r>
        <w:rPr>
          <w:rFonts w:hint="eastAsia" w:ascii="宋体" w:hAnsi="宋体" w:eastAsia="宋体" w:cs="宋体"/>
          <w:b/>
          <w:bCs/>
          <w:lang w:val="zh-CN"/>
        </w:rPr>
        <w:t>4.3 响应文件的修改与撤回</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rPr>
          <w:rFonts w:hint="eastAsia" w:ascii="宋体" w:hAnsi="宋体" w:eastAsia="宋体" w:cs="宋体"/>
          <w:bCs/>
          <w:sz w:val="24"/>
          <w:szCs w:val="24"/>
          <w:lang w:val="zh-CN"/>
        </w:rPr>
      </w:pPr>
      <w:r>
        <w:rPr>
          <w:rFonts w:hint="eastAsia" w:ascii="宋体" w:hAnsi="宋体" w:eastAsia="宋体" w:cs="宋体"/>
          <w:bCs/>
          <w:sz w:val="24"/>
          <w:szCs w:val="24"/>
          <w:lang w:val="zh-CN"/>
        </w:rPr>
        <w:t>4.3.1 在本章第 4.2.1 项规定的投标截止时间前，供应商可以修改或撤回已递交的响应文件，无需通知采购人。</w:t>
      </w:r>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rPr>
          <w:rFonts w:hint="eastAsia" w:ascii="宋体" w:hAnsi="宋体" w:eastAsia="宋体" w:cs="宋体"/>
          <w:bCs/>
          <w:sz w:val="24"/>
          <w:szCs w:val="24"/>
          <w:lang w:val="zh-CN"/>
        </w:rPr>
      </w:pPr>
      <w:r>
        <w:rPr>
          <w:rFonts w:hint="eastAsia" w:ascii="宋体" w:hAnsi="宋体" w:eastAsia="宋体" w:cs="宋体"/>
          <w:bCs/>
          <w:sz w:val="24"/>
          <w:szCs w:val="24"/>
          <w:lang w:val="zh-CN"/>
        </w:rPr>
        <w:t>4.3.2 修改的内容为响应文件的组成部分。修改的响应文件应按照本章第 3 条、第 4 条的规定进行编制、加密和递交上传。</w:t>
      </w:r>
    </w:p>
    <w:p>
      <w:pPr>
        <w:keepNext w:val="0"/>
        <w:keepLines w:val="0"/>
        <w:pageBreakBefore w:val="0"/>
        <w:widowControl w:val="0"/>
        <w:kinsoku/>
        <w:wordWrap w:val="0"/>
        <w:overflowPunct/>
        <w:topLinePunct w:val="0"/>
        <w:autoSpaceDE/>
        <w:autoSpaceDN/>
        <w:bidi w:val="0"/>
        <w:spacing w:before="0" w:after="0" w:line="440" w:lineRule="exact"/>
        <w:outlineLvl w:val="1"/>
        <w:rPr>
          <w:rFonts w:hint="eastAsia" w:ascii="宋体" w:hAnsi="宋体" w:eastAsia="宋体" w:cs="宋体"/>
          <w:b/>
          <w:bCs/>
          <w:sz w:val="32"/>
          <w:szCs w:val="32"/>
        </w:rPr>
      </w:pPr>
      <w:bookmarkStart w:id="103" w:name="_Toc25440"/>
      <w:r>
        <w:rPr>
          <w:rFonts w:hint="eastAsia" w:ascii="宋体" w:hAnsi="宋体" w:eastAsia="宋体" w:cs="宋体"/>
          <w:b/>
          <w:bCs/>
          <w:sz w:val="32"/>
          <w:szCs w:val="32"/>
        </w:rPr>
        <w:t>5.开标</w:t>
      </w:r>
      <w:bookmarkEnd w:id="101"/>
      <w:bookmarkEnd w:id="102"/>
      <w:bookmarkEnd w:id="103"/>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104" w:name="_Toc29384679"/>
      <w:bookmarkStart w:id="105" w:name="_Toc13933"/>
      <w:r>
        <w:rPr>
          <w:rFonts w:hint="eastAsia" w:ascii="宋体" w:hAnsi="宋体" w:eastAsia="宋体" w:cs="宋体"/>
          <w:b/>
          <w:bCs/>
          <w:sz w:val="28"/>
          <w:szCs w:val="28"/>
        </w:rPr>
        <w:t>5.1 开标时间和地点</w:t>
      </w:r>
      <w:bookmarkEnd w:id="104"/>
      <w:bookmarkEnd w:id="105"/>
    </w:p>
    <w:p>
      <w:pPr>
        <w:keepNext w:val="0"/>
        <w:keepLines w:val="0"/>
        <w:pageBreakBefore w:val="0"/>
        <w:widowControl w:val="0"/>
        <w:kinsoku/>
        <w:wordWrap w:val="0"/>
        <w:overflowPunct/>
        <w:topLinePunct w:val="0"/>
        <w:autoSpaceDE/>
        <w:autoSpaceDN/>
        <w:bidi w:val="0"/>
        <w:adjustRightInd w:val="0"/>
        <w:spacing w:line="440" w:lineRule="exact"/>
        <w:ind w:firstLine="480" w:firstLineChars="200"/>
        <w:jc w:val="left"/>
        <w:outlineLvl w:val="9"/>
        <w:rPr>
          <w:rFonts w:hint="eastAsia" w:ascii="宋体" w:hAnsi="宋体" w:eastAsia="宋体" w:cs="宋体"/>
          <w:bCs/>
          <w:sz w:val="24"/>
          <w:szCs w:val="24"/>
          <w:lang w:val="zh-CN"/>
        </w:rPr>
      </w:pPr>
      <w:bookmarkStart w:id="106" w:name="_Toc29384680"/>
      <w:bookmarkStart w:id="107" w:name="_Toc8977"/>
      <w:r>
        <w:rPr>
          <w:rFonts w:hint="eastAsia" w:ascii="宋体" w:hAnsi="宋体" w:eastAsia="宋体" w:cs="宋体"/>
          <w:bCs/>
          <w:sz w:val="24"/>
          <w:szCs w:val="24"/>
          <w:lang w:val="zh-CN"/>
        </w:rPr>
        <w:t>采购人在本章第</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zh-CN"/>
        </w:rPr>
        <w:t>2.2.2</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zh-CN"/>
        </w:rPr>
        <w:t>项规定的投标截止时间（开标时间）和供应商须知前附表规定的网址、地点通过电子招标投标交易平台公开开标，并邀请所有供应商的法定代表人或其委托代理人准时参加。</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r>
        <w:rPr>
          <w:rFonts w:hint="eastAsia" w:ascii="宋体" w:hAnsi="宋体" w:eastAsia="宋体" w:cs="宋体"/>
          <w:b/>
          <w:bCs/>
          <w:sz w:val="28"/>
          <w:szCs w:val="28"/>
        </w:rPr>
        <w:t>5.2 开标程序</w:t>
      </w:r>
      <w:bookmarkEnd w:id="106"/>
      <w:bookmarkEnd w:id="107"/>
    </w:p>
    <w:p>
      <w:pPr>
        <w:keepNext w:val="0"/>
        <w:keepLines w:val="0"/>
        <w:pageBreakBefore w:val="0"/>
        <w:widowControl w:val="0"/>
        <w:tabs>
          <w:tab w:val="left" w:pos="760"/>
        </w:tabs>
        <w:kinsoku/>
        <w:wordWrap w:val="0"/>
        <w:overflowPunct/>
        <w:topLinePunct w:val="0"/>
        <w:autoSpaceDE/>
        <w:autoSpaceDN/>
        <w:bidi w:val="0"/>
        <w:snapToGrid/>
        <w:spacing w:line="440" w:lineRule="exact"/>
        <w:ind w:firstLine="480" w:firstLineChars="200"/>
        <w:jc w:val="left"/>
        <w:textAlignment w:val="auto"/>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主持人按下列程序进行开标：</w:t>
      </w:r>
    </w:p>
    <w:p>
      <w:pPr>
        <w:keepNext w:val="0"/>
        <w:keepLines w:val="0"/>
        <w:pageBreakBefore w:val="0"/>
        <w:widowControl w:val="0"/>
        <w:tabs>
          <w:tab w:val="left" w:pos="760"/>
        </w:tabs>
        <w:kinsoku/>
        <w:wordWrap w:val="0"/>
        <w:overflowPunct/>
        <w:topLinePunct w:val="0"/>
        <w:autoSpaceDE/>
        <w:autoSpaceDN/>
        <w:bidi w:val="0"/>
        <w:snapToGrid/>
        <w:spacing w:line="440" w:lineRule="exact"/>
        <w:ind w:firstLine="480" w:firstLineChars="200"/>
        <w:jc w:val="left"/>
        <w:textAlignment w:val="auto"/>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（1）宣布开标纪律；</w:t>
      </w:r>
    </w:p>
    <w:p>
      <w:pPr>
        <w:keepNext w:val="0"/>
        <w:keepLines w:val="0"/>
        <w:pageBreakBefore w:val="0"/>
        <w:widowControl w:val="0"/>
        <w:tabs>
          <w:tab w:val="left" w:pos="760"/>
        </w:tabs>
        <w:kinsoku/>
        <w:wordWrap w:val="0"/>
        <w:overflowPunct/>
        <w:topLinePunct w:val="0"/>
        <w:autoSpaceDE/>
        <w:autoSpaceDN/>
        <w:bidi w:val="0"/>
        <w:snapToGrid/>
        <w:spacing w:line="440" w:lineRule="exact"/>
        <w:ind w:firstLine="480" w:firstLineChars="200"/>
        <w:jc w:val="left"/>
        <w:textAlignment w:val="auto"/>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（2）公布在投标截止时间前递交响应文件的供应商数量；</w:t>
      </w:r>
    </w:p>
    <w:p>
      <w:pPr>
        <w:keepNext w:val="0"/>
        <w:keepLines w:val="0"/>
        <w:pageBreakBefore w:val="0"/>
        <w:widowControl w:val="0"/>
        <w:tabs>
          <w:tab w:val="left" w:pos="760"/>
        </w:tabs>
        <w:kinsoku/>
        <w:wordWrap w:val="0"/>
        <w:overflowPunct/>
        <w:topLinePunct w:val="0"/>
        <w:autoSpaceDE/>
        <w:autoSpaceDN/>
        <w:bidi w:val="0"/>
        <w:snapToGrid/>
        <w:spacing w:line="440" w:lineRule="exact"/>
        <w:ind w:firstLine="480" w:firstLineChars="200"/>
        <w:jc w:val="left"/>
        <w:textAlignment w:val="auto"/>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（3）宣布开标人、唱标人、记录人、监标人等有关人员姓名；</w:t>
      </w:r>
    </w:p>
    <w:p>
      <w:pPr>
        <w:keepNext w:val="0"/>
        <w:keepLines w:val="0"/>
        <w:pageBreakBefore w:val="0"/>
        <w:widowControl w:val="0"/>
        <w:kinsoku/>
        <w:wordWrap w:val="0"/>
        <w:overflowPunct/>
        <w:topLinePunct w:val="0"/>
        <w:autoSpaceDE/>
        <w:autoSpaceDN/>
        <w:bidi w:val="0"/>
        <w:adjustRightInd w:val="0"/>
        <w:snapToGrid/>
        <w:spacing w:line="440" w:lineRule="exact"/>
        <w:ind w:firstLine="480" w:firstLineChars="200"/>
        <w:jc w:val="left"/>
        <w:textAlignment w:val="auto"/>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（4）按照供应商须知前附表的规定确定并宣布响应文件开标顺序；</w:t>
      </w:r>
    </w:p>
    <w:p>
      <w:pPr>
        <w:keepNext w:val="0"/>
        <w:keepLines w:val="0"/>
        <w:pageBreakBefore w:val="0"/>
        <w:widowControl w:val="0"/>
        <w:kinsoku/>
        <w:wordWrap w:val="0"/>
        <w:overflowPunct/>
        <w:topLinePunct w:val="0"/>
        <w:autoSpaceDE/>
        <w:autoSpaceDN/>
        <w:bidi w:val="0"/>
        <w:adjustRightInd w:val="0"/>
        <w:snapToGrid/>
        <w:spacing w:line="440" w:lineRule="exact"/>
        <w:ind w:firstLine="480" w:firstLineChars="200"/>
        <w:jc w:val="left"/>
        <w:textAlignment w:val="auto"/>
        <w:outlineLvl w:val="9"/>
        <w:rPr>
          <w:rFonts w:hint="eastAsia" w:ascii="宋体" w:hAnsi="宋体" w:eastAsia="宋体" w:cs="宋体"/>
          <w:bCs/>
          <w:sz w:val="24"/>
          <w:szCs w:val="24"/>
          <w:lang w:val="zh-CN"/>
        </w:rPr>
      </w:pPr>
      <w:bookmarkStart w:id="108" w:name="_Toc29722"/>
      <w:bookmarkStart w:id="109" w:name="_Toc29384681"/>
      <w:r>
        <w:rPr>
          <w:rFonts w:hint="eastAsia" w:ascii="宋体" w:hAnsi="宋体" w:eastAsia="宋体" w:cs="宋体"/>
          <w:bCs/>
          <w:sz w:val="24"/>
          <w:szCs w:val="24"/>
          <w:lang w:val="zh-CN"/>
        </w:rPr>
        <w:t>（5）设有标底的，公布标底；</w:t>
      </w:r>
    </w:p>
    <w:p>
      <w:pPr>
        <w:keepNext w:val="0"/>
        <w:keepLines w:val="0"/>
        <w:pageBreakBefore w:val="0"/>
        <w:widowControl w:val="0"/>
        <w:kinsoku/>
        <w:wordWrap w:val="0"/>
        <w:overflowPunct/>
        <w:topLinePunct w:val="0"/>
        <w:autoSpaceDE/>
        <w:autoSpaceDN/>
        <w:bidi w:val="0"/>
        <w:adjustRightInd w:val="0"/>
        <w:snapToGrid/>
        <w:spacing w:line="440" w:lineRule="exact"/>
        <w:ind w:firstLine="480" w:firstLineChars="200"/>
        <w:jc w:val="left"/>
        <w:textAlignment w:val="auto"/>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（6）按照宣布的开标顺序开标，公布供应商名称、磋商保证金的递交情况、投标报价、质量目标、工期及其他内容，并记录在案；</w:t>
      </w:r>
    </w:p>
    <w:p>
      <w:pPr>
        <w:keepNext w:val="0"/>
        <w:keepLines w:val="0"/>
        <w:pageBreakBefore w:val="0"/>
        <w:widowControl w:val="0"/>
        <w:kinsoku/>
        <w:wordWrap w:val="0"/>
        <w:overflowPunct/>
        <w:topLinePunct w:val="0"/>
        <w:autoSpaceDE/>
        <w:autoSpaceDN/>
        <w:bidi w:val="0"/>
        <w:adjustRightInd w:val="0"/>
        <w:snapToGrid/>
        <w:spacing w:line="440" w:lineRule="exact"/>
        <w:ind w:firstLine="480" w:firstLineChars="200"/>
        <w:jc w:val="left"/>
        <w:textAlignment w:val="auto"/>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（7）规定最高投标限价计算方法的，计算并公布最高投标限价；</w:t>
      </w:r>
    </w:p>
    <w:p>
      <w:pPr>
        <w:keepNext w:val="0"/>
        <w:keepLines w:val="0"/>
        <w:pageBreakBefore w:val="0"/>
        <w:widowControl w:val="0"/>
        <w:kinsoku/>
        <w:wordWrap w:val="0"/>
        <w:overflowPunct/>
        <w:topLinePunct w:val="0"/>
        <w:autoSpaceDE/>
        <w:autoSpaceDN/>
        <w:bidi w:val="0"/>
        <w:adjustRightInd w:val="0"/>
        <w:snapToGrid/>
        <w:spacing w:line="440" w:lineRule="exact"/>
        <w:ind w:firstLine="480" w:firstLineChars="200"/>
        <w:jc w:val="left"/>
        <w:textAlignment w:val="auto"/>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（8）采购人代表、监标人、记录人等有关人员在开标记录上签字确认；</w:t>
      </w:r>
    </w:p>
    <w:p>
      <w:pPr>
        <w:keepNext w:val="0"/>
        <w:keepLines w:val="0"/>
        <w:pageBreakBefore w:val="0"/>
        <w:widowControl w:val="0"/>
        <w:kinsoku/>
        <w:wordWrap w:val="0"/>
        <w:overflowPunct/>
        <w:topLinePunct w:val="0"/>
        <w:autoSpaceDE/>
        <w:autoSpaceDN/>
        <w:bidi w:val="0"/>
        <w:adjustRightInd w:val="0"/>
        <w:snapToGrid/>
        <w:spacing w:line="440" w:lineRule="exact"/>
        <w:ind w:firstLine="480" w:firstLineChars="200"/>
        <w:jc w:val="left"/>
        <w:textAlignment w:val="auto"/>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（9）开标结束。</w:t>
      </w:r>
    </w:p>
    <w:bookmarkEnd w:id="108"/>
    <w:bookmarkEnd w:id="109"/>
    <w:p>
      <w:pPr>
        <w:keepNext w:val="0"/>
        <w:keepLines w:val="0"/>
        <w:pageBreakBefore w:val="0"/>
        <w:widowControl w:val="0"/>
        <w:kinsoku/>
        <w:wordWrap w:val="0"/>
        <w:overflowPunct/>
        <w:topLinePunct w:val="0"/>
        <w:autoSpaceDE/>
        <w:autoSpaceDN/>
        <w:bidi w:val="0"/>
        <w:spacing w:before="0" w:after="0" w:line="440" w:lineRule="exact"/>
        <w:outlineLvl w:val="1"/>
        <w:rPr>
          <w:rFonts w:hint="eastAsia" w:ascii="宋体" w:hAnsi="宋体" w:eastAsia="宋体" w:cs="宋体"/>
          <w:b/>
          <w:bCs/>
          <w:sz w:val="32"/>
          <w:szCs w:val="32"/>
        </w:rPr>
      </w:pPr>
      <w:bookmarkStart w:id="110" w:name="_Toc8466"/>
      <w:bookmarkStart w:id="111" w:name="_Toc23129"/>
      <w:bookmarkStart w:id="112" w:name="_Toc29384682"/>
      <w:r>
        <w:rPr>
          <w:rFonts w:hint="eastAsia" w:ascii="宋体" w:hAnsi="宋体" w:eastAsia="宋体" w:cs="宋体"/>
          <w:b/>
          <w:bCs/>
          <w:sz w:val="32"/>
          <w:szCs w:val="32"/>
        </w:rPr>
        <w:t>6.评标</w:t>
      </w:r>
      <w:bookmarkEnd w:id="110"/>
      <w:bookmarkEnd w:id="111"/>
      <w:bookmarkEnd w:id="112"/>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eastAsia="zh-CN"/>
        </w:rPr>
      </w:pPr>
      <w:bookmarkStart w:id="113" w:name="_Toc19235"/>
      <w:bookmarkStart w:id="114" w:name="_Toc29384683"/>
      <w:r>
        <w:rPr>
          <w:rFonts w:hint="eastAsia" w:ascii="宋体" w:hAnsi="宋体" w:eastAsia="宋体" w:cs="宋体"/>
          <w:b/>
          <w:bCs/>
          <w:sz w:val="28"/>
          <w:szCs w:val="28"/>
        </w:rPr>
        <w:t xml:space="preserve">6.1 </w:t>
      </w:r>
      <w:bookmarkEnd w:id="113"/>
      <w:bookmarkEnd w:id="114"/>
      <w:r>
        <w:rPr>
          <w:rFonts w:hint="eastAsia" w:ascii="宋体" w:hAnsi="宋体" w:eastAsia="宋体" w:cs="宋体"/>
          <w:b/>
          <w:bCs/>
          <w:sz w:val="28"/>
          <w:szCs w:val="28"/>
          <w:lang w:eastAsia="zh-CN"/>
        </w:rPr>
        <w:t>磋商小组</w:t>
      </w:r>
    </w:p>
    <w:p>
      <w:pPr>
        <w:keepNext w:val="0"/>
        <w:keepLines w:val="0"/>
        <w:pageBreakBefore w:val="0"/>
        <w:widowControl w:val="0"/>
        <w:kinsoku/>
        <w:wordWrap w:val="0"/>
        <w:overflowPunct/>
        <w:topLinePunct w:val="0"/>
        <w:autoSpaceDE/>
        <w:autoSpaceDN/>
        <w:bidi w:val="0"/>
        <w:snapToGrid w:val="0"/>
        <w:spacing w:line="440" w:lineRule="exact"/>
        <w:ind w:firstLine="420"/>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评标由采购人依法组建的磋商小组负责。磋商小组由采购人或其委托的采购代理机构熟悉相关业务的代表，以及有关技术、经济等方面的专家组成（系统自动抽取）。磋商小组成员人数以及技术、经济等方面专家的确定方式见供应商须知前附表。</w:t>
      </w:r>
    </w:p>
    <w:p>
      <w:pPr>
        <w:keepNext w:val="0"/>
        <w:keepLines w:val="0"/>
        <w:pageBreakBefore w:val="0"/>
        <w:widowControl w:val="0"/>
        <w:kinsoku/>
        <w:wordWrap w:val="0"/>
        <w:overflowPunct/>
        <w:topLinePunct w:val="0"/>
        <w:autoSpaceDE/>
        <w:autoSpaceDN/>
        <w:bidi w:val="0"/>
        <w:snapToGrid w:val="0"/>
        <w:spacing w:line="440" w:lineRule="exact"/>
        <w:ind w:firstLine="420"/>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6.1.2 磋商小组成员有下列情形之一的，应当回避：</w:t>
      </w:r>
    </w:p>
    <w:p>
      <w:pPr>
        <w:keepNext w:val="0"/>
        <w:keepLines w:val="0"/>
        <w:pageBreakBefore w:val="0"/>
        <w:widowControl w:val="0"/>
        <w:kinsoku/>
        <w:wordWrap w:val="0"/>
        <w:overflowPunct/>
        <w:topLinePunct w:val="0"/>
        <w:autoSpaceDE/>
        <w:autoSpaceDN/>
        <w:bidi w:val="0"/>
        <w:snapToGrid w:val="0"/>
        <w:spacing w:line="440" w:lineRule="exact"/>
        <w:ind w:firstLine="420"/>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(1）采购人或供应商的主要负责人的近亲属；</w:t>
      </w:r>
    </w:p>
    <w:p>
      <w:pPr>
        <w:keepNext w:val="0"/>
        <w:keepLines w:val="0"/>
        <w:pageBreakBefore w:val="0"/>
        <w:widowControl w:val="0"/>
        <w:kinsoku/>
        <w:wordWrap w:val="0"/>
        <w:overflowPunct/>
        <w:topLinePunct w:val="0"/>
        <w:autoSpaceDE/>
        <w:autoSpaceDN/>
        <w:bidi w:val="0"/>
        <w:snapToGrid w:val="0"/>
        <w:spacing w:line="440" w:lineRule="exact"/>
        <w:ind w:firstLine="420"/>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(2）项目主管部门或者行政监督部门的人员：</w:t>
      </w:r>
    </w:p>
    <w:p>
      <w:pPr>
        <w:keepNext w:val="0"/>
        <w:keepLines w:val="0"/>
        <w:pageBreakBefore w:val="0"/>
        <w:widowControl w:val="0"/>
        <w:kinsoku/>
        <w:wordWrap w:val="0"/>
        <w:overflowPunct/>
        <w:topLinePunct w:val="0"/>
        <w:autoSpaceDE/>
        <w:autoSpaceDN/>
        <w:bidi w:val="0"/>
        <w:snapToGrid w:val="0"/>
        <w:spacing w:line="440" w:lineRule="exact"/>
        <w:ind w:firstLine="420"/>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(3）与供应商有经济利益关系，可能影响对投标公正评审的；</w:t>
      </w:r>
    </w:p>
    <w:p>
      <w:pPr>
        <w:keepNext w:val="0"/>
        <w:keepLines w:val="0"/>
        <w:pageBreakBefore w:val="0"/>
        <w:widowControl w:val="0"/>
        <w:kinsoku/>
        <w:wordWrap w:val="0"/>
        <w:overflowPunct/>
        <w:topLinePunct w:val="0"/>
        <w:autoSpaceDE/>
        <w:autoSpaceDN/>
        <w:bidi w:val="0"/>
        <w:snapToGrid w:val="0"/>
        <w:spacing w:line="440" w:lineRule="exact"/>
        <w:ind w:firstLine="420"/>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(4）曾因在招标、评标以及其他与招标投标有关活动中从事违法行为而受过行政处罚或刑事处罚的。</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sz w:val="28"/>
          <w:szCs w:val="28"/>
        </w:rPr>
      </w:pPr>
      <w:bookmarkStart w:id="115" w:name="_Toc18039"/>
      <w:bookmarkStart w:id="116" w:name="_Toc29384684"/>
      <w:r>
        <w:rPr>
          <w:rFonts w:hint="eastAsia" w:ascii="宋体" w:hAnsi="宋体" w:eastAsia="宋体" w:cs="宋体"/>
          <w:b/>
          <w:bCs/>
          <w:sz w:val="28"/>
          <w:szCs w:val="28"/>
        </w:rPr>
        <w:t>6.2 评标原则</w:t>
      </w:r>
      <w:bookmarkEnd w:id="115"/>
      <w:bookmarkEnd w:id="116"/>
    </w:p>
    <w:p>
      <w:pPr>
        <w:keepNext w:val="0"/>
        <w:keepLines w:val="0"/>
        <w:pageBreakBefore w:val="0"/>
        <w:widowControl w:val="0"/>
        <w:kinsoku/>
        <w:wordWrap w:val="0"/>
        <w:overflowPunct/>
        <w:topLinePunct w:val="0"/>
        <w:autoSpaceDE/>
        <w:autoSpaceDN/>
        <w:bidi w:val="0"/>
        <w:spacing w:line="440" w:lineRule="exact"/>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评标活动遵循公平、公正、科学和择优的原则。</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117" w:name="_Toc29384685"/>
      <w:bookmarkStart w:id="118" w:name="_Toc662"/>
      <w:r>
        <w:rPr>
          <w:rFonts w:hint="eastAsia" w:ascii="宋体" w:hAnsi="宋体" w:eastAsia="宋体" w:cs="宋体"/>
          <w:b/>
          <w:bCs/>
          <w:sz w:val="28"/>
          <w:szCs w:val="28"/>
        </w:rPr>
        <w:t>6.3 评标</w:t>
      </w:r>
      <w:bookmarkEnd w:id="117"/>
      <w:bookmarkEnd w:id="118"/>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磋商小组按照第三章“评标办法”规定的方法、评审因素、标准和程序对响应文件进行评审。第三章“评标办法”没有规定的方法、评审因素和标准，不作为评标依据。</w:t>
      </w:r>
    </w:p>
    <w:p>
      <w:pPr>
        <w:keepNext w:val="0"/>
        <w:keepLines w:val="0"/>
        <w:pageBreakBefore w:val="0"/>
        <w:widowControl w:val="0"/>
        <w:kinsoku/>
        <w:wordWrap w:val="0"/>
        <w:overflowPunct/>
        <w:topLinePunct w:val="0"/>
        <w:autoSpaceDE/>
        <w:autoSpaceDN/>
        <w:bidi w:val="0"/>
        <w:spacing w:before="0" w:after="0" w:line="440" w:lineRule="exact"/>
        <w:outlineLvl w:val="1"/>
        <w:rPr>
          <w:rFonts w:hint="eastAsia" w:ascii="宋体" w:hAnsi="宋体" w:eastAsia="宋体" w:cs="宋体"/>
          <w:b/>
          <w:bCs/>
          <w:sz w:val="32"/>
          <w:szCs w:val="32"/>
        </w:rPr>
      </w:pPr>
      <w:bookmarkStart w:id="119" w:name="_Toc21810"/>
      <w:bookmarkStart w:id="120" w:name="_Toc29384686"/>
      <w:bookmarkStart w:id="121" w:name="_Toc13270"/>
      <w:r>
        <w:rPr>
          <w:rFonts w:hint="eastAsia" w:ascii="宋体" w:hAnsi="宋体" w:eastAsia="宋体" w:cs="宋体"/>
          <w:b/>
          <w:bCs/>
          <w:sz w:val="32"/>
          <w:szCs w:val="32"/>
        </w:rPr>
        <w:t>7.合同授予</w:t>
      </w:r>
      <w:bookmarkEnd w:id="119"/>
      <w:bookmarkEnd w:id="120"/>
      <w:bookmarkEnd w:id="121"/>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122" w:name="_Toc29384687"/>
      <w:bookmarkStart w:id="123" w:name="_Toc24427"/>
      <w:r>
        <w:rPr>
          <w:rFonts w:hint="eastAsia" w:ascii="宋体" w:hAnsi="宋体" w:eastAsia="宋体" w:cs="宋体"/>
          <w:b/>
          <w:bCs/>
          <w:sz w:val="28"/>
          <w:szCs w:val="28"/>
        </w:rPr>
        <w:t>7.1 定标方式</w:t>
      </w:r>
    </w:p>
    <w:p>
      <w:pPr>
        <w:keepNext w:val="0"/>
        <w:keepLines w:val="0"/>
        <w:pageBreakBefore w:val="0"/>
        <w:widowControl w:val="0"/>
        <w:kinsoku/>
        <w:wordWrap w:val="0"/>
        <w:overflowPunct/>
        <w:topLinePunct w:val="0"/>
        <w:autoSpaceDE/>
        <w:autoSpaceDN/>
        <w:bidi w:val="0"/>
        <w:adjustRightInd/>
        <w:snapToGrid/>
        <w:spacing w:before="0" w:after="0" w:line="440" w:lineRule="exact"/>
        <w:ind w:firstLine="480" w:firstLineChars="200"/>
        <w:textAlignment w:val="auto"/>
        <w:outlineLvl w:val="9"/>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除供应商须知前附表规定磋商小组直接确定成交供应商外，采购人依据磋商小组推荐的成交候选供应商确定成交供应商，磋商小组推荐成交候选供应商的人数见供应商须知前附表。</w:t>
      </w:r>
    </w:p>
    <w:p>
      <w:pPr>
        <w:keepNext w:val="0"/>
        <w:keepLines w:val="0"/>
        <w:pageBreakBefore w:val="0"/>
        <w:widowControl w:val="0"/>
        <w:tabs>
          <w:tab w:val="left" w:pos="760"/>
        </w:tabs>
        <w:kinsoku/>
        <w:wordWrap w:val="0"/>
        <w:overflowPunct/>
        <w:topLinePunct w:val="0"/>
        <w:autoSpaceDE/>
        <w:autoSpaceDN/>
        <w:bidi w:val="0"/>
        <w:spacing w:line="440" w:lineRule="exact"/>
        <w:jc w:val="left"/>
        <w:outlineLvl w:val="9"/>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7.2 </w:t>
      </w:r>
      <w:bookmarkEnd w:id="122"/>
      <w:bookmarkEnd w:id="123"/>
      <w:bookmarkStart w:id="124" w:name="_Toc10234"/>
      <w:bookmarkStart w:id="125" w:name="_Toc29384691"/>
      <w:r>
        <w:rPr>
          <w:rFonts w:hint="eastAsia" w:ascii="宋体" w:hAnsi="宋体" w:eastAsia="宋体" w:cs="宋体"/>
          <w:b/>
          <w:bCs/>
          <w:sz w:val="28"/>
          <w:szCs w:val="28"/>
        </w:rPr>
        <w:t>中标通知</w:t>
      </w:r>
      <w:bookmarkEnd w:id="124"/>
      <w:bookmarkEnd w:id="125"/>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在本章第3.3款规定的投标有效期内，采购人以书面形式向成交供应商发出成交通知书，同时将中标结果通知未中标的供应商。</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Cs/>
          <w:sz w:val="28"/>
          <w:szCs w:val="28"/>
          <w:lang w:val="zh-CN"/>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 xml:space="preserve"> 履约担保</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7.</w:t>
      </w:r>
      <w:r>
        <w:rPr>
          <w:rFonts w:hint="eastAsia" w:ascii="宋体" w:hAnsi="宋体" w:eastAsia="宋体" w:cs="宋体"/>
          <w:bCs/>
          <w:sz w:val="24"/>
          <w:szCs w:val="24"/>
          <w:lang w:val="en-US" w:eastAsia="zh-CN"/>
        </w:rPr>
        <w:t>3</w:t>
      </w:r>
      <w:r>
        <w:rPr>
          <w:rFonts w:hint="eastAsia" w:ascii="宋体" w:hAnsi="宋体" w:eastAsia="宋体" w:cs="宋体"/>
          <w:bCs/>
          <w:sz w:val="24"/>
          <w:szCs w:val="24"/>
          <w:lang w:val="zh-CN"/>
        </w:rPr>
        <w:t>.1 在签订合同前，成交供应商应按供应商须知前附表规定的金额、担保形式和磋商文件第四章“合同条款及格式”规定的履约担保格式向采购人提交履约担保。联合体中标的，其履约担保由牵头人递交，并应符合供应商须知前附表规定的金额、担保形式和磋商文件第四章“合同条款及格式”规定的履约担保格式要求。</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7.</w:t>
      </w:r>
      <w:r>
        <w:rPr>
          <w:rFonts w:hint="eastAsia" w:ascii="宋体" w:hAnsi="宋体" w:eastAsia="宋体" w:cs="宋体"/>
          <w:bCs/>
          <w:sz w:val="24"/>
          <w:szCs w:val="24"/>
          <w:lang w:val="en-US" w:eastAsia="zh-CN" w:bidi="ar-SA"/>
        </w:rPr>
        <w:t>3</w:t>
      </w:r>
      <w:r>
        <w:rPr>
          <w:rFonts w:hint="eastAsia" w:ascii="宋体" w:hAnsi="宋体" w:eastAsia="宋体" w:cs="宋体"/>
          <w:bCs/>
          <w:sz w:val="24"/>
          <w:szCs w:val="24"/>
          <w:lang w:val="zh-CN" w:eastAsia="zh-CN" w:bidi="ar-SA"/>
        </w:rPr>
        <w:t>.2 成交供应商不能按本章第</w:t>
      </w:r>
      <w:r>
        <w:rPr>
          <w:rFonts w:hint="eastAsia" w:ascii="宋体" w:hAnsi="宋体" w:eastAsia="宋体" w:cs="宋体"/>
          <w:bCs/>
          <w:sz w:val="24"/>
          <w:szCs w:val="24"/>
          <w:lang w:val="en-US" w:eastAsia="zh-CN" w:bidi="ar-SA"/>
        </w:rPr>
        <w:t xml:space="preserve"> </w:t>
      </w:r>
      <w:r>
        <w:rPr>
          <w:rFonts w:hint="eastAsia" w:ascii="宋体" w:hAnsi="宋体" w:eastAsia="宋体" w:cs="宋体"/>
          <w:bCs/>
          <w:sz w:val="24"/>
          <w:szCs w:val="24"/>
          <w:lang w:val="zh-CN" w:eastAsia="zh-CN" w:bidi="ar-SA"/>
        </w:rPr>
        <w:t>7.</w:t>
      </w:r>
      <w:r>
        <w:rPr>
          <w:rFonts w:hint="eastAsia" w:ascii="宋体" w:hAnsi="宋体" w:eastAsia="宋体" w:cs="宋体"/>
          <w:bCs/>
          <w:sz w:val="24"/>
          <w:szCs w:val="24"/>
          <w:lang w:val="en-US" w:eastAsia="zh-CN" w:bidi="ar-SA"/>
        </w:rPr>
        <w:t>3</w:t>
      </w:r>
      <w:r>
        <w:rPr>
          <w:rFonts w:hint="eastAsia" w:ascii="宋体" w:hAnsi="宋体" w:eastAsia="宋体" w:cs="宋体"/>
          <w:bCs/>
          <w:sz w:val="24"/>
          <w:szCs w:val="24"/>
          <w:lang w:val="zh-CN" w:eastAsia="zh-CN" w:bidi="ar-SA"/>
        </w:rPr>
        <w:t>.1 项要求提交履约担保的，视为放弃中标，其磋商保证金不予退还，给采购人造成的损失超过磋商保证金数额的，成交供应商还应当对超过部分予以赔偿。</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rPr>
      </w:pPr>
      <w:bookmarkStart w:id="126" w:name="_Toc29384694"/>
      <w:bookmarkStart w:id="127" w:name="_Toc30376"/>
      <w:r>
        <w:rPr>
          <w:rFonts w:hint="eastAsia" w:ascii="宋体" w:hAnsi="宋体" w:eastAsia="宋体" w:cs="宋体"/>
          <w:b/>
          <w:bCs/>
          <w:sz w:val="28"/>
          <w:szCs w:val="28"/>
        </w:rPr>
        <w:t>7.</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 xml:space="preserve"> 签订合同</w:t>
      </w:r>
      <w:bookmarkEnd w:id="126"/>
      <w:bookmarkEnd w:id="127"/>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7.</w:t>
      </w:r>
      <w:r>
        <w:rPr>
          <w:rFonts w:hint="eastAsia" w:ascii="宋体" w:hAnsi="宋体" w:eastAsia="宋体" w:cs="宋体"/>
          <w:bCs/>
          <w:sz w:val="24"/>
          <w:szCs w:val="24"/>
          <w:lang w:val="en-US" w:eastAsia="zh-CN"/>
        </w:rPr>
        <w:t>4.</w:t>
      </w:r>
      <w:r>
        <w:rPr>
          <w:rFonts w:hint="eastAsia" w:ascii="宋体" w:hAnsi="宋体" w:eastAsia="宋体" w:cs="宋体"/>
          <w:bCs/>
          <w:sz w:val="24"/>
          <w:szCs w:val="24"/>
          <w:lang w:val="zh-CN"/>
        </w:rPr>
        <w:t>1 采购人和成交供应商应当自成交通知书发出之日起30 天内，根据磋商文件和成交供应商的响应文件订立书面合同，同时上传至吉林市</w:t>
      </w:r>
      <w:r>
        <w:rPr>
          <w:rFonts w:hint="eastAsia" w:ascii="宋体" w:hAnsi="宋体" w:eastAsia="宋体" w:cs="宋体"/>
          <w:color w:val="auto"/>
          <w:sz w:val="24"/>
          <w:szCs w:val="24"/>
          <w:lang w:val="en-US" w:eastAsia="zh-CN"/>
        </w:rPr>
        <w:t>政采云平台</w:t>
      </w:r>
      <w:r>
        <w:rPr>
          <w:rFonts w:hint="eastAsia" w:ascii="宋体" w:hAnsi="宋体" w:eastAsia="宋体" w:cs="宋体"/>
          <w:bCs/>
          <w:sz w:val="24"/>
          <w:szCs w:val="24"/>
          <w:lang w:val="zh-CN"/>
        </w:rPr>
        <w:t>、吉林市住房和城乡建设局网站上发布。成交供应商无正当理由拒签合同的，采购人取消其中标资格，其磋商保证金不予退还；给采购人造成的损失超过磋商保证金数额的，成交供应商还应当对超过部分予以赔偿。</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7</w:t>
      </w:r>
      <w:r>
        <w:rPr>
          <w:rFonts w:hint="eastAsia" w:ascii="宋体" w:hAnsi="宋体" w:eastAsia="宋体" w:cs="宋体"/>
          <w:bCs/>
          <w:sz w:val="24"/>
          <w:szCs w:val="24"/>
          <w:lang w:val="en-US" w:eastAsia="zh-CN"/>
        </w:rPr>
        <w:t>.4</w:t>
      </w:r>
      <w:r>
        <w:rPr>
          <w:rFonts w:hint="eastAsia" w:ascii="宋体" w:hAnsi="宋体" w:eastAsia="宋体" w:cs="宋体"/>
          <w:bCs/>
          <w:sz w:val="24"/>
          <w:szCs w:val="24"/>
          <w:lang w:val="zh-CN"/>
        </w:rPr>
        <w:t>.2 发出成交通知书后，采购人无正当理由拒签合同的，采购人向成交供应商退还磋商保证金；给成交供应商造成损失的，还应当赔偿损失。</w:t>
      </w:r>
    </w:p>
    <w:p>
      <w:pPr>
        <w:keepNext w:val="0"/>
        <w:keepLines w:val="0"/>
        <w:pageBreakBefore w:val="0"/>
        <w:widowControl w:val="0"/>
        <w:kinsoku/>
        <w:wordWrap w:val="0"/>
        <w:overflowPunct/>
        <w:topLinePunct w:val="0"/>
        <w:autoSpaceDE/>
        <w:autoSpaceDN/>
        <w:bidi w:val="0"/>
        <w:spacing w:before="0" w:after="0" w:line="440" w:lineRule="exact"/>
        <w:outlineLvl w:val="1"/>
        <w:rPr>
          <w:rFonts w:hint="eastAsia" w:ascii="宋体" w:hAnsi="宋体" w:eastAsia="宋体" w:cs="宋体"/>
          <w:b/>
          <w:bCs/>
          <w:sz w:val="32"/>
          <w:szCs w:val="32"/>
          <w:lang w:val="zh-CN"/>
        </w:rPr>
      </w:pPr>
      <w:bookmarkStart w:id="128" w:name="_Toc25866"/>
      <w:r>
        <w:rPr>
          <w:rFonts w:hint="eastAsia" w:ascii="宋体" w:hAnsi="宋体" w:eastAsia="宋体" w:cs="宋体"/>
          <w:b/>
          <w:bCs/>
          <w:sz w:val="32"/>
          <w:szCs w:val="32"/>
          <w:lang w:val="zh-CN"/>
        </w:rPr>
        <w:t>8</w:t>
      </w:r>
      <w:r>
        <w:rPr>
          <w:rFonts w:hint="eastAsia" w:ascii="宋体" w:hAnsi="宋体" w:eastAsia="宋体" w:cs="宋体"/>
          <w:b/>
          <w:bCs/>
          <w:sz w:val="32"/>
          <w:szCs w:val="32"/>
        </w:rPr>
        <w:t>.</w:t>
      </w:r>
      <w:r>
        <w:rPr>
          <w:rFonts w:hint="eastAsia" w:ascii="宋体" w:hAnsi="宋体" w:eastAsia="宋体" w:cs="宋体"/>
          <w:b/>
          <w:bCs/>
          <w:sz w:val="32"/>
          <w:szCs w:val="32"/>
          <w:lang w:val="zh-CN"/>
        </w:rPr>
        <w:t>重新招标和不再招标</w:t>
      </w:r>
      <w:bookmarkEnd w:id="128"/>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val="zh-CN"/>
        </w:rPr>
      </w:pPr>
      <w:r>
        <w:rPr>
          <w:rFonts w:hint="eastAsia" w:ascii="宋体" w:hAnsi="宋体" w:eastAsia="宋体" w:cs="宋体"/>
          <w:b/>
          <w:bCs/>
          <w:sz w:val="28"/>
          <w:szCs w:val="28"/>
          <w:lang w:val="zh-CN"/>
        </w:rPr>
        <w:t>8.1 重新招标</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有下列情形之一的，采购人将重新招标：</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(l）投标截止时间止，供应商少于</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zh-CN"/>
        </w:rPr>
        <w:t>3 个的；</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(2）经磋商小组评审后否决所有投标的。</w:t>
      </w:r>
    </w:p>
    <w:p>
      <w:pPr>
        <w:keepNext w:val="0"/>
        <w:keepLines w:val="0"/>
        <w:pageBreakBefore w:val="0"/>
        <w:widowControl w:val="0"/>
        <w:kinsoku/>
        <w:wordWrap w:val="0"/>
        <w:overflowPunct/>
        <w:topLinePunct w:val="0"/>
        <w:autoSpaceDE/>
        <w:autoSpaceDN/>
        <w:bidi w:val="0"/>
        <w:spacing w:before="0" w:after="0" w:line="440" w:lineRule="exact"/>
        <w:ind w:firstLine="51"/>
        <w:outlineLvl w:val="9"/>
        <w:rPr>
          <w:rFonts w:hint="eastAsia" w:ascii="宋体" w:hAnsi="宋体" w:eastAsia="宋体" w:cs="宋体"/>
          <w:b/>
          <w:bCs/>
          <w:sz w:val="28"/>
          <w:szCs w:val="28"/>
          <w:lang w:val="zh-CN"/>
        </w:rPr>
      </w:pPr>
      <w:r>
        <w:rPr>
          <w:rFonts w:hint="eastAsia" w:ascii="宋体" w:hAnsi="宋体" w:eastAsia="宋体" w:cs="宋体"/>
          <w:b/>
          <w:bCs/>
          <w:sz w:val="28"/>
          <w:szCs w:val="28"/>
          <w:lang w:val="zh-CN"/>
        </w:rPr>
        <w:t>8.2 不再招标</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提交响应文件的供应商少于三个的，采购人应当依法重新招标。重新招标后供应商仍少于三个的，属于必须审批的工程</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"https://www.baidu.com/s?wd=%E5%BB%BA%E8%AE%BE%E9%A1%B9%E7%9B%AE&amp;tn=SE_PcZhidaonwhc_ngpagmjz&amp;rsv_dl=gh_pc_zhidao"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zh-CN"/>
        </w:rPr>
        <w:t>建设项目</w:t>
      </w:r>
      <w:r>
        <w:rPr>
          <w:rFonts w:hint="eastAsia" w:ascii="宋体" w:hAnsi="宋体" w:eastAsia="宋体" w:cs="宋体"/>
          <w:bCs/>
          <w:sz w:val="24"/>
          <w:szCs w:val="24"/>
          <w:lang w:val="zh-CN"/>
        </w:rPr>
        <w:fldChar w:fldCharType="end"/>
      </w:r>
      <w:r>
        <w:rPr>
          <w:rFonts w:hint="eastAsia" w:ascii="宋体" w:hAnsi="宋体" w:eastAsia="宋体" w:cs="宋体"/>
          <w:bCs/>
          <w:sz w:val="24"/>
          <w:szCs w:val="24"/>
          <w:lang w:val="zh-CN"/>
        </w:rPr>
        <w:t>，报经原审批部门批准后可以不再进行招标；其他工程</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"https://www.baidu.com/s?wd=%E5%BB%BA%E8%AE%BE%E9%A1%B9%E7%9B%AE&amp;tn=SE_PcZhidaonwhc_ngpagmjz&amp;rsv_dl=gh_pc_zhidao"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zh-CN"/>
        </w:rPr>
        <w:t>建设项目</w:t>
      </w:r>
      <w:r>
        <w:rPr>
          <w:rFonts w:hint="eastAsia" w:ascii="宋体" w:hAnsi="宋体" w:eastAsia="宋体" w:cs="宋体"/>
          <w:bCs/>
          <w:sz w:val="24"/>
          <w:szCs w:val="24"/>
          <w:lang w:val="zh-CN"/>
        </w:rPr>
        <w:fldChar w:fldCharType="end"/>
      </w:r>
      <w:r>
        <w:rPr>
          <w:rFonts w:hint="eastAsia" w:ascii="宋体" w:hAnsi="宋体" w:eastAsia="宋体" w:cs="宋体"/>
          <w:bCs/>
          <w:sz w:val="24"/>
          <w:szCs w:val="24"/>
          <w:lang w:val="zh-CN"/>
        </w:rPr>
        <w:t>，采购人可自行决定不再进行招标。</w:t>
      </w:r>
    </w:p>
    <w:p>
      <w:pPr>
        <w:keepNext w:val="0"/>
        <w:keepLines w:val="0"/>
        <w:pageBreakBefore w:val="0"/>
        <w:widowControl w:val="0"/>
        <w:kinsoku/>
        <w:wordWrap w:val="0"/>
        <w:overflowPunct/>
        <w:topLinePunct w:val="0"/>
        <w:autoSpaceDE/>
        <w:autoSpaceDN/>
        <w:bidi w:val="0"/>
        <w:spacing w:before="0" w:after="0" w:line="440" w:lineRule="exact"/>
        <w:outlineLvl w:val="1"/>
        <w:rPr>
          <w:rFonts w:hint="eastAsia" w:ascii="宋体" w:hAnsi="宋体" w:eastAsia="宋体" w:cs="宋体"/>
          <w:b/>
          <w:bCs/>
          <w:sz w:val="32"/>
          <w:szCs w:val="32"/>
          <w:lang w:val="zh-CN"/>
        </w:rPr>
      </w:pPr>
      <w:bookmarkStart w:id="129" w:name="_Toc5449"/>
      <w:r>
        <w:rPr>
          <w:rFonts w:hint="eastAsia" w:ascii="宋体" w:hAnsi="宋体" w:eastAsia="宋体" w:cs="宋体"/>
          <w:b/>
          <w:bCs/>
          <w:sz w:val="32"/>
          <w:szCs w:val="32"/>
          <w:lang w:val="zh-CN"/>
        </w:rPr>
        <w:t>9</w:t>
      </w:r>
      <w:r>
        <w:rPr>
          <w:rFonts w:hint="eastAsia" w:ascii="宋体" w:hAnsi="宋体" w:eastAsia="宋体" w:cs="宋体"/>
          <w:b/>
          <w:bCs/>
          <w:sz w:val="32"/>
          <w:szCs w:val="32"/>
        </w:rPr>
        <w:t>.</w:t>
      </w:r>
      <w:r>
        <w:rPr>
          <w:rFonts w:hint="eastAsia" w:ascii="宋体" w:hAnsi="宋体" w:eastAsia="宋体" w:cs="宋体"/>
          <w:b/>
          <w:bCs/>
          <w:sz w:val="32"/>
          <w:szCs w:val="32"/>
          <w:lang w:val="zh-CN"/>
        </w:rPr>
        <w:t>纪律和监督</w:t>
      </w:r>
      <w:bookmarkEnd w:id="129"/>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val="zh-CN"/>
        </w:rPr>
      </w:pPr>
      <w:r>
        <w:rPr>
          <w:rFonts w:hint="eastAsia" w:ascii="宋体" w:hAnsi="宋体" w:eastAsia="宋体" w:cs="宋体"/>
          <w:b/>
          <w:bCs/>
          <w:sz w:val="28"/>
          <w:szCs w:val="28"/>
          <w:lang w:val="zh-CN"/>
        </w:rPr>
        <w:t>9.1 对采购人的纪律要求</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采购人不得泄漏招标投标活动中应当保密的情况和资料，不得与供应商串通损害国家利益、社会公共利益或者他人合法权益。</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val="zh-CN"/>
        </w:rPr>
      </w:pPr>
      <w:r>
        <w:rPr>
          <w:rFonts w:hint="eastAsia" w:ascii="宋体" w:hAnsi="宋体" w:eastAsia="宋体" w:cs="宋体"/>
          <w:b/>
          <w:bCs/>
          <w:sz w:val="28"/>
          <w:szCs w:val="28"/>
          <w:lang w:val="zh-CN"/>
        </w:rPr>
        <w:t>9.2 对供应商的纪律要求</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供应商不得相互串通投标或者与采购人串通投标，不得向采购人或者磋商小组成员行贿谋取中标，不得以他人名义投标或者以其他方式弄虚作假骗取中标；供应商不得以任何方式干扰、影响评标工作；供应商在项目评审结束前必须保证不见面开标电脑的人员全程职守。</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val="zh-CN"/>
        </w:rPr>
      </w:pPr>
      <w:r>
        <w:rPr>
          <w:rFonts w:hint="eastAsia" w:ascii="宋体" w:hAnsi="宋体" w:eastAsia="宋体" w:cs="宋体"/>
          <w:b/>
          <w:bCs/>
          <w:sz w:val="28"/>
          <w:szCs w:val="28"/>
          <w:lang w:val="zh-CN"/>
        </w:rPr>
        <w:t>9.3 对磋商小组成员的纪律要求</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磋商小组成员不得收受他人的财物或者其他好处，不得向他人透漏对响应文件的评审和比较、成交候选供应商的推荐情况以及评标有关的其他情况。在评标活动中，磋商小组成员不得擅离职守，影响评标程序正常进行，不得使用第三章“评标办法”没有规定的评审因素和标准进行评标。</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val="zh-CN"/>
        </w:rPr>
      </w:pPr>
      <w:r>
        <w:rPr>
          <w:rFonts w:hint="eastAsia" w:ascii="宋体" w:hAnsi="宋体" w:eastAsia="宋体" w:cs="宋体"/>
          <w:b/>
          <w:bCs/>
          <w:sz w:val="28"/>
          <w:szCs w:val="28"/>
          <w:lang w:val="zh-CN"/>
        </w:rPr>
        <w:t>9.4 对与评标活动有关的工作人员的纪律要求</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与评标活动有关的工作人员不得收受他人的财物或者其他好处，不得向他人透漏对响应文件的评审和比较、成交候选供应商的推荐情况以及评标有关的其他情况。在评标活动中，与评标活动有关的工作人员不得擅离职守，影响评标程序正常进行。</w:t>
      </w:r>
    </w:p>
    <w:p>
      <w:pPr>
        <w:keepNext w:val="0"/>
        <w:keepLines w:val="0"/>
        <w:pageBreakBefore w:val="0"/>
        <w:widowControl w:val="0"/>
        <w:kinsoku/>
        <w:wordWrap w:val="0"/>
        <w:overflowPunct/>
        <w:topLinePunct w:val="0"/>
        <w:autoSpaceDE/>
        <w:autoSpaceDN/>
        <w:bidi w:val="0"/>
        <w:spacing w:before="0" w:after="0" w:line="440" w:lineRule="exact"/>
        <w:ind w:firstLine="0"/>
        <w:outlineLvl w:val="9"/>
        <w:rPr>
          <w:rFonts w:hint="eastAsia" w:ascii="宋体" w:hAnsi="宋体" w:eastAsia="宋体" w:cs="宋体"/>
          <w:b/>
          <w:bCs/>
          <w:sz w:val="28"/>
          <w:szCs w:val="28"/>
          <w:lang w:val="zh-CN"/>
        </w:rPr>
      </w:pPr>
      <w:r>
        <w:rPr>
          <w:rFonts w:hint="eastAsia" w:ascii="宋体" w:hAnsi="宋体" w:eastAsia="宋体" w:cs="宋体"/>
          <w:b/>
          <w:bCs/>
          <w:sz w:val="28"/>
          <w:szCs w:val="28"/>
          <w:lang w:val="zh-CN"/>
        </w:rPr>
        <w:t>9.5 投诉</w:t>
      </w:r>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供应商和其他利害关系人认为本次招标活动违反法律、法规和规章规定的，有权向有关行政监督部门投诉。</w:t>
      </w:r>
    </w:p>
    <w:p>
      <w:pPr>
        <w:keepNext w:val="0"/>
        <w:keepLines w:val="0"/>
        <w:pageBreakBefore w:val="0"/>
        <w:widowControl w:val="0"/>
        <w:kinsoku/>
        <w:wordWrap w:val="0"/>
        <w:overflowPunct/>
        <w:topLinePunct w:val="0"/>
        <w:autoSpaceDE/>
        <w:autoSpaceDN/>
        <w:bidi w:val="0"/>
        <w:spacing w:before="0" w:after="0" w:line="440" w:lineRule="exact"/>
        <w:outlineLvl w:val="1"/>
        <w:rPr>
          <w:rFonts w:hint="eastAsia" w:ascii="宋体" w:hAnsi="宋体" w:eastAsia="宋体" w:cs="宋体"/>
          <w:b/>
          <w:bCs/>
          <w:sz w:val="28"/>
          <w:szCs w:val="28"/>
          <w:lang w:val="zh-CN"/>
        </w:rPr>
      </w:pPr>
      <w:bookmarkStart w:id="130" w:name="_Toc617"/>
      <w:r>
        <w:rPr>
          <w:rFonts w:hint="eastAsia" w:ascii="宋体" w:hAnsi="宋体" w:eastAsia="宋体" w:cs="宋体"/>
          <w:b/>
          <w:bCs/>
          <w:sz w:val="28"/>
          <w:szCs w:val="28"/>
          <w:lang w:val="zh-CN"/>
        </w:rPr>
        <w:t>10</w:t>
      </w:r>
      <w:r>
        <w:rPr>
          <w:rFonts w:hint="eastAsia" w:ascii="宋体" w:hAnsi="宋体" w:eastAsia="宋体" w:cs="宋体"/>
          <w:b/>
          <w:bCs/>
          <w:sz w:val="28"/>
          <w:szCs w:val="28"/>
        </w:rPr>
        <w:t>.</w:t>
      </w:r>
      <w:r>
        <w:rPr>
          <w:rFonts w:hint="eastAsia" w:ascii="宋体" w:hAnsi="宋体" w:eastAsia="宋体" w:cs="宋体"/>
          <w:b/>
          <w:bCs/>
          <w:sz w:val="28"/>
          <w:szCs w:val="28"/>
          <w:lang w:val="zh-CN"/>
        </w:rPr>
        <w:t>需要补充的其他内容</w:t>
      </w:r>
      <w:bookmarkEnd w:id="130"/>
    </w:p>
    <w:p>
      <w:pPr>
        <w:keepNext w:val="0"/>
        <w:keepLines w:val="0"/>
        <w:pageBreakBefore w:val="0"/>
        <w:widowControl w:val="0"/>
        <w:tabs>
          <w:tab w:val="left" w:pos="760"/>
        </w:tabs>
        <w:kinsoku/>
        <w:wordWrap w:val="0"/>
        <w:overflowPunct/>
        <w:topLinePunct w:val="0"/>
        <w:autoSpaceDE/>
        <w:autoSpaceDN/>
        <w:bidi w:val="0"/>
        <w:spacing w:line="440" w:lineRule="exact"/>
        <w:ind w:firstLine="480" w:firstLineChars="200"/>
        <w:jc w:val="left"/>
        <w:outlineLvl w:val="9"/>
        <w:rPr>
          <w:rFonts w:hint="eastAsia" w:ascii="宋体" w:hAnsi="宋体" w:eastAsia="宋体" w:cs="宋体"/>
          <w:bCs/>
          <w:sz w:val="24"/>
          <w:szCs w:val="24"/>
          <w:lang w:val="zh-CN"/>
        </w:rPr>
      </w:pPr>
      <w:r>
        <w:rPr>
          <w:rFonts w:hint="eastAsia" w:ascii="宋体" w:hAnsi="宋体" w:eastAsia="宋体" w:cs="宋体"/>
          <w:bCs/>
          <w:sz w:val="24"/>
          <w:szCs w:val="24"/>
          <w:lang w:val="zh-CN"/>
        </w:rPr>
        <w:t>需要补充的其他内容：见供应商须知前附表。</w:t>
      </w:r>
    </w:p>
    <w:p>
      <w:pPr>
        <w:rPr>
          <w:rFonts w:hint="eastAsia" w:ascii="宋体" w:hAnsi="宋体" w:eastAsia="宋体" w:cs="宋体"/>
          <w:b/>
          <w:bCs/>
        </w:rPr>
      </w:pPr>
      <w:bookmarkStart w:id="131" w:name="_Toc13895"/>
      <w:bookmarkStart w:id="132" w:name="_Toc29384703"/>
      <w:r>
        <w:rPr>
          <w:rFonts w:hint="eastAsia" w:ascii="宋体" w:hAnsi="宋体" w:eastAsia="宋体" w:cs="宋体"/>
          <w:b/>
          <w:bCs/>
        </w:rPr>
        <w:br w:type="page"/>
      </w:r>
    </w:p>
    <w:p>
      <w:pPr>
        <w:keepNext w:val="0"/>
        <w:keepLines w:val="0"/>
        <w:pageBreakBefore w:val="0"/>
        <w:widowControl w:val="0"/>
        <w:kinsoku/>
        <w:wordWrap w:val="0"/>
        <w:overflowPunct/>
        <w:topLinePunct w:val="0"/>
        <w:autoSpaceDE/>
        <w:autoSpaceDN/>
        <w:bidi w:val="0"/>
        <w:spacing w:line="360" w:lineRule="auto"/>
        <w:ind w:left="0" w:leftChars="0" w:firstLine="0" w:firstLineChars="0"/>
        <w:outlineLvl w:val="9"/>
        <w:rPr>
          <w:rFonts w:hint="eastAsia" w:ascii="宋体" w:hAnsi="宋体" w:eastAsia="宋体" w:cs="宋体"/>
          <w:sz w:val="28"/>
          <w:szCs w:val="28"/>
        </w:rPr>
      </w:pPr>
      <w:r>
        <w:rPr>
          <w:rFonts w:hint="eastAsia" w:ascii="宋体" w:hAnsi="宋体" w:eastAsia="宋体" w:cs="宋体"/>
          <w:b/>
          <w:bCs/>
          <w:sz w:val="28"/>
          <w:szCs w:val="28"/>
        </w:rPr>
        <w:t>附</w:t>
      </w:r>
      <w:r>
        <w:rPr>
          <w:rFonts w:hint="eastAsia" w:ascii="宋体" w:hAnsi="宋体" w:eastAsia="宋体" w:cs="宋体"/>
          <w:b/>
          <w:bCs/>
          <w:sz w:val="28"/>
          <w:szCs w:val="28"/>
          <w:lang w:eastAsia="zh-CN"/>
        </w:rPr>
        <w:t>表</w:t>
      </w:r>
      <w:r>
        <w:rPr>
          <w:rFonts w:hint="eastAsia" w:ascii="宋体" w:hAnsi="宋体" w:eastAsia="宋体" w:cs="宋体"/>
          <w:b/>
          <w:bCs/>
          <w:sz w:val="28"/>
          <w:szCs w:val="28"/>
        </w:rPr>
        <w:t>一：开标记录表</w:t>
      </w:r>
      <w:bookmarkEnd w:id="131"/>
      <w:bookmarkEnd w:id="132"/>
    </w:p>
    <w:p>
      <w:pPr>
        <w:keepNext w:val="0"/>
        <w:keepLines w:val="0"/>
        <w:pageBreakBefore w:val="0"/>
        <w:widowControl w:val="0"/>
        <w:kinsoku/>
        <w:wordWrap w:val="0"/>
        <w:overflowPunct/>
        <w:topLinePunct w:val="0"/>
        <w:autoSpaceDE/>
        <w:autoSpaceDN/>
        <w:bidi w:val="0"/>
        <w:spacing w:line="360" w:lineRule="auto"/>
        <w:jc w:val="center"/>
        <w:outlineLvl w:val="9"/>
        <w:rPr>
          <w:rFonts w:hint="eastAsia" w:ascii="宋体" w:hAnsi="宋体" w:eastAsia="宋体" w:cs="宋体"/>
          <w:b/>
          <w:sz w:val="24"/>
          <w:szCs w:val="24"/>
        </w:rPr>
      </w:pPr>
      <w:r>
        <w:rPr>
          <w:rFonts w:hint="eastAsia" w:ascii="宋体" w:hAnsi="宋体" w:eastAsia="宋体" w:cs="宋体"/>
          <w:b/>
          <w:sz w:val="28"/>
          <w:szCs w:val="28"/>
          <w:u w:val="single"/>
        </w:rPr>
        <w:t xml:space="preserve">        </w:t>
      </w:r>
      <w:r>
        <w:rPr>
          <w:rFonts w:hint="eastAsia" w:ascii="宋体" w:hAnsi="宋体" w:eastAsia="宋体" w:cs="宋体"/>
          <w:b/>
          <w:sz w:val="28"/>
          <w:szCs w:val="28"/>
        </w:rPr>
        <w:t>（项目名称）</w:t>
      </w:r>
      <w:r>
        <w:rPr>
          <w:rFonts w:hint="eastAsia" w:ascii="宋体" w:hAnsi="宋体" w:eastAsia="宋体" w:cs="宋体"/>
          <w:b/>
          <w:sz w:val="28"/>
          <w:szCs w:val="28"/>
          <w:u w:val="single"/>
          <w:lang w:val="en-US" w:eastAsia="zh-CN"/>
        </w:rPr>
        <w:t xml:space="preserve">    </w:t>
      </w:r>
      <w:r>
        <w:rPr>
          <w:rFonts w:hint="eastAsia" w:ascii="宋体" w:hAnsi="宋体" w:eastAsia="宋体" w:cs="宋体"/>
          <w:b/>
          <w:sz w:val="28"/>
          <w:szCs w:val="28"/>
          <w:lang w:val="en-US" w:eastAsia="zh-CN"/>
        </w:rPr>
        <w:t>标段施工</w:t>
      </w:r>
      <w:r>
        <w:rPr>
          <w:rFonts w:hint="eastAsia" w:ascii="宋体" w:hAnsi="宋体" w:eastAsia="宋体" w:cs="宋体"/>
          <w:b/>
          <w:sz w:val="28"/>
          <w:szCs w:val="28"/>
        </w:rPr>
        <w:t>开标记录表</w:t>
      </w:r>
    </w:p>
    <w:p>
      <w:pPr>
        <w:keepNext w:val="0"/>
        <w:keepLines w:val="0"/>
        <w:pageBreakBefore w:val="0"/>
        <w:widowControl w:val="0"/>
        <w:kinsoku/>
        <w:wordWrap w:val="0"/>
        <w:overflowPunct/>
        <w:topLinePunct w:val="0"/>
        <w:autoSpaceDE/>
        <w:autoSpaceDN/>
        <w:bidi w:val="0"/>
        <w:adjustRightInd/>
        <w:snapToGrid/>
        <w:spacing w:before="120" w:after="120"/>
        <w:ind w:right="420"/>
        <w:jc w:val="both"/>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开标时间：</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时</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分</w:t>
      </w:r>
    </w:p>
    <w:p>
      <w:pPr>
        <w:pStyle w:val="61"/>
        <w:keepNext w:val="0"/>
        <w:keepLines w:val="0"/>
        <w:pageBreakBefore w:val="0"/>
        <w:widowControl w:val="0"/>
        <w:kinsoku/>
        <w:wordWrap w:val="0"/>
        <w:overflowPunct/>
        <w:topLinePunct w:val="0"/>
        <w:autoSpaceDE/>
        <w:autoSpaceDN/>
        <w:bidi w:val="0"/>
        <w:adjustRightInd/>
        <w:snapToGrid/>
        <w:spacing w:before="120" w:after="120"/>
        <w:ind w:left="0" w:leftChars="0" w:firstLine="0" w:firstLineChars="0"/>
        <w:textAlignment w:val="auto"/>
        <w:outlineLvl w:val="9"/>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eastAsia="zh-CN"/>
        </w:rPr>
        <w:t>开标地点：</w:t>
      </w:r>
      <w:r>
        <w:rPr>
          <w:rFonts w:hint="eastAsia" w:ascii="宋体" w:hAnsi="宋体" w:eastAsia="宋体" w:cs="宋体"/>
          <w:color w:val="000000"/>
          <w:sz w:val="24"/>
          <w:szCs w:val="24"/>
          <w:u w:val="single"/>
          <w:lang w:val="en-US" w:eastAsia="zh-CN"/>
        </w:rPr>
        <w:t xml:space="preserve">            </w:t>
      </w:r>
    </w:p>
    <w:p>
      <w:pPr>
        <w:pStyle w:val="61"/>
        <w:keepNext w:val="0"/>
        <w:keepLines w:val="0"/>
        <w:pageBreakBefore w:val="0"/>
        <w:widowControl w:val="0"/>
        <w:kinsoku/>
        <w:wordWrap w:val="0"/>
        <w:overflowPunct/>
        <w:topLinePunct w:val="0"/>
        <w:autoSpaceDE/>
        <w:autoSpaceDN/>
        <w:bidi w:val="0"/>
        <w:adjustRightInd/>
        <w:snapToGrid/>
        <w:spacing w:before="120" w:after="120"/>
        <w:ind w:left="0" w:leftChars="0" w:firstLine="0" w:firstLineChars="0"/>
        <w:textAlignment w:val="auto"/>
        <w:outlineLvl w:val="9"/>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（一）唱标记录</w:t>
      </w:r>
    </w:p>
    <w:tbl>
      <w:tblPr>
        <w:tblStyle w:val="43"/>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2309"/>
        <w:gridCol w:w="1559"/>
        <w:gridCol w:w="1717"/>
        <w:gridCol w:w="1342"/>
        <w:gridCol w:w="987"/>
        <w:gridCol w:w="1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21"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230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供应商</w:t>
            </w:r>
          </w:p>
        </w:tc>
        <w:tc>
          <w:tcPr>
            <w:tcW w:w="155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磋商保证金</w:t>
            </w:r>
          </w:p>
        </w:tc>
        <w:tc>
          <w:tcPr>
            <w:tcW w:w="171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szCs w:val="24"/>
                <w:lang w:val="en-US" w:eastAsia="zh-CN" w:bidi="ar-SA"/>
              </w:rPr>
            </w:pPr>
            <w:r>
              <w:rPr>
                <w:rFonts w:hint="eastAsia" w:ascii="宋体" w:hAnsi="宋体" w:eastAsia="宋体" w:cs="宋体"/>
                <w:sz w:val="24"/>
                <w:szCs w:val="24"/>
              </w:rPr>
              <w:t>投标报价（元）</w:t>
            </w:r>
          </w:p>
        </w:tc>
        <w:tc>
          <w:tcPr>
            <w:tcW w:w="1342"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szCs w:val="24"/>
                <w:lang w:val="en-US" w:eastAsia="zh-CN" w:bidi="ar-SA"/>
              </w:rPr>
            </w:pPr>
            <w:r>
              <w:rPr>
                <w:rFonts w:hint="eastAsia" w:ascii="宋体" w:hAnsi="宋体" w:eastAsia="宋体" w:cs="宋体"/>
                <w:sz w:val="24"/>
                <w:szCs w:val="24"/>
              </w:rPr>
              <w:t>质量</w:t>
            </w:r>
            <w:r>
              <w:rPr>
                <w:rFonts w:hint="eastAsia" w:ascii="宋体" w:hAnsi="宋体" w:eastAsia="宋体" w:cs="宋体"/>
                <w:sz w:val="24"/>
                <w:szCs w:val="24"/>
                <w:lang w:eastAsia="zh-CN"/>
              </w:rPr>
              <w:t>目标</w:t>
            </w:r>
          </w:p>
        </w:tc>
        <w:tc>
          <w:tcPr>
            <w:tcW w:w="98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szCs w:val="24"/>
                <w:lang w:val="en-US" w:eastAsia="zh-CN" w:bidi="ar-SA"/>
              </w:rPr>
            </w:pPr>
            <w:r>
              <w:rPr>
                <w:rFonts w:hint="eastAsia" w:ascii="宋体" w:hAnsi="宋体" w:eastAsia="宋体" w:cs="宋体"/>
                <w:sz w:val="24"/>
                <w:szCs w:val="24"/>
              </w:rPr>
              <w:t>工期</w:t>
            </w:r>
          </w:p>
        </w:tc>
        <w:tc>
          <w:tcPr>
            <w:tcW w:w="101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szCs w:val="24"/>
                <w:lang w:val="en-US" w:eastAsia="zh-CN" w:bidi="ar-SA"/>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21"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0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5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1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42"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8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1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21"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0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5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1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42"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8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1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21"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0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5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1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42"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8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1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21"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0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5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1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42"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8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1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21"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0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5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1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42"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8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1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3330" w:type="dxa"/>
            <w:gridSpan w:val="2"/>
            <w:noWrap/>
            <w:vAlign w:val="center"/>
          </w:tcPr>
          <w:p>
            <w:pPr>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采购人</w:t>
            </w:r>
            <w:r>
              <w:rPr>
                <w:rFonts w:hint="eastAsia" w:ascii="宋体" w:hAnsi="宋体" w:eastAsia="宋体" w:cs="宋体"/>
                <w:sz w:val="24"/>
                <w:szCs w:val="24"/>
              </w:rPr>
              <w:t>编制的标底</w:t>
            </w:r>
            <w:r>
              <w:rPr>
                <w:rFonts w:hint="eastAsia" w:ascii="宋体" w:hAnsi="宋体" w:eastAsia="宋体" w:cs="宋体"/>
                <w:sz w:val="24"/>
                <w:szCs w:val="24"/>
                <w:lang w:eastAsia="zh-CN"/>
              </w:rPr>
              <w:t>（如果有）</w:t>
            </w:r>
          </w:p>
        </w:tc>
        <w:tc>
          <w:tcPr>
            <w:tcW w:w="6618" w:type="dxa"/>
            <w:gridSpan w:val="5"/>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lang w:eastAsia="zh-CN"/>
        </w:rPr>
      </w:pPr>
      <w:bookmarkStart w:id="133" w:name="page37"/>
      <w:bookmarkEnd w:id="133"/>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（二）开标过程中的其他事项记录</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lang w:eastAsia="zh-CN"/>
        </w:rPr>
      </w:pPr>
      <w:bookmarkStart w:id="134" w:name="_Toc27778"/>
      <w:bookmarkStart w:id="135" w:name="_Toc29384704"/>
      <w:r>
        <w:rPr>
          <w:rFonts w:hint="eastAsia" w:ascii="宋体" w:hAnsi="宋体" w:eastAsia="宋体" w:cs="宋体"/>
          <w:sz w:val="24"/>
          <w:szCs w:val="24"/>
          <w:lang w:eastAsia="zh-CN"/>
        </w:rPr>
        <w:t>（三）出席开标会的单位和人员（附签到表）</w:t>
      </w:r>
    </w:p>
    <w:p>
      <w:pPr>
        <w:pStyle w:val="61"/>
        <w:keepNext w:val="0"/>
        <w:keepLines w:val="0"/>
        <w:pageBreakBefore w:val="0"/>
        <w:widowControl w:val="0"/>
        <w:kinsoku/>
        <w:wordWrap w:val="0"/>
        <w:overflowPunct/>
        <w:topLinePunct w:val="0"/>
        <w:autoSpaceDE/>
        <w:autoSpaceDN/>
        <w:bidi w:val="0"/>
        <w:rPr>
          <w:rFonts w:hint="eastAsia" w:ascii="宋体" w:hAnsi="宋体" w:eastAsia="宋体" w:cs="宋体"/>
          <w:sz w:val="24"/>
          <w:szCs w:val="24"/>
          <w:lang w:eastAsia="zh-CN"/>
        </w:rPr>
      </w:pPr>
    </w:p>
    <w:p>
      <w:pPr>
        <w:pStyle w:val="61"/>
        <w:keepNext w:val="0"/>
        <w:keepLines w:val="0"/>
        <w:pageBreakBefore w:val="0"/>
        <w:widowControl w:val="0"/>
        <w:kinsoku/>
        <w:wordWrap w:val="0"/>
        <w:overflowPunct/>
        <w:topLinePunct w:val="0"/>
        <w:autoSpaceDE/>
        <w:autoSpaceDN/>
        <w:bidi w:val="0"/>
        <w:rPr>
          <w:rFonts w:hint="eastAsia" w:ascii="宋体" w:hAnsi="宋体" w:eastAsia="宋体" w:cs="宋体"/>
          <w:sz w:val="24"/>
          <w:szCs w:val="24"/>
          <w:lang w:eastAsia="zh-CN"/>
        </w:rPr>
      </w:pPr>
    </w:p>
    <w:p>
      <w:pPr>
        <w:pStyle w:val="61"/>
        <w:keepNext w:val="0"/>
        <w:keepLines w:val="0"/>
        <w:pageBreakBefore w:val="0"/>
        <w:widowControl w:val="0"/>
        <w:kinsoku/>
        <w:wordWrap w:val="0"/>
        <w:overflowPunct/>
        <w:topLinePunct w:val="0"/>
        <w:autoSpaceDE/>
        <w:autoSpaceDN/>
        <w:bidi w:val="0"/>
        <w:rPr>
          <w:rFonts w:hint="eastAsia" w:ascii="宋体" w:hAnsi="宋体" w:eastAsia="宋体" w:cs="宋体"/>
          <w:i w:val="0"/>
          <w:iCs w:val="0"/>
          <w:sz w:val="24"/>
          <w:szCs w:val="24"/>
          <w:u w:val="none"/>
          <w:lang w:eastAsia="zh-CN"/>
        </w:rPr>
      </w:pPr>
    </w:p>
    <w:p>
      <w:pPr>
        <w:pStyle w:val="61"/>
        <w:keepNext w:val="0"/>
        <w:keepLines w:val="0"/>
        <w:pageBreakBefore w:val="0"/>
        <w:widowControl w:val="0"/>
        <w:kinsoku/>
        <w:wordWrap w:val="0"/>
        <w:overflowPunct/>
        <w:topLinePunct w:val="0"/>
        <w:autoSpaceDE/>
        <w:autoSpaceDN/>
        <w:bidi w:val="0"/>
        <w:ind w:left="0" w:leftChars="0" w:firstLine="0" w:firstLineChars="0"/>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记录人：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监标人：</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r>
        <w:rPr>
          <w:rFonts w:hint="eastAsia" w:ascii="宋体" w:hAnsi="宋体" w:eastAsia="宋体" w:cs="宋体"/>
          <w:b/>
          <w:bCs/>
        </w:rPr>
        <w:br w:type="page"/>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b/>
          <w:bCs/>
          <w:sz w:val="28"/>
          <w:szCs w:val="28"/>
        </w:rPr>
      </w:pPr>
      <w:r>
        <w:rPr>
          <w:rFonts w:hint="eastAsia" w:ascii="宋体" w:hAnsi="宋体" w:eastAsia="宋体" w:cs="宋体"/>
          <w:b/>
          <w:bCs/>
          <w:sz w:val="28"/>
          <w:szCs w:val="28"/>
        </w:rPr>
        <w:t>附</w:t>
      </w:r>
      <w:r>
        <w:rPr>
          <w:rFonts w:hint="eastAsia" w:ascii="宋体" w:hAnsi="宋体" w:eastAsia="宋体" w:cs="宋体"/>
          <w:b/>
          <w:bCs/>
          <w:sz w:val="28"/>
          <w:szCs w:val="28"/>
          <w:lang w:eastAsia="zh-CN"/>
        </w:rPr>
        <w:t>表</w:t>
      </w:r>
      <w:r>
        <w:rPr>
          <w:rFonts w:hint="eastAsia" w:ascii="宋体" w:hAnsi="宋体" w:eastAsia="宋体" w:cs="宋体"/>
          <w:b/>
          <w:bCs/>
          <w:sz w:val="28"/>
          <w:szCs w:val="28"/>
        </w:rPr>
        <w:t>二：问题澄清通知</w:t>
      </w:r>
      <w:bookmarkEnd w:id="134"/>
      <w:bookmarkEnd w:id="135"/>
    </w:p>
    <w:p>
      <w:pPr>
        <w:keepNext w:val="0"/>
        <w:keepLines w:val="0"/>
        <w:pageBreakBefore w:val="0"/>
        <w:widowControl w:val="0"/>
        <w:kinsoku/>
        <w:wordWrap w:val="0"/>
        <w:overflowPunct/>
        <w:topLinePunct w:val="0"/>
        <w:autoSpaceDE/>
        <w:autoSpaceDN/>
        <w:bidi w:val="0"/>
        <w:spacing w:line="360" w:lineRule="auto"/>
        <w:jc w:val="center"/>
        <w:outlineLvl w:val="9"/>
        <w:rPr>
          <w:rFonts w:hint="eastAsia" w:ascii="宋体" w:hAnsi="宋体" w:eastAsia="宋体" w:cs="宋体"/>
          <w:color w:val="000000"/>
          <w:sz w:val="24"/>
          <w:szCs w:val="24"/>
        </w:rPr>
      </w:pPr>
      <w:r>
        <w:rPr>
          <w:rFonts w:hint="eastAsia" w:ascii="宋体" w:hAnsi="宋体" w:eastAsia="宋体" w:cs="宋体"/>
          <w:b/>
          <w:sz w:val="28"/>
          <w:szCs w:val="28"/>
        </w:rPr>
        <w:t>问题澄清通知</w:t>
      </w:r>
    </w:p>
    <w:p>
      <w:pPr>
        <w:keepNext w:val="0"/>
        <w:keepLines w:val="0"/>
        <w:pageBreakBefore w:val="0"/>
        <w:widowControl w:val="0"/>
        <w:kinsoku/>
        <w:wordWrap w:val="0"/>
        <w:overflowPunct/>
        <w:topLinePunct w:val="0"/>
        <w:autoSpaceDE/>
        <w:autoSpaceDN/>
        <w:bidi w:val="0"/>
        <w:jc w:val="center"/>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编号：</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color w:val="000000"/>
          <w:sz w:val="24"/>
          <w:szCs w:val="24"/>
          <w:u w:val="single"/>
        </w:rPr>
      </w:pP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名称）：</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标段施工招标的</w:t>
      </w:r>
      <w:r>
        <w:rPr>
          <w:rFonts w:hint="eastAsia" w:ascii="宋体" w:hAnsi="宋体" w:eastAsia="宋体" w:cs="宋体"/>
          <w:sz w:val="24"/>
          <w:szCs w:val="24"/>
          <w:lang w:eastAsia="zh-CN"/>
        </w:rPr>
        <w:t>磋商小组</w:t>
      </w:r>
      <w:r>
        <w:rPr>
          <w:rFonts w:hint="eastAsia" w:ascii="宋体" w:hAnsi="宋体" w:eastAsia="宋体" w:cs="宋体"/>
          <w:sz w:val="24"/>
          <w:szCs w:val="24"/>
        </w:rPr>
        <w:t>，对你方的</w:t>
      </w:r>
      <w:r>
        <w:rPr>
          <w:rFonts w:hint="eastAsia" w:ascii="宋体" w:hAnsi="宋体" w:eastAsia="宋体" w:cs="宋体"/>
          <w:sz w:val="24"/>
          <w:szCs w:val="24"/>
          <w:lang w:eastAsia="zh-CN"/>
        </w:rPr>
        <w:t>响应文件</w:t>
      </w:r>
      <w:r>
        <w:rPr>
          <w:rFonts w:hint="eastAsia" w:ascii="宋体" w:hAnsi="宋体" w:eastAsia="宋体" w:cs="宋体"/>
          <w:sz w:val="24"/>
          <w:szCs w:val="24"/>
        </w:rPr>
        <w:t>进行了仔细的审查，现需你方对本通知所附质疑问卷中的问题以书面形式（盖公章的电子扫描件）予以澄清、说明或者补正。</w:t>
      </w:r>
    </w:p>
    <w:p>
      <w:pPr>
        <w:keepNext w:val="0"/>
        <w:keepLines w:val="0"/>
        <w:pageBreakBefore w:val="0"/>
        <w:widowControl w:val="0"/>
        <w:kinsoku/>
        <w:wordWrap w:val="0"/>
        <w:overflowPunct/>
        <w:topLinePunct w:val="0"/>
        <w:autoSpaceDE/>
        <w:autoSpaceDN/>
        <w:bidi w:val="0"/>
        <w:spacing w:line="360" w:lineRule="auto"/>
        <w:ind w:firstLine="480" w:firstLineChars="20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请将上述问题的澄清、说明或者补正于</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时前通过电子系统递交至评审委员会，应在</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r>
        <w:rPr>
          <w:rFonts w:hint="eastAsia" w:ascii="宋体" w:hAnsi="宋体" w:eastAsia="宋体" w:cs="宋体"/>
          <w:sz w:val="24"/>
          <w:szCs w:val="24"/>
        </w:rPr>
        <w:t>时前将原件递交至</w:t>
      </w:r>
      <w:r>
        <w:rPr>
          <w:rFonts w:hint="eastAsia" w:ascii="宋体" w:hAnsi="宋体" w:eastAsia="宋体" w:cs="宋体"/>
          <w:sz w:val="24"/>
          <w:szCs w:val="24"/>
          <w:u w:val="single"/>
        </w:rPr>
        <w:t xml:space="preserve">           </w:t>
      </w:r>
      <w:r>
        <w:rPr>
          <w:rFonts w:hint="eastAsia" w:ascii="宋体" w:hAnsi="宋体" w:eastAsia="宋体" w:cs="宋体"/>
          <w:sz w:val="24"/>
          <w:szCs w:val="24"/>
        </w:rPr>
        <w:t>（详细地址）。</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lang w:val="zh-CN"/>
        </w:rPr>
      </w:pPr>
      <w:r>
        <w:rPr>
          <w:rFonts w:hint="eastAsia" w:ascii="宋体" w:hAnsi="宋体" w:eastAsia="宋体" w:cs="宋体"/>
          <w:sz w:val="24"/>
          <w:szCs w:val="24"/>
          <w:lang w:val="zh-CN"/>
        </w:rPr>
        <w:t>附件：质疑问卷</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pStyle w:val="19"/>
        <w:keepNext w:val="0"/>
        <w:keepLines w:val="0"/>
        <w:pageBreakBefore w:val="0"/>
        <w:widowControl w:val="0"/>
        <w:kinsoku/>
        <w:wordWrap w:val="0"/>
        <w:overflowPunct/>
        <w:topLinePunct w:val="0"/>
        <w:autoSpaceDE/>
        <w:autoSpaceDN/>
        <w:bidi w:val="0"/>
        <w:spacing w:line="360" w:lineRule="auto"/>
        <w:ind w:left="0" w:leftChars="0" w:firstLine="0" w:firstLineChars="0"/>
        <w:jc w:val="right"/>
        <w:outlineLvl w:val="9"/>
        <w:rPr>
          <w:rFonts w:hint="eastAsia" w:ascii="宋体" w:hAnsi="宋体" w:eastAsia="宋体" w:cs="宋体"/>
          <w:sz w:val="24"/>
          <w:szCs w:val="24"/>
          <w:lang w:eastAsia="zh-CN"/>
        </w:rPr>
      </w:pP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标段施工招标</w:t>
      </w:r>
      <w:r>
        <w:rPr>
          <w:rFonts w:hint="eastAsia" w:ascii="宋体" w:hAnsi="宋体" w:eastAsia="宋体" w:cs="宋体"/>
          <w:sz w:val="24"/>
          <w:szCs w:val="24"/>
          <w:lang w:eastAsia="zh-CN"/>
        </w:rPr>
        <w:t>磋商小组</w:t>
      </w:r>
    </w:p>
    <w:p>
      <w:pPr>
        <w:pStyle w:val="19"/>
        <w:keepNext w:val="0"/>
        <w:keepLines w:val="0"/>
        <w:pageBreakBefore w:val="0"/>
        <w:widowControl w:val="0"/>
        <w:kinsoku/>
        <w:wordWrap w:val="0"/>
        <w:overflowPunct/>
        <w:topLinePunct w:val="0"/>
        <w:autoSpaceDE/>
        <w:autoSpaceDN/>
        <w:bidi w:val="0"/>
        <w:spacing w:line="360" w:lineRule="auto"/>
        <w:ind w:left="0" w:leftChars="0" w:firstLine="0" w:firstLineChars="0"/>
        <w:jc w:val="right"/>
        <w:outlineLvl w:val="9"/>
        <w:rPr>
          <w:rFonts w:hint="eastAsia" w:ascii="宋体" w:hAnsi="宋体" w:eastAsia="宋体" w:cs="宋体"/>
          <w:sz w:val="24"/>
          <w:szCs w:val="24"/>
        </w:rPr>
      </w:pPr>
      <w:r>
        <w:rPr>
          <w:rFonts w:hint="eastAsia" w:ascii="宋体" w:hAnsi="宋体" w:eastAsia="宋体" w:cs="宋体"/>
          <w:color w:val="000000"/>
        </w:rPr>
        <w:t>（经</w:t>
      </w:r>
      <w:r>
        <w:rPr>
          <w:rFonts w:hint="eastAsia" w:ascii="宋体" w:hAnsi="宋体" w:eastAsia="宋体" w:cs="宋体"/>
          <w:color w:val="000000"/>
          <w:lang w:eastAsia="zh-CN"/>
        </w:rPr>
        <w:t>磋商小组</w:t>
      </w:r>
      <w:r>
        <w:rPr>
          <w:rFonts w:hint="eastAsia" w:ascii="宋体" w:hAnsi="宋体" w:eastAsia="宋体" w:cs="宋体"/>
          <w:color w:val="000000"/>
        </w:rPr>
        <w:t>授权的</w:t>
      </w:r>
      <w:r>
        <w:rPr>
          <w:rFonts w:hint="eastAsia" w:ascii="宋体" w:hAnsi="宋体" w:eastAsia="宋体" w:cs="宋体"/>
          <w:color w:val="000000"/>
          <w:lang w:eastAsia="zh-CN"/>
        </w:rPr>
        <w:t>采购人</w:t>
      </w:r>
      <w:r>
        <w:rPr>
          <w:rFonts w:hint="eastAsia" w:ascii="宋体" w:hAnsi="宋体" w:eastAsia="宋体" w:cs="宋体"/>
          <w:color w:val="000000"/>
        </w:rPr>
        <w:t>代表签字或</w:t>
      </w:r>
      <w:r>
        <w:rPr>
          <w:rFonts w:hint="eastAsia" w:ascii="宋体" w:hAnsi="宋体" w:eastAsia="宋体" w:cs="宋体"/>
          <w:color w:val="000000"/>
          <w:lang w:eastAsia="zh-CN"/>
        </w:rPr>
        <w:t>采购人</w:t>
      </w:r>
      <w:r>
        <w:rPr>
          <w:rFonts w:hint="eastAsia" w:ascii="宋体" w:hAnsi="宋体" w:eastAsia="宋体" w:cs="宋体"/>
          <w:color w:val="000000"/>
        </w:rPr>
        <w:t>加盖单位章）</w:t>
      </w:r>
    </w:p>
    <w:p>
      <w:pPr>
        <w:keepNext w:val="0"/>
        <w:keepLines w:val="0"/>
        <w:pageBreakBefore w:val="0"/>
        <w:widowControl w:val="0"/>
        <w:kinsoku/>
        <w:wordWrap w:val="0"/>
        <w:overflowPunct/>
        <w:topLinePunct w:val="0"/>
        <w:autoSpaceDE/>
        <w:autoSpaceDN/>
        <w:bidi w:val="0"/>
        <w:spacing w:line="360" w:lineRule="auto"/>
        <w:jc w:val="right"/>
        <w:outlineLvl w:val="9"/>
        <w:rPr>
          <w:rFonts w:hint="eastAsia" w:ascii="宋体" w:hAnsi="宋体" w:eastAsia="宋体" w:cs="宋体"/>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r>
        <w:rPr>
          <w:rFonts w:hint="eastAsia" w:ascii="宋体" w:hAnsi="宋体" w:eastAsia="宋体" w:cs="宋体"/>
        </w:rPr>
        <w:br w:type="page"/>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b/>
          <w:bCs/>
          <w:sz w:val="28"/>
          <w:szCs w:val="28"/>
        </w:rPr>
      </w:pPr>
      <w:bookmarkStart w:id="136" w:name="page38"/>
      <w:bookmarkEnd w:id="136"/>
      <w:bookmarkStart w:id="137" w:name="_Toc2129"/>
      <w:bookmarkStart w:id="138" w:name="_Toc29384705"/>
      <w:r>
        <w:rPr>
          <w:rFonts w:hint="eastAsia" w:ascii="宋体" w:hAnsi="宋体" w:eastAsia="宋体" w:cs="宋体"/>
          <w:b/>
          <w:bCs/>
          <w:sz w:val="28"/>
          <w:szCs w:val="28"/>
        </w:rPr>
        <w:t>附</w:t>
      </w:r>
      <w:r>
        <w:rPr>
          <w:rFonts w:hint="eastAsia" w:ascii="宋体" w:hAnsi="宋体" w:eastAsia="宋体" w:cs="宋体"/>
          <w:b/>
          <w:bCs/>
          <w:sz w:val="28"/>
          <w:szCs w:val="28"/>
          <w:lang w:eastAsia="zh-CN"/>
        </w:rPr>
        <w:t>表</w:t>
      </w:r>
      <w:r>
        <w:rPr>
          <w:rFonts w:hint="eastAsia" w:ascii="宋体" w:hAnsi="宋体" w:eastAsia="宋体" w:cs="宋体"/>
          <w:b/>
          <w:bCs/>
          <w:sz w:val="28"/>
          <w:szCs w:val="28"/>
        </w:rPr>
        <w:t>三：问题的澄清</w:t>
      </w:r>
      <w:bookmarkEnd w:id="137"/>
      <w:bookmarkEnd w:id="138"/>
    </w:p>
    <w:p>
      <w:pPr>
        <w:keepNext w:val="0"/>
        <w:keepLines w:val="0"/>
        <w:pageBreakBefore w:val="0"/>
        <w:widowControl w:val="0"/>
        <w:kinsoku/>
        <w:wordWrap w:val="0"/>
        <w:overflowPunct/>
        <w:topLinePunct w:val="0"/>
        <w:autoSpaceDE/>
        <w:autoSpaceDN/>
        <w:bidi w:val="0"/>
        <w:spacing w:line="360" w:lineRule="auto"/>
        <w:jc w:val="center"/>
        <w:outlineLvl w:val="9"/>
        <w:rPr>
          <w:rFonts w:hint="eastAsia" w:ascii="宋体" w:hAnsi="宋体" w:eastAsia="宋体" w:cs="宋体"/>
          <w:b/>
          <w:sz w:val="28"/>
          <w:lang w:eastAsia="zh-CN"/>
        </w:rPr>
      </w:pPr>
      <w:r>
        <w:rPr>
          <w:rFonts w:hint="eastAsia" w:ascii="宋体" w:hAnsi="宋体" w:eastAsia="宋体" w:cs="宋体"/>
          <w:b/>
          <w:sz w:val="28"/>
        </w:rPr>
        <w:t>问题的澄清</w:t>
      </w:r>
      <w:r>
        <w:rPr>
          <w:rFonts w:hint="eastAsia" w:ascii="宋体" w:hAnsi="宋体" w:eastAsia="宋体" w:cs="宋体"/>
          <w:b/>
          <w:sz w:val="28"/>
          <w:lang w:eastAsia="zh-CN"/>
        </w:rPr>
        <w:t>、说明或补正</w:t>
      </w:r>
    </w:p>
    <w:p>
      <w:pPr>
        <w:keepNext w:val="0"/>
        <w:keepLines w:val="0"/>
        <w:pageBreakBefore w:val="0"/>
        <w:widowControl w:val="0"/>
        <w:kinsoku/>
        <w:wordWrap w:val="0"/>
        <w:overflowPunct/>
        <w:topLinePunct w:val="0"/>
        <w:autoSpaceDE/>
        <w:autoSpaceDN/>
        <w:bidi w:val="0"/>
        <w:spacing w:line="360" w:lineRule="auto"/>
        <w:jc w:val="center"/>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编号：</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标段施工招标</w:t>
      </w:r>
      <w:r>
        <w:rPr>
          <w:rFonts w:hint="eastAsia" w:ascii="宋体" w:hAnsi="宋体" w:eastAsia="宋体" w:cs="宋体"/>
          <w:sz w:val="24"/>
          <w:szCs w:val="24"/>
          <w:lang w:eastAsia="zh-CN"/>
        </w:rPr>
        <w:t>磋商小组</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ind w:firstLine="480" w:firstLineChars="200"/>
        <w:outlineLvl w:val="9"/>
        <w:rPr>
          <w:rFonts w:hint="eastAsia" w:ascii="宋体" w:hAnsi="宋体" w:eastAsia="宋体" w:cs="宋体"/>
          <w:sz w:val="24"/>
          <w:szCs w:val="24"/>
        </w:rPr>
      </w:pPr>
      <w:r>
        <w:rPr>
          <w:rFonts w:hint="eastAsia" w:ascii="宋体" w:hAnsi="宋体" w:eastAsia="宋体" w:cs="宋体"/>
          <w:sz w:val="24"/>
          <w:szCs w:val="24"/>
        </w:rPr>
        <w:t>问题澄清通知</w:t>
      </w:r>
      <w:r>
        <w:rPr>
          <w:rFonts w:hint="eastAsia" w:ascii="宋体" w:hAnsi="宋体" w:eastAsia="宋体" w:cs="宋体"/>
          <w:color w:val="000000"/>
          <w:sz w:val="24"/>
          <w:szCs w:val="24"/>
        </w:rPr>
        <w:t>（编号：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sz w:val="24"/>
          <w:szCs w:val="24"/>
        </w:rPr>
        <w:t>已收悉，现澄清、说明或补正如下：</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ind w:left="1100"/>
        <w:outlineLvl w:val="9"/>
        <w:rPr>
          <w:rFonts w:hint="eastAsia" w:ascii="宋体" w:hAnsi="宋体" w:eastAsia="宋体" w:cs="宋体"/>
          <w:sz w:val="24"/>
          <w:szCs w:val="24"/>
        </w:rPr>
      </w:pPr>
      <w:r>
        <w:rPr>
          <w:rFonts w:hint="eastAsia" w:ascii="宋体" w:hAnsi="宋体" w:eastAsia="宋体" w:cs="宋体"/>
          <w:sz w:val="24"/>
          <w:szCs w:val="24"/>
        </w:rPr>
        <w:t>1.</w:t>
      </w:r>
    </w:p>
    <w:p>
      <w:pPr>
        <w:keepNext w:val="0"/>
        <w:keepLines w:val="0"/>
        <w:pageBreakBefore w:val="0"/>
        <w:widowControl w:val="0"/>
        <w:kinsoku/>
        <w:wordWrap w:val="0"/>
        <w:overflowPunct/>
        <w:topLinePunct w:val="0"/>
        <w:autoSpaceDE/>
        <w:autoSpaceDN/>
        <w:bidi w:val="0"/>
        <w:spacing w:line="360" w:lineRule="auto"/>
        <w:ind w:left="1100"/>
        <w:outlineLvl w:val="9"/>
        <w:rPr>
          <w:rFonts w:hint="eastAsia" w:ascii="宋体" w:hAnsi="宋体" w:eastAsia="宋体" w:cs="宋体"/>
          <w:sz w:val="24"/>
          <w:szCs w:val="24"/>
        </w:rPr>
      </w:pPr>
      <w:r>
        <w:rPr>
          <w:rFonts w:hint="eastAsia" w:ascii="宋体" w:hAnsi="宋体" w:eastAsia="宋体" w:cs="宋体"/>
          <w:sz w:val="24"/>
          <w:szCs w:val="24"/>
        </w:rPr>
        <w:t>2.</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pacing w:line="360" w:lineRule="auto"/>
        <w:jc w:val="right"/>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（盖单位章）</w:t>
      </w:r>
    </w:p>
    <w:p>
      <w:pPr>
        <w:keepNext w:val="0"/>
        <w:keepLines w:val="0"/>
        <w:pageBreakBefore w:val="0"/>
        <w:widowControl w:val="0"/>
        <w:kinsoku/>
        <w:wordWrap w:val="0"/>
        <w:overflowPunct/>
        <w:topLinePunct w:val="0"/>
        <w:autoSpaceDE/>
        <w:autoSpaceDN/>
        <w:bidi w:val="0"/>
        <w:spacing w:line="360" w:lineRule="auto"/>
        <w:ind w:firstLine="1350"/>
        <w:jc w:val="right"/>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ind w:firstLine="1350"/>
        <w:jc w:val="right"/>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（签字）</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jc w:val="right"/>
        <w:outlineLvl w:val="9"/>
        <w:rPr>
          <w:rFonts w:hint="eastAsia" w:ascii="宋体" w:hAnsi="宋体" w:eastAsia="宋体" w:cs="宋体"/>
        </w:rPr>
      </w:pP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年</w:t>
      </w:r>
      <w:bookmarkStart w:id="139" w:name="_Toc15139"/>
      <w:bookmarkStart w:id="140" w:name="_Toc369531571"/>
      <w:bookmarkStart w:id="141" w:name="_Toc384308266"/>
      <w:bookmarkStart w:id="142" w:name="_Toc247514005"/>
      <w:bookmarkStart w:id="143" w:name="_Toc152045581"/>
      <w:bookmarkStart w:id="144" w:name="_Toc152042358"/>
      <w:bookmarkStart w:id="145" w:name="_Toc352691527"/>
      <w:bookmarkStart w:id="146" w:name="_Toc361508640"/>
      <w:bookmarkStart w:id="147" w:name="_Toc144974548"/>
      <w:bookmarkStart w:id="148" w:name="_Toc247527606"/>
      <w:bookmarkStart w:id="149" w:name="_Toc300835002"/>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日</w:t>
      </w:r>
      <w:bookmarkEnd w:id="139"/>
      <w:bookmarkEnd w:id="140"/>
      <w:bookmarkEnd w:id="141"/>
      <w:bookmarkEnd w:id="142"/>
      <w:bookmarkEnd w:id="143"/>
      <w:bookmarkEnd w:id="144"/>
      <w:bookmarkEnd w:id="145"/>
      <w:bookmarkEnd w:id="146"/>
      <w:bookmarkEnd w:id="147"/>
      <w:bookmarkEnd w:id="148"/>
      <w:bookmarkEnd w:id="149"/>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bookmarkStart w:id="150" w:name="_Toc29384706"/>
      <w:bookmarkStart w:id="151" w:name="_Toc12369"/>
      <w:r>
        <w:rPr>
          <w:rFonts w:hint="eastAsia" w:ascii="宋体" w:hAnsi="宋体" w:eastAsia="宋体" w:cs="宋体"/>
        </w:rPr>
        <w:br w:type="page"/>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b/>
          <w:bCs/>
          <w:sz w:val="28"/>
          <w:szCs w:val="28"/>
          <w:lang w:eastAsia="zh-CN"/>
        </w:rPr>
      </w:pPr>
      <w:r>
        <w:rPr>
          <w:rFonts w:hint="eastAsia" w:ascii="宋体" w:hAnsi="宋体" w:eastAsia="宋体" w:cs="宋体"/>
          <w:b/>
          <w:bCs/>
          <w:sz w:val="28"/>
          <w:szCs w:val="28"/>
        </w:rPr>
        <w:t>附</w:t>
      </w:r>
      <w:r>
        <w:rPr>
          <w:rFonts w:hint="eastAsia" w:ascii="宋体" w:hAnsi="宋体" w:eastAsia="宋体" w:cs="宋体"/>
          <w:b/>
          <w:bCs/>
          <w:sz w:val="28"/>
          <w:szCs w:val="28"/>
          <w:lang w:eastAsia="zh-CN"/>
        </w:rPr>
        <w:t>表</w:t>
      </w:r>
      <w:r>
        <w:rPr>
          <w:rFonts w:hint="eastAsia" w:ascii="宋体" w:hAnsi="宋体" w:eastAsia="宋体" w:cs="宋体"/>
          <w:b/>
          <w:bCs/>
          <w:sz w:val="28"/>
          <w:szCs w:val="28"/>
        </w:rPr>
        <w:t>四：</w:t>
      </w:r>
      <w:bookmarkEnd w:id="150"/>
      <w:bookmarkEnd w:id="151"/>
      <w:r>
        <w:rPr>
          <w:rFonts w:hint="eastAsia" w:ascii="宋体" w:hAnsi="宋体" w:eastAsia="宋体" w:cs="宋体"/>
          <w:b/>
          <w:bCs/>
          <w:sz w:val="28"/>
          <w:szCs w:val="28"/>
          <w:lang w:eastAsia="zh-CN"/>
        </w:rPr>
        <w:t>成交通知书</w:t>
      </w:r>
    </w:p>
    <w:p>
      <w:pPr>
        <w:keepNext w:val="0"/>
        <w:keepLines w:val="0"/>
        <w:pageBreakBefore w:val="0"/>
        <w:widowControl w:val="0"/>
        <w:kinsoku/>
        <w:wordWrap w:val="0"/>
        <w:overflowPunct/>
        <w:topLinePunct w:val="0"/>
        <w:autoSpaceDE/>
        <w:autoSpaceDN/>
        <w:bidi w:val="0"/>
        <w:spacing w:before="120" w:beforeLines="50" w:after="120" w:afterLines="50"/>
        <w:ind w:firstLine="420"/>
        <w:jc w:val="center"/>
        <w:rPr>
          <w:rFonts w:hint="eastAsia" w:ascii="宋体" w:hAnsi="宋体" w:eastAsia="宋体" w:cs="宋体"/>
          <w:b/>
          <w:sz w:val="28"/>
          <w:szCs w:val="28"/>
          <w:lang w:eastAsia="zh-CN"/>
        </w:rPr>
      </w:pPr>
      <w:r>
        <w:rPr>
          <w:rFonts w:hint="eastAsia" w:ascii="宋体" w:hAnsi="宋体" w:eastAsia="宋体" w:cs="宋体"/>
          <w:b/>
          <w:sz w:val="28"/>
          <w:szCs w:val="28"/>
          <w:lang w:eastAsia="zh-CN"/>
        </w:rPr>
        <w:t>成交通知书</w:t>
      </w:r>
    </w:p>
    <w:p>
      <w:pPr>
        <w:pStyle w:val="61"/>
        <w:keepNext w:val="0"/>
        <w:keepLines w:val="0"/>
        <w:pageBreakBefore w:val="0"/>
        <w:widowControl w:val="0"/>
        <w:kinsoku/>
        <w:wordWrap w:val="0"/>
        <w:overflowPunct/>
        <w:topLinePunct w:val="0"/>
        <w:autoSpaceDE/>
        <w:autoSpaceDN/>
        <w:bidi w:val="0"/>
        <w:ind w:left="0" w:leftChars="0" w:firstLine="0" w:firstLineChars="0"/>
        <w:rPr>
          <w:rFonts w:hint="eastAsia" w:ascii="宋体" w:hAnsi="宋体" w:eastAsia="宋体" w:cs="宋体"/>
          <w:bCs/>
          <w:sz w:val="24"/>
          <w:szCs w:val="24"/>
        </w:rPr>
      </w:pPr>
    </w:p>
    <w:p>
      <w:pPr>
        <w:keepNext w:val="0"/>
        <w:keepLines w:val="0"/>
        <w:pageBreakBefore w:val="0"/>
        <w:widowControl w:val="0"/>
        <w:kinsoku/>
        <w:wordWrap w:val="0"/>
        <w:overflowPunct/>
        <w:topLinePunct w:val="0"/>
        <w:autoSpaceDE/>
        <w:autoSpaceDN/>
        <w:bidi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名称）：</w:t>
      </w:r>
    </w:p>
    <w:p>
      <w:pPr>
        <w:pStyle w:val="61"/>
        <w:keepNext w:val="0"/>
        <w:keepLines w:val="0"/>
        <w:pageBreakBefore w:val="0"/>
        <w:widowControl w:val="0"/>
        <w:kinsoku/>
        <w:wordWrap w:val="0"/>
        <w:overflowPunct/>
        <w:topLinePunct w:val="0"/>
        <w:autoSpaceDE/>
        <w:autoSpaceDN/>
        <w:bidi w:val="0"/>
        <w:spacing w:line="360" w:lineRule="auto"/>
        <w:rPr>
          <w:rFonts w:hint="eastAsia" w:ascii="宋体" w:hAnsi="宋体" w:eastAsia="宋体" w:cs="宋体"/>
          <w:bCs/>
          <w:sz w:val="24"/>
          <w:szCs w:val="24"/>
        </w:rPr>
      </w:pPr>
    </w:p>
    <w:p>
      <w:pPr>
        <w:pStyle w:val="61"/>
        <w:keepNext w:val="0"/>
        <w:keepLines w:val="0"/>
        <w:pageBreakBefore w:val="0"/>
        <w:widowControl w:val="0"/>
        <w:kinsoku/>
        <w:wordWrap w:val="0"/>
        <w:overflowPunct/>
        <w:topLinePunct w:val="0"/>
        <w:autoSpaceDE/>
        <w:autoSpaceDN/>
        <w:bidi w:val="0"/>
        <w:spacing w:line="360" w:lineRule="auto"/>
        <w:ind w:firstLine="0" w:firstLineChars="0"/>
        <w:rPr>
          <w:rFonts w:hint="eastAsia" w:ascii="宋体" w:hAnsi="宋体" w:eastAsia="宋体" w:cs="宋体"/>
          <w:b/>
          <w:sz w:val="24"/>
          <w:szCs w:val="24"/>
        </w:rPr>
      </w:pPr>
    </w:p>
    <w:p>
      <w:pPr>
        <w:keepNext w:val="0"/>
        <w:keepLines w:val="0"/>
        <w:pageBreakBefore w:val="0"/>
        <w:widowControl w:val="0"/>
        <w:kinsoku/>
        <w:wordWrap w:val="0"/>
        <w:overflowPunct/>
        <w:topLinePunct w:val="0"/>
        <w:autoSpaceDE/>
        <w:autoSpaceDN/>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你方于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（投标日期）所递交的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标段施工</w:t>
      </w:r>
      <w:r>
        <w:rPr>
          <w:rFonts w:hint="eastAsia" w:ascii="宋体" w:hAnsi="宋体" w:eastAsia="宋体" w:cs="宋体"/>
          <w:sz w:val="24"/>
          <w:szCs w:val="24"/>
          <w:lang w:eastAsia="zh-CN"/>
        </w:rPr>
        <w:t>响应文件</w:t>
      </w:r>
      <w:r>
        <w:rPr>
          <w:rFonts w:hint="eastAsia" w:ascii="宋体" w:hAnsi="宋体" w:eastAsia="宋体" w:cs="宋体"/>
          <w:color w:val="000000"/>
          <w:sz w:val="24"/>
          <w:szCs w:val="24"/>
        </w:rPr>
        <w:t>已被我方接受，被确定为</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中标价：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元。</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工期</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日历天。</w:t>
      </w:r>
    </w:p>
    <w:p>
      <w:pPr>
        <w:pStyle w:val="61"/>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lang w:eastAsia="zh-CN"/>
        </w:rPr>
      </w:pPr>
      <w:r>
        <w:rPr>
          <w:rFonts w:hint="eastAsia" w:ascii="宋体" w:hAnsi="宋体" w:eastAsia="宋体" w:cs="宋体"/>
          <w:color w:val="000000"/>
          <w:sz w:val="24"/>
          <w:szCs w:val="24"/>
          <w:lang w:eastAsia="zh-CN"/>
        </w:rPr>
        <w:t>工程质量：符合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标准。</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w:t>
      </w:r>
      <w:r>
        <w:rPr>
          <w:rFonts w:hint="eastAsia" w:ascii="宋体" w:hAnsi="宋体" w:eastAsia="宋体" w:cs="宋体"/>
          <w:color w:val="000000"/>
          <w:sz w:val="24"/>
          <w:szCs w:val="24"/>
          <w:lang w:eastAsia="zh-CN"/>
        </w:rPr>
        <w:t>经理</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（姓名）。</w:t>
      </w:r>
    </w:p>
    <w:p>
      <w:pPr>
        <w:keepNext w:val="0"/>
        <w:keepLines w:val="0"/>
        <w:pageBreakBefore w:val="0"/>
        <w:widowControl w:val="0"/>
        <w:kinsoku/>
        <w:wordWrap w:val="0"/>
        <w:overflowPunct/>
        <w:topLinePunct w:val="0"/>
        <w:autoSpaceDE/>
        <w:autoSpaceDN/>
        <w:bidi w:val="0"/>
        <w:spacing w:line="360" w:lineRule="auto"/>
        <w:ind w:firstLine="480" w:firstLineChars="200"/>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请你方在接到本通知书后的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日内到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（指定地点）与我方签订</w:t>
      </w:r>
      <w:r>
        <w:rPr>
          <w:rFonts w:hint="eastAsia" w:ascii="宋体" w:hAnsi="宋体" w:eastAsia="宋体" w:cs="宋体"/>
          <w:color w:val="000000"/>
          <w:sz w:val="24"/>
          <w:szCs w:val="24"/>
          <w:lang w:eastAsia="zh-CN"/>
        </w:rPr>
        <w:t>施工承包</w:t>
      </w:r>
      <w:r>
        <w:rPr>
          <w:rFonts w:hint="eastAsia" w:ascii="宋体" w:hAnsi="宋体" w:eastAsia="宋体" w:cs="宋体"/>
          <w:color w:val="000000"/>
          <w:sz w:val="24"/>
          <w:szCs w:val="24"/>
        </w:rPr>
        <w:t>合同，在此之前按</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第二章“</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须知”第7.</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款规定向我方提交履约担保。</w:t>
      </w:r>
    </w:p>
    <w:p>
      <w:pPr>
        <w:keepNext w:val="0"/>
        <w:keepLines w:val="0"/>
        <w:pageBreakBefore w:val="0"/>
        <w:widowControl w:val="0"/>
        <w:kinsoku/>
        <w:wordWrap w:val="0"/>
        <w:overflowPunct/>
        <w:topLinePunct w:val="0"/>
        <w:autoSpaceDE/>
        <w:autoSpaceDN/>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特此通知。</w:t>
      </w:r>
    </w:p>
    <w:p>
      <w:pPr>
        <w:keepNext w:val="0"/>
        <w:keepLines w:val="0"/>
        <w:pageBreakBefore w:val="0"/>
        <w:widowControl w:val="0"/>
        <w:kinsoku/>
        <w:wordWrap w:val="0"/>
        <w:overflowPunct/>
        <w:topLinePunct w:val="0"/>
        <w:autoSpaceDE/>
        <w:autoSpaceDN/>
        <w:bidi w:val="0"/>
        <w:spacing w:line="360" w:lineRule="auto"/>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ind w:firstLine="1450"/>
        <w:jc w:val="righ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（盖单位章）</w:t>
      </w:r>
    </w:p>
    <w:p>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ind w:firstLine="1450"/>
        <w:jc w:val="righ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（签字）</w:t>
      </w:r>
    </w:p>
    <w:p>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adjustRightInd/>
        <w:snapToGrid/>
        <w:spacing w:beforeLines="0" w:afterLines="0" w:line="360" w:lineRule="auto"/>
        <w:ind w:firstLine="480" w:firstLineChars="200"/>
        <w:jc w:val="right"/>
        <w:textAlignment w:val="auto"/>
        <w:rPr>
          <w:rFonts w:hint="eastAsia" w:ascii="宋体" w:hAnsi="宋体" w:eastAsia="宋体" w:cs="宋体"/>
          <w:b/>
          <w:bCs/>
          <w:sz w:val="28"/>
          <w:szCs w:val="28"/>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w:t>
      </w:r>
    </w:p>
    <w:p>
      <w:pPr>
        <w:keepNext w:val="0"/>
        <w:keepLines w:val="0"/>
        <w:pageBreakBefore w:val="0"/>
        <w:widowControl w:val="0"/>
        <w:kinsoku/>
        <w:wordWrap w:val="0"/>
        <w:overflowPunct/>
        <w:topLinePunct w:val="0"/>
        <w:autoSpaceDE/>
        <w:autoSpaceDN/>
        <w:bidi w:val="0"/>
        <w:ind w:left="0" w:leftChars="0" w:right="0" w:rightChars="0" w:firstLine="0" w:firstLineChars="0"/>
        <w:jc w:val="both"/>
        <w:rPr>
          <w:rFonts w:hint="eastAsia" w:ascii="宋体" w:hAnsi="宋体" w:eastAsia="宋体" w:cs="宋体"/>
        </w:rPr>
      </w:pPr>
      <w:r>
        <w:rPr>
          <w:rFonts w:hint="eastAsia" w:ascii="宋体" w:hAnsi="宋体" w:eastAsia="宋体" w:cs="宋体"/>
          <w:b/>
          <w:bCs/>
          <w:sz w:val="28"/>
          <w:szCs w:val="28"/>
        </w:rPr>
        <w:br w:type="page"/>
      </w:r>
      <w:bookmarkStart w:id="152" w:name="_Toc24890"/>
      <w:bookmarkStart w:id="153" w:name="_Toc29384707"/>
    </w:p>
    <w:p>
      <w:pPr>
        <w:keepNext w:val="0"/>
        <w:keepLines w:val="0"/>
        <w:pageBreakBefore w:val="0"/>
        <w:widowControl w:val="0"/>
        <w:kinsoku/>
        <w:wordWrap w:val="0"/>
        <w:overflowPunct/>
        <w:topLinePunct w:val="0"/>
        <w:autoSpaceDE/>
        <w:autoSpaceDN/>
        <w:bidi w:val="0"/>
        <w:spacing w:line="240" w:lineRule="auto"/>
        <w:ind w:firstLine="0"/>
        <w:outlineLvl w:val="9"/>
        <w:rPr>
          <w:rFonts w:hint="eastAsia" w:ascii="宋体" w:hAnsi="宋体" w:eastAsia="宋体" w:cs="宋体"/>
          <w:b/>
          <w:bCs/>
          <w:sz w:val="28"/>
          <w:szCs w:val="28"/>
        </w:rPr>
      </w:pPr>
      <w:r>
        <w:rPr>
          <w:rFonts w:hint="eastAsia" w:ascii="宋体" w:hAnsi="宋体" w:eastAsia="宋体" w:cs="宋体"/>
          <w:b/>
          <w:bCs/>
          <w:sz w:val="28"/>
          <w:szCs w:val="28"/>
        </w:rPr>
        <w:t>附</w:t>
      </w:r>
      <w:r>
        <w:rPr>
          <w:rFonts w:hint="eastAsia" w:ascii="宋体" w:hAnsi="宋体" w:eastAsia="宋体" w:cs="宋体"/>
          <w:b/>
          <w:bCs/>
          <w:sz w:val="28"/>
          <w:szCs w:val="28"/>
          <w:lang w:eastAsia="zh-CN"/>
        </w:rPr>
        <w:t>表</w:t>
      </w:r>
      <w:r>
        <w:rPr>
          <w:rFonts w:hint="eastAsia" w:ascii="宋体" w:hAnsi="宋体" w:eastAsia="宋体" w:cs="宋体"/>
          <w:b/>
          <w:bCs/>
          <w:sz w:val="28"/>
          <w:szCs w:val="28"/>
        </w:rPr>
        <w:t>五：中标结果通知书</w:t>
      </w:r>
      <w:bookmarkEnd w:id="152"/>
      <w:bookmarkEnd w:id="153"/>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p>
    <w:p>
      <w:pPr>
        <w:keepNext w:val="0"/>
        <w:keepLines w:val="0"/>
        <w:pageBreakBefore w:val="0"/>
        <w:widowControl w:val="0"/>
        <w:kinsoku/>
        <w:wordWrap w:val="0"/>
        <w:overflowPunct/>
        <w:topLinePunct w:val="0"/>
        <w:autoSpaceDE/>
        <w:autoSpaceDN/>
        <w:bidi w:val="0"/>
        <w:spacing w:beforeLines="50" w:afterLines="50"/>
        <w:ind w:firstLine="420"/>
        <w:jc w:val="center"/>
        <w:outlineLvl w:val="9"/>
        <w:rPr>
          <w:rFonts w:hint="eastAsia" w:ascii="宋体" w:hAnsi="宋体" w:eastAsia="宋体" w:cs="宋体"/>
          <w:b/>
          <w:sz w:val="28"/>
          <w:szCs w:val="28"/>
        </w:rPr>
      </w:pPr>
      <w:r>
        <w:rPr>
          <w:rFonts w:hint="eastAsia" w:ascii="宋体" w:hAnsi="宋体" w:eastAsia="宋体" w:cs="宋体"/>
          <w:b/>
          <w:sz w:val="28"/>
          <w:szCs w:val="28"/>
        </w:rPr>
        <w:t>中标结果通知书</w:t>
      </w: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bCs/>
          <w:sz w:val="24"/>
          <w:szCs w:val="24"/>
        </w:rPr>
      </w:pP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bCs/>
          <w:sz w:val="24"/>
          <w:szCs w:val="24"/>
        </w:rPr>
      </w:pPr>
    </w:p>
    <w:p>
      <w:pPr>
        <w:keepNext w:val="0"/>
        <w:keepLines w:val="0"/>
        <w:pageBreakBefore w:val="0"/>
        <w:widowControl w:val="0"/>
        <w:kinsoku/>
        <w:wordWrap w:val="0"/>
        <w:overflowPunct/>
        <w:topLinePunct w:val="0"/>
        <w:autoSpaceDE/>
        <w:autoSpaceDN/>
        <w:bidi w:val="0"/>
        <w:spacing w:line="440" w:lineRule="exact"/>
        <w:outlineLvl w:val="9"/>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（未</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名称）：</w:t>
      </w:r>
    </w:p>
    <w:p>
      <w:pPr>
        <w:pStyle w:val="61"/>
        <w:keepNext w:val="0"/>
        <w:keepLines w:val="0"/>
        <w:pageBreakBefore w:val="0"/>
        <w:widowControl w:val="0"/>
        <w:kinsoku/>
        <w:wordWrap w:val="0"/>
        <w:overflowPunct/>
        <w:topLinePunct w:val="0"/>
        <w:autoSpaceDE/>
        <w:autoSpaceDN/>
        <w:bidi w:val="0"/>
        <w:spacing w:line="360" w:lineRule="auto"/>
        <w:ind w:left="0" w:leftChars="0" w:firstLine="0" w:firstLineChars="0"/>
        <w:outlineLvl w:val="9"/>
        <w:rPr>
          <w:rFonts w:hint="eastAsia" w:ascii="宋体" w:hAnsi="宋体" w:eastAsia="宋体" w:cs="宋体"/>
          <w:bCs/>
          <w:sz w:val="24"/>
          <w:szCs w:val="24"/>
        </w:rPr>
      </w:pPr>
    </w:p>
    <w:p>
      <w:pPr>
        <w:pStyle w:val="61"/>
        <w:keepNext w:val="0"/>
        <w:keepLines w:val="0"/>
        <w:pageBreakBefore w:val="0"/>
        <w:widowControl w:val="0"/>
        <w:kinsoku/>
        <w:wordWrap w:val="0"/>
        <w:overflowPunct/>
        <w:topLinePunct w:val="0"/>
        <w:autoSpaceDE/>
        <w:autoSpaceDN/>
        <w:bidi w:val="0"/>
        <w:spacing w:line="360" w:lineRule="auto"/>
        <w:ind w:left="0" w:leftChars="0" w:firstLine="0" w:firstLineChars="0"/>
        <w:outlineLvl w:val="9"/>
        <w:rPr>
          <w:rFonts w:hint="eastAsia" w:ascii="宋体" w:hAnsi="宋体" w:eastAsia="宋体" w:cs="宋体"/>
          <w:bCs/>
          <w:sz w:val="24"/>
          <w:szCs w:val="24"/>
        </w:rPr>
      </w:pPr>
    </w:p>
    <w:p>
      <w:pPr>
        <w:pStyle w:val="61"/>
        <w:keepNext w:val="0"/>
        <w:keepLines w:val="0"/>
        <w:pageBreakBefore w:val="0"/>
        <w:widowControl w:val="0"/>
        <w:kinsoku/>
        <w:wordWrap w:val="0"/>
        <w:overflowPunct/>
        <w:topLinePunct w:val="0"/>
        <w:autoSpaceDE/>
        <w:autoSpaceDN/>
        <w:bidi w:val="0"/>
        <w:spacing w:line="360" w:lineRule="auto"/>
        <w:ind w:left="0" w:leftChars="0" w:firstLine="0" w:firstLineChars="0"/>
        <w:outlineLvl w:val="9"/>
        <w:rPr>
          <w:rFonts w:hint="eastAsia" w:ascii="宋体" w:hAnsi="宋体" w:eastAsia="宋体" w:cs="宋体"/>
          <w:b/>
          <w:sz w:val="24"/>
          <w:szCs w:val="24"/>
        </w:rPr>
      </w:pPr>
    </w:p>
    <w:p>
      <w:pPr>
        <w:keepNext w:val="0"/>
        <w:keepLines w:val="0"/>
        <w:pageBreakBefore w:val="0"/>
        <w:widowControl w:val="0"/>
        <w:kinsoku/>
        <w:wordWrap w:val="0"/>
        <w:overflowPunct/>
        <w:topLinePunct w:val="0"/>
        <w:autoSpaceDE/>
        <w:autoSpaceDN/>
        <w:bidi w:val="0"/>
        <w:spacing w:line="360" w:lineRule="auto"/>
        <w:ind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我方已接受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名称）于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（投标日期）所递交的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标段施工</w:t>
      </w:r>
      <w:r>
        <w:rPr>
          <w:rFonts w:hint="eastAsia" w:ascii="宋体" w:hAnsi="宋体" w:eastAsia="宋体" w:cs="宋体"/>
          <w:sz w:val="24"/>
          <w:szCs w:val="24"/>
          <w:lang w:eastAsia="zh-CN"/>
        </w:rPr>
        <w:t>响应文件</w:t>
      </w:r>
      <w:r>
        <w:rPr>
          <w:rFonts w:hint="eastAsia" w:ascii="宋体" w:hAnsi="宋体" w:eastAsia="宋体" w:cs="宋体"/>
          <w:color w:val="000000"/>
          <w:sz w:val="24"/>
          <w:szCs w:val="24"/>
        </w:rPr>
        <w:t>，确定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名称）为</w:t>
      </w:r>
      <w:r>
        <w:rPr>
          <w:rFonts w:hint="eastAsia" w:ascii="宋体" w:hAnsi="宋体" w:eastAsia="宋体" w:cs="宋体"/>
          <w:color w:val="000000"/>
          <w:sz w:val="24"/>
          <w:szCs w:val="24"/>
          <w:lang w:eastAsia="zh-CN"/>
        </w:rPr>
        <w:t>成交供应商</w:t>
      </w:r>
      <w:r>
        <w:rPr>
          <w:rFonts w:hint="eastAsia" w:ascii="宋体" w:hAnsi="宋体" w:eastAsia="宋体" w:cs="宋体"/>
          <w:color w:val="000000"/>
          <w:sz w:val="24"/>
          <w:szCs w:val="24"/>
        </w:rPr>
        <w:t>。</w:t>
      </w:r>
    </w:p>
    <w:p>
      <w:pPr>
        <w:keepNext w:val="0"/>
        <w:keepLines w:val="0"/>
        <w:pageBreakBefore w:val="0"/>
        <w:widowControl w:val="0"/>
        <w:kinsoku/>
        <w:wordWrap w:val="0"/>
        <w:overflowPunct/>
        <w:topLinePunct w:val="0"/>
        <w:autoSpaceDE/>
        <w:autoSpaceDN/>
        <w:bidi w:val="0"/>
        <w:spacing w:line="360" w:lineRule="auto"/>
        <w:ind w:firstLine="480" w:firstLineChars="200"/>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ind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感谢你单位对</w:t>
      </w:r>
      <w:r>
        <w:rPr>
          <w:rFonts w:hint="eastAsia" w:ascii="宋体" w:hAnsi="宋体" w:eastAsia="宋体" w:cs="宋体"/>
          <w:color w:val="000000"/>
          <w:sz w:val="24"/>
          <w:szCs w:val="24"/>
          <w:lang w:eastAsia="zh-CN"/>
        </w:rPr>
        <w:t>我们工作</w:t>
      </w:r>
      <w:r>
        <w:rPr>
          <w:rFonts w:hint="eastAsia" w:ascii="宋体" w:hAnsi="宋体" w:eastAsia="宋体" w:cs="宋体"/>
          <w:color w:val="000000"/>
          <w:sz w:val="24"/>
          <w:szCs w:val="24"/>
        </w:rPr>
        <w:t>的</w:t>
      </w:r>
      <w:r>
        <w:rPr>
          <w:rFonts w:hint="eastAsia" w:ascii="宋体" w:hAnsi="宋体" w:eastAsia="宋体" w:cs="宋体"/>
          <w:color w:val="000000"/>
          <w:sz w:val="24"/>
          <w:szCs w:val="24"/>
          <w:lang w:eastAsia="zh-CN"/>
        </w:rPr>
        <w:t>大力支持</w:t>
      </w:r>
      <w:r>
        <w:rPr>
          <w:rFonts w:hint="eastAsia" w:ascii="宋体" w:hAnsi="宋体" w:eastAsia="宋体" w:cs="宋体"/>
          <w:color w:val="000000"/>
          <w:sz w:val="24"/>
          <w:szCs w:val="24"/>
        </w:rPr>
        <w:t>！</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ind w:firstLine="2835"/>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（盖单位章）</w:t>
      </w:r>
    </w:p>
    <w:p>
      <w:pPr>
        <w:pStyle w:val="2"/>
        <w:keepNext w:val="0"/>
        <w:keepLines w:val="0"/>
        <w:pageBreakBefore w:val="0"/>
        <w:widowControl w:val="0"/>
        <w:kinsoku/>
        <w:wordWrap w:val="0"/>
        <w:overflowPunct/>
        <w:topLinePunct w:val="0"/>
        <w:autoSpaceDE/>
        <w:autoSpaceDN/>
        <w:bidi w:val="0"/>
        <w:jc w:val="right"/>
        <w:outlineLvl w:val="9"/>
        <w:rPr>
          <w:rFonts w:hint="eastAsia" w:ascii="宋体" w:hAnsi="宋体" w:eastAsia="宋体" w:cs="宋体"/>
          <w:color w:val="000000"/>
          <w:sz w:val="24"/>
          <w:szCs w:val="24"/>
          <w:lang w:val="en-US" w:eastAsia="zh-CN" w:bidi="ar-SA"/>
        </w:rPr>
      </w:pPr>
    </w:p>
    <w:p>
      <w:pPr>
        <w:pStyle w:val="2"/>
        <w:keepNext w:val="0"/>
        <w:keepLines w:val="0"/>
        <w:pageBreakBefore w:val="0"/>
        <w:widowControl w:val="0"/>
        <w:kinsoku/>
        <w:wordWrap w:val="0"/>
        <w:overflowPunct/>
        <w:topLinePunct w:val="0"/>
        <w:autoSpaceDE/>
        <w:autoSpaceDN/>
        <w:bidi w:val="0"/>
        <w:jc w:val="right"/>
        <w:outlineLvl w:val="9"/>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法定代表人：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（签字）</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jc w:val="right"/>
        <w:outlineLvl w:val="9"/>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日</w:t>
      </w:r>
    </w:p>
    <w:p>
      <w:pPr>
        <w:keepNext w:val="0"/>
        <w:keepLines w:val="0"/>
        <w:pageBreakBefore w:val="0"/>
        <w:widowControl w:val="0"/>
        <w:kinsoku/>
        <w:wordWrap w:val="0"/>
        <w:overflowPunct/>
        <w:topLinePunct w:val="0"/>
        <w:autoSpaceDE/>
        <w:autoSpaceDN/>
        <w:bidi w:val="0"/>
        <w:jc w:val="left"/>
        <w:outlineLvl w:val="9"/>
        <w:rPr>
          <w:rFonts w:hint="eastAsia" w:ascii="宋体" w:hAnsi="宋体" w:eastAsia="宋体" w:cs="宋体"/>
        </w:rPr>
      </w:pPr>
      <w:bookmarkStart w:id="154" w:name="_Toc16949"/>
      <w:bookmarkStart w:id="155" w:name="_Toc29384708"/>
      <w:r>
        <w:rPr>
          <w:rFonts w:hint="eastAsia" w:ascii="宋体" w:hAnsi="宋体" w:eastAsia="宋体" w:cs="宋体"/>
        </w:rPr>
        <w:br w:type="page"/>
      </w:r>
    </w:p>
    <w:p>
      <w:pPr>
        <w:keepNext w:val="0"/>
        <w:keepLines w:val="0"/>
        <w:pageBreakBefore w:val="0"/>
        <w:widowControl w:val="0"/>
        <w:kinsoku/>
        <w:wordWrap w:val="0"/>
        <w:overflowPunct/>
        <w:topLinePunct w:val="0"/>
        <w:autoSpaceDE/>
        <w:autoSpaceDN/>
        <w:bidi w:val="0"/>
        <w:spacing w:line="240" w:lineRule="auto"/>
        <w:outlineLvl w:val="9"/>
        <w:rPr>
          <w:rFonts w:hint="eastAsia" w:ascii="宋体" w:hAnsi="宋体" w:eastAsia="宋体" w:cs="宋体"/>
          <w:b/>
          <w:bCs/>
          <w:sz w:val="28"/>
          <w:szCs w:val="28"/>
        </w:rPr>
      </w:pPr>
      <w:r>
        <w:rPr>
          <w:rFonts w:hint="eastAsia" w:ascii="宋体" w:hAnsi="宋体" w:eastAsia="宋体" w:cs="宋体"/>
          <w:b/>
          <w:bCs/>
          <w:sz w:val="28"/>
          <w:szCs w:val="28"/>
        </w:rPr>
        <w:t>附</w:t>
      </w:r>
      <w:r>
        <w:rPr>
          <w:rFonts w:hint="eastAsia" w:ascii="宋体" w:hAnsi="宋体" w:eastAsia="宋体" w:cs="宋体"/>
          <w:b/>
          <w:bCs/>
          <w:sz w:val="28"/>
          <w:szCs w:val="28"/>
          <w:lang w:eastAsia="zh-CN"/>
        </w:rPr>
        <w:t>表</w:t>
      </w:r>
      <w:r>
        <w:rPr>
          <w:rFonts w:hint="eastAsia" w:ascii="宋体" w:hAnsi="宋体" w:eastAsia="宋体" w:cs="宋体"/>
          <w:b/>
          <w:bCs/>
          <w:sz w:val="28"/>
          <w:szCs w:val="28"/>
        </w:rPr>
        <w:t>六：确认通知</w:t>
      </w:r>
      <w:bookmarkEnd w:id="154"/>
      <w:bookmarkEnd w:id="155"/>
    </w:p>
    <w:p>
      <w:pPr>
        <w:keepNext w:val="0"/>
        <w:keepLines w:val="0"/>
        <w:pageBreakBefore w:val="0"/>
        <w:widowControl w:val="0"/>
        <w:kinsoku/>
        <w:wordWrap w:val="0"/>
        <w:overflowPunct/>
        <w:topLinePunct w:val="0"/>
        <w:autoSpaceDE/>
        <w:autoSpaceDN/>
        <w:bidi w:val="0"/>
        <w:jc w:val="center"/>
        <w:outlineLvl w:val="9"/>
        <w:rPr>
          <w:rFonts w:hint="eastAsia" w:ascii="宋体" w:hAnsi="宋体" w:eastAsia="宋体" w:cs="宋体"/>
          <w:b/>
          <w:sz w:val="28"/>
        </w:rPr>
      </w:pPr>
      <w:r>
        <w:rPr>
          <w:rFonts w:hint="eastAsia" w:ascii="宋体" w:hAnsi="宋体" w:eastAsia="宋体" w:cs="宋体"/>
          <w:b/>
          <w:sz w:val="28"/>
        </w:rPr>
        <w:t>确认通知</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u w:val="single"/>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u w:val="single"/>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名称）：</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ind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你方于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日发出的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标段施工</w:t>
      </w:r>
      <w:r>
        <w:rPr>
          <w:rFonts w:hint="eastAsia" w:ascii="宋体" w:hAnsi="宋体" w:eastAsia="宋体" w:cs="宋体"/>
          <w:color w:val="000000"/>
          <w:sz w:val="24"/>
          <w:szCs w:val="24"/>
          <w:lang w:eastAsia="zh-CN"/>
        </w:rPr>
        <w:t>招标</w:t>
      </w:r>
      <w:r>
        <w:rPr>
          <w:rFonts w:hint="eastAsia" w:ascii="宋体" w:hAnsi="宋体" w:eastAsia="宋体" w:cs="宋体"/>
          <w:color w:val="000000"/>
          <w:sz w:val="24"/>
          <w:szCs w:val="24"/>
        </w:rPr>
        <w:t>关于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的通知，我方已于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日收到。</w:t>
      </w:r>
    </w:p>
    <w:p>
      <w:pPr>
        <w:keepNext w:val="0"/>
        <w:keepLines w:val="0"/>
        <w:pageBreakBefore w:val="0"/>
        <w:widowControl w:val="0"/>
        <w:kinsoku/>
        <w:wordWrap w:val="0"/>
        <w:overflowPunct/>
        <w:topLinePunct w:val="0"/>
        <w:autoSpaceDE/>
        <w:autoSpaceDN/>
        <w:bidi w:val="0"/>
        <w:spacing w:line="360" w:lineRule="auto"/>
        <w:ind w:firstLine="480" w:firstLineChars="200"/>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ind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特此确认。</w:t>
      </w: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ind w:firstLine="1150"/>
        <w:jc w:val="right"/>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（盖单位章）</w:t>
      </w:r>
    </w:p>
    <w:p>
      <w:pPr>
        <w:keepNext w:val="0"/>
        <w:keepLines w:val="0"/>
        <w:pageBreakBefore w:val="0"/>
        <w:widowControl w:val="0"/>
        <w:kinsoku/>
        <w:wordWrap w:val="0"/>
        <w:overflowPunct/>
        <w:topLinePunct w:val="0"/>
        <w:autoSpaceDE/>
        <w:autoSpaceDN/>
        <w:bidi w:val="0"/>
        <w:spacing w:line="360" w:lineRule="auto"/>
        <w:ind w:firstLine="1150"/>
        <w:jc w:val="right"/>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360" w:lineRule="auto"/>
        <w:ind w:firstLine="50"/>
        <w:jc w:val="right"/>
        <w:outlineLvl w:val="9"/>
        <w:rPr>
          <w:rFonts w:hint="eastAsia" w:ascii="宋体" w:hAnsi="宋体" w:eastAsia="宋体" w:cs="宋体"/>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keepNext w:val="0"/>
        <w:keepLines w:val="0"/>
        <w:pageBreakBefore w:val="0"/>
        <w:widowControl w:val="0"/>
        <w:kinsoku/>
        <w:wordWrap w:val="0"/>
        <w:overflowPunct/>
        <w:topLinePunct w:val="0"/>
        <w:autoSpaceDE/>
        <w:autoSpaceDN/>
        <w:bidi w:val="0"/>
        <w:spacing w:line="240" w:lineRule="auto"/>
        <w:outlineLvl w:val="9"/>
        <w:rPr>
          <w:rFonts w:hint="eastAsia" w:ascii="宋体" w:hAnsi="宋体" w:eastAsia="宋体" w:cs="宋体"/>
          <w:b/>
          <w:bCs/>
          <w:sz w:val="28"/>
          <w:szCs w:val="28"/>
        </w:rPr>
      </w:pPr>
      <w:r>
        <w:rPr>
          <w:rFonts w:hint="eastAsia" w:ascii="宋体" w:hAnsi="宋体" w:eastAsia="宋体" w:cs="宋体"/>
          <w:b/>
          <w:bCs/>
          <w:sz w:val="28"/>
          <w:szCs w:val="28"/>
        </w:rPr>
        <w:t>附表七：备选投标方案编制要求</w:t>
      </w:r>
    </w:p>
    <w:p>
      <w:pPr>
        <w:keepNext w:val="0"/>
        <w:keepLines w:val="0"/>
        <w:pageBreakBefore w:val="0"/>
        <w:widowControl w:val="0"/>
        <w:kinsoku/>
        <w:wordWrap w:val="0"/>
        <w:overflowPunct/>
        <w:topLinePunct w:val="0"/>
        <w:autoSpaceDE/>
        <w:autoSpaceDN/>
        <w:bidi w:val="0"/>
        <w:snapToGrid w:val="0"/>
        <w:spacing w:before="360" w:after="360" w:line="480" w:lineRule="exact"/>
        <w:jc w:val="center"/>
        <w:rPr>
          <w:rFonts w:hint="eastAsia" w:ascii="宋体" w:hAnsi="宋体" w:eastAsia="宋体" w:cs="宋体"/>
          <w:color w:val="auto"/>
          <w:sz w:val="28"/>
          <w:highlight w:val="none"/>
        </w:rPr>
      </w:pPr>
      <w:r>
        <w:rPr>
          <w:rFonts w:hint="eastAsia" w:ascii="宋体" w:hAnsi="宋体" w:eastAsia="宋体" w:cs="宋体"/>
          <w:b/>
          <w:sz w:val="28"/>
        </w:rPr>
        <w:t>备选投标方案编制要求</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备注：允许备选投标方案时，本附表应当作为本章“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须知”的附件，由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根据招标项目的具体情况和第三章“评标办法”中所附的评审和比较方法，对备选投标方案是否或在多大程度上可以偏离</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相关实质性要求、备选投标方案的组成内容，装订和递交要求等给予具体规定。</w:t>
      </w:r>
    </w:p>
    <w:p>
      <w:pPr>
        <w:keepNext w:val="0"/>
        <w:keepLines w:val="0"/>
        <w:pageBreakBefore w:val="0"/>
        <w:widowControl w:val="0"/>
        <w:kinsoku/>
        <w:wordWrap w:val="0"/>
        <w:overflowPunct/>
        <w:topLinePunct w:val="0"/>
        <w:autoSpaceDE/>
        <w:autoSpaceDN/>
        <w:bidi w:val="0"/>
        <w:jc w:val="left"/>
        <w:rPr>
          <w:rFonts w:hint="eastAsia" w:ascii="宋体" w:hAnsi="宋体" w:eastAsia="宋体" w:cs="宋体"/>
        </w:rPr>
      </w:pPr>
      <w:bookmarkStart w:id="156" w:name="_Toc24670"/>
      <w:bookmarkStart w:id="157" w:name="_Toc18778"/>
      <w:bookmarkStart w:id="158" w:name="_Toc492300416"/>
      <w:bookmarkStart w:id="159" w:name="_Toc23156"/>
      <w:bookmarkStart w:id="160" w:name="_Toc16854"/>
      <w:r>
        <w:rPr>
          <w:rFonts w:hint="eastAsia" w:ascii="宋体" w:hAnsi="宋体" w:eastAsia="宋体" w:cs="宋体"/>
        </w:rPr>
        <w:br w:type="page"/>
      </w:r>
    </w:p>
    <w:p>
      <w:pPr>
        <w:keepNext w:val="0"/>
        <w:keepLines w:val="0"/>
        <w:pageBreakBefore w:val="0"/>
        <w:widowControl w:val="0"/>
        <w:kinsoku/>
        <w:wordWrap w:val="0"/>
        <w:overflowPunct/>
        <w:topLinePunct w:val="0"/>
        <w:autoSpaceDE/>
        <w:autoSpaceDN/>
        <w:bidi w:val="0"/>
        <w:spacing w:line="240" w:lineRule="auto"/>
        <w:outlineLvl w:val="9"/>
        <w:rPr>
          <w:rFonts w:hint="eastAsia" w:ascii="宋体" w:hAnsi="宋体" w:eastAsia="宋体" w:cs="宋体"/>
          <w:b/>
          <w:bCs/>
          <w:sz w:val="28"/>
          <w:szCs w:val="28"/>
        </w:rPr>
      </w:pPr>
      <w:r>
        <w:rPr>
          <w:rFonts w:hint="eastAsia" w:ascii="宋体" w:hAnsi="宋体" w:eastAsia="宋体" w:cs="宋体"/>
          <w:b/>
          <w:bCs/>
          <w:sz w:val="28"/>
          <w:szCs w:val="28"/>
        </w:rPr>
        <w:t>附表八：电子</w:t>
      </w:r>
      <w:r>
        <w:rPr>
          <w:rFonts w:hint="eastAsia" w:ascii="宋体" w:hAnsi="宋体" w:eastAsia="宋体" w:cs="宋体"/>
          <w:b/>
          <w:bCs/>
          <w:sz w:val="28"/>
          <w:szCs w:val="28"/>
          <w:lang w:eastAsia="zh-CN"/>
        </w:rPr>
        <w:t>响应文件</w:t>
      </w:r>
      <w:r>
        <w:rPr>
          <w:rFonts w:hint="eastAsia" w:ascii="宋体" w:hAnsi="宋体" w:eastAsia="宋体" w:cs="宋体"/>
          <w:b/>
          <w:bCs/>
          <w:sz w:val="28"/>
          <w:szCs w:val="28"/>
        </w:rPr>
        <w:t>编制及报送要求</w:t>
      </w:r>
    </w:p>
    <w:p>
      <w:pPr>
        <w:keepNext w:val="0"/>
        <w:keepLines w:val="0"/>
        <w:pageBreakBefore w:val="0"/>
        <w:widowControl w:val="0"/>
        <w:kinsoku/>
        <w:wordWrap w:val="0"/>
        <w:overflowPunct/>
        <w:topLinePunct w:val="0"/>
        <w:autoSpaceDE/>
        <w:autoSpaceDN/>
        <w:bidi w:val="0"/>
        <w:snapToGrid w:val="0"/>
        <w:spacing w:before="360" w:after="360" w:line="420" w:lineRule="exact"/>
        <w:jc w:val="center"/>
        <w:rPr>
          <w:rFonts w:hint="eastAsia" w:ascii="宋体" w:hAnsi="宋体" w:eastAsia="宋体" w:cs="宋体"/>
          <w:color w:val="auto"/>
          <w:sz w:val="28"/>
          <w:highlight w:val="none"/>
        </w:rPr>
      </w:pPr>
      <w:r>
        <w:rPr>
          <w:rFonts w:hint="eastAsia" w:ascii="宋体" w:hAnsi="宋体" w:eastAsia="宋体" w:cs="宋体"/>
          <w:b/>
          <w:sz w:val="28"/>
        </w:rPr>
        <w:t>电子</w:t>
      </w:r>
      <w:r>
        <w:rPr>
          <w:rFonts w:hint="eastAsia" w:ascii="宋体" w:hAnsi="宋体" w:eastAsia="宋体" w:cs="宋体"/>
          <w:b/>
          <w:sz w:val="28"/>
          <w:lang w:eastAsia="zh-CN"/>
        </w:rPr>
        <w:t>响应文件</w:t>
      </w:r>
      <w:r>
        <w:rPr>
          <w:rFonts w:hint="eastAsia" w:ascii="宋体" w:hAnsi="宋体" w:eastAsia="宋体" w:cs="宋体"/>
          <w:b/>
          <w:sz w:val="28"/>
        </w:rPr>
        <w:t>编制及报送要求</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rPr>
          <w:rFonts w:hint="eastAsia" w:ascii="宋体" w:hAnsi="宋体" w:eastAsia="宋体" w:cs="宋体"/>
        </w:rPr>
      </w:pPr>
      <w:r>
        <w:rPr>
          <w:rFonts w:hint="eastAsia" w:ascii="宋体" w:hAnsi="宋体" w:eastAsia="宋体" w:cs="宋体"/>
          <w:color w:val="auto"/>
          <w:sz w:val="24"/>
          <w:szCs w:val="24"/>
          <w:highlight w:val="none"/>
        </w:rPr>
        <w:t>备注：采用电子化招标、投标和评标的，本附表应当作为本章“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须知”的附件，由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根据招标项目的具体情况给予规定。</w:t>
      </w:r>
    </w:p>
    <w:p>
      <w:pPr>
        <w:keepNext w:val="0"/>
        <w:keepLines w:val="0"/>
        <w:pageBreakBefore w:val="0"/>
        <w:widowControl w:val="0"/>
        <w:kinsoku/>
        <w:wordWrap w:val="0"/>
        <w:overflowPunct/>
        <w:topLinePunct w:val="0"/>
        <w:autoSpaceDE/>
        <w:autoSpaceDN/>
        <w:bidi w:val="0"/>
        <w:rPr>
          <w:rFonts w:hint="eastAsia" w:ascii="宋体" w:hAnsi="宋体" w:eastAsia="宋体" w:cs="宋体"/>
        </w:rPr>
      </w:pPr>
      <w:r>
        <w:rPr>
          <w:rFonts w:hint="eastAsia" w:ascii="宋体" w:hAnsi="宋体" w:eastAsia="宋体" w:cs="宋体"/>
        </w:rPr>
        <w:br w:type="page"/>
      </w:r>
    </w:p>
    <w:p>
      <w:pPr>
        <w:pStyle w:val="3"/>
        <w:keepNext w:val="0"/>
        <w:keepLines w:val="0"/>
        <w:pageBreakBefore w:val="0"/>
        <w:widowControl w:val="0"/>
        <w:kinsoku/>
        <w:wordWrap w:val="0"/>
        <w:overflowPunct/>
        <w:topLinePunct w:val="0"/>
        <w:autoSpaceDE/>
        <w:autoSpaceDN/>
        <w:bidi w:val="0"/>
        <w:adjustRightInd/>
        <w:snapToGrid/>
        <w:spacing w:before="0" w:after="157" w:afterLines="50" w:line="240" w:lineRule="auto"/>
        <w:jc w:val="center"/>
        <w:textAlignment w:val="auto"/>
        <w:rPr>
          <w:rFonts w:hint="eastAsia" w:ascii="宋体" w:hAnsi="宋体" w:eastAsia="宋体" w:cs="宋体"/>
        </w:rPr>
      </w:pPr>
      <w:bookmarkStart w:id="161" w:name="_Toc10716"/>
      <w:r>
        <w:rPr>
          <w:rFonts w:hint="eastAsia" w:ascii="宋体" w:hAnsi="宋体" w:eastAsia="宋体" w:cs="宋体"/>
        </w:rPr>
        <w:t>第三章 评标办法（综合评估法）</w:t>
      </w:r>
      <w:bookmarkEnd w:id="156"/>
      <w:bookmarkEnd w:id="157"/>
      <w:bookmarkEnd w:id="158"/>
      <w:bookmarkEnd w:id="159"/>
      <w:bookmarkEnd w:id="160"/>
      <w:bookmarkEnd w:id="161"/>
    </w:p>
    <w:tbl>
      <w:tblPr>
        <w:tblStyle w:val="43"/>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509"/>
        <w:gridCol w:w="1618"/>
        <w:gridCol w:w="5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2482" w:type="dxa"/>
            <w:gridSpan w:val="2"/>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
                <w:bCs/>
                <w:sz w:val="24"/>
                <w:szCs w:val="24"/>
                <w:lang w:val="zh-CN"/>
              </w:rPr>
            </w:pPr>
            <w:bookmarkStart w:id="162" w:name="_Toc29384710"/>
            <w:bookmarkStart w:id="163" w:name="_Toc27194"/>
            <w:bookmarkStart w:id="164" w:name="_Toc24104"/>
            <w:bookmarkStart w:id="165" w:name="_Toc30655"/>
            <w:bookmarkStart w:id="166" w:name="_Toc28095"/>
            <w:bookmarkStart w:id="167" w:name="_Toc21069"/>
            <w:bookmarkStart w:id="168" w:name="_Toc3060"/>
            <w:r>
              <w:rPr>
                <w:rFonts w:hint="eastAsia" w:ascii="宋体" w:hAnsi="宋体" w:eastAsia="宋体" w:cs="宋体"/>
                <w:b/>
                <w:bCs/>
                <w:sz w:val="24"/>
                <w:szCs w:val="24"/>
                <w:lang w:val="zh-CN"/>
              </w:rPr>
              <w:t>条款号</w:t>
            </w:r>
          </w:p>
        </w:tc>
        <w:tc>
          <w:tcPr>
            <w:tcW w:w="1618"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评审因素</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73" w:type="dxa"/>
            <w:vMerge w:val="restart"/>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eastAsia="宋体" w:cs="宋体"/>
                <w:bCs/>
                <w:sz w:val="24"/>
                <w:szCs w:val="24"/>
                <w:lang w:val="zh-CN"/>
              </w:rPr>
              <w:t>2.1.1</w:t>
            </w:r>
          </w:p>
        </w:tc>
        <w:tc>
          <w:tcPr>
            <w:tcW w:w="1509" w:type="dxa"/>
            <w:vMerge w:val="restart"/>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eastAsia="宋体" w:cs="宋体"/>
                <w:bCs/>
                <w:sz w:val="24"/>
                <w:szCs w:val="24"/>
                <w:lang w:val="zh-CN"/>
              </w:rPr>
              <w:t>形式评</w:t>
            </w:r>
          </w:p>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eastAsia="宋体" w:cs="宋体"/>
                <w:bCs/>
                <w:sz w:val="24"/>
                <w:szCs w:val="24"/>
                <w:lang w:val="zh-CN"/>
              </w:rPr>
              <w:t>审标准</w:t>
            </w:r>
          </w:p>
        </w:tc>
        <w:tc>
          <w:tcPr>
            <w:tcW w:w="1618"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eastAsia="宋体" w:cs="宋体"/>
                <w:bCs/>
                <w:sz w:val="24"/>
                <w:szCs w:val="24"/>
                <w:lang w:val="zh-CN"/>
              </w:rPr>
              <w:t>投标人名称</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both"/>
              <w:rPr>
                <w:rFonts w:hint="eastAsia" w:ascii="宋体" w:hAnsi="宋体" w:eastAsia="宋体" w:cs="宋体"/>
                <w:bCs/>
                <w:sz w:val="24"/>
                <w:szCs w:val="24"/>
                <w:lang w:val="zh-CN"/>
              </w:rPr>
            </w:pPr>
            <w:r>
              <w:rPr>
                <w:rFonts w:hint="eastAsia" w:ascii="宋体" w:hAnsi="宋体" w:eastAsia="宋体" w:cs="宋体"/>
                <w:bCs/>
                <w:sz w:val="24"/>
                <w:szCs w:val="24"/>
                <w:lang w:val="zh-CN"/>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cs="宋体"/>
                <w:bCs/>
                <w:sz w:val="24"/>
                <w:szCs w:val="24"/>
                <w:lang w:val="zh-CN"/>
              </w:rPr>
              <w:t>签字或盖章要求</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rPr>
                <w:rFonts w:hint="eastAsia" w:ascii="宋体" w:hAnsi="宋体" w:eastAsia="宋体" w:cs="宋体"/>
                <w:bCs/>
                <w:sz w:val="24"/>
                <w:szCs w:val="24"/>
                <w:lang w:val="zh-CN"/>
              </w:rPr>
            </w:pPr>
            <w:r>
              <w:rPr>
                <w:rFonts w:hint="eastAsia" w:ascii="宋体" w:hAnsi="宋体" w:cs="宋体"/>
                <w:sz w:val="24"/>
                <w:szCs w:val="24"/>
                <w:lang w:val="zh-CN"/>
              </w:rPr>
              <w:t>符合招标文件规定的要求为合格，否则为不合格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sz w:val="24"/>
                <w:szCs w:val="24"/>
                <w:lang w:val="zh-CN"/>
              </w:rPr>
            </w:pPr>
            <w:r>
              <w:rPr>
                <w:rFonts w:hint="eastAsia" w:ascii="宋体" w:hAnsi="宋体" w:eastAsia="宋体" w:cs="宋体"/>
                <w:bCs/>
                <w:sz w:val="24"/>
                <w:szCs w:val="24"/>
                <w:lang w:val="zh-CN"/>
              </w:rPr>
              <w:t>投标文件格式</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textAlignment w:val="auto"/>
              <w:rPr>
                <w:rFonts w:hint="eastAsia" w:ascii="宋体" w:hAnsi="宋体" w:eastAsia="宋体" w:cs="宋体"/>
                <w:sz w:val="24"/>
                <w:szCs w:val="24"/>
                <w:lang w:val="zh-CN"/>
              </w:rPr>
            </w:pPr>
            <w:r>
              <w:rPr>
                <w:rFonts w:hint="eastAsia" w:ascii="宋体" w:hAnsi="宋体" w:eastAsia="宋体" w:cs="宋体"/>
                <w:bCs/>
                <w:sz w:val="24"/>
                <w:szCs w:val="24"/>
                <w:lang w:val="zh-CN"/>
              </w:rPr>
              <w:t>符合第八章“投标文件格式”的要求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联合体投标人（如有）</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提交符合招标文件要求的联合体协议书，明确各方承担连带责任，并明确联合体牵头人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rPr>
            </w:pPr>
            <w:r>
              <w:rPr>
                <w:rFonts w:hint="eastAsia" w:ascii="宋体" w:hAnsi="宋体" w:eastAsia="宋体" w:cs="宋体"/>
                <w:bCs/>
                <w:sz w:val="24"/>
                <w:szCs w:val="24"/>
                <w:lang w:val="zh-CN"/>
              </w:rPr>
              <w:t>报价唯一</w:t>
            </w:r>
          </w:p>
        </w:tc>
        <w:tc>
          <w:tcPr>
            <w:tcW w:w="5799" w:type="dxa"/>
            <w:noWrap/>
            <w:vAlign w:val="center"/>
          </w:tcPr>
          <w:p>
            <w:pPr>
              <w:keepNext w:val="0"/>
              <w:keepLines w:val="0"/>
              <w:pageBreakBefore w:val="0"/>
              <w:widowControl w:val="0"/>
              <w:kinsoku/>
              <w:wordWrap w:val="0"/>
              <w:overflowPunct/>
              <w:topLinePunct w:val="0"/>
              <w:autoSpaceDE/>
              <w:autoSpaceDN/>
              <w:bidi w:val="0"/>
              <w:spacing w:line="400" w:lineRule="exact"/>
              <w:textAlignment w:val="auto"/>
              <w:rPr>
                <w:rFonts w:ascii="宋体" w:hAnsi="宋体" w:cs="宋体"/>
                <w:sz w:val="24"/>
                <w:szCs w:val="24"/>
              </w:rPr>
            </w:pPr>
            <w:r>
              <w:rPr>
                <w:rFonts w:hint="eastAsia" w:ascii="宋体" w:hAnsi="宋体" w:cs="宋体"/>
                <w:sz w:val="24"/>
                <w:szCs w:val="24"/>
              </w:rPr>
              <w:t>合格：只能有一个有效报价；</w:t>
            </w:r>
          </w:p>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textAlignment w:val="auto"/>
              <w:rPr>
                <w:rFonts w:hint="eastAsia" w:ascii="宋体" w:hAnsi="宋体" w:eastAsia="宋体" w:cs="宋体"/>
                <w:bCs/>
                <w:sz w:val="24"/>
                <w:szCs w:val="24"/>
                <w:lang w:val="zh-CN"/>
              </w:rPr>
            </w:pPr>
            <w:r>
              <w:rPr>
                <w:rFonts w:hint="eastAsia" w:ascii="宋体" w:hAnsi="宋体" w:cs="宋体"/>
                <w:sz w:val="24"/>
                <w:szCs w:val="24"/>
              </w:rPr>
              <w:t>不合格：有两个或多个报价，且未声明哪一个有效（按招标文件规定提交备选投标方案的除外）。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7417" w:type="dxa"/>
            <w:gridSpan w:val="2"/>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textAlignment w:val="auto"/>
              <w:rPr>
                <w:rFonts w:hint="eastAsia" w:ascii="宋体" w:hAnsi="宋体" w:cs="宋体"/>
                <w:sz w:val="24"/>
                <w:szCs w:val="24"/>
              </w:rPr>
            </w:pPr>
            <w:r>
              <w:rPr>
                <w:rFonts w:hint="eastAsia" w:ascii="宋体" w:hAnsi="宋体" w:cs="宋体"/>
                <w:sz w:val="24"/>
                <w:szCs w:val="24"/>
              </w:rPr>
              <w:t>上述评审因素都合格为形式评审合格，有一项不合格为废标，不再进行下一步评审。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restart"/>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eastAsia="宋体" w:cs="宋体"/>
                <w:bCs/>
                <w:sz w:val="24"/>
                <w:szCs w:val="24"/>
                <w:lang w:val="zh-CN"/>
              </w:rPr>
              <w:t>2.1.2</w:t>
            </w:r>
          </w:p>
        </w:tc>
        <w:tc>
          <w:tcPr>
            <w:tcW w:w="1509" w:type="dxa"/>
            <w:vMerge w:val="restart"/>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eastAsia="宋体" w:cs="宋体"/>
                <w:bCs/>
                <w:sz w:val="24"/>
                <w:szCs w:val="24"/>
                <w:lang w:val="zh-CN"/>
              </w:rPr>
              <w:t>资格评</w:t>
            </w:r>
          </w:p>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eastAsia="宋体" w:cs="宋体"/>
                <w:bCs/>
                <w:sz w:val="24"/>
                <w:szCs w:val="24"/>
                <w:lang w:val="zh-CN"/>
              </w:rPr>
              <w:t>审标准</w:t>
            </w: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营业执照</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textAlignment w:val="auto"/>
              <w:rPr>
                <w:rFonts w:hint="eastAsia" w:ascii="宋体" w:hAnsi="宋体" w:eastAsia="宋体" w:cs="宋体"/>
                <w:bCs/>
                <w:sz w:val="24"/>
                <w:szCs w:val="24"/>
                <w:lang w:val="zh-CN" w:eastAsia="zh-CN" w:bidi="ar-SA"/>
              </w:rPr>
            </w:pPr>
            <w:r>
              <w:rPr>
                <w:rFonts w:hint="eastAsia" w:ascii="宋体" w:hAnsi="宋体" w:cs="宋体"/>
                <w:bCs/>
                <w:sz w:val="24"/>
                <w:szCs w:val="24"/>
                <w:lang w:val="zh-CN"/>
              </w:rPr>
              <w:t xml:space="preserve">符合第二章“投标人须知”第 </w:t>
            </w:r>
            <w:r>
              <w:rPr>
                <w:rFonts w:hint="eastAsia" w:ascii="宋体" w:hAnsi="宋体" w:cs="宋体"/>
                <w:bCs/>
                <w:sz w:val="24"/>
                <w:szCs w:val="24"/>
              </w:rPr>
              <w:t>3.1.1</w:t>
            </w:r>
            <w:r>
              <w:rPr>
                <w:rFonts w:hint="eastAsia" w:ascii="宋体" w:hAnsi="宋体" w:cs="宋体"/>
                <w:bCs/>
                <w:sz w:val="24"/>
                <w:szCs w:val="24"/>
                <w:lang w:val="zh-CN"/>
              </w:rPr>
              <w:t xml:space="preserve"> 和</w:t>
            </w:r>
            <w:r>
              <w:rPr>
                <w:rFonts w:hint="eastAsia" w:ascii="宋体" w:hAnsi="宋体" w:cs="宋体"/>
                <w:bCs/>
                <w:sz w:val="24"/>
                <w:szCs w:val="24"/>
              </w:rPr>
              <w:t xml:space="preserve"> </w:t>
            </w:r>
            <w:r>
              <w:rPr>
                <w:rFonts w:hint="eastAsia" w:ascii="宋体" w:hAnsi="宋体" w:cs="宋体"/>
                <w:bCs/>
                <w:sz w:val="24"/>
                <w:szCs w:val="24"/>
                <w:lang w:val="en-US" w:eastAsia="zh-CN"/>
              </w:rPr>
              <w:t xml:space="preserve">3.5.1 </w:t>
            </w:r>
            <w:r>
              <w:rPr>
                <w:rFonts w:hint="eastAsia" w:ascii="宋体" w:hAnsi="宋体" w:cs="宋体"/>
                <w:bCs/>
                <w:sz w:val="24"/>
                <w:szCs w:val="24"/>
                <w:lang w:val="zh-CN"/>
              </w:rPr>
              <w:t>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right="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安全生产许可证</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textAlignment w:val="auto"/>
              <w:rPr>
                <w:rFonts w:hint="eastAsia" w:ascii="宋体" w:hAnsi="宋体" w:eastAsia="宋体" w:cs="宋体"/>
                <w:bCs/>
                <w:sz w:val="24"/>
                <w:szCs w:val="24"/>
                <w:lang w:val="zh-CN" w:eastAsia="zh-CN" w:bidi="ar-SA"/>
              </w:rPr>
            </w:pPr>
            <w:r>
              <w:rPr>
                <w:rFonts w:hint="eastAsia" w:ascii="宋体" w:hAnsi="宋体" w:cs="宋体"/>
                <w:bCs/>
                <w:sz w:val="24"/>
                <w:szCs w:val="24"/>
                <w:lang w:val="zh-CN"/>
              </w:rPr>
              <w:t>符合第二章“投标人须知”第 1.4.1 和</w:t>
            </w:r>
            <w:r>
              <w:rPr>
                <w:rFonts w:hint="eastAsia" w:ascii="宋体" w:hAnsi="宋体" w:cs="宋体"/>
                <w:bCs/>
                <w:sz w:val="24"/>
                <w:szCs w:val="24"/>
                <w:lang w:val="en-US" w:eastAsia="zh-CN"/>
              </w:rPr>
              <w:t xml:space="preserve"> </w:t>
            </w:r>
            <w:r>
              <w:rPr>
                <w:rFonts w:hint="eastAsia" w:ascii="宋体" w:hAnsi="宋体" w:cs="宋体"/>
                <w:bCs/>
                <w:sz w:val="24"/>
                <w:szCs w:val="24"/>
                <w:lang w:val="zh-CN"/>
              </w:rPr>
              <w:t>3.1.1</w:t>
            </w:r>
            <w:r>
              <w:rPr>
                <w:rFonts w:hint="eastAsia" w:ascii="宋体" w:hAnsi="宋体" w:cs="宋体"/>
                <w:bCs/>
                <w:sz w:val="24"/>
                <w:szCs w:val="24"/>
                <w:lang w:val="en-US" w:eastAsia="zh-CN"/>
              </w:rPr>
              <w:t xml:space="preserve"> </w:t>
            </w:r>
            <w:r>
              <w:rPr>
                <w:rFonts w:hint="eastAsia" w:ascii="宋体" w:hAnsi="宋体" w:cs="宋体"/>
                <w:bCs/>
                <w:sz w:val="24"/>
                <w:szCs w:val="24"/>
                <w:lang w:val="zh-CN"/>
              </w:rPr>
              <w:t>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资质等级</w:t>
            </w:r>
          </w:p>
        </w:tc>
        <w:tc>
          <w:tcPr>
            <w:tcW w:w="5799" w:type="dxa"/>
            <w:noWrap/>
            <w:vAlign w:val="center"/>
          </w:tcPr>
          <w:p>
            <w:pPr>
              <w:keepNext w:val="0"/>
              <w:keepLines w:val="0"/>
              <w:pageBreakBefore w:val="0"/>
              <w:widowControl w:val="0"/>
              <w:kinsoku/>
              <w:wordWrap w:val="0"/>
              <w:overflowPunct/>
              <w:topLinePunct w:val="0"/>
              <w:autoSpaceDE/>
              <w:autoSpaceDN/>
              <w:bidi w:val="0"/>
              <w:spacing w:line="400" w:lineRule="exact"/>
              <w:textAlignment w:val="auto"/>
              <w:rPr>
                <w:rFonts w:hint="eastAsia" w:ascii="宋体" w:hAnsi="宋体" w:eastAsia="宋体" w:cs="宋体"/>
                <w:lang w:val="zh-CN" w:eastAsia="zh-CN"/>
              </w:rPr>
            </w:pPr>
            <w:r>
              <w:rPr>
                <w:rFonts w:hint="eastAsia" w:ascii="宋体" w:hAnsi="宋体" w:cs="宋体"/>
                <w:sz w:val="24"/>
                <w:szCs w:val="24"/>
              </w:rPr>
              <w:t>符合第二章“投标人须知”第 1.4.1 和</w:t>
            </w:r>
            <w:r>
              <w:rPr>
                <w:rFonts w:hint="eastAsia" w:ascii="宋体" w:hAnsi="宋体" w:cs="宋体"/>
                <w:sz w:val="24"/>
                <w:szCs w:val="24"/>
                <w:lang w:val="en-US" w:eastAsia="zh-CN"/>
              </w:rPr>
              <w:t xml:space="preserve"> </w:t>
            </w:r>
            <w:r>
              <w:rPr>
                <w:rFonts w:hint="eastAsia" w:ascii="宋体" w:hAnsi="宋体" w:cs="宋体"/>
                <w:sz w:val="24"/>
                <w:szCs w:val="24"/>
              </w:rPr>
              <w:t>3.1.1</w:t>
            </w:r>
            <w:r>
              <w:rPr>
                <w:rFonts w:hint="eastAsia" w:ascii="宋体" w:hAnsi="宋体" w:cs="宋体"/>
                <w:sz w:val="24"/>
                <w:szCs w:val="24"/>
                <w:lang w:val="en-US" w:eastAsia="zh-CN"/>
              </w:rPr>
              <w:t xml:space="preserve"> </w:t>
            </w:r>
            <w:r>
              <w:rPr>
                <w:rFonts w:hint="eastAsia" w:ascii="宋体" w:hAnsi="宋体" w:cs="宋体"/>
                <w:sz w:val="24"/>
                <w:szCs w:val="24"/>
              </w:rPr>
              <w:t>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财务要求</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textAlignment w:val="auto"/>
              <w:rPr>
                <w:rFonts w:hint="eastAsia" w:ascii="宋体" w:hAnsi="宋体" w:eastAsia="宋体" w:cs="宋体"/>
                <w:sz w:val="24"/>
                <w:szCs w:val="24"/>
                <w:lang w:val="en-US" w:eastAsia="zh-CN" w:bidi="ar-SA"/>
              </w:rPr>
            </w:pPr>
            <w:r>
              <w:rPr>
                <w:rFonts w:hint="eastAsia" w:ascii="宋体" w:hAnsi="宋体" w:cs="宋体"/>
                <w:bCs/>
                <w:sz w:val="24"/>
                <w:szCs w:val="24"/>
                <w:lang w:val="zh-CN"/>
              </w:rPr>
              <w:t>符合第二章“投标人须知”第 1.4.1 和</w:t>
            </w:r>
            <w:r>
              <w:rPr>
                <w:rFonts w:hint="eastAsia" w:ascii="宋体" w:hAnsi="宋体" w:cs="宋体"/>
                <w:bCs/>
                <w:sz w:val="24"/>
                <w:szCs w:val="24"/>
                <w:lang w:val="en-US" w:eastAsia="zh-CN"/>
              </w:rPr>
              <w:t xml:space="preserve"> </w:t>
            </w:r>
            <w:r>
              <w:rPr>
                <w:rFonts w:hint="eastAsia" w:ascii="宋体" w:hAnsi="宋体" w:cs="宋体"/>
                <w:bCs/>
                <w:sz w:val="24"/>
                <w:szCs w:val="24"/>
                <w:lang w:val="zh-CN"/>
              </w:rPr>
              <w:t>3.1.1</w:t>
            </w:r>
            <w:r>
              <w:rPr>
                <w:rFonts w:hint="eastAsia" w:ascii="宋体" w:hAnsi="宋体" w:cs="宋体"/>
                <w:bCs/>
                <w:sz w:val="24"/>
                <w:szCs w:val="24"/>
                <w:lang w:val="en-US" w:eastAsia="zh-CN"/>
              </w:rPr>
              <w:t xml:space="preserve"> </w:t>
            </w:r>
            <w:r>
              <w:rPr>
                <w:rFonts w:hint="eastAsia" w:ascii="宋体" w:hAnsi="宋体" w:cs="宋体"/>
                <w:bCs/>
                <w:sz w:val="24"/>
                <w:szCs w:val="24"/>
                <w:lang w:val="zh-CN"/>
              </w:rPr>
              <w:t>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信誉要求</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both"/>
              <w:textAlignment w:val="auto"/>
              <w:rPr>
                <w:rFonts w:hint="eastAsia" w:ascii="宋体" w:hAnsi="宋体" w:eastAsia="宋体" w:cs="宋体"/>
                <w:sz w:val="24"/>
                <w:szCs w:val="24"/>
                <w:lang w:val="en-US" w:eastAsia="zh-CN" w:bidi="ar-SA"/>
              </w:rPr>
            </w:pPr>
            <w:r>
              <w:rPr>
                <w:rFonts w:hint="eastAsia" w:ascii="宋体" w:hAnsi="宋体" w:cs="宋体"/>
                <w:sz w:val="24"/>
                <w:szCs w:val="24"/>
                <w:lang w:val="zh-CN"/>
              </w:rPr>
              <w:t>符合第二章“投标人须知”第</w:t>
            </w:r>
            <w:r>
              <w:rPr>
                <w:rFonts w:hint="eastAsia" w:ascii="宋体" w:hAnsi="宋体" w:cs="宋体"/>
                <w:sz w:val="24"/>
                <w:szCs w:val="24"/>
                <w:lang w:val="en-US" w:eastAsia="zh-CN"/>
              </w:rPr>
              <w:t xml:space="preserve"> </w:t>
            </w:r>
            <w:r>
              <w:rPr>
                <w:rFonts w:hint="eastAsia" w:ascii="宋体" w:hAnsi="宋体" w:cs="宋体"/>
                <w:sz w:val="24"/>
                <w:szCs w:val="24"/>
                <w:lang w:val="zh-CN"/>
              </w:rPr>
              <w:t>1.4.1</w:t>
            </w:r>
            <w:r>
              <w:rPr>
                <w:rFonts w:hint="eastAsia" w:ascii="宋体" w:hAnsi="宋体" w:cs="宋体"/>
                <w:sz w:val="24"/>
                <w:szCs w:val="24"/>
                <w:lang w:val="en-US" w:eastAsia="zh-CN"/>
              </w:rPr>
              <w:t xml:space="preserve"> </w:t>
            </w:r>
            <w:r>
              <w:rPr>
                <w:rFonts w:hint="eastAsia" w:ascii="宋体" w:hAnsi="宋体" w:cs="宋体"/>
                <w:sz w:val="24"/>
                <w:szCs w:val="24"/>
                <w:lang w:val="zh-CN"/>
              </w:rPr>
              <w:t>及第</w:t>
            </w:r>
            <w:r>
              <w:rPr>
                <w:rFonts w:hint="eastAsia" w:ascii="宋体" w:hAnsi="宋体" w:cs="宋体"/>
                <w:sz w:val="24"/>
                <w:szCs w:val="24"/>
                <w:lang w:val="en-US" w:eastAsia="zh-CN"/>
              </w:rPr>
              <w:t xml:space="preserve"> </w:t>
            </w:r>
            <w:r>
              <w:rPr>
                <w:rFonts w:hint="eastAsia" w:ascii="宋体" w:hAnsi="宋体" w:cs="宋体"/>
                <w:sz w:val="24"/>
                <w:szCs w:val="24"/>
                <w:lang w:val="zh-CN"/>
              </w:rPr>
              <w:t>3.1</w:t>
            </w:r>
            <w:r>
              <w:rPr>
                <w:rFonts w:hint="eastAsia" w:ascii="宋体" w:hAnsi="宋体" w:cs="宋体"/>
                <w:sz w:val="24"/>
                <w:szCs w:val="24"/>
                <w:lang w:val="en-US" w:eastAsia="zh-CN"/>
              </w:rPr>
              <w:t xml:space="preserve">.1 </w:t>
            </w:r>
            <w:r>
              <w:rPr>
                <w:rFonts w:hint="eastAsia" w:ascii="宋体" w:hAnsi="宋体" w:cs="宋体"/>
                <w:sz w:val="24"/>
                <w:szCs w:val="24"/>
                <w:lang w:val="zh-CN"/>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项目经理</w:t>
            </w:r>
          </w:p>
        </w:tc>
        <w:tc>
          <w:tcPr>
            <w:tcW w:w="5799" w:type="dxa"/>
            <w:noWrap/>
            <w:vAlign w:val="center"/>
          </w:tcPr>
          <w:p>
            <w:pPr>
              <w:keepNext w:val="0"/>
              <w:keepLines w:val="0"/>
              <w:pageBreakBefore w:val="0"/>
              <w:widowControl w:val="0"/>
              <w:kinsoku/>
              <w:wordWrap w:val="0"/>
              <w:overflowPunct/>
              <w:topLinePunct w:val="0"/>
              <w:autoSpaceDE/>
              <w:autoSpaceDN/>
              <w:bidi w:val="0"/>
              <w:spacing w:line="400" w:lineRule="exact"/>
              <w:textAlignment w:val="auto"/>
              <w:rPr>
                <w:rFonts w:hint="eastAsia" w:ascii="宋体" w:hAnsi="宋体" w:eastAsia="宋体" w:cs="宋体"/>
                <w:sz w:val="24"/>
                <w:szCs w:val="24"/>
                <w:lang w:val="zh-TW" w:eastAsia="zh-TW" w:bidi="ar-SA"/>
              </w:rPr>
            </w:pPr>
            <w:r>
              <w:rPr>
                <w:rFonts w:hint="eastAsia" w:ascii="宋体" w:hAnsi="宋体" w:cs="宋体"/>
                <w:sz w:val="24"/>
                <w:szCs w:val="24"/>
                <w:lang w:val="zh-CN"/>
              </w:rPr>
              <w:t>符合第二章“投标人须知”第</w:t>
            </w:r>
            <w:r>
              <w:rPr>
                <w:rFonts w:hint="eastAsia" w:ascii="宋体" w:hAnsi="宋体" w:cs="宋体"/>
                <w:sz w:val="24"/>
                <w:szCs w:val="24"/>
                <w:lang w:val="en-US" w:eastAsia="zh-CN"/>
              </w:rPr>
              <w:t xml:space="preserve"> </w:t>
            </w:r>
            <w:r>
              <w:rPr>
                <w:rFonts w:hint="eastAsia" w:ascii="宋体" w:hAnsi="宋体" w:cs="宋体"/>
                <w:sz w:val="24"/>
                <w:szCs w:val="24"/>
                <w:lang w:val="zh-CN"/>
              </w:rPr>
              <w:t>1.4.1</w:t>
            </w:r>
            <w:r>
              <w:rPr>
                <w:rFonts w:hint="eastAsia" w:ascii="宋体" w:hAnsi="宋体" w:cs="宋体"/>
                <w:sz w:val="24"/>
                <w:szCs w:val="24"/>
                <w:lang w:val="en-US" w:eastAsia="zh-CN"/>
              </w:rPr>
              <w:t xml:space="preserve"> </w:t>
            </w:r>
            <w:r>
              <w:rPr>
                <w:rFonts w:hint="eastAsia" w:ascii="宋体" w:hAnsi="宋体" w:cs="宋体"/>
                <w:sz w:val="24"/>
                <w:szCs w:val="24"/>
                <w:lang w:val="zh-CN"/>
              </w:rPr>
              <w:t>及第</w:t>
            </w:r>
            <w:r>
              <w:rPr>
                <w:rFonts w:hint="eastAsia" w:ascii="宋体" w:hAnsi="宋体" w:cs="宋体"/>
                <w:sz w:val="24"/>
                <w:szCs w:val="24"/>
                <w:lang w:val="en-US" w:eastAsia="zh-CN"/>
              </w:rPr>
              <w:t xml:space="preserve"> </w:t>
            </w:r>
            <w:r>
              <w:rPr>
                <w:rFonts w:hint="eastAsia" w:ascii="宋体" w:hAnsi="宋体" w:cs="宋体"/>
                <w:sz w:val="24"/>
                <w:szCs w:val="24"/>
                <w:lang w:val="zh-CN"/>
              </w:rPr>
              <w:t>3.1</w:t>
            </w:r>
            <w:r>
              <w:rPr>
                <w:rFonts w:hint="eastAsia" w:ascii="宋体" w:hAnsi="宋体" w:cs="宋体"/>
                <w:sz w:val="24"/>
                <w:szCs w:val="24"/>
                <w:lang w:val="en-US" w:eastAsia="zh-CN"/>
              </w:rPr>
              <w:t xml:space="preserve">.1 </w:t>
            </w:r>
            <w:r>
              <w:rPr>
                <w:rFonts w:hint="eastAsia" w:ascii="宋体" w:hAnsi="宋体" w:cs="宋体"/>
                <w:sz w:val="24"/>
                <w:szCs w:val="24"/>
                <w:lang w:val="zh-CN"/>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其他要求</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snapToGrid/>
              <w:spacing w:before="0" w:beforeAutospacing="0" w:after="0" w:afterAutospacing="0" w:line="400" w:lineRule="exact"/>
              <w:ind w:left="0" w:leftChars="0" w:right="0" w:rightChars="0"/>
              <w:textAlignment w:val="auto"/>
              <w:rPr>
                <w:rFonts w:hint="eastAsia" w:ascii="宋体" w:hAnsi="宋体" w:eastAsia="宋体" w:cs="宋体"/>
                <w:sz w:val="24"/>
                <w:szCs w:val="24"/>
                <w:lang w:val="zh-CN" w:eastAsia="zh-CN" w:bidi="ar-SA"/>
              </w:rPr>
            </w:pPr>
            <w:r>
              <w:rPr>
                <w:rFonts w:hint="eastAsia" w:ascii="宋体" w:hAnsi="宋体" w:cs="宋体"/>
                <w:sz w:val="24"/>
                <w:szCs w:val="24"/>
                <w:lang w:val="zh-CN"/>
              </w:rPr>
              <w:t>符合第二章“投标人须知”第</w:t>
            </w:r>
            <w:r>
              <w:rPr>
                <w:rFonts w:hint="eastAsia" w:ascii="宋体" w:hAnsi="宋体" w:cs="宋体"/>
                <w:sz w:val="24"/>
                <w:szCs w:val="24"/>
                <w:lang w:val="en-US" w:eastAsia="zh-CN"/>
              </w:rPr>
              <w:t xml:space="preserve"> </w:t>
            </w:r>
            <w:r>
              <w:rPr>
                <w:rFonts w:hint="eastAsia" w:ascii="宋体" w:hAnsi="宋体" w:cs="宋体"/>
                <w:sz w:val="24"/>
                <w:szCs w:val="24"/>
                <w:lang w:val="zh-CN"/>
              </w:rPr>
              <w:t>1.4.1</w:t>
            </w:r>
            <w:r>
              <w:rPr>
                <w:rFonts w:hint="eastAsia" w:ascii="宋体" w:hAnsi="宋体" w:cs="宋体"/>
                <w:sz w:val="24"/>
                <w:szCs w:val="24"/>
                <w:lang w:val="en-US" w:eastAsia="zh-CN"/>
              </w:rPr>
              <w:t xml:space="preserve"> </w:t>
            </w:r>
            <w:r>
              <w:rPr>
                <w:rFonts w:hint="eastAsia" w:ascii="宋体" w:hAnsi="宋体" w:cs="宋体"/>
                <w:sz w:val="24"/>
                <w:szCs w:val="24"/>
                <w:lang w:val="zh-CN"/>
              </w:rPr>
              <w:t>及第</w:t>
            </w:r>
            <w:r>
              <w:rPr>
                <w:rFonts w:hint="eastAsia" w:ascii="宋体" w:hAnsi="宋体" w:cs="宋体"/>
                <w:sz w:val="24"/>
                <w:szCs w:val="24"/>
                <w:lang w:val="en-US" w:eastAsia="zh-CN"/>
              </w:rPr>
              <w:t xml:space="preserve"> </w:t>
            </w:r>
            <w:r>
              <w:rPr>
                <w:rFonts w:hint="eastAsia" w:ascii="宋体" w:hAnsi="宋体" w:cs="宋体"/>
                <w:sz w:val="24"/>
                <w:szCs w:val="24"/>
                <w:lang w:val="zh-CN"/>
              </w:rPr>
              <w:t>3.1</w:t>
            </w:r>
            <w:r>
              <w:rPr>
                <w:rFonts w:hint="eastAsia" w:ascii="宋体" w:hAnsi="宋体" w:cs="宋体"/>
                <w:sz w:val="24"/>
                <w:szCs w:val="24"/>
                <w:lang w:val="en-US" w:eastAsia="zh-CN"/>
              </w:rPr>
              <w:t xml:space="preserve">.1 </w:t>
            </w:r>
            <w:r>
              <w:rPr>
                <w:rFonts w:hint="eastAsia" w:ascii="宋体" w:hAnsi="宋体" w:cs="宋体"/>
                <w:sz w:val="24"/>
                <w:szCs w:val="24"/>
                <w:lang w:val="zh-CN"/>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联合体投标人（如有）</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snapToGrid/>
              <w:spacing w:before="0" w:beforeAutospacing="0" w:after="0" w:afterAutospacing="0" w:line="400" w:lineRule="exact"/>
              <w:ind w:left="0" w:leftChars="0" w:right="0" w:right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t>符合第二章“投标人须知”第</w:t>
            </w:r>
            <w:r>
              <w:rPr>
                <w:rFonts w:hint="eastAsia" w:ascii="宋体" w:hAnsi="宋体" w:eastAsia="宋体" w:cs="宋体"/>
                <w:color w:val="auto"/>
                <w:sz w:val="24"/>
                <w:szCs w:val="24"/>
                <w:lang w:val="en-US" w:eastAsia="zh-CN"/>
              </w:rPr>
              <w:t xml:space="preserve"> 1.4.2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kinsoku/>
              <w:wordWrap w:val="0"/>
              <w:overflowPunct/>
              <w:topLinePunct w:val="0"/>
              <w:autoSpaceDE/>
              <w:autoSpaceDN/>
              <w:bidi w:val="0"/>
              <w:snapToGrid w:val="0"/>
              <w:ind w:left="0" w:leftChars="0" w:right="0" w:rightChars="0" w:firstLine="0" w:firstLineChars="0"/>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不存在禁止投标的情形</w:t>
            </w:r>
          </w:p>
        </w:tc>
        <w:tc>
          <w:tcPr>
            <w:tcW w:w="5799" w:type="dxa"/>
            <w:noWrap/>
            <w:vAlign w:val="center"/>
          </w:tcPr>
          <w:p>
            <w:pPr>
              <w:pStyle w:val="19"/>
              <w:keepNext w:val="0"/>
              <w:keepLines w:val="0"/>
              <w:pageBreakBefore w:val="0"/>
              <w:widowControl w:val="0"/>
              <w:kinsoku/>
              <w:wordWrap w:val="0"/>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不存在第二章“投标人须知”第</w:t>
            </w:r>
            <w:r>
              <w:rPr>
                <w:rFonts w:hint="eastAsia" w:ascii="宋体" w:hAnsi="宋体" w:eastAsia="宋体" w:cs="宋体"/>
                <w:sz w:val="24"/>
                <w:szCs w:val="24"/>
                <w:lang w:val="en-US" w:eastAsia="zh-CN" w:bidi="ar-SA"/>
              </w:rPr>
              <w:t xml:space="preserve"> 1.4.3 项规定的任何一种情形</w:t>
            </w:r>
          </w:p>
          <w:p>
            <w:pPr>
              <w:pStyle w:val="19"/>
              <w:keepNext w:val="0"/>
              <w:keepLines w:val="0"/>
              <w:pageBreakBefore w:val="0"/>
              <w:widowControl w:val="0"/>
              <w:kinsoku/>
              <w:wordWrap w:val="0"/>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color w:val="auto"/>
                <w:sz w:val="24"/>
                <w:szCs w:val="24"/>
                <w:highlight w:val="none"/>
                <w:lang w:val="zh-CN" w:eastAsia="zh-CN" w:bidi="ar-SA"/>
              </w:rPr>
            </w:pPr>
            <w:r>
              <w:rPr>
                <w:rFonts w:hint="eastAsia" w:ascii="宋体" w:hAnsi="宋体" w:eastAsia="宋体" w:cs="宋体"/>
                <w:sz w:val="24"/>
                <w:szCs w:val="24"/>
                <w:lang w:val="zh-CN" w:eastAsia="zh-CN" w:bidi="ar-SA"/>
              </w:rPr>
              <w:t>投标文件内附由法定代表人或其委托代理人签字并加盖投标单位公章的承诺书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7417" w:type="dxa"/>
            <w:gridSpan w:val="2"/>
            <w:noWrap/>
            <w:vAlign w:val="center"/>
          </w:tcPr>
          <w:p>
            <w:pPr>
              <w:pStyle w:val="19"/>
              <w:keepNext w:val="0"/>
              <w:keepLines w:val="0"/>
              <w:pageBreakBefore w:val="0"/>
              <w:widowControl w:val="0"/>
              <w:kinsoku/>
              <w:wordWrap w:val="0"/>
              <w:overflowPunct/>
              <w:topLinePunct w:val="0"/>
              <w:autoSpaceDE/>
              <w:autoSpaceDN/>
              <w:bidi w:val="0"/>
              <w:adjustRightInd/>
              <w:snapToGrid/>
              <w:spacing w:after="0" w:line="400" w:lineRule="exact"/>
              <w:ind w:left="0" w:leftChars="0" w:firstLine="0" w:firstLineChars="0"/>
              <w:textAlignment w:val="auto"/>
              <w:rPr>
                <w:rFonts w:hint="eastAsia" w:ascii="宋体" w:hAnsi="宋体" w:eastAsia="宋体" w:cs="宋体"/>
                <w:sz w:val="24"/>
                <w:szCs w:val="24"/>
                <w:lang w:val="zh-CN" w:eastAsia="zh-CN" w:bidi="ar-SA"/>
              </w:rPr>
            </w:pPr>
            <w:r>
              <w:rPr>
                <w:rFonts w:hint="eastAsia" w:ascii="宋体" w:hAnsi="宋体" w:cs="宋体"/>
                <w:sz w:val="24"/>
                <w:szCs w:val="24"/>
              </w:rPr>
              <w:t>上述评审因素都合格为资格评审合格，有一项不合格为废标，不再进行下一步评审。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restart"/>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eastAsia="宋体" w:cs="宋体"/>
                <w:bCs/>
                <w:sz w:val="24"/>
                <w:szCs w:val="24"/>
                <w:lang w:val="zh-CN"/>
              </w:rPr>
              <w:t>2.1.3</w:t>
            </w:r>
          </w:p>
        </w:tc>
        <w:tc>
          <w:tcPr>
            <w:tcW w:w="1509" w:type="dxa"/>
            <w:vMerge w:val="restart"/>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eastAsia="宋体" w:cs="宋体"/>
                <w:bCs/>
                <w:sz w:val="24"/>
                <w:szCs w:val="24"/>
                <w:lang w:val="zh-CN"/>
              </w:rPr>
              <w:t>响应性</w:t>
            </w:r>
          </w:p>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r>
              <w:rPr>
                <w:rFonts w:hint="eastAsia" w:ascii="宋体" w:hAnsi="宋体" w:eastAsia="宋体" w:cs="宋体"/>
                <w:bCs/>
                <w:sz w:val="24"/>
                <w:szCs w:val="24"/>
                <w:lang w:val="zh-CN"/>
              </w:rPr>
              <w:t>评审标准</w:t>
            </w: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投标报价</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snapToGrid/>
              <w:spacing w:before="0" w:beforeAutospacing="0" w:after="0" w:afterAutospacing="0" w:line="400" w:lineRule="exact"/>
              <w:ind w:left="0" w:leftChars="0" w:right="0" w:rightChars="0"/>
              <w:textAlignment w:val="auto"/>
              <w:rPr>
                <w:rFonts w:hint="eastAsia" w:ascii="宋体" w:hAnsi="宋体" w:eastAsia="宋体" w:cs="宋体"/>
                <w:sz w:val="24"/>
                <w:szCs w:val="24"/>
              </w:rPr>
            </w:pPr>
            <w:r>
              <w:rPr>
                <w:rFonts w:hint="eastAsia" w:ascii="宋体" w:hAnsi="宋体" w:eastAsia="宋体" w:cs="宋体"/>
                <w:sz w:val="24"/>
                <w:szCs w:val="24"/>
              </w:rPr>
              <w:t>符合第二章“投标人须知”第</w:t>
            </w:r>
            <w:r>
              <w:rPr>
                <w:rFonts w:hint="eastAsia" w:ascii="宋体" w:hAnsi="宋体" w:eastAsia="宋体" w:cs="宋体"/>
                <w:sz w:val="24"/>
                <w:szCs w:val="24"/>
                <w:lang w:val="en-US" w:eastAsia="zh-CN"/>
              </w:rPr>
              <w:t xml:space="preserve"> 3.2 </w:t>
            </w:r>
            <w:r>
              <w:rPr>
                <w:rFonts w:hint="eastAsia" w:ascii="宋体" w:hAnsi="宋体" w:eastAsia="宋体" w:cs="宋体"/>
                <w:sz w:val="24"/>
                <w:szCs w:val="24"/>
              </w:rPr>
              <w:t>项规定</w:t>
            </w:r>
          </w:p>
          <w:p>
            <w:pPr>
              <w:keepNext w:val="0"/>
              <w:keepLines w:val="0"/>
              <w:pageBreakBefore w:val="0"/>
              <w:widowControl w:val="0"/>
              <w:suppressLineNumbers w:val="0"/>
              <w:kinsoku/>
              <w:wordWrap w:val="0"/>
              <w:overflowPunct/>
              <w:topLinePunct w:val="0"/>
              <w:autoSpaceDE/>
              <w:autoSpaceDN/>
              <w:bidi w:val="0"/>
              <w:snapToGrid/>
              <w:spacing w:before="0" w:beforeAutospacing="0" w:after="0" w:afterAutospacing="0" w:line="400" w:lineRule="exact"/>
              <w:ind w:left="0" w:leftChars="0" w:right="0" w:rightChars="0"/>
              <w:textAlignment w:val="auto"/>
              <w:rPr>
                <w:rFonts w:hint="eastAsia" w:ascii="宋体" w:hAnsi="宋体" w:eastAsia="宋体" w:cs="宋体"/>
                <w:sz w:val="24"/>
                <w:szCs w:val="24"/>
                <w:lang w:val="zh-CN" w:eastAsia="zh-CN" w:bidi="ar-SA"/>
              </w:rPr>
            </w:pPr>
            <w:r>
              <w:rPr>
                <w:rFonts w:hint="eastAsia" w:ascii="宋体" w:hAnsi="宋体" w:eastAsia="宋体" w:cs="宋体"/>
                <w:sz w:val="24"/>
                <w:szCs w:val="24"/>
                <w:lang w:eastAsia="zh-CN"/>
              </w:rPr>
              <w:t>招标人设有最高投标限价的，投标人的投标报价不得超过最高投标限价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投标内容</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snapToGrid/>
              <w:spacing w:before="0" w:beforeAutospacing="0" w:after="0" w:afterAutospacing="0" w:line="400" w:lineRule="exact"/>
              <w:ind w:left="0" w:leftChars="0" w:right="0" w:rightChars="0"/>
              <w:textAlignment w:val="auto"/>
              <w:rPr>
                <w:rFonts w:hint="eastAsia" w:ascii="宋体" w:hAnsi="宋体" w:eastAsia="宋体" w:cs="宋体"/>
                <w:sz w:val="24"/>
                <w:szCs w:val="24"/>
                <w:lang w:val="zh-CN" w:eastAsia="zh-CN" w:bidi="ar-SA"/>
              </w:rPr>
            </w:pPr>
            <w:r>
              <w:rPr>
                <w:rFonts w:hint="eastAsia" w:ascii="宋体" w:hAnsi="宋体" w:eastAsia="宋体" w:cs="宋体"/>
                <w:sz w:val="24"/>
                <w:szCs w:val="24"/>
              </w:rPr>
              <w:t>符合第二章“投标人须知”第</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73"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509"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618" w:type="dxa"/>
            <w:noWrap/>
            <w:vAlign w:val="center"/>
          </w:tcPr>
          <w:p>
            <w:pPr>
              <w:pStyle w:val="27"/>
              <w:keepNext w:val="0"/>
              <w:keepLines w:val="0"/>
              <w:pageBreakBefore w:val="0"/>
              <w:widowControl w:val="0"/>
              <w:suppressLineNumbers w:val="0"/>
              <w:tabs>
                <w:tab w:val="clear" w:pos="4153"/>
                <w:tab w:val="clear" w:pos="8306"/>
              </w:tabs>
              <w:kinsoku/>
              <w:wordWrap w:val="0"/>
              <w:overflowPunct/>
              <w:topLinePunct w:val="0"/>
              <w:autoSpaceDE/>
              <w:autoSpaceDN/>
              <w:bidi w:val="0"/>
              <w:adjustRightInd w:val="0"/>
              <w:snapToGrid/>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b w:val="0"/>
                <w:bCs/>
                <w:sz w:val="24"/>
                <w:szCs w:val="24"/>
                <w:lang w:val="zh-CN" w:eastAsia="zh-CN" w:bidi="ar-SA"/>
              </w:rPr>
            </w:pPr>
            <w:r>
              <w:rPr>
                <w:rFonts w:hint="eastAsia" w:ascii="宋体" w:hAnsi="宋体" w:eastAsia="宋体" w:cs="宋体"/>
                <w:b w:val="0"/>
                <w:bCs/>
                <w:sz w:val="24"/>
                <w:szCs w:val="24"/>
                <w:lang w:val="zh-CN" w:eastAsia="zh-CN"/>
              </w:rPr>
              <w:t>工期</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snapToGrid/>
              <w:spacing w:before="0" w:beforeAutospacing="0" w:after="0" w:afterAutospacing="0" w:line="400" w:lineRule="exact"/>
              <w:ind w:left="0" w:leftChars="0" w:right="0" w:rightChars="0"/>
              <w:textAlignment w:val="auto"/>
              <w:rPr>
                <w:rFonts w:hint="eastAsia" w:ascii="宋体" w:hAnsi="宋体" w:eastAsia="宋体" w:cs="宋体"/>
                <w:sz w:val="24"/>
                <w:szCs w:val="24"/>
                <w:lang w:val="zh-CN" w:eastAsia="zh-CN" w:bidi="ar-SA"/>
              </w:rPr>
            </w:pPr>
            <w:r>
              <w:rPr>
                <w:rFonts w:hint="eastAsia" w:ascii="宋体" w:hAnsi="宋体" w:eastAsia="宋体" w:cs="宋体"/>
                <w:sz w:val="24"/>
                <w:szCs w:val="24"/>
              </w:rPr>
              <w:t>符合第二章“投标人须知”第</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1.3.2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73"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509"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工程质量</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snapToGrid/>
              <w:spacing w:before="0" w:beforeAutospacing="0" w:after="0" w:afterAutospacing="0" w:line="400" w:lineRule="exact"/>
              <w:ind w:left="0" w:leftChars="0" w:right="0" w:rightChars="0"/>
              <w:textAlignment w:val="auto"/>
              <w:rPr>
                <w:rFonts w:hint="eastAsia" w:ascii="宋体" w:hAnsi="宋体" w:eastAsia="宋体" w:cs="宋体"/>
                <w:sz w:val="24"/>
                <w:szCs w:val="24"/>
                <w:lang w:val="zh-CN" w:eastAsia="zh-CN" w:bidi="ar-SA"/>
              </w:rPr>
            </w:pPr>
            <w:r>
              <w:rPr>
                <w:rFonts w:hint="eastAsia" w:ascii="宋体" w:hAnsi="宋体" w:eastAsia="宋体" w:cs="宋体"/>
                <w:sz w:val="24"/>
                <w:szCs w:val="24"/>
              </w:rPr>
              <w:t>符合第二章“投标人须知”第</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73"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509"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投标有效期</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snapToGrid/>
              <w:spacing w:before="0" w:beforeAutospacing="0" w:after="0" w:afterAutospacing="0" w:line="400" w:lineRule="exact"/>
              <w:ind w:left="0" w:leftChars="0" w:right="0" w:rightChars="0"/>
              <w:textAlignment w:val="auto"/>
              <w:rPr>
                <w:rFonts w:hint="eastAsia" w:ascii="宋体" w:hAnsi="宋体" w:eastAsia="宋体" w:cs="宋体"/>
                <w:sz w:val="24"/>
                <w:szCs w:val="24"/>
                <w:lang w:val="zh-CN" w:eastAsia="zh-CN" w:bidi="ar-SA"/>
              </w:rPr>
            </w:pPr>
            <w:r>
              <w:rPr>
                <w:rFonts w:hint="eastAsia" w:ascii="宋体" w:hAnsi="宋体" w:eastAsia="宋体" w:cs="宋体"/>
                <w:sz w:val="24"/>
                <w:szCs w:val="24"/>
              </w:rPr>
              <w:t>符合第二章“投标人须知”第</w:t>
            </w:r>
            <w:r>
              <w:rPr>
                <w:rFonts w:hint="eastAsia" w:ascii="宋体" w:hAnsi="宋体" w:cs="宋体"/>
                <w:sz w:val="24"/>
                <w:szCs w:val="24"/>
                <w:lang w:val="en-US" w:eastAsia="zh-CN"/>
              </w:rPr>
              <w:t xml:space="preserve"> </w:t>
            </w:r>
            <w:r>
              <w:rPr>
                <w:rFonts w:hint="eastAsia" w:ascii="宋体" w:hAnsi="宋体" w:eastAsia="宋体" w:cs="宋体"/>
                <w:sz w:val="24"/>
                <w:szCs w:val="24"/>
              </w:rPr>
              <w:t>3.3.1</w:t>
            </w:r>
            <w:r>
              <w:rPr>
                <w:rFonts w:hint="eastAsia" w:ascii="宋体" w:hAnsi="宋体" w:cs="宋体"/>
                <w:sz w:val="24"/>
                <w:szCs w:val="24"/>
                <w:lang w:val="en-US" w:eastAsia="zh-CN"/>
              </w:rPr>
              <w:t xml:space="preserve"> </w:t>
            </w:r>
            <w:r>
              <w:rPr>
                <w:rFonts w:hint="eastAsia" w:ascii="宋体" w:hAnsi="宋体" w:eastAsia="宋体" w:cs="宋体"/>
                <w:sz w:val="24"/>
                <w:szCs w:val="24"/>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73"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509"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投标保证金</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snapToGrid/>
              <w:spacing w:before="0" w:beforeAutospacing="0" w:after="0" w:afterAutospacing="0" w:line="400" w:lineRule="exact"/>
              <w:ind w:left="0" w:leftChars="0" w:right="0" w:right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rPr>
              <w:t>符合第二章“投标人须知”第</w:t>
            </w:r>
            <w:r>
              <w:rPr>
                <w:rFonts w:hint="eastAsia" w:ascii="宋体" w:hAnsi="宋体" w:cs="宋体"/>
                <w:sz w:val="24"/>
                <w:szCs w:val="24"/>
                <w:lang w:val="en-US" w:eastAsia="zh-CN"/>
              </w:rPr>
              <w:t xml:space="preserve"> </w:t>
            </w:r>
            <w:r>
              <w:rPr>
                <w:rFonts w:hint="eastAsia" w:ascii="宋体" w:hAnsi="宋体" w:eastAsia="宋体" w:cs="宋体"/>
                <w:sz w:val="24"/>
                <w:szCs w:val="24"/>
              </w:rPr>
              <w:t>3.4.1</w:t>
            </w:r>
            <w:r>
              <w:rPr>
                <w:rFonts w:hint="eastAsia" w:ascii="宋体" w:hAnsi="宋体" w:cs="宋体"/>
                <w:sz w:val="24"/>
                <w:szCs w:val="24"/>
                <w:lang w:val="en-US" w:eastAsia="zh-CN"/>
              </w:rPr>
              <w:t xml:space="preserve"> </w:t>
            </w:r>
            <w:r>
              <w:rPr>
                <w:rFonts w:hint="eastAsia" w:ascii="宋体" w:hAnsi="宋体" w:eastAsia="宋体" w:cs="宋体"/>
                <w:sz w:val="24"/>
                <w:szCs w:val="24"/>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73"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509"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权利义务</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符合第四章“合同条款及格式”规定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973"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509"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已标价工程量清单</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符合第五章“工程量清单”给出的范围及数量，投标人应按招标工程量清单填报价格。项目编码、项目名称、项目特征、计量单位、工程量必须与招标工程量清单一</w:t>
            </w:r>
            <w:r>
              <w:rPr>
                <w:rFonts w:hint="eastAsia" w:ascii="宋体" w:hAnsi="宋体" w:eastAsia="宋体" w:cs="宋体"/>
                <w:bCs/>
                <w:color w:val="auto"/>
                <w:sz w:val="24"/>
                <w:szCs w:val="24"/>
                <w:highlight w:val="none"/>
                <w:lang w:val="zh-CN"/>
              </w:rPr>
              <w:t>致，</w:t>
            </w:r>
            <w:r>
              <w:rPr>
                <w:rFonts w:hint="eastAsia" w:ascii="宋体" w:hAnsi="宋体" w:eastAsia="宋体" w:cs="宋体"/>
                <w:bCs/>
                <w:color w:val="auto"/>
                <w:sz w:val="24"/>
                <w:szCs w:val="24"/>
                <w:highlight w:val="none"/>
                <w:shd w:val="clear" w:color="auto" w:fill="auto"/>
                <w:lang w:val="zh-CN"/>
              </w:rPr>
              <w:t>经造价人员签字盖专用章，</w:t>
            </w:r>
            <w:r>
              <w:rPr>
                <w:rFonts w:hint="eastAsia" w:ascii="宋体" w:hAnsi="宋体" w:eastAsia="宋体" w:cs="宋体"/>
                <w:bCs/>
                <w:color w:val="auto"/>
                <w:sz w:val="24"/>
                <w:szCs w:val="24"/>
                <w:highlight w:val="none"/>
                <w:lang w:val="zh-CN"/>
              </w:rPr>
              <w:t>并符合相关法律法规及招标文件规定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509"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jc w:val="center"/>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rPr>
              <w:t>技术标准和要求</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textAlignment w:val="auto"/>
              <w:rPr>
                <w:rFonts w:hint="eastAsia" w:ascii="宋体" w:hAnsi="宋体" w:eastAsia="宋体" w:cs="宋体"/>
                <w:bCs/>
                <w:sz w:val="24"/>
                <w:szCs w:val="24"/>
                <w:lang w:val="zh-CN" w:eastAsia="zh-CN" w:bidi="ar-SA"/>
              </w:rPr>
            </w:pPr>
            <w:r>
              <w:rPr>
                <w:rFonts w:hint="eastAsia" w:ascii="宋体" w:hAnsi="宋体" w:eastAsia="宋体" w:cs="宋体"/>
                <w:bCs/>
                <w:sz w:val="24"/>
                <w:szCs w:val="24"/>
              </w:rPr>
              <w:t>符合第七章“技术标准和要求”规定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1509" w:type="dxa"/>
            <w:vMerge w:val="continue"/>
            <w:noWrap/>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sz w:val="24"/>
                <w:szCs w:val="24"/>
                <w:lang w:val="zh-CN"/>
              </w:rPr>
            </w:pPr>
          </w:p>
        </w:tc>
        <w:tc>
          <w:tcPr>
            <w:tcW w:w="7417" w:type="dxa"/>
            <w:gridSpan w:val="2"/>
            <w:noWrap/>
            <w:vAlign w:val="center"/>
          </w:tcPr>
          <w:p>
            <w:pPr>
              <w:keepNext w:val="0"/>
              <w:keepLines w:val="0"/>
              <w:pageBreakBefore w:val="0"/>
              <w:widowControl w:val="0"/>
              <w:suppressLineNumbers w:val="0"/>
              <w:kinsoku/>
              <w:wordWrap w:val="0"/>
              <w:overflowPunct/>
              <w:topLinePunct w:val="0"/>
              <w:autoSpaceDE/>
              <w:autoSpaceDN/>
              <w:bidi w:val="0"/>
              <w:adjustRightInd w:val="0"/>
              <w:snapToGrid/>
              <w:spacing w:before="0" w:beforeAutospacing="0" w:after="0" w:afterAutospacing="0" w:line="400" w:lineRule="exact"/>
              <w:ind w:left="0" w:leftChars="0" w:right="0" w:rightChars="0"/>
              <w:textAlignment w:val="auto"/>
              <w:rPr>
                <w:rFonts w:hint="eastAsia" w:ascii="宋体" w:hAnsi="宋体" w:eastAsia="宋体" w:cs="宋体"/>
                <w:bCs/>
                <w:sz w:val="24"/>
                <w:szCs w:val="24"/>
              </w:rPr>
            </w:pPr>
            <w:r>
              <w:rPr>
                <w:rFonts w:hint="eastAsia" w:ascii="宋体" w:hAnsi="宋体" w:cs="宋体"/>
                <w:sz w:val="24"/>
                <w:szCs w:val="24"/>
              </w:rPr>
              <w:t>上述评审因素都合格为响应性评审合格，有一项不合格为废标，不再进行下一步评审。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2482" w:type="dxa"/>
            <w:gridSpan w:val="2"/>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zh-CN"/>
              </w:rPr>
              <w:t>条款号</w:t>
            </w:r>
          </w:p>
        </w:tc>
        <w:tc>
          <w:tcPr>
            <w:tcW w:w="1618"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zh-CN"/>
              </w:rPr>
              <w:t>评审因素</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482" w:type="dxa"/>
            <w:gridSpan w:val="2"/>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2.2.1</w:t>
            </w:r>
          </w:p>
        </w:tc>
        <w:tc>
          <w:tcPr>
            <w:tcW w:w="1618"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分值构成</w:t>
            </w:r>
          </w:p>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(总分100分)</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施工组织设计：</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50</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分</w:t>
            </w:r>
          </w:p>
          <w:p>
            <w:pPr>
              <w:keepNext w:val="0"/>
              <w:keepLines w:val="0"/>
              <w:pageBreakBefore w:val="0"/>
              <w:widowControl w:val="0"/>
              <w:kinsoku/>
              <w:wordWrap w:val="0"/>
              <w:overflowPunct/>
              <w:topLinePunct w:val="0"/>
              <w:autoSpaceDE/>
              <w:autoSpaceDN/>
              <w:bidi w:val="0"/>
              <w:adjustRightInd w:val="0"/>
              <w:spacing w:line="4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项目管理机构：</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6</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分</w:t>
            </w:r>
          </w:p>
          <w:p>
            <w:pPr>
              <w:keepNext w:val="0"/>
              <w:keepLines w:val="0"/>
              <w:pageBreakBefore w:val="0"/>
              <w:widowControl w:val="0"/>
              <w:kinsoku/>
              <w:wordWrap w:val="0"/>
              <w:overflowPunct/>
              <w:topLinePunct w:val="0"/>
              <w:autoSpaceDE/>
              <w:autoSpaceDN/>
              <w:bidi w:val="0"/>
              <w:adjustRightInd w:val="0"/>
              <w:spacing w:line="4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投 标 报 价：</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3</w:t>
            </w:r>
            <w:r>
              <w:rPr>
                <w:rFonts w:hint="eastAsia" w:ascii="宋体" w:hAnsi="宋体" w:eastAsia="宋体" w:cs="宋体"/>
                <w:color w:val="auto"/>
                <w:spacing w:val="-6"/>
                <w:sz w:val="24"/>
                <w:szCs w:val="24"/>
                <w:u w:val="single"/>
              </w:rPr>
              <w:t xml:space="preserve">0 </w:t>
            </w:r>
            <w:r>
              <w:rPr>
                <w:rFonts w:hint="eastAsia" w:ascii="宋体" w:hAnsi="宋体" w:eastAsia="宋体" w:cs="宋体"/>
                <w:color w:val="auto"/>
                <w:spacing w:val="-6"/>
                <w:sz w:val="24"/>
                <w:szCs w:val="24"/>
              </w:rPr>
              <w:t>分</w:t>
            </w:r>
          </w:p>
          <w:p>
            <w:pPr>
              <w:keepNext w:val="0"/>
              <w:keepLines w:val="0"/>
              <w:pageBreakBefore w:val="0"/>
              <w:widowControl w:val="0"/>
              <w:kinsoku/>
              <w:wordWrap w:val="0"/>
              <w:overflowPunct/>
              <w:topLinePunct w:val="0"/>
              <w:autoSpaceDE/>
              <w:autoSpaceDN/>
              <w:bidi w:val="0"/>
              <w:adjustRightInd w:val="0"/>
              <w:spacing w:line="4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其他评分因素：</w:t>
            </w:r>
            <w:r>
              <w:rPr>
                <w:rFonts w:hint="eastAsia" w:ascii="宋体" w:hAnsi="宋体" w:cs="宋体"/>
                <w:color w:val="auto"/>
                <w:spacing w:val="-6"/>
                <w:sz w:val="24"/>
                <w:szCs w:val="24"/>
                <w:u w:val="single"/>
                <w:lang w:val="en-US" w:eastAsia="zh-CN"/>
              </w:rPr>
              <w:t>9</w:t>
            </w:r>
            <w:r>
              <w:rPr>
                <w:rFonts w:hint="eastAsia" w:ascii="宋体" w:hAnsi="宋体" w:eastAsia="宋体" w:cs="宋体"/>
                <w:color w:val="auto"/>
                <w:spacing w:val="-6"/>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82" w:type="dxa"/>
            <w:gridSpan w:val="2"/>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2.2.2</w:t>
            </w:r>
          </w:p>
        </w:tc>
        <w:tc>
          <w:tcPr>
            <w:tcW w:w="1618"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评标基准价计算方法</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both"/>
              <w:rPr>
                <w:rFonts w:hint="eastAsia" w:ascii="宋体" w:hAnsi="宋体" w:eastAsia="宋体" w:cs="宋体"/>
                <w:color w:val="auto"/>
                <w:sz w:val="24"/>
                <w:szCs w:val="24"/>
                <w:lang w:val="en-US" w:eastAsia="zh-CN"/>
              </w:rPr>
            </w:pPr>
            <w:r>
              <w:rPr>
                <w:rFonts w:hint="eastAsia" w:ascii="宋体" w:hAnsi="宋体" w:cs="宋体"/>
                <w:spacing w:val="-6"/>
                <w:sz w:val="24"/>
                <w:szCs w:val="24"/>
              </w:rPr>
              <w:t>统一采用低价优先法，即满足</w:t>
            </w:r>
            <w:r>
              <w:rPr>
                <w:rFonts w:hint="eastAsia" w:ascii="宋体" w:hAnsi="宋体" w:cs="宋体"/>
                <w:spacing w:val="-6"/>
                <w:sz w:val="24"/>
                <w:szCs w:val="24"/>
                <w:lang w:val="en-US" w:eastAsia="zh-CN"/>
              </w:rPr>
              <w:t>磋商</w:t>
            </w:r>
            <w:r>
              <w:rPr>
                <w:rFonts w:hint="eastAsia" w:ascii="宋体" w:hAnsi="宋体" w:cs="宋体"/>
                <w:spacing w:val="-6"/>
                <w:sz w:val="24"/>
                <w:szCs w:val="24"/>
              </w:rPr>
              <w:t>文件全部实质性要求且投标价格最低的投标报价作为评标基准价，其价格分为满分。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2482" w:type="dxa"/>
            <w:gridSpan w:val="2"/>
            <w:noWrap/>
            <w:vAlign w:val="center"/>
          </w:tcPr>
          <w:p>
            <w:pPr>
              <w:keepNext w:val="0"/>
              <w:keepLines w:val="0"/>
              <w:pageBreakBefore w:val="0"/>
              <w:widowControl w:val="0"/>
              <w:kinsoku/>
              <w:wordWrap w:val="0"/>
              <w:overflowPunct/>
              <w:topLinePunct w:val="0"/>
              <w:autoSpaceDE/>
              <w:autoSpaceDN/>
              <w:bidi w:val="0"/>
              <w:adjustRightInd w:val="0"/>
              <w:spacing w:line="400" w:lineRule="exact"/>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2.2.3</w:t>
            </w:r>
          </w:p>
        </w:tc>
        <w:tc>
          <w:tcPr>
            <w:tcW w:w="1618" w:type="dxa"/>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投标报价</w:t>
            </w:r>
          </w:p>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z w:val="24"/>
                <w:szCs w:val="24"/>
                <w:lang w:val="zh-CN"/>
              </w:rPr>
            </w:pP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投标报价计算公式：</w:t>
            </w:r>
          </w:p>
          <w:p>
            <w:pPr>
              <w:keepNext w:val="0"/>
              <w:keepLines w:val="0"/>
              <w:pageBreakBefore w:val="0"/>
              <w:widowControl w:val="0"/>
              <w:kinsoku/>
              <w:wordWrap w:val="0"/>
              <w:overflowPunct/>
              <w:topLinePunct w:val="0"/>
              <w:autoSpaceDE/>
              <w:autoSpaceDN/>
              <w:bidi w:val="0"/>
              <w:adjustRightInd w:val="0"/>
              <w:spacing w:line="400" w:lineRule="exact"/>
              <w:jc w:val="both"/>
              <w:rPr>
                <w:rFonts w:hint="eastAsia" w:ascii="宋体" w:hAnsi="宋体" w:eastAsia="宋体" w:cs="宋体"/>
                <w:color w:val="auto"/>
                <w:sz w:val="24"/>
                <w:szCs w:val="24"/>
                <w:lang w:val="zh-CN"/>
              </w:rPr>
            </w:pPr>
            <w:r>
              <w:rPr>
                <w:rFonts w:hint="eastAsia" w:ascii="宋体" w:hAnsi="宋体" w:cs="宋体"/>
                <w:color w:val="000000"/>
                <w:sz w:val="24"/>
                <w:szCs w:val="24"/>
              </w:rPr>
              <w:t>投标报价得分=</w:t>
            </w:r>
            <w:r>
              <w:rPr>
                <w:rFonts w:hint="eastAsia" w:ascii="宋体" w:hAnsi="宋体" w:cs="宋体"/>
                <w:color w:val="000000"/>
                <w:kern w:val="0"/>
                <w:sz w:val="24"/>
                <w:szCs w:val="24"/>
              </w:rPr>
              <w:t>评标基准价/有效投标报价×</w:t>
            </w:r>
            <w:r>
              <w:rPr>
                <w:rFonts w:hint="eastAsia" w:ascii="宋体" w:hAnsi="宋体" w:cs="宋体"/>
                <w:color w:val="auto"/>
                <w:kern w:val="0"/>
                <w:sz w:val="24"/>
                <w:szCs w:val="24"/>
                <w:lang w:val="en-US" w:eastAsia="zh-CN"/>
              </w:rPr>
              <w:t>30</w:t>
            </w:r>
            <w:r>
              <w:rPr>
                <w:rFonts w:hint="eastAsia" w:ascii="宋体" w:hAnsi="宋体" w:cs="宋体"/>
                <w:color w:val="000000"/>
                <w:sz w:val="24"/>
                <w:szCs w:val="24"/>
              </w:rPr>
              <w:t>小数点后保留二位，第三位四舍五入）。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restart"/>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2.2.4(1)</w:t>
            </w:r>
          </w:p>
        </w:tc>
        <w:tc>
          <w:tcPr>
            <w:tcW w:w="1509" w:type="dxa"/>
            <w:vMerge w:val="restart"/>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施工组织设计评分标准</w:t>
            </w:r>
          </w:p>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w:t>
            </w:r>
            <w:r>
              <w:rPr>
                <w:rFonts w:hint="eastAsia" w:ascii="宋体" w:hAnsi="宋体" w:cs="宋体"/>
                <w:color w:val="auto"/>
                <w:spacing w:val="-6"/>
                <w:sz w:val="24"/>
                <w:szCs w:val="24"/>
                <w:lang w:val="en-US" w:eastAsia="zh-CN"/>
              </w:rPr>
              <w:t>50</w:t>
            </w:r>
            <w:r>
              <w:rPr>
                <w:rFonts w:hint="eastAsia" w:ascii="宋体" w:hAnsi="宋体" w:eastAsia="宋体" w:cs="宋体"/>
                <w:color w:val="auto"/>
                <w:spacing w:val="-6"/>
                <w:sz w:val="24"/>
                <w:szCs w:val="24"/>
              </w:rPr>
              <w:t>分）</w:t>
            </w:r>
          </w:p>
        </w:tc>
        <w:tc>
          <w:tcPr>
            <w:tcW w:w="1618" w:type="dxa"/>
            <w:noWrap/>
            <w:vAlign w:val="top"/>
          </w:tcPr>
          <w:p>
            <w:pPr>
              <w:spacing w:line="421" w:lineRule="auto"/>
              <w:rPr>
                <w:rFonts w:ascii="Arial"/>
                <w:color w:val="auto"/>
                <w:sz w:val="21"/>
              </w:rPr>
            </w:pPr>
          </w:p>
          <w:p>
            <w:pPr>
              <w:pStyle w:val="116"/>
              <w:spacing w:before="78" w:line="242" w:lineRule="auto"/>
              <w:ind w:left="577" w:leftChars="0" w:right="87" w:rightChars="0" w:hanging="453" w:firstLineChars="0"/>
              <w:rPr>
                <w:rFonts w:hint="eastAsia" w:ascii="宋体" w:hAnsi="宋体" w:eastAsia="宋体" w:cs="宋体"/>
                <w:color w:val="auto"/>
                <w:sz w:val="24"/>
                <w:szCs w:val="24"/>
                <w:lang w:val="en-US" w:eastAsia="zh-CN" w:bidi="ar-SA"/>
              </w:rPr>
            </w:pPr>
            <w:r>
              <w:rPr>
                <w:color w:val="auto"/>
                <w:spacing w:val="-5"/>
              </w:rPr>
              <w:t>内容完整性和编制</w:t>
            </w:r>
            <w:r>
              <w:rPr>
                <w:color w:val="auto"/>
                <w:spacing w:val="-7"/>
              </w:rPr>
              <w:t>水平</w:t>
            </w:r>
            <w:r>
              <w:rPr>
                <w:color w:val="auto"/>
                <w:spacing w:val="-46"/>
              </w:rPr>
              <w:t xml:space="preserve"> </w:t>
            </w:r>
            <w:r>
              <w:rPr>
                <w:color w:val="auto"/>
                <w:spacing w:val="-7"/>
              </w:rPr>
              <w:t>2</w:t>
            </w:r>
            <w:r>
              <w:rPr>
                <w:color w:val="auto"/>
                <w:spacing w:val="-47"/>
              </w:rPr>
              <w:t xml:space="preserve"> </w:t>
            </w:r>
            <w:r>
              <w:rPr>
                <w:color w:val="auto"/>
                <w:spacing w:val="-7"/>
              </w:rPr>
              <w:t>分</w:t>
            </w:r>
          </w:p>
        </w:tc>
        <w:tc>
          <w:tcPr>
            <w:tcW w:w="5799" w:type="dxa"/>
            <w:noWrap/>
            <w:vAlign w:val="top"/>
          </w:tcPr>
          <w:p>
            <w:pPr>
              <w:pStyle w:val="116"/>
              <w:spacing w:before="35" w:line="233" w:lineRule="auto"/>
              <w:ind w:left="63" w:leftChars="0"/>
              <w:jc w:val="both"/>
              <w:rPr>
                <w:rFonts w:hint="eastAsia" w:ascii="宋体" w:hAnsi="宋体" w:eastAsia="宋体" w:cs="宋体"/>
                <w:color w:val="auto"/>
                <w:sz w:val="24"/>
                <w:szCs w:val="24"/>
                <w:lang w:val="zh-CN" w:eastAsia="zh-CN" w:bidi="ar-SA"/>
              </w:rPr>
            </w:pPr>
            <w:r>
              <w:rPr>
                <w:color w:val="auto"/>
                <w:spacing w:val="-2"/>
              </w:rPr>
              <w:t>根据供应商提供的施工组织设计的齐全、完整性进行</w:t>
            </w:r>
            <w:r>
              <w:rPr>
                <w:color w:val="auto"/>
                <w:spacing w:val="-5"/>
              </w:rPr>
              <w:t>综合评价，各项内容齐全完整、清楚全面、切实</w:t>
            </w:r>
            <w:r>
              <w:rPr>
                <w:color w:val="auto"/>
                <w:spacing w:val="-6"/>
              </w:rPr>
              <w:t>可行、</w:t>
            </w:r>
            <w:r>
              <w:rPr>
                <w:color w:val="auto"/>
                <w:spacing w:val="-3"/>
              </w:rPr>
              <w:t>无疏忽遗漏，得</w:t>
            </w:r>
            <w:r>
              <w:rPr>
                <w:color w:val="auto"/>
                <w:spacing w:val="-37"/>
              </w:rPr>
              <w:t xml:space="preserve"> </w:t>
            </w:r>
            <w:r>
              <w:rPr>
                <w:color w:val="auto"/>
                <w:spacing w:val="-3"/>
              </w:rPr>
              <w:t>2</w:t>
            </w:r>
            <w:r>
              <w:rPr>
                <w:color w:val="auto"/>
                <w:spacing w:val="-48"/>
              </w:rPr>
              <w:t xml:space="preserve"> </w:t>
            </w:r>
            <w:r>
              <w:rPr>
                <w:color w:val="auto"/>
                <w:spacing w:val="-3"/>
              </w:rPr>
              <w:t>分；施工组织设计基本可行、有缺</w:t>
            </w:r>
            <w:r>
              <w:rPr>
                <w:color w:val="auto"/>
                <w:spacing w:val="-2"/>
              </w:rPr>
              <w:t>项但影响不大，得</w:t>
            </w:r>
            <w:r>
              <w:rPr>
                <w:color w:val="auto"/>
                <w:spacing w:val="-33"/>
              </w:rPr>
              <w:t xml:space="preserve"> </w:t>
            </w:r>
            <w:r>
              <w:rPr>
                <w:color w:val="auto"/>
                <w:spacing w:val="-2"/>
              </w:rPr>
              <w:t>1</w:t>
            </w:r>
            <w:r>
              <w:rPr>
                <w:color w:val="auto"/>
                <w:spacing w:val="-48"/>
              </w:rPr>
              <w:t xml:space="preserve"> </w:t>
            </w:r>
            <w:r>
              <w:rPr>
                <w:color w:val="auto"/>
                <w:spacing w:val="-2"/>
              </w:rPr>
              <w:t>分，内容描述不全面、不可行，</w:t>
            </w:r>
            <w:r>
              <w:rPr>
                <w:color w:val="auto"/>
                <w:spacing w:val="-10"/>
              </w:rPr>
              <w:t>得</w:t>
            </w:r>
            <w:r>
              <w:rPr>
                <w:color w:val="auto"/>
                <w:spacing w:val="-47"/>
              </w:rPr>
              <w:t xml:space="preserve"> </w:t>
            </w:r>
            <w:r>
              <w:rPr>
                <w:color w:val="auto"/>
                <w:spacing w:val="-10"/>
              </w:rPr>
              <w:t>0</w:t>
            </w:r>
            <w:r>
              <w:rPr>
                <w:color w:val="auto"/>
                <w:spacing w:val="-48"/>
              </w:rPr>
              <w:t xml:space="preserve"> </w:t>
            </w:r>
            <w:r>
              <w:rPr>
                <w:color w:val="auto"/>
                <w:spacing w:val="-1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618" w:type="dxa"/>
            <w:noWrap/>
            <w:vAlign w:val="top"/>
          </w:tcPr>
          <w:p>
            <w:pPr>
              <w:spacing w:line="276" w:lineRule="auto"/>
              <w:rPr>
                <w:rFonts w:ascii="Arial"/>
                <w:color w:val="auto"/>
                <w:sz w:val="21"/>
              </w:rPr>
            </w:pPr>
          </w:p>
          <w:p>
            <w:pPr>
              <w:spacing w:line="276" w:lineRule="auto"/>
              <w:rPr>
                <w:rFonts w:ascii="Arial"/>
                <w:color w:val="auto"/>
                <w:sz w:val="21"/>
              </w:rPr>
            </w:pPr>
          </w:p>
          <w:p>
            <w:pPr>
              <w:spacing w:line="277" w:lineRule="auto"/>
              <w:rPr>
                <w:rFonts w:ascii="Arial"/>
                <w:color w:val="auto"/>
                <w:sz w:val="21"/>
              </w:rPr>
            </w:pPr>
          </w:p>
          <w:p>
            <w:pPr>
              <w:spacing w:line="277" w:lineRule="auto"/>
              <w:rPr>
                <w:rFonts w:ascii="Arial"/>
                <w:color w:val="auto"/>
                <w:sz w:val="21"/>
              </w:rPr>
            </w:pPr>
          </w:p>
          <w:p>
            <w:pPr>
              <w:spacing w:line="277" w:lineRule="auto"/>
              <w:rPr>
                <w:rFonts w:ascii="Arial"/>
                <w:color w:val="auto"/>
                <w:sz w:val="21"/>
              </w:rPr>
            </w:pPr>
          </w:p>
          <w:p>
            <w:pPr>
              <w:spacing w:line="277" w:lineRule="auto"/>
              <w:rPr>
                <w:rFonts w:ascii="Arial"/>
                <w:color w:val="auto"/>
                <w:sz w:val="21"/>
              </w:rPr>
            </w:pPr>
          </w:p>
          <w:p>
            <w:pPr>
              <w:pStyle w:val="116"/>
              <w:spacing w:before="78" w:line="242" w:lineRule="auto"/>
              <w:ind w:left="605" w:leftChars="0" w:right="87" w:rightChars="0" w:hanging="511" w:firstLineChars="0"/>
              <w:rPr>
                <w:rFonts w:hint="eastAsia" w:ascii="宋体" w:hAnsi="宋体" w:eastAsia="宋体" w:cs="宋体"/>
                <w:color w:val="auto"/>
                <w:sz w:val="24"/>
                <w:szCs w:val="24"/>
                <w:lang w:val="en-US" w:eastAsia="zh-CN" w:bidi="ar-SA"/>
              </w:rPr>
            </w:pPr>
            <w:r>
              <w:rPr>
                <w:color w:val="auto"/>
                <w:spacing w:val="-2"/>
              </w:rPr>
              <w:t>施工方案与技术措</w:t>
            </w:r>
            <w:r>
              <w:rPr>
                <w:color w:val="auto"/>
                <w:spacing w:val="-9"/>
              </w:rPr>
              <w:t>施</w:t>
            </w:r>
            <w:r>
              <w:rPr>
                <w:color w:val="auto"/>
                <w:spacing w:val="27"/>
              </w:rPr>
              <w:t xml:space="preserve"> </w:t>
            </w:r>
            <w:r>
              <w:rPr>
                <w:color w:val="auto"/>
                <w:spacing w:val="-9"/>
              </w:rPr>
              <w:t>10</w:t>
            </w:r>
            <w:r>
              <w:rPr>
                <w:color w:val="auto"/>
                <w:spacing w:val="-48"/>
              </w:rPr>
              <w:t xml:space="preserve"> </w:t>
            </w:r>
            <w:r>
              <w:rPr>
                <w:color w:val="auto"/>
                <w:spacing w:val="-9"/>
              </w:rPr>
              <w:t>分</w:t>
            </w:r>
          </w:p>
        </w:tc>
        <w:tc>
          <w:tcPr>
            <w:tcW w:w="5799" w:type="dxa"/>
            <w:noWrap/>
            <w:vAlign w:val="top"/>
          </w:tcPr>
          <w:p>
            <w:pPr>
              <w:pStyle w:val="116"/>
              <w:spacing w:before="40" w:line="239" w:lineRule="auto"/>
              <w:ind w:left="63" w:right="129"/>
              <w:rPr>
                <w:color w:val="auto"/>
              </w:rPr>
            </w:pPr>
            <w:r>
              <w:rPr>
                <w:color w:val="auto"/>
                <w:spacing w:val="-1"/>
              </w:rPr>
              <w:t>供应商针对本项目制定施工方案与技术措施，要求包括但不限于：①主要施工工序流程、②主要工种施工方法、③分部分项工程施工方案、④现场交叉施工管理方案、⑤对施工重点、难点的解决方案和可行保证</w:t>
            </w:r>
            <w:r>
              <w:rPr>
                <w:color w:val="auto"/>
                <w:spacing w:val="-3"/>
              </w:rPr>
              <w:t>措施等。</w:t>
            </w:r>
          </w:p>
          <w:p>
            <w:pPr>
              <w:pStyle w:val="116"/>
              <w:spacing w:line="239" w:lineRule="auto"/>
              <w:ind w:left="63" w:right="129" w:firstLine="1"/>
              <w:rPr>
                <w:color w:val="auto"/>
              </w:rPr>
            </w:pPr>
            <w:r>
              <w:rPr>
                <w:color w:val="auto"/>
                <w:spacing w:val="-1"/>
              </w:rPr>
              <w:t>上述小项方案具有针对性和可行性、清晰明确、内容</w:t>
            </w:r>
            <w:r>
              <w:rPr>
                <w:color w:val="auto"/>
                <w:spacing w:val="-2"/>
              </w:rPr>
              <w:t>全面合理、满足采购人实际需求的每项得</w:t>
            </w:r>
            <w:r>
              <w:rPr>
                <w:color w:val="auto"/>
                <w:spacing w:val="-41"/>
              </w:rPr>
              <w:t xml:space="preserve"> </w:t>
            </w:r>
            <w:r>
              <w:rPr>
                <w:color w:val="auto"/>
                <w:spacing w:val="-2"/>
              </w:rPr>
              <w:t>2</w:t>
            </w:r>
            <w:r>
              <w:rPr>
                <w:color w:val="auto"/>
                <w:spacing w:val="-48"/>
              </w:rPr>
              <w:t xml:space="preserve"> </w:t>
            </w:r>
            <w:r>
              <w:rPr>
                <w:color w:val="auto"/>
                <w:spacing w:val="-2"/>
              </w:rPr>
              <w:t>分。</w:t>
            </w:r>
          </w:p>
          <w:p>
            <w:pPr>
              <w:pStyle w:val="116"/>
              <w:spacing w:before="1" w:line="239" w:lineRule="auto"/>
              <w:ind w:left="75" w:right="129" w:hanging="13"/>
              <w:rPr>
                <w:color w:val="auto"/>
              </w:rPr>
            </w:pPr>
            <w:r>
              <w:rPr>
                <w:color w:val="auto"/>
                <w:spacing w:val="-2"/>
              </w:rPr>
              <w:t>存在一般缺陷的小项方案得</w:t>
            </w:r>
            <w:r>
              <w:rPr>
                <w:color w:val="auto"/>
                <w:spacing w:val="-33"/>
              </w:rPr>
              <w:t xml:space="preserve"> </w:t>
            </w:r>
            <w:r>
              <w:rPr>
                <w:color w:val="auto"/>
                <w:spacing w:val="-2"/>
              </w:rPr>
              <w:t>1</w:t>
            </w:r>
            <w:r>
              <w:rPr>
                <w:color w:val="auto"/>
                <w:spacing w:val="-48"/>
              </w:rPr>
              <w:t xml:space="preserve"> </w:t>
            </w:r>
            <w:r>
              <w:rPr>
                <w:color w:val="auto"/>
                <w:spacing w:val="-2"/>
              </w:rPr>
              <w:t>分（一般缺陷是</w:t>
            </w:r>
            <w:r>
              <w:rPr>
                <w:color w:val="auto"/>
                <w:spacing w:val="-3"/>
              </w:rPr>
              <w:t>指方案</w:t>
            </w:r>
            <w:r>
              <w:rPr>
                <w:color w:val="auto"/>
                <w:spacing w:val="-1"/>
              </w:rPr>
              <w:t>内容前后不一致、前后逻辑错误、内容有缺失，不影</w:t>
            </w:r>
            <w:r>
              <w:rPr>
                <w:color w:val="auto"/>
                <w:spacing w:val="-3"/>
              </w:rPr>
              <w:t>响项目的实施）。</w:t>
            </w:r>
          </w:p>
          <w:p>
            <w:pPr>
              <w:pStyle w:val="116"/>
              <w:spacing w:before="1" w:line="228" w:lineRule="auto"/>
              <w:ind w:left="61" w:leftChars="0" w:right="129" w:rightChars="0" w:firstLine="5" w:firstLineChars="0"/>
              <w:rPr>
                <w:rFonts w:hint="eastAsia" w:ascii="宋体" w:hAnsi="宋体" w:eastAsia="宋体" w:cs="宋体"/>
                <w:color w:val="auto"/>
                <w:sz w:val="24"/>
                <w:szCs w:val="24"/>
                <w:lang w:val="zh-CN" w:eastAsia="zh-CN" w:bidi="ar-SA"/>
              </w:rPr>
            </w:pPr>
            <w:r>
              <w:rPr>
                <w:color w:val="auto"/>
                <w:spacing w:val="-1"/>
              </w:rPr>
              <w:t>未提供或存在重大缺陷的小项方案不得分（重大缺陷是指方案凭空编造、套用其他方案、与采购项目和采购需求无关，无法指导项目实施）。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618" w:type="dxa"/>
            <w:noWrap/>
            <w:vAlign w:val="top"/>
          </w:tcPr>
          <w:p>
            <w:pPr>
              <w:spacing w:line="255" w:lineRule="auto"/>
              <w:rPr>
                <w:rFonts w:ascii="Arial"/>
                <w:color w:val="auto"/>
                <w:sz w:val="21"/>
              </w:rPr>
            </w:pPr>
          </w:p>
          <w:p>
            <w:pPr>
              <w:spacing w:line="255" w:lineRule="auto"/>
              <w:rPr>
                <w:rFonts w:ascii="Arial"/>
                <w:color w:val="auto"/>
                <w:sz w:val="21"/>
              </w:rPr>
            </w:pPr>
          </w:p>
          <w:p>
            <w:pPr>
              <w:spacing w:line="256" w:lineRule="auto"/>
              <w:rPr>
                <w:rFonts w:ascii="Arial"/>
                <w:color w:val="auto"/>
                <w:sz w:val="21"/>
              </w:rPr>
            </w:pPr>
          </w:p>
          <w:p>
            <w:pPr>
              <w:spacing w:line="256" w:lineRule="auto"/>
              <w:rPr>
                <w:rFonts w:ascii="Arial"/>
                <w:color w:val="auto"/>
                <w:sz w:val="21"/>
              </w:rPr>
            </w:pPr>
          </w:p>
          <w:p>
            <w:pPr>
              <w:spacing w:line="256" w:lineRule="auto"/>
              <w:rPr>
                <w:rFonts w:ascii="Arial"/>
                <w:color w:val="auto"/>
                <w:sz w:val="21"/>
              </w:rPr>
            </w:pPr>
          </w:p>
          <w:p>
            <w:pPr>
              <w:spacing w:line="256" w:lineRule="auto"/>
              <w:rPr>
                <w:rFonts w:ascii="Arial"/>
                <w:color w:val="auto"/>
                <w:sz w:val="21"/>
              </w:rPr>
            </w:pPr>
          </w:p>
          <w:p>
            <w:pPr>
              <w:pStyle w:val="116"/>
              <w:spacing w:before="78" w:line="242" w:lineRule="auto"/>
              <w:ind w:left="694" w:leftChars="0" w:right="87" w:rightChars="0" w:hanging="598" w:firstLineChars="0"/>
              <w:rPr>
                <w:color w:val="auto"/>
                <w:spacing w:val="-2"/>
              </w:rPr>
            </w:pPr>
            <w:r>
              <w:rPr>
                <w:color w:val="auto"/>
                <w:spacing w:val="-2"/>
              </w:rPr>
              <w:t>质量管理体</w:t>
            </w:r>
          </w:p>
          <w:p>
            <w:pPr>
              <w:pStyle w:val="116"/>
              <w:spacing w:before="78" w:line="242" w:lineRule="auto"/>
              <w:ind w:left="694" w:leftChars="0" w:right="87" w:rightChars="0" w:hanging="598" w:firstLineChars="0"/>
              <w:rPr>
                <w:rFonts w:hint="eastAsia" w:ascii="宋体" w:hAnsi="宋体" w:eastAsia="宋体" w:cs="宋体"/>
                <w:color w:val="auto"/>
                <w:sz w:val="24"/>
                <w:szCs w:val="24"/>
                <w:lang w:val="en-US" w:eastAsia="zh-CN" w:bidi="ar-SA"/>
              </w:rPr>
            </w:pPr>
            <w:r>
              <w:rPr>
                <w:color w:val="auto"/>
                <w:spacing w:val="-2"/>
              </w:rPr>
              <w:t>系与措</w:t>
            </w:r>
            <w:r>
              <w:rPr>
                <w:color w:val="auto"/>
                <w:spacing w:val="-7"/>
              </w:rPr>
              <w:t>施</w:t>
            </w:r>
            <w:r>
              <w:rPr>
                <w:color w:val="auto"/>
                <w:spacing w:val="-49"/>
              </w:rPr>
              <w:t xml:space="preserve"> </w:t>
            </w:r>
            <w:r>
              <w:rPr>
                <w:color w:val="auto"/>
                <w:spacing w:val="-7"/>
              </w:rPr>
              <w:t>6</w:t>
            </w:r>
            <w:r>
              <w:rPr>
                <w:color w:val="auto"/>
                <w:spacing w:val="-48"/>
              </w:rPr>
              <w:t xml:space="preserve"> </w:t>
            </w:r>
            <w:r>
              <w:rPr>
                <w:color w:val="auto"/>
                <w:spacing w:val="-7"/>
              </w:rPr>
              <w:t>分</w:t>
            </w:r>
          </w:p>
        </w:tc>
        <w:tc>
          <w:tcPr>
            <w:tcW w:w="5799" w:type="dxa"/>
            <w:noWrap/>
            <w:vAlign w:val="top"/>
          </w:tcPr>
          <w:p>
            <w:pPr>
              <w:pStyle w:val="116"/>
              <w:spacing w:before="221" w:line="239" w:lineRule="auto"/>
              <w:ind w:left="63" w:right="129"/>
              <w:rPr>
                <w:color w:val="auto"/>
              </w:rPr>
            </w:pPr>
            <w:r>
              <w:rPr>
                <w:color w:val="auto"/>
                <w:spacing w:val="-1"/>
              </w:rPr>
              <w:t>供应商针对本项目制定质量管理体系与措施，要求包括但不限于：①施工技术质量管理体系、②施工过程质量保障措施、③主要材料质量保障措施。</w:t>
            </w:r>
          </w:p>
          <w:p>
            <w:pPr>
              <w:pStyle w:val="116"/>
              <w:ind w:left="63" w:right="129" w:firstLine="1"/>
              <w:rPr>
                <w:color w:val="auto"/>
              </w:rPr>
            </w:pPr>
            <w:r>
              <w:rPr>
                <w:color w:val="auto"/>
                <w:spacing w:val="-1"/>
              </w:rPr>
              <w:t>上述小项方案具有针对性和可行性、清晰明确、内容</w:t>
            </w:r>
            <w:r>
              <w:rPr>
                <w:color w:val="auto"/>
                <w:spacing w:val="-2"/>
              </w:rPr>
              <w:t>全面合理、满足采购人实际需求的每项得</w:t>
            </w:r>
            <w:r>
              <w:rPr>
                <w:color w:val="auto"/>
                <w:spacing w:val="-41"/>
              </w:rPr>
              <w:t xml:space="preserve"> </w:t>
            </w:r>
            <w:r>
              <w:rPr>
                <w:color w:val="auto"/>
                <w:spacing w:val="-2"/>
              </w:rPr>
              <w:t>2</w:t>
            </w:r>
            <w:r>
              <w:rPr>
                <w:color w:val="auto"/>
                <w:spacing w:val="-48"/>
              </w:rPr>
              <w:t xml:space="preserve"> </w:t>
            </w:r>
            <w:r>
              <w:rPr>
                <w:color w:val="auto"/>
                <w:spacing w:val="-2"/>
              </w:rPr>
              <w:t>分。</w:t>
            </w:r>
          </w:p>
          <w:p>
            <w:pPr>
              <w:pStyle w:val="116"/>
              <w:spacing w:before="1" w:line="239" w:lineRule="auto"/>
              <w:ind w:left="75" w:right="129" w:hanging="13"/>
              <w:rPr>
                <w:color w:val="auto"/>
              </w:rPr>
            </w:pPr>
            <w:r>
              <w:rPr>
                <w:color w:val="auto"/>
                <w:spacing w:val="-2"/>
              </w:rPr>
              <w:t>存在一般缺陷的小项方案得</w:t>
            </w:r>
            <w:r>
              <w:rPr>
                <w:color w:val="auto"/>
                <w:spacing w:val="-33"/>
              </w:rPr>
              <w:t xml:space="preserve"> </w:t>
            </w:r>
            <w:r>
              <w:rPr>
                <w:color w:val="auto"/>
                <w:spacing w:val="-2"/>
              </w:rPr>
              <w:t>1</w:t>
            </w:r>
            <w:r>
              <w:rPr>
                <w:color w:val="auto"/>
                <w:spacing w:val="-48"/>
              </w:rPr>
              <w:t xml:space="preserve"> </w:t>
            </w:r>
            <w:r>
              <w:rPr>
                <w:color w:val="auto"/>
                <w:spacing w:val="-2"/>
              </w:rPr>
              <w:t>分（一般缺陷是</w:t>
            </w:r>
            <w:r>
              <w:rPr>
                <w:color w:val="auto"/>
                <w:spacing w:val="-3"/>
              </w:rPr>
              <w:t>指方案</w:t>
            </w:r>
            <w:r>
              <w:rPr>
                <w:color w:val="auto"/>
                <w:spacing w:val="-1"/>
              </w:rPr>
              <w:t>内容前后不一致、前后逻辑错误、内容有缺失，不影</w:t>
            </w:r>
            <w:r>
              <w:rPr>
                <w:color w:val="auto"/>
                <w:spacing w:val="-3"/>
              </w:rPr>
              <w:t>响项目的实施）。</w:t>
            </w:r>
          </w:p>
          <w:p>
            <w:pPr>
              <w:pStyle w:val="116"/>
              <w:spacing w:before="2"/>
              <w:ind w:left="61" w:leftChars="0" w:right="129" w:rightChars="0" w:firstLine="5" w:firstLineChars="0"/>
              <w:rPr>
                <w:rFonts w:hint="eastAsia" w:ascii="宋体" w:hAnsi="宋体" w:eastAsia="宋体" w:cs="宋体"/>
                <w:color w:val="auto"/>
                <w:sz w:val="24"/>
                <w:szCs w:val="24"/>
                <w:lang w:val="en-US" w:eastAsia="zh-CN" w:bidi="ar-SA"/>
              </w:rPr>
            </w:pPr>
            <w:r>
              <w:rPr>
                <w:color w:val="auto"/>
                <w:spacing w:val="-1"/>
              </w:rPr>
              <w:t>未提供或存在重大缺陷的小项方案不得分（重大缺陷是指方案凭空编造、套用其他方案、与采购项目和采购需求无关，无法指导项目实施）。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618" w:type="dxa"/>
            <w:noWrap/>
            <w:vAlign w:val="top"/>
          </w:tcPr>
          <w:p>
            <w:pPr>
              <w:spacing w:line="256" w:lineRule="auto"/>
              <w:rPr>
                <w:rFonts w:ascii="Arial"/>
                <w:color w:val="auto"/>
                <w:sz w:val="21"/>
              </w:rPr>
            </w:pPr>
          </w:p>
          <w:p>
            <w:pPr>
              <w:spacing w:line="256" w:lineRule="auto"/>
              <w:rPr>
                <w:rFonts w:ascii="Arial"/>
                <w:color w:val="auto"/>
                <w:sz w:val="21"/>
              </w:rPr>
            </w:pPr>
          </w:p>
          <w:p>
            <w:pPr>
              <w:spacing w:line="256" w:lineRule="auto"/>
              <w:rPr>
                <w:rFonts w:ascii="Arial"/>
                <w:color w:val="auto"/>
                <w:sz w:val="21"/>
              </w:rPr>
            </w:pPr>
          </w:p>
          <w:p>
            <w:pPr>
              <w:spacing w:line="256" w:lineRule="auto"/>
              <w:rPr>
                <w:rFonts w:ascii="Arial"/>
                <w:color w:val="auto"/>
                <w:sz w:val="21"/>
              </w:rPr>
            </w:pPr>
          </w:p>
          <w:p>
            <w:pPr>
              <w:spacing w:line="256" w:lineRule="auto"/>
              <w:rPr>
                <w:rFonts w:ascii="Arial"/>
                <w:color w:val="auto"/>
                <w:sz w:val="21"/>
              </w:rPr>
            </w:pPr>
          </w:p>
          <w:p>
            <w:pPr>
              <w:spacing w:line="257" w:lineRule="auto"/>
              <w:rPr>
                <w:rFonts w:ascii="Arial"/>
                <w:color w:val="auto"/>
                <w:sz w:val="21"/>
              </w:rPr>
            </w:pPr>
          </w:p>
          <w:p>
            <w:pPr>
              <w:pStyle w:val="116"/>
              <w:spacing w:before="78" w:line="242" w:lineRule="auto"/>
              <w:ind w:left="694" w:leftChars="0" w:right="87" w:rightChars="0" w:hanging="596" w:firstLineChars="0"/>
              <w:rPr>
                <w:color w:val="auto"/>
                <w:spacing w:val="-2"/>
              </w:rPr>
            </w:pPr>
            <w:r>
              <w:rPr>
                <w:color w:val="auto"/>
                <w:spacing w:val="-2"/>
              </w:rPr>
              <w:t>工程进度计</w:t>
            </w:r>
          </w:p>
          <w:p>
            <w:pPr>
              <w:pStyle w:val="116"/>
              <w:spacing w:before="78" w:line="242" w:lineRule="auto"/>
              <w:ind w:left="694" w:leftChars="0" w:right="87" w:rightChars="0" w:hanging="596" w:firstLineChars="0"/>
              <w:rPr>
                <w:rFonts w:hint="eastAsia" w:ascii="宋体" w:hAnsi="宋体" w:eastAsia="宋体" w:cs="宋体"/>
                <w:color w:val="auto"/>
                <w:sz w:val="24"/>
                <w:szCs w:val="24"/>
                <w:lang w:val="en-US" w:eastAsia="zh-CN" w:bidi="ar-SA"/>
              </w:rPr>
            </w:pPr>
            <w:r>
              <w:rPr>
                <w:color w:val="auto"/>
                <w:spacing w:val="-2"/>
              </w:rPr>
              <w:t>划与措</w:t>
            </w:r>
            <w:r>
              <w:rPr>
                <w:color w:val="auto"/>
                <w:spacing w:val="-6"/>
              </w:rPr>
              <w:t>施</w:t>
            </w:r>
            <w:r>
              <w:rPr>
                <w:color w:val="auto"/>
                <w:spacing w:val="-52"/>
              </w:rPr>
              <w:t xml:space="preserve"> </w:t>
            </w:r>
            <w:r>
              <w:rPr>
                <w:color w:val="auto"/>
                <w:spacing w:val="-6"/>
              </w:rPr>
              <w:t>4</w:t>
            </w:r>
            <w:r>
              <w:rPr>
                <w:color w:val="auto"/>
                <w:spacing w:val="-48"/>
              </w:rPr>
              <w:t xml:space="preserve"> </w:t>
            </w:r>
            <w:r>
              <w:rPr>
                <w:color w:val="auto"/>
                <w:spacing w:val="-6"/>
              </w:rPr>
              <w:t>分</w:t>
            </w:r>
          </w:p>
        </w:tc>
        <w:tc>
          <w:tcPr>
            <w:tcW w:w="5799" w:type="dxa"/>
            <w:noWrap/>
            <w:vAlign w:val="top"/>
          </w:tcPr>
          <w:p>
            <w:pPr>
              <w:pStyle w:val="116"/>
              <w:spacing w:before="68" w:line="239" w:lineRule="auto"/>
              <w:ind w:left="63" w:right="129"/>
              <w:rPr>
                <w:color w:val="auto"/>
              </w:rPr>
            </w:pPr>
            <w:r>
              <w:rPr>
                <w:color w:val="auto"/>
                <w:spacing w:val="-1"/>
              </w:rPr>
              <w:t>供应商针对本项目制定工程进度计划与措施，要求包括但不限于：①施工进度计划安排②工期保证措施</w:t>
            </w:r>
          </w:p>
          <w:p>
            <w:pPr>
              <w:pStyle w:val="116"/>
              <w:spacing w:line="220" w:lineRule="auto"/>
              <w:ind w:left="65"/>
              <w:rPr>
                <w:color w:val="auto"/>
              </w:rPr>
            </w:pPr>
            <w:r>
              <w:rPr>
                <w:color w:val="auto"/>
                <w:spacing w:val="-6"/>
              </w:rPr>
              <w:t>等。</w:t>
            </w:r>
          </w:p>
          <w:p>
            <w:pPr>
              <w:pStyle w:val="116"/>
              <w:spacing w:before="23"/>
              <w:ind w:left="62" w:right="129" w:firstLine="2"/>
              <w:rPr>
                <w:color w:val="auto"/>
              </w:rPr>
            </w:pPr>
            <w:r>
              <w:rPr>
                <w:color w:val="auto"/>
                <w:spacing w:val="-1"/>
              </w:rPr>
              <w:t>上述小项方案具有针对性和可行性、清晰明确、内容全面合理、关键时间节点有明确、深入的表述、满足</w:t>
            </w:r>
            <w:r>
              <w:rPr>
                <w:color w:val="auto"/>
                <w:spacing w:val="-3"/>
              </w:rPr>
              <w:t>采购人实际需求的每项得</w:t>
            </w:r>
            <w:r>
              <w:rPr>
                <w:color w:val="auto"/>
                <w:spacing w:val="-40"/>
              </w:rPr>
              <w:t xml:space="preserve"> </w:t>
            </w:r>
            <w:r>
              <w:rPr>
                <w:color w:val="auto"/>
                <w:spacing w:val="-3"/>
              </w:rPr>
              <w:t>2</w:t>
            </w:r>
            <w:r>
              <w:rPr>
                <w:color w:val="auto"/>
                <w:spacing w:val="-48"/>
              </w:rPr>
              <w:t xml:space="preserve"> </w:t>
            </w:r>
            <w:r>
              <w:rPr>
                <w:color w:val="auto"/>
                <w:spacing w:val="-3"/>
              </w:rPr>
              <w:t>分。</w:t>
            </w:r>
          </w:p>
          <w:p>
            <w:pPr>
              <w:pStyle w:val="116"/>
              <w:spacing w:before="1" w:line="239" w:lineRule="auto"/>
              <w:ind w:left="75" w:right="129" w:hanging="13"/>
              <w:rPr>
                <w:color w:val="auto"/>
              </w:rPr>
            </w:pPr>
            <w:r>
              <w:rPr>
                <w:color w:val="auto"/>
                <w:spacing w:val="-2"/>
              </w:rPr>
              <w:t>存在一般缺陷的小项方案得</w:t>
            </w:r>
            <w:r>
              <w:rPr>
                <w:color w:val="auto"/>
                <w:spacing w:val="-33"/>
              </w:rPr>
              <w:t xml:space="preserve"> </w:t>
            </w:r>
            <w:r>
              <w:rPr>
                <w:color w:val="auto"/>
                <w:spacing w:val="-2"/>
              </w:rPr>
              <w:t>1</w:t>
            </w:r>
            <w:r>
              <w:rPr>
                <w:color w:val="auto"/>
                <w:spacing w:val="-48"/>
              </w:rPr>
              <w:t xml:space="preserve"> </w:t>
            </w:r>
            <w:r>
              <w:rPr>
                <w:color w:val="auto"/>
                <w:spacing w:val="-2"/>
              </w:rPr>
              <w:t>分（一般缺陷是</w:t>
            </w:r>
            <w:r>
              <w:rPr>
                <w:color w:val="auto"/>
                <w:spacing w:val="-3"/>
              </w:rPr>
              <w:t>指方案</w:t>
            </w:r>
            <w:r>
              <w:rPr>
                <w:color w:val="auto"/>
                <w:spacing w:val="-1"/>
              </w:rPr>
              <w:t>内容前后不一致、前后逻辑错误、内容有缺失，不影</w:t>
            </w:r>
            <w:r>
              <w:rPr>
                <w:color w:val="auto"/>
                <w:spacing w:val="-3"/>
              </w:rPr>
              <w:t>响项目的实施）。</w:t>
            </w:r>
          </w:p>
          <w:p>
            <w:pPr>
              <w:pStyle w:val="116"/>
              <w:spacing w:before="1" w:line="235" w:lineRule="auto"/>
              <w:ind w:left="61" w:leftChars="0" w:right="129" w:rightChars="0" w:firstLine="5" w:firstLineChars="0"/>
              <w:rPr>
                <w:rFonts w:hint="eastAsia" w:ascii="宋体" w:hAnsi="宋体" w:eastAsia="宋体" w:cs="宋体"/>
                <w:color w:val="auto"/>
                <w:sz w:val="24"/>
                <w:szCs w:val="24"/>
                <w:lang w:val="en-US" w:eastAsia="zh-CN" w:bidi="ar-SA"/>
              </w:rPr>
            </w:pPr>
            <w:r>
              <w:rPr>
                <w:color w:val="auto"/>
                <w:spacing w:val="-1"/>
              </w:rPr>
              <w:t>未提供或存在重大缺陷的小项方案不得分（重大缺陷是指方案凭空编造、套用其他方案、与采购项目和采购需求无关，无法指导项目实施）。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618" w:type="dxa"/>
            <w:noWrap/>
            <w:vAlign w:val="top"/>
          </w:tcPr>
          <w:p>
            <w:pPr>
              <w:spacing w:line="251" w:lineRule="auto"/>
              <w:rPr>
                <w:rFonts w:ascii="Arial"/>
                <w:color w:val="auto"/>
                <w:sz w:val="21"/>
              </w:rPr>
            </w:pPr>
          </w:p>
          <w:p>
            <w:pPr>
              <w:spacing w:line="251" w:lineRule="auto"/>
              <w:rPr>
                <w:rFonts w:ascii="Arial"/>
                <w:color w:val="auto"/>
                <w:sz w:val="21"/>
              </w:rPr>
            </w:pPr>
          </w:p>
          <w:p>
            <w:pPr>
              <w:spacing w:line="251" w:lineRule="auto"/>
              <w:rPr>
                <w:rFonts w:ascii="Arial"/>
                <w:color w:val="auto"/>
                <w:sz w:val="21"/>
              </w:rPr>
            </w:pPr>
          </w:p>
          <w:p>
            <w:pPr>
              <w:spacing w:line="251" w:lineRule="auto"/>
              <w:rPr>
                <w:rFonts w:ascii="Arial"/>
                <w:color w:val="auto"/>
                <w:sz w:val="21"/>
              </w:rPr>
            </w:pPr>
          </w:p>
          <w:p>
            <w:pPr>
              <w:spacing w:line="251" w:lineRule="auto"/>
              <w:rPr>
                <w:rFonts w:ascii="Arial"/>
                <w:color w:val="auto"/>
                <w:sz w:val="21"/>
              </w:rPr>
            </w:pPr>
          </w:p>
          <w:p>
            <w:pPr>
              <w:spacing w:line="251" w:lineRule="auto"/>
              <w:rPr>
                <w:rFonts w:ascii="Arial"/>
                <w:color w:val="auto"/>
                <w:sz w:val="21"/>
              </w:rPr>
            </w:pPr>
          </w:p>
          <w:p>
            <w:pPr>
              <w:pStyle w:val="116"/>
              <w:spacing w:before="78" w:line="241" w:lineRule="auto"/>
              <w:ind w:left="665" w:leftChars="0" w:right="87" w:rightChars="0" w:hanging="565" w:firstLineChars="0"/>
              <w:rPr>
                <w:color w:val="auto"/>
                <w:spacing w:val="-2"/>
              </w:rPr>
            </w:pPr>
            <w:r>
              <w:rPr>
                <w:color w:val="auto"/>
                <w:spacing w:val="-2"/>
              </w:rPr>
              <w:t>安全管理体</w:t>
            </w:r>
          </w:p>
          <w:p>
            <w:pPr>
              <w:pStyle w:val="116"/>
              <w:spacing w:before="78" w:line="241" w:lineRule="auto"/>
              <w:ind w:left="665" w:leftChars="0" w:right="87" w:rightChars="0" w:hanging="565" w:firstLineChars="0"/>
              <w:rPr>
                <w:rFonts w:hint="eastAsia" w:ascii="宋体" w:hAnsi="宋体" w:eastAsia="宋体" w:cs="宋体"/>
                <w:color w:val="auto"/>
                <w:sz w:val="24"/>
                <w:szCs w:val="24"/>
                <w:lang w:val="en-US" w:eastAsia="zh-CN" w:bidi="ar-SA"/>
              </w:rPr>
            </w:pPr>
            <w:r>
              <w:rPr>
                <w:color w:val="auto"/>
                <w:spacing w:val="-2"/>
              </w:rPr>
              <w:t>系与措</w:t>
            </w:r>
            <w:r>
              <w:rPr>
                <w:color w:val="auto"/>
                <w:spacing w:val="-7"/>
              </w:rPr>
              <w:t>施</w:t>
            </w:r>
            <w:r>
              <w:rPr>
                <w:color w:val="auto"/>
                <w:spacing w:val="11"/>
              </w:rPr>
              <w:t xml:space="preserve"> </w:t>
            </w:r>
            <w:r>
              <w:rPr>
                <w:color w:val="auto"/>
                <w:spacing w:val="-7"/>
              </w:rPr>
              <w:t>6</w:t>
            </w:r>
            <w:r>
              <w:rPr>
                <w:color w:val="auto"/>
                <w:spacing w:val="-48"/>
              </w:rPr>
              <w:t xml:space="preserve"> </w:t>
            </w:r>
            <w:r>
              <w:rPr>
                <w:color w:val="auto"/>
                <w:spacing w:val="-7"/>
              </w:rPr>
              <w:t>分</w:t>
            </w:r>
          </w:p>
        </w:tc>
        <w:tc>
          <w:tcPr>
            <w:tcW w:w="5799" w:type="dxa"/>
            <w:noWrap/>
            <w:vAlign w:val="top"/>
          </w:tcPr>
          <w:p>
            <w:pPr>
              <w:pStyle w:val="116"/>
              <w:spacing w:before="34"/>
              <w:ind w:left="63" w:right="129"/>
              <w:rPr>
                <w:color w:val="auto"/>
              </w:rPr>
            </w:pPr>
            <w:r>
              <w:rPr>
                <w:color w:val="auto"/>
                <w:spacing w:val="-1"/>
              </w:rPr>
              <w:t>供应商针对本项目制定安全管理体系与措施，要求包括但不限于：①现场安全管理措施、②现场安全围挡保护措施、③现场人员安全培训方案及安全考核方案</w:t>
            </w:r>
            <w:r>
              <w:rPr>
                <w:color w:val="auto"/>
                <w:spacing w:val="-5"/>
              </w:rPr>
              <w:t>等。</w:t>
            </w:r>
          </w:p>
          <w:p>
            <w:pPr>
              <w:pStyle w:val="116"/>
              <w:spacing w:line="239" w:lineRule="auto"/>
              <w:ind w:left="63" w:right="129" w:firstLine="1"/>
              <w:rPr>
                <w:color w:val="auto"/>
              </w:rPr>
            </w:pPr>
            <w:r>
              <w:rPr>
                <w:color w:val="auto"/>
                <w:spacing w:val="-1"/>
              </w:rPr>
              <w:t>上述小项方案具有针对性和可行性、清晰明确、内容</w:t>
            </w:r>
            <w:r>
              <w:rPr>
                <w:color w:val="auto"/>
                <w:spacing w:val="-2"/>
              </w:rPr>
              <w:t>全面合理、满足采购人实际需求的每项得</w:t>
            </w:r>
            <w:r>
              <w:rPr>
                <w:color w:val="auto"/>
                <w:spacing w:val="-41"/>
              </w:rPr>
              <w:t xml:space="preserve"> </w:t>
            </w:r>
            <w:r>
              <w:rPr>
                <w:color w:val="auto"/>
                <w:spacing w:val="-2"/>
              </w:rPr>
              <w:t>2</w:t>
            </w:r>
            <w:r>
              <w:rPr>
                <w:color w:val="auto"/>
                <w:spacing w:val="-48"/>
              </w:rPr>
              <w:t xml:space="preserve"> </w:t>
            </w:r>
            <w:r>
              <w:rPr>
                <w:color w:val="auto"/>
                <w:spacing w:val="-2"/>
              </w:rPr>
              <w:t>分。</w:t>
            </w:r>
          </w:p>
          <w:p>
            <w:pPr>
              <w:pStyle w:val="116"/>
              <w:spacing w:before="1" w:line="239" w:lineRule="auto"/>
              <w:ind w:left="75" w:right="129" w:hanging="13"/>
              <w:rPr>
                <w:color w:val="auto"/>
              </w:rPr>
            </w:pPr>
            <w:r>
              <w:rPr>
                <w:color w:val="auto"/>
                <w:spacing w:val="-2"/>
              </w:rPr>
              <w:t>存在一般缺陷的小项方案得</w:t>
            </w:r>
            <w:r>
              <w:rPr>
                <w:color w:val="auto"/>
                <w:spacing w:val="-33"/>
              </w:rPr>
              <w:t xml:space="preserve"> </w:t>
            </w:r>
            <w:r>
              <w:rPr>
                <w:color w:val="auto"/>
                <w:spacing w:val="-2"/>
              </w:rPr>
              <w:t>1</w:t>
            </w:r>
            <w:r>
              <w:rPr>
                <w:color w:val="auto"/>
                <w:spacing w:val="-48"/>
              </w:rPr>
              <w:t xml:space="preserve"> </w:t>
            </w:r>
            <w:r>
              <w:rPr>
                <w:color w:val="auto"/>
                <w:spacing w:val="-2"/>
              </w:rPr>
              <w:t>分（一般缺陷是</w:t>
            </w:r>
            <w:r>
              <w:rPr>
                <w:color w:val="auto"/>
                <w:spacing w:val="-3"/>
              </w:rPr>
              <w:t>指方案</w:t>
            </w:r>
            <w:r>
              <w:rPr>
                <w:color w:val="auto"/>
                <w:spacing w:val="-1"/>
              </w:rPr>
              <w:t>内容前后不一致、前后逻辑错误、内容有缺失，不影</w:t>
            </w:r>
            <w:r>
              <w:rPr>
                <w:color w:val="auto"/>
                <w:spacing w:val="-3"/>
              </w:rPr>
              <w:t>响项目的实施）。</w:t>
            </w:r>
          </w:p>
          <w:p>
            <w:pPr>
              <w:pStyle w:val="116"/>
              <w:spacing w:line="228" w:lineRule="auto"/>
              <w:ind w:left="61" w:leftChars="0" w:right="129" w:rightChars="0" w:firstLine="5" w:firstLineChars="0"/>
              <w:rPr>
                <w:rFonts w:hint="eastAsia" w:ascii="宋体" w:hAnsi="宋体" w:eastAsia="宋体" w:cs="宋体"/>
                <w:color w:val="auto"/>
                <w:sz w:val="24"/>
                <w:szCs w:val="24"/>
                <w:lang w:val="en-US" w:eastAsia="zh-CN" w:bidi="ar-SA"/>
              </w:rPr>
            </w:pPr>
            <w:r>
              <w:rPr>
                <w:color w:val="auto"/>
                <w:spacing w:val="-1"/>
              </w:rPr>
              <w:t>未提供或存在重大缺陷的小项方案不得分（重大缺陷是指方案凭空编造、套用其他方案、与采购项目和采购需求无关，无法指导项目实施）。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618" w:type="dxa"/>
            <w:noWrap/>
            <w:vAlign w:val="top"/>
          </w:tcPr>
          <w:p>
            <w:pPr>
              <w:spacing w:line="251" w:lineRule="auto"/>
              <w:rPr>
                <w:rFonts w:ascii="Arial"/>
                <w:color w:val="auto"/>
                <w:sz w:val="21"/>
              </w:rPr>
            </w:pPr>
          </w:p>
          <w:p>
            <w:pPr>
              <w:spacing w:line="251" w:lineRule="auto"/>
              <w:rPr>
                <w:rFonts w:ascii="Arial"/>
                <w:color w:val="auto"/>
                <w:sz w:val="21"/>
              </w:rPr>
            </w:pPr>
          </w:p>
          <w:p>
            <w:pPr>
              <w:spacing w:line="251" w:lineRule="auto"/>
              <w:rPr>
                <w:rFonts w:ascii="Arial"/>
                <w:color w:val="auto"/>
                <w:sz w:val="21"/>
              </w:rPr>
            </w:pPr>
          </w:p>
          <w:p>
            <w:pPr>
              <w:spacing w:line="252" w:lineRule="auto"/>
              <w:rPr>
                <w:rFonts w:ascii="Arial"/>
                <w:color w:val="auto"/>
                <w:sz w:val="21"/>
              </w:rPr>
            </w:pPr>
          </w:p>
          <w:p>
            <w:pPr>
              <w:spacing w:line="252" w:lineRule="auto"/>
              <w:rPr>
                <w:rFonts w:ascii="Arial"/>
                <w:color w:val="auto"/>
                <w:sz w:val="21"/>
              </w:rPr>
            </w:pPr>
          </w:p>
          <w:p>
            <w:pPr>
              <w:spacing w:line="252" w:lineRule="auto"/>
              <w:rPr>
                <w:rFonts w:ascii="Arial"/>
                <w:color w:val="auto"/>
                <w:sz w:val="21"/>
              </w:rPr>
            </w:pPr>
          </w:p>
          <w:p>
            <w:pPr>
              <w:pStyle w:val="116"/>
              <w:spacing w:before="78" w:line="242" w:lineRule="auto"/>
              <w:ind w:left="459" w:leftChars="0" w:right="87" w:rightChars="0" w:hanging="364" w:firstLineChars="0"/>
              <w:rPr>
                <w:color w:val="auto"/>
                <w:spacing w:val="-2"/>
              </w:rPr>
            </w:pPr>
            <w:r>
              <w:rPr>
                <w:color w:val="auto"/>
                <w:spacing w:val="-2"/>
              </w:rPr>
              <w:t>环境保护管</w:t>
            </w:r>
          </w:p>
          <w:p>
            <w:pPr>
              <w:pStyle w:val="116"/>
              <w:spacing w:before="78" w:line="242" w:lineRule="auto"/>
              <w:ind w:left="459" w:leftChars="0" w:right="87" w:rightChars="0" w:hanging="364" w:firstLineChars="0"/>
              <w:rPr>
                <w:rFonts w:hint="eastAsia" w:ascii="宋体" w:hAnsi="宋体" w:eastAsia="宋体" w:cs="宋体"/>
                <w:color w:val="auto"/>
                <w:sz w:val="24"/>
                <w:szCs w:val="24"/>
                <w:lang w:val="en-US" w:eastAsia="zh-CN" w:bidi="ar-SA"/>
              </w:rPr>
            </w:pPr>
            <w:r>
              <w:rPr>
                <w:color w:val="auto"/>
                <w:spacing w:val="-2"/>
              </w:rPr>
              <w:t>理体系</w:t>
            </w:r>
            <w:r>
              <w:rPr>
                <w:color w:val="auto"/>
                <w:spacing w:val="-6"/>
              </w:rPr>
              <w:t>与措施</w:t>
            </w:r>
            <w:r>
              <w:rPr>
                <w:color w:val="auto"/>
                <w:spacing w:val="-46"/>
              </w:rPr>
              <w:t xml:space="preserve"> </w:t>
            </w:r>
            <w:r>
              <w:rPr>
                <w:color w:val="auto"/>
                <w:spacing w:val="-6"/>
              </w:rPr>
              <w:t>6</w:t>
            </w:r>
            <w:r>
              <w:rPr>
                <w:color w:val="auto"/>
                <w:spacing w:val="-47"/>
              </w:rPr>
              <w:t xml:space="preserve"> </w:t>
            </w:r>
            <w:r>
              <w:rPr>
                <w:color w:val="auto"/>
                <w:spacing w:val="-6"/>
              </w:rPr>
              <w:t>分</w:t>
            </w:r>
          </w:p>
        </w:tc>
        <w:tc>
          <w:tcPr>
            <w:tcW w:w="5799" w:type="dxa"/>
            <w:noWrap/>
            <w:vAlign w:val="top"/>
          </w:tcPr>
          <w:p>
            <w:pPr>
              <w:pStyle w:val="116"/>
              <w:spacing w:before="39" w:line="239" w:lineRule="auto"/>
              <w:ind w:left="64" w:right="57" w:hanging="1"/>
              <w:rPr>
                <w:color w:val="auto"/>
              </w:rPr>
            </w:pPr>
            <w:r>
              <w:rPr>
                <w:color w:val="auto"/>
                <w:spacing w:val="-1"/>
              </w:rPr>
              <w:t>供应商针对本项目制定环境保护管理体系与措施，要</w:t>
            </w:r>
            <w:r>
              <w:rPr>
                <w:color w:val="auto"/>
                <w:spacing w:val="-3"/>
              </w:rPr>
              <w:t>求 包括但不限于：①环境保护管理体系、②粉尘、噪</w:t>
            </w:r>
            <w:r>
              <w:rPr>
                <w:color w:val="auto"/>
                <w:spacing w:val="-1"/>
              </w:rPr>
              <w:t>声、废水、垃圾处理等污染物预防处理方案及措施、</w:t>
            </w:r>
          </w:p>
          <w:p>
            <w:pPr>
              <w:pStyle w:val="116"/>
              <w:spacing w:before="1" w:line="217" w:lineRule="auto"/>
              <w:ind w:left="61"/>
              <w:rPr>
                <w:color w:val="auto"/>
              </w:rPr>
            </w:pPr>
            <w:r>
              <w:rPr>
                <w:color w:val="auto"/>
                <w:spacing w:val="-1"/>
              </w:rPr>
              <w:t>③环境保护措施等。</w:t>
            </w:r>
          </w:p>
          <w:p>
            <w:pPr>
              <w:pStyle w:val="116"/>
              <w:spacing w:before="28"/>
              <w:ind w:left="63" w:right="129" w:firstLine="1"/>
              <w:rPr>
                <w:color w:val="auto"/>
              </w:rPr>
            </w:pPr>
            <w:r>
              <w:rPr>
                <w:color w:val="auto"/>
                <w:spacing w:val="-1"/>
              </w:rPr>
              <w:t>上述小项方案具有针对性和可行性、清晰明确、内容</w:t>
            </w:r>
            <w:r>
              <w:rPr>
                <w:color w:val="auto"/>
                <w:spacing w:val="-2"/>
              </w:rPr>
              <w:t>全面合理、满足采购人实际需求的每项得</w:t>
            </w:r>
            <w:r>
              <w:rPr>
                <w:color w:val="auto"/>
                <w:spacing w:val="-41"/>
              </w:rPr>
              <w:t xml:space="preserve"> </w:t>
            </w:r>
            <w:r>
              <w:rPr>
                <w:color w:val="auto"/>
                <w:spacing w:val="-2"/>
              </w:rPr>
              <w:t>2</w:t>
            </w:r>
            <w:r>
              <w:rPr>
                <w:color w:val="auto"/>
                <w:spacing w:val="-48"/>
              </w:rPr>
              <w:t xml:space="preserve"> </w:t>
            </w:r>
            <w:r>
              <w:rPr>
                <w:color w:val="auto"/>
                <w:spacing w:val="-2"/>
              </w:rPr>
              <w:t>分。</w:t>
            </w:r>
          </w:p>
          <w:p>
            <w:pPr>
              <w:pStyle w:val="116"/>
              <w:spacing w:before="1" w:line="239" w:lineRule="auto"/>
              <w:ind w:left="75" w:right="129" w:hanging="13"/>
              <w:rPr>
                <w:color w:val="auto"/>
              </w:rPr>
            </w:pPr>
            <w:r>
              <w:rPr>
                <w:color w:val="auto"/>
                <w:spacing w:val="-2"/>
              </w:rPr>
              <w:t>存在一般缺陷的小项方案得</w:t>
            </w:r>
            <w:r>
              <w:rPr>
                <w:color w:val="auto"/>
                <w:spacing w:val="-33"/>
              </w:rPr>
              <w:t xml:space="preserve"> </w:t>
            </w:r>
            <w:r>
              <w:rPr>
                <w:color w:val="auto"/>
                <w:spacing w:val="-2"/>
              </w:rPr>
              <w:t>1</w:t>
            </w:r>
            <w:r>
              <w:rPr>
                <w:color w:val="auto"/>
                <w:spacing w:val="-48"/>
              </w:rPr>
              <w:t xml:space="preserve"> </w:t>
            </w:r>
            <w:r>
              <w:rPr>
                <w:color w:val="auto"/>
                <w:spacing w:val="-2"/>
              </w:rPr>
              <w:t>分（一般缺陷是</w:t>
            </w:r>
            <w:r>
              <w:rPr>
                <w:color w:val="auto"/>
                <w:spacing w:val="-3"/>
              </w:rPr>
              <w:t>指方案</w:t>
            </w:r>
            <w:r>
              <w:rPr>
                <w:color w:val="auto"/>
                <w:spacing w:val="-1"/>
              </w:rPr>
              <w:t>内容前后不一致、前后逻辑错误、内容有缺失，不影</w:t>
            </w:r>
            <w:r>
              <w:rPr>
                <w:color w:val="auto"/>
                <w:spacing w:val="-3"/>
              </w:rPr>
              <w:t>响项目的实施）。</w:t>
            </w:r>
          </w:p>
          <w:p>
            <w:pPr>
              <w:pStyle w:val="116"/>
              <w:spacing w:line="228" w:lineRule="auto"/>
              <w:ind w:left="61" w:leftChars="0" w:right="129" w:rightChars="0" w:firstLine="5" w:firstLineChars="0"/>
              <w:rPr>
                <w:rFonts w:hint="eastAsia" w:ascii="宋体" w:hAnsi="宋体" w:eastAsia="宋体" w:cs="宋体"/>
                <w:color w:val="auto"/>
                <w:sz w:val="24"/>
                <w:szCs w:val="24"/>
                <w:lang w:val="en-US" w:eastAsia="zh-CN" w:bidi="ar-SA"/>
              </w:rPr>
            </w:pPr>
            <w:r>
              <w:rPr>
                <w:color w:val="auto"/>
                <w:spacing w:val="-1"/>
              </w:rPr>
              <w:t>未提供或存在重大缺陷的小项方案不得分（重大缺陷是指方案凭空编造、套用其他方案、与采购项目和采购需 求无关，无法指导项目实施）。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618" w:type="dxa"/>
            <w:noWrap/>
            <w:vAlign w:val="top"/>
          </w:tcPr>
          <w:p>
            <w:pPr>
              <w:spacing w:line="275" w:lineRule="auto"/>
              <w:rPr>
                <w:rFonts w:ascii="Arial"/>
                <w:color w:val="auto"/>
                <w:sz w:val="21"/>
              </w:rPr>
            </w:pPr>
          </w:p>
          <w:p>
            <w:pPr>
              <w:spacing w:line="276" w:lineRule="auto"/>
              <w:rPr>
                <w:rFonts w:ascii="Arial"/>
                <w:color w:val="auto"/>
                <w:sz w:val="21"/>
              </w:rPr>
            </w:pPr>
          </w:p>
          <w:p>
            <w:pPr>
              <w:spacing w:line="276" w:lineRule="auto"/>
              <w:rPr>
                <w:rFonts w:ascii="Arial"/>
                <w:color w:val="auto"/>
                <w:sz w:val="21"/>
              </w:rPr>
            </w:pPr>
          </w:p>
          <w:p>
            <w:pPr>
              <w:spacing w:line="276" w:lineRule="auto"/>
              <w:rPr>
                <w:rFonts w:ascii="Arial"/>
                <w:color w:val="auto"/>
                <w:sz w:val="21"/>
              </w:rPr>
            </w:pPr>
          </w:p>
          <w:p>
            <w:pPr>
              <w:spacing w:line="276" w:lineRule="auto"/>
              <w:rPr>
                <w:rFonts w:ascii="Arial"/>
                <w:color w:val="auto"/>
                <w:sz w:val="21"/>
              </w:rPr>
            </w:pPr>
          </w:p>
          <w:p>
            <w:pPr>
              <w:pStyle w:val="116"/>
              <w:spacing w:before="78" w:line="242" w:lineRule="auto"/>
              <w:ind w:left="848" w:leftChars="0" w:right="327" w:rightChars="0" w:hanging="502" w:firstLineChars="0"/>
              <w:rPr>
                <w:color w:val="auto"/>
                <w:spacing w:val="-2"/>
              </w:rPr>
            </w:pPr>
            <w:r>
              <w:rPr>
                <w:color w:val="auto"/>
                <w:spacing w:val="-2"/>
              </w:rPr>
              <w:t>资源配</w:t>
            </w:r>
          </w:p>
          <w:p>
            <w:pPr>
              <w:pStyle w:val="116"/>
              <w:spacing w:before="78" w:line="242" w:lineRule="auto"/>
              <w:ind w:left="848" w:leftChars="0" w:right="327" w:rightChars="0" w:hanging="502" w:firstLineChars="0"/>
              <w:rPr>
                <w:color w:val="auto"/>
                <w:spacing w:val="-2"/>
              </w:rPr>
            </w:pPr>
            <w:r>
              <w:rPr>
                <w:color w:val="auto"/>
                <w:spacing w:val="-2"/>
              </w:rPr>
              <w:t>备计划</w:t>
            </w:r>
          </w:p>
          <w:p>
            <w:pPr>
              <w:pStyle w:val="116"/>
              <w:spacing w:before="78" w:line="242" w:lineRule="auto"/>
              <w:ind w:left="848" w:leftChars="0" w:right="327" w:rightChars="0" w:hanging="502" w:firstLineChars="0"/>
              <w:rPr>
                <w:rFonts w:hint="eastAsia" w:ascii="宋体" w:hAnsi="宋体" w:eastAsia="宋体" w:cs="宋体"/>
                <w:color w:val="auto"/>
                <w:sz w:val="24"/>
                <w:szCs w:val="24"/>
                <w:lang w:val="en-US" w:eastAsia="zh-CN" w:bidi="ar-SA"/>
              </w:rPr>
            </w:pPr>
            <w:r>
              <w:rPr>
                <w:color w:val="auto"/>
                <w:spacing w:val="-2"/>
              </w:rPr>
              <w:t>6 分</w:t>
            </w:r>
          </w:p>
        </w:tc>
        <w:tc>
          <w:tcPr>
            <w:tcW w:w="5799" w:type="dxa"/>
            <w:noWrap/>
            <w:vAlign w:val="top"/>
          </w:tcPr>
          <w:p>
            <w:pPr>
              <w:pStyle w:val="116"/>
              <w:spacing w:before="67" w:line="239" w:lineRule="auto"/>
              <w:ind w:left="61" w:firstLine="1"/>
              <w:rPr>
                <w:color w:val="auto"/>
              </w:rPr>
            </w:pPr>
            <w:r>
              <w:rPr>
                <w:color w:val="auto"/>
                <w:spacing w:val="-2"/>
              </w:rPr>
              <w:t>供应商针对本项目制定资源配备计划，要求包括但不</w:t>
            </w:r>
            <w:r>
              <w:rPr>
                <w:color w:val="auto"/>
                <w:spacing w:val="-5"/>
              </w:rPr>
              <w:t>限于：①主要施工设备配备情况、②劳动力安排计划、</w:t>
            </w:r>
            <w:r>
              <w:rPr>
                <w:color w:val="auto"/>
              </w:rPr>
              <w:t xml:space="preserve"> </w:t>
            </w:r>
            <w:r>
              <w:rPr>
                <w:color w:val="auto"/>
                <w:spacing w:val="-2"/>
              </w:rPr>
              <w:t>③原材料进场计划等。</w:t>
            </w:r>
          </w:p>
          <w:p>
            <w:pPr>
              <w:pStyle w:val="116"/>
              <w:spacing w:line="239" w:lineRule="auto"/>
              <w:ind w:left="63" w:right="129" w:firstLine="1"/>
              <w:rPr>
                <w:color w:val="auto"/>
              </w:rPr>
            </w:pPr>
            <w:r>
              <w:rPr>
                <w:color w:val="auto"/>
                <w:spacing w:val="-1"/>
              </w:rPr>
              <w:t>上述小项方案具有针对性和可行性、清晰明确、内容</w:t>
            </w:r>
            <w:r>
              <w:rPr>
                <w:color w:val="auto"/>
                <w:spacing w:val="-2"/>
              </w:rPr>
              <w:t>全面合理、满足采购人实际需求的每项得</w:t>
            </w:r>
            <w:r>
              <w:rPr>
                <w:color w:val="auto"/>
                <w:spacing w:val="-41"/>
              </w:rPr>
              <w:t xml:space="preserve"> </w:t>
            </w:r>
            <w:r>
              <w:rPr>
                <w:color w:val="auto"/>
                <w:spacing w:val="-2"/>
              </w:rPr>
              <w:t>2</w:t>
            </w:r>
            <w:r>
              <w:rPr>
                <w:color w:val="auto"/>
                <w:spacing w:val="-48"/>
              </w:rPr>
              <w:t xml:space="preserve"> </w:t>
            </w:r>
            <w:r>
              <w:rPr>
                <w:color w:val="auto"/>
                <w:spacing w:val="-2"/>
              </w:rPr>
              <w:t>分。</w:t>
            </w:r>
          </w:p>
          <w:p>
            <w:pPr>
              <w:pStyle w:val="116"/>
              <w:spacing w:before="1" w:line="239" w:lineRule="auto"/>
              <w:ind w:left="75" w:right="129" w:hanging="13"/>
              <w:rPr>
                <w:color w:val="auto"/>
              </w:rPr>
            </w:pPr>
            <w:r>
              <w:rPr>
                <w:color w:val="auto"/>
                <w:spacing w:val="-2"/>
              </w:rPr>
              <w:t>存在一般缺陷的小项方案得</w:t>
            </w:r>
            <w:r>
              <w:rPr>
                <w:color w:val="auto"/>
                <w:spacing w:val="-33"/>
              </w:rPr>
              <w:t xml:space="preserve"> </w:t>
            </w:r>
            <w:r>
              <w:rPr>
                <w:color w:val="auto"/>
                <w:spacing w:val="-2"/>
              </w:rPr>
              <w:t>1</w:t>
            </w:r>
            <w:r>
              <w:rPr>
                <w:color w:val="auto"/>
                <w:spacing w:val="-48"/>
              </w:rPr>
              <w:t xml:space="preserve"> </w:t>
            </w:r>
            <w:r>
              <w:rPr>
                <w:color w:val="auto"/>
                <w:spacing w:val="-2"/>
              </w:rPr>
              <w:t>分（一般缺陷是</w:t>
            </w:r>
            <w:r>
              <w:rPr>
                <w:color w:val="auto"/>
                <w:spacing w:val="-3"/>
              </w:rPr>
              <w:t>指方案</w:t>
            </w:r>
            <w:r>
              <w:rPr>
                <w:color w:val="auto"/>
                <w:spacing w:val="-1"/>
              </w:rPr>
              <w:t>内容前后不一致、前后逻辑错误、内容有缺失，不影</w:t>
            </w:r>
            <w:r>
              <w:rPr>
                <w:color w:val="auto"/>
                <w:spacing w:val="-3"/>
              </w:rPr>
              <w:t>响项目的实施）。</w:t>
            </w:r>
          </w:p>
          <w:p>
            <w:pPr>
              <w:pStyle w:val="116"/>
              <w:spacing w:before="1" w:line="235" w:lineRule="auto"/>
              <w:ind w:left="61" w:leftChars="0" w:right="129" w:rightChars="0" w:firstLine="5" w:firstLineChars="0"/>
              <w:rPr>
                <w:rFonts w:hint="eastAsia" w:ascii="宋体" w:hAnsi="宋体" w:eastAsia="宋体" w:cs="宋体"/>
                <w:color w:val="auto"/>
                <w:sz w:val="24"/>
                <w:szCs w:val="24"/>
                <w:lang w:val="en-US" w:eastAsia="zh-CN" w:bidi="ar-SA"/>
              </w:rPr>
            </w:pPr>
            <w:r>
              <w:rPr>
                <w:color w:val="auto"/>
                <w:spacing w:val="-1"/>
              </w:rPr>
              <w:t>未提供或存在重大缺陷的小项方案不得分（重大缺陷是指方案凭空编造、套用其他方案、与采购项目和采购需求无关，无法指导项目实施）。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618" w:type="dxa"/>
            <w:noWrap/>
            <w:vAlign w:val="top"/>
          </w:tcPr>
          <w:p>
            <w:pPr>
              <w:spacing w:line="255" w:lineRule="auto"/>
              <w:rPr>
                <w:rFonts w:ascii="Arial"/>
                <w:color w:val="auto"/>
                <w:sz w:val="21"/>
              </w:rPr>
            </w:pPr>
          </w:p>
          <w:p>
            <w:pPr>
              <w:spacing w:line="255" w:lineRule="auto"/>
              <w:rPr>
                <w:rFonts w:ascii="Arial"/>
                <w:color w:val="auto"/>
                <w:sz w:val="21"/>
              </w:rPr>
            </w:pPr>
          </w:p>
          <w:p>
            <w:pPr>
              <w:spacing w:line="255" w:lineRule="auto"/>
              <w:rPr>
                <w:rFonts w:ascii="Arial"/>
                <w:color w:val="auto"/>
                <w:sz w:val="21"/>
              </w:rPr>
            </w:pPr>
          </w:p>
          <w:p>
            <w:pPr>
              <w:spacing w:line="255" w:lineRule="auto"/>
              <w:rPr>
                <w:rFonts w:ascii="Arial"/>
                <w:color w:val="auto"/>
                <w:sz w:val="21"/>
              </w:rPr>
            </w:pPr>
          </w:p>
          <w:p>
            <w:pPr>
              <w:spacing w:line="256" w:lineRule="auto"/>
              <w:rPr>
                <w:rFonts w:ascii="Arial"/>
                <w:color w:val="auto"/>
                <w:sz w:val="21"/>
              </w:rPr>
            </w:pPr>
          </w:p>
          <w:p>
            <w:pPr>
              <w:spacing w:line="256" w:lineRule="auto"/>
              <w:rPr>
                <w:rFonts w:ascii="Arial"/>
                <w:color w:val="auto"/>
                <w:sz w:val="21"/>
              </w:rPr>
            </w:pPr>
          </w:p>
          <w:p>
            <w:pPr>
              <w:pStyle w:val="116"/>
              <w:spacing w:before="78" w:line="221" w:lineRule="auto"/>
              <w:ind w:left="97"/>
              <w:rPr>
                <w:rFonts w:hint="eastAsia" w:ascii="宋体" w:hAnsi="宋体" w:eastAsia="宋体" w:cs="宋体"/>
                <w:color w:val="auto"/>
                <w:sz w:val="24"/>
                <w:szCs w:val="24"/>
                <w:lang w:val="en-US" w:eastAsia="zh-CN" w:bidi="ar-SA"/>
              </w:rPr>
            </w:pPr>
            <w:r>
              <w:rPr>
                <w:color w:val="auto"/>
                <w:spacing w:val="-2"/>
              </w:rPr>
              <w:t>成品保护和工程保修工作的管理措施</w:t>
            </w:r>
            <w:r>
              <w:rPr>
                <w:color w:val="auto"/>
                <w:spacing w:val="-5"/>
              </w:rPr>
              <w:t>4</w:t>
            </w:r>
            <w:r>
              <w:rPr>
                <w:color w:val="auto"/>
                <w:spacing w:val="-48"/>
              </w:rPr>
              <w:t xml:space="preserve"> </w:t>
            </w:r>
            <w:r>
              <w:rPr>
                <w:color w:val="auto"/>
                <w:spacing w:val="-5"/>
              </w:rPr>
              <w:t>分</w:t>
            </w:r>
          </w:p>
        </w:tc>
        <w:tc>
          <w:tcPr>
            <w:tcW w:w="5799" w:type="dxa"/>
            <w:noWrap/>
            <w:vAlign w:val="top"/>
          </w:tcPr>
          <w:p>
            <w:pPr>
              <w:pStyle w:val="116"/>
              <w:spacing w:before="64" w:line="239" w:lineRule="auto"/>
              <w:ind w:left="63" w:right="129"/>
              <w:rPr>
                <w:color w:val="auto"/>
              </w:rPr>
            </w:pPr>
            <w:r>
              <w:rPr>
                <w:color w:val="auto"/>
                <w:spacing w:val="-1"/>
              </w:rPr>
              <w:t>供应商针对本项目制定成品保护和工程保修工作的管理措施和承诺，要求包括但不限于：①成品保护管理措施、②工程保修管理措施等。</w:t>
            </w:r>
          </w:p>
          <w:p>
            <w:pPr>
              <w:pStyle w:val="116"/>
              <w:spacing w:before="2" w:line="239" w:lineRule="auto"/>
              <w:ind w:left="63" w:right="129" w:firstLine="1"/>
              <w:rPr>
                <w:color w:val="auto"/>
              </w:rPr>
            </w:pPr>
            <w:r>
              <w:rPr>
                <w:color w:val="auto"/>
                <w:spacing w:val="-1"/>
              </w:rPr>
              <w:t>上述小项方案具有针对性和可行性、清晰明确、内容</w:t>
            </w:r>
            <w:r>
              <w:rPr>
                <w:color w:val="auto"/>
                <w:spacing w:val="-2"/>
              </w:rPr>
              <w:t>全面合理、满足采购人实际需求的每项得</w:t>
            </w:r>
            <w:r>
              <w:rPr>
                <w:color w:val="auto"/>
                <w:spacing w:val="-41"/>
              </w:rPr>
              <w:t xml:space="preserve"> </w:t>
            </w:r>
            <w:r>
              <w:rPr>
                <w:color w:val="auto"/>
                <w:spacing w:val="-2"/>
              </w:rPr>
              <w:t>2</w:t>
            </w:r>
            <w:r>
              <w:rPr>
                <w:color w:val="auto"/>
                <w:spacing w:val="-48"/>
              </w:rPr>
              <w:t xml:space="preserve"> </w:t>
            </w:r>
            <w:r>
              <w:rPr>
                <w:color w:val="auto"/>
                <w:spacing w:val="-2"/>
              </w:rPr>
              <w:t>分。</w:t>
            </w:r>
          </w:p>
          <w:p>
            <w:pPr>
              <w:pStyle w:val="116"/>
              <w:spacing w:before="1" w:line="239" w:lineRule="auto"/>
              <w:ind w:left="67" w:right="129" w:hanging="5"/>
              <w:rPr>
                <w:color w:val="auto"/>
              </w:rPr>
            </w:pPr>
            <w:r>
              <w:rPr>
                <w:color w:val="auto"/>
                <w:spacing w:val="-2"/>
              </w:rPr>
              <w:t>存在一般缺陷的小项方案得</w:t>
            </w:r>
            <w:r>
              <w:rPr>
                <w:color w:val="auto"/>
                <w:spacing w:val="-33"/>
              </w:rPr>
              <w:t xml:space="preserve"> </w:t>
            </w:r>
            <w:r>
              <w:rPr>
                <w:color w:val="auto"/>
                <w:spacing w:val="-2"/>
              </w:rPr>
              <w:t>1</w:t>
            </w:r>
            <w:r>
              <w:rPr>
                <w:color w:val="auto"/>
                <w:spacing w:val="-48"/>
              </w:rPr>
              <w:t xml:space="preserve"> </w:t>
            </w:r>
            <w:r>
              <w:rPr>
                <w:color w:val="auto"/>
                <w:spacing w:val="-2"/>
              </w:rPr>
              <w:t>分（一般缺陷是</w:t>
            </w:r>
            <w:r>
              <w:rPr>
                <w:color w:val="auto"/>
                <w:spacing w:val="-3"/>
              </w:rPr>
              <w:t>指方案</w:t>
            </w:r>
            <w:r>
              <w:rPr>
                <w:color w:val="auto"/>
                <w:spacing w:val="-1"/>
              </w:rPr>
              <w:t>内容前后不一致、前后逻辑错误、内容有缺失，不影响项供应商针对本项目制定成品保护和工程保修工作的管理措施和承诺，要求包括但不限于：①成品保护管理措施、②工程保修管理措施等。</w:t>
            </w:r>
          </w:p>
          <w:p>
            <w:pPr>
              <w:pStyle w:val="116"/>
              <w:spacing w:line="236" w:lineRule="auto"/>
              <w:ind w:left="61" w:leftChars="0" w:right="129" w:rightChars="0" w:firstLine="5" w:firstLineChars="0"/>
              <w:rPr>
                <w:rFonts w:hint="eastAsia" w:ascii="宋体" w:hAnsi="宋体" w:eastAsia="宋体" w:cs="宋体"/>
                <w:color w:val="auto"/>
                <w:sz w:val="24"/>
                <w:szCs w:val="24"/>
                <w:lang w:val="en-US" w:eastAsia="zh-CN" w:bidi="ar-SA"/>
              </w:rPr>
            </w:pPr>
            <w:r>
              <w:rPr>
                <w:color w:val="auto"/>
                <w:spacing w:val="-1"/>
              </w:rPr>
              <w:t>未提供或存在重大缺陷的小项方案不得分（重大缺陷是指方案凭空编造、套用其他方案、与采购项目和采购需 求无关，无法指导项目实施）。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618" w:type="dxa"/>
            <w:noWrap/>
            <w:vAlign w:val="top"/>
          </w:tcPr>
          <w:p>
            <w:pPr>
              <w:spacing w:line="249" w:lineRule="auto"/>
              <w:rPr>
                <w:rFonts w:ascii="Arial"/>
                <w:color w:val="auto"/>
                <w:sz w:val="21"/>
              </w:rPr>
            </w:pPr>
          </w:p>
          <w:p>
            <w:pPr>
              <w:spacing w:line="250" w:lineRule="auto"/>
              <w:rPr>
                <w:rFonts w:ascii="Arial"/>
                <w:color w:val="auto"/>
                <w:sz w:val="21"/>
              </w:rPr>
            </w:pPr>
          </w:p>
          <w:p>
            <w:pPr>
              <w:spacing w:line="250" w:lineRule="auto"/>
              <w:rPr>
                <w:rFonts w:ascii="Arial"/>
                <w:color w:val="auto"/>
                <w:sz w:val="21"/>
              </w:rPr>
            </w:pPr>
          </w:p>
          <w:p>
            <w:pPr>
              <w:spacing w:line="250" w:lineRule="auto"/>
              <w:rPr>
                <w:rFonts w:ascii="Arial"/>
                <w:color w:val="auto"/>
                <w:sz w:val="21"/>
              </w:rPr>
            </w:pPr>
          </w:p>
          <w:p>
            <w:pPr>
              <w:spacing w:line="250" w:lineRule="auto"/>
              <w:rPr>
                <w:rFonts w:ascii="Arial"/>
                <w:color w:val="auto"/>
                <w:sz w:val="21"/>
              </w:rPr>
            </w:pPr>
          </w:p>
          <w:p>
            <w:pPr>
              <w:spacing w:line="250" w:lineRule="auto"/>
              <w:rPr>
                <w:rFonts w:ascii="Arial"/>
                <w:color w:val="auto"/>
                <w:sz w:val="21"/>
              </w:rPr>
            </w:pPr>
          </w:p>
          <w:p>
            <w:pPr>
              <w:pStyle w:val="116"/>
              <w:spacing w:before="78" w:line="242" w:lineRule="auto"/>
              <w:ind w:left="61" w:leftChars="0" w:right="121" w:rightChars="0" w:firstLine="7" w:firstLineChars="0"/>
              <w:jc w:val="both"/>
              <w:rPr>
                <w:rFonts w:hint="eastAsia" w:ascii="宋体" w:hAnsi="宋体" w:eastAsia="宋体" w:cs="宋体"/>
                <w:color w:val="auto"/>
                <w:sz w:val="24"/>
                <w:szCs w:val="24"/>
                <w:lang w:val="en-US" w:eastAsia="zh-CN" w:bidi="ar-SA"/>
              </w:rPr>
            </w:pPr>
            <w:r>
              <w:rPr>
                <w:color w:val="auto"/>
                <w:spacing w:val="-2"/>
              </w:rPr>
              <w:t>紧急情况的处理措施、预案以及抵抗</w:t>
            </w:r>
            <w:r>
              <w:rPr>
                <w:color w:val="auto"/>
                <w:spacing w:val="-3"/>
              </w:rPr>
              <w:t>风险的措施</w:t>
            </w:r>
            <w:r>
              <w:rPr>
                <w:color w:val="auto"/>
                <w:spacing w:val="-49"/>
              </w:rPr>
              <w:t xml:space="preserve"> </w:t>
            </w:r>
            <w:r>
              <w:rPr>
                <w:color w:val="auto"/>
                <w:spacing w:val="-3"/>
              </w:rPr>
              <w:t>6</w:t>
            </w:r>
            <w:r>
              <w:rPr>
                <w:color w:val="auto"/>
                <w:spacing w:val="-48"/>
              </w:rPr>
              <w:t xml:space="preserve"> </w:t>
            </w:r>
            <w:r>
              <w:rPr>
                <w:color w:val="auto"/>
                <w:spacing w:val="-3"/>
              </w:rPr>
              <w:t>分</w:t>
            </w:r>
          </w:p>
        </w:tc>
        <w:tc>
          <w:tcPr>
            <w:tcW w:w="5799" w:type="dxa"/>
            <w:noWrap/>
            <w:vAlign w:val="top"/>
          </w:tcPr>
          <w:p>
            <w:pPr>
              <w:pStyle w:val="116"/>
              <w:spacing w:before="192" w:line="239" w:lineRule="auto"/>
              <w:ind w:left="62" w:right="129"/>
              <w:jc w:val="both"/>
              <w:rPr>
                <w:color w:val="auto"/>
              </w:rPr>
            </w:pPr>
            <w:r>
              <w:rPr>
                <w:color w:val="auto"/>
                <w:spacing w:val="-1"/>
              </w:rPr>
              <w:t>供应商针对本项目制定紧急情况的处理措施、预案以及抵抗风险的措施，要求包括但不限于：①紧急情况的应急预案、②紧急情况的处理措施、③抵抗风险的措施等。上述小项方案具有针对性和可行性、清晰明确、内容全面合理、满足采购人实际需求的每项得</w:t>
            </w:r>
            <w:r>
              <w:rPr>
                <w:color w:val="auto"/>
                <w:spacing w:val="-47"/>
              </w:rPr>
              <w:t xml:space="preserve"> </w:t>
            </w:r>
            <w:r>
              <w:rPr>
                <w:color w:val="auto"/>
                <w:spacing w:val="-1"/>
              </w:rPr>
              <w:t>2</w:t>
            </w:r>
            <w:r>
              <w:rPr>
                <w:color w:val="auto"/>
                <w:spacing w:val="-5"/>
              </w:rPr>
              <w:t>分。</w:t>
            </w:r>
          </w:p>
          <w:p>
            <w:pPr>
              <w:pStyle w:val="116"/>
              <w:spacing w:before="1" w:line="239" w:lineRule="auto"/>
              <w:ind w:left="75" w:right="129" w:hanging="13"/>
              <w:jc w:val="both"/>
              <w:rPr>
                <w:color w:val="auto"/>
              </w:rPr>
            </w:pPr>
            <w:r>
              <w:rPr>
                <w:color w:val="auto"/>
                <w:spacing w:val="-2"/>
              </w:rPr>
              <w:t>存在一般缺陷的小项方案得</w:t>
            </w:r>
            <w:r>
              <w:rPr>
                <w:color w:val="auto"/>
                <w:spacing w:val="-33"/>
              </w:rPr>
              <w:t xml:space="preserve"> </w:t>
            </w:r>
            <w:r>
              <w:rPr>
                <w:color w:val="auto"/>
                <w:spacing w:val="-2"/>
              </w:rPr>
              <w:t>1</w:t>
            </w:r>
            <w:r>
              <w:rPr>
                <w:color w:val="auto"/>
                <w:spacing w:val="-48"/>
              </w:rPr>
              <w:t xml:space="preserve"> </w:t>
            </w:r>
            <w:r>
              <w:rPr>
                <w:color w:val="auto"/>
                <w:spacing w:val="-2"/>
              </w:rPr>
              <w:t>分（一般缺陷是</w:t>
            </w:r>
            <w:r>
              <w:rPr>
                <w:color w:val="auto"/>
                <w:spacing w:val="-3"/>
              </w:rPr>
              <w:t>指方案</w:t>
            </w:r>
            <w:r>
              <w:rPr>
                <w:color w:val="auto"/>
                <w:spacing w:val="-1"/>
              </w:rPr>
              <w:t>内容前后不一致、前后逻辑错误、内容有缺失，不影</w:t>
            </w:r>
            <w:r>
              <w:rPr>
                <w:color w:val="auto"/>
                <w:spacing w:val="-3"/>
              </w:rPr>
              <w:t>响项目的实施）。</w:t>
            </w:r>
          </w:p>
          <w:p>
            <w:pPr>
              <w:pStyle w:val="116"/>
              <w:spacing w:before="2"/>
              <w:ind w:left="61" w:leftChars="0" w:right="129" w:rightChars="0" w:firstLine="5" w:firstLineChars="0"/>
              <w:jc w:val="both"/>
              <w:rPr>
                <w:rFonts w:hint="eastAsia" w:ascii="宋体" w:hAnsi="宋体" w:eastAsia="宋体" w:cs="宋体"/>
                <w:color w:val="auto"/>
                <w:sz w:val="24"/>
                <w:szCs w:val="24"/>
                <w:lang w:val="en-US" w:eastAsia="zh-CN" w:bidi="ar-SA"/>
              </w:rPr>
            </w:pPr>
            <w:r>
              <w:rPr>
                <w:color w:val="auto"/>
                <w:spacing w:val="-1"/>
              </w:rPr>
              <w:t>未提供或存在重大缺陷的小项方案不得分（重大缺陷是指方案凭空编造、套用其他方案、与采购项目和采购需求无关，无法指导项目实施）。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9" w:hRule="atLeast"/>
          <w:jc w:val="center"/>
        </w:trPr>
        <w:tc>
          <w:tcPr>
            <w:tcW w:w="973" w:type="dxa"/>
            <w:vMerge w:val="restart"/>
            <w:noWrap/>
            <w:vAlign w:val="center"/>
          </w:tcPr>
          <w:p>
            <w:pPr>
              <w:keepNext w:val="0"/>
              <w:keepLines w:val="0"/>
              <w:pageBreakBefore w:val="0"/>
              <w:widowControl w:val="0"/>
              <w:kinsoku/>
              <w:wordWrap w:val="0"/>
              <w:overflowPunct/>
              <w:topLinePunct w:val="0"/>
              <w:autoSpaceDE/>
              <w:autoSpaceDN/>
              <w:bidi w:val="0"/>
              <w:spacing w:line="400" w:lineRule="exact"/>
              <w:ind w:left="0" w:leftChars="0" w:right="0" w:rightChars="0" w:firstLine="0" w:firstLineChars="0"/>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2.2.4(2)</w:t>
            </w:r>
          </w:p>
        </w:tc>
        <w:tc>
          <w:tcPr>
            <w:tcW w:w="1509" w:type="dxa"/>
            <w:vMerge w:val="restart"/>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项目管理机构评分标准</w:t>
            </w:r>
          </w:p>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cs="宋体"/>
                <w:color w:val="auto"/>
                <w:spacing w:val="-6"/>
                <w:sz w:val="24"/>
                <w:szCs w:val="24"/>
                <w:highlight w:val="none"/>
                <w:lang w:val="en-US" w:eastAsia="zh-CN"/>
              </w:rPr>
              <w:t>9</w:t>
            </w:r>
            <w:r>
              <w:rPr>
                <w:rFonts w:hint="eastAsia" w:ascii="宋体" w:hAnsi="宋体" w:eastAsia="宋体" w:cs="宋体"/>
                <w:color w:val="auto"/>
                <w:spacing w:val="-6"/>
                <w:sz w:val="24"/>
                <w:szCs w:val="24"/>
                <w:highlight w:val="none"/>
              </w:rPr>
              <w:t>分）</w:t>
            </w:r>
          </w:p>
        </w:tc>
        <w:tc>
          <w:tcPr>
            <w:tcW w:w="1618" w:type="dxa"/>
            <w:noWrap/>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rPr>
                <w:rFonts w:hint="eastAsia" w:ascii="宋体" w:hAnsi="宋体" w:eastAsia="宋体" w:cs="宋体"/>
                <w:color w:val="auto"/>
                <w:spacing w:val="-6"/>
                <w:sz w:val="24"/>
                <w:szCs w:val="24"/>
                <w:highlight w:val="none"/>
                <w:lang w:val="en-US" w:eastAsia="zh-CN" w:bidi="ar-SA"/>
              </w:rPr>
            </w:pPr>
            <w:r>
              <w:rPr>
                <w:rFonts w:hint="eastAsia" w:ascii="宋体" w:hAnsi="宋体" w:cs="宋体"/>
                <w:color w:val="auto"/>
                <w:sz w:val="24"/>
                <w:szCs w:val="24"/>
                <w:lang w:val="en-US" w:eastAsia="zh-CN"/>
              </w:rPr>
              <w:t>项目经理业绩</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分）</w:t>
            </w:r>
          </w:p>
        </w:tc>
        <w:tc>
          <w:tcPr>
            <w:tcW w:w="5799" w:type="dxa"/>
            <w:noWrap/>
            <w:vAlign w:val="center"/>
          </w:tcPr>
          <w:p>
            <w:pPr>
              <w:keepNext w:val="0"/>
              <w:keepLines w:val="0"/>
              <w:pageBreakBefore w:val="0"/>
              <w:widowControl w:val="0"/>
              <w:kinsoku/>
              <w:wordWrap w:val="0"/>
              <w:overflowPunct/>
              <w:topLinePunct w:val="0"/>
              <w:autoSpaceDE/>
              <w:autoSpaceDN/>
              <w:bidi w:val="0"/>
              <w:spacing w:line="400" w:lineRule="exact"/>
              <w:jc w:val="both"/>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项目经理近三年（2023 年 1 月 1 日至今）具有以项目经理身份参与本项目相类似的项目业绩，每有一项得 1分，满分 2 分。</w:t>
            </w:r>
          </w:p>
          <w:p>
            <w:pPr>
              <w:keepNext w:val="0"/>
              <w:keepLines w:val="0"/>
              <w:pageBreakBefore w:val="0"/>
              <w:widowControl w:val="0"/>
              <w:kinsoku/>
              <w:wordWrap w:val="0"/>
              <w:overflowPunct/>
              <w:topLinePunct w:val="0"/>
              <w:autoSpaceDE/>
              <w:autoSpaceDN/>
              <w:bidi w:val="0"/>
              <w:spacing w:line="400" w:lineRule="exact"/>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spacing w:val="-6"/>
                <w:sz w:val="24"/>
                <w:szCs w:val="24"/>
                <w:lang w:val="en-US" w:eastAsia="zh-CN"/>
              </w:rPr>
              <w:t>（提供能体现项目经理姓名的合同或协议书或竣工验收报告，标书内附复印件加盖公章）。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9"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ind w:left="0" w:leftChars="0" w:right="0" w:rightChars="0" w:firstLine="0" w:firstLineChars="0"/>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highlight w:val="none"/>
              </w:rPr>
            </w:pPr>
          </w:p>
        </w:tc>
        <w:tc>
          <w:tcPr>
            <w:tcW w:w="1618" w:type="dxa"/>
            <w:noWrap/>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jc w:val="center"/>
              <w:textAlignment w:val="auto"/>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项目管理机构配置7 分</w:t>
            </w:r>
          </w:p>
        </w:tc>
        <w:tc>
          <w:tcPr>
            <w:tcW w:w="5799" w:type="dxa"/>
            <w:noWrap/>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textAlignment w:val="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施工员、质量员、安全员等人员配备齐全，满足施工要求，得3分，每多提供1人加1分，最多加4分，提供相应的职称证书或岗位证书。</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00" w:lineRule="exact"/>
              <w:ind w:left="0" w:leftChars="0" w:right="0" w:rightChars="0"/>
              <w:textAlignment w:val="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标书内附人员身份证、职称证或岗位证（启用电子证书的附电子证书及有效查询网址，信息真伪由评标专家登录其提供的有效网址或扫描二维码标识进行查询确认），否则不计分。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3" w:type="dxa"/>
            <w:vMerge w:val="restart"/>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2.2.4(3)</w:t>
            </w:r>
          </w:p>
        </w:tc>
        <w:tc>
          <w:tcPr>
            <w:tcW w:w="1509" w:type="dxa"/>
            <w:vMerge w:val="restart"/>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lang w:eastAsia="zh-CN"/>
              </w:rPr>
            </w:pPr>
            <w:r>
              <w:rPr>
                <w:rFonts w:hint="eastAsia" w:ascii="宋体" w:hAnsi="宋体" w:eastAsia="宋体" w:cs="宋体"/>
                <w:color w:val="auto"/>
                <w:spacing w:val="-6"/>
                <w:sz w:val="24"/>
                <w:szCs w:val="24"/>
              </w:rPr>
              <w:t>投标报价</w:t>
            </w:r>
            <w:r>
              <w:rPr>
                <w:rFonts w:hint="eastAsia" w:ascii="宋体" w:hAnsi="宋体" w:eastAsia="宋体" w:cs="宋体"/>
                <w:color w:val="auto"/>
                <w:spacing w:val="-6"/>
                <w:sz w:val="24"/>
                <w:szCs w:val="24"/>
                <w:lang w:eastAsia="zh-CN"/>
              </w:rPr>
              <w:t>评分标准</w:t>
            </w:r>
          </w:p>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w:t>
            </w:r>
            <w:r>
              <w:rPr>
                <w:rFonts w:hint="eastAsia" w:ascii="宋体" w:hAnsi="宋体" w:cs="宋体"/>
                <w:color w:val="auto"/>
                <w:spacing w:val="-6"/>
                <w:sz w:val="24"/>
                <w:szCs w:val="24"/>
                <w:lang w:val="en-US" w:eastAsia="zh-CN"/>
              </w:rPr>
              <w:t>3</w:t>
            </w:r>
            <w:r>
              <w:rPr>
                <w:rFonts w:hint="eastAsia" w:ascii="宋体" w:hAnsi="宋体" w:eastAsia="宋体" w:cs="宋体"/>
                <w:color w:val="auto"/>
                <w:spacing w:val="-6"/>
                <w:sz w:val="24"/>
                <w:szCs w:val="24"/>
              </w:rPr>
              <w:t>0分）</w:t>
            </w:r>
          </w:p>
        </w:tc>
        <w:tc>
          <w:tcPr>
            <w:tcW w:w="1618" w:type="dxa"/>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cs="宋体"/>
                <w:sz w:val="24"/>
                <w:szCs w:val="24"/>
                <w:lang w:val="zh-CN"/>
              </w:rPr>
              <w:t>评标基准价计算方法</w:t>
            </w:r>
          </w:p>
        </w:tc>
        <w:tc>
          <w:tcPr>
            <w:tcW w:w="5799" w:type="dxa"/>
            <w:noWrap/>
            <w:vAlign w:val="center"/>
          </w:tcPr>
          <w:p>
            <w:pPr>
              <w:keepNext w:val="0"/>
              <w:keepLines w:val="0"/>
              <w:pageBreakBefore w:val="0"/>
              <w:widowControl w:val="0"/>
              <w:kinsoku/>
              <w:wordWrap w:val="0"/>
              <w:overflowPunct/>
              <w:topLinePunct w:val="0"/>
              <w:autoSpaceDE/>
              <w:autoSpaceDN/>
              <w:bidi w:val="0"/>
              <w:spacing w:line="400" w:lineRule="exact"/>
              <w:jc w:val="both"/>
              <w:rPr>
                <w:rFonts w:hint="eastAsia" w:ascii="宋体" w:hAnsi="宋体" w:eastAsia="宋体" w:cs="宋体"/>
                <w:color w:val="auto"/>
                <w:spacing w:val="-6"/>
                <w:sz w:val="24"/>
                <w:szCs w:val="24"/>
              </w:rPr>
            </w:pPr>
            <w:r>
              <w:rPr>
                <w:rFonts w:hint="eastAsia" w:ascii="宋体" w:hAnsi="宋体" w:cs="宋体"/>
                <w:spacing w:val="-6"/>
                <w:sz w:val="24"/>
                <w:szCs w:val="24"/>
              </w:rPr>
              <w:t>统一采用低价优先法，即满足</w:t>
            </w:r>
            <w:r>
              <w:rPr>
                <w:rFonts w:hint="eastAsia" w:ascii="宋体" w:hAnsi="宋体" w:cs="宋体"/>
                <w:spacing w:val="-6"/>
                <w:sz w:val="24"/>
                <w:szCs w:val="24"/>
                <w:lang w:val="en-US" w:eastAsia="zh-CN"/>
              </w:rPr>
              <w:t>磋商</w:t>
            </w:r>
            <w:r>
              <w:rPr>
                <w:rFonts w:hint="eastAsia" w:ascii="宋体" w:hAnsi="宋体" w:cs="宋体"/>
                <w:spacing w:val="-6"/>
                <w:sz w:val="24"/>
                <w:szCs w:val="24"/>
              </w:rPr>
              <w:t>文件全部实质性要求且投标价格最低的投标报价作为评标基准价，其价格分为满分</w:t>
            </w:r>
            <w:r>
              <w:rPr>
                <w:rFonts w:hint="eastAsia" w:ascii="宋体" w:hAnsi="宋体" w:cs="宋体"/>
                <w:spacing w:val="-6"/>
                <w:sz w:val="24"/>
                <w:szCs w:val="24"/>
                <w:lang w:val="en-US" w:eastAsia="zh-CN"/>
              </w:rPr>
              <w:t>30</w:t>
            </w:r>
            <w:r>
              <w:rPr>
                <w:rFonts w:hint="eastAsia" w:ascii="宋体" w:hAnsi="宋体" w:cs="宋体"/>
                <w:spacing w:val="-6"/>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z w:val="24"/>
                <w:szCs w:val="24"/>
              </w:rPr>
            </w:pPr>
          </w:p>
        </w:tc>
        <w:tc>
          <w:tcPr>
            <w:tcW w:w="1618" w:type="dxa"/>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投标报价</w:t>
            </w:r>
          </w:p>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w:t>
            </w:r>
            <w:r>
              <w:rPr>
                <w:rFonts w:hint="eastAsia" w:ascii="宋体" w:hAnsi="宋体" w:cs="宋体"/>
                <w:color w:val="auto"/>
                <w:spacing w:val="-6"/>
                <w:sz w:val="24"/>
                <w:szCs w:val="24"/>
                <w:lang w:val="en-US" w:eastAsia="zh-CN"/>
              </w:rPr>
              <w:t>30</w:t>
            </w:r>
            <w:r>
              <w:rPr>
                <w:rFonts w:hint="eastAsia" w:ascii="宋体" w:hAnsi="宋体" w:eastAsia="宋体" w:cs="宋体"/>
                <w:color w:val="auto"/>
                <w:spacing w:val="-6"/>
                <w:sz w:val="24"/>
                <w:szCs w:val="24"/>
              </w:rPr>
              <w:t>分）</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投标报价计算公式：</w:t>
            </w:r>
          </w:p>
          <w:p>
            <w:pPr>
              <w:keepNext w:val="0"/>
              <w:keepLines w:val="0"/>
              <w:pageBreakBefore w:val="0"/>
              <w:widowControl w:val="0"/>
              <w:kinsoku/>
              <w:wordWrap w:val="0"/>
              <w:overflowPunct/>
              <w:topLinePunct w:val="0"/>
              <w:autoSpaceDE/>
              <w:autoSpaceDN/>
              <w:bidi w:val="0"/>
              <w:adjustRightInd w:val="0"/>
              <w:spacing w:line="400" w:lineRule="exact"/>
              <w:jc w:val="both"/>
              <w:rPr>
                <w:rFonts w:hint="default" w:ascii="宋体" w:hAnsi="宋体" w:eastAsia="宋体" w:cs="宋体"/>
                <w:color w:val="auto"/>
                <w:spacing w:val="-6"/>
                <w:sz w:val="24"/>
                <w:szCs w:val="24"/>
                <w:lang w:val="en-US" w:eastAsia="zh-CN"/>
              </w:rPr>
            </w:pPr>
            <w:r>
              <w:rPr>
                <w:rFonts w:hint="eastAsia" w:ascii="宋体" w:hAnsi="宋体" w:cs="宋体"/>
                <w:color w:val="000000"/>
                <w:sz w:val="24"/>
                <w:szCs w:val="24"/>
              </w:rPr>
              <w:t>投标报价得分=</w:t>
            </w:r>
            <w:r>
              <w:rPr>
                <w:rFonts w:hint="eastAsia" w:ascii="宋体" w:hAnsi="宋体" w:cs="宋体"/>
                <w:color w:val="000000"/>
                <w:kern w:val="0"/>
                <w:sz w:val="24"/>
                <w:szCs w:val="24"/>
              </w:rPr>
              <w:t>评标基准价/有效投标报价×</w:t>
            </w:r>
            <w:r>
              <w:rPr>
                <w:rFonts w:hint="eastAsia" w:ascii="宋体" w:hAnsi="宋体" w:cs="宋体"/>
                <w:color w:val="auto"/>
                <w:kern w:val="0"/>
                <w:sz w:val="24"/>
                <w:szCs w:val="24"/>
                <w:lang w:val="en-US" w:eastAsia="zh-CN"/>
              </w:rPr>
              <w:t>30</w:t>
            </w:r>
            <w:r>
              <w:rPr>
                <w:rFonts w:hint="eastAsia" w:ascii="宋体" w:hAnsi="宋体" w:cs="宋体"/>
                <w:color w:val="000000"/>
                <w:sz w:val="24"/>
                <w:szCs w:val="24"/>
              </w:rPr>
              <w:t>小数点后保留二位，第三位四舍五入）。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73" w:type="dxa"/>
            <w:vMerge w:val="restart"/>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2.2.4(4)</w:t>
            </w:r>
          </w:p>
        </w:tc>
        <w:tc>
          <w:tcPr>
            <w:tcW w:w="1509" w:type="dxa"/>
            <w:vMerge w:val="restart"/>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lang w:eastAsia="zh-CN"/>
              </w:rPr>
            </w:pPr>
            <w:r>
              <w:rPr>
                <w:rFonts w:hint="eastAsia" w:ascii="宋体" w:hAnsi="宋体" w:eastAsia="宋体" w:cs="宋体"/>
                <w:color w:val="auto"/>
                <w:spacing w:val="-6"/>
                <w:sz w:val="24"/>
                <w:szCs w:val="24"/>
              </w:rPr>
              <w:t>其他因素</w:t>
            </w:r>
            <w:r>
              <w:rPr>
                <w:rFonts w:hint="eastAsia" w:ascii="宋体" w:hAnsi="宋体" w:eastAsia="宋体" w:cs="宋体"/>
                <w:color w:val="auto"/>
                <w:spacing w:val="-6"/>
                <w:sz w:val="24"/>
                <w:szCs w:val="24"/>
                <w:lang w:eastAsia="zh-CN"/>
              </w:rPr>
              <w:t>评分标准</w:t>
            </w:r>
          </w:p>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w:t>
            </w:r>
            <w:r>
              <w:rPr>
                <w:rFonts w:hint="eastAsia" w:ascii="宋体" w:hAnsi="宋体" w:cs="宋体"/>
                <w:color w:val="auto"/>
                <w:spacing w:val="-6"/>
                <w:sz w:val="24"/>
                <w:szCs w:val="24"/>
                <w:lang w:val="en-US" w:eastAsia="zh-CN"/>
              </w:rPr>
              <w:t>11</w:t>
            </w:r>
            <w:r>
              <w:rPr>
                <w:rFonts w:hint="eastAsia" w:ascii="宋体" w:hAnsi="宋体" w:eastAsia="宋体" w:cs="宋体"/>
                <w:color w:val="auto"/>
                <w:spacing w:val="-6"/>
                <w:sz w:val="24"/>
                <w:szCs w:val="24"/>
              </w:rPr>
              <w:t>分）</w:t>
            </w:r>
          </w:p>
        </w:tc>
        <w:tc>
          <w:tcPr>
            <w:tcW w:w="1618" w:type="dxa"/>
            <w:noWrap/>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企业类似业绩（</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分）</w:t>
            </w:r>
          </w:p>
        </w:tc>
        <w:tc>
          <w:tcPr>
            <w:tcW w:w="5799" w:type="dxa"/>
            <w:noWrap/>
            <w:vAlign w:val="center"/>
          </w:tcPr>
          <w:p>
            <w:pPr>
              <w:keepNext w:val="0"/>
              <w:keepLines w:val="0"/>
              <w:pageBreakBefore w:val="0"/>
              <w:widowControl w:val="0"/>
              <w:kinsoku/>
              <w:wordWrap w:val="0"/>
              <w:overflowPunct/>
              <w:topLinePunct w:val="0"/>
              <w:autoSpaceDE/>
              <w:autoSpaceDN/>
              <w:bidi w:val="0"/>
              <w:adjustRightInd w:val="0"/>
              <w:spacing w:line="400" w:lineRule="exact"/>
              <w:jc w:val="left"/>
              <w:rPr>
                <w:rFonts w:hint="eastAsia" w:ascii="宋体" w:hAnsi="宋体" w:eastAsia="宋体" w:cs="宋体"/>
                <w:bCs/>
                <w:color w:val="auto"/>
                <w:sz w:val="24"/>
                <w:szCs w:val="24"/>
                <w:lang w:val="zh-CN"/>
              </w:rPr>
            </w:pPr>
            <w:r>
              <w:rPr>
                <w:rFonts w:hint="eastAsia" w:ascii="宋体" w:hAnsi="宋体" w:eastAsia="宋体" w:cs="宋体"/>
                <w:spacing w:val="-6"/>
                <w:sz w:val="24"/>
                <w:szCs w:val="24"/>
                <w:lang w:val="zh-CN"/>
              </w:rPr>
              <w:t>投标人 2023 年-至今具有与本项目类似的项目业绩，每有一项得 1分，满分 3 分。（响应文件内附类似工程业绩中标通知书或合同协议书复印件加盖公章，否则不予计分。）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618" w:type="dxa"/>
            <w:noWrap/>
            <w:vAlign w:val="center"/>
          </w:tcPr>
          <w:p>
            <w:pPr>
              <w:pStyle w:val="116"/>
              <w:spacing w:before="192" w:line="239" w:lineRule="auto"/>
              <w:ind w:left="62" w:right="129"/>
              <w:jc w:val="both"/>
              <w:rPr>
                <w:rFonts w:hint="eastAsia"/>
                <w:color w:val="auto"/>
                <w:lang w:val="en-US" w:eastAsia="zh-CN"/>
              </w:rPr>
            </w:pPr>
            <w:bookmarkStart w:id="169" w:name="OLE_LINK2"/>
            <w:r>
              <w:rPr>
                <w:rFonts w:hint="eastAsia"/>
                <w:color w:val="auto"/>
                <w:lang w:val="en-US" w:eastAsia="zh-CN"/>
              </w:rPr>
              <w:t>增值服务</w:t>
            </w:r>
          </w:p>
          <w:p>
            <w:pPr>
              <w:pStyle w:val="116"/>
              <w:spacing w:before="192" w:line="239" w:lineRule="auto"/>
              <w:ind w:left="62" w:right="129"/>
              <w:jc w:val="both"/>
              <w:rPr>
                <w:rFonts w:hint="eastAsia"/>
                <w:color w:val="auto"/>
              </w:rPr>
            </w:pPr>
            <w:r>
              <w:rPr>
                <w:rFonts w:hint="eastAsia"/>
                <w:color w:val="auto"/>
                <w:lang w:val="en-US" w:eastAsia="zh-CN"/>
              </w:rPr>
              <w:t>（4分）</w:t>
            </w:r>
            <w:bookmarkEnd w:id="169"/>
          </w:p>
        </w:tc>
        <w:tc>
          <w:tcPr>
            <w:tcW w:w="5799" w:type="dxa"/>
            <w:noWrap/>
            <w:vAlign w:val="center"/>
          </w:tcPr>
          <w:p>
            <w:pPr>
              <w:pStyle w:val="116"/>
              <w:spacing w:before="192" w:line="239" w:lineRule="auto"/>
              <w:ind w:left="62" w:right="129"/>
              <w:jc w:val="both"/>
              <w:rPr>
                <w:rFonts w:hint="eastAsia"/>
                <w:color w:val="auto"/>
                <w:lang w:val="en-US" w:eastAsia="zh-CN"/>
              </w:rPr>
            </w:pPr>
            <w:r>
              <w:rPr>
                <w:rFonts w:hint="eastAsia"/>
                <w:color w:val="auto"/>
                <w:lang w:val="en-US" w:eastAsia="zh-CN"/>
              </w:rPr>
              <w:t>采购</w:t>
            </w:r>
            <w:r>
              <w:rPr>
                <w:rFonts w:hint="eastAsia"/>
                <w:color w:val="auto"/>
                <w:lang w:val="zh-CN"/>
              </w:rPr>
              <w:t>人可以接受的合理</w:t>
            </w:r>
            <w:r>
              <w:rPr>
                <w:rFonts w:hint="eastAsia"/>
                <w:color w:val="auto"/>
                <w:lang w:val="en-US" w:eastAsia="zh-CN"/>
              </w:rPr>
              <w:t>增值</w:t>
            </w:r>
            <w:r>
              <w:rPr>
                <w:rFonts w:hint="eastAsia"/>
                <w:color w:val="auto"/>
                <w:lang w:val="zh-CN"/>
              </w:rPr>
              <w:t>服务进行综合评价，综合评价优得</w:t>
            </w:r>
            <w:r>
              <w:rPr>
                <w:rFonts w:hint="eastAsia"/>
                <w:color w:val="auto"/>
                <w:lang w:val="en-US" w:eastAsia="zh-CN"/>
              </w:rPr>
              <w:t>4</w:t>
            </w:r>
            <w:r>
              <w:rPr>
                <w:rFonts w:hint="eastAsia"/>
                <w:color w:val="auto"/>
                <w:lang w:val="zh-CN"/>
              </w:rPr>
              <w:t>分，良得</w:t>
            </w:r>
            <w:r>
              <w:rPr>
                <w:rFonts w:hint="eastAsia"/>
                <w:color w:val="auto"/>
                <w:lang w:val="en-US" w:eastAsia="zh-CN"/>
              </w:rPr>
              <w:t>2</w:t>
            </w:r>
            <w:r>
              <w:rPr>
                <w:rFonts w:hint="eastAsia"/>
                <w:color w:val="auto"/>
              </w:rPr>
              <w:t>分，</w:t>
            </w:r>
            <w:r>
              <w:rPr>
                <w:rFonts w:hint="eastAsia"/>
                <w:color w:val="auto"/>
                <w:lang w:val="zh-CN"/>
              </w:rPr>
              <w:t>一般得</w:t>
            </w:r>
            <w:r>
              <w:rPr>
                <w:rFonts w:hint="eastAsia"/>
                <w:color w:val="auto"/>
              </w:rPr>
              <w:t>1</w:t>
            </w:r>
            <w:r>
              <w:rPr>
                <w:rFonts w:hint="eastAsia"/>
                <w:color w:val="auto"/>
                <w:lang w:val="zh-CN"/>
              </w:rPr>
              <w:t>分，无不得分。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509" w:type="dxa"/>
            <w:vMerge w:val="continue"/>
            <w:noWrap/>
            <w:vAlign w:val="center"/>
          </w:tcPr>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p>
        </w:tc>
        <w:tc>
          <w:tcPr>
            <w:tcW w:w="1618" w:type="dxa"/>
            <w:noWrap/>
            <w:vAlign w:val="center"/>
          </w:tcPr>
          <w:p>
            <w:pPr>
              <w:keepNext w:val="0"/>
              <w:keepLines w:val="0"/>
              <w:pageBreakBefore w:val="0"/>
              <w:widowControl w:val="0"/>
              <w:kinsoku/>
              <w:wordWrap w:val="0"/>
              <w:overflowPunct/>
              <w:topLinePunct w:val="0"/>
              <w:autoSpaceDE/>
              <w:autoSpaceDN/>
              <w:bidi w:val="0"/>
              <w:spacing w:line="400" w:lineRule="exact"/>
              <w:jc w:val="center"/>
              <w:rPr>
                <w:rFonts w:ascii="宋体" w:hAnsi="宋体" w:cs="宋体"/>
                <w:color w:val="auto"/>
                <w:spacing w:val="-6"/>
                <w:sz w:val="24"/>
                <w:szCs w:val="24"/>
              </w:rPr>
            </w:pPr>
            <w:r>
              <w:rPr>
                <w:rFonts w:hint="eastAsia" w:ascii="宋体" w:hAnsi="宋体" w:cs="宋体"/>
                <w:color w:val="auto"/>
                <w:spacing w:val="-6"/>
                <w:sz w:val="24"/>
                <w:szCs w:val="24"/>
              </w:rPr>
              <w:t>服务承诺</w:t>
            </w:r>
          </w:p>
          <w:p>
            <w:pPr>
              <w:keepNext w:val="0"/>
              <w:keepLines w:val="0"/>
              <w:pageBreakBefore w:val="0"/>
              <w:widowControl w:val="0"/>
              <w:kinsoku/>
              <w:wordWrap w:val="0"/>
              <w:overflowPunct/>
              <w:topLinePunct w:val="0"/>
              <w:autoSpaceDE/>
              <w:autoSpaceDN/>
              <w:bidi w:val="0"/>
              <w:spacing w:line="400" w:lineRule="exact"/>
              <w:jc w:val="center"/>
              <w:rPr>
                <w:rFonts w:hint="eastAsia" w:ascii="宋体" w:hAnsi="宋体" w:eastAsia="宋体" w:cs="宋体"/>
                <w:color w:val="auto"/>
                <w:spacing w:val="-6"/>
                <w:sz w:val="24"/>
                <w:szCs w:val="24"/>
              </w:rPr>
            </w:pPr>
            <w:r>
              <w:rPr>
                <w:rFonts w:hint="eastAsia" w:ascii="宋体" w:hAnsi="宋体" w:cs="宋体"/>
                <w:color w:val="auto"/>
                <w:spacing w:val="-6"/>
                <w:sz w:val="24"/>
                <w:szCs w:val="24"/>
              </w:rPr>
              <w:t>（</w:t>
            </w:r>
            <w:r>
              <w:rPr>
                <w:rFonts w:hint="eastAsia" w:ascii="宋体" w:hAnsi="宋体" w:cs="宋体"/>
                <w:color w:val="auto"/>
                <w:spacing w:val="-6"/>
                <w:sz w:val="24"/>
                <w:szCs w:val="24"/>
                <w:lang w:val="en-US" w:eastAsia="zh-CN"/>
              </w:rPr>
              <w:t>4</w:t>
            </w:r>
            <w:r>
              <w:rPr>
                <w:rFonts w:hint="eastAsia" w:ascii="宋体" w:hAnsi="宋体" w:cs="宋体"/>
                <w:color w:val="auto"/>
                <w:spacing w:val="-6"/>
                <w:sz w:val="24"/>
                <w:szCs w:val="24"/>
              </w:rPr>
              <w:t>分）</w:t>
            </w:r>
          </w:p>
        </w:tc>
        <w:tc>
          <w:tcPr>
            <w:tcW w:w="5799" w:type="dxa"/>
            <w:noWrap/>
            <w:vAlign w:val="center"/>
          </w:tcPr>
          <w:p>
            <w:pPr>
              <w:keepNext w:val="0"/>
              <w:keepLines w:val="0"/>
              <w:pageBreakBefore w:val="0"/>
              <w:widowControl w:val="0"/>
              <w:kinsoku/>
              <w:wordWrap w:val="0"/>
              <w:overflowPunct/>
              <w:topLinePunct w:val="0"/>
              <w:autoSpaceDE/>
              <w:autoSpaceDN/>
              <w:bidi w:val="0"/>
              <w:spacing w:line="400" w:lineRule="exact"/>
              <w:rPr>
                <w:rFonts w:hint="eastAsia" w:ascii="宋体" w:hAnsi="宋体" w:eastAsia="宋体" w:cs="宋体"/>
                <w:color w:val="auto"/>
                <w:spacing w:val="-6"/>
                <w:sz w:val="24"/>
                <w:szCs w:val="24"/>
              </w:rPr>
            </w:pPr>
            <w:r>
              <w:rPr>
                <w:rFonts w:hint="eastAsia" w:ascii="宋体" w:hAnsi="宋体" w:cs="宋体"/>
                <w:color w:val="auto"/>
                <w:sz w:val="24"/>
                <w:szCs w:val="24"/>
                <w:lang w:val="en-US" w:eastAsia="zh-CN"/>
              </w:rPr>
              <w:t>采购</w:t>
            </w:r>
            <w:r>
              <w:rPr>
                <w:rFonts w:hint="eastAsia" w:ascii="宋体" w:hAnsi="宋体" w:cs="宋体"/>
                <w:color w:val="auto"/>
                <w:sz w:val="24"/>
                <w:szCs w:val="24"/>
                <w:lang w:val="zh-CN"/>
              </w:rPr>
              <w:t>人可以接受的合理服务承诺进行综合评价，</w:t>
            </w:r>
            <w:r>
              <w:rPr>
                <w:rFonts w:hint="eastAsia" w:ascii="宋体" w:hAnsi="宋体" w:cs="宋体"/>
                <w:bCs/>
                <w:color w:val="auto"/>
                <w:sz w:val="24"/>
                <w:szCs w:val="24"/>
                <w:lang w:val="zh-CN"/>
              </w:rPr>
              <w:t>综合评价优得</w:t>
            </w:r>
            <w:r>
              <w:rPr>
                <w:rFonts w:hint="eastAsia" w:ascii="宋体" w:hAnsi="宋体" w:cs="宋体"/>
                <w:bCs/>
                <w:color w:val="auto"/>
                <w:sz w:val="24"/>
                <w:szCs w:val="24"/>
                <w:lang w:val="en-US" w:eastAsia="zh-CN"/>
              </w:rPr>
              <w:t>4</w:t>
            </w:r>
            <w:r>
              <w:rPr>
                <w:rFonts w:hint="eastAsia" w:ascii="宋体" w:hAnsi="宋体" w:cs="宋体"/>
                <w:bCs/>
                <w:color w:val="auto"/>
                <w:sz w:val="24"/>
                <w:szCs w:val="24"/>
                <w:lang w:val="zh-CN"/>
              </w:rPr>
              <w:t>分，良得</w:t>
            </w:r>
            <w:r>
              <w:rPr>
                <w:rFonts w:hint="eastAsia" w:ascii="宋体" w:hAnsi="宋体" w:cs="宋体"/>
                <w:bCs/>
                <w:color w:val="auto"/>
                <w:sz w:val="24"/>
                <w:szCs w:val="24"/>
                <w:lang w:val="en-US" w:eastAsia="zh-CN"/>
              </w:rPr>
              <w:t>2</w:t>
            </w:r>
            <w:r>
              <w:rPr>
                <w:rFonts w:hint="eastAsia" w:ascii="宋体" w:hAnsi="宋体" w:cs="宋体"/>
                <w:bCs/>
                <w:color w:val="auto"/>
                <w:sz w:val="24"/>
                <w:szCs w:val="24"/>
              </w:rPr>
              <w:t>分，</w:t>
            </w:r>
            <w:r>
              <w:rPr>
                <w:rFonts w:hint="eastAsia" w:ascii="宋体" w:hAnsi="宋体" w:cs="宋体"/>
                <w:bCs/>
                <w:color w:val="auto"/>
                <w:sz w:val="24"/>
                <w:szCs w:val="24"/>
                <w:lang w:val="zh-CN"/>
              </w:rPr>
              <w:t>一般得</w:t>
            </w:r>
            <w:r>
              <w:rPr>
                <w:rFonts w:hint="eastAsia" w:ascii="宋体" w:hAnsi="宋体" w:cs="宋体"/>
                <w:bCs/>
                <w:color w:val="auto"/>
                <w:sz w:val="24"/>
                <w:szCs w:val="24"/>
              </w:rPr>
              <w:t>1</w:t>
            </w:r>
            <w:r>
              <w:rPr>
                <w:rFonts w:hint="eastAsia" w:ascii="宋体" w:hAnsi="宋体" w:cs="宋体"/>
                <w:bCs/>
                <w:color w:val="auto"/>
                <w:sz w:val="24"/>
                <w:szCs w:val="24"/>
                <w:lang w:val="zh-CN"/>
              </w:rPr>
              <w:t>分，无不得分。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2482" w:type="dxa"/>
            <w:gridSpan w:val="2"/>
            <w:noWrap/>
            <w:vAlign w:val="center"/>
          </w:tcPr>
          <w:p>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szCs w:val="24"/>
                <w:lang w:val="en-US" w:eastAsia="zh-CN" w:bidi="ar-SA"/>
              </w:rPr>
            </w:pPr>
            <w:r>
              <w:rPr>
                <w:rFonts w:hint="eastAsia" w:ascii="宋体" w:hAnsi="宋体" w:eastAsia="宋体" w:cs="宋体"/>
                <w:b/>
                <w:bCs/>
                <w:color w:val="auto"/>
                <w:sz w:val="24"/>
                <w:szCs w:val="24"/>
                <w:lang w:val="zh-CN"/>
              </w:rPr>
              <w:t>条款号</w:t>
            </w:r>
          </w:p>
        </w:tc>
        <w:tc>
          <w:tcPr>
            <w:tcW w:w="7417" w:type="dxa"/>
            <w:gridSpan w:val="2"/>
            <w:noWrap/>
            <w:vAlign w:val="center"/>
          </w:tcPr>
          <w:p>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b/>
                <w:color w:val="auto"/>
                <w:sz w:val="24"/>
                <w:szCs w:val="24"/>
                <w:lang w:val="zh-CN" w:eastAsia="zh-CN" w:bidi="ar-SA"/>
              </w:rPr>
            </w:pPr>
            <w:r>
              <w:rPr>
                <w:rFonts w:hint="eastAsia" w:ascii="宋体" w:hAnsi="宋体" w:eastAsia="宋体" w:cs="宋体"/>
                <w:b/>
                <w:bCs/>
                <w:color w:val="auto"/>
                <w:sz w:val="24"/>
                <w:szCs w:val="24"/>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73" w:type="dxa"/>
            <w:noWrap/>
            <w:vAlign w:val="center"/>
          </w:tcPr>
          <w:p>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3</w:t>
            </w:r>
          </w:p>
        </w:tc>
        <w:tc>
          <w:tcPr>
            <w:tcW w:w="1509" w:type="dxa"/>
            <w:noWrap/>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评标程序</w:t>
            </w:r>
          </w:p>
        </w:tc>
        <w:tc>
          <w:tcPr>
            <w:tcW w:w="7417" w:type="dxa"/>
            <w:gridSpan w:val="2"/>
            <w:noWrap/>
            <w:vAlign w:val="center"/>
          </w:tcPr>
          <w:p>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详见本章附件A：评标详细程序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973" w:type="dxa"/>
            <w:vAlign w:val="center"/>
          </w:tcPr>
          <w:p>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3.1.2</w:t>
            </w:r>
          </w:p>
        </w:tc>
        <w:tc>
          <w:tcPr>
            <w:tcW w:w="1509" w:type="dxa"/>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color w:val="auto"/>
                <w:w w:val="95"/>
                <w:sz w:val="24"/>
                <w:szCs w:val="24"/>
                <w:lang w:val="zh-CN" w:eastAsia="zh-CN" w:bidi="ar-SA"/>
              </w:rPr>
            </w:pPr>
            <w:r>
              <w:rPr>
                <w:rFonts w:hint="eastAsia" w:ascii="宋体" w:hAnsi="宋体" w:eastAsia="宋体" w:cs="宋体"/>
                <w:color w:val="auto"/>
                <w:sz w:val="24"/>
                <w:szCs w:val="24"/>
              </w:rPr>
              <w:t>废标条件</w:t>
            </w:r>
          </w:p>
        </w:tc>
        <w:tc>
          <w:tcPr>
            <w:tcW w:w="7417" w:type="dxa"/>
            <w:gridSpan w:val="2"/>
            <w:vAlign w:val="center"/>
          </w:tcPr>
          <w:p>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详见本章附件B：废标条件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73" w:type="dxa"/>
            <w:vAlign w:val="center"/>
          </w:tcPr>
          <w:p>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3.2.</w:t>
            </w:r>
            <w:r>
              <w:rPr>
                <w:rFonts w:hint="eastAsia" w:ascii="宋体" w:hAnsi="宋体" w:eastAsia="宋体" w:cs="宋体"/>
                <w:color w:val="auto"/>
                <w:sz w:val="24"/>
                <w:szCs w:val="24"/>
                <w:lang w:val="en-US" w:eastAsia="zh-CN"/>
              </w:rPr>
              <w:t>2</w:t>
            </w:r>
          </w:p>
        </w:tc>
        <w:tc>
          <w:tcPr>
            <w:tcW w:w="1509" w:type="dxa"/>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判断投标报价是否低于其成本</w:t>
            </w:r>
          </w:p>
        </w:tc>
        <w:tc>
          <w:tcPr>
            <w:tcW w:w="7417" w:type="dxa"/>
            <w:gridSpan w:val="2"/>
            <w:vAlign w:val="center"/>
          </w:tcPr>
          <w:p>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详见本章附件D：投标人成本评审办法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973" w:type="dxa"/>
            <w:vAlign w:val="center"/>
          </w:tcPr>
          <w:p>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补1</w:t>
            </w:r>
          </w:p>
        </w:tc>
        <w:tc>
          <w:tcPr>
            <w:tcW w:w="1509" w:type="dxa"/>
            <w:vAlign w:val="center"/>
          </w:tcPr>
          <w:p>
            <w:pPr>
              <w:keepNext w:val="0"/>
              <w:keepLines w:val="0"/>
              <w:pageBreakBefore w:val="0"/>
              <w:widowControl w:val="0"/>
              <w:kinsoku/>
              <w:wordWrap w:val="0"/>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备选投标方案的评审</w:t>
            </w:r>
          </w:p>
        </w:tc>
        <w:tc>
          <w:tcPr>
            <w:tcW w:w="7417" w:type="dxa"/>
            <w:gridSpan w:val="2"/>
            <w:vAlign w:val="center"/>
          </w:tcPr>
          <w:p>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rPr>
              <w:t>详见本章附件E：备选投标方案的评审和比较办法</w:t>
            </w:r>
          </w:p>
        </w:tc>
      </w:tr>
    </w:tbl>
    <w:p>
      <w:pPr>
        <w:pStyle w:val="4"/>
        <w:keepNext w:val="0"/>
        <w:keepLines w:val="0"/>
        <w:pageBreakBefore w:val="0"/>
        <w:widowControl w:val="0"/>
        <w:kinsoku/>
        <w:wordWrap w:val="0"/>
        <w:overflowPunct/>
        <w:topLinePunct w:val="0"/>
        <w:autoSpaceDE/>
        <w:autoSpaceDN/>
        <w:bidi w:val="0"/>
        <w:adjustRightInd/>
        <w:snapToGrid/>
        <w:spacing w:before="140" w:after="140" w:line="240" w:lineRule="auto"/>
        <w:textAlignment w:val="auto"/>
        <w:rPr>
          <w:rFonts w:hint="eastAsia" w:ascii="宋体" w:hAnsi="宋体" w:eastAsia="宋体" w:cs="宋体"/>
          <w:sz w:val="28"/>
        </w:rPr>
      </w:pPr>
      <w:r>
        <w:rPr>
          <w:rFonts w:hint="eastAsia" w:ascii="宋体" w:hAnsi="宋体" w:eastAsia="宋体" w:cs="宋体"/>
          <w:sz w:val="28"/>
        </w:rPr>
        <w:t>评标办法前附表</w:t>
      </w:r>
      <w:bookmarkEnd w:id="162"/>
      <w:bookmarkEnd w:id="163"/>
      <w:bookmarkEnd w:id="164"/>
      <w:bookmarkEnd w:id="165"/>
      <w:bookmarkEnd w:id="166"/>
      <w:bookmarkEnd w:id="167"/>
      <w:bookmarkEnd w:id="168"/>
    </w:p>
    <w:p>
      <w:pPr>
        <w:keepNext w:val="0"/>
        <w:keepLines w:val="0"/>
        <w:pageBreakBefore w:val="0"/>
        <w:widowControl w:val="0"/>
        <w:kinsoku/>
        <w:wordWrap w:val="0"/>
        <w:overflowPunct/>
        <w:topLinePunct w:val="0"/>
        <w:autoSpaceDE/>
        <w:autoSpaceDN/>
        <w:bidi w:val="0"/>
        <w:jc w:val="left"/>
        <w:rPr>
          <w:rFonts w:hint="eastAsia" w:ascii="宋体" w:hAnsi="宋体" w:eastAsia="宋体" w:cs="宋体"/>
        </w:rPr>
      </w:pPr>
      <w:r>
        <w:rPr>
          <w:rFonts w:hint="eastAsia" w:ascii="宋体" w:hAnsi="宋体" w:eastAsia="宋体" w:cs="宋体"/>
        </w:rPr>
        <w:br w:type="page"/>
      </w:r>
      <w:bookmarkStart w:id="170" w:name="_Toc29384711"/>
      <w:bookmarkStart w:id="171" w:name="_Toc12402"/>
    </w:p>
    <w:p>
      <w:pPr>
        <w:keepNext w:val="0"/>
        <w:keepLines w:val="0"/>
        <w:pageBreakBefore w:val="0"/>
        <w:widowControl w:val="0"/>
        <w:kinsoku/>
        <w:wordWrap w:val="0"/>
        <w:overflowPunct/>
        <w:topLinePunct w:val="0"/>
        <w:autoSpaceDE/>
        <w:autoSpaceDN/>
        <w:bidi w:val="0"/>
        <w:adjustRightInd/>
        <w:snapToGrid/>
        <w:spacing w:before="0" w:after="0" w:line="440" w:lineRule="exact"/>
        <w:textAlignment w:val="auto"/>
        <w:outlineLvl w:val="1"/>
        <w:rPr>
          <w:rFonts w:hint="eastAsia" w:ascii="宋体" w:hAnsi="宋体" w:eastAsia="宋体" w:cs="宋体"/>
          <w:b/>
          <w:bCs/>
          <w:sz w:val="28"/>
          <w:szCs w:val="28"/>
        </w:rPr>
      </w:pPr>
      <w:bookmarkStart w:id="172" w:name="_Toc8023"/>
      <w:r>
        <w:rPr>
          <w:rFonts w:hint="eastAsia" w:ascii="宋体" w:hAnsi="宋体" w:eastAsia="宋体" w:cs="宋体"/>
          <w:b/>
          <w:bCs/>
          <w:sz w:val="28"/>
          <w:szCs w:val="28"/>
        </w:rPr>
        <w:t>1.评标方法</w:t>
      </w:r>
      <w:bookmarkEnd w:id="170"/>
      <w:bookmarkEnd w:id="171"/>
      <w:bookmarkEnd w:id="172"/>
    </w:p>
    <w:p>
      <w:pPr>
        <w:keepNext w:val="0"/>
        <w:keepLines w:val="0"/>
        <w:pageBreakBefore w:val="0"/>
        <w:widowControl w:val="0"/>
        <w:kinsoku/>
        <w:wordWrap w:val="0"/>
        <w:overflowPunct/>
        <w:topLinePunct w:val="0"/>
        <w:autoSpaceDE/>
        <w:autoSpaceDN/>
        <w:bidi w:val="0"/>
        <w:spacing w:line="440" w:lineRule="exact"/>
        <w:ind w:firstLine="480" w:firstLineChars="200"/>
        <w:textAlignment w:val="auto"/>
        <w:rPr>
          <w:rFonts w:hint="eastAsia" w:ascii="宋体" w:hAnsi="宋体" w:cs="宋体"/>
          <w:kern w:val="0"/>
          <w:sz w:val="24"/>
          <w:szCs w:val="24"/>
          <w:highlight w:val="none"/>
        </w:rPr>
      </w:pPr>
      <w:r>
        <w:rPr>
          <w:rFonts w:hint="eastAsia" w:ascii="宋体" w:hAnsi="宋体" w:cs="宋体"/>
          <w:kern w:val="0"/>
          <w:sz w:val="24"/>
          <w:szCs w:val="24"/>
          <w:highlight w:val="none"/>
        </w:rPr>
        <w:t>本次评标采用综合评分法。</w:t>
      </w:r>
      <w:r>
        <w:rPr>
          <w:rFonts w:ascii="宋体" w:hAnsi="宋体" w:cs="Arial"/>
          <w:kern w:val="0"/>
          <w:sz w:val="24"/>
        </w:rPr>
        <w:t>磋商小组应当要求所有实质性响应的供应商在规定时间内提交最后报价，提交最后报价的供应商不得少于3家</w:t>
      </w:r>
      <w:r>
        <w:rPr>
          <w:rFonts w:hint="eastAsia" w:ascii="宋体" w:hAnsi="宋体" w:cs="Arial"/>
          <w:kern w:val="0"/>
          <w:sz w:val="24"/>
          <w:lang w:eastAsia="zh-CN"/>
        </w:rPr>
        <w:t>，并</w:t>
      </w:r>
      <w:r>
        <w:rPr>
          <w:rFonts w:hint="eastAsia" w:ascii="宋体" w:hAnsi="宋体" w:cs="宋体"/>
          <w:kern w:val="0"/>
          <w:sz w:val="24"/>
          <w:szCs w:val="24"/>
          <w:highlight w:val="none"/>
        </w:rPr>
        <w:t>按照本章第2.2款规定的评分标准进行打分，</w:t>
      </w:r>
      <w:r>
        <w:rPr>
          <w:rFonts w:hint="eastAsia" w:ascii="宋体" w:hAnsi="宋体" w:cs="宋体"/>
          <w:kern w:val="0"/>
          <w:sz w:val="24"/>
          <w:szCs w:val="24"/>
          <w:highlight w:val="none"/>
          <w:lang w:eastAsia="zh-CN"/>
        </w:rPr>
        <w:t>最终</w:t>
      </w:r>
      <w:r>
        <w:rPr>
          <w:rFonts w:hint="eastAsia" w:ascii="宋体" w:hAnsi="宋体" w:cs="宋体"/>
          <w:kern w:val="0"/>
          <w:sz w:val="24"/>
          <w:szCs w:val="24"/>
          <w:highlight w:val="none"/>
        </w:rPr>
        <w:t>按得分由高到低顺序推荐</w:t>
      </w:r>
      <w:r>
        <w:rPr>
          <w:rFonts w:hint="eastAsia" w:ascii="宋体" w:hAnsi="宋体" w:cs="宋体"/>
          <w:kern w:val="0"/>
          <w:sz w:val="24"/>
          <w:szCs w:val="24"/>
          <w:highlight w:val="none"/>
          <w:lang w:eastAsia="zh-CN"/>
        </w:rPr>
        <w:t>成交候选供应商</w:t>
      </w:r>
      <w:r>
        <w:rPr>
          <w:rFonts w:hint="eastAsia" w:ascii="宋体" w:hAnsi="宋体" w:cs="宋体"/>
          <w:kern w:val="0"/>
          <w:sz w:val="24"/>
          <w:szCs w:val="24"/>
          <w:highlight w:val="none"/>
        </w:rPr>
        <w:t>，但投标报价低于其成本的除外。综合评分相等时，以投标报价低的优先；得分且投标报价相同的</w:t>
      </w:r>
      <w:r>
        <w:rPr>
          <w:rFonts w:hint="eastAsia" w:ascii="宋体" w:hAnsi="宋体" w:cs="宋体"/>
          <w:kern w:val="0"/>
          <w:sz w:val="24"/>
          <w:szCs w:val="24"/>
          <w:highlight w:val="none"/>
          <w:lang w:eastAsia="zh-CN"/>
        </w:rPr>
        <w:t>，</w:t>
      </w:r>
      <w:r>
        <w:rPr>
          <w:rFonts w:hint="eastAsia" w:ascii="宋体" w:hAnsi="宋体" w:eastAsia="宋体" w:cs="宋体"/>
          <w:sz w:val="24"/>
        </w:rPr>
        <w:t>由</w:t>
      </w:r>
      <w:r>
        <w:rPr>
          <w:rFonts w:hint="eastAsia" w:ascii="宋体" w:hAnsi="宋体" w:eastAsia="宋体" w:cs="宋体"/>
          <w:sz w:val="24"/>
          <w:lang w:eastAsia="zh-CN"/>
        </w:rPr>
        <w:t>采购人</w:t>
      </w:r>
      <w:r>
        <w:rPr>
          <w:rFonts w:hint="eastAsia" w:ascii="宋体" w:hAnsi="宋体" w:eastAsia="宋体" w:cs="宋体"/>
          <w:sz w:val="24"/>
        </w:rPr>
        <w:t>自行确定</w:t>
      </w:r>
      <w:r>
        <w:rPr>
          <w:rFonts w:hint="eastAsia" w:ascii="宋体" w:hAnsi="宋体" w:cs="宋体"/>
          <w:kern w:val="0"/>
          <w:sz w:val="24"/>
          <w:szCs w:val="24"/>
          <w:highlight w:val="none"/>
        </w:rPr>
        <w:t>。</w:t>
      </w:r>
      <w:r>
        <w:rPr>
          <w:rFonts w:hint="eastAsia" w:ascii="宋体" w:hAnsi="宋体" w:cs="宋体"/>
          <w:kern w:val="0"/>
          <w:sz w:val="24"/>
          <w:szCs w:val="24"/>
          <w:highlight w:val="none"/>
          <w:lang w:eastAsia="zh-CN"/>
        </w:rPr>
        <w:t>响应文件</w:t>
      </w:r>
      <w:r>
        <w:rPr>
          <w:rFonts w:hint="eastAsia" w:ascii="宋体" w:hAnsi="宋体" w:cs="宋体"/>
          <w:kern w:val="0"/>
          <w:sz w:val="24"/>
          <w:szCs w:val="24"/>
          <w:highlight w:val="none"/>
        </w:rPr>
        <w:t>满足</w:t>
      </w:r>
      <w:r>
        <w:rPr>
          <w:rFonts w:hint="eastAsia" w:ascii="宋体" w:hAnsi="宋体" w:cs="宋体"/>
          <w:kern w:val="0"/>
          <w:sz w:val="24"/>
          <w:szCs w:val="24"/>
          <w:highlight w:val="none"/>
          <w:lang w:eastAsia="zh-CN"/>
        </w:rPr>
        <w:t>磋商文件</w:t>
      </w:r>
      <w:r>
        <w:rPr>
          <w:rFonts w:hint="eastAsia" w:ascii="宋体" w:hAnsi="宋体" w:cs="宋体"/>
          <w:kern w:val="0"/>
          <w:sz w:val="24"/>
          <w:szCs w:val="24"/>
          <w:highlight w:val="none"/>
        </w:rPr>
        <w:t>全部实质性要求，且按照评审因素的量化指标评审得分最高的</w:t>
      </w:r>
      <w:r>
        <w:rPr>
          <w:rFonts w:hint="eastAsia" w:ascii="宋体" w:hAnsi="宋体" w:cs="宋体"/>
          <w:kern w:val="0"/>
          <w:sz w:val="24"/>
          <w:szCs w:val="24"/>
          <w:highlight w:val="none"/>
          <w:lang w:eastAsia="zh-CN"/>
        </w:rPr>
        <w:t>供应商</w:t>
      </w:r>
      <w:r>
        <w:rPr>
          <w:rFonts w:hint="eastAsia" w:ascii="宋体" w:hAnsi="宋体" w:cs="宋体"/>
          <w:kern w:val="0"/>
          <w:sz w:val="24"/>
          <w:szCs w:val="24"/>
          <w:highlight w:val="none"/>
        </w:rPr>
        <w:t>为排名第一的</w:t>
      </w:r>
      <w:r>
        <w:rPr>
          <w:rFonts w:hint="eastAsia" w:ascii="宋体" w:hAnsi="宋体" w:cs="宋体"/>
          <w:kern w:val="0"/>
          <w:sz w:val="24"/>
          <w:szCs w:val="24"/>
          <w:highlight w:val="none"/>
          <w:lang w:eastAsia="zh-CN"/>
        </w:rPr>
        <w:t>成交候选供应商</w:t>
      </w:r>
      <w:r>
        <w:rPr>
          <w:rFonts w:hint="eastAsia" w:ascii="宋体" w:hAnsi="宋体" w:cs="宋体"/>
          <w:kern w:val="0"/>
          <w:sz w:val="24"/>
          <w:szCs w:val="24"/>
          <w:highlight w:val="none"/>
        </w:rPr>
        <w:t>，依次排列。</w:t>
      </w:r>
    </w:p>
    <w:p>
      <w:pPr>
        <w:keepNext w:val="0"/>
        <w:keepLines w:val="0"/>
        <w:pageBreakBefore w:val="0"/>
        <w:widowControl w:val="0"/>
        <w:kinsoku/>
        <w:wordWrap w:val="0"/>
        <w:overflowPunct/>
        <w:topLinePunct w:val="0"/>
        <w:autoSpaceDE/>
        <w:autoSpaceDN/>
        <w:bidi w:val="0"/>
        <w:adjustRightInd/>
        <w:snapToGrid/>
        <w:spacing w:before="0" w:after="0" w:line="440" w:lineRule="exact"/>
        <w:textAlignment w:val="auto"/>
        <w:outlineLvl w:val="1"/>
        <w:rPr>
          <w:rFonts w:hint="eastAsia" w:ascii="宋体" w:hAnsi="宋体" w:eastAsia="宋体" w:cs="宋体"/>
          <w:b/>
          <w:bCs/>
          <w:sz w:val="28"/>
          <w:szCs w:val="28"/>
        </w:rPr>
      </w:pPr>
      <w:bookmarkStart w:id="173" w:name="_Toc29384712"/>
      <w:bookmarkStart w:id="174" w:name="_Toc20218"/>
      <w:bookmarkStart w:id="175" w:name="_Toc16369"/>
      <w:r>
        <w:rPr>
          <w:rFonts w:hint="eastAsia" w:ascii="宋体" w:hAnsi="宋体" w:eastAsia="宋体" w:cs="宋体"/>
          <w:b/>
          <w:bCs/>
          <w:sz w:val="28"/>
          <w:szCs w:val="28"/>
        </w:rPr>
        <w:t>2.评审标准</w:t>
      </w:r>
      <w:bookmarkEnd w:id="173"/>
      <w:bookmarkEnd w:id="174"/>
      <w:bookmarkEnd w:id="175"/>
    </w:p>
    <w:p>
      <w:pPr>
        <w:keepNext w:val="0"/>
        <w:keepLines w:val="0"/>
        <w:pageBreakBefore w:val="0"/>
        <w:widowControl w:val="0"/>
        <w:kinsoku/>
        <w:wordWrap w:val="0"/>
        <w:overflowPunct/>
        <w:topLinePunct w:val="0"/>
        <w:autoSpaceDE/>
        <w:autoSpaceDN/>
        <w:bidi w:val="0"/>
        <w:adjustRightInd/>
        <w:snapToGrid/>
        <w:spacing w:before="0" w:after="0" w:line="440" w:lineRule="exact"/>
        <w:ind w:left="0" w:leftChars="0" w:firstLine="0" w:firstLineChars="0"/>
        <w:textAlignment w:val="auto"/>
        <w:outlineLvl w:val="9"/>
        <w:rPr>
          <w:rFonts w:hint="eastAsia" w:ascii="宋体" w:hAnsi="宋体" w:eastAsia="宋体" w:cs="宋体"/>
          <w:b/>
          <w:bCs/>
          <w:sz w:val="24"/>
        </w:rPr>
      </w:pPr>
      <w:bookmarkStart w:id="176" w:name="_Toc22191"/>
      <w:bookmarkStart w:id="177" w:name="_Toc29384713"/>
      <w:r>
        <w:rPr>
          <w:rFonts w:hint="eastAsia" w:ascii="宋体" w:hAnsi="宋体" w:eastAsia="宋体" w:cs="宋体"/>
          <w:b/>
          <w:bCs/>
          <w:sz w:val="24"/>
        </w:rPr>
        <w:t>2.1 初步评审标准</w:t>
      </w:r>
      <w:bookmarkEnd w:id="176"/>
      <w:bookmarkEnd w:id="177"/>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2.1.1 形式评审标准：见评标办法前附表。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2.1.2 资格评审标准：见评标办法前附表（适用于未进行资格预审的）。</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2.1.3 响应性评审标准：见评标办法前附表。</w:t>
      </w:r>
    </w:p>
    <w:p>
      <w:pPr>
        <w:keepNext w:val="0"/>
        <w:keepLines w:val="0"/>
        <w:pageBreakBefore w:val="0"/>
        <w:widowControl w:val="0"/>
        <w:kinsoku/>
        <w:wordWrap w:val="0"/>
        <w:overflowPunct/>
        <w:topLinePunct w:val="0"/>
        <w:autoSpaceDE/>
        <w:autoSpaceDN/>
        <w:bidi w:val="0"/>
        <w:adjustRightInd/>
        <w:snapToGrid/>
        <w:spacing w:before="0" w:after="0" w:line="440" w:lineRule="exact"/>
        <w:ind w:left="0" w:leftChars="0" w:firstLine="0" w:firstLineChars="0"/>
        <w:textAlignment w:val="auto"/>
        <w:outlineLvl w:val="9"/>
        <w:rPr>
          <w:rFonts w:hint="eastAsia" w:ascii="宋体" w:hAnsi="宋体" w:eastAsia="宋体" w:cs="宋体"/>
          <w:b/>
          <w:bCs/>
          <w:sz w:val="24"/>
        </w:rPr>
      </w:pPr>
      <w:bookmarkStart w:id="178" w:name="_Toc16309"/>
      <w:bookmarkStart w:id="179" w:name="_Toc29384714"/>
      <w:r>
        <w:rPr>
          <w:rFonts w:hint="eastAsia" w:ascii="宋体" w:hAnsi="宋体" w:eastAsia="宋体" w:cs="宋体"/>
          <w:b/>
          <w:bCs/>
          <w:sz w:val="24"/>
        </w:rPr>
        <w:t>2.2 分值构成与评分标准</w:t>
      </w:r>
      <w:bookmarkEnd w:id="178"/>
      <w:bookmarkEnd w:id="179"/>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2.2.1 分值构成</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（1）施工组织设计：见评标办法前附表；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（2）项目管理机构：见评标办法前附表；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（3）投标报价：见评标办法前附表；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（4）其他评分因素：见评标办法前附表。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2.2.2 评标基准价计算</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评标基准价计算方法：见评标办法前附表。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2.2.3 投标报价的偏差率计算</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投标报价的偏差率计算公式：见评标办法前附表。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2.2.4 评分标准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（1）施工组织设计评分标准：见评标办法前附表；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（2）项目管理机构评分标准：见评标办法前附表；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（3）投标报价评分标准：见评标办法前附表；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（4）其他因素评分标准：见评标办法前附表。</w:t>
      </w:r>
    </w:p>
    <w:p>
      <w:pPr>
        <w:keepNext w:val="0"/>
        <w:keepLines w:val="0"/>
        <w:pageBreakBefore w:val="0"/>
        <w:widowControl w:val="0"/>
        <w:kinsoku/>
        <w:wordWrap w:val="0"/>
        <w:overflowPunct/>
        <w:topLinePunct w:val="0"/>
        <w:autoSpaceDE/>
        <w:autoSpaceDN/>
        <w:bidi w:val="0"/>
        <w:adjustRightInd/>
        <w:snapToGrid/>
        <w:spacing w:before="0" w:after="0" w:line="440" w:lineRule="exact"/>
        <w:textAlignment w:val="auto"/>
        <w:outlineLvl w:val="1"/>
        <w:rPr>
          <w:rFonts w:hint="eastAsia" w:ascii="宋体" w:hAnsi="宋体" w:eastAsia="宋体" w:cs="宋体"/>
          <w:b/>
          <w:bCs/>
          <w:sz w:val="28"/>
          <w:szCs w:val="28"/>
        </w:rPr>
      </w:pPr>
      <w:bookmarkStart w:id="180" w:name="_Toc32318"/>
      <w:bookmarkStart w:id="181" w:name="_Toc17939"/>
      <w:bookmarkStart w:id="182" w:name="_Toc29384715"/>
      <w:r>
        <w:rPr>
          <w:rFonts w:hint="eastAsia" w:ascii="宋体" w:hAnsi="宋体" w:eastAsia="宋体" w:cs="宋体"/>
          <w:b/>
          <w:bCs/>
          <w:sz w:val="28"/>
          <w:szCs w:val="28"/>
        </w:rPr>
        <w:t>3.评标程序</w:t>
      </w:r>
      <w:bookmarkEnd w:id="180"/>
      <w:bookmarkEnd w:id="181"/>
      <w:bookmarkEnd w:id="182"/>
    </w:p>
    <w:p>
      <w:pPr>
        <w:keepNext w:val="0"/>
        <w:keepLines w:val="0"/>
        <w:pageBreakBefore w:val="0"/>
        <w:widowControl w:val="0"/>
        <w:kinsoku/>
        <w:wordWrap w:val="0"/>
        <w:overflowPunct/>
        <w:topLinePunct w:val="0"/>
        <w:autoSpaceDE/>
        <w:autoSpaceDN/>
        <w:bidi w:val="0"/>
        <w:adjustRightInd/>
        <w:snapToGrid/>
        <w:spacing w:before="0" w:after="0" w:line="440" w:lineRule="exact"/>
        <w:ind w:left="0" w:leftChars="0" w:firstLine="0" w:firstLineChars="0"/>
        <w:textAlignment w:val="auto"/>
        <w:outlineLvl w:val="9"/>
        <w:rPr>
          <w:rFonts w:hint="eastAsia" w:ascii="宋体" w:hAnsi="宋体" w:eastAsia="宋体" w:cs="宋体"/>
          <w:b/>
          <w:bCs/>
          <w:sz w:val="24"/>
          <w:szCs w:val="24"/>
        </w:rPr>
      </w:pPr>
      <w:bookmarkStart w:id="183" w:name="_Toc29384716"/>
      <w:bookmarkStart w:id="184" w:name="_Toc21277"/>
      <w:r>
        <w:rPr>
          <w:rFonts w:hint="eastAsia" w:ascii="宋体" w:hAnsi="宋体" w:eastAsia="宋体" w:cs="宋体"/>
          <w:b/>
          <w:bCs/>
          <w:sz w:val="24"/>
          <w:szCs w:val="24"/>
        </w:rPr>
        <w:t>3.1 初步评审</w:t>
      </w:r>
      <w:bookmarkEnd w:id="183"/>
      <w:bookmarkEnd w:id="184"/>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 xml:space="preserve">3.1.1 </w:t>
      </w:r>
      <w:r>
        <w:rPr>
          <w:rFonts w:hint="eastAsia" w:ascii="宋体" w:hAnsi="宋体" w:eastAsia="宋体" w:cs="宋体"/>
          <w:sz w:val="24"/>
          <w:szCs w:val="24"/>
          <w:lang w:eastAsia="zh-CN"/>
        </w:rPr>
        <w:t>磋商小组</w:t>
      </w:r>
      <w:r>
        <w:rPr>
          <w:rFonts w:hint="eastAsia" w:ascii="宋体" w:hAnsi="宋体" w:eastAsia="宋体" w:cs="宋体"/>
          <w:sz w:val="24"/>
          <w:szCs w:val="24"/>
        </w:rPr>
        <w:t>可以要求</w:t>
      </w:r>
      <w:r>
        <w:rPr>
          <w:rFonts w:hint="eastAsia" w:ascii="宋体" w:hAnsi="宋体" w:eastAsia="宋体" w:cs="宋体"/>
          <w:sz w:val="24"/>
          <w:szCs w:val="24"/>
          <w:lang w:eastAsia="zh-CN"/>
        </w:rPr>
        <w:t>供应商</w:t>
      </w:r>
      <w:r>
        <w:rPr>
          <w:rFonts w:hint="eastAsia" w:ascii="宋体" w:hAnsi="宋体" w:eastAsia="宋体" w:cs="宋体"/>
          <w:sz w:val="24"/>
          <w:szCs w:val="24"/>
        </w:rPr>
        <w:t>提交第二章“</w:t>
      </w:r>
      <w:r>
        <w:rPr>
          <w:rFonts w:hint="eastAsia" w:ascii="宋体" w:hAnsi="宋体" w:eastAsia="宋体" w:cs="宋体"/>
          <w:sz w:val="24"/>
          <w:szCs w:val="24"/>
          <w:lang w:eastAsia="zh-CN"/>
        </w:rPr>
        <w:t>供应商</w:t>
      </w:r>
      <w:r>
        <w:rPr>
          <w:rFonts w:hint="eastAsia" w:ascii="宋体" w:hAnsi="宋体" w:eastAsia="宋体" w:cs="宋体"/>
          <w:sz w:val="24"/>
          <w:szCs w:val="24"/>
        </w:rPr>
        <w:t>须知”第</w:t>
      </w:r>
      <w:r>
        <w:rPr>
          <w:rFonts w:hint="eastAsia" w:ascii="宋体" w:hAnsi="宋体" w:eastAsia="宋体" w:cs="宋体"/>
          <w:sz w:val="24"/>
          <w:szCs w:val="24"/>
          <w:lang w:val="en-US" w:eastAsia="zh-CN"/>
        </w:rPr>
        <w:t xml:space="preserve"> 3.5.1 项至第 3.5.5项</w:t>
      </w:r>
      <w:r>
        <w:rPr>
          <w:rFonts w:hint="eastAsia" w:ascii="宋体" w:hAnsi="宋体" w:eastAsia="宋体" w:cs="宋体"/>
          <w:sz w:val="24"/>
          <w:szCs w:val="24"/>
        </w:rPr>
        <w:t>规定的有关证明和证件的</w:t>
      </w:r>
      <w:r>
        <w:rPr>
          <w:rFonts w:hint="eastAsia" w:ascii="宋体" w:hAnsi="宋体" w:eastAsia="宋体" w:cs="宋体"/>
          <w:sz w:val="24"/>
          <w:szCs w:val="24"/>
          <w:lang w:eastAsia="zh-CN"/>
        </w:rPr>
        <w:t>原件</w:t>
      </w:r>
      <w:r>
        <w:rPr>
          <w:rFonts w:hint="eastAsia" w:ascii="宋体" w:hAnsi="宋体" w:eastAsia="宋体" w:cs="宋体"/>
          <w:sz w:val="24"/>
          <w:szCs w:val="24"/>
        </w:rPr>
        <w:t>。</w:t>
      </w:r>
      <w:r>
        <w:rPr>
          <w:rFonts w:hint="eastAsia" w:ascii="宋体" w:hAnsi="宋体" w:eastAsia="宋体" w:cs="宋体"/>
          <w:sz w:val="24"/>
          <w:szCs w:val="24"/>
          <w:lang w:eastAsia="zh-CN"/>
        </w:rPr>
        <w:t>磋商小组</w:t>
      </w:r>
      <w:r>
        <w:rPr>
          <w:rFonts w:hint="eastAsia" w:ascii="宋体" w:hAnsi="宋体" w:eastAsia="宋体" w:cs="宋体"/>
          <w:sz w:val="24"/>
          <w:szCs w:val="24"/>
        </w:rPr>
        <w:t>依据本章第</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2.1 款规定的标准对</w:t>
      </w:r>
      <w:r>
        <w:rPr>
          <w:rFonts w:hint="eastAsia" w:ascii="宋体" w:hAnsi="宋体" w:eastAsia="宋体" w:cs="宋体"/>
          <w:sz w:val="24"/>
          <w:szCs w:val="24"/>
          <w:lang w:eastAsia="zh-CN"/>
        </w:rPr>
        <w:t>响应文件</w:t>
      </w:r>
      <w:r>
        <w:rPr>
          <w:rFonts w:hint="eastAsia" w:ascii="宋体" w:hAnsi="宋体" w:eastAsia="宋体" w:cs="宋体"/>
          <w:sz w:val="24"/>
          <w:szCs w:val="24"/>
        </w:rPr>
        <w:t>进行初步评审。有一项不符合评审标准的，</w:t>
      </w:r>
      <w:r>
        <w:rPr>
          <w:rFonts w:hint="eastAsia" w:ascii="宋体" w:hAnsi="宋体" w:eastAsia="宋体" w:cs="宋体"/>
          <w:sz w:val="24"/>
          <w:szCs w:val="24"/>
          <w:lang w:eastAsia="zh-CN"/>
        </w:rPr>
        <w:t>作废标处理（适用于未进行资格预审的）。</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3.1.2 </w:t>
      </w:r>
      <w:r>
        <w:rPr>
          <w:rFonts w:hint="eastAsia" w:ascii="宋体" w:hAnsi="宋体" w:eastAsia="宋体" w:cs="宋体"/>
          <w:sz w:val="24"/>
          <w:szCs w:val="24"/>
          <w:lang w:eastAsia="zh-CN"/>
        </w:rPr>
        <w:t>供应商</w:t>
      </w:r>
      <w:r>
        <w:rPr>
          <w:rFonts w:hint="eastAsia" w:ascii="宋体" w:hAnsi="宋体" w:eastAsia="宋体" w:cs="宋体"/>
          <w:sz w:val="24"/>
          <w:szCs w:val="24"/>
        </w:rPr>
        <w:t>有以下情形之一的，其投标作废标处理：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（1）第二章“</w:t>
      </w:r>
      <w:r>
        <w:rPr>
          <w:rFonts w:hint="eastAsia" w:ascii="宋体" w:hAnsi="宋体" w:eastAsia="宋体" w:cs="宋体"/>
          <w:sz w:val="24"/>
          <w:szCs w:val="24"/>
          <w:lang w:eastAsia="zh-CN"/>
        </w:rPr>
        <w:t>供应商</w:t>
      </w:r>
      <w:r>
        <w:rPr>
          <w:rFonts w:hint="eastAsia" w:ascii="宋体" w:hAnsi="宋体" w:eastAsia="宋体" w:cs="宋体"/>
          <w:sz w:val="24"/>
          <w:szCs w:val="24"/>
        </w:rPr>
        <w:t>须知”第</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1.4.3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项规定的任何一种情形的；</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（2）串通投标或弄虚作假或有其他违法行为的</w:t>
      </w:r>
      <w:r>
        <w:rPr>
          <w:rFonts w:hint="eastAsia" w:ascii="宋体" w:hAnsi="宋体" w:eastAsia="宋体" w:cs="宋体"/>
          <w:sz w:val="24"/>
          <w:szCs w:val="24"/>
          <w:lang w:eastAsia="zh-CN"/>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（3）不按磋商小组要求澄清、说明或补正的。</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3.1.3 投标报价有算术错误的，</w:t>
      </w:r>
      <w:r>
        <w:rPr>
          <w:rFonts w:hint="eastAsia" w:ascii="宋体" w:hAnsi="宋体" w:eastAsia="宋体" w:cs="宋体"/>
          <w:sz w:val="24"/>
          <w:szCs w:val="24"/>
          <w:lang w:eastAsia="zh-CN"/>
        </w:rPr>
        <w:t>磋商小组</w:t>
      </w:r>
      <w:r>
        <w:rPr>
          <w:rFonts w:hint="eastAsia" w:ascii="宋体" w:hAnsi="宋体" w:eastAsia="宋体" w:cs="宋体"/>
          <w:sz w:val="24"/>
          <w:szCs w:val="24"/>
        </w:rPr>
        <w:t>按以下原则对投标报价进行修正，修正的价格经</w:t>
      </w:r>
      <w:r>
        <w:rPr>
          <w:rFonts w:hint="eastAsia" w:ascii="宋体" w:hAnsi="宋体" w:eastAsia="宋体" w:cs="宋体"/>
          <w:sz w:val="24"/>
          <w:szCs w:val="24"/>
          <w:lang w:eastAsia="zh-CN"/>
        </w:rPr>
        <w:t>供应商</w:t>
      </w:r>
      <w:r>
        <w:rPr>
          <w:rFonts w:hint="eastAsia" w:ascii="宋体" w:hAnsi="宋体" w:eastAsia="宋体" w:cs="宋体"/>
          <w:sz w:val="24"/>
          <w:szCs w:val="24"/>
        </w:rPr>
        <w:t>书面确认后具有约束力。</w:t>
      </w:r>
      <w:r>
        <w:rPr>
          <w:rFonts w:hint="eastAsia" w:ascii="宋体" w:hAnsi="宋体" w:eastAsia="宋体" w:cs="宋体"/>
          <w:sz w:val="24"/>
          <w:szCs w:val="24"/>
          <w:lang w:eastAsia="zh-CN"/>
        </w:rPr>
        <w:t>供应商</w:t>
      </w:r>
      <w:r>
        <w:rPr>
          <w:rFonts w:hint="eastAsia" w:ascii="宋体" w:hAnsi="宋体" w:eastAsia="宋体" w:cs="宋体"/>
          <w:sz w:val="24"/>
          <w:szCs w:val="24"/>
        </w:rPr>
        <w:t>不接受修正价格的，其投标作废标处理</w:t>
      </w:r>
      <w:r>
        <w:rPr>
          <w:rFonts w:hint="eastAsia" w:ascii="宋体" w:hAnsi="宋体" w:eastAsia="宋体" w:cs="宋体"/>
          <w:sz w:val="24"/>
          <w:szCs w:val="24"/>
          <w:lang w:eastAsia="zh-CN"/>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响应文件</w:t>
      </w:r>
      <w:r>
        <w:rPr>
          <w:rFonts w:hint="eastAsia" w:ascii="宋体" w:hAnsi="宋体" w:eastAsia="宋体" w:cs="宋体"/>
          <w:sz w:val="24"/>
          <w:szCs w:val="24"/>
        </w:rPr>
        <w:t>中的大写金额与小写金额不一致的，以大写金额为准；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（2）总价金额与依据单价计算出的结果不一致的，以单价金额为准修正总价，但单价金额小数点有明显错误的除外。</w:t>
      </w:r>
    </w:p>
    <w:p>
      <w:pPr>
        <w:keepNext w:val="0"/>
        <w:keepLines w:val="0"/>
        <w:pageBreakBefore w:val="0"/>
        <w:widowControl w:val="0"/>
        <w:kinsoku/>
        <w:wordWrap w:val="0"/>
        <w:overflowPunct/>
        <w:topLinePunct w:val="0"/>
        <w:autoSpaceDE/>
        <w:autoSpaceDN/>
        <w:bidi w:val="0"/>
        <w:adjustRightInd/>
        <w:snapToGrid/>
        <w:spacing w:before="0" w:after="0" w:line="440" w:lineRule="exact"/>
        <w:ind w:left="0" w:leftChars="0" w:firstLine="0" w:firstLineChars="0"/>
        <w:textAlignment w:val="auto"/>
        <w:outlineLvl w:val="9"/>
        <w:rPr>
          <w:rFonts w:hint="eastAsia" w:ascii="宋体" w:hAnsi="宋体" w:eastAsia="宋体" w:cs="宋体"/>
        </w:rPr>
      </w:pPr>
      <w:bookmarkStart w:id="185" w:name="_Toc29384717"/>
      <w:bookmarkStart w:id="186" w:name="_Toc24126"/>
      <w:r>
        <w:rPr>
          <w:rFonts w:hint="eastAsia" w:ascii="宋体" w:hAnsi="宋体" w:eastAsia="宋体" w:cs="宋体"/>
          <w:b/>
          <w:bCs/>
          <w:sz w:val="24"/>
          <w:szCs w:val="24"/>
        </w:rPr>
        <w:t>3.2 详细评审</w:t>
      </w:r>
      <w:bookmarkEnd w:id="185"/>
      <w:bookmarkEnd w:id="186"/>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3.2.1 </w:t>
      </w:r>
      <w:r>
        <w:rPr>
          <w:rFonts w:hint="eastAsia" w:ascii="宋体" w:hAnsi="宋体" w:eastAsia="宋体" w:cs="宋体"/>
          <w:sz w:val="24"/>
          <w:szCs w:val="24"/>
          <w:lang w:eastAsia="zh-CN"/>
        </w:rPr>
        <w:t>磋商小组</w:t>
      </w:r>
      <w:r>
        <w:rPr>
          <w:rFonts w:hint="eastAsia" w:ascii="宋体" w:hAnsi="宋体" w:eastAsia="宋体" w:cs="宋体"/>
          <w:sz w:val="24"/>
          <w:szCs w:val="24"/>
        </w:rPr>
        <w:t>按本章第 2.2 款规定的量化因素和分值进行打分，并计算出综合评估得分。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（1）按本章第 2.2.4（1）目规定的评审因素和分值对施工组织设计计算出得分 A；</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（2）按本章第 2.2.4（2）目规定的评审因素和分值对</w:t>
      </w:r>
      <w:r>
        <w:rPr>
          <w:rFonts w:hint="eastAsia" w:ascii="宋体" w:hAnsi="宋体" w:eastAsia="宋体" w:cs="宋体"/>
          <w:sz w:val="24"/>
          <w:szCs w:val="24"/>
          <w:lang w:eastAsia="zh-CN"/>
        </w:rPr>
        <w:t>项目</w:t>
      </w:r>
      <w:r>
        <w:rPr>
          <w:rFonts w:hint="eastAsia" w:ascii="宋体" w:hAnsi="宋体" w:eastAsia="宋体" w:cs="宋体"/>
          <w:sz w:val="24"/>
          <w:szCs w:val="24"/>
        </w:rPr>
        <w:t>管理机构计算出得分 B；</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（3）按本章第 2.2.4（3）目规定的评审因素和分值对投标报价计算出得分 C；</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（4）按本章第 2.2.4（4）目规定的评审因素和分值对其他部分计算出得分 D。</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3.2.2 评分分值计算保留小数点后两位，小数点后第三位“四舍五入”。</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3.2.3 </w:t>
      </w:r>
      <w:r>
        <w:rPr>
          <w:rFonts w:hint="eastAsia" w:ascii="宋体" w:hAnsi="宋体" w:eastAsia="宋体" w:cs="宋体"/>
          <w:sz w:val="24"/>
          <w:szCs w:val="24"/>
          <w:lang w:eastAsia="zh-CN"/>
        </w:rPr>
        <w:t>供应商</w:t>
      </w:r>
      <w:r>
        <w:rPr>
          <w:rFonts w:hint="eastAsia" w:ascii="宋体" w:hAnsi="宋体" w:eastAsia="宋体" w:cs="宋体"/>
          <w:sz w:val="24"/>
          <w:szCs w:val="24"/>
        </w:rPr>
        <w:t>得分=A+B+C+D。</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3.2.4 </w:t>
      </w:r>
      <w:r>
        <w:rPr>
          <w:rFonts w:hint="eastAsia" w:ascii="宋体" w:hAnsi="宋体" w:eastAsia="宋体" w:cs="宋体"/>
          <w:sz w:val="24"/>
          <w:szCs w:val="24"/>
          <w:lang w:eastAsia="zh-CN"/>
        </w:rPr>
        <w:t>磋商小组</w:t>
      </w:r>
      <w:r>
        <w:rPr>
          <w:rFonts w:hint="eastAsia" w:ascii="宋体" w:hAnsi="宋体" w:eastAsia="宋体" w:cs="宋体"/>
          <w:sz w:val="24"/>
          <w:szCs w:val="24"/>
        </w:rPr>
        <w:t>发现</w:t>
      </w:r>
      <w:r>
        <w:rPr>
          <w:rFonts w:hint="eastAsia" w:ascii="宋体" w:hAnsi="宋体" w:eastAsia="宋体" w:cs="宋体"/>
          <w:sz w:val="24"/>
          <w:szCs w:val="24"/>
          <w:lang w:eastAsia="zh-CN"/>
        </w:rPr>
        <w:t>供应商</w:t>
      </w:r>
      <w:r>
        <w:rPr>
          <w:rFonts w:hint="eastAsia" w:ascii="宋体" w:hAnsi="宋体" w:eastAsia="宋体" w:cs="宋体"/>
          <w:sz w:val="24"/>
          <w:szCs w:val="24"/>
        </w:rPr>
        <w:t>的报价明显低于其他投标报价，或者在设有标底时明显低于标底，使得其投标报价可能低于其个别成本的，应当要求该</w:t>
      </w:r>
      <w:r>
        <w:rPr>
          <w:rFonts w:hint="eastAsia" w:ascii="宋体" w:hAnsi="宋体" w:eastAsia="宋体" w:cs="宋体"/>
          <w:sz w:val="24"/>
          <w:szCs w:val="24"/>
          <w:lang w:eastAsia="zh-CN"/>
        </w:rPr>
        <w:t>供应商</w:t>
      </w:r>
      <w:r>
        <w:rPr>
          <w:rFonts w:hint="eastAsia" w:ascii="宋体" w:hAnsi="宋体" w:eastAsia="宋体" w:cs="宋体"/>
          <w:sz w:val="24"/>
          <w:szCs w:val="24"/>
        </w:rPr>
        <w:t>作出书面说明并提供相应的证明材料。</w:t>
      </w:r>
      <w:r>
        <w:rPr>
          <w:rFonts w:hint="eastAsia" w:ascii="宋体" w:hAnsi="宋体" w:eastAsia="宋体" w:cs="宋体"/>
          <w:sz w:val="24"/>
          <w:szCs w:val="24"/>
          <w:lang w:eastAsia="zh-CN"/>
        </w:rPr>
        <w:t>供应商</w:t>
      </w:r>
      <w:r>
        <w:rPr>
          <w:rFonts w:hint="eastAsia" w:ascii="宋体" w:hAnsi="宋体" w:eastAsia="宋体" w:cs="宋体"/>
          <w:sz w:val="24"/>
          <w:szCs w:val="24"/>
        </w:rPr>
        <w:t>不能合理说明或者不能提供相应证明材料的，</w:t>
      </w:r>
      <w:bookmarkStart w:id="187" w:name="_Toc11784"/>
      <w:bookmarkStart w:id="188" w:name="_Toc29384718"/>
      <w:r>
        <w:rPr>
          <w:rFonts w:hint="eastAsia" w:ascii="宋体" w:hAnsi="宋体" w:eastAsia="宋体" w:cs="宋体"/>
          <w:sz w:val="24"/>
          <w:szCs w:val="24"/>
        </w:rPr>
        <w:t>由</w:t>
      </w:r>
      <w:r>
        <w:rPr>
          <w:rFonts w:hint="eastAsia" w:ascii="宋体" w:hAnsi="宋体" w:eastAsia="宋体" w:cs="宋体"/>
          <w:sz w:val="24"/>
          <w:szCs w:val="24"/>
          <w:lang w:eastAsia="zh-CN"/>
        </w:rPr>
        <w:t>磋商小组</w:t>
      </w:r>
      <w:r>
        <w:rPr>
          <w:rFonts w:hint="eastAsia" w:ascii="宋体" w:hAnsi="宋体" w:eastAsia="宋体" w:cs="宋体"/>
          <w:sz w:val="24"/>
          <w:szCs w:val="24"/>
        </w:rPr>
        <w:t>认定该</w:t>
      </w:r>
      <w:r>
        <w:rPr>
          <w:rFonts w:hint="eastAsia" w:ascii="宋体" w:hAnsi="宋体" w:eastAsia="宋体" w:cs="宋体"/>
          <w:sz w:val="24"/>
          <w:szCs w:val="24"/>
          <w:lang w:eastAsia="zh-CN"/>
        </w:rPr>
        <w:t>供应商</w:t>
      </w:r>
      <w:r>
        <w:rPr>
          <w:rFonts w:hint="eastAsia" w:ascii="宋体" w:hAnsi="宋体" w:eastAsia="宋体" w:cs="宋体"/>
          <w:sz w:val="24"/>
          <w:szCs w:val="24"/>
        </w:rPr>
        <w:t>以低于成本报价竞标，其投标作废标处理。</w:t>
      </w:r>
    </w:p>
    <w:p>
      <w:pPr>
        <w:keepNext w:val="0"/>
        <w:keepLines w:val="0"/>
        <w:pageBreakBefore w:val="0"/>
        <w:widowControl w:val="0"/>
        <w:kinsoku/>
        <w:wordWrap w:val="0"/>
        <w:overflowPunct/>
        <w:topLinePunct w:val="0"/>
        <w:autoSpaceDE/>
        <w:autoSpaceDN/>
        <w:bidi w:val="0"/>
        <w:adjustRightInd/>
        <w:snapToGrid/>
        <w:spacing w:before="0" w:after="0"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 xml:space="preserve">3.3 </w:t>
      </w:r>
      <w:r>
        <w:rPr>
          <w:rFonts w:hint="eastAsia" w:ascii="宋体" w:hAnsi="宋体" w:eastAsia="宋体" w:cs="宋体"/>
          <w:b/>
          <w:bCs/>
          <w:sz w:val="24"/>
          <w:szCs w:val="24"/>
          <w:lang w:eastAsia="zh-CN"/>
        </w:rPr>
        <w:t>响应文件</w:t>
      </w:r>
      <w:r>
        <w:rPr>
          <w:rFonts w:hint="eastAsia" w:ascii="宋体" w:hAnsi="宋体" w:eastAsia="宋体" w:cs="宋体"/>
          <w:b/>
          <w:bCs/>
          <w:sz w:val="24"/>
          <w:szCs w:val="24"/>
        </w:rPr>
        <w:t>的澄清</w:t>
      </w:r>
      <w:bookmarkEnd w:id="187"/>
      <w:bookmarkEnd w:id="188"/>
      <w:r>
        <w:rPr>
          <w:rFonts w:hint="eastAsia" w:ascii="宋体" w:hAnsi="宋体" w:eastAsia="宋体" w:cs="宋体"/>
          <w:b/>
          <w:bCs/>
          <w:sz w:val="24"/>
          <w:szCs w:val="24"/>
        </w:rPr>
        <w:t>和补正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3.3.1 在评标过程中，</w:t>
      </w:r>
      <w:r>
        <w:rPr>
          <w:rFonts w:hint="eastAsia" w:ascii="宋体" w:hAnsi="宋体" w:eastAsia="宋体" w:cs="宋体"/>
          <w:sz w:val="24"/>
          <w:szCs w:val="24"/>
          <w:lang w:eastAsia="zh-CN"/>
        </w:rPr>
        <w:t>磋商小组</w:t>
      </w:r>
      <w:r>
        <w:rPr>
          <w:rFonts w:hint="eastAsia" w:ascii="宋体" w:hAnsi="宋体" w:eastAsia="宋体" w:cs="宋体"/>
          <w:sz w:val="24"/>
          <w:szCs w:val="24"/>
        </w:rPr>
        <w:t>可以书面形式要求</w:t>
      </w:r>
      <w:r>
        <w:rPr>
          <w:rFonts w:hint="eastAsia" w:ascii="宋体" w:hAnsi="宋体" w:eastAsia="宋体" w:cs="宋体"/>
          <w:sz w:val="24"/>
          <w:szCs w:val="24"/>
          <w:lang w:eastAsia="zh-CN"/>
        </w:rPr>
        <w:t>供应商</w:t>
      </w:r>
      <w:r>
        <w:rPr>
          <w:rFonts w:hint="eastAsia" w:ascii="宋体" w:hAnsi="宋体" w:eastAsia="宋体" w:cs="宋体"/>
          <w:sz w:val="24"/>
          <w:szCs w:val="24"/>
        </w:rPr>
        <w:t>对所提交</w:t>
      </w:r>
      <w:r>
        <w:rPr>
          <w:rFonts w:hint="eastAsia" w:ascii="宋体" w:hAnsi="宋体" w:eastAsia="宋体" w:cs="宋体"/>
          <w:sz w:val="24"/>
          <w:szCs w:val="24"/>
          <w:lang w:eastAsia="zh-CN"/>
        </w:rPr>
        <w:t>响应文件</w:t>
      </w:r>
      <w:r>
        <w:rPr>
          <w:rFonts w:hint="eastAsia" w:ascii="宋体" w:hAnsi="宋体" w:eastAsia="宋体" w:cs="宋体"/>
          <w:sz w:val="24"/>
          <w:szCs w:val="24"/>
        </w:rPr>
        <w:t>中不明确的内容进行书面澄清或说明，或者对细微偏差进行补正。</w:t>
      </w:r>
      <w:r>
        <w:rPr>
          <w:rFonts w:hint="eastAsia" w:ascii="宋体" w:hAnsi="宋体" w:eastAsia="宋体" w:cs="宋体"/>
          <w:sz w:val="24"/>
          <w:szCs w:val="24"/>
          <w:lang w:eastAsia="zh-CN"/>
        </w:rPr>
        <w:t>磋商小组</w:t>
      </w:r>
      <w:r>
        <w:rPr>
          <w:rFonts w:hint="eastAsia" w:ascii="宋体" w:hAnsi="宋体" w:eastAsia="宋体" w:cs="宋体"/>
          <w:sz w:val="24"/>
          <w:szCs w:val="24"/>
        </w:rPr>
        <w:t>不接受</w:t>
      </w:r>
      <w:r>
        <w:rPr>
          <w:rFonts w:hint="eastAsia" w:ascii="宋体" w:hAnsi="宋体" w:eastAsia="宋体" w:cs="宋体"/>
          <w:sz w:val="24"/>
          <w:szCs w:val="24"/>
          <w:lang w:eastAsia="zh-CN"/>
        </w:rPr>
        <w:t>供应商</w:t>
      </w:r>
      <w:r>
        <w:rPr>
          <w:rFonts w:hint="eastAsia" w:ascii="宋体" w:hAnsi="宋体" w:eastAsia="宋体" w:cs="宋体"/>
          <w:sz w:val="24"/>
          <w:szCs w:val="24"/>
        </w:rPr>
        <w:t>主动提出的澄清、说明或补正。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3.3.2 澄清、说明和补正不得改变</w:t>
      </w:r>
      <w:r>
        <w:rPr>
          <w:rFonts w:hint="eastAsia" w:ascii="宋体" w:hAnsi="宋体" w:eastAsia="宋体" w:cs="宋体"/>
          <w:sz w:val="24"/>
          <w:szCs w:val="24"/>
          <w:lang w:eastAsia="zh-CN"/>
        </w:rPr>
        <w:t>响应文件</w:t>
      </w:r>
      <w:r>
        <w:rPr>
          <w:rFonts w:hint="eastAsia" w:ascii="宋体" w:hAnsi="宋体" w:eastAsia="宋体" w:cs="宋体"/>
          <w:sz w:val="24"/>
          <w:szCs w:val="24"/>
        </w:rPr>
        <w:t>的实质性内容（算术性错误修正的除外）。</w:t>
      </w:r>
      <w:r>
        <w:rPr>
          <w:rFonts w:hint="eastAsia" w:ascii="宋体" w:hAnsi="宋体" w:eastAsia="宋体" w:cs="宋体"/>
          <w:sz w:val="24"/>
          <w:szCs w:val="24"/>
          <w:lang w:eastAsia="zh-CN"/>
        </w:rPr>
        <w:t>供应商</w:t>
      </w:r>
      <w:r>
        <w:rPr>
          <w:rFonts w:hint="eastAsia" w:ascii="宋体" w:hAnsi="宋体" w:eastAsia="宋体" w:cs="宋体"/>
          <w:sz w:val="24"/>
          <w:szCs w:val="24"/>
        </w:rPr>
        <w:t>的书面（电子扫描件，原件后送）澄清、说明和补正属于</w:t>
      </w:r>
      <w:r>
        <w:rPr>
          <w:rFonts w:hint="eastAsia" w:ascii="宋体" w:hAnsi="宋体" w:eastAsia="宋体" w:cs="宋体"/>
          <w:sz w:val="24"/>
          <w:szCs w:val="24"/>
          <w:lang w:eastAsia="zh-CN"/>
        </w:rPr>
        <w:t>响应文件</w:t>
      </w:r>
      <w:r>
        <w:rPr>
          <w:rFonts w:hint="eastAsia" w:ascii="宋体" w:hAnsi="宋体" w:eastAsia="宋体" w:cs="宋体"/>
          <w:sz w:val="24"/>
          <w:szCs w:val="24"/>
        </w:rPr>
        <w:t>的组成部分。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3.3.3 </w:t>
      </w:r>
      <w:r>
        <w:rPr>
          <w:rFonts w:hint="eastAsia" w:ascii="宋体" w:hAnsi="宋体" w:eastAsia="宋体" w:cs="宋体"/>
          <w:sz w:val="24"/>
          <w:szCs w:val="24"/>
          <w:lang w:eastAsia="zh-CN"/>
        </w:rPr>
        <w:t>磋商小组</w:t>
      </w:r>
      <w:r>
        <w:rPr>
          <w:rFonts w:hint="eastAsia" w:ascii="宋体" w:hAnsi="宋体" w:eastAsia="宋体" w:cs="宋体"/>
          <w:sz w:val="24"/>
          <w:szCs w:val="24"/>
        </w:rPr>
        <w:t>对</w:t>
      </w:r>
      <w:r>
        <w:rPr>
          <w:rFonts w:hint="eastAsia" w:ascii="宋体" w:hAnsi="宋体" w:eastAsia="宋体" w:cs="宋体"/>
          <w:sz w:val="24"/>
          <w:szCs w:val="24"/>
          <w:lang w:eastAsia="zh-CN"/>
        </w:rPr>
        <w:t>供应商</w:t>
      </w:r>
      <w:r>
        <w:rPr>
          <w:rFonts w:hint="eastAsia" w:ascii="宋体" w:hAnsi="宋体" w:eastAsia="宋体" w:cs="宋体"/>
          <w:sz w:val="24"/>
          <w:szCs w:val="24"/>
        </w:rPr>
        <w:t>提交的澄清、说明或补正有疑问的，可以要求</w:t>
      </w:r>
      <w:r>
        <w:rPr>
          <w:rFonts w:hint="eastAsia" w:ascii="宋体" w:hAnsi="宋体" w:eastAsia="宋体" w:cs="宋体"/>
          <w:sz w:val="24"/>
          <w:szCs w:val="24"/>
          <w:lang w:eastAsia="zh-CN"/>
        </w:rPr>
        <w:t>供应商</w:t>
      </w:r>
      <w:r>
        <w:rPr>
          <w:rFonts w:hint="eastAsia" w:ascii="宋体" w:hAnsi="宋体" w:eastAsia="宋体" w:cs="宋体"/>
          <w:sz w:val="24"/>
          <w:szCs w:val="24"/>
        </w:rPr>
        <w:t>进一步澄清、说明或补正，直至满足</w:t>
      </w:r>
      <w:r>
        <w:rPr>
          <w:rFonts w:hint="eastAsia" w:ascii="宋体" w:hAnsi="宋体" w:eastAsia="宋体" w:cs="宋体"/>
          <w:sz w:val="24"/>
          <w:szCs w:val="24"/>
          <w:lang w:eastAsia="zh-CN"/>
        </w:rPr>
        <w:t>磋商小组</w:t>
      </w:r>
      <w:r>
        <w:rPr>
          <w:rFonts w:hint="eastAsia" w:ascii="宋体" w:hAnsi="宋体" w:eastAsia="宋体" w:cs="宋体"/>
          <w:sz w:val="24"/>
          <w:szCs w:val="24"/>
        </w:rPr>
        <w:t>的要求。</w:t>
      </w:r>
    </w:p>
    <w:p>
      <w:pPr>
        <w:keepNext w:val="0"/>
        <w:keepLines w:val="0"/>
        <w:pageBreakBefore w:val="0"/>
        <w:widowControl w:val="0"/>
        <w:kinsoku/>
        <w:wordWrap w:val="0"/>
        <w:overflowPunct/>
        <w:topLinePunct w:val="0"/>
        <w:autoSpaceDE/>
        <w:autoSpaceDN/>
        <w:bidi w:val="0"/>
        <w:adjustRightInd/>
        <w:snapToGrid/>
        <w:spacing w:before="0" w:after="0" w:line="440" w:lineRule="exact"/>
        <w:ind w:left="0" w:leftChars="0" w:firstLine="0" w:firstLineChars="0"/>
        <w:textAlignment w:val="auto"/>
        <w:outlineLvl w:val="9"/>
        <w:rPr>
          <w:rFonts w:hint="eastAsia" w:ascii="宋体" w:hAnsi="宋体" w:eastAsia="宋体" w:cs="宋体"/>
          <w:b/>
          <w:bCs/>
          <w:sz w:val="24"/>
          <w:szCs w:val="24"/>
        </w:rPr>
      </w:pPr>
      <w:bookmarkStart w:id="189" w:name="_Toc4950"/>
      <w:bookmarkStart w:id="190" w:name="_Toc29384719"/>
      <w:r>
        <w:rPr>
          <w:rFonts w:hint="eastAsia" w:ascii="宋体" w:hAnsi="宋体" w:eastAsia="宋体" w:cs="宋体"/>
          <w:b/>
          <w:bCs/>
          <w:sz w:val="24"/>
          <w:szCs w:val="24"/>
        </w:rPr>
        <w:t>3.4 评标结果</w:t>
      </w:r>
      <w:bookmarkEnd w:id="189"/>
      <w:bookmarkEnd w:id="190"/>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3.4.1 除第二章“</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须知”前附表授权直接确定</w:t>
      </w:r>
      <w:r>
        <w:rPr>
          <w:rFonts w:hint="eastAsia" w:ascii="宋体" w:hAnsi="宋体" w:eastAsia="宋体" w:cs="宋体"/>
          <w:sz w:val="24"/>
          <w:szCs w:val="24"/>
          <w:lang w:eastAsia="zh-CN"/>
        </w:rPr>
        <w:t>成交供应商</w:t>
      </w:r>
      <w:r>
        <w:rPr>
          <w:rFonts w:hint="eastAsia" w:ascii="宋体" w:hAnsi="宋体" w:eastAsia="宋体" w:cs="宋体"/>
          <w:sz w:val="24"/>
          <w:szCs w:val="24"/>
        </w:rPr>
        <w:t>外，</w:t>
      </w:r>
      <w:r>
        <w:rPr>
          <w:rFonts w:hint="eastAsia" w:ascii="宋体" w:hAnsi="宋体" w:eastAsia="宋体" w:cs="宋体"/>
          <w:sz w:val="24"/>
          <w:szCs w:val="24"/>
          <w:lang w:eastAsia="zh-CN"/>
        </w:rPr>
        <w:t>磋商小组</w:t>
      </w:r>
      <w:r>
        <w:rPr>
          <w:rFonts w:hint="eastAsia" w:ascii="宋体" w:hAnsi="宋体" w:eastAsia="宋体" w:cs="宋体"/>
          <w:sz w:val="24"/>
          <w:szCs w:val="24"/>
        </w:rPr>
        <w:t>按照得分由高到低的顺序推荐</w:t>
      </w:r>
      <w:r>
        <w:rPr>
          <w:rFonts w:hint="eastAsia" w:ascii="宋体" w:hAnsi="宋体" w:eastAsia="宋体" w:cs="宋体"/>
          <w:sz w:val="24"/>
          <w:szCs w:val="24"/>
          <w:lang w:eastAsia="zh-CN"/>
        </w:rPr>
        <w:t>成交候选供应商</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3.4.2 </w:t>
      </w:r>
      <w:r>
        <w:rPr>
          <w:rFonts w:hint="eastAsia" w:ascii="宋体" w:hAnsi="宋体" w:eastAsia="宋体" w:cs="宋体"/>
          <w:sz w:val="24"/>
          <w:szCs w:val="24"/>
          <w:lang w:eastAsia="zh-CN"/>
        </w:rPr>
        <w:t>磋商小组</w:t>
      </w:r>
      <w:r>
        <w:rPr>
          <w:rFonts w:hint="eastAsia" w:ascii="宋体" w:hAnsi="宋体" w:eastAsia="宋体" w:cs="宋体"/>
          <w:sz w:val="24"/>
          <w:szCs w:val="24"/>
        </w:rPr>
        <w:t>完成评标后，应当向</w:t>
      </w:r>
      <w:r>
        <w:rPr>
          <w:rFonts w:hint="eastAsia" w:ascii="宋体" w:hAnsi="宋体" w:eastAsia="宋体" w:cs="宋体"/>
          <w:sz w:val="24"/>
          <w:szCs w:val="24"/>
          <w:lang w:eastAsia="zh-CN"/>
        </w:rPr>
        <w:t>采购人</w:t>
      </w:r>
      <w:r>
        <w:rPr>
          <w:rFonts w:hint="eastAsia" w:ascii="宋体" w:hAnsi="宋体" w:eastAsia="宋体" w:cs="宋体"/>
          <w:sz w:val="24"/>
          <w:szCs w:val="24"/>
        </w:rPr>
        <w:t>提交书面评标报告。</w:t>
      </w:r>
    </w:p>
    <w:p>
      <w:pPr>
        <w:keepNext w:val="0"/>
        <w:keepLines w:val="0"/>
        <w:pageBreakBefore w:val="0"/>
        <w:widowControl w:val="0"/>
        <w:kinsoku/>
        <w:wordWrap w:val="0"/>
        <w:overflowPunct/>
        <w:topLinePunct w:val="0"/>
        <w:autoSpaceDE/>
        <w:autoSpaceDN/>
        <w:bidi w:val="0"/>
        <w:jc w:val="center"/>
        <w:outlineLvl w:val="9"/>
        <w:rPr>
          <w:rFonts w:hint="eastAsia" w:ascii="宋体" w:hAnsi="宋体" w:eastAsia="宋体" w:cs="宋体"/>
        </w:rPr>
      </w:pPr>
      <w:r>
        <w:rPr>
          <w:rFonts w:hint="eastAsia" w:ascii="宋体" w:hAnsi="宋体" w:eastAsia="宋体" w:cs="宋体"/>
        </w:rPr>
        <w:br w:type="page"/>
      </w:r>
    </w:p>
    <w:p>
      <w:pPr>
        <w:keepNext w:val="0"/>
        <w:keepLines w:val="0"/>
        <w:pageBreakBefore w:val="0"/>
        <w:widowControl w:val="0"/>
        <w:kinsoku/>
        <w:wordWrap w:val="0"/>
        <w:overflowPunct/>
        <w:topLinePunct w:val="0"/>
        <w:autoSpaceDE/>
        <w:autoSpaceDN/>
        <w:bidi w:val="0"/>
        <w:spacing w:line="400" w:lineRule="exact"/>
        <w:outlineLvl w:val="9"/>
        <w:rPr>
          <w:rFonts w:hint="eastAsia" w:ascii="宋体" w:hAnsi="宋体" w:eastAsia="宋体" w:cs="宋体"/>
          <w:b/>
          <w:kern w:val="2"/>
          <w:sz w:val="32"/>
          <w:szCs w:val="32"/>
        </w:rPr>
      </w:pPr>
      <w:r>
        <w:rPr>
          <w:rFonts w:hint="eastAsia" w:ascii="宋体" w:hAnsi="宋体" w:eastAsia="宋体" w:cs="宋体"/>
          <w:b/>
          <w:kern w:val="2"/>
          <w:sz w:val="32"/>
          <w:szCs w:val="32"/>
        </w:rPr>
        <w:t>附件A：评标详细程序</w:t>
      </w:r>
    </w:p>
    <w:p>
      <w:pPr>
        <w:keepNext w:val="0"/>
        <w:keepLines w:val="0"/>
        <w:pageBreakBefore w:val="0"/>
        <w:widowControl w:val="0"/>
        <w:kinsoku/>
        <w:wordWrap w:val="0"/>
        <w:overflowPunct/>
        <w:topLinePunct w:val="0"/>
        <w:autoSpaceDE/>
        <w:autoSpaceDN/>
        <w:bidi w:val="0"/>
        <w:spacing w:line="400" w:lineRule="exact"/>
        <w:jc w:val="center"/>
        <w:outlineLvl w:val="9"/>
        <w:rPr>
          <w:rFonts w:hint="eastAsia" w:ascii="宋体" w:hAnsi="宋体" w:eastAsia="宋体" w:cs="宋体"/>
          <w:b/>
          <w:kern w:val="2"/>
          <w:sz w:val="32"/>
          <w:szCs w:val="32"/>
        </w:rPr>
      </w:pPr>
      <w:r>
        <w:rPr>
          <w:rFonts w:hint="eastAsia" w:ascii="宋体" w:hAnsi="宋体" w:eastAsia="宋体" w:cs="宋体"/>
          <w:b/>
          <w:kern w:val="2"/>
          <w:sz w:val="32"/>
          <w:szCs w:val="32"/>
        </w:rPr>
        <w:t>评标详细程序</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rPr>
        <w:t>AO.总则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本附件是本章“评标办法”的组成部分，是对本章第3条所规定的评标程序的进一些细化，</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应当按照本附件所规定的详细程序开展并完成评标工作。</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rPr>
        <w:t>A1．基本程序</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评标活动将按以下五个步骤进行：</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(1)评标准备；</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(2)初步评审；</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(3)详细评审；</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(4)澄清、说明或补正；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(5)推荐</w:t>
      </w:r>
      <w:r>
        <w:rPr>
          <w:rFonts w:hint="eastAsia" w:ascii="宋体" w:hAnsi="宋体" w:eastAsia="宋体" w:cs="宋体"/>
          <w:kern w:val="2"/>
          <w:sz w:val="24"/>
          <w:szCs w:val="24"/>
          <w:lang w:eastAsia="zh-CN"/>
        </w:rPr>
        <w:t>成交候选供应商</w:t>
      </w:r>
      <w:r>
        <w:rPr>
          <w:rFonts w:hint="eastAsia" w:ascii="宋体" w:hAnsi="宋体" w:eastAsia="宋体" w:cs="宋体"/>
          <w:kern w:val="2"/>
          <w:sz w:val="24"/>
          <w:szCs w:val="24"/>
        </w:rPr>
        <w:t>或者直接确定</w:t>
      </w:r>
      <w:r>
        <w:rPr>
          <w:rFonts w:hint="eastAsia" w:ascii="宋体" w:hAnsi="宋体" w:eastAsia="宋体" w:cs="宋体"/>
          <w:kern w:val="2"/>
          <w:sz w:val="24"/>
          <w:szCs w:val="24"/>
          <w:lang w:eastAsia="zh-CN"/>
        </w:rPr>
        <w:t>成交供应商</w:t>
      </w:r>
      <w:r>
        <w:rPr>
          <w:rFonts w:hint="eastAsia" w:ascii="宋体" w:hAnsi="宋体" w:eastAsia="宋体" w:cs="宋体"/>
          <w:kern w:val="2"/>
          <w:sz w:val="24"/>
          <w:szCs w:val="24"/>
        </w:rPr>
        <w:t>及提交评标报告。</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rPr>
        <w:t>A2.评标准备</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A2.1</w:t>
      </w:r>
      <w:r>
        <w:rPr>
          <w:rFonts w:hint="eastAsia" w:ascii="宋体" w:hAnsi="宋体" w:eastAsia="宋体" w:cs="宋体"/>
          <w:b/>
          <w:bCs/>
          <w:kern w:val="2"/>
          <w:sz w:val="24"/>
          <w:szCs w:val="24"/>
          <w:lang w:eastAsia="zh-CN"/>
        </w:rPr>
        <w:t>磋商小组</w:t>
      </w:r>
      <w:r>
        <w:rPr>
          <w:rFonts w:hint="eastAsia" w:ascii="宋体" w:hAnsi="宋体" w:eastAsia="宋体" w:cs="宋体"/>
          <w:b/>
          <w:bCs/>
          <w:kern w:val="2"/>
          <w:sz w:val="24"/>
          <w:szCs w:val="24"/>
        </w:rPr>
        <w:t>成员签到</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成员到达评标现场时应在签到表上签到以证明其出席。</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签到表见附表A-1.</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A2.2</w:t>
      </w:r>
      <w:r>
        <w:rPr>
          <w:rFonts w:hint="eastAsia" w:ascii="宋体" w:hAnsi="宋体" w:eastAsia="宋体" w:cs="宋体"/>
          <w:b/>
          <w:bCs/>
          <w:kern w:val="2"/>
          <w:sz w:val="24"/>
          <w:szCs w:val="24"/>
          <w:lang w:eastAsia="zh-CN"/>
        </w:rPr>
        <w:t>磋商小组</w:t>
      </w:r>
      <w:r>
        <w:rPr>
          <w:rFonts w:hint="eastAsia" w:ascii="宋体" w:hAnsi="宋体" w:eastAsia="宋体" w:cs="宋体"/>
          <w:b/>
          <w:bCs/>
          <w:kern w:val="2"/>
          <w:sz w:val="24"/>
          <w:szCs w:val="24"/>
        </w:rPr>
        <w:t>的分工</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首先推选一名</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主任。</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也可以直接指定</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主任。</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主任负责评标活动的组织领导工作。</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主任在与其他</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成员商议的基础上可以将</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划分为技术组和商务组。</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A2.3熟悉文件资料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A2.3.1</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主任应组织</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成员认真研究</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，了解和熟悉招标目的、招标范围、主要合同条件、技术标准和要求、质量标准和工期要求，掌握评标标准和方法，熟悉本章及附件中包括的评标表格的使用，如果本章及附件所附的表格不能满足评标所需时，</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应补充编制评标所需的表格，尤其是用于详细分析计算的表格。未在</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中规定的标准和方法不得作为评标的依据。</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A2.3.2</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或</w:t>
      </w:r>
      <w:r>
        <w:rPr>
          <w:rFonts w:hint="eastAsia" w:ascii="宋体" w:hAnsi="宋体" w:eastAsia="宋体" w:cs="宋体"/>
          <w:kern w:val="2"/>
          <w:sz w:val="24"/>
          <w:szCs w:val="24"/>
          <w:lang w:eastAsia="zh-CN"/>
        </w:rPr>
        <w:t>采购代理机构</w:t>
      </w:r>
      <w:r>
        <w:rPr>
          <w:rFonts w:hint="eastAsia" w:ascii="宋体" w:hAnsi="宋体" w:eastAsia="宋体" w:cs="宋体"/>
          <w:kern w:val="2"/>
          <w:sz w:val="24"/>
          <w:szCs w:val="24"/>
        </w:rPr>
        <w:t>应向</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提供评标所需的信息和数据，包括</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、未在开标会上当场拒绝的各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、开标会记录、标底（如有）、工程所在地工程造价管理部门颁布的工程造价信息、定额（如作为计价依据时）、有关的法律、法规、规章、国家标准以及</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或</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认为必要的其他信息和数据。</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A2.4暗标编号（适用于对施工组织设计进行暗标评审的）</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须知”前附表要求对施工组织设计采用“暗标”评审方式且第八章“</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格式”中对施工组织设计的编制有暗标要求，则在评标工作开始前，</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指定专人负责编制</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暗标编码，并就暗标编码与</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的对应关系做好暗标记录。暗标编码按随机方式编制。在</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全体成员均完成暗标部分评审并对评审结果进行汇总和签字确认后，</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方可向</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公布暗标记录。暗标记录公布前必须妥善保管并予以保密。</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lang w:eastAsia="zh-CN"/>
        </w:rPr>
      </w:pPr>
      <w:r>
        <w:rPr>
          <w:rFonts w:hint="eastAsia" w:ascii="宋体" w:hAnsi="宋体" w:eastAsia="宋体" w:cs="宋体"/>
          <w:b/>
          <w:bCs/>
          <w:kern w:val="2"/>
          <w:sz w:val="24"/>
          <w:szCs w:val="24"/>
          <w:lang w:eastAsia="zh-CN"/>
        </w:rPr>
        <w:t>A2.5对响应文件进行基础性数据分析和整理工作(清标)</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A2.5.1在不改变供应商响应文件实质性内容的前提下，磋商小组应当对响应文件进行基础性数据分析和整理(本章中简称为“清标”)，从而发现并提取其中可能存在的对招标范围理解的偏差、投标报价的算术性错误、错漏项、投标报价构成不合理、不平衡报价、串通投标等存在明显异常的问题，并就这些问题整理形成清标成果。磋商小组对清标成果审议后，决定需要供应商进行书面澄清、说明或补正的问题，形成质疑问卷，向供应商发出问题澄清通知(包括质疑问卷)。</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A2.5.2在不影响磋商小组成员的法定权利的前提下，磋商小组可运用系统清标功能完成清标工作。清标工作在评标工作开始之前完成。清标成果应当经过磋商小组的审核确认，经过磋商小组审核确认的清标成果视同是磋商小组的工作成果。</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lang w:eastAsia="zh-CN"/>
        </w:rPr>
      </w:pPr>
      <w:r>
        <w:rPr>
          <w:rFonts w:hint="eastAsia" w:ascii="宋体" w:hAnsi="宋体" w:eastAsia="宋体" w:cs="宋体"/>
          <w:kern w:val="2"/>
          <w:sz w:val="24"/>
          <w:szCs w:val="24"/>
          <w:lang w:eastAsia="zh-CN"/>
        </w:rPr>
        <w:t>A2.5.3供应商接到磋商小组发出的问题澄清通知后，应按磋商小组的要求提供澄清资料，在规定的时间递交（提交）到磋商小组。</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A3初步评审</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A3.1形式评审</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根据评标办法前附表中规定的评审因素和评审标准，对</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进行形式评审，并使用附表A</w:t>
      </w:r>
      <w:r>
        <w:rPr>
          <w:rFonts w:hint="eastAsia" w:ascii="宋体" w:hAnsi="宋体" w:eastAsia="宋体" w:cs="宋体"/>
          <w:kern w:val="2"/>
          <w:sz w:val="24"/>
          <w:szCs w:val="24"/>
          <w:lang w:val="en-US" w:eastAsia="zh-CN"/>
        </w:rPr>
        <w:t>-</w:t>
      </w:r>
      <w:r>
        <w:rPr>
          <w:rFonts w:hint="eastAsia" w:ascii="宋体" w:hAnsi="宋体" w:eastAsia="宋体" w:cs="宋体"/>
          <w:kern w:val="2"/>
          <w:sz w:val="24"/>
          <w:szCs w:val="24"/>
        </w:rPr>
        <w:t>2记录评审结果。</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A3.2资格评审</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A3.2.1</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根据评标办法前附表中规定的评审因素和评审标准，对</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进行资格评审，并使用附表A</w:t>
      </w:r>
      <w:r>
        <w:rPr>
          <w:rFonts w:hint="eastAsia" w:ascii="宋体" w:hAnsi="宋体" w:eastAsia="宋体" w:cs="宋体"/>
          <w:kern w:val="2"/>
          <w:sz w:val="24"/>
          <w:szCs w:val="24"/>
          <w:lang w:val="en-US" w:eastAsia="zh-CN"/>
        </w:rPr>
        <w:t>-</w:t>
      </w:r>
      <w:r>
        <w:rPr>
          <w:rFonts w:hint="eastAsia" w:ascii="宋体" w:hAnsi="宋体" w:eastAsia="宋体" w:cs="宋体"/>
          <w:kern w:val="2"/>
          <w:sz w:val="24"/>
          <w:szCs w:val="24"/>
        </w:rPr>
        <w:t>3记录评审结果。</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A3.3响应性评审</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A3.3.1</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根据评标办法前附表中规定的评审因素和评审标准，对</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进行响应性评审，并使用附表A-4记录评审结果。</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A3.3-2</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投标价格不得超出（不含等于）按照第二章“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须知”前附表载明的招标控制价且投标单价亦不能超过工程量清单中给出的综合单价。凡</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的投标价格超出招标控制价及控制单价的，该</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不能通过响应性评审。(适用于设立拦标价的情形)</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lang w:eastAsia="zh-CN"/>
        </w:rPr>
      </w:pPr>
      <w:r>
        <w:rPr>
          <w:rFonts w:hint="eastAsia" w:ascii="宋体" w:hAnsi="宋体" w:eastAsia="宋体" w:cs="宋体"/>
          <w:kern w:val="2"/>
          <w:sz w:val="24"/>
          <w:szCs w:val="24"/>
        </w:rPr>
        <w:t>A3.3.3</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投标价格不得超出(不含等于)按照第二章“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须知”前附表第10．2款载明的招标控制价，凡</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的投标价格超出招标控制价的，该</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不能通过响应性评审。(适用于设立招标控制价的情形</w:t>
      </w:r>
      <w:r>
        <w:rPr>
          <w:rFonts w:hint="eastAsia" w:ascii="宋体" w:hAnsi="宋体" w:eastAsia="宋体" w:cs="宋体"/>
          <w:kern w:val="2"/>
          <w:sz w:val="24"/>
          <w:szCs w:val="24"/>
          <w:lang w:eastAsia="zh-CN"/>
        </w:rPr>
        <w:t>）</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A3.4判断投标是否为废标</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A3.4.1判断</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的投标是否为废标的全部条件（包括本章第3.</w:t>
      </w:r>
      <w:r>
        <w:rPr>
          <w:rFonts w:hint="eastAsia" w:ascii="宋体" w:hAnsi="宋体" w:eastAsia="宋体" w:cs="宋体"/>
          <w:kern w:val="2"/>
          <w:sz w:val="24"/>
          <w:szCs w:val="24"/>
          <w:lang w:val="en-US" w:eastAsia="zh-CN"/>
        </w:rPr>
        <w:t>1.2</w:t>
      </w:r>
      <w:r>
        <w:rPr>
          <w:rFonts w:hint="eastAsia" w:ascii="宋体" w:hAnsi="宋体" w:eastAsia="宋体" w:cs="宋体"/>
          <w:kern w:val="2"/>
          <w:sz w:val="24"/>
          <w:szCs w:val="24"/>
        </w:rPr>
        <w:t>项中规定的条件）。</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A3.4.2本章列示的废标条件不应与第二章“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须知”和本章正文部分包括的废标条件抵触，如果出现相互矛盾的情况，以第二章“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须知”和本章正文部分的规定为准。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A3.4.3</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在评标(包括初步评审和详细评审)过程中，依据本章规定的废标条件判断</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的投标是否为废标。</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A3.5算术错误修正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在初步评审过程中，</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应当就</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中不明确的内容要求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进行澄清、说明或者补正。</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对此予以澄清、说明或者补正。</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A3.6澄清、说明或补正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在初步评审过程中，</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应当就</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中不明确的内容要求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进行澄清、说明或者补正。</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对此予以澄清、说明或者补正。</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A4.详细评审</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只有通过了初步评审、被判定为合格的投标方可进入详细评审。</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A4.1详细评审的程序</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A4.1.1</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按照本章第3．2款中规定的程序进行详细评审：</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(1)施工组织设计评审和评分；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(2)项目管理机构评审和评分；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(3)投标报价评审和评分，并对明显低于其他投标报价的投标报价，或者在设有标底时明显低于标底的投标报价，判断是否低于其个别成本；</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(4)其他因素评审和评分；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(5)汇总评分结果。</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A4.2施工组织设计评审和评分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A4.2.1按照评标办法前附表中规定的分值设定、各项评分因素、评分标准，对施工组织设计进行评审和评分。</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A4.3项目管理机构评审和评分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A4.3.1按照评标办法前附表中规定的分值设定、各项评分因素、评分标准，对项目管理机构进行评审和评分。</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A4.4投标报价评审和评分（仅按投标总报价进行评分）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A4.4.1按照评标办法前附表中规定的方法计算“评标基准价”。</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A4.4.2按照评标办法前附表中规定的方法，计算各个已通过了初步评审、施工组织设计评审和项目管理机构评审并且经过评审认定为不低于其成本的投标报价的“偏差率”。</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A4.4投标报价评审和评分(按投标总报价中的分项报价分别进行评分)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A4.4.1投标报价按以下项目的分项投标报价分别进行评审和评分：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（1）投标总报价减去以下分别进行评分的各个分项投标报价以后的部分；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（4)</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（5)</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A4.4.2 按照评标办法前附表中规定的方法，分别计算各个分项投标报价“评标基准价”。</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A4.4.3按照评标办法前附表中规定的方法，分别计算各个分项投标报价与对应的分项投标报价评标基准价之间的偏差率。</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A4.4.4按照评标办法前附表中规定的评分标准，对照分项投标报价的偏差率，分别对各个分项投标报价进行评分，汇总各个分项投标报价的得分。</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rPr>
        <w:t>A4.5其他因素的评审和评分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根据评标办法前附表中规定的分值设定、各项评分因素和相应的评分标准，对其他因素(如果有)进行评审和评分。</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A4.6判断投标报价是否低于成本</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根据本章第3.2.4项的规定，</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根据本章附件C中规定的程序、标准和方法，判断投标报价是否低于其成本。由</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认定</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以低于成本竞标的，其投标作废标处理。</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A4.7澄清、说明或补正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在详细评审过程中，</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应当就</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中不明确的内容要求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进行澄清、说明或者补正。</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对此予以澄清、说明或者补正。</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A4.8汇总评分结果</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A4.8.1</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成员应填写详细评审评分。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A4.8.2详细评审工作全部结束后，系统自动汇总评审评分结果，并按照详细评审最终得分由高至低的次序对</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进行排序。</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lang w:eastAsia="zh-CN"/>
        </w:rPr>
      </w:pPr>
      <w:r>
        <w:rPr>
          <w:rFonts w:hint="eastAsia" w:ascii="宋体" w:hAnsi="宋体" w:eastAsia="宋体" w:cs="宋体"/>
          <w:b/>
          <w:bCs/>
          <w:kern w:val="2"/>
          <w:sz w:val="24"/>
          <w:szCs w:val="24"/>
        </w:rPr>
        <w:t>A5．推荐</w:t>
      </w:r>
      <w:r>
        <w:rPr>
          <w:rFonts w:hint="eastAsia" w:ascii="宋体" w:hAnsi="宋体" w:eastAsia="宋体" w:cs="宋体"/>
          <w:b/>
          <w:bCs/>
          <w:kern w:val="2"/>
          <w:sz w:val="24"/>
          <w:szCs w:val="24"/>
          <w:lang w:eastAsia="zh-CN"/>
        </w:rPr>
        <w:t>成交候选供应商</w:t>
      </w:r>
      <w:r>
        <w:rPr>
          <w:rFonts w:hint="eastAsia" w:ascii="宋体" w:hAnsi="宋体" w:eastAsia="宋体" w:cs="宋体"/>
          <w:b/>
          <w:bCs/>
          <w:kern w:val="2"/>
          <w:sz w:val="24"/>
          <w:szCs w:val="24"/>
        </w:rPr>
        <w:t>或者直接确定</w:t>
      </w:r>
      <w:r>
        <w:rPr>
          <w:rFonts w:hint="eastAsia" w:ascii="宋体" w:hAnsi="宋体" w:eastAsia="宋体" w:cs="宋体"/>
          <w:b/>
          <w:bCs/>
          <w:kern w:val="2"/>
          <w:sz w:val="24"/>
          <w:szCs w:val="24"/>
          <w:lang w:eastAsia="zh-CN"/>
        </w:rPr>
        <w:t>成交供应商</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lang w:eastAsia="zh-CN"/>
        </w:rPr>
      </w:pPr>
      <w:r>
        <w:rPr>
          <w:rFonts w:hint="eastAsia" w:ascii="宋体" w:hAnsi="宋体" w:eastAsia="宋体" w:cs="宋体"/>
          <w:b/>
          <w:bCs/>
          <w:kern w:val="2"/>
          <w:sz w:val="24"/>
          <w:szCs w:val="24"/>
        </w:rPr>
        <w:t>A5.1推荐</w:t>
      </w:r>
      <w:r>
        <w:rPr>
          <w:rFonts w:hint="eastAsia" w:ascii="宋体" w:hAnsi="宋体" w:eastAsia="宋体" w:cs="宋体"/>
          <w:b/>
          <w:bCs/>
          <w:kern w:val="2"/>
          <w:sz w:val="24"/>
          <w:szCs w:val="24"/>
          <w:lang w:eastAsia="zh-CN"/>
        </w:rPr>
        <w:t>成交候选供应商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A5.1.1除第二章“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须知”前附表第7．1款授权直接确定</w:t>
      </w:r>
      <w:r>
        <w:rPr>
          <w:rFonts w:hint="eastAsia" w:ascii="宋体" w:hAnsi="宋体" w:eastAsia="宋体" w:cs="宋体"/>
          <w:kern w:val="2"/>
          <w:sz w:val="24"/>
          <w:szCs w:val="24"/>
          <w:lang w:eastAsia="zh-CN"/>
        </w:rPr>
        <w:t>成交供应商</w:t>
      </w:r>
      <w:r>
        <w:rPr>
          <w:rFonts w:hint="eastAsia" w:ascii="宋体" w:hAnsi="宋体" w:eastAsia="宋体" w:cs="宋体"/>
          <w:kern w:val="2"/>
          <w:sz w:val="24"/>
          <w:szCs w:val="24"/>
        </w:rPr>
        <w:t>外，</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在推荐</w:t>
      </w:r>
      <w:r>
        <w:rPr>
          <w:rFonts w:hint="eastAsia" w:ascii="宋体" w:hAnsi="宋体" w:eastAsia="宋体" w:cs="宋体"/>
          <w:kern w:val="2"/>
          <w:sz w:val="24"/>
          <w:szCs w:val="24"/>
          <w:lang w:eastAsia="zh-CN"/>
        </w:rPr>
        <w:t>成交候选供应商</w:t>
      </w:r>
      <w:r>
        <w:rPr>
          <w:rFonts w:hint="eastAsia" w:ascii="宋体" w:hAnsi="宋体" w:eastAsia="宋体" w:cs="宋体"/>
          <w:kern w:val="2"/>
          <w:sz w:val="24"/>
          <w:szCs w:val="24"/>
        </w:rPr>
        <w:t>时，应遵照以下原则。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按照最终得分由高至低的次序排列，并根据第二章“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须知”前附表第7.1款规定的</w:t>
      </w:r>
      <w:r>
        <w:rPr>
          <w:rFonts w:hint="eastAsia" w:ascii="宋体" w:hAnsi="宋体" w:eastAsia="宋体" w:cs="宋体"/>
          <w:kern w:val="2"/>
          <w:sz w:val="24"/>
          <w:szCs w:val="24"/>
          <w:lang w:eastAsia="zh-CN"/>
        </w:rPr>
        <w:t>成交候选供应商</w:t>
      </w:r>
      <w:r>
        <w:rPr>
          <w:rFonts w:hint="eastAsia" w:ascii="宋体" w:hAnsi="宋体" w:eastAsia="宋体" w:cs="宋体"/>
          <w:kern w:val="2"/>
          <w:sz w:val="24"/>
          <w:szCs w:val="24"/>
        </w:rPr>
        <w:t>数量，将排序在前的</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推荐为</w:t>
      </w:r>
      <w:r>
        <w:rPr>
          <w:rFonts w:hint="eastAsia" w:ascii="宋体" w:hAnsi="宋体" w:eastAsia="宋体" w:cs="宋体"/>
          <w:kern w:val="2"/>
          <w:sz w:val="24"/>
          <w:szCs w:val="24"/>
          <w:lang w:eastAsia="zh-CN"/>
        </w:rPr>
        <w:t>成交候选供应商</w:t>
      </w:r>
      <w:r>
        <w:rPr>
          <w:rFonts w:hint="eastAsia" w:ascii="宋体" w:hAnsi="宋体" w:eastAsia="宋体" w:cs="宋体"/>
          <w:kern w:val="2"/>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(2)如果</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根据本章的规定作废标处理后，有效投标不足三个，且少于第二章“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须知”前附表第7.1款规定的</w:t>
      </w:r>
      <w:r>
        <w:rPr>
          <w:rFonts w:hint="eastAsia" w:ascii="宋体" w:hAnsi="宋体" w:eastAsia="宋体" w:cs="宋体"/>
          <w:kern w:val="2"/>
          <w:sz w:val="24"/>
          <w:szCs w:val="24"/>
          <w:lang w:eastAsia="zh-CN"/>
        </w:rPr>
        <w:t>成交候选供应商</w:t>
      </w:r>
      <w:r>
        <w:rPr>
          <w:rFonts w:hint="eastAsia" w:ascii="宋体" w:hAnsi="宋体" w:eastAsia="宋体" w:cs="宋体"/>
          <w:kern w:val="2"/>
          <w:sz w:val="24"/>
          <w:szCs w:val="24"/>
        </w:rPr>
        <w:t>数量的，则</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可以将所有有效投标按最终得分由高至低的次序作为</w:t>
      </w:r>
      <w:r>
        <w:rPr>
          <w:rFonts w:hint="eastAsia" w:ascii="宋体" w:hAnsi="宋体" w:eastAsia="宋体" w:cs="宋体"/>
          <w:kern w:val="2"/>
          <w:sz w:val="24"/>
          <w:szCs w:val="24"/>
          <w:lang w:eastAsia="zh-CN"/>
        </w:rPr>
        <w:t>成交候选供应商</w:t>
      </w:r>
      <w:r>
        <w:rPr>
          <w:rFonts w:hint="eastAsia" w:ascii="宋体" w:hAnsi="宋体" w:eastAsia="宋体" w:cs="宋体"/>
          <w:kern w:val="2"/>
          <w:sz w:val="24"/>
          <w:szCs w:val="24"/>
        </w:rPr>
        <w:t>向</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推荐。如果因有效投标不足三个使得投标明显缺乏竞争的，</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可以建议</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重新招标。</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A5.2.2</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数量少于三个或者所有投标被否决的，</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应当依法重新招标．</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lang w:eastAsia="zh-CN"/>
        </w:rPr>
      </w:pPr>
      <w:r>
        <w:rPr>
          <w:rFonts w:hint="eastAsia" w:ascii="宋体" w:hAnsi="宋体" w:eastAsia="宋体" w:cs="宋体"/>
          <w:b/>
          <w:bCs/>
          <w:kern w:val="2"/>
          <w:sz w:val="24"/>
          <w:szCs w:val="24"/>
        </w:rPr>
        <w:t>A5.2直接确定</w:t>
      </w:r>
      <w:r>
        <w:rPr>
          <w:rFonts w:hint="eastAsia" w:ascii="宋体" w:hAnsi="宋体" w:eastAsia="宋体" w:cs="宋体"/>
          <w:b/>
          <w:bCs/>
          <w:kern w:val="2"/>
          <w:sz w:val="24"/>
          <w:szCs w:val="24"/>
          <w:lang w:eastAsia="zh-CN"/>
        </w:rPr>
        <w:t>成交供应商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须知”前附表授权</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直接确定</w:t>
      </w:r>
      <w:r>
        <w:rPr>
          <w:rFonts w:hint="eastAsia" w:ascii="宋体" w:hAnsi="宋体" w:eastAsia="宋体" w:cs="宋体"/>
          <w:kern w:val="2"/>
          <w:sz w:val="24"/>
          <w:szCs w:val="24"/>
          <w:lang w:eastAsia="zh-CN"/>
        </w:rPr>
        <w:t>成交供应商</w:t>
      </w:r>
      <w:r>
        <w:rPr>
          <w:rFonts w:hint="eastAsia" w:ascii="宋体" w:hAnsi="宋体" w:eastAsia="宋体" w:cs="宋体"/>
          <w:kern w:val="2"/>
          <w:sz w:val="24"/>
          <w:szCs w:val="24"/>
        </w:rPr>
        <w:t>的，</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按照最终得分由高至低的次序排列，并确定排名第一的</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为</w:t>
      </w:r>
      <w:r>
        <w:rPr>
          <w:rFonts w:hint="eastAsia" w:ascii="宋体" w:hAnsi="宋体" w:eastAsia="宋体" w:cs="宋体"/>
          <w:kern w:val="2"/>
          <w:sz w:val="24"/>
          <w:szCs w:val="24"/>
          <w:lang w:eastAsia="zh-CN"/>
        </w:rPr>
        <w:t>成交供应商</w:t>
      </w:r>
      <w:r>
        <w:rPr>
          <w:rFonts w:hint="eastAsia" w:ascii="宋体" w:hAnsi="宋体" w:eastAsia="宋体" w:cs="宋体"/>
          <w:kern w:val="2"/>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A5.3编制评标报告</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向</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提交评标报告。评标报告应当由全体</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成员签字，并于评标结束时抄送有关行政监督部门。评标报告应当包括以下内容：</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(1)基本情况和数据表；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成员名单；</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(3)开标记录；</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(4)符合要求的投标一览表；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(5)废标情况说明；</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(6)评标标准、评标方法或者评标因素一览表；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(7)经评审的价格一览表（包括</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在评标过程中所形成的所有记载评标结果、结论的表格、说明、记录等文件）；</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(8)经评审的</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排序；</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(9)推荐的</w:t>
      </w:r>
      <w:r>
        <w:rPr>
          <w:rFonts w:hint="eastAsia" w:ascii="宋体" w:hAnsi="宋体" w:eastAsia="宋体" w:cs="宋体"/>
          <w:kern w:val="2"/>
          <w:sz w:val="24"/>
          <w:szCs w:val="24"/>
          <w:lang w:eastAsia="zh-CN"/>
        </w:rPr>
        <w:t>成交候选供应商</w:t>
      </w:r>
      <w:r>
        <w:rPr>
          <w:rFonts w:hint="eastAsia" w:ascii="宋体" w:hAnsi="宋体" w:eastAsia="宋体" w:cs="宋体"/>
          <w:kern w:val="2"/>
          <w:sz w:val="24"/>
          <w:szCs w:val="24"/>
        </w:rPr>
        <w:t>名单（如果第二章“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须知”前附表授权</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直接确定</w:t>
      </w:r>
      <w:r>
        <w:rPr>
          <w:rFonts w:hint="eastAsia" w:ascii="宋体" w:hAnsi="宋体" w:eastAsia="宋体" w:cs="宋体"/>
          <w:kern w:val="2"/>
          <w:sz w:val="24"/>
          <w:szCs w:val="24"/>
          <w:lang w:eastAsia="zh-CN"/>
        </w:rPr>
        <w:t>成交供应商</w:t>
      </w:r>
      <w:r>
        <w:rPr>
          <w:rFonts w:hint="eastAsia" w:ascii="宋体" w:hAnsi="宋体" w:eastAsia="宋体" w:cs="宋体"/>
          <w:kern w:val="2"/>
          <w:sz w:val="24"/>
          <w:szCs w:val="24"/>
        </w:rPr>
        <w:t>，则为“确定的</w:t>
      </w:r>
      <w:r>
        <w:rPr>
          <w:rFonts w:hint="eastAsia" w:ascii="宋体" w:hAnsi="宋体" w:eastAsia="宋体" w:cs="宋体"/>
          <w:kern w:val="2"/>
          <w:sz w:val="24"/>
          <w:szCs w:val="24"/>
          <w:lang w:eastAsia="zh-CN"/>
        </w:rPr>
        <w:t>成交供应商</w:t>
      </w:r>
      <w:r>
        <w:rPr>
          <w:rFonts w:hint="eastAsia" w:ascii="宋体" w:hAnsi="宋体" w:eastAsia="宋体" w:cs="宋体"/>
          <w:kern w:val="2"/>
          <w:sz w:val="24"/>
          <w:szCs w:val="24"/>
        </w:rPr>
        <w:t>”）与签订合同前要处理的事宜；</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(10)澄清、说明、补正事项纪要。</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A6.特殊情况的处置程序</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A6.1暗标评审的评审程序规定（适用于对施工组织设计进行暗标评审的）</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须知”前附表第8.3款要求对施工组织设计采用“暗标”评审方式且第八章“</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格式”中对施工组织设计的编制有暗标要求，</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需对施工组织设计进行暗标评审的，则</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需将施工组织设计(暗标)评审提前到初步评审之前进行。施工组织设计评审结果封存后再进行形式评审、资格评审、响应性评审和项目管理机构评审。项目管理机构评审完成后再公开具体</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名称。</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A6.2关于评标活动暂停</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A6.2.1</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应当执行连续评标的原则，按评标办法中规定的程序、内容、方法、标准完成全部评标工作。只有发生不可抗力导致评标工作无法继续时，评标活动方可暂停。</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A6.2.2发生评标暂停情况时，</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应当封存全部</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和评标记录，待不可抗力的影响结束且具备继续评标的条件时，由原</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继续评标。</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A6.3关于评标中途更换评委</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A6.3.1除非发生下列情况之一，</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成员不得在评标中途更换：</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(l)因不可抗拒的客观原因，不能到场或需在评标中途退出评标活动。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(2)根据法律法规规定，某个或某</w:t>
      </w:r>
      <w:r>
        <w:rPr>
          <w:rFonts w:hint="eastAsia" w:ascii="宋体" w:hAnsi="宋体" w:eastAsia="宋体" w:cs="宋体"/>
          <w:kern w:val="2"/>
          <w:sz w:val="24"/>
          <w:szCs w:val="24"/>
          <w:lang w:eastAsia="zh-CN"/>
        </w:rPr>
        <w:t>几</w:t>
      </w:r>
      <w:r>
        <w:rPr>
          <w:rFonts w:hint="eastAsia" w:ascii="宋体" w:hAnsi="宋体" w:eastAsia="宋体" w:cs="宋体"/>
          <w:kern w:val="2"/>
          <w:sz w:val="24"/>
          <w:szCs w:val="24"/>
        </w:rPr>
        <w:t>个</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成员需要回避。</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A6.3.2退出评标的</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成员，其已完成的评标行为无效。由</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根据本</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规定的</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成员生产方式另行确定替代者进行评标。</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A6.4记名投票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在任何评标环节中，需</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就某项定性的评审结论做出表决的，由</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全体成员按照少数服从多数的原则，以记名投票方式表决。</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kern w:val="2"/>
          <w:sz w:val="24"/>
          <w:szCs w:val="24"/>
        </w:rPr>
      </w:pPr>
      <w:r>
        <w:rPr>
          <w:rFonts w:hint="eastAsia" w:ascii="宋体" w:hAnsi="宋体" w:eastAsia="宋体" w:cs="宋体"/>
          <w:b/>
          <w:bCs/>
          <w:kern w:val="2"/>
          <w:sz w:val="24"/>
          <w:szCs w:val="24"/>
        </w:rPr>
        <w:t>A7.补充条款</w:t>
      </w:r>
    </w:p>
    <w:p>
      <w:pPr>
        <w:keepNext w:val="0"/>
        <w:keepLines w:val="0"/>
        <w:pageBreakBefore w:val="0"/>
        <w:widowControl w:val="0"/>
        <w:kinsoku/>
        <w:wordWrap w:val="0"/>
        <w:overflowPunct/>
        <w:topLinePunct w:val="0"/>
        <w:autoSpaceDE/>
        <w:autoSpaceDN/>
        <w:bidi w:val="0"/>
        <w:jc w:val="left"/>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rPr>
        <w:br w:type="page"/>
      </w:r>
    </w:p>
    <w:p>
      <w:pPr>
        <w:keepNext w:val="0"/>
        <w:keepLines w:val="0"/>
        <w:pageBreakBefore w:val="0"/>
        <w:widowControl w:val="0"/>
        <w:kinsoku/>
        <w:wordWrap w:val="0"/>
        <w:overflowPunct/>
        <w:topLinePunct w:val="0"/>
        <w:autoSpaceDE/>
        <w:autoSpaceDN/>
        <w:bidi w:val="0"/>
        <w:adjustRightInd w:val="0"/>
        <w:snapToGrid w:val="0"/>
        <w:spacing w:line="440" w:lineRule="exact"/>
        <w:outlineLvl w:val="9"/>
        <w:rPr>
          <w:rFonts w:hint="eastAsia" w:ascii="宋体" w:hAnsi="宋体" w:eastAsia="宋体" w:cs="宋体"/>
          <w:b/>
          <w:bCs/>
          <w:kern w:val="2"/>
          <w:sz w:val="32"/>
          <w:szCs w:val="32"/>
        </w:rPr>
      </w:pPr>
      <w:r>
        <w:rPr>
          <w:rFonts w:hint="eastAsia" w:ascii="宋体" w:hAnsi="宋体" w:eastAsia="宋体" w:cs="宋体"/>
          <w:b/>
          <w:bCs/>
          <w:kern w:val="2"/>
          <w:sz w:val="32"/>
          <w:szCs w:val="32"/>
        </w:rPr>
        <w:t>附件B：废标条件</w:t>
      </w:r>
    </w:p>
    <w:p>
      <w:pPr>
        <w:keepNext w:val="0"/>
        <w:keepLines w:val="0"/>
        <w:pageBreakBefore w:val="0"/>
        <w:widowControl w:val="0"/>
        <w:kinsoku/>
        <w:wordWrap w:val="0"/>
        <w:overflowPunct/>
        <w:topLinePunct w:val="0"/>
        <w:autoSpaceDE/>
        <w:autoSpaceDN/>
        <w:bidi w:val="0"/>
        <w:adjustRightInd w:val="0"/>
        <w:snapToGrid w:val="0"/>
        <w:spacing w:before="157" w:beforeLines="50" w:after="157" w:afterLines="50" w:line="440" w:lineRule="exact"/>
        <w:ind w:firstLine="643" w:firstLineChars="200"/>
        <w:jc w:val="center"/>
        <w:textAlignment w:val="auto"/>
        <w:outlineLvl w:val="9"/>
        <w:rPr>
          <w:rFonts w:hint="eastAsia" w:ascii="宋体" w:hAnsi="宋体" w:eastAsia="宋体" w:cs="宋体"/>
          <w:b/>
          <w:bCs/>
          <w:kern w:val="2"/>
          <w:sz w:val="32"/>
          <w:szCs w:val="32"/>
        </w:rPr>
      </w:pPr>
      <w:r>
        <w:rPr>
          <w:rFonts w:hint="eastAsia" w:ascii="宋体" w:hAnsi="宋体" w:eastAsia="宋体" w:cs="宋体"/>
          <w:b/>
          <w:bCs/>
          <w:kern w:val="2"/>
          <w:sz w:val="32"/>
          <w:szCs w:val="32"/>
        </w:rPr>
        <w:t>废标条件</w:t>
      </w:r>
    </w:p>
    <w:p>
      <w:pPr>
        <w:keepNext w:val="0"/>
        <w:keepLines w:val="0"/>
        <w:pageBreakBefore w:val="0"/>
        <w:widowControl w:val="0"/>
        <w:kinsoku/>
        <w:wordWrap w:val="0"/>
        <w:overflowPunct/>
        <w:topLinePunct w:val="0"/>
        <w:autoSpaceDE/>
        <w:autoSpaceDN/>
        <w:bidi w:val="0"/>
        <w:adjustRightInd w:val="0"/>
        <w:snapToGrid w:val="0"/>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rPr>
        <w:t>B0.总则</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本附件所集中列示的废标条件，是本章“评标办法”的组成部分，是对第二章“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须知”和本章正文部分所规定的废标条件的总结和补充，如果出现相互矛盾的情况，以第二章“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须知”和本章正文部分的规定为准。</w:t>
      </w:r>
    </w:p>
    <w:p>
      <w:pPr>
        <w:keepNext w:val="0"/>
        <w:keepLines w:val="0"/>
        <w:pageBreakBefore w:val="0"/>
        <w:widowControl w:val="0"/>
        <w:kinsoku/>
        <w:wordWrap w:val="0"/>
        <w:overflowPunct/>
        <w:topLinePunct w:val="0"/>
        <w:autoSpaceDE/>
        <w:autoSpaceDN/>
        <w:bidi w:val="0"/>
        <w:adjustRightInd w:val="0"/>
        <w:snapToGrid w:val="0"/>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rPr>
        <w:t>B1．废标条件</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或其</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有下列情形之一的，其投标作废标处理：</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kern w:val="2"/>
          <w:sz w:val="24"/>
          <w:szCs w:val="24"/>
        </w:rPr>
      </w:pPr>
      <w:r>
        <w:rPr>
          <w:rFonts w:hint="eastAsia" w:ascii="宋体" w:hAnsi="宋体" w:eastAsia="宋体" w:cs="宋体"/>
          <w:b/>
          <w:kern w:val="2"/>
          <w:sz w:val="24"/>
          <w:szCs w:val="24"/>
        </w:rPr>
        <w:t>B1.1</w:t>
      </w:r>
      <w:r>
        <w:rPr>
          <w:rFonts w:hint="eastAsia" w:ascii="宋体" w:hAnsi="宋体" w:eastAsia="宋体" w:cs="宋体"/>
          <w:kern w:val="2"/>
          <w:sz w:val="24"/>
          <w:szCs w:val="24"/>
        </w:rPr>
        <w:t>有第二章“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须知”第</w:t>
      </w:r>
      <w:r>
        <w:rPr>
          <w:rFonts w:hint="eastAsia" w:ascii="宋体" w:hAnsi="宋体" w:eastAsia="宋体" w:cs="宋体"/>
          <w:kern w:val="2"/>
          <w:sz w:val="24"/>
          <w:szCs w:val="24"/>
          <w:lang w:val="en-US" w:eastAsia="zh-CN"/>
        </w:rPr>
        <w:t>1.4.3</w:t>
      </w:r>
      <w:r>
        <w:rPr>
          <w:rFonts w:hint="eastAsia" w:ascii="宋体" w:hAnsi="宋体" w:eastAsia="宋体" w:cs="宋体"/>
          <w:kern w:val="2"/>
          <w:sz w:val="24"/>
          <w:szCs w:val="24"/>
        </w:rPr>
        <w:t>项规定的任何一种情形的。</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kern w:val="2"/>
          <w:sz w:val="24"/>
          <w:szCs w:val="24"/>
        </w:rPr>
      </w:pPr>
      <w:r>
        <w:rPr>
          <w:rFonts w:hint="eastAsia" w:ascii="宋体" w:hAnsi="宋体" w:eastAsia="宋体" w:cs="宋体"/>
          <w:b/>
          <w:kern w:val="2"/>
          <w:sz w:val="24"/>
          <w:szCs w:val="24"/>
        </w:rPr>
        <w:t>B1.2</w:t>
      </w:r>
      <w:r>
        <w:rPr>
          <w:rFonts w:hint="eastAsia" w:ascii="宋体" w:hAnsi="宋体" w:eastAsia="宋体" w:cs="宋体"/>
          <w:kern w:val="2"/>
          <w:sz w:val="24"/>
          <w:szCs w:val="24"/>
        </w:rPr>
        <w:t>有串通投标或弄虚作假或有其他违法行为的。</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kern w:val="2"/>
          <w:sz w:val="24"/>
          <w:szCs w:val="24"/>
        </w:rPr>
      </w:pPr>
      <w:r>
        <w:rPr>
          <w:rFonts w:hint="eastAsia" w:ascii="宋体" w:hAnsi="宋体" w:eastAsia="宋体" w:cs="宋体"/>
          <w:b/>
          <w:kern w:val="2"/>
          <w:sz w:val="24"/>
          <w:szCs w:val="24"/>
        </w:rPr>
        <w:t>B1.3</w:t>
      </w:r>
      <w:r>
        <w:rPr>
          <w:rFonts w:hint="eastAsia" w:ascii="宋体" w:hAnsi="宋体" w:eastAsia="宋体" w:cs="宋体"/>
          <w:kern w:val="2"/>
          <w:sz w:val="24"/>
          <w:szCs w:val="24"/>
        </w:rPr>
        <w:t>不按</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要求澄清、说明或补正的。</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kern w:val="2"/>
          <w:sz w:val="24"/>
          <w:szCs w:val="24"/>
        </w:rPr>
      </w:pPr>
      <w:r>
        <w:rPr>
          <w:rFonts w:hint="eastAsia" w:ascii="宋体" w:hAnsi="宋体" w:eastAsia="宋体" w:cs="宋体"/>
          <w:b/>
          <w:kern w:val="2"/>
          <w:sz w:val="24"/>
          <w:szCs w:val="24"/>
        </w:rPr>
        <w:t>B1.4</w:t>
      </w:r>
      <w:r>
        <w:rPr>
          <w:rFonts w:hint="eastAsia" w:ascii="宋体" w:hAnsi="宋体" w:eastAsia="宋体" w:cs="宋体"/>
          <w:kern w:val="2"/>
          <w:sz w:val="24"/>
          <w:szCs w:val="24"/>
        </w:rPr>
        <w:t>在形式评审、资格评审(适用于未进行资格预审的)、响应性评审中，</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认定</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的投标不符合评标办法前附表中规定的任何一项评审标准的。</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kern w:val="2"/>
          <w:sz w:val="24"/>
          <w:szCs w:val="24"/>
        </w:rPr>
      </w:pPr>
      <w:r>
        <w:rPr>
          <w:rFonts w:hint="eastAsia" w:ascii="宋体" w:hAnsi="宋体" w:eastAsia="宋体" w:cs="宋体"/>
          <w:b/>
          <w:kern w:val="2"/>
          <w:sz w:val="24"/>
          <w:szCs w:val="24"/>
        </w:rPr>
        <w:t>B1.5</w:t>
      </w:r>
      <w:r>
        <w:rPr>
          <w:rFonts w:hint="eastAsia" w:ascii="宋体" w:hAnsi="宋体" w:eastAsia="宋体" w:cs="宋体"/>
          <w:kern w:val="2"/>
          <w:sz w:val="24"/>
          <w:szCs w:val="24"/>
        </w:rPr>
        <w:t>当</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资格预审申请文件的内容发生重大变化时，其在</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中更新的资料，未能通过资格评审的(适用于已进行资格预审的)。</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kern w:val="2"/>
          <w:sz w:val="24"/>
          <w:szCs w:val="24"/>
        </w:rPr>
      </w:pPr>
      <w:r>
        <w:rPr>
          <w:rFonts w:hint="eastAsia" w:ascii="宋体" w:hAnsi="宋体" w:eastAsia="宋体" w:cs="宋体"/>
          <w:b/>
          <w:kern w:val="2"/>
          <w:sz w:val="24"/>
          <w:szCs w:val="24"/>
        </w:rPr>
        <w:t>B1.6</w:t>
      </w:r>
      <w:r>
        <w:rPr>
          <w:rFonts w:hint="eastAsia" w:ascii="宋体" w:hAnsi="宋体" w:eastAsia="宋体" w:cs="宋体"/>
          <w:kern w:val="2"/>
          <w:sz w:val="24"/>
          <w:szCs w:val="24"/>
        </w:rPr>
        <w:t>投标报价文件(投标函除外)未经有资格的工程造价专业人员签字并加盖执业专用章（电子扫描件）的；</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kern w:val="2"/>
          <w:sz w:val="24"/>
          <w:szCs w:val="24"/>
        </w:rPr>
      </w:pPr>
      <w:r>
        <w:rPr>
          <w:rFonts w:hint="eastAsia" w:ascii="宋体" w:hAnsi="宋体" w:eastAsia="宋体" w:cs="宋体"/>
          <w:b/>
          <w:kern w:val="2"/>
          <w:sz w:val="24"/>
          <w:szCs w:val="24"/>
        </w:rPr>
        <w:t>B1.7</w:t>
      </w:r>
      <w:r>
        <w:rPr>
          <w:rFonts w:hint="eastAsia" w:ascii="宋体" w:hAnsi="宋体" w:eastAsia="宋体" w:cs="宋体"/>
          <w:kern w:val="2"/>
          <w:sz w:val="24"/>
          <w:szCs w:val="24"/>
        </w:rPr>
        <w:t>在施工组织设计和项目管理机构评审中，</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认定</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的投标未能通过此项评审的。</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kern w:val="2"/>
          <w:sz w:val="24"/>
          <w:szCs w:val="24"/>
        </w:rPr>
      </w:pPr>
      <w:r>
        <w:rPr>
          <w:rFonts w:hint="eastAsia" w:ascii="宋体" w:hAnsi="宋体" w:eastAsia="宋体" w:cs="宋体"/>
          <w:b/>
          <w:kern w:val="2"/>
          <w:sz w:val="24"/>
          <w:szCs w:val="24"/>
        </w:rPr>
        <w:t>B1.8</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认定</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以低于成本报价竞标的。</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kern w:val="2"/>
          <w:sz w:val="24"/>
          <w:szCs w:val="24"/>
        </w:rPr>
      </w:pPr>
      <w:r>
        <w:rPr>
          <w:rFonts w:hint="eastAsia" w:ascii="宋体" w:hAnsi="宋体" w:eastAsia="宋体" w:cs="宋体"/>
          <w:b/>
          <w:kern w:val="2"/>
          <w:sz w:val="24"/>
          <w:szCs w:val="24"/>
        </w:rPr>
        <w:t>B1.9</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未按第二章“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须知”第10.</w:t>
      </w:r>
      <w:r>
        <w:rPr>
          <w:rFonts w:hint="eastAsia" w:ascii="宋体" w:hAnsi="宋体" w:eastAsia="宋体" w:cs="宋体"/>
          <w:kern w:val="2"/>
          <w:sz w:val="24"/>
          <w:szCs w:val="24"/>
          <w:lang w:val="en-US" w:eastAsia="zh-CN"/>
        </w:rPr>
        <w:t>1</w:t>
      </w:r>
      <w:r>
        <w:rPr>
          <w:rFonts w:hint="eastAsia" w:ascii="宋体" w:hAnsi="宋体" w:eastAsia="宋体" w:cs="宋体"/>
          <w:kern w:val="2"/>
          <w:sz w:val="24"/>
          <w:szCs w:val="24"/>
        </w:rPr>
        <w:t>款规定出席开标会的。</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rPr>
        <w:t>B1.10</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w:t>
      </w:r>
    </w:p>
    <w:p>
      <w:pPr>
        <w:keepNext w:val="0"/>
        <w:keepLines w:val="0"/>
        <w:pageBreakBefore w:val="0"/>
        <w:widowControl w:val="0"/>
        <w:kinsoku/>
        <w:wordWrap w:val="0"/>
        <w:overflowPunct/>
        <w:topLinePunct w:val="0"/>
        <w:autoSpaceDE/>
        <w:autoSpaceDN/>
        <w:bidi w:val="0"/>
        <w:adjustRightInd w:val="0"/>
        <w:snapToGrid w:val="0"/>
        <w:spacing w:line="440" w:lineRule="exact"/>
        <w:textAlignment w:val="auto"/>
        <w:outlineLvl w:val="9"/>
        <w:rPr>
          <w:rFonts w:hint="eastAsia" w:ascii="宋体" w:hAnsi="宋体" w:eastAsia="宋体" w:cs="宋体"/>
          <w:kern w:val="2"/>
          <w:sz w:val="24"/>
          <w:szCs w:val="24"/>
        </w:rPr>
      </w:pPr>
    </w:p>
    <w:p>
      <w:pPr>
        <w:keepNext w:val="0"/>
        <w:keepLines w:val="0"/>
        <w:pageBreakBefore w:val="0"/>
        <w:widowControl w:val="0"/>
        <w:kinsoku/>
        <w:wordWrap w:val="0"/>
        <w:overflowPunct/>
        <w:topLinePunct w:val="0"/>
        <w:autoSpaceDE/>
        <w:autoSpaceDN/>
        <w:bidi w:val="0"/>
        <w:spacing w:line="440" w:lineRule="exact"/>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备注：如果工程所在地管理规定要求</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对判定为废标的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说明废标情况的，应增加“废标情况说明表”格式，废标情况说明应当对照</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规定的废标条件以及</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存在的具体问题。</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br w:type="page"/>
      </w:r>
    </w:p>
    <w:p>
      <w:pPr>
        <w:keepNext w:val="0"/>
        <w:keepLines w:val="0"/>
        <w:pageBreakBefore w:val="0"/>
        <w:widowControl w:val="0"/>
        <w:kinsoku/>
        <w:wordWrap w:val="0"/>
        <w:overflowPunct/>
        <w:topLinePunct w:val="0"/>
        <w:autoSpaceDE/>
        <w:autoSpaceDN/>
        <w:bidi w:val="0"/>
        <w:adjustRightInd w:val="0"/>
        <w:snapToGrid w:val="0"/>
        <w:spacing w:line="440" w:lineRule="exact"/>
        <w:outlineLvl w:val="9"/>
        <w:rPr>
          <w:rFonts w:hint="eastAsia" w:ascii="宋体" w:hAnsi="宋体" w:eastAsia="宋体" w:cs="宋体"/>
          <w:b/>
          <w:bCs/>
          <w:kern w:val="2"/>
          <w:sz w:val="32"/>
          <w:szCs w:val="32"/>
        </w:rPr>
      </w:pPr>
      <w:r>
        <w:rPr>
          <w:rFonts w:hint="eastAsia" w:ascii="宋体" w:hAnsi="宋体" w:eastAsia="宋体" w:cs="宋体"/>
          <w:b/>
          <w:bCs/>
          <w:kern w:val="2"/>
          <w:sz w:val="32"/>
          <w:szCs w:val="32"/>
        </w:rPr>
        <w:t>附件C：</w:t>
      </w:r>
      <w:r>
        <w:rPr>
          <w:rFonts w:hint="eastAsia" w:ascii="宋体" w:hAnsi="宋体" w:eastAsia="宋体" w:cs="宋体"/>
          <w:b/>
          <w:bCs/>
          <w:kern w:val="2"/>
          <w:sz w:val="32"/>
          <w:szCs w:val="32"/>
          <w:lang w:eastAsia="zh-CN"/>
        </w:rPr>
        <w:t>供应商</w:t>
      </w:r>
      <w:r>
        <w:rPr>
          <w:rFonts w:hint="eastAsia" w:ascii="宋体" w:hAnsi="宋体" w:eastAsia="宋体" w:cs="宋体"/>
          <w:b/>
          <w:bCs/>
          <w:kern w:val="2"/>
          <w:sz w:val="32"/>
          <w:szCs w:val="32"/>
        </w:rPr>
        <w:t>成本评审办法</w:t>
      </w:r>
    </w:p>
    <w:p>
      <w:pPr>
        <w:keepNext w:val="0"/>
        <w:keepLines w:val="0"/>
        <w:pageBreakBefore w:val="0"/>
        <w:widowControl w:val="0"/>
        <w:kinsoku/>
        <w:wordWrap w:val="0"/>
        <w:overflowPunct/>
        <w:topLinePunct w:val="0"/>
        <w:autoSpaceDE/>
        <w:autoSpaceDN/>
        <w:bidi w:val="0"/>
        <w:adjustRightInd w:val="0"/>
        <w:snapToGrid w:val="0"/>
        <w:spacing w:before="157" w:beforeLines="50" w:after="157" w:afterLines="50" w:line="440" w:lineRule="exact"/>
        <w:jc w:val="center"/>
        <w:textAlignment w:val="auto"/>
        <w:outlineLvl w:val="9"/>
        <w:rPr>
          <w:rFonts w:hint="eastAsia" w:ascii="宋体" w:hAnsi="宋体" w:eastAsia="宋体" w:cs="宋体"/>
          <w:kern w:val="2"/>
          <w:sz w:val="24"/>
          <w:szCs w:val="24"/>
        </w:rPr>
      </w:pPr>
      <w:r>
        <w:rPr>
          <w:rFonts w:hint="eastAsia" w:ascii="宋体" w:hAnsi="宋体" w:eastAsia="宋体" w:cs="宋体"/>
          <w:b/>
          <w:bCs/>
          <w:kern w:val="2"/>
          <w:sz w:val="32"/>
          <w:szCs w:val="32"/>
          <w:lang w:eastAsia="zh-CN"/>
        </w:rPr>
        <w:t>供应商</w:t>
      </w:r>
      <w:r>
        <w:rPr>
          <w:rFonts w:hint="eastAsia" w:ascii="宋体" w:hAnsi="宋体" w:eastAsia="宋体" w:cs="宋体"/>
          <w:b/>
          <w:bCs/>
          <w:kern w:val="2"/>
          <w:sz w:val="32"/>
          <w:szCs w:val="32"/>
        </w:rPr>
        <w:t>成本评审办法</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eastAsia="zh-CN"/>
        </w:rPr>
        <w:t>C</w:t>
      </w:r>
      <w:r>
        <w:rPr>
          <w:rFonts w:hint="eastAsia" w:ascii="宋体" w:hAnsi="宋体" w:eastAsia="宋体" w:cs="宋体"/>
          <w:b/>
          <w:bCs/>
          <w:kern w:val="2"/>
          <w:sz w:val="24"/>
          <w:szCs w:val="24"/>
        </w:rPr>
        <w:t>0.总则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本附件是本章“评标办法”的组成部分，</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按照本章综合评估法的规定，对</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投标报价是否低于其成本进行评审和判断时，适用本附件所规定的办法。</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1.评审程序</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1.1启动成本评审工作的前提条件</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在满足下列两项条件的前提下，</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应当启动并进行本办法所规定的评审，以判别</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的投标报价是否低于其成本：</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C</w:t>
      </w:r>
      <w:r>
        <w:rPr>
          <w:rFonts w:hint="eastAsia" w:ascii="宋体" w:hAnsi="宋体" w:eastAsia="宋体" w:cs="宋体"/>
          <w:kern w:val="2"/>
          <w:sz w:val="24"/>
          <w:szCs w:val="24"/>
        </w:rPr>
        <w:t>1.1.1</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已经通过本章“评标办法”规定的“初步评审”，不存在应当废标的情形；</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C</w:t>
      </w:r>
      <w:r>
        <w:rPr>
          <w:rFonts w:hint="eastAsia" w:ascii="宋体" w:hAnsi="宋体" w:eastAsia="宋体" w:cs="宋体"/>
          <w:kern w:val="2"/>
          <w:sz w:val="24"/>
          <w:szCs w:val="24"/>
        </w:rPr>
        <w:t>1.1.2</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的投标报价低于（不含）以下限度的：</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说明：（1）设有标底或者招标控制价时以标底或者招标控制价为基准设立下浮限度。（2）既不设招标控制价又不设标底的，可以有效投标报价的算术平均值为基准设立下浮限度。具体限度视工程所在地和招标项目具体情况，在本附件中规定。但此处的下限仅作为启动成本评审工作的警戒线，不得直接认定废标。）</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1.2对投标价格的合理性进行评审</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结合清标成果，对各个投标价格和影响投标价格合理性的以下因素逐一进行分析，并修正其中任何可能存在的错误和不合理内容：</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（1）算术性错误分析和修正；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（2）错漏项分析和修正；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（3）分部分项工程量清单部分价格合理性分析和修正：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（4）措施项目清单和其他项目清单部分价格合理性分析和修正；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（5）企业管理费合理性分析和修正；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（6）利润水平合理性分析和修正；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（7）法定税金和规费的完整性分析和修正；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（8）不平衡报价分析和修正。</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1.3澄清、说明或补正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汇总对投标报价的疑问，启动“澄清、说明或补正”程序，发出问题澄清通知并附上质疑问卷，要求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进行澄清和说明并提交有关证明材料。</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1.4判断投标报价是否低于其成本</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根据</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澄清和说明的结果，计算出对</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投标报价进行合理化修正后所产生的最终差额，判断</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的投标报价是否低于其成本。</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2.评审的依据</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判断</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的投标报价是否低于其成本，所参考的评审依据包括：</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（2）标底或招标控制价（如果有）；</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（3）施工组织设计；</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（4）</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已标价的工程量清单；</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（5）工程所在地工程造价管理部门颁布的工程造价信息（如果有）；</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（6）工程所在地市场价格水平；</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（7）工程所在地工程造价管理部门颁布的定额或</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企业定额；</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（8）经审计的企业近三年财务报表；</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（9）</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所附其他证明资料；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（10）法律法规允许的和</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规定的参考依据等。</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3.算术性错误分析和修正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对已标价工程量清单进行逐项分析，根据本章第3.1.3项规定的原则，对投标报价中的算术性错误进行修正，按附表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-1的格式记录分析和修正的结果。</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汇总修正结果，将经修正后产生的价格差额记为A值（此值应为代数值，修正结果表明理论上应当增加</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的投标报价（投标总价）的修正差额记为正值，反之记为负值，下同），同时整理需要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澄清和说明的事项。</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4.错漏项分析和修正</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4.1错漏项分析和修正的原则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分析</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已标价工程量清单，列出其中错报或漏报的子目，并按以下原则进行修正：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递交的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中有相同的并且</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已经给出合适报价的子目，则按该相同子目的价格对错漏项报价进行修正；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递交的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中有相似的并且</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已经给出合适报价的子目，则按该相似子目的报价为基础，考虑该相似子目与错漏项之间的差异而进行适当调整后的价格对错漏项报价进行修正；</w:t>
      </w:r>
    </w:p>
    <w:p>
      <w:pPr>
        <w:keepNext w:val="0"/>
        <w:keepLines w:val="0"/>
        <w:pageBreakBefore w:val="0"/>
        <w:widowControl w:val="0"/>
        <w:kinsoku/>
        <w:wordWrap w:val="0"/>
        <w:overflowPunct/>
        <w:topLinePunct w:val="0"/>
        <w:autoSpaceDE/>
        <w:autoSpaceDN/>
        <w:bidi w:val="0"/>
        <w:adjustRightInd/>
        <w:snapToGrid/>
        <w:spacing w:line="440" w:lineRule="exact"/>
        <w:ind w:firstLine="504" w:firstLineChars="200"/>
        <w:textAlignment w:val="auto"/>
        <w:outlineLvl w:val="9"/>
        <w:rPr>
          <w:rFonts w:hint="eastAsia" w:ascii="宋体" w:hAnsi="宋体" w:eastAsia="宋体" w:cs="宋体"/>
          <w:kern w:val="2"/>
          <w:sz w:val="24"/>
          <w:szCs w:val="24"/>
        </w:rPr>
      </w:pPr>
      <w:r>
        <w:rPr>
          <w:rFonts w:hint="eastAsia" w:ascii="宋体" w:hAnsi="宋体" w:eastAsia="宋体" w:cs="宋体"/>
          <w:spacing w:val="6"/>
          <w:kern w:val="2"/>
          <w:sz w:val="24"/>
          <w:szCs w:val="24"/>
        </w:rPr>
        <w:t>如果做不到以上两点，则按标底（如果有）中的相应价格为基础对错漏项报价进行修</w:t>
      </w:r>
      <w:r>
        <w:rPr>
          <w:rFonts w:hint="eastAsia" w:ascii="宋体" w:hAnsi="宋体" w:eastAsia="宋体" w:cs="宋体"/>
          <w:kern w:val="2"/>
          <w:sz w:val="24"/>
          <w:szCs w:val="24"/>
        </w:rPr>
        <w:t>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如果没有标底或者标底中也没有相同或相似价格作为参考，</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可以要求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在澄清和说明时给出相应的修正价格。此时</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应对此类价格的合理性进行分析，</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可以在分析的基础上要求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进一步澄清和说明，</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也可以按不利于该</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的原则，以其他有效投标报价中该项最高报价作为修正价格；</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对超出招标范围报价的子目，则直接删除该子目的价格。</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4.2错漏项分析和修正的方法</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错漏项分析和修正的方法如下：</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根据上述原则，修正错报和补充漏报子目的价格；</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填写附表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-2，计算经修正或补充后产生的价格差额。汇总上述结果，将经修正后产生的价格差额记为B值，并明确需要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澄清和说明的事项。</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5.分部分项工程量清单部分价格合理性分析和修正</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5.1分部分项工程量清单部分价格分析和修正的原则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分部分项工程量清单部分价格分析和修正的原则如下：</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递交的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中有相同的并且</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已经给出合适报价的子目，则按该相同子目的价格对</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认为不合理报价子目的报价进行修正；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递交的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中有相似的并且</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已经给出合适报价的子目，则按该相似子目的报价为基础，考虑该相似子目与不合理子目之间的差异而进行适当调整后的价格对</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认为不合理报价子目的报价进行修正；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如果做不到以上两点，则按标底（如果有）中的相应价格为基础对</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认为不合理报价子目的报价进行修正；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如果没有标底或者标底中也没有相同或相似价格作为参考，</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可以要求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在澄清和说明时给出相应的修正价格。此时</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应对此类价格的合理性进行分析，并在分析的基础上要求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进一步澄清和说明（如果</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认为需要）。</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5.2分部分项工程量清单部分价格分析和修正的方法</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分部分项工程量清单部分价格分析和修正的方法如下：</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按附表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-3的格式对与市场价格水平存在明显差异的子目进行逐项分析、修正：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计算修正后的差额，汇总分析结果，将经修正后产生的价格差额记为C值，同时整理需要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澄清和说明的事项。</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6.措施项目清单和其他项目清单部分价格合理性分析和修正</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6.1措施项目清单和其他项目清单部分分析和修正的原则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措施项目清单和其他项目清单部分分析和修正的原则如下：</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措施项目清单报价中的资源投入数量不正确或不合理的，按照</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递交的施工组织设计中明确的或者可以通过施工组织设计中给出的相关数据计算出来的计划投入的资源数量（如临时设施、拟派现场管理人员流量计划、施工机械设备投入计划等）修正措施项目清单报价中不合理的资源投入数量；</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措施项目清单报价中的资源和生产要素价格不合理的，如果</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递交的</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中有相似的并且</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已经给出合适报价的子目，则按该相似子目的报价为基础，考虑该相似子目与不合理报价子目之间的差异而进行适当调整后的价格对不合理报价子目的资源或生产要素的价格进行修正；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其他情况下，按标底（如果有）中的相应价格为基础对措施项目和其他项目清单中的不合理报价进行修正；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如果没有标底或者标底中也没有相同或相似价格作为参考，</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可以要求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在澄清和说明时给出相应的修正价格。此时</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应对此类价格的合理性进行分析，并在分析的基础上要求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进一步澄清和说明（如果</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认为需要）；</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对于按照</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不应当报价的子目，则直接删除该子目的价格。</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6.2措施项目清单和其他项目清单部分分析和修正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措施项目清单和其他项目清单部分分析和修正的方法如下：</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按附表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-4格式对措施项目清单和其他项目清单进行逐项分析、修正；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计算修正后的差额，汇总分析结果，将经修正后产生的价格差额记为</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值，同时整理需要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澄清和说明的事项。</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7.企业管理费合理性分析和修正</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7.1企业管理费分析和修正的原则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企业管理费分析和修正的原则如下：</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按</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经审计的企业近三年财务报表中的相关数据计算出</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企业实际的管理费率（近三年企业管理费总额的平均值与近三年完成产值的平均值之间的比例）并以此对投标价格中明显不合理的企业管理费率进行修正；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企业管理费率明显不合理并且做不到前项时，按其他通过初步评审的各家</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的企业管理费率以及标底（如果有）中的企业管理费率的平均费率为准进行修正；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分部分项工程量清单和措施项目清单综合单价分析表中的企业管理费率与费率报价表（如果有）报出的企业管理费率不一致的，以费率报价表（如果有）报出的企业管理费率为准进行修正（但如果费率报价表中的费率明显不合理时，应执行根据上述原则修正后的管理费率）。</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7.2 企业管理费分析和修正的方法</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企业管理费分析和修正的方法如下：</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按附表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-5的格式进行分析和修正；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汇总分析结果，将经修正后产生的价格差额记为E值，同时整理需要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澄清和说明的事项。</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8.利润水平合理性分析和修正</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8.1利润水平分析和修正的原则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利润水平分析和修正的原则如下：</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按国有资产管理部门对</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下达的国有资产增值保值率或</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公司董事会或股东会要求的企业净资产收益率或股本收益率对投标价格中明显不合理的利润率进行修正；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利润率明显不合理并且做不到前项时，按其他通过初步评审的各家</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的利润率以及标底（如果有）中的利润率的平均费率为准进行修正；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分部分项工程量清单和措施项目清单综合单价分析表中的利润率与费率报价表（如果有）报出的利润率不一致的，以费率报价表（如果有）报出的利润率为准进行修正（但如果费率报价表中的费率明显不合理时，应执行根据上述原则修正后的利润率）。</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8.2利润水平分析和修正的方法</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利润水平分析和修正的方法如下：</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按附表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-5的格式进行分析和修正；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汇总分析结果，将经修正后产生的价格差额记为F值，同时整理需要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澄清和说明的事项。</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9.法定税金和规费的完整性分析和修正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根据投标价格分析出其中法定税金和规费的百分比，对照现行有关法律、法规规定的额度或比率，对投标报价进行分析和修正。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按附表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-5的格式进行分析和修正；将经修正后产生的价格差额记为G值，整理需要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澄清和说明的事项。</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10.不平衡报价分析和修正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评审各项单价的合理性以及是否存在不平衡报价的情况，对明显过高或过低的价格进行分析。</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按附表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-6汇总分析结果，修正明显过高的价格产生的差额，首先用于填补修正过低的价格产生的差额，两者的余额记为H值，整理需要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澄清和说明的事项。</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C</w:t>
      </w:r>
      <w:r>
        <w:rPr>
          <w:rFonts w:hint="eastAsia" w:ascii="宋体" w:hAnsi="宋体" w:eastAsia="宋体" w:cs="宋体"/>
          <w:kern w:val="2"/>
          <w:sz w:val="24"/>
          <w:szCs w:val="24"/>
        </w:rPr>
        <w:t>11.对投标报价的澄清和说明</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对上述</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3至</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10条的评审结果进行汇总和整理。以其各自的代数值汇总A值至H值，得出合计差额Δ1（附表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-7），并整理出需要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澄清和说明的全部事项。如果</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存在需要补正的问题，</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可以同时要求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进行补正。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应当根据本章第3.3款的规定，对需要</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澄清、说明和提供进一步证明的事项向</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发出书面问题澄清通知，并附上质疑问卷，问题澄清通知和质疑问卷应当包括：质疑问题、有关澄清要求、需要书面回复的内容、回复时间（应给</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留出足够的回复时间）、递交方式等。</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的澄清、说明、补正和提供进一步证明应当采取书面形式。如果</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对</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提交的质疑问题的澄清和说明依然存在疑问，</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可以进一步要求澄清、说明或补正，</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应相应地进一步澄清、说明和提交相关证明材料，直至</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认为全部疑问都得到澄清和说明。</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根据澄清和说明结果，对于</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已经有效澄清和说明的问题和子目应从上述A值至H值的计算中剔除或修正，按附表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-7格式修正A值至H值并计算最终差额Δ2。本款中所谓的“有效澄清”是指</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做出的澄清和说明已经合理地解释或说明了</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提出的问题并且澄清结果令</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信服。</w:t>
      </w:r>
    </w:p>
    <w:p>
      <w:pPr>
        <w:keepNext w:val="0"/>
        <w:keepLines w:val="0"/>
        <w:pageBreakBefore w:val="0"/>
        <w:widowControl w:val="0"/>
        <w:kinsoku/>
        <w:wordWrap w:val="0"/>
        <w:overflowPunct/>
        <w:topLinePunct w:val="0"/>
        <w:autoSpaceDE/>
        <w:autoSpaceDN/>
        <w:bidi w:val="0"/>
        <w:adjustRightInd/>
        <w:snapToGrid/>
        <w:spacing w:line="440" w:lineRule="exact"/>
        <w:ind w:firstLine="482" w:firstLineChars="200"/>
        <w:textAlignment w:val="auto"/>
        <w:outlineLvl w:val="9"/>
        <w:rPr>
          <w:rFonts w:hint="eastAsia" w:ascii="宋体" w:hAnsi="宋体" w:eastAsia="宋体" w:cs="宋体"/>
          <w:b/>
          <w:kern w:val="2"/>
          <w:sz w:val="24"/>
          <w:szCs w:val="24"/>
        </w:rPr>
      </w:pPr>
      <w:r>
        <w:rPr>
          <w:rFonts w:hint="eastAsia" w:ascii="宋体" w:hAnsi="宋体" w:eastAsia="宋体" w:cs="宋体"/>
          <w:b/>
          <w:kern w:val="2"/>
          <w:sz w:val="24"/>
          <w:szCs w:val="24"/>
          <w:lang w:eastAsia="zh-CN"/>
        </w:rPr>
        <w:t>C</w:t>
      </w:r>
      <w:r>
        <w:rPr>
          <w:rFonts w:hint="eastAsia" w:ascii="宋体" w:hAnsi="宋体" w:eastAsia="宋体" w:cs="宋体"/>
          <w:b/>
          <w:kern w:val="2"/>
          <w:sz w:val="24"/>
          <w:szCs w:val="24"/>
        </w:rPr>
        <w:t>12.判断投标报价是否低于成本</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应按照附表</w:t>
      </w:r>
      <w:r>
        <w:rPr>
          <w:rFonts w:hint="eastAsia" w:ascii="宋体" w:hAnsi="宋体" w:eastAsia="宋体" w:cs="宋体"/>
          <w:kern w:val="2"/>
          <w:sz w:val="24"/>
          <w:szCs w:val="24"/>
          <w:lang w:eastAsia="zh-CN"/>
        </w:rPr>
        <w:t>C</w:t>
      </w:r>
      <w:r>
        <w:rPr>
          <w:rFonts w:hint="eastAsia" w:ascii="宋体" w:hAnsi="宋体" w:eastAsia="宋体" w:cs="宋体"/>
          <w:kern w:val="2"/>
          <w:sz w:val="24"/>
          <w:szCs w:val="24"/>
        </w:rPr>
        <w:t>-8的格式填写评审结论记录表，以最终差额Δ2与</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投标价格中标明的利润额（如标明的是利润率，以利润率乘以其计取基数，下同）进行比较并得出如下结论：</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如果最终差额Δ2（代数值）小于或等于</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的利润额，则表明该</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的投标报价不低于成本。</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如果最终差额Δ2是正值且大于（不含等于）</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报价中的利润额，则</w:t>
      </w:r>
      <w:r>
        <w:rPr>
          <w:rFonts w:hint="eastAsia" w:ascii="宋体" w:hAnsi="宋体" w:eastAsia="宋体" w:cs="宋体"/>
          <w:kern w:val="2"/>
          <w:sz w:val="24"/>
          <w:szCs w:val="24"/>
          <w:lang w:eastAsia="zh-CN"/>
        </w:rPr>
        <w:t>磋商小组</w:t>
      </w:r>
      <w:r>
        <w:rPr>
          <w:rFonts w:hint="eastAsia" w:ascii="宋体" w:hAnsi="宋体" w:eastAsia="宋体" w:cs="宋体"/>
          <w:kern w:val="2"/>
          <w:sz w:val="24"/>
          <w:szCs w:val="24"/>
        </w:rPr>
        <w:t>将根据本章第3.2.2（综合评估法为3.2.4）项的规定认定该</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以低于其成本报价竞标，其投标作废标处理。</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备注:各地可根据本地区实际情况，不断丰富完善</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成本评审办法。</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rPr>
      </w:pPr>
      <w:r>
        <w:rPr>
          <w:rFonts w:hint="eastAsia" w:ascii="宋体" w:hAnsi="宋体" w:eastAsia="宋体" w:cs="宋体"/>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附表C-l：算术错误分析及修正记录表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b/>
          <w:bCs/>
          <w:sz w:val="32"/>
          <w:szCs w:val="32"/>
        </w:rPr>
        <w:t>算术错误分析及修正记录表</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bl>
      <w:tblPr>
        <w:tblStyle w:val="43"/>
        <w:tblW w:w="9816" w:type="dxa"/>
        <w:jc w:val="center"/>
        <w:tblLayout w:type="fixed"/>
        <w:tblCellMar>
          <w:top w:w="0" w:type="dxa"/>
          <w:left w:w="0" w:type="dxa"/>
          <w:bottom w:w="0" w:type="dxa"/>
          <w:right w:w="0" w:type="dxa"/>
        </w:tblCellMar>
      </w:tblPr>
      <w:tblGrid>
        <w:gridCol w:w="902"/>
        <w:gridCol w:w="1584"/>
        <w:gridCol w:w="1658"/>
        <w:gridCol w:w="1659"/>
        <w:gridCol w:w="1658"/>
        <w:gridCol w:w="2355"/>
      </w:tblGrid>
      <w:tr>
        <w:tblPrEx>
          <w:tblCellMar>
            <w:top w:w="0" w:type="dxa"/>
            <w:left w:w="0" w:type="dxa"/>
            <w:bottom w:w="0" w:type="dxa"/>
            <w:right w:w="0" w:type="dxa"/>
          </w:tblCellMar>
        </w:tblPrEx>
        <w:trPr>
          <w:trHeight w:val="982"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投标价格</w:t>
            </w: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算术正确投标价</w:t>
            </w: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差额（代数值）</w:t>
            </w: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有关事项备注</w:t>
            </w:r>
          </w:p>
        </w:tc>
      </w:tr>
      <w:tr>
        <w:tblPrEx>
          <w:tblCellMar>
            <w:top w:w="0" w:type="dxa"/>
            <w:left w:w="0" w:type="dxa"/>
            <w:bottom w:w="0" w:type="dxa"/>
            <w:right w:w="0" w:type="dxa"/>
          </w:tblCellMar>
        </w:tblPrEx>
        <w:trPr>
          <w:trHeight w:val="608"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9"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8"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9"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8"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9"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8"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9"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8"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8"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9" w:hRule="atLeast"/>
          <w:jc w:val="center"/>
        </w:trPr>
        <w:tc>
          <w:tcPr>
            <w:tcW w:w="90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29" w:hRule="atLeast"/>
          <w:jc w:val="center"/>
        </w:trPr>
        <w:tc>
          <w:tcPr>
            <w:tcW w:w="5803"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A值（代数值）</w:t>
            </w:r>
          </w:p>
        </w:tc>
        <w:tc>
          <w:tcPr>
            <w:tcW w:w="165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 xml:space="preserve">成员签名：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附表C-2：错项漏项分析及修正记录表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错项漏项分析及修正记录表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bl>
      <w:tblPr>
        <w:tblStyle w:val="43"/>
        <w:tblW w:w="9764" w:type="dxa"/>
        <w:jc w:val="center"/>
        <w:tblLayout w:type="fixed"/>
        <w:tblCellMar>
          <w:top w:w="0" w:type="dxa"/>
          <w:left w:w="0" w:type="dxa"/>
          <w:bottom w:w="0" w:type="dxa"/>
          <w:right w:w="0" w:type="dxa"/>
        </w:tblCellMar>
      </w:tblPr>
      <w:tblGrid>
        <w:gridCol w:w="940"/>
        <w:gridCol w:w="1650"/>
        <w:gridCol w:w="1725"/>
        <w:gridCol w:w="1725"/>
        <w:gridCol w:w="1725"/>
        <w:gridCol w:w="1999"/>
      </w:tblGrid>
      <w:tr>
        <w:tblPrEx>
          <w:tblCellMar>
            <w:top w:w="0" w:type="dxa"/>
            <w:left w:w="0" w:type="dxa"/>
            <w:bottom w:w="0" w:type="dxa"/>
            <w:right w:w="0" w:type="dxa"/>
          </w:tblCellMar>
        </w:tblPrEx>
        <w:trPr>
          <w:trHeight w:val="981"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编号</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投标价格</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合理投标价</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差额（代数值）</w:t>
            </w: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有关事项备注</w:t>
            </w:r>
          </w:p>
        </w:tc>
      </w:tr>
      <w:tr>
        <w:tblPrEx>
          <w:tblCellMar>
            <w:top w:w="0" w:type="dxa"/>
            <w:left w:w="0" w:type="dxa"/>
            <w:bottom w:w="0" w:type="dxa"/>
            <w:right w:w="0" w:type="dxa"/>
          </w:tblCellMar>
        </w:tblPrEx>
        <w:trPr>
          <w:trHeight w:val="607"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8"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7"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8"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7"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8"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7"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7"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8"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7"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8" w:hRule="atLeast"/>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28" w:hRule="atLeast"/>
          <w:jc w:val="center"/>
        </w:trPr>
        <w:tc>
          <w:tcPr>
            <w:tcW w:w="6040"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B值（代数值）</w:t>
            </w:r>
          </w:p>
        </w:tc>
        <w:tc>
          <w:tcPr>
            <w:tcW w:w="172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成员签名：                     日期：     年     月     日</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附表C-3：分部分项工程量清单子目单价分析及修正记录表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分部分项工程量清单子目单价分析及修正记录表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bl>
      <w:tblPr>
        <w:tblStyle w:val="43"/>
        <w:tblW w:w="9756" w:type="dxa"/>
        <w:jc w:val="center"/>
        <w:tblLayout w:type="fixed"/>
        <w:tblCellMar>
          <w:top w:w="0" w:type="dxa"/>
          <w:left w:w="0" w:type="dxa"/>
          <w:bottom w:w="0" w:type="dxa"/>
          <w:right w:w="0" w:type="dxa"/>
        </w:tblCellMar>
      </w:tblPr>
      <w:tblGrid>
        <w:gridCol w:w="817"/>
        <w:gridCol w:w="1410"/>
        <w:gridCol w:w="1393"/>
        <w:gridCol w:w="1587"/>
        <w:gridCol w:w="1009"/>
        <w:gridCol w:w="1665"/>
        <w:gridCol w:w="1875"/>
      </w:tblGrid>
      <w:tr>
        <w:tblPrEx>
          <w:tblCellMar>
            <w:top w:w="0" w:type="dxa"/>
            <w:left w:w="0" w:type="dxa"/>
            <w:bottom w:w="0" w:type="dxa"/>
            <w:right w:w="0" w:type="dxa"/>
          </w:tblCellMar>
        </w:tblPrEx>
        <w:trPr>
          <w:trHeight w:val="94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编号</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明显不合理的价格</w:t>
            </w: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修正后的价格</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差 额</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证明情况及修正理由</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有关疑问事项备注</w:t>
            </w: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9" w:hRule="atLeast"/>
          <w:jc w:val="center"/>
        </w:trPr>
        <w:tc>
          <w:tcPr>
            <w:tcW w:w="8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99" w:hRule="atLeast"/>
          <w:jc w:val="center"/>
        </w:trPr>
        <w:tc>
          <w:tcPr>
            <w:tcW w:w="5207"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C值（代数值）</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成员签名：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附表C-4：措施项目和其他项目工程量清单价格分析及修正记录表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措施项目和其他项目工程量清单价格分析及修正记录表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bl>
      <w:tblPr>
        <w:tblStyle w:val="43"/>
        <w:tblW w:w="9930" w:type="dxa"/>
        <w:jc w:val="center"/>
        <w:tblLayout w:type="fixed"/>
        <w:tblCellMar>
          <w:top w:w="0" w:type="dxa"/>
          <w:left w:w="0" w:type="dxa"/>
          <w:bottom w:w="0" w:type="dxa"/>
          <w:right w:w="0" w:type="dxa"/>
        </w:tblCellMar>
      </w:tblPr>
      <w:tblGrid>
        <w:gridCol w:w="857"/>
        <w:gridCol w:w="1479"/>
        <w:gridCol w:w="1462"/>
        <w:gridCol w:w="1665"/>
        <w:gridCol w:w="1059"/>
        <w:gridCol w:w="1747"/>
        <w:gridCol w:w="1661"/>
      </w:tblGrid>
      <w:tr>
        <w:tblPrEx>
          <w:tblCellMar>
            <w:top w:w="0" w:type="dxa"/>
            <w:left w:w="0" w:type="dxa"/>
            <w:bottom w:w="0" w:type="dxa"/>
            <w:right w:w="0" w:type="dxa"/>
          </w:tblCellMar>
        </w:tblPrEx>
        <w:trPr>
          <w:trHeight w:val="964"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编号</w:t>
            </w: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明显不合理的价格</w:t>
            </w: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修正后的价格</w:t>
            </w: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差 额</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证明情况及修正理由</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有关疑问事项备注</w:t>
            </w: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7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5463"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D值（代数值）</w:t>
            </w:r>
          </w:p>
        </w:tc>
        <w:tc>
          <w:tcPr>
            <w:tcW w:w="105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成员签名：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附表C-5：企业管理费、利润及税金和规费完整性分析及修正记录表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企业管理费、利润及税金和规费完整性分析及修正记录表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bl>
      <w:tblPr>
        <w:tblStyle w:val="43"/>
        <w:tblW w:w="10018" w:type="dxa"/>
        <w:jc w:val="center"/>
        <w:tblLayout w:type="fixed"/>
        <w:tblCellMar>
          <w:top w:w="0" w:type="dxa"/>
          <w:left w:w="0" w:type="dxa"/>
          <w:bottom w:w="0" w:type="dxa"/>
          <w:right w:w="0" w:type="dxa"/>
        </w:tblCellMar>
      </w:tblPr>
      <w:tblGrid>
        <w:gridCol w:w="1345"/>
        <w:gridCol w:w="1445"/>
        <w:gridCol w:w="1446"/>
        <w:gridCol w:w="1445"/>
        <w:gridCol w:w="1446"/>
        <w:gridCol w:w="1445"/>
        <w:gridCol w:w="1446"/>
      </w:tblGrid>
      <w:tr>
        <w:tblPrEx>
          <w:tblCellMar>
            <w:top w:w="0" w:type="dxa"/>
            <w:left w:w="0" w:type="dxa"/>
            <w:bottom w:w="0" w:type="dxa"/>
            <w:right w:w="0" w:type="dxa"/>
          </w:tblCellMar>
        </w:tblPrEx>
        <w:trPr>
          <w:trHeight w:val="697" w:hRule="atLeast"/>
          <w:jc w:val="center"/>
        </w:trPr>
        <w:tc>
          <w:tcPr>
            <w:tcW w:w="1345"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项格不入目</w:t>
            </w:r>
          </w:p>
        </w:tc>
        <w:tc>
          <w:tcPr>
            <w:tcW w:w="2891"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企业管理费</w:t>
            </w:r>
          </w:p>
        </w:tc>
        <w:tc>
          <w:tcPr>
            <w:tcW w:w="2891"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利  润</w:t>
            </w:r>
          </w:p>
        </w:tc>
        <w:tc>
          <w:tcPr>
            <w:tcW w:w="2891"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税金和规费</w:t>
            </w:r>
          </w:p>
        </w:tc>
      </w:tr>
      <w:tr>
        <w:tblPrEx>
          <w:tblCellMar>
            <w:top w:w="0" w:type="dxa"/>
            <w:left w:w="0" w:type="dxa"/>
            <w:bottom w:w="0" w:type="dxa"/>
            <w:right w:w="0" w:type="dxa"/>
          </w:tblCellMar>
        </w:tblPrEx>
        <w:trPr>
          <w:trHeight w:val="697" w:hRule="atLeast"/>
          <w:jc w:val="center"/>
        </w:trPr>
        <w:tc>
          <w:tcPr>
            <w:tcW w:w="1345"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4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投标价格</w:t>
            </w: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实际</w:t>
            </w:r>
          </w:p>
        </w:tc>
        <w:tc>
          <w:tcPr>
            <w:tcW w:w="144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投标价格</w:t>
            </w: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实际</w:t>
            </w:r>
          </w:p>
        </w:tc>
        <w:tc>
          <w:tcPr>
            <w:tcW w:w="144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投标价格</w:t>
            </w: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实际</w:t>
            </w:r>
          </w:p>
        </w:tc>
      </w:tr>
      <w:tr>
        <w:tblPrEx>
          <w:tblCellMar>
            <w:top w:w="0" w:type="dxa"/>
            <w:left w:w="0" w:type="dxa"/>
            <w:bottom w:w="0" w:type="dxa"/>
            <w:right w:w="0" w:type="dxa"/>
          </w:tblCellMar>
        </w:tblPrEx>
        <w:trPr>
          <w:trHeight w:val="697" w:hRule="atLeast"/>
          <w:jc w:val="center"/>
        </w:trPr>
        <w:tc>
          <w:tcPr>
            <w:tcW w:w="134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比较栏</w:t>
            </w:r>
          </w:p>
        </w:tc>
        <w:tc>
          <w:tcPr>
            <w:tcW w:w="1445" w:type="dxa"/>
            <w:tcBorders>
              <w:top w:val="single" w:color="000000" w:sz="4" w:space="0"/>
              <w:left w:val="single" w:color="000000" w:sz="4" w:space="0"/>
              <w:bottom w:val="single" w:color="000000" w:sz="8"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46" w:type="dxa"/>
            <w:tcBorders>
              <w:top w:val="single" w:color="000000" w:sz="4" w:space="0"/>
              <w:left w:val="single" w:color="000000" w:sz="4" w:space="0"/>
              <w:bottom w:val="single" w:color="000000" w:sz="8"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45" w:type="dxa"/>
            <w:tcBorders>
              <w:top w:val="single" w:color="000000" w:sz="4" w:space="0"/>
              <w:left w:val="single" w:color="000000" w:sz="4" w:space="0"/>
              <w:bottom w:val="single" w:color="000000" w:sz="8"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46" w:type="dxa"/>
            <w:tcBorders>
              <w:top w:val="single" w:color="000000" w:sz="4" w:space="0"/>
              <w:left w:val="single" w:color="000000" w:sz="4" w:space="0"/>
              <w:bottom w:val="single" w:color="000000" w:sz="8"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45" w:type="dxa"/>
            <w:tcBorders>
              <w:top w:val="single" w:color="000000" w:sz="4" w:space="0"/>
              <w:left w:val="single" w:color="000000" w:sz="4" w:space="0"/>
              <w:bottom w:val="single" w:color="000000" w:sz="8"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46" w:type="dxa"/>
            <w:tcBorders>
              <w:top w:val="single" w:color="000000" w:sz="4" w:space="0"/>
              <w:left w:val="single" w:color="000000" w:sz="4" w:space="0"/>
              <w:bottom w:val="single" w:color="000000" w:sz="8"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14" w:hRule="atLeast"/>
          <w:jc w:val="center"/>
        </w:trPr>
        <w:tc>
          <w:tcPr>
            <w:tcW w:w="1345" w:type="dxa"/>
            <w:tcBorders>
              <w:top w:val="single" w:color="000000" w:sz="4" w:space="0"/>
              <w:left w:val="single" w:color="000000" w:sz="4" w:space="0"/>
              <w:bottom w:val="single" w:color="000000" w:sz="4" w:space="0"/>
              <w:right w:val="single" w:color="000000" w:sz="8"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差  额</w:t>
            </w:r>
          </w:p>
        </w:tc>
        <w:tc>
          <w:tcPr>
            <w:tcW w:w="1445" w:type="dxa"/>
            <w:tcBorders>
              <w:top w:val="single" w:color="000000" w:sz="8" w:space="0"/>
              <w:left w:val="single" w:color="000000" w:sz="8" w:space="0"/>
              <w:bottom w:val="single" w:color="000000" w:sz="8"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E  值</w:t>
            </w:r>
          </w:p>
        </w:tc>
        <w:tc>
          <w:tcPr>
            <w:tcW w:w="1446" w:type="dxa"/>
            <w:tcBorders>
              <w:top w:val="single" w:color="000000" w:sz="8" w:space="0"/>
              <w:left w:val="single" w:color="000000" w:sz="4"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45" w:type="dxa"/>
            <w:tcBorders>
              <w:top w:val="single" w:color="000000" w:sz="8" w:space="0"/>
              <w:left w:val="single" w:color="000000" w:sz="8" w:space="0"/>
              <w:bottom w:val="single" w:color="000000" w:sz="8"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F  值</w:t>
            </w:r>
          </w:p>
        </w:tc>
        <w:tc>
          <w:tcPr>
            <w:tcW w:w="1446" w:type="dxa"/>
            <w:tcBorders>
              <w:top w:val="single" w:color="000000" w:sz="8" w:space="0"/>
              <w:left w:val="single" w:color="000000" w:sz="4"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45" w:type="dxa"/>
            <w:tcBorders>
              <w:top w:val="single" w:color="000000" w:sz="8" w:space="0"/>
              <w:left w:val="single" w:color="000000" w:sz="8" w:space="0"/>
              <w:bottom w:val="single" w:color="000000" w:sz="8"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G  值</w:t>
            </w:r>
          </w:p>
        </w:tc>
        <w:tc>
          <w:tcPr>
            <w:tcW w:w="1446" w:type="dxa"/>
            <w:tcBorders>
              <w:top w:val="single" w:color="000000" w:sz="8" w:space="0"/>
              <w:left w:val="single" w:color="000000" w:sz="4"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2657" w:hRule="atLeast"/>
          <w:jc w:val="center"/>
        </w:trPr>
        <w:tc>
          <w:tcPr>
            <w:tcW w:w="134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分析计算</w:t>
            </w:r>
          </w:p>
        </w:tc>
        <w:tc>
          <w:tcPr>
            <w:tcW w:w="1445" w:type="dxa"/>
            <w:tcBorders>
              <w:top w:val="single" w:color="000000" w:sz="8"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46" w:type="dxa"/>
            <w:tcBorders>
              <w:top w:val="single" w:color="000000" w:sz="8"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45" w:type="dxa"/>
            <w:tcBorders>
              <w:top w:val="single" w:color="000000" w:sz="8"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46" w:type="dxa"/>
            <w:tcBorders>
              <w:top w:val="single" w:color="000000" w:sz="8"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45" w:type="dxa"/>
            <w:tcBorders>
              <w:top w:val="single" w:color="000000" w:sz="8"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46" w:type="dxa"/>
            <w:tcBorders>
              <w:top w:val="single" w:color="000000" w:sz="8"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187" w:hRule="atLeast"/>
          <w:jc w:val="center"/>
        </w:trPr>
        <w:tc>
          <w:tcPr>
            <w:tcW w:w="134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有关疑问</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事项备注</w:t>
            </w:r>
          </w:p>
        </w:tc>
        <w:tc>
          <w:tcPr>
            <w:tcW w:w="144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4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4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成员签名：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附表C-6：不平衡报价分析及修正记录表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不平衡报价分析及修正记录表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bl>
      <w:tblPr>
        <w:tblStyle w:val="43"/>
        <w:tblW w:w="10035" w:type="dxa"/>
        <w:jc w:val="center"/>
        <w:tblLayout w:type="fixed"/>
        <w:tblCellMar>
          <w:top w:w="0" w:type="dxa"/>
          <w:left w:w="0" w:type="dxa"/>
          <w:bottom w:w="0" w:type="dxa"/>
          <w:right w:w="0" w:type="dxa"/>
        </w:tblCellMar>
      </w:tblPr>
      <w:tblGrid>
        <w:gridCol w:w="787"/>
        <w:gridCol w:w="1239"/>
        <w:gridCol w:w="1368"/>
        <w:gridCol w:w="1385"/>
        <w:gridCol w:w="1533"/>
        <w:gridCol w:w="1185"/>
        <w:gridCol w:w="955"/>
        <w:gridCol w:w="1583"/>
      </w:tblGrid>
      <w:tr>
        <w:tblPrEx>
          <w:tblCellMar>
            <w:top w:w="0" w:type="dxa"/>
            <w:left w:w="0" w:type="dxa"/>
            <w:bottom w:w="0" w:type="dxa"/>
            <w:right w:w="0" w:type="dxa"/>
          </w:tblCellMar>
        </w:tblPrEx>
        <w:trPr>
          <w:trHeight w:val="1332"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编号</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存在不平衡的单价</w:t>
            </w: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修正后的平衡单价</w:t>
            </w: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单价差值（代数值）</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工程量</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差额</w:t>
            </w: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有关疑问事项备注</w:t>
            </w: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53" w:hRule="atLeast"/>
          <w:jc w:val="center"/>
        </w:trPr>
        <w:tc>
          <w:tcPr>
            <w:tcW w:w="78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3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3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71" w:hRule="atLeast"/>
          <w:jc w:val="center"/>
        </w:trPr>
        <w:tc>
          <w:tcPr>
            <w:tcW w:w="7497" w:type="dxa"/>
            <w:gridSpan w:val="6"/>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H值（代数值）</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5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成员签名：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附表C-7：投标报价之修正差额汇总表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投标报价之修正差额汇总表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bl>
      <w:tblPr>
        <w:tblStyle w:val="43"/>
        <w:tblW w:w="9738" w:type="dxa"/>
        <w:jc w:val="center"/>
        <w:tblLayout w:type="fixed"/>
        <w:tblCellMar>
          <w:top w:w="0" w:type="dxa"/>
          <w:left w:w="0" w:type="dxa"/>
          <w:bottom w:w="0" w:type="dxa"/>
          <w:right w:w="0" w:type="dxa"/>
        </w:tblCellMar>
      </w:tblPr>
      <w:tblGrid>
        <w:gridCol w:w="1068"/>
        <w:gridCol w:w="1711"/>
        <w:gridCol w:w="1497"/>
        <w:gridCol w:w="2356"/>
        <w:gridCol w:w="3106"/>
      </w:tblGrid>
      <w:tr>
        <w:tblPrEx>
          <w:tblCellMar>
            <w:top w:w="0" w:type="dxa"/>
            <w:left w:w="0" w:type="dxa"/>
            <w:bottom w:w="0" w:type="dxa"/>
            <w:right w:w="0" w:type="dxa"/>
          </w:tblCellMar>
        </w:tblPrEx>
        <w:trPr>
          <w:trHeight w:val="526" w:hRule="atLeast"/>
          <w:jc w:val="center"/>
        </w:trPr>
        <w:tc>
          <w:tcPr>
            <w:tcW w:w="1068"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711"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差值代号</w:t>
            </w:r>
          </w:p>
        </w:tc>
        <w:tc>
          <w:tcPr>
            <w:tcW w:w="3853"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差额代数值</w:t>
            </w:r>
          </w:p>
        </w:tc>
        <w:tc>
          <w:tcPr>
            <w:tcW w:w="3106"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修正理由及有关事项说明</w:t>
            </w:r>
          </w:p>
        </w:tc>
      </w:tr>
      <w:tr>
        <w:tblPrEx>
          <w:tblCellMar>
            <w:top w:w="0" w:type="dxa"/>
            <w:left w:w="0" w:type="dxa"/>
            <w:bottom w:w="0" w:type="dxa"/>
            <w:right w:w="0" w:type="dxa"/>
          </w:tblCellMar>
        </w:tblPrEx>
        <w:trPr>
          <w:trHeight w:val="526" w:hRule="atLeast"/>
          <w:jc w:val="center"/>
        </w:trPr>
        <w:tc>
          <w:tcPr>
            <w:tcW w:w="1068"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711"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14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评审后</w:t>
            </w: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澄清后修正</w:t>
            </w:r>
          </w:p>
        </w:tc>
        <w:tc>
          <w:tcPr>
            <w:tcW w:w="3106"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33"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A</w:t>
            </w:r>
          </w:p>
        </w:tc>
        <w:tc>
          <w:tcPr>
            <w:tcW w:w="14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33"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B</w:t>
            </w:r>
          </w:p>
        </w:tc>
        <w:tc>
          <w:tcPr>
            <w:tcW w:w="14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33"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C</w:t>
            </w:r>
          </w:p>
        </w:tc>
        <w:tc>
          <w:tcPr>
            <w:tcW w:w="14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33"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D</w:t>
            </w:r>
          </w:p>
        </w:tc>
        <w:tc>
          <w:tcPr>
            <w:tcW w:w="14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33"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E</w:t>
            </w:r>
          </w:p>
        </w:tc>
        <w:tc>
          <w:tcPr>
            <w:tcW w:w="14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33"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F</w:t>
            </w:r>
          </w:p>
        </w:tc>
        <w:tc>
          <w:tcPr>
            <w:tcW w:w="14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33"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G</w:t>
            </w:r>
          </w:p>
        </w:tc>
        <w:tc>
          <w:tcPr>
            <w:tcW w:w="14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33"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H</w:t>
            </w:r>
          </w:p>
        </w:tc>
        <w:tc>
          <w:tcPr>
            <w:tcW w:w="14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33" w:hRule="atLeast"/>
          <w:jc w:val="center"/>
        </w:trPr>
        <w:tc>
          <w:tcPr>
            <w:tcW w:w="2779"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合计</w:t>
            </w:r>
          </w:p>
        </w:tc>
        <w:tc>
          <w:tcPr>
            <w:tcW w:w="14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Δ1：</w:t>
            </w:r>
          </w:p>
        </w:tc>
        <w:tc>
          <w:tcPr>
            <w:tcW w:w="23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Δ2：</w:t>
            </w:r>
          </w:p>
        </w:tc>
        <w:tc>
          <w:tcPr>
            <w:tcW w:w="310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76" w:hRule="atLeast"/>
          <w:jc w:val="center"/>
        </w:trPr>
        <w:tc>
          <w:tcPr>
            <w:tcW w:w="106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c>
          <w:tcPr>
            <w:tcW w:w="8670"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本表修正的计算应附详细分析计算表。</w:t>
            </w:r>
          </w:p>
        </w:tc>
      </w:tr>
    </w:tbl>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成员签名：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附表C-8：成本评审结论记录表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b/>
          <w:bCs/>
          <w:sz w:val="32"/>
          <w:szCs w:val="32"/>
        </w:rPr>
        <w:t>成本评审结论记录表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bl>
      <w:tblPr>
        <w:tblStyle w:val="43"/>
        <w:tblW w:w="9377" w:type="dxa"/>
        <w:jc w:val="center"/>
        <w:tblLayout w:type="fixed"/>
        <w:tblCellMar>
          <w:top w:w="0" w:type="dxa"/>
          <w:left w:w="0" w:type="dxa"/>
          <w:bottom w:w="0" w:type="dxa"/>
          <w:right w:w="0" w:type="dxa"/>
        </w:tblCellMar>
      </w:tblPr>
      <w:tblGrid>
        <w:gridCol w:w="1083"/>
        <w:gridCol w:w="2517"/>
        <w:gridCol w:w="1936"/>
        <w:gridCol w:w="2128"/>
        <w:gridCol w:w="1713"/>
      </w:tblGrid>
      <w:tr>
        <w:tblPrEx>
          <w:tblCellMar>
            <w:top w:w="0" w:type="dxa"/>
            <w:left w:w="0" w:type="dxa"/>
            <w:bottom w:w="0" w:type="dxa"/>
            <w:right w:w="0" w:type="dxa"/>
          </w:tblCellMar>
        </w:tblPrEx>
        <w:trPr>
          <w:trHeight w:val="424" w:hRule="atLeast"/>
          <w:jc w:val="center"/>
        </w:trPr>
        <w:tc>
          <w:tcPr>
            <w:tcW w:w="10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25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项目名称</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c>
          <w:tcPr>
            <w:tcW w:w="212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比较结果</w:t>
            </w: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424" w:hRule="atLeast"/>
          <w:jc w:val="center"/>
        </w:trPr>
        <w:tc>
          <w:tcPr>
            <w:tcW w:w="10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5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澄清后最终差额Δ2</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128"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13"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24" w:hRule="atLeast"/>
          <w:jc w:val="center"/>
        </w:trPr>
        <w:tc>
          <w:tcPr>
            <w:tcW w:w="10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51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投标利润额</w:t>
            </w:r>
          </w:p>
        </w:tc>
        <w:tc>
          <w:tcPr>
            <w:tcW w:w="193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128"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13"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71" w:hRule="atLeast"/>
          <w:jc w:val="center"/>
        </w:trPr>
        <w:tc>
          <w:tcPr>
            <w:tcW w:w="9377"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top"/>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比较后需</w:t>
            </w:r>
            <w:r>
              <w:rPr>
                <w:rFonts w:hint="eastAsia" w:ascii="宋体" w:hAnsi="宋体" w:eastAsia="宋体" w:cs="宋体"/>
                <w:sz w:val="24"/>
                <w:szCs w:val="24"/>
                <w:lang w:eastAsia="zh-CN"/>
              </w:rPr>
              <w:t>供应商</w:t>
            </w:r>
            <w:r>
              <w:rPr>
                <w:rFonts w:hint="eastAsia" w:ascii="宋体" w:hAnsi="宋体" w:eastAsia="宋体" w:cs="宋体"/>
                <w:sz w:val="24"/>
                <w:szCs w:val="24"/>
              </w:rPr>
              <w:t>澄清和说明的主要事项概要：</w:t>
            </w:r>
          </w:p>
        </w:tc>
      </w:tr>
      <w:tr>
        <w:tblPrEx>
          <w:tblCellMar>
            <w:top w:w="0" w:type="dxa"/>
            <w:left w:w="0" w:type="dxa"/>
            <w:bottom w:w="0" w:type="dxa"/>
            <w:right w:w="0" w:type="dxa"/>
          </w:tblCellMar>
        </w:tblPrEx>
        <w:trPr>
          <w:trHeight w:val="471" w:hRule="atLeast"/>
          <w:jc w:val="center"/>
        </w:trPr>
        <w:tc>
          <w:tcPr>
            <w:tcW w:w="9377" w:type="dxa"/>
            <w:gridSpan w:val="5"/>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top"/>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澄清、说明、补正和提供进一步证明的情况说明：</w:t>
            </w:r>
          </w:p>
        </w:tc>
      </w:tr>
      <w:tr>
        <w:tblPrEx>
          <w:tblCellMar>
            <w:top w:w="0" w:type="dxa"/>
            <w:left w:w="0" w:type="dxa"/>
            <w:bottom w:w="0" w:type="dxa"/>
            <w:right w:w="0" w:type="dxa"/>
          </w:tblCellMar>
        </w:tblPrEx>
        <w:trPr>
          <w:trHeight w:val="838" w:hRule="atLeast"/>
          <w:jc w:val="center"/>
        </w:trPr>
        <w:tc>
          <w:tcPr>
            <w:tcW w:w="10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评审结论</w:t>
            </w:r>
          </w:p>
        </w:tc>
        <w:tc>
          <w:tcPr>
            <w:tcW w:w="8294"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□低于成本     □不低于成本</w:t>
            </w:r>
          </w:p>
        </w:tc>
      </w:tr>
      <w:tr>
        <w:tblPrEx>
          <w:tblCellMar>
            <w:top w:w="0" w:type="dxa"/>
            <w:left w:w="0" w:type="dxa"/>
            <w:bottom w:w="0" w:type="dxa"/>
            <w:right w:w="0" w:type="dxa"/>
          </w:tblCellMar>
        </w:tblPrEx>
        <w:trPr>
          <w:trHeight w:val="2493" w:hRule="atLeast"/>
          <w:jc w:val="center"/>
        </w:trPr>
        <w:tc>
          <w:tcPr>
            <w:tcW w:w="10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审</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意</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见</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概</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要</w:t>
            </w:r>
          </w:p>
        </w:tc>
        <w:tc>
          <w:tcPr>
            <w:tcW w:w="8294"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73" w:hRule="atLeast"/>
          <w:jc w:val="center"/>
        </w:trPr>
        <w:tc>
          <w:tcPr>
            <w:tcW w:w="10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标</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委</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员</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会</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体</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成</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员</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签</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名</w:t>
            </w:r>
          </w:p>
        </w:tc>
        <w:tc>
          <w:tcPr>
            <w:tcW w:w="8294" w:type="dxa"/>
            <w:gridSpan w:val="4"/>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bottom"/>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年   月   日</w:t>
            </w:r>
          </w:p>
        </w:tc>
      </w:tr>
    </w:tbl>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sz w:val="24"/>
          <w:szCs w:val="24"/>
        </w:rPr>
        <w:br w:type="page"/>
      </w:r>
      <w:r>
        <w:rPr>
          <w:rFonts w:hint="eastAsia" w:ascii="宋体" w:hAnsi="宋体" w:eastAsia="宋体" w:cs="宋体"/>
          <w:b/>
          <w:bCs/>
          <w:sz w:val="32"/>
          <w:szCs w:val="32"/>
        </w:rPr>
        <w:t>附件D：备选投标方案的评审方法</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备选投标方案的评审方法</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D0.总则</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本附件是本章“评标办法”的组成部分。当第二章“</w:t>
      </w:r>
      <w:r>
        <w:rPr>
          <w:rFonts w:hint="eastAsia" w:ascii="宋体" w:hAnsi="宋体" w:eastAsia="宋体" w:cs="宋体"/>
          <w:sz w:val="24"/>
          <w:szCs w:val="24"/>
          <w:lang w:eastAsia="zh-CN"/>
        </w:rPr>
        <w:t>供应商</w:t>
      </w:r>
      <w:r>
        <w:rPr>
          <w:rFonts w:hint="eastAsia" w:ascii="宋体" w:hAnsi="宋体" w:eastAsia="宋体" w:cs="宋体"/>
          <w:sz w:val="24"/>
          <w:szCs w:val="24"/>
        </w:rPr>
        <w:t>须知”第3.6款中规定允许</w:t>
      </w:r>
      <w:r>
        <w:rPr>
          <w:rFonts w:hint="eastAsia" w:ascii="宋体" w:hAnsi="宋体" w:eastAsia="宋体" w:cs="宋体"/>
          <w:sz w:val="24"/>
          <w:szCs w:val="24"/>
          <w:lang w:eastAsia="zh-CN"/>
        </w:rPr>
        <w:t>供应商</w:t>
      </w:r>
      <w:r>
        <w:rPr>
          <w:rFonts w:hint="eastAsia" w:ascii="宋体" w:hAnsi="宋体" w:eastAsia="宋体" w:cs="宋体"/>
          <w:sz w:val="24"/>
          <w:szCs w:val="24"/>
        </w:rPr>
        <w:t>递交备选投标方案时，</w:t>
      </w:r>
      <w:r>
        <w:rPr>
          <w:rFonts w:hint="eastAsia" w:ascii="宋体" w:hAnsi="宋体" w:eastAsia="宋体" w:cs="宋体"/>
          <w:sz w:val="24"/>
          <w:szCs w:val="24"/>
          <w:lang w:eastAsia="zh-CN"/>
        </w:rPr>
        <w:t>磋商小组</w:t>
      </w:r>
      <w:r>
        <w:rPr>
          <w:rFonts w:hint="eastAsia" w:ascii="宋体" w:hAnsi="宋体" w:eastAsia="宋体" w:cs="宋体"/>
          <w:sz w:val="24"/>
          <w:szCs w:val="24"/>
        </w:rPr>
        <w:t>应当按照本附件所规定的办法对排名第一的</w:t>
      </w:r>
      <w:r>
        <w:rPr>
          <w:rFonts w:hint="eastAsia" w:ascii="宋体" w:hAnsi="宋体" w:eastAsia="宋体" w:cs="宋体"/>
          <w:sz w:val="24"/>
          <w:szCs w:val="24"/>
          <w:lang w:eastAsia="zh-CN"/>
        </w:rPr>
        <w:t>成交候选供应商</w:t>
      </w:r>
      <w:r>
        <w:rPr>
          <w:rFonts w:hint="eastAsia" w:ascii="宋体" w:hAnsi="宋体" w:eastAsia="宋体" w:cs="宋体"/>
          <w:sz w:val="24"/>
          <w:szCs w:val="24"/>
        </w:rPr>
        <w:t>或者根据</w:t>
      </w:r>
      <w:r>
        <w:rPr>
          <w:rFonts w:hint="eastAsia" w:ascii="宋体" w:hAnsi="宋体" w:eastAsia="宋体" w:cs="宋体"/>
          <w:sz w:val="24"/>
          <w:szCs w:val="24"/>
          <w:lang w:eastAsia="zh-CN"/>
        </w:rPr>
        <w:t>采购人</w:t>
      </w:r>
      <w:r>
        <w:rPr>
          <w:rFonts w:hint="eastAsia" w:ascii="宋体" w:hAnsi="宋体" w:eastAsia="宋体" w:cs="宋体"/>
          <w:sz w:val="24"/>
          <w:szCs w:val="24"/>
        </w:rPr>
        <w:t>授权直接确定的</w:t>
      </w:r>
      <w:r>
        <w:rPr>
          <w:rFonts w:hint="eastAsia" w:ascii="宋体" w:hAnsi="宋体" w:eastAsia="宋体" w:cs="宋体"/>
          <w:sz w:val="24"/>
          <w:szCs w:val="24"/>
          <w:lang w:eastAsia="zh-CN"/>
        </w:rPr>
        <w:t>成交供应商</w:t>
      </w:r>
      <w:r>
        <w:rPr>
          <w:rFonts w:hint="eastAsia" w:ascii="宋体" w:hAnsi="宋体" w:eastAsia="宋体" w:cs="宋体"/>
          <w:sz w:val="24"/>
          <w:szCs w:val="24"/>
        </w:rPr>
        <w:t>所递交的备选投标方案进行评审和比较。</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D1.备选投标方案的评审规定</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D.1.1必须投递了正选投标方案</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按照第二章“</w:t>
      </w:r>
      <w:r>
        <w:rPr>
          <w:rFonts w:hint="eastAsia" w:ascii="宋体" w:hAnsi="宋体" w:eastAsia="宋体" w:cs="宋体"/>
          <w:sz w:val="24"/>
          <w:szCs w:val="24"/>
          <w:lang w:eastAsia="zh-CN"/>
        </w:rPr>
        <w:t>供应商</w:t>
      </w:r>
      <w:r>
        <w:rPr>
          <w:rFonts w:hint="eastAsia" w:ascii="宋体" w:hAnsi="宋体" w:eastAsia="宋体" w:cs="宋体"/>
          <w:sz w:val="24"/>
          <w:szCs w:val="24"/>
        </w:rPr>
        <w:t>须知”第3.6款中规定投递备选投标方案的</w:t>
      </w:r>
      <w:r>
        <w:rPr>
          <w:rFonts w:hint="eastAsia" w:ascii="宋体" w:hAnsi="宋体" w:eastAsia="宋体" w:cs="宋体"/>
          <w:sz w:val="24"/>
          <w:szCs w:val="24"/>
          <w:lang w:eastAsia="zh-CN"/>
        </w:rPr>
        <w:t>供应商</w:t>
      </w:r>
      <w:r>
        <w:rPr>
          <w:rFonts w:hint="eastAsia" w:ascii="宋体" w:hAnsi="宋体" w:eastAsia="宋体" w:cs="宋体"/>
          <w:sz w:val="24"/>
          <w:szCs w:val="24"/>
        </w:rPr>
        <w:t>，必须按照</w:t>
      </w:r>
      <w:r>
        <w:rPr>
          <w:rFonts w:hint="eastAsia" w:ascii="宋体" w:hAnsi="宋体" w:eastAsia="宋体" w:cs="宋体"/>
          <w:sz w:val="24"/>
          <w:szCs w:val="24"/>
          <w:lang w:eastAsia="zh-CN"/>
        </w:rPr>
        <w:t>磋商文件</w:t>
      </w:r>
      <w:r>
        <w:rPr>
          <w:rFonts w:hint="eastAsia" w:ascii="宋体" w:hAnsi="宋体" w:eastAsia="宋体" w:cs="宋体"/>
          <w:sz w:val="24"/>
          <w:szCs w:val="24"/>
        </w:rPr>
        <w:t>中规定的要求和条件编制并投递了正选投标方案，否则其投标作废标处理。</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D1.2只对</w:t>
      </w:r>
      <w:r>
        <w:rPr>
          <w:rFonts w:hint="eastAsia" w:ascii="宋体" w:hAnsi="宋体" w:eastAsia="宋体" w:cs="宋体"/>
          <w:b/>
          <w:bCs/>
          <w:sz w:val="24"/>
          <w:szCs w:val="24"/>
          <w:lang w:eastAsia="zh-CN"/>
        </w:rPr>
        <w:t>成交供应商</w:t>
      </w:r>
      <w:r>
        <w:rPr>
          <w:rFonts w:hint="eastAsia" w:ascii="宋体" w:hAnsi="宋体" w:eastAsia="宋体" w:cs="宋体"/>
          <w:b/>
          <w:bCs/>
          <w:sz w:val="24"/>
          <w:szCs w:val="24"/>
        </w:rPr>
        <w:t>或</w:t>
      </w:r>
      <w:r>
        <w:rPr>
          <w:rFonts w:hint="eastAsia" w:ascii="宋体" w:hAnsi="宋体" w:eastAsia="宋体" w:cs="宋体"/>
          <w:b/>
          <w:bCs/>
          <w:sz w:val="24"/>
          <w:szCs w:val="24"/>
          <w:lang w:eastAsia="zh-CN"/>
        </w:rPr>
        <w:t>成交候选供应商</w:t>
      </w:r>
      <w:r>
        <w:rPr>
          <w:rFonts w:hint="eastAsia" w:ascii="宋体" w:hAnsi="宋体" w:eastAsia="宋体" w:cs="宋体"/>
          <w:b/>
          <w:bCs/>
          <w:sz w:val="24"/>
          <w:szCs w:val="24"/>
        </w:rPr>
        <w:t>的备选投标方案进行评审</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只有</w:t>
      </w:r>
      <w:r>
        <w:rPr>
          <w:rFonts w:hint="eastAsia" w:ascii="宋体" w:hAnsi="宋体" w:eastAsia="宋体" w:cs="宋体"/>
          <w:sz w:val="24"/>
          <w:szCs w:val="24"/>
          <w:lang w:eastAsia="zh-CN"/>
        </w:rPr>
        <w:t>成交供应商</w:t>
      </w:r>
      <w:r>
        <w:rPr>
          <w:rFonts w:hint="eastAsia" w:ascii="宋体" w:hAnsi="宋体" w:eastAsia="宋体" w:cs="宋体"/>
          <w:sz w:val="24"/>
          <w:szCs w:val="24"/>
        </w:rPr>
        <w:t>或</w:t>
      </w:r>
      <w:r>
        <w:rPr>
          <w:rFonts w:hint="eastAsia" w:ascii="宋体" w:hAnsi="宋体" w:eastAsia="宋体" w:cs="宋体"/>
          <w:sz w:val="24"/>
          <w:szCs w:val="24"/>
          <w:lang w:eastAsia="zh-CN"/>
        </w:rPr>
        <w:t>成交候选供应商</w:t>
      </w:r>
      <w:r>
        <w:rPr>
          <w:rFonts w:hint="eastAsia" w:ascii="宋体" w:hAnsi="宋体" w:eastAsia="宋体" w:cs="宋体"/>
          <w:sz w:val="24"/>
          <w:szCs w:val="24"/>
        </w:rPr>
        <w:t>的备选投标方案才会被</w:t>
      </w:r>
      <w:r>
        <w:rPr>
          <w:rFonts w:hint="eastAsia" w:ascii="宋体" w:hAnsi="宋体" w:eastAsia="宋体" w:cs="宋体"/>
          <w:sz w:val="24"/>
          <w:szCs w:val="24"/>
          <w:lang w:eastAsia="zh-CN"/>
        </w:rPr>
        <w:t>磋商小组</w:t>
      </w:r>
      <w:r>
        <w:rPr>
          <w:rFonts w:hint="eastAsia" w:ascii="宋体" w:hAnsi="宋体" w:eastAsia="宋体" w:cs="宋体"/>
          <w:sz w:val="24"/>
          <w:szCs w:val="24"/>
        </w:rPr>
        <w:t>评审。</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D2.备选投标方案的评审程序、方法和标准</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D2.1适用的评审程序、方法和标准</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应当根据备选投标方案的内容，找出本章（包括本章附件）中适用的程序、方法、标准对备选投标方案进行综合定性评审。如果没有适用的程序、方法、标准，则由</w:t>
      </w:r>
      <w:r>
        <w:rPr>
          <w:rFonts w:hint="eastAsia" w:ascii="宋体" w:hAnsi="宋体" w:eastAsia="宋体" w:cs="宋体"/>
          <w:sz w:val="24"/>
          <w:szCs w:val="24"/>
          <w:lang w:eastAsia="zh-CN"/>
        </w:rPr>
        <w:t>磋商小组</w:t>
      </w:r>
      <w:r>
        <w:rPr>
          <w:rFonts w:hint="eastAsia" w:ascii="宋体" w:hAnsi="宋体" w:eastAsia="宋体" w:cs="宋体"/>
          <w:sz w:val="24"/>
          <w:szCs w:val="24"/>
        </w:rPr>
        <w:t>成员分别独立对备选投标方案进行综合定性评审。评审结论通过表决方式做出。只有超过半数的</w:t>
      </w:r>
      <w:r>
        <w:rPr>
          <w:rFonts w:hint="eastAsia" w:ascii="宋体" w:hAnsi="宋体" w:eastAsia="宋体" w:cs="宋体"/>
          <w:sz w:val="24"/>
          <w:szCs w:val="24"/>
          <w:lang w:eastAsia="zh-CN"/>
        </w:rPr>
        <w:t>磋商小组</w:t>
      </w:r>
      <w:r>
        <w:rPr>
          <w:rFonts w:hint="eastAsia" w:ascii="宋体" w:hAnsi="宋体" w:eastAsia="宋体" w:cs="宋体"/>
          <w:sz w:val="24"/>
          <w:szCs w:val="24"/>
        </w:rPr>
        <w:t>成员所做出的结论，方可以作为</w:t>
      </w:r>
      <w:r>
        <w:rPr>
          <w:rFonts w:hint="eastAsia" w:ascii="宋体" w:hAnsi="宋体" w:eastAsia="宋体" w:cs="宋体"/>
          <w:sz w:val="24"/>
          <w:szCs w:val="24"/>
          <w:lang w:eastAsia="zh-CN"/>
        </w:rPr>
        <w:t>磋商小组</w:t>
      </w:r>
      <w:r>
        <w:rPr>
          <w:rFonts w:hint="eastAsia" w:ascii="宋体" w:hAnsi="宋体" w:eastAsia="宋体" w:cs="宋体"/>
          <w:sz w:val="24"/>
          <w:szCs w:val="24"/>
        </w:rPr>
        <w:t>的结论。</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D2.2基本的评审程序和方法</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对备选投标方案的评审，按以下程序和方法进行：</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（1）找出备选投标方案改变了</w:t>
      </w:r>
      <w:r>
        <w:rPr>
          <w:rFonts w:hint="eastAsia" w:ascii="宋体" w:hAnsi="宋体" w:eastAsia="宋体" w:cs="宋体"/>
          <w:sz w:val="24"/>
          <w:szCs w:val="24"/>
          <w:lang w:eastAsia="zh-CN"/>
        </w:rPr>
        <w:t>磋商文件</w:t>
      </w:r>
      <w:r>
        <w:rPr>
          <w:rFonts w:hint="eastAsia" w:ascii="宋体" w:hAnsi="宋体" w:eastAsia="宋体" w:cs="宋体"/>
          <w:sz w:val="24"/>
          <w:szCs w:val="24"/>
        </w:rPr>
        <w:t>中规定的哪些要求或条件，判断这种改变是否可能被</w:t>
      </w:r>
      <w:r>
        <w:rPr>
          <w:rFonts w:hint="eastAsia" w:ascii="宋体" w:hAnsi="宋体" w:eastAsia="宋体" w:cs="宋体"/>
          <w:sz w:val="24"/>
          <w:szCs w:val="24"/>
          <w:lang w:eastAsia="zh-CN"/>
        </w:rPr>
        <w:t>采购人</w:t>
      </w:r>
      <w:r>
        <w:rPr>
          <w:rFonts w:hint="eastAsia" w:ascii="宋体" w:hAnsi="宋体" w:eastAsia="宋体" w:cs="宋体"/>
          <w:sz w:val="24"/>
          <w:szCs w:val="24"/>
        </w:rPr>
        <w:t>所接受。如果</w:t>
      </w:r>
      <w:r>
        <w:rPr>
          <w:rFonts w:hint="eastAsia" w:ascii="宋体" w:hAnsi="宋体" w:eastAsia="宋体" w:cs="宋体"/>
          <w:sz w:val="24"/>
          <w:szCs w:val="24"/>
          <w:lang w:eastAsia="zh-CN"/>
        </w:rPr>
        <w:t>磋商小组</w:t>
      </w:r>
      <w:r>
        <w:rPr>
          <w:rFonts w:hint="eastAsia" w:ascii="宋体" w:hAnsi="宋体" w:eastAsia="宋体" w:cs="宋体"/>
          <w:sz w:val="24"/>
          <w:szCs w:val="24"/>
        </w:rPr>
        <w:t>认为备选投标方案所改变的招标要求和条件是不能被</w:t>
      </w:r>
      <w:r>
        <w:rPr>
          <w:rFonts w:hint="eastAsia" w:ascii="宋体" w:hAnsi="宋体" w:eastAsia="宋体" w:cs="宋体"/>
          <w:sz w:val="24"/>
          <w:szCs w:val="24"/>
          <w:lang w:eastAsia="zh-CN"/>
        </w:rPr>
        <w:t>采购人</w:t>
      </w:r>
      <w:r>
        <w:rPr>
          <w:rFonts w:hint="eastAsia" w:ascii="宋体" w:hAnsi="宋体" w:eastAsia="宋体" w:cs="宋体"/>
          <w:sz w:val="24"/>
          <w:szCs w:val="24"/>
        </w:rPr>
        <w:t>所接受的，则应当宣布备选投标方案不被接受。</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（2）判断备选投标方案的可行性，不可行的备选投标方案应当被宣布为不被接受。</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（3）对比</w:t>
      </w:r>
      <w:r>
        <w:rPr>
          <w:rFonts w:hint="eastAsia" w:ascii="宋体" w:hAnsi="宋体" w:eastAsia="宋体" w:cs="宋体"/>
          <w:sz w:val="24"/>
          <w:szCs w:val="24"/>
          <w:lang w:eastAsia="zh-CN"/>
        </w:rPr>
        <w:t>成交供应商</w:t>
      </w:r>
      <w:r>
        <w:rPr>
          <w:rFonts w:hint="eastAsia" w:ascii="宋体" w:hAnsi="宋体" w:eastAsia="宋体" w:cs="宋体"/>
          <w:sz w:val="24"/>
          <w:szCs w:val="24"/>
        </w:rPr>
        <w:t>或</w:t>
      </w:r>
      <w:r>
        <w:rPr>
          <w:rFonts w:hint="eastAsia" w:ascii="宋体" w:hAnsi="宋体" w:eastAsia="宋体" w:cs="宋体"/>
          <w:sz w:val="24"/>
          <w:szCs w:val="24"/>
          <w:lang w:eastAsia="zh-CN"/>
        </w:rPr>
        <w:t>成交候选供应商</w:t>
      </w:r>
      <w:r>
        <w:rPr>
          <w:rFonts w:hint="eastAsia" w:ascii="宋体" w:hAnsi="宋体" w:eastAsia="宋体" w:cs="宋体"/>
          <w:sz w:val="24"/>
          <w:szCs w:val="24"/>
        </w:rPr>
        <w:t>的正选投标方案和备选投标方案，找出两者之间的偏差，并对偏差对</w:t>
      </w:r>
      <w:r>
        <w:rPr>
          <w:rFonts w:hint="eastAsia" w:ascii="宋体" w:hAnsi="宋体" w:eastAsia="宋体" w:cs="宋体"/>
          <w:sz w:val="24"/>
          <w:szCs w:val="24"/>
          <w:lang w:eastAsia="zh-CN"/>
        </w:rPr>
        <w:t>采购人</w:t>
      </w:r>
      <w:r>
        <w:rPr>
          <w:rFonts w:hint="eastAsia" w:ascii="宋体" w:hAnsi="宋体" w:eastAsia="宋体" w:cs="宋体"/>
          <w:sz w:val="24"/>
          <w:szCs w:val="24"/>
        </w:rPr>
        <w:t>的有利和不利程度做出评估。只有备选投标方案与正选投标方案的偏差对</w:t>
      </w:r>
      <w:r>
        <w:rPr>
          <w:rFonts w:hint="eastAsia" w:ascii="宋体" w:hAnsi="宋体" w:eastAsia="宋体" w:cs="宋体"/>
          <w:sz w:val="24"/>
          <w:szCs w:val="24"/>
          <w:lang w:eastAsia="zh-CN"/>
        </w:rPr>
        <w:t>采购人</w:t>
      </w:r>
      <w:r>
        <w:rPr>
          <w:rFonts w:hint="eastAsia" w:ascii="宋体" w:hAnsi="宋体" w:eastAsia="宋体" w:cs="宋体"/>
          <w:sz w:val="24"/>
          <w:szCs w:val="24"/>
        </w:rPr>
        <w:t>的有利程度明显大于不利程度时，备选投标方案方可以被接受。</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D3.备选投标方案的评审结果</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D3.1备选投标方案的评审报告</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应当出具备选投标方案评审报告，备选投标方案评审报告中应当包括：</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（1）备选投标方案与正选投标方案的主要偏差；</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（2）备选投标方案的科学性与合理性分析；</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（3）备选投标方案对</w:t>
      </w:r>
      <w:r>
        <w:rPr>
          <w:rFonts w:hint="eastAsia" w:ascii="宋体" w:hAnsi="宋体" w:eastAsia="宋体" w:cs="宋体"/>
          <w:sz w:val="24"/>
          <w:szCs w:val="24"/>
          <w:lang w:eastAsia="zh-CN"/>
        </w:rPr>
        <w:t>采购人</w:t>
      </w:r>
      <w:r>
        <w:rPr>
          <w:rFonts w:hint="eastAsia" w:ascii="宋体" w:hAnsi="宋体" w:eastAsia="宋体" w:cs="宋体"/>
          <w:sz w:val="24"/>
          <w:szCs w:val="24"/>
        </w:rPr>
        <w:t>的有利性分析；</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（4）备选投标方案是否可以被采纳。</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D3.2评审结论</w:t>
      </w:r>
    </w:p>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通过评审，</w:t>
      </w:r>
      <w:r>
        <w:rPr>
          <w:rFonts w:hint="eastAsia" w:ascii="宋体" w:hAnsi="宋体" w:eastAsia="宋体" w:cs="宋体"/>
          <w:sz w:val="24"/>
          <w:szCs w:val="24"/>
          <w:lang w:eastAsia="zh-CN"/>
        </w:rPr>
        <w:t>磋商小组</w:t>
      </w:r>
      <w:r>
        <w:rPr>
          <w:rFonts w:hint="eastAsia" w:ascii="宋体" w:hAnsi="宋体" w:eastAsia="宋体" w:cs="宋体"/>
          <w:sz w:val="24"/>
          <w:szCs w:val="24"/>
        </w:rPr>
        <w:t>只做出备选投标方案是否可以被采纳的决定，但不做出</w:t>
      </w:r>
      <w:r>
        <w:rPr>
          <w:rFonts w:hint="eastAsia" w:ascii="宋体" w:hAnsi="宋体" w:eastAsia="宋体" w:cs="宋体"/>
          <w:sz w:val="24"/>
          <w:szCs w:val="24"/>
          <w:lang w:eastAsia="zh-CN"/>
        </w:rPr>
        <w:t>成交供应商</w:t>
      </w:r>
      <w:r>
        <w:rPr>
          <w:rFonts w:hint="eastAsia" w:ascii="宋体" w:hAnsi="宋体" w:eastAsia="宋体" w:cs="宋体"/>
          <w:sz w:val="24"/>
          <w:szCs w:val="24"/>
        </w:rPr>
        <w:t>应当按正选投标方案或备选投标方案中标的决定。</w:t>
      </w:r>
      <w:r>
        <w:rPr>
          <w:rFonts w:hint="eastAsia" w:ascii="宋体" w:hAnsi="宋体" w:eastAsia="宋体" w:cs="宋体"/>
          <w:sz w:val="24"/>
          <w:szCs w:val="24"/>
          <w:lang w:eastAsia="zh-CN"/>
        </w:rPr>
        <w:t>成交供应商</w:t>
      </w:r>
      <w:r>
        <w:rPr>
          <w:rFonts w:hint="eastAsia" w:ascii="宋体" w:hAnsi="宋体" w:eastAsia="宋体" w:cs="宋体"/>
          <w:sz w:val="24"/>
          <w:szCs w:val="24"/>
        </w:rPr>
        <w:t>是否按备选投标方案中标的决定，由</w:t>
      </w:r>
      <w:r>
        <w:rPr>
          <w:rFonts w:hint="eastAsia" w:ascii="宋体" w:hAnsi="宋体" w:eastAsia="宋体" w:cs="宋体"/>
          <w:sz w:val="24"/>
          <w:szCs w:val="24"/>
          <w:lang w:eastAsia="zh-CN"/>
        </w:rPr>
        <w:t>采购人</w:t>
      </w:r>
      <w:r>
        <w:rPr>
          <w:rFonts w:hint="eastAsia" w:ascii="宋体" w:hAnsi="宋体" w:eastAsia="宋体" w:cs="宋体"/>
          <w:sz w:val="24"/>
          <w:szCs w:val="24"/>
        </w:rPr>
        <w:t>依据</w:t>
      </w:r>
      <w:r>
        <w:rPr>
          <w:rFonts w:hint="eastAsia" w:ascii="宋体" w:hAnsi="宋体" w:eastAsia="宋体" w:cs="宋体"/>
          <w:sz w:val="24"/>
          <w:szCs w:val="24"/>
          <w:lang w:eastAsia="zh-CN"/>
        </w:rPr>
        <w:t>磋商小组</w:t>
      </w:r>
      <w:r>
        <w:rPr>
          <w:rFonts w:hint="eastAsia" w:ascii="宋体" w:hAnsi="宋体" w:eastAsia="宋体" w:cs="宋体"/>
          <w:sz w:val="24"/>
          <w:szCs w:val="24"/>
        </w:rPr>
        <w:t>的评审报告做出。</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b/>
          <w:bCs/>
          <w:sz w:val="24"/>
          <w:szCs w:val="24"/>
        </w:rPr>
        <w:t>D4.补充条款</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sz w:val="24"/>
          <w:szCs w:val="24"/>
          <w:lang w:eastAsia="zh-CN"/>
        </w:rPr>
      </w:pPr>
      <w:r>
        <w:rPr>
          <w:rFonts w:hint="eastAsia" w:ascii="宋体" w:hAnsi="宋体" w:eastAsia="宋体" w:cs="宋体"/>
          <w:b/>
          <w:bCs/>
          <w:sz w:val="32"/>
          <w:szCs w:val="32"/>
        </w:rPr>
        <w:t>附件</w:t>
      </w:r>
      <w:r>
        <w:rPr>
          <w:rFonts w:hint="eastAsia" w:ascii="宋体" w:hAnsi="宋体" w:eastAsia="宋体" w:cs="宋体"/>
          <w:b/>
          <w:bCs/>
          <w:sz w:val="32"/>
          <w:szCs w:val="32"/>
          <w:lang w:val="en-US" w:eastAsia="zh-CN"/>
        </w:rPr>
        <w:t>E</w:t>
      </w:r>
      <w:r>
        <w:rPr>
          <w:rFonts w:hint="eastAsia" w:ascii="宋体" w:hAnsi="宋体" w:eastAsia="宋体" w:cs="宋体"/>
          <w:b/>
          <w:bCs/>
          <w:sz w:val="32"/>
          <w:szCs w:val="32"/>
        </w:rPr>
        <w:t>：</w:t>
      </w:r>
      <w:r>
        <w:rPr>
          <w:rFonts w:hint="eastAsia" w:ascii="宋体" w:hAnsi="宋体" w:eastAsia="宋体" w:cs="宋体"/>
          <w:b/>
          <w:bCs/>
          <w:sz w:val="32"/>
          <w:szCs w:val="32"/>
          <w:lang w:eastAsia="zh-CN"/>
        </w:rPr>
        <w:t>计算机辅助评标方法</w:t>
      </w:r>
    </w:p>
    <w:p>
      <w:pPr>
        <w:pStyle w:val="61"/>
        <w:keepNext w:val="0"/>
        <w:keepLines w:val="0"/>
        <w:pageBreakBefore w:val="0"/>
        <w:widowControl w:val="0"/>
        <w:kinsoku/>
        <w:wordWrap w:val="0"/>
        <w:overflowPunct/>
        <w:topLinePunct w:val="0"/>
        <w:autoSpaceDE/>
        <w:autoSpaceDN/>
        <w:bidi w:val="0"/>
        <w:ind w:left="0" w:leftChars="0" w:right="0" w:rightChars="0" w:firstLine="0" w:firstLineChars="0"/>
        <w:jc w:val="center"/>
        <w:outlineLvl w:val="9"/>
        <w:rPr>
          <w:rFonts w:hint="eastAsia" w:ascii="宋体" w:hAnsi="宋体" w:eastAsia="宋体" w:cs="宋体"/>
          <w:sz w:val="24"/>
          <w:szCs w:val="24"/>
        </w:rPr>
      </w:pPr>
      <w:r>
        <w:rPr>
          <w:rFonts w:hint="eastAsia" w:ascii="宋体" w:hAnsi="宋体" w:eastAsia="宋体" w:cs="宋体"/>
          <w:b/>
          <w:bCs/>
          <w:sz w:val="32"/>
          <w:szCs w:val="32"/>
          <w:lang w:eastAsia="zh-CN"/>
        </w:rPr>
        <w:t>计算机辅助评标方法</w:t>
      </w: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sz w:val="24"/>
          <w:szCs w:val="24"/>
          <w:lang w:eastAsia="zh-CN"/>
        </w:rPr>
      </w:pP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备注：本附件的具体内容由采购人根据各地和招标项目的具体情况自行编写。</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lang w:eastAsia="zh-CN"/>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附表A-1：</w:t>
      </w:r>
      <w:r>
        <w:rPr>
          <w:rFonts w:hint="eastAsia" w:ascii="宋体" w:hAnsi="宋体" w:eastAsia="宋体" w:cs="宋体"/>
          <w:b/>
          <w:bCs/>
          <w:sz w:val="32"/>
          <w:szCs w:val="32"/>
          <w:lang w:eastAsia="zh-CN"/>
        </w:rPr>
        <w:t>磋商小组</w:t>
      </w:r>
      <w:r>
        <w:rPr>
          <w:rFonts w:hint="eastAsia" w:ascii="宋体" w:hAnsi="宋体" w:eastAsia="宋体" w:cs="宋体"/>
          <w:b/>
          <w:bCs/>
          <w:sz w:val="32"/>
          <w:szCs w:val="32"/>
        </w:rPr>
        <w:t>签到表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lang w:eastAsia="zh-CN"/>
        </w:rPr>
        <w:t>磋商小组</w:t>
      </w:r>
      <w:r>
        <w:rPr>
          <w:rFonts w:hint="eastAsia" w:ascii="宋体" w:hAnsi="宋体" w:eastAsia="宋体" w:cs="宋体"/>
          <w:b/>
          <w:bCs/>
          <w:sz w:val="32"/>
          <w:szCs w:val="32"/>
        </w:rPr>
        <w:t>签到表</w:t>
      </w:r>
    </w:p>
    <w:p>
      <w:pPr>
        <w:pStyle w:val="61"/>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标段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评标时间：</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tbl>
      <w:tblPr>
        <w:tblStyle w:val="43"/>
        <w:tblW w:w="9697" w:type="dxa"/>
        <w:jc w:val="center"/>
        <w:tblLayout w:type="fixed"/>
        <w:tblCellMar>
          <w:top w:w="0" w:type="dxa"/>
          <w:left w:w="0" w:type="dxa"/>
          <w:bottom w:w="0" w:type="dxa"/>
          <w:right w:w="0" w:type="dxa"/>
        </w:tblCellMar>
      </w:tblPr>
      <w:tblGrid>
        <w:gridCol w:w="820"/>
        <w:gridCol w:w="2413"/>
        <w:gridCol w:w="1616"/>
        <w:gridCol w:w="1616"/>
        <w:gridCol w:w="1616"/>
        <w:gridCol w:w="1616"/>
      </w:tblGrid>
      <w:tr>
        <w:tblPrEx>
          <w:tblCellMar>
            <w:top w:w="0" w:type="dxa"/>
            <w:left w:w="0" w:type="dxa"/>
            <w:bottom w:w="0" w:type="dxa"/>
            <w:right w:w="0" w:type="dxa"/>
          </w:tblCellMar>
        </w:tblPrEx>
        <w:trPr>
          <w:trHeight w:val="1066" w:hRule="atLeast"/>
          <w:jc w:val="center"/>
        </w:trPr>
        <w:tc>
          <w:tcPr>
            <w:tcW w:w="82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姓名</w:t>
            </w: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职称</w:t>
            </w: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工作单位</w:t>
            </w: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专家证号码</w:t>
            </w: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签到时间</w:t>
            </w:r>
          </w:p>
        </w:tc>
      </w:tr>
      <w:tr>
        <w:tblPrEx>
          <w:tblCellMar>
            <w:top w:w="0" w:type="dxa"/>
            <w:left w:w="0" w:type="dxa"/>
            <w:bottom w:w="0" w:type="dxa"/>
            <w:right w:w="0" w:type="dxa"/>
          </w:tblCellMar>
        </w:tblPrEx>
        <w:trPr>
          <w:trHeight w:val="765" w:hRule="atLeast"/>
          <w:jc w:val="center"/>
        </w:trPr>
        <w:tc>
          <w:tcPr>
            <w:tcW w:w="82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65" w:hRule="atLeast"/>
          <w:jc w:val="center"/>
        </w:trPr>
        <w:tc>
          <w:tcPr>
            <w:tcW w:w="82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65" w:hRule="atLeast"/>
          <w:jc w:val="center"/>
        </w:trPr>
        <w:tc>
          <w:tcPr>
            <w:tcW w:w="82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65" w:hRule="atLeast"/>
          <w:jc w:val="center"/>
        </w:trPr>
        <w:tc>
          <w:tcPr>
            <w:tcW w:w="82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65" w:hRule="atLeast"/>
          <w:jc w:val="center"/>
        </w:trPr>
        <w:tc>
          <w:tcPr>
            <w:tcW w:w="82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65" w:hRule="atLeast"/>
          <w:jc w:val="center"/>
        </w:trPr>
        <w:tc>
          <w:tcPr>
            <w:tcW w:w="82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6</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65" w:hRule="atLeast"/>
          <w:jc w:val="center"/>
        </w:trPr>
        <w:tc>
          <w:tcPr>
            <w:tcW w:w="82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7</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65" w:hRule="atLeast"/>
          <w:jc w:val="center"/>
        </w:trPr>
        <w:tc>
          <w:tcPr>
            <w:tcW w:w="82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8</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97" w:hRule="atLeast"/>
          <w:jc w:val="center"/>
        </w:trPr>
        <w:tc>
          <w:tcPr>
            <w:tcW w:w="82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9</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61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附表A-2：形式评审记录表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形式评审记录表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w:t>
      </w:r>
    </w:p>
    <w:tbl>
      <w:tblPr>
        <w:tblStyle w:val="43"/>
        <w:tblW w:w="0" w:type="auto"/>
        <w:jc w:val="center"/>
        <w:tblLayout w:type="fixed"/>
        <w:tblCellMar>
          <w:top w:w="0" w:type="dxa"/>
          <w:left w:w="0" w:type="dxa"/>
          <w:bottom w:w="0" w:type="dxa"/>
          <w:right w:w="0" w:type="dxa"/>
        </w:tblCellMar>
      </w:tblPr>
      <w:tblGrid>
        <w:gridCol w:w="913"/>
        <w:gridCol w:w="1483"/>
        <w:gridCol w:w="850"/>
        <w:gridCol w:w="850"/>
        <w:gridCol w:w="850"/>
        <w:gridCol w:w="850"/>
        <w:gridCol w:w="850"/>
        <w:gridCol w:w="850"/>
        <w:gridCol w:w="850"/>
        <w:gridCol w:w="850"/>
        <w:gridCol w:w="862"/>
      </w:tblGrid>
      <w:tr>
        <w:tblPrEx>
          <w:tblCellMar>
            <w:top w:w="0" w:type="dxa"/>
            <w:left w:w="0" w:type="dxa"/>
            <w:bottom w:w="0" w:type="dxa"/>
            <w:right w:w="0" w:type="dxa"/>
          </w:tblCellMar>
        </w:tblPrEx>
        <w:trPr>
          <w:trHeight w:val="560" w:hRule="atLeast"/>
          <w:jc w:val="center"/>
        </w:trPr>
        <w:tc>
          <w:tcPr>
            <w:tcW w:w="913"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483"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评审因素</w:t>
            </w:r>
          </w:p>
        </w:tc>
        <w:tc>
          <w:tcPr>
            <w:tcW w:w="7662" w:type="dxa"/>
            <w:gridSpan w:val="9"/>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名称及评审意见</w:t>
            </w:r>
          </w:p>
        </w:tc>
      </w:tr>
      <w:tr>
        <w:tblPrEx>
          <w:tblCellMar>
            <w:top w:w="0" w:type="dxa"/>
            <w:left w:w="0" w:type="dxa"/>
            <w:bottom w:w="0" w:type="dxa"/>
            <w:right w:w="0" w:type="dxa"/>
          </w:tblCellMar>
        </w:tblPrEx>
        <w:trPr>
          <w:trHeight w:val="560" w:hRule="atLeast"/>
          <w:jc w:val="center"/>
        </w:trPr>
        <w:tc>
          <w:tcPr>
            <w:tcW w:w="913"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83"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56" w:hRule="atLeast"/>
          <w:jc w:val="center"/>
        </w:trPr>
        <w:tc>
          <w:tcPr>
            <w:tcW w:w="9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569" w:hRule="atLeast"/>
          <w:jc w:val="center"/>
        </w:trPr>
        <w:tc>
          <w:tcPr>
            <w:tcW w:w="9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投标函签字盖章</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56" w:hRule="atLeast"/>
          <w:jc w:val="center"/>
        </w:trPr>
        <w:tc>
          <w:tcPr>
            <w:tcW w:w="9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响应文件</w:t>
            </w:r>
            <w:r>
              <w:rPr>
                <w:rFonts w:hint="eastAsia" w:ascii="宋体" w:hAnsi="宋体" w:eastAsia="宋体" w:cs="宋体"/>
                <w:sz w:val="24"/>
                <w:szCs w:val="24"/>
              </w:rPr>
              <w:t>格式</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56" w:hRule="atLeast"/>
          <w:jc w:val="center"/>
        </w:trPr>
        <w:tc>
          <w:tcPr>
            <w:tcW w:w="9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联合体</w:t>
            </w:r>
            <w:r>
              <w:rPr>
                <w:rFonts w:hint="eastAsia" w:ascii="宋体" w:hAnsi="宋体" w:eastAsia="宋体" w:cs="宋体"/>
                <w:sz w:val="24"/>
                <w:szCs w:val="24"/>
                <w:lang w:eastAsia="zh-CN"/>
              </w:rPr>
              <w:t>供应商</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56" w:hRule="atLeast"/>
          <w:jc w:val="center"/>
        </w:trPr>
        <w:tc>
          <w:tcPr>
            <w:tcW w:w="9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报价唯一</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79" w:hRule="atLeast"/>
          <w:jc w:val="center"/>
        </w:trPr>
        <w:tc>
          <w:tcPr>
            <w:tcW w:w="91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6</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全体成员签名：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附表A-3：资格评审记录表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资格评审记录表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w:t>
      </w:r>
    </w:p>
    <w:tbl>
      <w:tblPr>
        <w:tblStyle w:val="43"/>
        <w:tblW w:w="0" w:type="auto"/>
        <w:jc w:val="center"/>
        <w:tblLayout w:type="fixed"/>
        <w:tblCellMar>
          <w:top w:w="0" w:type="dxa"/>
          <w:left w:w="0" w:type="dxa"/>
          <w:bottom w:w="0" w:type="dxa"/>
          <w:right w:w="0" w:type="dxa"/>
        </w:tblCellMar>
      </w:tblPr>
      <w:tblGrid>
        <w:gridCol w:w="711"/>
        <w:gridCol w:w="1397"/>
        <w:gridCol w:w="866"/>
        <w:gridCol w:w="867"/>
        <w:gridCol w:w="867"/>
        <w:gridCol w:w="867"/>
        <w:gridCol w:w="867"/>
        <w:gridCol w:w="867"/>
        <w:gridCol w:w="867"/>
        <w:gridCol w:w="875"/>
        <w:gridCol w:w="867"/>
      </w:tblGrid>
      <w:tr>
        <w:tblPrEx>
          <w:tblCellMar>
            <w:top w:w="0" w:type="dxa"/>
            <w:left w:w="0" w:type="dxa"/>
            <w:bottom w:w="0" w:type="dxa"/>
            <w:right w:w="0" w:type="dxa"/>
          </w:tblCellMar>
        </w:tblPrEx>
        <w:trPr>
          <w:trHeight w:val="569" w:hRule="atLeast"/>
          <w:jc w:val="center"/>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397"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评审因素</w:t>
            </w:r>
          </w:p>
        </w:tc>
        <w:tc>
          <w:tcPr>
            <w:tcW w:w="6943" w:type="dxa"/>
            <w:gridSpan w:val="8"/>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名称及评审意见</w:t>
            </w: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70" w:hRule="atLeast"/>
          <w:jc w:val="center"/>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97"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49"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3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营业执照</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264"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3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安全生产许可证</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49"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3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资质等级</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49"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13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财务状况</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49"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13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类似项目业绩</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79"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6</w:t>
            </w:r>
          </w:p>
        </w:tc>
        <w:tc>
          <w:tcPr>
            <w:tcW w:w="13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信誉</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49"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7</w:t>
            </w:r>
          </w:p>
        </w:tc>
        <w:tc>
          <w:tcPr>
            <w:tcW w:w="13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项目经理</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49"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8</w:t>
            </w:r>
          </w:p>
        </w:tc>
        <w:tc>
          <w:tcPr>
            <w:tcW w:w="13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其他要求</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49"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9</w:t>
            </w:r>
          </w:p>
        </w:tc>
        <w:tc>
          <w:tcPr>
            <w:tcW w:w="13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联合体</w:t>
            </w:r>
            <w:r>
              <w:rPr>
                <w:rFonts w:hint="eastAsia" w:ascii="宋体" w:hAnsi="宋体" w:eastAsia="宋体" w:cs="宋体"/>
                <w:sz w:val="24"/>
                <w:szCs w:val="24"/>
                <w:lang w:eastAsia="zh-CN"/>
              </w:rPr>
              <w:t>供应商</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00" w:hRule="atLeast"/>
          <w:jc w:val="center"/>
        </w:trPr>
        <w:tc>
          <w:tcPr>
            <w:tcW w:w="7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10</w:t>
            </w:r>
          </w:p>
        </w:tc>
        <w:tc>
          <w:tcPr>
            <w:tcW w:w="13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6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全体成员签名：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附表A-4：响应性评审记录表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响应性评审记录表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w:t>
      </w:r>
    </w:p>
    <w:tbl>
      <w:tblPr>
        <w:tblStyle w:val="43"/>
        <w:tblW w:w="0" w:type="auto"/>
        <w:jc w:val="center"/>
        <w:tblLayout w:type="fixed"/>
        <w:tblCellMar>
          <w:top w:w="0" w:type="dxa"/>
          <w:left w:w="0" w:type="dxa"/>
          <w:bottom w:w="0" w:type="dxa"/>
          <w:right w:w="0" w:type="dxa"/>
        </w:tblCellMar>
      </w:tblPr>
      <w:tblGrid>
        <w:gridCol w:w="588"/>
        <w:gridCol w:w="1534"/>
        <w:gridCol w:w="871"/>
        <w:gridCol w:w="871"/>
        <w:gridCol w:w="871"/>
        <w:gridCol w:w="871"/>
        <w:gridCol w:w="871"/>
        <w:gridCol w:w="871"/>
        <w:gridCol w:w="871"/>
        <w:gridCol w:w="871"/>
        <w:gridCol w:w="889"/>
      </w:tblGrid>
      <w:tr>
        <w:tblPrEx>
          <w:tblCellMar>
            <w:top w:w="0" w:type="dxa"/>
            <w:left w:w="0" w:type="dxa"/>
            <w:bottom w:w="0" w:type="dxa"/>
            <w:right w:w="0" w:type="dxa"/>
          </w:tblCellMar>
        </w:tblPrEx>
        <w:trPr>
          <w:trHeight w:val="655" w:hRule="atLeast"/>
          <w:jc w:val="center"/>
        </w:trPr>
        <w:tc>
          <w:tcPr>
            <w:tcW w:w="588"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534"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评审因素</w:t>
            </w:r>
          </w:p>
        </w:tc>
        <w:tc>
          <w:tcPr>
            <w:tcW w:w="7857" w:type="dxa"/>
            <w:gridSpan w:val="9"/>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名称及评审意见</w:t>
            </w:r>
          </w:p>
        </w:tc>
      </w:tr>
      <w:tr>
        <w:tblPrEx>
          <w:tblCellMar>
            <w:top w:w="0" w:type="dxa"/>
            <w:left w:w="0" w:type="dxa"/>
            <w:bottom w:w="0" w:type="dxa"/>
            <w:right w:w="0" w:type="dxa"/>
          </w:tblCellMar>
        </w:tblPrEx>
        <w:trPr>
          <w:trHeight w:val="655" w:hRule="atLeast"/>
          <w:jc w:val="center"/>
        </w:trPr>
        <w:tc>
          <w:tcPr>
            <w:tcW w:w="588"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34"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74"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53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投标内容</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74"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53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工期</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74"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53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工程质量</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15"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153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投标有效期</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15"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153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磋商保证金</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74"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6</w:t>
            </w:r>
          </w:p>
        </w:tc>
        <w:tc>
          <w:tcPr>
            <w:tcW w:w="153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权利义务</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15"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7</w:t>
            </w:r>
          </w:p>
        </w:tc>
        <w:tc>
          <w:tcPr>
            <w:tcW w:w="153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已标价工程量清单</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15"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8</w:t>
            </w:r>
          </w:p>
        </w:tc>
        <w:tc>
          <w:tcPr>
            <w:tcW w:w="153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技术标准和要求</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74"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9</w:t>
            </w:r>
          </w:p>
        </w:tc>
        <w:tc>
          <w:tcPr>
            <w:tcW w:w="153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投标价格</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47" w:hRule="atLeast"/>
          <w:jc w:val="center"/>
        </w:trPr>
        <w:tc>
          <w:tcPr>
            <w:tcW w:w="5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10</w:t>
            </w:r>
          </w:p>
        </w:tc>
        <w:tc>
          <w:tcPr>
            <w:tcW w:w="153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全体成员签名：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附表A-5：施工组织设计评审记录表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b/>
          <w:bCs/>
          <w:sz w:val="32"/>
          <w:szCs w:val="32"/>
        </w:rPr>
        <w:t>施工组织设计评审记录表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w:t>
      </w:r>
    </w:p>
    <w:tbl>
      <w:tblPr>
        <w:tblStyle w:val="43"/>
        <w:tblW w:w="0" w:type="auto"/>
        <w:jc w:val="center"/>
        <w:tblLayout w:type="fixed"/>
        <w:tblCellMar>
          <w:top w:w="0" w:type="dxa"/>
          <w:left w:w="0" w:type="dxa"/>
          <w:bottom w:w="0" w:type="dxa"/>
          <w:right w:w="0" w:type="dxa"/>
        </w:tblCellMar>
      </w:tblPr>
      <w:tblGrid>
        <w:gridCol w:w="609"/>
        <w:gridCol w:w="1929"/>
        <w:gridCol w:w="770"/>
        <w:gridCol w:w="842"/>
        <w:gridCol w:w="842"/>
        <w:gridCol w:w="842"/>
        <w:gridCol w:w="842"/>
        <w:gridCol w:w="842"/>
        <w:gridCol w:w="842"/>
        <w:gridCol w:w="842"/>
        <w:gridCol w:w="856"/>
      </w:tblGrid>
      <w:tr>
        <w:tblPrEx>
          <w:tblCellMar>
            <w:top w:w="0" w:type="dxa"/>
            <w:left w:w="0" w:type="dxa"/>
            <w:bottom w:w="0" w:type="dxa"/>
            <w:right w:w="0" w:type="dxa"/>
          </w:tblCellMar>
        </w:tblPrEx>
        <w:trPr>
          <w:trHeight w:val="406" w:hRule="atLeast"/>
          <w:jc w:val="center"/>
        </w:trPr>
        <w:tc>
          <w:tcPr>
            <w:tcW w:w="609"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929"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评分项目</w:t>
            </w:r>
          </w:p>
        </w:tc>
        <w:tc>
          <w:tcPr>
            <w:tcW w:w="770"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标准分</w:t>
            </w:r>
          </w:p>
        </w:tc>
        <w:tc>
          <w:tcPr>
            <w:tcW w:w="6750" w:type="dxa"/>
            <w:gridSpan w:val="8"/>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名称代码</w:t>
            </w:r>
          </w:p>
        </w:tc>
      </w:tr>
      <w:tr>
        <w:tblPrEx>
          <w:tblCellMar>
            <w:top w:w="0" w:type="dxa"/>
            <w:left w:w="0" w:type="dxa"/>
            <w:bottom w:w="0" w:type="dxa"/>
            <w:right w:w="0" w:type="dxa"/>
          </w:tblCellMar>
        </w:tblPrEx>
        <w:trPr>
          <w:trHeight w:val="754" w:hRule="atLeast"/>
          <w:jc w:val="center"/>
        </w:trPr>
        <w:tc>
          <w:tcPr>
            <w:tcW w:w="609"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929"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77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39" w:hRule="atLeast"/>
          <w:jc w:val="center"/>
        </w:trPr>
        <w:tc>
          <w:tcPr>
            <w:tcW w:w="6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内容完整性和编制水平</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39" w:hRule="atLeast"/>
          <w:jc w:val="center"/>
        </w:trPr>
        <w:tc>
          <w:tcPr>
            <w:tcW w:w="6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施工方案与技术措施</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39" w:hRule="atLeast"/>
          <w:jc w:val="center"/>
        </w:trPr>
        <w:tc>
          <w:tcPr>
            <w:tcW w:w="6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质量管理体系与措施</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39" w:hRule="atLeast"/>
          <w:jc w:val="center"/>
        </w:trPr>
        <w:tc>
          <w:tcPr>
            <w:tcW w:w="6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安全管理体系与措施</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149" w:hRule="atLeast"/>
          <w:jc w:val="center"/>
        </w:trPr>
        <w:tc>
          <w:tcPr>
            <w:tcW w:w="6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环境保护管理体系与措施</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39" w:hRule="atLeast"/>
          <w:jc w:val="center"/>
        </w:trPr>
        <w:tc>
          <w:tcPr>
            <w:tcW w:w="6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6</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工程进度计划与措施</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73" w:hRule="atLeast"/>
          <w:jc w:val="center"/>
        </w:trPr>
        <w:tc>
          <w:tcPr>
            <w:tcW w:w="6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7</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资源配备计划</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06" w:hRule="atLeast"/>
          <w:jc w:val="center"/>
        </w:trPr>
        <w:tc>
          <w:tcPr>
            <w:tcW w:w="6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8</w:t>
            </w:r>
          </w:p>
        </w:tc>
        <w:tc>
          <w:tcPr>
            <w:tcW w:w="192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77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67" w:hRule="atLeast"/>
          <w:jc w:val="center"/>
        </w:trPr>
        <w:tc>
          <w:tcPr>
            <w:tcW w:w="3308" w:type="dxa"/>
            <w:gridSpan w:val="3"/>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施工组织设计得分合计A</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(满分</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5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 xml:space="preserve">成员签名：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附表A-6：项目管理机构评审记录表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项目管理机构评审记录表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w:t>
      </w:r>
    </w:p>
    <w:tbl>
      <w:tblPr>
        <w:tblStyle w:val="43"/>
        <w:tblW w:w="0" w:type="auto"/>
        <w:jc w:val="center"/>
        <w:tblLayout w:type="fixed"/>
        <w:tblCellMar>
          <w:top w:w="0" w:type="dxa"/>
          <w:left w:w="0" w:type="dxa"/>
          <w:bottom w:w="0" w:type="dxa"/>
          <w:right w:w="0" w:type="dxa"/>
        </w:tblCellMar>
      </w:tblPr>
      <w:tblGrid>
        <w:gridCol w:w="664"/>
        <w:gridCol w:w="2189"/>
        <w:gridCol w:w="757"/>
        <w:gridCol w:w="892"/>
        <w:gridCol w:w="892"/>
        <w:gridCol w:w="892"/>
        <w:gridCol w:w="892"/>
        <w:gridCol w:w="892"/>
        <w:gridCol w:w="892"/>
        <w:gridCol w:w="896"/>
      </w:tblGrid>
      <w:tr>
        <w:tblPrEx>
          <w:tblCellMar>
            <w:top w:w="0" w:type="dxa"/>
            <w:left w:w="0" w:type="dxa"/>
            <w:bottom w:w="0" w:type="dxa"/>
            <w:right w:w="0" w:type="dxa"/>
          </w:tblCellMar>
        </w:tblPrEx>
        <w:trPr>
          <w:trHeight w:val="620" w:hRule="atLeast"/>
          <w:jc w:val="center"/>
        </w:trPr>
        <w:tc>
          <w:tcPr>
            <w:tcW w:w="664"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2189"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评分项目</w:t>
            </w:r>
          </w:p>
        </w:tc>
        <w:tc>
          <w:tcPr>
            <w:tcW w:w="757"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标准分</w:t>
            </w:r>
          </w:p>
        </w:tc>
        <w:tc>
          <w:tcPr>
            <w:tcW w:w="6248"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名称代码</w:t>
            </w:r>
          </w:p>
        </w:tc>
      </w:tr>
      <w:tr>
        <w:tblPrEx>
          <w:tblCellMar>
            <w:top w:w="0" w:type="dxa"/>
            <w:left w:w="0" w:type="dxa"/>
            <w:bottom w:w="0" w:type="dxa"/>
            <w:right w:w="0" w:type="dxa"/>
          </w:tblCellMar>
        </w:tblPrEx>
        <w:trPr>
          <w:trHeight w:val="1005" w:hRule="atLeast"/>
          <w:jc w:val="center"/>
        </w:trPr>
        <w:tc>
          <w:tcPr>
            <w:tcW w:w="664"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189"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7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84" w:hRule="atLeast"/>
          <w:jc w:val="center"/>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1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项目经理任职资格与业绩</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084" w:hRule="atLeast"/>
          <w:jc w:val="center"/>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1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技术负责人任职资格与业绩</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68" w:hRule="atLeast"/>
          <w:jc w:val="center"/>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21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其他主要人员</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68" w:hRule="atLeast"/>
          <w:jc w:val="center"/>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21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75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108" w:hRule="atLeast"/>
          <w:jc w:val="center"/>
        </w:trPr>
        <w:tc>
          <w:tcPr>
            <w:tcW w:w="3610" w:type="dxa"/>
            <w:gridSpan w:val="3"/>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项目管理机构得分合计B</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(满分</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 xml:space="preserve">成员签名：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附表A-7：投标报价评分记录表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投标报价评分记录表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标段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单位：人民币元</w:t>
      </w:r>
    </w:p>
    <w:tbl>
      <w:tblPr>
        <w:tblStyle w:val="43"/>
        <w:tblW w:w="0" w:type="auto"/>
        <w:jc w:val="center"/>
        <w:tblLayout w:type="fixed"/>
        <w:tblCellMar>
          <w:top w:w="0" w:type="dxa"/>
          <w:left w:w="0" w:type="dxa"/>
          <w:bottom w:w="0" w:type="dxa"/>
          <w:right w:w="0" w:type="dxa"/>
        </w:tblCellMar>
      </w:tblPr>
      <w:tblGrid>
        <w:gridCol w:w="1239"/>
        <w:gridCol w:w="1239"/>
        <w:gridCol w:w="1239"/>
        <w:gridCol w:w="1239"/>
        <w:gridCol w:w="1239"/>
        <w:gridCol w:w="1239"/>
        <w:gridCol w:w="1239"/>
        <w:gridCol w:w="1246"/>
      </w:tblGrid>
      <w:tr>
        <w:tblPrEx>
          <w:tblCellMar>
            <w:top w:w="0" w:type="dxa"/>
            <w:left w:w="0" w:type="dxa"/>
            <w:bottom w:w="0" w:type="dxa"/>
            <w:right w:w="0" w:type="dxa"/>
          </w:tblCellMar>
        </w:tblPrEx>
        <w:trPr>
          <w:trHeight w:val="673" w:hRule="atLeast"/>
          <w:jc w:val="center"/>
        </w:trPr>
        <w:tc>
          <w:tcPr>
            <w:tcW w:w="1239"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w:t>
            </w:r>
          </w:p>
        </w:tc>
        <w:tc>
          <w:tcPr>
            <w:tcW w:w="8680"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c>
      </w:tr>
      <w:tr>
        <w:tblPrEx>
          <w:tblCellMar>
            <w:top w:w="0" w:type="dxa"/>
            <w:left w:w="0" w:type="dxa"/>
            <w:bottom w:w="0" w:type="dxa"/>
            <w:right w:w="0" w:type="dxa"/>
          </w:tblCellMar>
        </w:tblPrEx>
        <w:trPr>
          <w:trHeight w:val="673" w:hRule="atLeast"/>
          <w:jc w:val="center"/>
        </w:trPr>
        <w:tc>
          <w:tcPr>
            <w:tcW w:w="1239"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33" w:hRule="atLeast"/>
          <w:jc w:val="center"/>
        </w:trPr>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投标报价</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73" w:hRule="atLeast"/>
          <w:jc w:val="center"/>
        </w:trPr>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偏差率</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2300" w:hRule="atLeast"/>
          <w:jc w:val="center"/>
        </w:trPr>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投标报价得分C</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(满分</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73" w:hRule="atLeast"/>
          <w:jc w:val="center"/>
        </w:trPr>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基准价</w:t>
            </w:r>
          </w:p>
        </w:tc>
        <w:tc>
          <w:tcPr>
            <w:tcW w:w="8680"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55" w:hRule="atLeast"/>
          <w:jc w:val="center"/>
        </w:trPr>
        <w:tc>
          <w:tcPr>
            <w:tcW w:w="123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标底(如果有)</w:t>
            </w:r>
          </w:p>
        </w:tc>
        <w:tc>
          <w:tcPr>
            <w:tcW w:w="8680"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 xml:space="preserve">成员签名：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日期：    年  月  日</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备注：采用分项报价分别评分的，每个分项报价的评分分别使用一张本表格进行评分。</w:t>
      </w:r>
      <w:r>
        <w:rPr>
          <w:rFonts w:hint="eastAsia" w:ascii="宋体" w:hAnsi="宋体" w:eastAsia="宋体" w:cs="宋体"/>
          <w:sz w:val="24"/>
          <w:szCs w:val="24"/>
          <w:lang w:eastAsia="zh-CN"/>
        </w:rPr>
        <w:t>采购人</w:t>
      </w:r>
      <w:r>
        <w:rPr>
          <w:rFonts w:hint="eastAsia" w:ascii="宋体" w:hAnsi="宋体" w:eastAsia="宋体" w:cs="宋体"/>
          <w:sz w:val="24"/>
          <w:szCs w:val="24"/>
        </w:rPr>
        <w:t>应参照本表格式另行制订投标报价评分汇总表供投标报价评分结果汇总使用。相应地，</w:t>
      </w:r>
      <w:r>
        <w:rPr>
          <w:rFonts w:hint="eastAsia" w:ascii="宋体" w:hAnsi="宋体" w:eastAsia="宋体" w:cs="宋体"/>
          <w:sz w:val="24"/>
          <w:szCs w:val="24"/>
          <w:lang w:eastAsia="zh-CN"/>
        </w:rPr>
        <w:t>采购人</w:t>
      </w:r>
      <w:r>
        <w:rPr>
          <w:rFonts w:hint="eastAsia" w:ascii="宋体" w:hAnsi="宋体" w:eastAsia="宋体" w:cs="宋体"/>
          <w:sz w:val="24"/>
          <w:szCs w:val="24"/>
        </w:rPr>
        <w:t>应当调整第八章“</w:t>
      </w:r>
      <w:r>
        <w:rPr>
          <w:rFonts w:hint="eastAsia" w:ascii="宋体" w:hAnsi="宋体" w:eastAsia="宋体" w:cs="宋体"/>
          <w:sz w:val="24"/>
          <w:szCs w:val="24"/>
          <w:lang w:eastAsia="zh-CN"/>
        </w:rPr>
        <w:t>响应文件</w:t>
      </w:r>
      <w:r>
        <w:rPr>
          <w:rFonts w:hint="eastAsia" w:ascii="宋体" w:hAnsi="宋体" w:eastAsia="宋体" w:cs="宋体"/>
          <w:sz w:val="24"/>
          <w:szCs w:val="24"/>
        </w:rPr>
        <w:t>格式”中“投标函”的格式，投标函中应分别列出投标总报价以及各个分项的报价，以方便开标唱标。</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附表A-8：其他因素评审记录表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其他因素评审记录表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w:t>
      </w:r>
    </w:p>
    <w:tbl>
      <w:tblPr>
        <w:tblStyle w:val="43"/>
        <w:tblW w:w="9959" w:type="dxa"/>
        <w:jc w:val="center"/>
        <w:tblLayout w:type="fixed"/>
        <w:tblCellMar>
          <w:top w:w="0" w:type="dxa"/>
          <w:left w:w="0" w:type="dxa"/>
          <w:bottom w:w="0" w:type="dxa"/>
          <w:right w:w="0" w:type="dxa"/>
        </w:tblCellMar>
      </w:tblPr>
      <w:tblGrid>
        <w:gridCol w:w="995"/>
        <w:gridCol w:w="1740"/>
        <w:gridCol w:w="914"/>
        <w:gridCol w:w="890"/>
        <w:gridCol w:w="901"/>
        <w:gridCol w:w="903"/>
        <w:gridCol w:w="901"/>
        <w:gridCol w:w="903"/>
        <w:gridCol w:w="901"/>
        <w:gridCol w:w="911"/>
      </w:tblGrid>
      <w:tr>
        <w:tblPrEx>
          <w:tblCellMar>
            <w:top w:w="0" w:type="dxa"/>
            <w:left w:w="0" w:type="dxa"/>
            <w:bottom w:w="0" w:type="dxa"/>
            <w:right w:w="0" w:type="dxa"/>
          </w:tblCellMar>
        </w:tblPrEx>
        <w:trPr>
          <w:trHeight w:val="785" w:hRule="atLeast"/>
          <w:jc w:val="center"/>
        </w:trPr>
        <w:tc>
          <w:tcPr>
            <w:tcW w:w="995"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740"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评分项目</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标准分</w:t>
            </w:r>
          </w:p>
        </w:tc>
        <w:tc>
          <w:tcPr>
            <w:tcW w:w="6310"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名称代码</w:t>
            </w:r>
          </w:p>
        </w:tc>
      </w:tr>
      <w:tr>
        <w:tblPrEx>
          <w:tblCellMar>
            <w:top w:w="0" w:type="dxa"/>
            <w:left w:w="0" w:type="dxa"/>
            <w:bottom w:w="0" w:type="dxa"/>
            <w:right w:w="0" w:type="dxa"/>
          </w:tblCellMar>
        </w:tblPrEx>
        <w:trPr>
          <w:trHeight w:val="785" w:hRule="atLeast"/>
          <w:jc w:val="center"/>
        </w:trPr>
        <w:tc>
          <w:tcPr>
            <w:tcW w:w="995"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40"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85" w:hRule="atLeast"/>
          <w:jc w:val="center"/>
        </w:trPr>
        <w:tc>
          <w:tcPr>
            <w:tcW w:w="99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91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85" w:hRule="atLeast"/>
          <w:jc w:val="center"/>
        </w:trPr>
        <w:tc>
          <w:tcPr>
            <w:tcW w:w="99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91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85" w:hRule="atLeast"/>
          <w:jc w:val="center"/>
        </w:trPr>
        <w:tc>
          <w:tcPr>
            <w:tcW w:w="99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91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85" w:hRule="atLeast"/>
          <w:jc w:val="center"/>
        </w:trPr>
        <w:tc>
          <w:tcPr>
            <w:tcW w:w="99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91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123" w:hRule="atLeast"/>
          <w:jc w:val="center"/>
        </w:trPr>
        <w:tc>
          <w:tcPr>
            <w:tcW w:w="2735"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其他因素得分合计D</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(满分</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tc>
        <w:tc>
          <w:tcPr>
            <w:tcW w:w="91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91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 xml:space="preserve">成员签名：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附表A-9：详细评审评分汇总表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详细评审评分汇总表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w:t>
      </w:r>
    </w:p>
    <w:tbl>
      <w:tblPr>
        <w:tblStyle w:val="43"/>
        <w:tblW w:w="10098" w:type="dxa"/>
        <w:jc w:val="center"/>
        <w:tblLayout w:type="fixed"/>
        <w:tblCellMar>
          <w:top w:w="0" w:type="dxa"/>
          <w:left w:w="0" w:type="dxa"/>
          <w:bottom w:w="0" w:type="dxa"/>
          <w:right w:w="0" w:type="dxa"/>
        </w:tblCellMar>
      </w:tblPr>
      <w:tblGrid>
        <w:gridCol w:w="709"/>
        <w:gridCol w:w="1489"/>
        <w:gridCol w:w="828"/>
        <w:gridCol w:w="1009"/>
        <w:gridCol w:w="1009"/>
        <w:gridCol w:w="1009"/>
        <w:gridCol w:w="1009"/>
        <w:gridCol w:w="1009"/>
        <w:gridCol w:w="1009"/>
        <w:gridCol w:w="1018"/>
      </w:tblGrid>
      <w:tr>
        <w:tblPrEx>
          <w:tblCellMar>
            <w:top w:w="0" w:type="dxa"/>
            <w:left w:w="0" w:type="dxa"/>
            <w:bottom w:w="0" w:type="dxa"/>
            <w:right w:w="0" w:type="dxa"/>
          </w:tblCellMar>
        </w:tblPrEx>
        <w:trPr>
          <w:trHeight w:val="682" w:hRule="atLeast"/>
          <w:jc w:val="center"/>
        </w:trPr>
        <w:tc>
          <w:tcPr>
            <w:tcW w:w="709"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489"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评分项目</w:t>
            </w:r>
          </w:p>
        </w:tc>
        <w:tc>
          <w:tcPr>
            <w:tcW w:w="828"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分值代码</w:t>
            </w:r>
          </w:p>
        </w:tc>
        <w:tc>
          <w:tcPr>
            <w:tcW w:w="7072"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名称代码</w:t>
            </w:r>
          </w:p>
        </w:tc>
      </w:tr>
      <w:tr>
        <w:tblPrEx>
          <w:tblCellMar>
            <w:top w:w="0" w:type="dxa"/>
            <w:left w:w="0" w:type="dxa"/>
            <w:bottom w:w="0" w:type="dxa"/>
            <w:right w:w="0" w:type="dxa"/>
          </w:tblCellMar>
        </w:tblPrEx>
        <w:trPr>
          <w:trHeight w:val="1727" w:hRule="atLeast"/>
          <w:jc w:val="center"/>
        </w:trPr>
        <w:tc>
          <w:tcPr>
            <w:tcW w:w="709"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89"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828"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212"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施工组织设计</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A</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212"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项目管理机构</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B</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82"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投标报价</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C</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82" w:hRule="atLeast"/>
          <w:jc w:val="center"/>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其他因素</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D</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07" w:hRule="atLeast"/>
          <w:jc w:val="center"/>
        </w:trPr>
        <w:tc>
          <w:tcPr>
            <w:tcW w:w="3026" w:type="dxa"/>
            <w:gridSpan w:val="3"/>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详细评审得分合计</w:t>
            </w: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 xml:space="preserve">成员签名：                         日期：    年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sz w:val="24"/>
          <w:szCs w:val="24"/>
        </w:rPr>
      </w:pPr>
      <w:r>
        <w:rPr>
          <w:rFonts w:hint="eastAsia" w:ascii="宋体" w:hAnsi="宋体" w:eastAsia="宋体" w:cs="宋体"/>
          <w:sz w:val="24"/>
          <w:szCs w:val="24"/>
        </w:rPr>
        <w:br w:type="page"/>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附表A-10：评标结果汇总表</w:t>
      </w:r>
    </w:p>
    <w:p>
      <w:pPr>
        <w:pStyle w:val="61"/>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sz w:val="32"/>
          <w:szCs w:val="32"/>
        </w:rPr>
      </w:pPr>
      <w:r>
        <w:rPr>
          <w:rFonts w:hint="eastAsia" w:ascii="宋体" w:hAnsi="宋体" w:eastAsia="宋体" w:cs="宋体"/>
          <w:b/>
          <w:bCs/>
          <w:sz w:val="32"/>
          <w:szCs w:val="32"/>
        </w:rPr>
        <w:t>评标结果汇总表</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w:t>
      </w:r>
    </w:p>
    <w:tbl>
      <w:tblPr>
        <w:tblStyle w:val="43"/>
        <w:tblW w:w="0" w:type="auto"/>
        <w:jc w:val="center"/>
        <w:tblLayout w:type="fixed"/>
        <w:tblCellMar>
          <w:top w:w="0" w:type="dxa"/>
          <w:left w:w="0" w:type="dxa"/>
          <w:bottom w:w="0" w:type="dxa"/>
          <w:right w:w="0" w:type="dxa"/>
        </w:tblCellMar>
      </w:tblPr>
      <w:tblGrid>
        <w:gridCol w:w="1574"/>
        <w:gridCol w:w="1196"/>
        <w:gridCol w:w="1196"/>
        <w:gridCol w:w="1197"/>
        <w:gridCol w:w="1197"/>
        <w:gridCol w:w="1197"/>
        <w:gridCol w:w="1197"/>
        <w:gridCol w:w="1205"/>
      </w:tblGrid>
      <w:tr>
        <w:tblPrEx>
          <w:tblCellMar>
            <w:top w:w="0" w:type="dxa"/>
            <w:left w:w="0" w:type="dxa"/>
            <w:bottom w:w="0" w:type="dxa"/>
            <w:right w:w="0" w:type="dxa"/>
          </w:tblCellMar>
        </w:tblPrEx>
        <w:trPr>
          <w:trHeight w:val="522" w:hRule="atLeast"/>
          <w:jc w:val="center"/>
        </w:trPr>
        <w:tc>
          <w:tcPr>
            <w:tcW w:w="1574" w:type="dxa"/>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评委序号和姓名</w:t>
            </w:r>
          </w:p>
        </w:tc>
        <w:tc>
          <w:tcPr>
            <w:tcW w:w="8385" w:type="dxa"/>
            <w:gridSpan w:val="7"/>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名称(或代码)及其得分</w:t>
            </w:r>
          </w:p>
        </w:tc>
      </w:tr>
      <w:tr>
        <w:tblPrEx>
          <w:tblCellMar>
            <w:top w:w="0" w:type="dxa"/>
            <w:left w:w="0" w:type="dxa"/>
            <w:bottom w:w="0" w:type="dxa"/>
            <w:right w:w="0" w:type="dxa"/>
          </w:tblCellMar>
        </w:tblPrEx>
        <w:trPr>
          <w:trHeight w:val="522" w:hRule="atLeast"/>
          <w:jc w:val="center"/>
        </w:trPr>
        <w:tc>
          <w:tcPr>
            <w:tcW w:w="1574" w:type="dxa"/>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22" w:hRule="atLeast"/>
          <w:jc w:val="center"/>
        </w:trPr>
        <w:tc>
          <w:tcPr>
            <w:tcW w:w="157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22" w:hRule="atLeast"/>
          <w:jc w:val="center"/>
        </w:trPr>
        <w:tc>
          <w:tcPr>
            <w:tcW w:w="157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22" w:hRule="atLeast"/>
          <w:jc w:val="center"/>
        </w:trPr>
        <w:tc>
          <w:tcPr>
            <w:tcW w:w="157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22" w:hRule="atLeast"/>
          <w:jc w:val="center"/>
        </w:trPr>
        <w:tc>
          <w:tcPr>
            <w:tcW w:w="157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22" w:hRule="atLeast"/>
          <w:jc w:val="center"/>
        </w:trPr>
        <w:tc>
          <w:tcPr>
            <w:tcW w:w="157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22" w:hRule="atLeast"/>
          <w:jc w:val="center"/>
        </w:trPr>
        <w:tc>
          <w:tcPr>
            <w:tcW w:w="157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w:t>
            </w: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22" w:hRule="atLeast"/>
          <w:jc w:val="center"/>
        </w:trPr>
        <w:tc>
          <w:tcPr>
            <w:tcW w:w="157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7:</w:t>
            </w: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07" w:hRule="atLeast"/>
          <w:jc w:val="center"/>
        </w:trPr>
        <w:tc>
          <w:tcPr>
            <w:tcW w:w="157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各评委评分合计</w:t>
            </w: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07" w:hRule="atLeast"/>
          <w:jc w:val="center"/>
        </w:trPr>
        <w:tc>
          <w:tcPr>
            <w:tcW w:w="157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各评委评分平均值</w:t>
            </w: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378" w:hRule="atLeast"/>
          <w:jc w:val="center"/>
        </w:trPr>
        <w:tc>
          <w:tcPr>
            <w:tcW w:w="157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最终排名次序</w:t>
            </w: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6"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19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05"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pStyle w:val="61"/>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磋商小组</w:t>
      </w:r>
      <w:r>
        <w:rPr>
          <w:rFonts w:hint="eastAsia" w:ascii="宋体" w:hAnsi="宋体" w:eastAsia="宋体" w:cs="宋体"/>
          <w:sz w:val="24"/>
          <w:szCs w:val="24"/>
        </w:rPr>
        <w:t xml:space="preserve">全体成员签名：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日期：    年   月   日</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r>
        <w:rPr>
          <w:rFonts w:hint="eastAsia" w:ascii="宋体" w:hAnsi="宋体" w:eastAsia="宋体" w:cs="宋体"/>
          <w:sz w:val="32"/>
          <w:szCs w:val="32"/>
        </w:rPr>
        <w:br w:type="page"/>
      </w:r>
    </w:p>
    <w:p>
      <w:pPr>
        <w:pStyle w:val="3"/>
        <w:keepNext w:val="0"/>
        <w:keepLines w:val="0"/>
        <w:pageBreakBefore w:val="0"/>
        <w:widowControl w:val="0"/>
        <w:kinsoku/>
        <w:wordWrap w:val="0"/>
        <w:overflowPunct/>
        <w:topLinePunct w:val="0"/>
        <w:autoSpaceDE/>
        <w:autoSpaceDN/>
        <w:bidi w:val="0"/>
        <w:adjustRightInd/>
        <w:snapToGrid/>
        <w:spacing w:before="0" w:after="157" w:afterLines="50" w:line="240" w:lineRule="auto"/>
        <w:jc w:val="center"/>
        <w:textAlignment w:val="auto"/>
        <w:rPr>
          <w:rFonts w:hint="eastAsia" w:ascii="宋体" w:hAnsi="宋体" w:eastAsia="宋体" w:cs="宋体"/>
        </w:rPr>
      </w:pPr>
      <w:bookmarkStart w:id="191" w:name="_Toc11491"/>
      <w:bookmarkStart w:id="192" w:name="_Toc20494"/>
      <w:bookmarkStart w:id="193" w:name="_Toc22817"/>
      <w:bookmarkStart w:id="194" w:name="_Toc21405"/>
      <w:bookmarkStart w:id="195" w:name="_Toc8303"/>
      <w:r>
        <w:rPr>
          <w:rFonts w:hint="eastAsia" w:ascii="宋体" w:hAnsi="宋体" w:eastAsia="宋体" w:cs="宋体"/>
        </w:rPr>
        <w:t>第四章 合同条款及格式</w:t>
      </w:r>
      <w:bookmarkEnd w:id="191"/>
      <w:bookmarkEnd w:id="192"/>
      <w:bookmarkEnd w:id="193"/>
      <w:bookmarkEnd w:id="194"/>
      <w:bookmarkEnd w:id="195"/>
    </w:p>
    <w:p>
      <w:pPr>
        <w:pStyle w:val="22"/>
        <w:keepNext w:val="0"/>
        <w:keepLines w:val="0"/>
        <w:pageBreakBefore w:val="0"/>
        <w:widowControl w:val="0"/>
        <w:kinsoku/>
        <w:wordWrap w:val="0"/>
        <w:overflowPunct/>
        <w:topLinePunct w:val="0"/>
        <w:autoSpaceDE/>
        <w:autoSpaceDN/>
        <w:bidi w:val="0"/>
        <w:adjustRightInd/>
        <w:snapToGrid/>
        <w:spacing w:line="440" w:lineRule="exact"/>
        <w:textAlignment w:val="auto"/>
        <w:rPr>
          <w:rFonts w:hint="eastAsia" w:ascii="宋体" w:hAnsi="宋体" w:eastAsia="宋体" w:cs="宋体"/>
          <w:sz w:val="24"/>
        </w:rPr>
      </w:pPr>
      <w:bookmarkStart w:id="196" w:name="_Toc247085853"/>
      <w:bookmarkStart w:id="197" w:name="_Toc246996338"/>
      <w:bookmarkStart w:id="198" w:name="_Toc246997081"/>
      <w:bookmarkStart w:id="199" w:name="_Toc179632787"/>
      <w:bookmarkStart w:id="200" w:name="_Toc152042549"/>
      <w:bookmarkStart w:id="201" w:name="_Toc247527798"/>
      <w:bookmarkStart w:id="202" w:name="_Toc300835199"/>
      <w:bookmarkStart w:id="203" w:name="_Toc144974829"/>
      <w:bookmarkStart w:id="204" w:name="_Toc247514197"/>
      <w:bookmarkStart w:id="205" w:name="_Toc144974578"/>
      <w:bookmarkStart w:id="206" w:name="_Toc184635122"/>
      <w:bookmarkStart w:id="207" w:name="_Toc152045610"/>
      <w:bookmarkStart w:id="208" w:name="_Toc152042388"/>
    </w:p>
    <w:p>
      <w:pPr>
        <w:pStyle w:val="22"/>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8"/>
          <w:szCs w:val="22"/>
        </w:rPr>
      </w:pPr>
      <w:r>
        <w:rPr>
          <w:rFonts w:hint="eastAsia" w:ascii="宋体" w:hAnsi="宋体" w:eastAsia="宋体" w:cs="宋体"/>
          <w:b/>
          <w:bCs/>
          <w:sz w:val="28"/>
          <w:szCs w:val="22"/>
        </w:rPr>
        <w:t>注：此合同文本仅为通用参考合同文本，在确定</w:t>
      </w:r>
      <w:r>
        <w:rPr>
          <w:rFonts w:hint="eastAsia" w:ascii="宋体" w:hAnsi="宋体" w:eastAsia="宋体" w:cs="宋体"/>
          <w:b/>
          <w:bCs/>
          <w:sz w:val="28"/>
          <w:szCs w:val="22"/>
          <w:lang w:eastAsia="zh-CN"/>
        </w:rPr>
        <w:t>成交供应商</w:t>
      </w:r>
      <w:r>
        <w:rPr>
          <w:rFonts w:hint="eastAsia" w:ascii="宋体" w:hAnsi="宋体" w:eastAsia="宋体" w:cs="宋体"/>
          <w:b/>
          <w:bCs/>
          <w:sz w:val="28"/>
          <w:szCs w:val="22"/>
        </w:rPr>
        <w:t>后，双方将对商务、技术、保修承诺等内容签订更加详细的内容，</w:t>
      </w:r>
      <w:r>
        <w:rPr>
          <w:rFonts w:hint="eastAsia" w:ascii="宋体" w:hAnsi="宋体" w:eastAsia="宋体" w:cs="宋体"/>
          <w:b/>
          <w:bCs/>
          <w:sz w:val="28"/>
          <w:szCs w:val="22"/>
          <w:lang w:eastAsia="zh-CN"/>
        </w:rPr>
        <w:t>采购人</w:t>
      </w:r>
      <w:r>
        <w:rPr>
          <w:rFonts w:hint="eastAsia" w:ascii="宋体" w:hAnsi="宋体" w:eastAsia="宋体" w:cs="宋体"/>
          <w:b/>
          <w:bCs/>
          <w:sz w:val="28"/>
          <w:szCs w:val="22"/>
        </w:rPr>
        <w:t>保留对合同条款修订的权利。</w:t>
      </w:r>
    </w:p>
    <w:p>
      <w:pPr>
        <w:pStyle w:val="22"/>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sz w:val="32"/>
          <w:szCs w:val="28"/>
        </w:rPr>
      </w:pPr>
      <w:r>
        <w:rPr>
          <w:rFonts w:hint="eastAsia" w:ascii="宋体" w:hAnsi="宋体" w:eastAsia="宋体" w:cs="宋体"/>
          <w:b/>
          <w:bCs/>
          <w:sz w:val="28"/>
          <w:szCs w:val="22"/>
          <w:lang w:eastAsia="zh-CN"/>
        </w:rPr>
        <w:t>执行</w:t>
      </w:r>
      <w:r>
        <w:rPr>
          <w:rFonts w:hint="eastAsia" w:ascii="宋体" w:hAnsi="宋体" w:eastAsia="宋体" w:cs="宋体"/>
          <w:b/>
          <w:bCs/>
          <w:sz w:val="28"/>
          <w:szCs w:val="22"/>
        </w:rPr>
        <w:t>《建设工程施工合同（示范文本）（GF-2017-0201）》</w:t>
      </w:r>
      <w:bookmarkStart w:id="209" w:name="_Toc509994011"/>
      <w:bookmarkStart w:id="210" w:name="_Toc503602258"/>
      <w:bookmarkStart w:id="211" w:name="_Toc503603135"/>
      <w:bookmarkStart w:id="212" w:name="_Toc503170292"/>
      <w:bookmarkStart w:id="213" w:name="_Toc507572719"/>
      <w:bookmarkStart w:id="214" w:name="_Toc503233583"/>
      <w:bookmarkStart w:id="215" w:name="_Toc507578839"/>
      <w:bookmarkStart w:id="216" w:name="_Toc507563659"/>
      <w:bookmarkStart w:id="217" w:name="_Toc507816628"/>
      <w:bookmarkStart w:id="218" w:name="_Toc503603192"/>
      <w:bookmarkStart w:id="219" w:name="_Toc503602315"/>
      <w:bookmarkStart w:id="220" w:name="_Toc503233723"/>
      <w:bookmarkStart w:id="221" w:name="_Toc503170332"/>
      <w:bookmarkStart w:id="222" w:name="_Toc524952532"/>
      <w:bookmarkStart w:id="223" w:name="_Toc503170565"/>
    </w:p>
    <w:p>
      <w:pPr>
        <w:keepNext w:val="0"/>
        <w:keepLines w:val="0"/>
        <w:pageBreakBefore w:val="0"/>
        <w:widowControl w:val="0"/>
        <w:kinsoku/>
        <w:wordWrap w:val="0"/>
        <w:overflowPunct/>
        <w:topLinePunct w:val="0"/>
        <w:autoSpaceDE/>
        <w:autoSpaceDN/>
        <w:bidi w:val="0"/>
        <w:rPr>
          <w:rFonts w:hint="eastAsia" w:ascii="宋体" w:hAnsi="宋体" w:eastAsia="宋体" w:cs="宋体"/>
        </w:rPr>
      </w:pPr>
      <w:r>
        <w:rPr>
          <w:rFonts w:hint="eastAsia" w:ascii="宋体" w:hAnsi="宋体" w:eastAsia="宋体" w:cs="宋体"/>
          <w:b/>
          <w:bCs/>
          <w:sz w:val="32"/>
          <w:szCs w:val="28"/>
        </w:rPr>
        <w:br w:type="page"/>
      </w:r>
      <w:bookmarkStart w:id="224" w:name="_Toc29384721"/>
      <w:bookmarkStart w:id="225" w:name="_Toc28083"/>
    </w:p>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Pr>
        <w:pStyle w:val="3"/>
        <w:keepNext w:val="0"/>
        <w:keepLines w:val="0"/>
        <w:pageBreakBefore w:val="0"/>
        <w:widowControl w:val="0"/>
        <w:kinsoku/>
        <w:wordWrap w:val="0"/>
        <w:overflowPunct/>
        <w:topLinePunct w:val="0"/>
        <w:autoSpaceDE/>
        <w:autoSpaceDN/>
        <w:bidi w:val="0"/>
        <w:adjustRightInd/>
        <w:snapToGrid/>
        <w:spacing w:before="0" w:after="157" w:afterLines="50" w:line="240" w:lineRule="auto"/>
        <w:ind w:left="0" w:leftChars="0" w:right="0" w:rightChars="0" w:firstLine="0" w:firstLineChars="0"/>
        <w:jc w:val="center"/>
        <w:textAlignment w:val="auto"/>
        <w:rPr>
          <w:rFonts w:hint="eastAsia" w:ascii="宋体" w:hAnsi="宋体" w:eastAsia="宋体" w:cs="宋体"/>
          <w:lang w:eastAsia="zh-CN"/>
        </w:rPr>
      </w:pPr>
      <w:bookmarkStart w:id="226" w:name="_Toc17890"/>
      <w:bookmarkStart w:id="227" w:name="_Toc28997"/>
      <w:bookmarkStart w:id="228" w:name="_Toc30538"/>
      <w:bookmarkStart w:id="229" w:name="_Toc24659"/>
      <w:bookmarkStart w:id="230" w:name="_Toc8554"/>
      <w:r>
        <w:rPr>
          <w:rFonts w:hint="eastAsia" w:ascii="宋体" w:hAnsi="宋体" w:eastAsia="宋体" w:cs="宋体"/>
        </w:rPr>
        <w:t xml:space="preserve">第五章 </w:t>
      </w:r>
      <w:r>
        <w:rPr>
          <w:rFonts w:hint="eastAsia" w:ascii="宋体" w:hAnsi="宋体" w:eastAsia="宋体" w:cs="宋体"/>
          <w:lang w:eastAsia="zh-CN"/>
        </w:rPr>
        <w:t>工程量清单</w:t>
      </w:r>
      <w:bookmarkEnd w:id="226"/>
      <w:bookmarkEnd w:id="227"/>
      <w:bookmarkEnd w:id="228"/>
      <w:bookmarkEnd w:id="229"/>
      <w:bookmarkEnd w:id="230"/>
    </w:p>
    <w:p>
      <w:pPr>
        <w:keepNext w:val="0"/>
        <w:keepLines w:val="0"/>
        <w:pageBreakBefore w:val="0"/>
        <w:widowControl w:val="0"/>
        <w:kinsoku/>
        <w:wordWrap w:val="0"/>
        <w:overflowPunct/>
        <w:topLinePunct w:val="0"/>
        <w:autoSpaceDE/>
        <w:autoSpaceDN/>
        <w:bidi w:val="0"/>
        <w:adjustRightInd/>
        <w:snapToGrid/>
        <w:spacing w:before="260" w:beforeLines="0" w:after="260" w:afterLines="0" w:line="440" w:lineRule="exact"/>
        <w:jc w:val="both"/>
        <w:textAlignment w:val="auto"/>
        <w:outlineLvl w:val="1"/>
        <w:rPr>
          <w:rFonts w:hint="eastAsia" w:ascii="宋体" w:hAnsi="宋体" w:eastAsia="宋体" w:cs="宋体"/>
          <w:b/>
          <w:bCs/>
          <w:kern w:val="2"/>
          <w:sz w:val="32"/>
          <w:szCs w:val="32"/>
          <w:lang w:val="en-US" w:eastAsia="zh-CN" w:bidi="ar-SA"/>
        </w:rPr>
      </w:pPr>
      <w:bookmarkStart w:id="231" w:name="_Toc18297"/>
      <w:bookmarkStart w:id="232" w:name="_Toc1158"/>
      <w:bookmarkStart w:id="233" w:name="_Toc18530"/>
      <w:bookmarkStart w:id="234" w:name="_Toc29671"/>
      <w:bookmarkStart w:id="235" w:name="_Toc296602588"/>
      <w:bookmarkStart w:id="236" w:name="_Toc179632790"/>
      <w:bookmarkStart w:id="237" w:name="_Toc152045773"/>
      <w:bookmarkStart w:id="238" w:name="_Toc246996341"/>
      <w:bookmarkStart w:id="239" w:name="_Toc152042555"/>
      <w:bookmarkStart w:id="240" w:name="_Toc246997084"/>
      <w:bookmarkStart w:id="241" w:name="_Toc247085856"/>
      <w:bookmarkStart w:id="242" w:name="_Toc8699"/>
      <w:bookmarkStart w:id="243" w:name="_Toc144974835"/>
      <w:r>
        <w:rPr>
          <w:rFonts w:hint="eastAsia" w:ascii="宋体" w:hAnsi="宋体" w:eastAsia="宋体" w:cs="宋体"/>
          <w:b/>
          <w:bCs/>
          <w:kern w:val="2"/>
          <w:sz w:val="32"/>
          <w:szCs w:val="32"/>
          <w:lang w:val="en-US" w:eastAsia="zh-CN" w:bidi="ar-SA"/>
        </w:rPr>
        <w:t>1. 工程量清单说明</w:t>
      </w:r>
      <w:bookmarkEnd w:id="231"/>
      <w:bookmarkEnd w:id="232"/>
      <w:bookmarkEnd w:id="233"/>
      <w:bookmarkEnd w:id="234"/>
      <w:bookmarkEnd w:id="235"/>
      <w:bookmarkEnd w:id="236"/>
      <w:bookmarkEnd w:id="237"/>
      <w:bookmarkEnd w:id="238"/>
      <w:bookmarkEnd w:id="239"/>
      <w:bookmarkEnd w:id="240"/>
      <w:bookmarkEnd w:id="241"/>
      <w:bookmarkEnd w:id="242"/>
      <w:bookmarkEnd w:id="243"/>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rPr>
        <w:t>1.1 本工程量清单是依据中华人民共和国国家标准《建设工程工程量清单计价规范》(以下简称“计价规范”)以及</w:t>
      </w:r>
      <w:r>
        <w:rPr>
          <w:rFonts w:hint="eastAsia" w:ascii="宋体" w:hAnsi="宋体" w:eastAsia="宋体" w:cs="宋体"/>
          <w:kern w:val="2"/>
          <w:sz w:val="24"/>
          <w:szCs w:val="32"/>
          <w:lang w:eastAsia="zh-CN"/>
        </w:rPr>
        <w:t>磋商文件</w:t>
      </w:r>
      <w:r>
        <w:rPr>
          <w:rFonts w:hint="eastAsia" w:ascii="宋体" w:hAnsi="宋体" w:eastAsia="宋体" w:cs="宋体"/>
          <w:kern w:val="2"/>
          <w:sz w:val="24"/>
          <w:szCs w:val="32"/>
        </w:rPr>
        <w:t>中包括的图纸等编制。计价规范中规定的工程量计算规则中没有的子目，应在本章第1.4款约定；计价规范中规定的工程量计算规则中没有且本章第1.4款也未约定的，双方协商确定；协商不成的，可向省级或行业工程造价管理机构申请裁定或按照有合同约束力的图纸所标示尺寸的理论净量计算。计量采用中华人民共和国法定的基本计量单位。</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rPr>
        <w:t>1.2 本工程量清单应与</w:t>
      </w:r>
      <w:r>
        <w:rPr>
          <w:rFonts w:hint="eastAsia" w:ascii="宋体" w:hAnsi="宋体" w:eastAsia="宋体" w:cs="宋体"/>
          <w:kern w:val="2"/>
          <w:sz w:val="24"/>
          <w:szCs w:val="32"/>
          <w:lang w:eastAsia="zh-CN"/>
        </w:rPr>
        <w:t>磋商文件</w:t>
      </w:r>
      <w:r>
        <w:rPr>
          <w:rFonts w:hint="eastAsia" w:ascii="宋体" w:hAnsi="宋体" w:eastAsia="宋体" w:cs="宋体"/>
          <w:kern w:val="2"/>
          <w:sz w:val="24"/>
          <w:szCs w:val="32"/>
        </w:rPr>
        <w:t>中的</w:t>
      </w:r>
      <w:r>
        <w:rPr>
          <w:rFonts w:hint="eastAsia" w:ascii="宋体" w:hAnsi="宋体" w:eastAsia="宋体" w:cs="宋体"/>
          <w:kern w:val="2"/>
          <w:sz w:val="24"/>
          <w:szCs w:val="32"/>
          <w:lang w:eastAsia="zh-CN"/>
        </w:rPr>
        <w:t>供应商</w:t>
      </w:r>
      <w:r>
        <w:rPr>
          <w:rFonts w:hint="eastAsia" w:ascii="宋体" w:hAnsi="宋体" w:eastAsia="宋体" w:cs="宋体"/>
          <w:kern w:val="2"/>
          <w:sz w:val="24"/>
          <w:szCs w:val="32"/>
        </w:rPr>
        <w:t>须知、通用合同条款、专用合同条款、技术标准和要求及图纸等章节内容一起阅读和理解。</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rPr>
        <w:t>1.3 本工程量清单仅是投标报价的共同基础，竣工结算的工程量按合同约定确定。合同价格的确定以及价款支付应遵循合同条款(包括通用合同条款和专用合同条款)、技术标准和要求以及本章的有关约定。</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rPr>
        <w:t>1.4 补充子目的子目特征、计量单位、工程量计算规则及工作内容说明如下：</w:t>
      </w:r>
      <w:r>
        <w:rPr>
          <w:rFonts w:hint="eastAsia" w:ascii="宋体" w:hAnsi="宋体" w:eastAsia="宋体" w:cs="宋体"/>
          <w:kern w:val="2"/>
          <w:sz w:val="24"/>
          <w:szCs w:val="32"/>
          <w:u w:val="single"/>
          <w:lang w:val="en-US" w:eastAsia="zh-CN"/>
        </w:rPr>
        <w:t xml:space="preserve">      </w:t>
      </w:r>
      <w:r>
        <w:rPr>
          <w:rFonts w:hint="eastAsia" w:ascii="宋体" w:hAnsi="宋体" w:eastAsia="宋体" w:cs="宋体"/>
          <w:kern w:val="2"/>
          <w:sz w:val="24"/>
          <w:szCs w:val="32"/>
          <w:u w:val="single"/>
        </w:rPr>
        <w:t xml:space="preserve">   </w:t>
      </w:r>
      <w:r>
        <w:rPr>
          <w:rFonts w:hint="eastAsia" w:ascii="宋体" w:hAnsi="宋体" w:eastAsia="宋体" w:cs="宋体"/>
          <w:kern w:val="2"/>
          <w:sz w:val="24"/>
          <w:szCs w:val="32"/>
          <w:u w:val="single"/>
          <w:lang w:val="en-US" w:eastAsia="zh-CN"/>
        </w:rPr>
        <w:t xml:space="preserve">                                                     </w:t>
      </w:r>
      <w:r>
        <w:rPr>
          <w:rFonts w:hint="eastAsia" w:ascii="宋体" w:hAnsi="宋体" w:eastAsia="宋体" w:cs="宋体"/>
          <w:kern w:val="2"/>
          <w:sz w:val="24"/>
          <w:szCs w:val="32"/>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rPr>
        <w:t>1.5 本条第1.1款中约定的计量和计价规则适用于合同履约过程中工程量计量与价款支付、工程变更、索赔和工程结算。</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rPr>
        <w:t>1.6</w:t>
      </w:r>
      <w:r>
        <w:rPr>
          <w:rFonts w:hint="eastAsia" w:ascii="宋体" w:hAnsi="宋体" w:eastAsia="宋体" w:cs="宋体"/>
          <w:kern w:val="2"/>
          <w:sz w:val="24"/>
          <w:szCs w:val="32"/>
          <w:lang w:val="en-US" w:eastAsia="zh-CN"/>
        </w:rPr>
        <w:t xml:space="preserve"> </w:t>
      </w:r>
      <w:r>
        <w:rPr>
          <w:rFonts w:hint="eastAsia" w:ascii="宋体" w:hAnsi="宋体" w:eastAsia="宋体" w:cs="宋体"/>
          <w:kern w:val="2"/>
          <w:sz w:val="24"/>
          <w:szCs w:val="32"/>
        </w:rPr>
        <w:t>本条与下述第2条和第3条的说明内容是构成合同文件的已标价工程量清单的组成部分。</w:t>
      </w:r>
    </w:p>
    <w:p>
      <w:pPr>
        <w:keepNext w:val="0"/>
        <w:keepLines w:val="0"/>
        <w:pageBreakBefore w:val="0"/>
        <w:widowControl w:val="0"/>
        <w:kinsoku/>
        <w:wordWrap w:val="0"/>
        <w:overflowPunct/>
        <w:topLinePunct w:val="0"/>
        <w:autoSpaceDE/>
        <w:autoSpaceDN/>
        <w:bidi w:val="0"/>
        <w:adjustRightInd/>
        <w:snapToGrid/>
        <w:spacing w:before="260" w:beforeLines="0" w:after="260" w:afterLines="0" w:line="440" w:lineRule="exact"/>
        <w:jc w:val="both"/>
        <w:textAlignment w:val="auto"/>
        <w:outlineLvl w:val="1"/>
        <w:rPr>
          <w:rFonts w:hint="eastAsia" w:ascii="宋体" w:hAnsi="宋体" w:eastAsia="宋体" w:cs="宋体"/>
          <w:b/>
          <w:bCs/>
          <w:kern w:val="2"/>
          <w:sz w:val="32"/>
          <w:szCs w:val="32"/>
          <w:lang w:val="en-US" w:eastAsia="zh-CN" w:bidi="ar-SA"/>
        </w:rPr>
      </w:pPr>
      <w:bookmarkStart w:id="244" w:name="_Toc32557"/>
      <w:bookmarkStart w:id="245" w:name="_Toc152042556"/>
      <w:bookmarkStart w:id="246" w:name="_Toc7062"/>
      <w:bookmarkStart w:id="247" w:name="_Toc246996342"/>
      <w:bookmarkStart w:id="248" w:name="_Toc2248"/>
      <w:bookmarkStart w:id="249" w:name="_Toc296602589"/>
      <w:bookmarkStart w:id="250" w:name="_Toc246997085"/>
      <w:bookmarkStart w:id="251" w:name="_Toc15699"/>
      <w:bookmarkStart w:id="252" w:name="_Toc144974836"/>
      <w:bookmarkStart w:id="253" w:name="_Toc18017"/>
      <w:bookmarkStart w:id="254" w:name="_Toc247085857"/>
      <w:bookmarkStart w:id="255" w:name="_Toc152045774"/>
      <w:bookmarkStart w:id="256" w:name="_Toc179632791"/>
      <w:r>
        <w:rPr>
          <w:rFonts w:hint="eastAsia" w:ascii="宋体" w:hAnsi="宋体" w:eastAsia="宋体" w:cs="宋体"/>
          <w:b/>
          <w:bCs/>
          <w:kern w:val="2"/>
          <w:sz w:val="32"/>
          <w:szCs w:val="32"/>
          <w:lang w:val="en-US" w:eastAsia="zh-CN" w:bidi="ar-SA"/>
        </w:rPr>
        <w:t>2. 投标报价说明</w:t>
      </w:r>
      <w:bookmarkEnd w:id="244"/>
      <w:bookmarkEnd w:id="245"/>
      <w:bookmarkEnd w:id="246"/>
      <w:bookmarkEnd w:id="247"/>
      <w:bookmarkEnd w:id="248"/>
      <w:bookmarkEnd w:id="249"/>
      <w:bookmarkEnd w:id="250"/>
      <w:bookmarkEnd w:id="251"/>
      <w:bookmarkEnd w:id="252"/>
      <w:bookmarkEnd w:id="253"/>
      <w:bookmarkEnd w:id="254"/>
      <w:bookmarkEnd w:id="255"/>
      <w:bookmarkEnd w:id="256"/>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rPr>
        <w:t>2.1 投标报价应根据</w:t>
      </w:r>
      <w:r>
        <w:rPr>
          <w:rFonts w:hint="eastAsia" w:ascii="宋体" w:hAnsi="宋体" w:eastAsia="宋体" w:cs="宋体"/>
          <w:kern w:val="2"/>
          <w:sz w:val="24"/>
          <w:szCs w:val="32"/>
          <w:lang w:eastAsia="zh-CN"/>
        </w:rPr>
        <w:t>磋商文件</w:t>
      </w:r>
      <w:r>
        <w:rPr>
          <w:rFonts w:hint="eastAsia" w:ascii="宋体" w:hAnsi="宋体" w:eastAsia="宋体" w:cs="宋体"/>
          <w:kern w:val="2"/>
          <w:sz w:val="24"/>
          <w:szCs w:val="32"/>
        </w:rPr>
        <w:t>中的有关计价要求，并按照下列依据自主报价。</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(1)  本</w:t>
      </w:r>
      <w:r>
        <w:rPr>
          <w:rFonts w:hint="eastAsia" w:ascii="宋体" w:hAnsi="宋体" w:eastAsia="宋体" w:cs="宋体"/>
          <w:sz w:val="24"/>
          <w:szCs w:val="24"/>
          <w:lang w:eastAsia="zh-CN"/>
        </w:rPr>
        <w:t>磋商文件</w:t>
      </w:r>
      <w:r>
        <w:rPr>
          <w:rFonts w:hint="eastAsia" w:ascii="宋体" w:hAnsi="宋体" w:eastAsia="宋体" w:cs="宋体"/>
          <w:sz w:val="24"/>
          <w:szCs w:val="24"/>
        </w:rPr>
        <w:t>；</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(2)  《建设工程工程量清单计价规范》；</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(3)  国家或省级、行业建设主管部门颁发的计价办法；</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(4)  企业定额，国家或省级、行业建设主管部门颁发的计价定额；</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(5)  </w:t>
      </w:r>
      <w:r>
        <w:rPr>
          <w:rFonts w:hint="eastAsia" w:ascii="宋体" w:hAnsi="宋体" w:eastAsia="宋体" w:cs="宋体"/>
          <w:sz w:val="24"/>
          <w:szCs w:val="24"/>
          <w:lang w:eastAsia="zh-CN"/>
        </w:rPr>
        <w:t>磋商文件</w:t>
      </w:r>
      <w:r>
        <w:rPr>
          <w:rFonts w:hint="eastAsia" w:ascii="宋体" w:hAnsi="宋体" w:eastAsia="宋体" w:cs="宋体"/>
          <w:sz w:val="24"/>
          <w:szCs w:val="24"/>
        </w:rPr>
        <w:t>(包括工程量清单)的澄清、补充和修改文件；</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(6)  建设工程设计文件及相关资料；</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(7)  施工现场情况、工程特点及拟定的投标施工组织设计或施工方案；</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(8)  与建设项目相关的标准、规定等技术资料；</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(9)  市场价格信息或工程造价管理机构发布的工程造价信息；</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(10) 其他的相关资料。</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lang w:val="en-US" w:eastAsia="zh-CN"/>
        </w:rPr>
        <w:t>2.2 工程量清单中的每一子目须填入单价或价格，且只允许有一个报价</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lang w:val="en-US" w:eastAsia="zh-CN"/>
        </w:rPr>
      </w:pPr>
      <w:r>
        <w:rPr>
          <w:rFonts w:hint="eastAsia" w:ascii="宋体" w:hAnsi="宋体" w:eastAsia="宋体" w:cs="宋体"/>
          <w:kern w:val="2"/>
          <w:sz w:val="24"/>
          <w:szCs w:val="32"/>
        </w:rPr>
        <w:t>2.</w:t>
      </w:r>
      <w:r>
        <w:rPr>
          <w:rFonts w:hint="eastAsia" w:ascii="宋体" w:hAnsi="宋体" w:eastAsia="宋体" w:cs="宋体"/>
          <w:kern w:val="2"/>
          <w:sz w:val="24"/>
          <w:szCs w:val="32"/>
          <w:lang w:val="en-US" w:eastAsia="zh-CN"/>
        </w:rPr>
        <w:t>3 工程量清单中标价的单价或金额，应包括所需人工费、材料费、施工机械使用费和管理费及利润，以及一定范围内的风险费用。所谓“一定范围内的风险”是指合同约定的风险</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rPr>
        <w:t>2.</w:t>
      </w:r>
      <w:r>
        <w:rPr>
          <w:rFonts w:hint="eastAsia" w:ascii="宋体" w:hAnsi="宋体" w:eastAsia="宋体" w:cs="宋体"/>
          <w:kern w:val="2"/>
          <w:sz w:val="24"/>
          <w:szCs w:val="32"/>
          <w:lang w:val="en-US" w:eastAsia="zh-CN"/>
        </w:rPr>
        <w:t>4</w:t>
      </w:r>
      <w:r>
        <w:rPr>
          <w:rFonts w:hint="eastAsia" w:ascii="宋体" w:hAnsi="宋体" w:eastAsia="宋体" w:cs="宋体"/>
          <w:kern w:val="2"/>
          <w:sz w:val="24"/>
          <w:szCs w:val="32"/>
        </w:rPr>
        <w:t xml:space="preserve"> 已标价工程量清单中</w:t>
      </w:r>
      <w:r>
        <w:rPr>
          <w:rFonts w:hint="eastAsia" w:ascii="宋体" w:hAnsi="宋体" w:eastAsia="宋体" w:cs="宋体"/>
          <w:kern w:val="2"/>
          <w:sz w:val="24"/>
          <w:szCs w:val="32"/>
          <w:lang w:eastAsia="zh-CN"/>
        </w:rPr>
        <w:t>供应商</w:t>
      </w:r>
      <w:r>
        <w:rPr>
          <w:rFonts w:hint="eastAsia" w:ascii="宋体" w:hAnsi="宋体" w:eastAsia="宋体" w:cs="宋体"/>
          <w:kern w:val="2"/>
          <w:sz w:val="24"/>
          <w:szCs w:val="32"/>
        </w:rPr>
        <w:t>没有填入单价或价格的子目，其费用视为已分摊在工程量清单中其他已标价的相关子目的单价或价格之中。</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rPr>
        <w:t>2.</w:t>
      </w:r>
      <w:r>
        <w:rPr>
          <w:rFonts w:hint="eastAsia" w:ascii="宋体" w:hAnsi="宋体" w:eastAsia="宋体" w:cs="宋体"/>
          <w:kern w:val="2"/>
          <w:sz w:val="24"/>
          <w:szCs w:val="32"/>
          <w:lang w:val="en-US" w:eastAsia="zh-CN"/>
        </w:rPr>
        <w:t>5</w:t>
      </w:r>
      <w:r>
        <w:rPr>
          <w:rFonts w:hint="eastAsia" w:ascii="宋体" w:hAnsi="宋体" w:eastAsia="宋体" w:cs="宋体"/>
          <w:kern w:val="2"/>
          <w:sz w:val="24"/>
          <w:szCs w:val="32"/>
        </w:rPr>
        <w:t xml:space="preserve">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kern w:val="2"/>
          <w:sz w:val="24"/>
          <w:szCs w:val="32"/>
        </w:rPr>
      </w:pPr>
      <w:r>
        <w:rPr>
          <w:rFonts w:hint="eastAsia" w:ascii="宋体" w:hAnsi="宋体" w:eastAsia="宋体" w:cs="宋体"/>
          <w:kern w:val="2"/>
          <w:sz w:val="24"/>
          <w:szCs w:val="32"/>
        </w:rPr>
        <w:t>2.</w:t>
      </w:r>
      <w:r>
        <w:rPr>
          <w:rFonts w:hint="eastAsia" w:ascii="宋体" w:hAnsi="宋体" w:eastAsia="宋体" w:cs="宋体"/>
          <w:kern w:val="2"/>
          <w:sz w:val="24"/>
          <w:szCs w:val="32"/>
          <w:lang w:val="en-US" w:eastAsia="zh-CN"/>
        </w:rPr>
        <w:t>6</w:t>
      </w:r>
      <w:r>
        <w:rPr>
          <w:rFonts w:hint="eastAsia" w:ascii="宋体" w:hAnsi="宋体" w:eastAsia="宋体" w:cs="宋体"/>
          <w:kern w:val="2"/>
          <w:sz w:val="24"/>
          <w:szCs w:val="32"/>
        </w:rPr>
        <w:t xml:space="preserve"> 分部分项工程项目按下列要求报价：</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2.6.1 分部分项工程量清单计价应依据计价规范中关于综合单价的组成内容确定报价。</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2.6.2 如果分部分项工程量清单中涉及“材料和工程设备暂估单价表”中列出的材料和工程设备，则按照本节第3.3.2项的报价原则，将该类材料和工程设备的暂估单价本身以及除对应的规费及税金以外的费用计入分部分项工程量清单相应子目的综合单价。</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2.6.3 如果分部分项工程量清单中涉及“发包人提供的材料和工程设备一览表”(见第三章合同条款及格式第三节附件三)中列出的材料和工程设备，则该类材料和工程设备供应至现场指定位置的采购供应价本身不计入投标报价，但应将该类材料和工程设备的安装、安装所需要的辅助材料、安装损耗以及其他必要的辅助工作及其对应的管理费及利润计入分部分项工程量清单相应子目的综合单价，并其他项目清单报价中计取与合同约定服务内容相对应的总承包服务费。</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2.6.4 “分部分项工程量清单与计价表”所列各子目的综合单价组成中，各子目的人工、材料和机械台班消耗量由</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按照其自身情况做充分的、竞争性考虑。材料消耗量包括损耗量。</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2.6.5 </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在</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提交并构成合同文件的“主要材料和工程设备选用表”中所列的材料和工程设备的价格是指此类材料和工程设备到达施工现场指定堆放地点的落地价格，即包括采购、包装、运输、装卸、堆放等到达施工现场指定落地或堆放地点之前的全部费用，但不包括落地之后发生的仓储、保管、库损以及从堆放地点运至安装地点的二次搬运费用。“主要材料和工程设备选用表”中所列材料和工程设备的价格应与构成综合单价相应材料或工程设备的价格一致。落地之后发生的仓储、保管、库损以及从堆放地点运至安装地点的二次搬运等其他费用均应在投标报价中考虑。</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2.7 措施项目按下列要求报价：</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2.7.1 措施项目清单计价应根据</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的施工组织设计进行报价。可以计量工程量的措施项目，应按分部分项工程量清单的方式采用综合单价计价；其余的措施项目可以“项”为单位的方式计价。</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所填报价格应包括除规费、税金外的全部费用。</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2.7.2 措施项目清单中的安全文明施工费应按国家、省级或行业建设主管部门的规定计价，不得作为竞争性费用。</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2.7.3 </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提供的措施项目清单中所列项目仅指一般的通用项目，</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在报价时应充分、全面地阅读和理解</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的相关内容和约定，包括第七章“技术标准和要求”的相关约定，详实了解工程场地及其周围环境，充分考虑招标工程特点及拟定的施工方案和施工组织设计，对</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给出的措施项目清单的内容进行细化或增减。</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2.7.4 “措施项目清单与计价表”中所填写的报价金额，应全面涵盖</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约定的</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中标后施工、竣工、交付本工程并维修其任何缺陷所需要履行的责任和义务的全部费用。</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2.7.5 对于“措施项目清单与计价表”中所填写的报价金额，应按照“措施项目清单报价分析表”对措施项目报价的组成进行详细的列项和分析。</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2.8 其他项目清单费应按下列规定报价：</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2.8.1 暂列金额按“暂列金额明细表”中列出的金额报价，此处的暂列金额是</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在</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中统一给定的，并不包括本章第2.8.3项的计日工金额。</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2.8.2 暂估价分为材料和工程设备暂估单价和专业工程暂估价两类。其中的材料和工程设备暂估单价按本节第3.3.2项的报价原则进入分部分项工程量清单之综合单价，不在其他项目清单中汇总；专业工程暂估价直接按“专业工程暂估价表”中列出的金额和本节第3.3.3项的报价原则计入其他项目清单报价。</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2.8.3 计日工按“计日工表”中列出的子目和估算数量，自主确定综合单价并计算计日工金额。计日工综合单价均不包括规费和税金，其中：</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(1) 劳务单价应当包括工人工资、交通费用、各种补贴、劳动安全保护、社保费用、手提手动和电动工器具、施工场地内已经搭设的脚手架、水电和低值易耗品费用、现场管理费用、企业管理费和利润；</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 材料价格包括材料运到现场的价格以及现场搬运、仓储、二次搬运、损耗、保险、企业管理费和利润；</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720" w:firstLineChars="3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 施工机械限于在施工场地(现场)的机械设备，其价格包括租赁或折旧、维修、维护和燃油等消耗品以及操作人员费用，包括承包人企业管理费和利润，但不包括规费和税金。辅助人员按劳务价格另计。</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2.8.4 总承包服务费根据</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中列出的内容和要求，按“总承包服务费计价表”所列格式自主报价。</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2.9 规费和税金应按“规费、税金项目清单与计价表”所列项目并根据国家、省级或行业建设主管部门的有关规定列项和计算，不得作为竞争性费用。</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2.10 除</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有强制性规定以及不可竞争部分以外，投标报价由</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自主确定，但不得低于其成本。</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2.11 工程量清单计价所涉及的生产资源(包括各类人工、材料、工程设备、施工设备、临时设施、临时用水、临时用电等)的投标价格，应根据自身的信息渠道和采购渠道，分析其市场价格水平并判断其整个施工周期内的变化趋势，体现</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自身的管理水平、技术水平和综合实力。</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2.12 管理费应由</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在保证不低于其成本的基础上做竞争性考虑；利润由</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根据自身情况和综合实力做竞争性考虑。</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2.13 投标报价中应考虑</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中要求</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承担的风险范围以及相关的费用。</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2.14 投标总价为</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在</w:t>
      </w:r>
      <w:r>
        <w:rPr>
          <w:rFonts w:hint="eastAsia" w:ascii="宋体" w:hAnsi="宋体" w:eastAsia="宋体" w:cs="宋体"/>
          <w:kern w:val="2"/>
          <w:sz w:val="24"/>
          <w:szCs w:val="24"/>
          <w:lang w:eastAsia="zh-CN"/>
        </w:rPr>
        <w:t>响应文件</w:t>
      </w:r>
      <w:r>
        <w:rPr>
          <w:rFonts w:hint="eastAsia" w:ascii="宋体" w:hAnsi="宋体" w:eastAsia="宋体" w:cs="宋体"/>
          <w:kern w:val="2"/>
          <w:sz w:val="24"/>
          <w:szCs w:val="24"/>
        </w:rPr>
        <w:t>中提出的各项支付金额的总和，为实施、完成招标工程并修补缺陷以及履行</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中约定的风险范围内的所有责任和义务所发生的全部费用。</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u w:val="single"/>
          <w:lang w:val="en-US" w:eastAsia="zh-CN"/>
        </w:rPr>
      </w:pPr>
      <w:r>
        <w:rPr>
          <w:rFonts w:hint="eastAsia" w:ascii="宋体" w:hAnsi="宋体" w:eastAsia="宋体" w:cs="宋体"/>
          <w:kern w:val="2"/>
          <w:sz w:val="24"/>
          <w:szCs w:val="24"/>
        </w:rPr>
        <w:t>2.15 有关投标报价的其他说明：</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u w:val="none"/>
          <w:lang w:val="en-US" w:eastAsia="zh-CN"/>
        </w:rPr>
        <w:t>。</w:t>
      </w:r>
    </w:p>
    <w:p>
      <w:pPr>
        <w:keepNext w:val="0"/>
        <w:keepLines w:val="0"/>
        <w:pageBreakBefore w:val="0"/>
        <w:widowControl w:val="0"/>
        <w:kinsoku/>
        <w:wordWrap w:val="0"/>
        <w:overflowPunct/>
        <w:topLinePunct w:val="0"/>
        <w:autoSpaceDE/>
        <w:autoSpaceDN/>
        <w:bidi w:val="0"/>
        <w:adjustRightInd/>
        <w:snapToGrid/>
        <w:spacing w:before="260" w:beforeLines="0" w:after="260" w:afterLines="0" w:line="440" w:lineRule="exact"/>
        <w:jc w:val="both"/>
        <w:textAlignment w:val="auto"/>
        <w:outlineLvl w:val="1"/>
        <w:rPr>
          <w:rFonts w:hint="eastAsia" w:ascii="宋体" w:hAnsi="宋体" w:eastAsia="宋体" w:cs="宋体"/>
          <w:b/>
          <w:bCs/>
          <w:kern w:val="2"/>
          <w:sz w:val="32"/>
          <w:szCs w:val="32"/>
          <w:lang w:val="en-US" w:eastAsia="zh-CN" w:bidi="ar-SA"/>
        </w:rPr>
      </w:pPr>
      <w:bookmarkStart w:id="257" w:name="_Toc31634"/>
      <w:bookmarkStart w:id="258" w:name="_Toc18243"/>
      <w:bookmarkStart w:id="259" w:name="_Toc21481"/>
      <w:bookmarkStart w:id="260" w:name="_Toc12804"/>
      <w:bookmarkStart w:id="261" w:name="_Toc2949"/>
      <w:r>
        <w:rPr>
          <w:rFonts w:hint="eastAsia" w:ascii="宋体" w:hAnsi="宋体" w:eastAsia="宋体" w:cs="宋体"/>
          <w:b/>
          <w:bCs/>
          <w:kern w:val="2"/>
          <w:sz w:val="32"/>
          <w:szCs w:val="32"/>
          <w:lang w:val="en-US" w:eastAsia="zh-CN" w:bidi="ar-SA"/>
        </w:rPr>
        <w:t>3. 其他说明</w:t>
      </w:r>
      <w:bookmarkEnd w:id="257"/>
      <w:bookmarkEnd w:id="258"/>
      <w:bookmarkEnd w:id="259"/>
      <w:bookmarkEnd w:id="260"/>
      <w:bookmarkEnd w:id="261"/>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3.1</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词语和定义</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3.1.1 工程量清单</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是表现本工程分部分项工程项目、措施项目、其他项目、规费项目和税金的名称和相应数量等的明细清单。</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3.1.2 总价子目</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工程量清单中以总价计价，以“项”为计量单位，工程量为整数1的子目，除专用合同条款另有约定外，总价固定包干。采用总价合同形式时，合同订立后，已标价工程量清单中的工程量均没有合同约束力，所有子目均是总价子目，视同按项计量(合同条款第15条约定的变更除外)。</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3.1.3 单价子目</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工程量清单中以单价计价，根据有合同约束力的图纸和工程量计算规则进行计量，以实际完成数量乘以相应单价进行结算的子目。</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3.1.4 子目编码</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分部分项工程项目清单中所列的子目名称的数字标识和代码，子目编码与项目编码同义。</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3.1.5 子目特征</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构成分部分项工程项目清单子目、措施项目的实质内容、决定其自身价值的本质特征，子目特征与项目特征同义。</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3.1.6 规费</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承包人根据省级政府或省级有关权力部门规定必须缴纳的，应计入建筑安装工程造价的费用。</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3.1.7 税金</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国家税法规定的应计入建筑安装工程造价内的营业税、城市维护建设税及教育费附加等。</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3.1.8 总承包服务费</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总承包人为配合协调发包人发包的专业工程以及发包人采购的材料和工程设备等进行管理、服务以及施工现场管理、竣工资料汇总整理等所需的费用。</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3.1.9 同义词语</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本章中使用的词语“</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”和“</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”分别与合同条款中定义的“发包人”和“承包人”同义；就工程量清单而言，“子目”与“项目”同义。</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3.2</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工程量差异调整</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3.2.1 工程量清单中的工作内容分类、子目列项、特征描述以及“分部分项工程量清单与计价表”中附带的工程量都不应理解为是对承包(招标)范围以及合同工作内容的唯一的、最终的或全部的定义。</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3.2.2 </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应对</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提供的工程量清单进行认真细致的复核。这种复核包括对</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供的工程量清单中的子目编码、子目名称、子目特征描述、计量单位、工程量的准确性以及可能存在的任何书写、打印错误进行检查和复核，特别是对“分部分项工程量清单与计价表”中每个工作子目的工程量进行重新计算和校核。如果</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经过检查和复核以后认为</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提供的工程量清单存在差异，则</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应将此类差异的详细情况连同按</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须知规定提交的要求</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澄清的其他问题一起提交给</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将根据实际情况决定是否颁发工程量清单的补充和(或)修改文件。</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3.2.3 如果</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在检查</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根据上文第3.2.2项提交的工程量差异问题后认为没有必要对工程量清单进行补充和(或)修改，或者</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根据上文第3.2.2项对工程量清单进行了补充和(或)修改，但</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认为工程量清单中的工程量依然存在差异，则此类差异不再提交</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答疑和修正，而是直接按</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提供的工程量清单(包括</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可能的补充和(或)修改)进行投标报价。</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在按照工程量清单进行报价时，除按照本节2.7.3项要求对</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提供的措施项目清单的内容进行细化或增减外，不得改变(包括对工程量清单子目的子目名称、子目特征描述、计量单位以及工程量的任何修改、增加或减少)</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提供的分部分项工程量清单和其他项目清单。即使按照图纸和招标范围的约定并不存在的子目，只要在</w:t>
      </w:r>
      <w:r>
        <w:rPr>
          <w:rFonts w:hint="eastAsia" w:ascii="宋体" w:hAnsi="宋体" w:eastAsia="宋体" w:cs="宋体"/>
          <w:kern w:val="2"/>
          <w:sz w:val="24"/>
          <w:szCs w:val="24"/>
          <w:lang w:eastAsia="zh-CN"/>
        </w:rPr>
        <w:t>采购人</w:t>
      </w:r>
      <w:r>
        <w:rPr>
          <w:rFonts w:hint="eastAsia" w:ascii="宋体" w:hAnsi="宋体" w:eastAsia="宋体" w:cs="宋体"/>
          <w:kern w:val="2"/>
          <w:sz w:val="24"/>
          <w:szCs w:val="24"/>
        </w:rPr>
        <w:t>提供的分部分项工程量清单中已经列明，</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都需要对其报价，并纳入投标总价的计算。</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3.3</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暂列金额和暂估价</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3.3.1 “暂列金额明细表”中所列暂列金额(不包括计日工金额)中已经包含与其对应的管理费、利润和规费，但不含税金。</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应按本</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规定将此类暂列金额直接纳入其他项目清单的投标价格并计取相应的税金，不需要考虑除税金以外的其他任何费用。</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3.3.2 “材料和工程设备暂估价表”中所列的材料和工程设备暂估价是此类材料、工程设备本身运至施工现场内的工地地面价，不包括其本身所对应的管理费、利润、规费、税金以及这些材料和工程设备的安装、安装所需要的辅助材料、安装损耗、驻厂监造以及发生在现场内的验收、存储、保管、开箱、二次倒运、从存放地点运至安装地点以及其他任何必要的辅助工作(以下简称“暂估价材料和工程设备的安装及辅助工作”)所发生的费用及其对应的管理费、利润、规费和税金。除应按本</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规定将此类暂估价本身纳入分部分项工程量清单相应子目的综合单价以外，</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还应将上述材料和工程设备的安装及辅助工作所发生的费用以及与此类费用有关的管理费和利润包含在分部分项工程量清单相应子目的综合单价中，并计取相应的规费和税金。</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rPr>
      </w:pPr>
      <w:r>
        <w:rPr>
          <w:rFonts w:hint="eastAsia" w:ascii="宋体" w:hAnsi="宋体" w:eastAsia="宋体" w:cs="宋体"/>
          <w:kern w:val="2"/>
          <w:sz w:val="24"/>
          <w:szCs w:val="24"/>
        </w:rPr>
        <w:t>3.3.3 专业工程暂估价表中所列的专业工程暂估价已经包含与其对应的管理费、利润和规费，但不含税金。</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应按本</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规定将此类暂估价直接纳入其他项目清单的投标价格并计取相应的税金。除按本</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规定将此类暂估价纳入其他项目清单的投标价格并计取相应的税金以外，</w:t>
      </w:r>
      <w:r>
        <w:rPr>
          <w:rFonts w:hint="eastAsia" w:ascii="宋体" w:hAnsi="宋体" w:eastAsia="宋体" w:cs="宋体"/>
          <w:kern w:val="2"/>
          <w:sz w:val="24"/>
          <w:szCs w:val="24"/>
          <w:lang w:eastAsia="zh-CN"/>
        </w:rPr>
        <w:t>供应商</w:t>
      </w:r>
      <w:r>
        <w:rPr>
          <w:rFonts w:hint="eastAsia" w:ascii="宋体" w:hAnsi="宋体" w:eastAsia="宋体" w:cs="宋体"/>
          <w:kern w:val="2"/>
          <w:sz w:val="24"/>
          <w:szCs w:val="24"/>
        </w:rPr>
        <w:t>还需要根据</w:t>
      </w:r>
      <w:r>
        <w:rPr>
          <w:rFonts w:hint="eastAsia" w:ascii="宋体" w:hAnsi="宋体" w:eastAsia="宋体" w:cs="宋体"/>
          <w:kern w:val="2"/>
          <w:sz w:val="24"/>
          <w:szCs w:val="24"/>
          <w:lang w:eastAsia="zh-CN"/>
        </w:rPr>
        <w:t>磋商文件</w:t>
      </w:r>
      <w:r>
        <w:rPr>
          <w:rFonts w:hint="eastAsia" w:ascii="宋体" w:hAnsi="宋体" w:eastAsia="宋体" w:cs="宋体"/>
          <w:kern w:val="2"/>
          <w:sz w:val="24"/>
          <w:szCs w:val="24"/>
        </w:rPr>
        <w:t>规定的内容考虑相应的总承包服务费以及与总承包服务费有关的规费和税金。</w:t>
      </w:r>
    </w:p>
    <w:p>
      <w:pPr>
        <w:pStyle w:val="2"/>
        <w:keepNext w:val="0"/>
        <w:keepLines w:val="0"/>
        <w:pageBreakBefore w:val="0"/>
        <w:widowControl w:val="0"/>
        <w:kinsoku/>
        <w:wordWrap w:val="0"/>
        <w:overflowPunct/>
        <w:topLinePunct w:val="0"/>
        <w:autoSpaceDE/>
        <w:autoSpaceDN/>
        <w:bidi w:val="0"/>
        <w:adjustRightInd/>
        <w:snapToGrid/>
        <w:spacing w:after="0" w:line="440" w:lineRule="exact"/>
        <w:ind w:firstLine="480" w:firstLineChars="200"/>
        <w:textAlignment w:val="auto"/>
        <w:outlineLvl w:val="9"/>
        <w:rPr>
          <w:rFonts w:hint="eastAsia" w:ascii="宋体" w:hAnsi="宋体" w:eastAsia="宋体" w:cs="宋体"/>
          <w:kern w:val="2"/>
          <w:sz w:val="24"/>
          <w:szCs w:val="24"/>
          <w:u w:val="none"/>
          <w:lang w:eastAsia="zh-CN"/>
        </w:rPr>
      </w:pPr>
      <w:r>
        <w:rPr>
          <w:rFonts w:hint="eastAsia" w:ascii="宋体" w:hAnsi="宋体" w:eastAsia="宋体" w:cs="宋体"/>
          <w:kern w:val="2"/>
          <w:sz w:val="24"/>
          <w:szCs w:val="24"/>
        </w:rPr>
        <w:t>3.4</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其他补充说明</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u w:val="none"/>
          <w:lang w:eastAsia="zh-CN"/>
        </w:rPr>
        <w:t>。</w:t>
      </w:r>
    </w:p>
    <w:p>
      <w:pPr>
        <w:keepNext w:val="0"/>
        <w:keepLines w:val="0"/>
        <w:pageBreakBefore w:val="0"/>
        <w:widowControl w:val="0"/>
        <w:kinsoku/>
        <w:wordWrap w:val="0"/>
        <w:overflowPunct/>
        <w:topLinePunct w:val="0"/>
        <w:autoSpaceDE/>
        <w:autoSpaceDN/>
        <w:bidi w:val="0"/>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br w:type="page"/>
      </w:r>
    </w:p>
    <w:bookmarkEnd w:id="196"/>
    <w:bookmarkEnd w:id="197"/>
    <w:bookmarkEnd w:id="198"/>
    <w:bookmarkEnd w:id="199"/>
    <w:p>
      <w:pPr>
        <w:keepNext w:val="0"/>
        <w:keepLines w:val="0"/>
        <w:pageBreakBefore w:val="0"/>
        <w:widowControl w:val="0"/>
        <w:kinsoku/>
        <w:wordWrap w:val="0"/>
        <w:overflowPunct/>
        <w:topLinePunct w:val="0"/>
        <w:autoSpaceDE/>
        <w:autoSpaceDN/>
        <w:bidi w:val="0"/>
        <w:outlineLvl w:val="1"/>
        <w:rPr>
          <w:rFonts w:hint="eastAsia" w:ascii="宋体" w:hAnsi="宋体" w:eastAsia="宋体" w:cs="宋体"/>
          <w:b/>
          <w:bCs/>
          <w:kern w:val="2"/>
          <w:sz w:val="32"/>
          <w:szCs w:val="32"/>
          <w:lang w:val="en-US" w:eastAsia="zh-CN" w:bidi="ar-SA"/>
        </w:rPr>
      </w:pPr>
      <w:bookmarkStart w:id="262" w:name="_Toc9182"/>
      <w:bookmarkStart w:id="263" w:name="_Toc7027"/>
      <w:bookmarkStart w:id="264" w:name="_Toc12698"/>
      <w:bookmarkStart w:id="265" w:name="_Toc19162"/>
      <w:bookmarkStart w:id="266" w:name="_Toc3259"/>
      <w:bookmarkStart w:id="267" w:name="_Toc764"/>
      <w:bookmarkStart w:id="268" w:name="_Toc19351"/>
      <w:bookmarkStart w:id="269" w:name="_Toc194"/>
      <w:bookmarkStart w:id="270" w:name="_Toc11495"/>
      <w:bookmarkStart w:id="271" w:name="_Toc23827"/>
      <w:bookmarkStart w:id="272" w:name="_Toc3942"/>
      <w:r>
        <w:rPr>
          <w:rFonts w:hint="eastAsia" w:ascii="宋体" w:hAnsi="宋体" w:eastAsia="宋体" w:cs="宋体"/>
          <w:b/>
          <w:bCs/>
          <w:kern w:val="2"/>
          <w:sz w:val="32"/>
          <w:szCs w:val="32"/>
          <w:lang w:val="en-US" w:eastAsia="zh-CN" w:bidi="ar-SA"/>
        </w:rPr>
        <w:t>4. 工程量清单（详见电子磋商文件内工程量清单）</w:t>
      </w:r>
      <w:bookmarkEnd w:id="262"/>
      <w:bookmarkEnd w:id="263"/>
      <w:bookmarkEnd w:id="264"/>
      <w:bookmarkEnd w:id="265"/>
      <w:bookmarkEnd w:id="266"/>
      <w:bookmarkEnd w:id="267"/>
      <w:bookmarkEnd w:id="268"/>
    </w:p>
    <w:p>
      <w:pPr>
        <w:keepNext w:val="0"/>
        <w:keepLines w:val="0"/>
        <w:pageBreakBefore w:val="0"/>
        <w:widowControl w:val="0"/>
        <w:kinsoku/>
        <w:wordWrap w:val="0"/>
        <w:overflowPunct/>
        <w:topLinePunct w:val="0"/>
        <w:autoSpaceDE/>
        <w:autoSpaceDN/>
        <w:bidi w:val="0"/>
        <w:snapToGrid w:val="0"/>
        <w:spacing w:line="380" w:lineRule="exact"/>
        <w:outlineLvl w:val="9"/>
        <w:rPr>
          <w:rFonts w:hint="eastAsia" w:ascii="宋体" w:hAnsi="宋体" w:eastAsia="宋体" w:cs="宋体"/>
          <w:b/>
          <w:bCs/>
          <w:sz w:val="28"/>
          <w:szCs w:val="21"/>
        </w:rPr>
      </w:pPr>
    </w:p>
    <w:p>
      <w:pPr>
        <w:keepNext w:val="0"/>
        <w:keepLines w:val="0"/>
        <w:pageBreakBefore w:val="0"/>
        <w:widowControl w:val="0"/>
        <w:kinsoku/>
        <w:wordWrap w:val="0"/>
        <w:overflowPunct/>
        <w:topLinePunct w:val="0"/>
        <w:autoSpaceDE/>
        <w:autoSpaceDN/>
        <w:bidi w:val="0"/>
        <w:snapToGrid w:val="0"/>
        <w:spacing w:line="380" w:lineRule="exact"/>
        <w:outlineLvl w:val="9"/>
        <w:rPr>
          <w:rFonts w:hint="eastAsia" w:ascii="宋体" w:hAnsi="宋体" w:eastAsia="宋体" w:cs="宋体"/>
          <w:b/>
          <w:bCs/>
          <w:sz w:val="28"/>
          <w:szCs w:val="21"/>
        </w:rPr>
      </w:pPr>
      <w:r>
        <w:rPr>
          <w:rFonts w:hint="eastAsia" w:ascii="宋体" w:hAnsi="宋体" w:eastAsia="宋体" w:cs="宋体"/>
          <w:b/>
          <w:bCs/>
          <w:sz w:val="28"/>
          <w:szCs w:val="21"/>
        </w:rPr>
        <w:t>4.1工程量清单封面</w:t>
      </w:r>
    </w:p>
    <w:p>
      <w:pPr>
        <w:keepNext w:val="0"/>
        <w:keepLines w:val="0"/>
        <w:pageBreakBefore w:val="0"/>
        <w:widowControl w:val="0"/>
        <w:kinsoku/>
        <w:wordWrap w:val="0"/>
        <w:overflowPunct/>
        <w:topLinePunct w:val="0"/>
        <w:autoSpaceDE/>
        <w:autoSpaceDN/>
        <w:bidi w:val="0"/>
        <w:adjustRightInd/>
        <w:snapToGrid w:val="0"/>
        <w:spacing w:line="440" w:lineRule="exact"/>
        <w:ind w:left="420" w:firstLine="420"/>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420" w:firstLine="420"/>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工程</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工 程 量 清 单</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0"/>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0" w:firstLine="0"/>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0" w:firstLine="0"/>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0" w:firstLine="0"/>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firstLine="4488" w:firstLineChars="1870"/>
        <w:textAlignment w:val="auto"/>
        <w:outlineLvl w:val="9"/>
        <w:rPr>
          <w:rFonts w:hint="eastAsia" w:ascii="宋体" w:hAnsi="宋体" w:eastAsia="宋体" w:cs="宋体"/>
          <w:sz w:val="24"/>
          <w:szCs w:val="24"/>
        </w:rPr>
      </w:pPr>
      <w:r>
        <w:rPr>
          <w:rFonts w:hint="eastAsia" w:ascii="宋体" w:hAnsi="宋体" w:eastAsia="宋体" w:cs="宋体"/>
          <w:sz w:val="24"/>
          <w:szCs w:val="24"/>
        </w:rPr>
        <w:t>工程造价</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pacing w:val="50"/>
          <w:sz w:val="24"/>
          <w:szCs w:val="24"/>
        </w:rPr>
        <w:t>咨询</w:t>
      </w:r>
      <w:r>
        <w:rPr>
          <w:rFonts w:hint="eastAsia" w:ascii="宋体" w:hAnsi="宋体" w:eastAsia="宋体" w:cs="宋体"/>
          <w:sz w:val="24"/>
          <w:szCs w:val="24"/>
        </w:rPr>
        <w:t>人：</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40" w:lineRule="exact"/>
        <w:ind w:firstLine="1680" w:firstLineChars="7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(单位盖章)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(单位资质专用章)</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法定代表人</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或其授权人：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或其授权人：</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40" w:lineRule="exact"/>
        <w:ind w:firstLine="1920" w:firstLineChars="8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(签字或盖章)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(签字或盖章)</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编制人：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复核人：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40" w:lineRule="exact"/>
        <w:ind w:firstLine="960" w:firstLineChars="400"/>
        <w:textAlignment w:val="auto"/>
        <w:outlineLvl w:val="9"/>
        <w:rPr>
          <w:rFonts w:hint="eastAsia" w:ascii="宋体" w:hAnsi="宋体" w:eastAsia="宋体" w:cs="宋体"/>
          <w:sz w:val="24"/>
          <w:szCs w:val="24"/>
        </w:rPr>
      </w:pPr>
      <w:r>
        <w:rPr>
          <w:rFonts w:hint="eastAsia" w:ascii="宋体" w:hAnsi="宋体" w:eastAsia="宋体" w:cs="宋体"/>
          <w:sz w:val="24"/>
          <w:szCs w:val="24"/>
        </w:rPr>
        <w:t>(造价人员签字盖专用章)              (造价工程师签字盖专用章)</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编制时间：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复核时间：    年    月    日</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4.2投标总价表</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after="480" w:line="440" w:lineRule="exact"/>
        <w:ind w:left="0" w:leftChars="0" w:right="0" w:rightChars="0" w:firstLine="0" w:firstLineChars="0"/>
        <w:jc w:val="center"/>
        <w:textAlignment w:val="auto"/>
        <w:outlineLvl w:val="9"/>
        <w:rPr>
          <w:rFonts w:hint="eastAsia" w:ascii="宋体" w:hAnsi="宋体" w:eastAsia="宋体" w:cs="宋体"/>
          <w:b/>
          <w:bCs/>
          <w:spacing w:val="20"/>
          <w:sz w:val="24"/>
          <w:szCs w:val="24"/>
        </w:rPr>
      </w:pPr>
      <w:r>
        <w:rPr>
          <w:rFonts w:hint="eastAsia" w:ascii="宋体" w:hAnsi="宋体" w:eastAsia="宋体" w:cs="宋体"/>
          <w:b/>
          <w:bCs/>
          <w:spacing w:val="20"/>
          <w:sz w:val="24"/>
          <w:szCs w:val="24"/>
        </w:rPr>
        <w:t>投标总价</w:t>
      </w: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rPr>
      </w:pPr>
    </w:p>
    <w:p>
      <w:pPr>
        <w:keepNext w:val="0"/>
        <w:keepLines w:val="0"/>
        <w:pageBreakBefore w:val="0"/>
        <w:widowControl w:val="0"/>
        <w:kinsoku/>
        <w:wordWrap w:val="0"/>
        <w:overflowPunct/>
        <w:topLinePunct w:val="0"/>
        <w:autoSpaceDE/>
        <w:autoSpaceDN/>
        <w:bidi w:val="0"/>
        <w:adjustRightInd/>
        <w:snapToGrid w:val="0"/>
        <w:spacing w:line="480" w:lineRule="auto"/>
        <w:ind w:left="420" w:firstLine="420"/>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招 标 人：</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80" w:lineRule="auto"/>
        <w:ind w:left="420"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80" w:lineRule="auto"/>
        <w:ind w:left="420"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投标总价(小写) ：</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80" w:lineRule="auto"/>
        <w:ind w:firstLine="1920" w:firstLineChars="800"/>
        <w:textAlignment w:val="auto"/>
        <w:outlineLvl w:val="9"/>
        <w:rPr>
          <w:rFonts w:hint="eastAsia" w:ascii="宋体" w:hAnsi="宋体" w:eastAsia="宋体" w:cs="宋体"/>
          <w:sz w:val="24"/>
          <w:szCs w:val="24"/>
        </w:rPr>
      </w:pPr>
      <w:r>
        <w:rPr>
          <w:rFonts w:hint="eastAsia" w:ascii="宋体" w:hAnsi="宋体" w:eastAsia="宋体" w:cs="宋体"/>
          <w:sz w:val="24"/>
          <w:szCs w:val="24"/>
        </w:rPr>
        <w:t>(大写)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pStyle w:val="61"/>
        <w:ind w:left="0" w:leftChars="0" w:firstLine="0" w:firstLineChars="0"/>
        <w:rPr>
          <w:rFonts w:hint="eastAsia" w:ascii="宋体" w:hAnsi="宋体" w:eastAsia="宋体" w:cs="宋体"/>
        </w:rPr>
      </w:pP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rPr>
      </w:pPr>
    </w:p>
    <w:p>
      <w:pPr>
        <w:keepNext w:val="0"/>
        <w:keepLines w:val="0"/>
        <w:pageBreakBefore w:val="0"/>
        <w:widowControl w:val="0"/>
        <w:kinsoku/>
        <w:wordWrap w:val="0"/>
        <w:overflowPunct/>
        <w:topLinePunct w:val="0"/>
        <w:autoSpaceDE/>
        <w:autoSpaceDN/>
        <w:bidi w:val="0"/>
        <w:adjustRightInd/>
        <w:snapToGrid w:val="0"/>
        <w:spacing w:line="440" w:lineRule="exact"/>
        <w:ind w:left="420" w:firstLine="420"/>
        <w:textAlignment w:val="auto"/>
        <w:outlineLvl w:val="9"/>
        <w:rPr>
          <w:rFonts w:hint="eastAsia" w:ascii="宋体" w:hAnsi="宋体" w:eastAsia="宋体" w:cs="宋体"/>
          <w:sz w:val="24"/>
          <w:szCs w:val="24"/>
        </w:rPr>
      </w:pPr>
      <w:r>
        <w:rPr>
          <w:rFonts w:hint="eastAsia" w:ascii="宋体" w:hAnsi="宋体" w:cs="宋体"/>
          <w:sz w:val="24"/>
          <w:szCs w:val="24"/>
          <w:lang w:eastAsia="zh-CN"/>
        </w:rPr>
        <w:t>供 应 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40" w:lineRule="exact"/>
        <w:ind w:firstLine="4800" w:firstLineChars="2000"/>
        <w:textAlignment w:val="auto"/>
        <w:outlineLvl w:val="9"/>
        <w:rPr>
          <w:rFonts w:hint="eastAsia" w:ascii="宋体" w:hAnsi="宋体" w:eastAsia="宋体" w:cs="宋体"/>
          <w:sz w:val="24"/>
          <w:szCs w:val="24"/>
        </w:rPr>
      </w:pPr>
      <w:r>
        <w:rPr>
          <w:rFonts w:hint="eastAsia" w:ascii="宋体" w:hAnsi="宋体" w:eastAsia="宋体" w:cs="宋体"/>
          <w:sz w:val="24"/>
          <w:szCs w:val="24"/>
        </w:rPr>
        <w:t>(单位盖章)</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pStyle w:val="61"/>
        <w:ind w:left="0" w:leftChars="0" w:firstLine="0" w:firstLineChars="0"/>
        <w:rPr>
          <w:rFonts w:hint="eastAsia" w:ascii="宋体" w:hAnsi="宋体" w:eastAsia="宋体" w:cs="宋体"/>
        </w:rPr>
      </w:pP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rPr>
      </w:pPr>
    </w:p>
    <w:p>
      <w:pPr>
        <w:keepNext w:val="0"/>
        <w:keepLines w:val="0"/>
        <w:pageBreakBefore w:val="0"/>
        <w:widowControl w:val="0"/>
        <w:kinsoku/>
        <w:wordWrap w:val="0"/>
        <w:overflowPunct/>
        <w:topLinePunct w:val="0"/>
        <w:autoSpaceDE/>
        <w:autoSpaceDN/>
        <w:bidi w:val="0"/>
        <w:adjustRightInd/>
        <w:snapToGrid w:val="0"/>
        <w:spacing w:after="72" w:line="440" w:lineRule="exact"/>
        <w:ind w:left="420"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w:t>
      </w:r>
    </w:p>
    <w:p>
      <w:pPr>
        <w:keepNext w:val="0"/>
        <w:keepLines w:val="0"/>
        <w:pageBreakBefore w:val="0"/>
        <w:widowControl w:val="0"/>
        <w:kinsoku/>
        <w:wordWrap w:val="0"/>
        <w:overflowPunct/>
        <w:topLinePunct w:val="0"/>
        <w:autoSpaceDE/>
        <w:autoSpaceDN/>
        <w:bidi w:val="0"/>
        <w:adjustRightInd/>
        <w:snapToGrid w:val="0"/>
        <w:spacing w:line="440" w:lineRule="exact"/>
        <w:ind w:left="420"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或其授权人：</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40" w:lineRule="exact"/>
        <w:ind w:firstLine="4800" w:firstLineChars="2000"/>
        <w:textAlignment w:val="auto"/>
        <w:outlineLvl w:val="9"/>
        <w:rPr>
          <w:rFonts w:hint="eastAsia" w:ascii="宋体" w:hAnsi="宋体" w:eastAsia="宋体" w:cs="宋体"/>
          <w:sz w:val="24"/>
          <w:szCs w:val="24"/>
        </w:rPr>
      </w:pPr>
      <w:r>
        <w:rPr>
          <w:rFonts w:hint="eastAsia" w:ascii="宋体" w:hAnsi="宋体" w:eastAsia="宋体" w:cs="宋体"/>
          <w:sz w:val="24"/>
          <w:szCs w:val="24"/>
        </w:rPr>
        <w:t>(签字或盖章)</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rPr>
      </w:pP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rPr>
      </w:pP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420"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编制人：</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40" w:lineRule="exact"/>
        <w:ind w:firstLine="4320" w:firstLineChars="1800"/>
        <w:textAlignment w:val="auto"/>
        <w:outlineLvl w:val="9"/>
        <w:rPr>
          <w:rFonts w:hint="eastAsia" w:ascii="宋体" w:hAnsi="宋体" w:eastAsia="宋体" w:cs="宋体"/>
          <w:sz w:val="24"/>
          <w:szCs w:val="24"/>
        </w:rPr>
      </w:pPr>
      <w:r>
        <w:rPr>
          <w:rFonts w:hint="eastAsia" w:ascii="宋体" w:hAnsi="宋体" w:eastAsia="宋体" w:cs="宋体"/>
          <w:sz w:val="24"/>
          <w:szCs w:val="24"/>
        </w:rPr>
        <w:t>(造价人员签字盖专用章)</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pStyle w:val="61"/>
        <w:ind w:left="0" w:leftChars="0" w:firstLine="0" w:firstLineChars="0"/>
        <w:rPr>
          <w:rFonts w:hint="eastAsia" w:ascii="宋体" w:hAnsi="宋体" w:eastAsia="宋体" w:cs="宋体"/>
        </w:rPr>
      </w:pP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420"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编制时间：         年      月      日</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4.3总说明</w:t>
      </w:r>
    </w:p>
    <w:p>
      <w:pPr>
        <w:keepNext w:val="0"/>
        <w:keepLines w:val="0"/>
        <w:pageBreakBefore w:val="0"/>
        <w:widowControl w:val="0"/>
        <w:kinsoku/>
        <w:wordWrap w:val="0"/>
        <w:overflowPunct/>
        <w:topLinePunct w:val="0"/>
        <w:autoSpaceDE/>
        <w:autoSpaceDN/>
        <w:bidi w:val="0"/>
        <w:adjustRightInd/>
        <w:snapToGrid w:val="0"/>
        <w:spacing w:after="240" w:line="440" w:lineRule="exact"/>
        <w:ind w:left="0" w:leftChars="0" w:right="0" w:rightChars="0" w:firstLine="0" w:firstLineChars="0"/>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总 说 明</w:t>
      </w:r>
    </w:p>
    <w:p>
      <w:pPr>
        <w:keepNext w:val="0"/>
        <w:keepLines w:val="0"/>
        <w:pageBreakBefore w:val="0"/>
        <w:widowControl w:val="0"/>
        <w:kinsoku/>
        <w:wordWrap w:val="0"/>
        <w:overflowPunct/>
        <w:topLinePunct w:val="0"/>
        <w:autoSpaceDE/>
        <w:autoSpaceDN/>
        <w:bidi w:val="0"/>
        <w:adjustRightInd/>
        <w:snapToGrid w:val="0"/>
        <w:spacing w:after="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第  页 共  页</w:t>
      </w:r>
    </w:p>
    <w:tbl>
      <w:tblPr>
        <w:tblStyle w:val="43"/>
        <w:tblW w:w="0" w:type="auto"/>
        <w:jc w:val="center"/>
        <w:tblLayout w:type="fixed"/>
        <w:tblCellMar>
          <w:top w:w="0" w:type="dxa"/>
          <w:left w:w="0" w:type="dxa"/>
          <w:bottom w:w="0" w:type="dxa"/>
          <w:right w:w="0" w:type="dxa"/>
        </w:tblCellMar>
      </w:tblPr>
      <w:tblGrid>
        <w:gridCol w:w="9460"/>
      </w:tblGrid>
      <w:tr>
        <w:tblPrEx>
          <w:tblCellMar>
            <w:top w:w="0" w:type="dxa"/>
            <w:left w:w="0" w:type="dxa"/>
            <w:bottom w:w="0" w:type="dxa"/>
            <w:right w:w="0" w:type="dxa"/>
          </w:tblCellMar>
        </w:tblPrEx>
        <w:trPr>
          <w:trHeight w:val="10494" w:hRule="atLeast"/>
          <w:jc w:val="center"/>
        </w:trPr>
        <w:tc>
          <w:tcPr>
            <w:tcW w:w="9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4.4工程项目投标报价汇总表</w:t>
      </w:r>
    </w:p>
    <w:p>
      <w:pPr>
        <w:keepNext w:val="0"/>
        <w:keepLines w:val="0"/>
        <w:pageBreakBefore w:val="0"/>
        <w:widowControl w:val="0"/>
        <w:kinsoku/>
        <w:wordWrap w:val="0"/>
        <w:overflowPunct/>
        <w:topLinePunct w:val="0"/>
        <w:autoSpaceDE/>
        <w:autoSpaceDN/>
        <w:bidi w:val="0"/>
        <w:adjustRightInd/>
        <w:snapToGrid w:val="0"/>
        <w:spacing w:after="240" w:line="440" w:lineRule="exact"/>
        <w:ind w:left="0" w:leftChars="0" w:right="0" w:rightChars="0" w:firstLine="0" w:firstLineChars="0"/>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工程项目投标报价汇总表</w:t>
      </w:r>
    </w:p>
    <w:p>
      <w:pPr>
        <w:keepNext w:val="0"/>
        <w:keepLines w:val="0"/>
        <w:pageBreakBefore w:val="0"/>
        <w:widowControl w:val="0"/>
        <w:kinsoku/>
        <w:wordWrap w:val="0"/>
        <w:overflowPunct/>
        <w:topLinePunct w:val="0"/>
        <w:autoSpaceDE/>
        <w:autoSpaceDN/>
        <w:bidi w:val="0"/>
        <w:adjustRightInd/>
        <w:snapToGrid w:val="0"/>
        <w:spacing w:after="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359" w:type="dxa"/>
        <w:jc w:val="center"/>
        <w:tblLayout w:type="fixed"/>
        <w:tblCellMar>
          <w:top w:w="0" w:type="dxa"/>
          <w:left w:w="0" w:type="dxa"/>
          <w:bottom w:w="0" w:type="dxa"/>
          <w:right w:w="0" w:type="dxa"/>
        </w:tblCellMar>
      </w:tblPr>
      <w:tblGrid>
        <w:gridCol w:w="1140"/>
        <w:gridCol w:w="2917"/>
        <w:gridCol w:w="1368"/>
        <w:gridCol w:w="1358"/>
        <w:gridCol w:w="1549"/>
        <w:gridCol w:w="1027"/>
      </w:tblGrid>
      <w:tr>
        <w:tblPrEx>
          <w:tblCellMar>
            <w:top w:w="0" w:type="dxa"/>
            <w:left w:w="0" w:type="dxa"/>
            <w:bottom w:w="0" w:type="dxa"/>
            <w:right w:w="0" w:type="dxa"/>
          </w:tblCellMar>
        </w:tblPrEx>
        <w:trPr>
          <w:trHeight w:val="545" w:hRule="atLeast"/>
          <w:jc w:val="center"/>
        </w:trPr>
        <w:tc>
          <w:tcPr>
            <w:tcW w:w="1140"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2917"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单项工程名称</w:t>
            </w:r>
          </w:p>
        </w:tc>
        <w:tc>
          <w:tcPr>
            <w:tcW w:w="1368"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c>
          <w:tcPr>
            <w:tcW w:w="3934"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  中</w:t>
            </w:r>
          </w:p>
        </w:tc>
      </w:tr>
      <w:tr>
        <w:tblPrEx>
          <w:tblCellMar>
            <w:top w:w="0" w:type="dxa"/>
            <w:left w:w="0" w:type="dxa"/>
            <w:bottom w:w="0" w:type="dxa"/>
            <w:right w:w="0" w:type="dxa"/>
          </w:tblCellMar>
        </w:tblPrEx>
        <w:trPr>
          <w:trHeight w:val="1083" w:hRule="atLeast"/>
          <w:jc w:val="center"/>
        </w:trPr>
        <w:tc>
          <w:tcPr>
            <w:tcW w:w="1140"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2917"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1368"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13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暂估价（元）</w:t>
            </w:r>
          </w:p>
        </w:tc>
        <w:tc>
          <w:tcPr>
            <w:tcW w:w="15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安全文明施工费（元）</w:t>
            </w:r>
          </w:p>
        </w:tc>
        <w:tc>
          <w:tcPr>
            <w:tcW w:w="1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规费</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（元）</w:t>
            </w:r>
          </w:p>
        </w:tc>
      </w:tr>
      <w:tr>
        <w:tblPrEx>
          <w:tblCellMar>
            <w:top w:w="0" w:type="dxa"/>
            <w:left w:w="0" w:type="dxa"/>
            <w:bottom w:w="0" w:type="dxa"/>
            <w:right w:w="0" w:type="dxa"/>
          </w:tblCellMar>
        </w:tblPrEx>
        <w:trPr>
          <w:trHeight w:val="7910" w:hRule="atLeast"/>
          <w:jc w:val="center"/>
        </w:trPr>
        <w:tc>
          <w:tcPr>
            <w:tcW w:w="11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29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136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13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5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73" w:hRule="atLeast"/>
          <w:jc w:val="center"/>
        </w:trPr>
        <w:tc>
          <w:tcPr>
            <w:tcW w:w="4057"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 计</w:t>
            </w:r>
          </w:p>
        </w:tc>
        <w:tc>
          <w:tcPr>
            <w:tcW w:w="136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13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5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b/>
          <w:bCs/>
          <w:sz w:val="28"/>
          <w:szCs w:val="28"/>
        </w:rPr>
      </w:pPr>
      <w:r>
        <w:rPr>
          <w:rFonts w:hint="eastAsia" w:ascii="宋体" w:hAnsi="宋体" w:eastAsia="宋体" w:cs="宋体"/>
          <w:sz w:val="24"/>
          <w:szCs w:val="24"/>
          <w:lang w:val="en-US" w:eastAsia="zh-CN" w:bidi="ar-SA"/>
        </w:rPr>
        <w:br w:type="page"/>
      </w:r>
      <w:r>
        <w:rPr>
          <w:rFonts w:hint="eastAsia" w:ascii="宋体" w:hAnsi="宋体" w:eastAsia="宋体" w:cs="宋体"/>
          <w:b/>
          <w:bCs/>
          <w:sz w:val="28"/>
          <w:szCs w:val="28"/>
        </w:rPr>
        <w:t>4.5单项工程投标报价汇总表</w:t>
      </w:r>
    </w:p>
    <w:p>
      <w:pPr>
        <w:keepNext w:val="0"/>
        <w:keepLines w:val="0"/>
        <w:pageBreakBefore w:val="0"/>
        <w:widowControl w:val="0"/>
        <w:kinsoku/>
        <w:wordWrap w:val="0"/>
        <w:overflowPunct/>
        <w:topLinePunct w:val="0"/>
        <w:autoSpaceDE/>
        <w:autoSpaceDN/>
        <w:bidi w:val="0"/>
        <w:adjustRightInd/>
        <w:snapToGrid w:val="0"/>
        <w:spacing w:after="120" w:line="440" w:lineRule="exact"/>
        <w:ind w:left="0" w:leftChars="0" w:right="0" w:rightChars="0" w:firstLine="0" w:firstLineChars="0"/>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单项工程投标报价汇总表</w:t>
      </w:r>
    </w:p>
    <w:p>
      <w:pPr>
        <w:keepNext w:val="0"/>
        <w:keepLines w:val="0"/>
        <w:pageBreakBefore w:val="0"/>
        <w:widowControl w:val="0"/>
        <w:kinsoku/>
        <w:wordWrap w:val="0"/>
        <w:overflowPunct/>
        <w:topLinePunct w:val="0"/>
        <w:autoSpaceDE/>
        <w:autoSpaceDN/>
        <w:bidi w:val="0"/>
        <w:adjustRightInd/>
        <w:snapToGrid w:val="0"/>
        <w:spacing w:after="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618" w:type="dxa"/>
        <w:jc w:val="center"/>
        <w:tblLayout w:type="fixed"/>
        <w:tblCellMar>
          <w:top w:w="0" w:type="dxa"/>
          <w:left w:w="0" w:type="dxa"/>
          <w:bottom w:w="0" w:type="dxa"/>
          <w:right w:w="0" w:type="dxa"/>
        </w:tblCellMar>
      </w:tblPr>
      <w:tblGrid>
        <w:gridCol w:w="840"/>
        <w:gridCol w:w="3707"/>
        <w:gridCol w:w="1349"/>
        <w:gridCol w:w="1034"/>
        <w:gridCol w:w="1648"/>
        <w:gridCol w:w="1040"/>
      </w:tblGrid>
      <w:tr>
        <w:tblPrEx>
          <w:tblCellMar>
            <w:top w:w="0" w:type="dxa"/>
            <w:left w:w="0" w:type="dxa"/>
            <w:bottom w:w="0" w:type="dxa"/>
            <w:right w:w="0" w:type="dxa"/>
          </w:tblCellMar>
        </w:tblPrEx>
        <w:trPr>
          <w:trHeight w:val="550" w:hRule="atLeast"/>
          <w:jc w:val="center"/>
        </w:trPr>
        <w:tc>
          <w:tcPr>
            <w:tcW w:w="840"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3707"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单位工程名称</w:t>
            </w:r>
          </w:p>
        </w:tc>
        <w:tc>
          <w:tcPr>
            <w:tcW w:w="1349"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c>
          <w:tcPr>
            <w:tcW w:w="3722"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  中</w:t>
            </w:r>
          </w:p>
        </w:tc>
      </w:tr>
      <w:tr>
        <w:tblPrEx>
          <w:tblCellMar>
            <w:top w:w="0" w:type="dxa"/>
            <w:left w:w="0" w:type="dxa"/>
            <w:bottom w:w="0" w:type="dxa"/>
            <w:right w:w="0" w:type="dxa"/>
          </w:tblCellMar>
        </w:tblPrEx>
        <w:trPr>
          <w:trHeight w:val="1175" w:hRule="atLeast"/>
          <w:jc w:val="center"/>
        </w:trPr>
        <w:tc>
          <w:tcPr>
            <w:tcW w:w="840"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3707"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1349"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10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暂估价（元）</w:t>
            </w:r>
          </w:p>
        </w:tc>
        <w:tc>
          <w:tcPr>
            <w:tcW w:w="16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安全文明施工费（元）</w:t>
            </w:r>
          </w:p>
        </w:tc>
        <w:tc>
          <w:tcPr>
            <w:tcW w:w="10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规费</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（元）</w:t>
            </w:r>
          </w:p>
        </w:tc>
      </w:tr>
      <w:tr>
        <w:tblPrEx>
          <w:tblCellMar>
            <w:top w:w="0" w:type="dxa"/>
            <w:left w:w="0" w:type="dxa"/>
            <w:bottom w:w="0" w:type="dxa"/>
            <w:right w:w="0" w:type="dxa"/>
          </w:tblCellMar>
        </w:tblPrEx>
        <w:trPr>
          <w:trHeight w:val="7987" w:hRule="atLeast"/>
          <w:jc w:val="center"/>
        </w:trPr>
        <w:tc>
          <w:tcPr>
            <w:tcW w:w="8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37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13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10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81" w:hRule="atLeast"/>
          <w:jc w:val="center"/>
        </w:trPr>
        <w:tc>
          <w:tcPr>
            <w:tcW w:w="4547"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 计</w:t>
            </w:r>
          </w:p>
        </w:tc>
        <w:tc>
          <w:tcPr>
            <w:tcW w:w="13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after="120" w:line="440" w:lineRule="exact"/>
              <w:jc w:val="center"/>
              <w:textAlignment w:val="auto"/>
              <w:outlineLvl w:val="9"/>
              <w:rPr>
                <w:rFonts w:hint="eastAsia" w:ascii="宋体" w:hAnsi="宋体" w:eastAsia="宋体" w:cs="宋体"/>
                <w:sz w:val="24"/>
                <w:szCs w:val="24"/>
              </w:rPr>
            </w:pPr>
          </w:p>
        </w:tc>
        <w:tc>
          <w:tcPr>
            <w:tcW w:w="10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4.6单位工程投标报价汇总表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ind w:left="0" w:leftChars="0" w:right="0" w:rightChars="0" w:firstLine="0" w:firstLineChars="0"/>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单位工程投标报价汇总表</w:t>
      </w:r>
    </w:p>
    <w:p>
      <w:pPr>
        <w:keepNext w:val="0"/>
        <w:keepLines w:val="0"/>
        <w:pageBreakBefore w:val="0"/>
        <w:widowControl w:val="0"/>
        <w:kinsoku/>
        <w:wordWrap w:val="0"/>
        <w:overflowPunct/>
        <w:topLinePunct w:val="0"/>
        <w:autoSpaceDE/>
        <w:autoSpaceDN/>
        <w:bidi w:val="0"/>
        <w:adjustRightInd/>
        <w:snapToGrid w:val="0"/>
        <w:spacing w:after="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                                           第  页   共  页</w:t>
      </w:r>
    </w:p>
    <w:tbl>
      <w:tblPr>
        <w:tblStyle w:val="43"/>
        <w:tblW w:w="9538" w:type="dxa"/>
        <w:jc w:val="center"/>
        <w:tblLayout w:type="fixed"/>
        <w:tblCellMar>
          <w:top w:w="0" w:type="dxa"/>
          <w:left w:w="0" w:type="dxa"/>
          <w:bottom w:w="0" w:type="dxa"/>
          <w:right w:w="0" w:type="dxa"/>
        </w:tblCellMar>
      </w:tblPr>
      <w:tblGrid>
        <w:gridCol w:w="791"/>
        <w:gridCol w:w="3170"/>
        <w:gridCol w:w="3628"/>
        <w:gridCol w:w="1949"/>
      </w:tblGrid>
      <w:tr>
        <w:tblPrEx>
          <w:tblCellMar>
            <w:top w:w="0" w:type="dxa"/>
            <w:left w:w="0" w:type="dxa"/>
            <w:bottom w:w="0" w:type="dxa"/>
            <w:right w:w="0" w:type="dxa"/>
          </w:tblCellMar>
        </w:tblPrEx>
        <w:trPr>
          <w:trHeight w:val="810"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汇总内容</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其中：暂估价(元)</w:t>
            </w: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分部分；项工程</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1.1</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1.2</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1.3</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0"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1.4</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1.5</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0"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措施项目</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2.1</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其中：安全文明施工费</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其他项目</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810"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3.1</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暂列金额（不包括计日工）</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450"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3.2</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专业工程暂估价</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3.3</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计日工</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3.4</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总承包服务费</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规费</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451" w:hRule="atLeast"/>
          <w:jc w:val="center"/>
        </w:trPr>
        <w:tc>
          <w:tcPr>
            <w:tcW w:w="79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31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税金</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477" w:hRule="atLeast"/>
          <w:jc w:val="center"/>
        </w:trPr>
        <w:tc>
          <w:tcPr>
            <w:tcW w:w="3961"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报标报价合计=1+2+3+4+5</w:t>
            </w:r>
          </w:p>
        </w:tc>
        <w:tc>
          <w:tcPr>
            <w:tcW w:w="36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bl>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4.7分部分项工程量清单与计价表</w:t>
      </w:r>
    </w:p>
    <w:p>
      <w:pPr>
        <w:keepNext w:val="0"/>
        <w:keepLines w:val="0"/>
        <w:pageBreakBefore w:val="0"/>
        <w:widowControl w:val="0"/>
        <w:kinsoku/>
        <w:wordWrap w:val="0"/>
        <w:overflowPunct/>
        <w:topLinePunct w:val="0"/>
        <w:autoSpaceDE/>
        <w:autoSpaceDN/>
        <w:bidi w:val="0"/>
        <w:adjustRightInd/>
        <w:snapToGrid w:val="0"/>
        <w:spacing w:before="240" w:after="24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分部分项工程量清单与计价表</w:t>
      </w:r>
    </w:p>
    <w:p>
      <w:pPr>
        <w:keepNext w:val="0"/>
        <w:keepLines w:val="0"/>
        <w:pageBreakBefore w:val="0"/>
        <w:widowControl w:val="0"/>
        <w:kinsoku/>
        <w:wordWrap w:val="0"/>
        <w:overflowPunct/>
        <w:topLinePunct w:val="0"/>
        <w:autoSpaceDE/>
        <w:autoSpaceDN/>
        <w:bidi w:val="0"/>
        <w:adjustRightInd/>
        <w:snapToGrid w:val="0"/>
        <w:spacing w:before="240" w:after="24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437" w:type="dxa"/>
        <w:jc w:val="center"/>
        <w:tblLayout w:type="fixed"/>
        <w:tblCellMar>
          <w:top w:w="0" w:type="dxa"/>
          <w:left w:w="0" w:type="dxa"/>
          <w:bottom w:w="0" w:type="dxa"/>
          <w:right w:w="0" w:type="dxa"/>
        </w:tblCellMar>
      </w:tblPr>
      <w:tblGrid>
        <w:gridCol w:w="715"/>
        <w:gridCol w:w="1166"/>
        <w:gridCol w:w="1142"/>
        <w:gridCol w:w="1623"/>
        <w:gridCol w:w="1134"/>
        <w:gridCol w:w="932"/>
        <w:gridCol w:w="851"/>
        <w:gridCol w:w="824"/>
        <w:gridCol w:w="1050"/>
      </w:tblGrid>
      <w:tr>
        <w:tblPrEx>
          <w:tblCellMar>
            <w:top w:w="0" w:type="dxa"/>
            <w:left w:w="0" w:type="dxa"/>
            <w:bottom w:w="0" w:type="dxa"/>
            <w:right w:w="0" w:type="dxa"/>
          </w:tblCellMar>
        </w:tblPrEx>
        <w:trPr>
          <w:trHeight w:val="424" w:hRule="atLeast"/>
          <w:jc w:val="center"/>
        </w:trPr>
        <w:tc>
          <w:tcPr>
            <w:tcW w:w="715" w:type="dxa"/>
            <w:vMerge w:val="restart"/>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166" w:type="dxa"/>
            <w:vMerge w:val="restart"/>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子目编码</w:t>
            </w:r>
          </w:p>
        </w:tc>
        <w:tc>
          <w:tcPr>
            <w:tcW w:w="1142" w:type="dxa"/>
            <w:vMerge w:val="restart"/>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623" w:type="dxa"/>
            <w:vMerge w:val="restart"/>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子目特征描述</w:t>
            </w:r>
          </w:p>
        </w:tc>
        <w:tc>
          <w:tcPr>
            <w:tcW w:w="1134" w:type="dxa"/>
            <w:vMerge w:val="restart"/>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计量单位</w:t>
            </w:r>
          </w:p>
        </w:tc>
        <w:tc>
          <w:tcPr>
            <w:tcW w:w="932" w:type="dxa"/>
            <w:vMerge w:val="restart"/>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工程量</w:t>
            </w:r>
          </w:p>
        </w:tc>
        <w:tc>
          <w:tcPr>
            <w:tcW w:w="2725" w:type="dxa"/>
            <w:gridSpan w:val="3"/>
            <w:tcBorders>
              <w:top w:val="single" w:color="000000" w:sz="6"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r>
      <w:tr>
        <w:tblPrEx>
          <w:tblCellMar>
            <w:top w:w="0" w:type="dxa"/>
            <w:left w:w="0" w:type="dxa"/>
            <w:bottom w:w="0" w:type="dxa"/>
            <w:right w:w="0" w:type="dxa"/>
          </w:tblCellMar>
        </w:tblPrEx>
        <w:trPr>
          <w:trHeight w:val="815" w:hRule="atLeast"/>
          <w:jc w:val="center"/>
        </w:trPr>
        <w:tc>
          <w:tcPr>
            <w:tcW w:w="715" w:type="dxa"/>
            <w:vMerge w:val="continue"/>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vMerge w:val="continue"/>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vMerge w:val="continue"/>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vMerge w:val="continue"/>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vMerge w:val="continue"/>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vMerge w:val="continue"/>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综合单价</w:t>
            </w: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合价</w:t>
            </w: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其中：暂估价</w:t>
            </w: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7"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7"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7"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4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62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3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5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8" w:hRule="atLeast"/>
          <w:jc w:val="center"/>
        </w:trPr>
        <w:tc>
          <w:tcPr>
            <w:tcW w:w="7563" w:type="dxa"/>
            <w:gridSpan w:val="7"/>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本页小计</w:t>
            </w:r>
          </w:p>
        </w:tc>
        <w:tc>
          <w:tcPr>
            <w:tcW w:w="82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7" w:hRule="atLeast"/>
          <w:jc w:val="center"/>
        </w:trPr>
        <w:tc>
          <w:tcPr>
            <w:tcW w:w="7563" w:type="dxa"/>
            <w:gridSpan w:val="7"/>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  计</w:t>
            </w:r>
          </w:p>
        </w:tc>
        <w:tc>
          <w:tcPr>
            <w:tcW w:w="824"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before="72"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注：根据《建筑安装工程费用组成》(建标[2003]206号)的规定，为计取规费等的使用，可在表中增设其中：“直接费”、“人工费”或“人工费+机械费”。</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4.8工程量清单综合单价分析表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工程量清单综合单价分析表</w:t>
      </w:r>
    </w:p>
    <w:p>
      <w:pPr>
        <w:keepNext w:val="0"/>
        <w:keepLines w:val="0"/>
        <w:pageBreakBefore w:val="0"/>
        <w:widowControl w:val="0"/>
        <w:kinsoku/>
        <w:wordWrap w:val="0"/>
        <w:overflowPunct/>
        <w:topLinePunct w:val="0"/>
        <w:autoSpaceDE/>
        <w:autoSpaceDN/>
        <w:bidi w:val="0"/>
        <w:adjustRightInd/>
        <w:snapToGrid w:val="0"/>
        <w:spacing w:after="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536" w:type="dxa"/>
        <w:jc w:val="center"/>
        <w:tblLayout w:type="fixed"/>
        <w:tblCellMar>
          <w:top w:w="0" w:type="dxa"/>
          <w:left w:w="0" w:type="dxa"/>
          <w:bottom w:w="0" w:type="dxa"/>
          <w:right w:w="0" w:type="dxa"/>
        </w:tblCellMar>
      </w:tblPr>
      <w:tblGrid>
        <w:gridCol w:w="859"/>
        <w:gridCol w:w="864"/>
        <w:gridCol w:w="372"/>
        <w:gridCol w:w="496"/>
        <w:gridCol w:w="762"/>
        <w:gridCol w:w="602"/>
        <w:gridCol w:w="708"/>
        <w:gridCol w:w="526"/>
        <w:gridCol w:w="834"/>
        <w:gridCol w:w="307"/>
        <w:gridCol w:w="457"/>
        <w:gridCol w:w="689"/>
        <w:gridCol w:w="109"/>
        <w:gridCol w:w="901"/>
        <w:gridCol w:w="1050"/>
      </w:tblGrid>
      <w:tr>
        <w:tblPrEx>
          <w:tblCellMar>
            <w:top w:w="0" w:type="dxa"/>
            <w:left w:w="0" w:type="dxa"/>
            <w:bottom w:w="0" w:type="dxa"/>
            <w:right w:w="0" w:type="dxa"/>
          </w:tblCellMar>
        </w:tblPrEx>
        <w:trPr>
          <w:trHeight w:val="482" w:hRule="atLeast"/>
          <w:jc w:val="center"/>
        </w:trPr>
        <w:tc>
          <w:tcPr>
            <w:tcW w:w="2095" w:type="dxa"/>
            <w:gridSpan w:val="3"/>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子目编码</w:t>
            </w:r>
          </w:p>
        </w:tc>
        <w:tc>
          <w:tcPr>
            <w:tcW w:w="1258" w:type="dxa"/>
            <w:gridSpan w:val="2"/>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10" w:type="dxa"/>
            <w:gridSpan w:val="2"/>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667" w:type="dxa"/>
            <w:gridSpan w:val="3"/>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5" w:type="dxa"/>
            <w:gridSpan w:val="3"/>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计量单位</w:t>
            </w:r>
          </w:p>
        </w:tc>
        <w:tc>
          <w:tcPr>
            <w:tcW w:w="1951" w:type="dxa"/>
            <w:gridSpan w:val="2"/>
            <w:tcBorders>
              <w:top w:val="single" w:color="000000" w:sz="6"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9536" w:type="dxa"/>
            <w:gridSpan w:val="15"/>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清单综合单价组成明细</w:t>
            </w:r>
          </w:p>
        </w:tc>
      </w:tr>
      <w:tr>
        <w:tblPrEx>
          <w:tblCellMar>
            <w:top w:w="0" w:type="dxa"/>
            <w:left w:w="0" w:type="dxa"/>
            <w:bottom w:w="0" w:type="dxa"/>
            <w:right w:w="0" w:type="dxa"/>
          </w:tblCellMar>
        </w:tblPrEx>
        <w:trPr>
          <w:trHeight w:val="451" w:hRule="atLeast"/>
          <w:jc w:val="center"/>
        </w:trPr>
        <w:tc>
          <w:tcPr>
            <w:tcW w:w="859" w:type="dxa"/>
            <w:vMerge w:val="restart"/>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定额编号</w:t>
            </w:r>
          </w:p>
        </w:tc>
        <w:tc>
          <w:tcPr>
            <w:tcW w:w="864" w:type="dxa"/>
            <w:vMerge w:val="restart"/>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定额名称</w:t>
            </w:r>
          </w:p>
        </w:tc>
        <w:tc>
          <w:tcPr>
            <w:tcW w:w="868" w:type="dxa"/>
            <w:gridSpan w:val="2"/>
            <w:vMerge w:val="restart"/>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定额</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单位</w:t>
            </w:r>
          </w:p>
        </w:tc>
        <w:tc>
          <w:tcPr>
            <w:tcW w:w="762" w:type="dxa"/>
            <w:vMerge w:val="restart"/>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数量</w:t>
            </w:r>
          </w:p>
        </w:tc>
        <w:tc>
          <w:tcPr>
            <w:tcW w:w="2670" w:type="dxa"/>
            <w:gridSpan w:val="4"/>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单价</w:t>
            </w:r>
          </w:p>
        </w:tc>
        <w:tc>
          <w:tcPr>
            <w:tcW w:w="3513" w:type="dxa"/>
            <w:gridSpan w:val="6"/>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合价</w:t>
            </w:r>
          </w:p>
        </w:tc>
      </w:tr>
      <w:tr>
        <w:tblPrEx>
          <w:tblCellMar>
            <w:top w:w="0" w:type="dxa"/>
            <w:left w:w="0" w:type="dxa"/>
            <w:bottom w:w="0" w:type="dxa"/>
            <w:right w:w="0" w:type="dxa"/>
          </w:tblCellMar>
        </w:tblPrEx>
        <w:trPr>
          <w:trHeight w:val="1274" w:hRule="atLeast"/>
          <w:jc w:val="center"/>
        </w:trPr>
        <w:tc>
          <w:tcPr>
            <w:tcW w:w="859" w:type="dxa"/>
            <w:vMerge w:val="continue"/>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64" w:type="dxa"/>
            <w:vMerge w:val="continue"/>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68" w:type="dxa"/>
            <w:gridSpan w:val="2"/>
            <w:vMerge w:val="continue"/>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2" w:type="dxa"/>
            <w:vMerge w:val="continue"/>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人工费</w:t>
            </w: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材料费</w:t>
            </w:r>
          </w:p>
        </w:tc>
        <w:tc>
          <w:tcPr>
            <w:tcW w:w="52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机械费</w:t>
            </w:r>
          </w:p>
        </w:tc>
        <w:tc>
          <w:tcPr>
            <w:tcW w:w="8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管理费和利润</w:t>
            </w: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人工费</w:t>
            </w: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材料费</w:t>
            </w: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机械费</w:t>
            </w: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管理</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费和</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利润</w:t>
            </w:r>
          </w:p>
        </w:tc>
      </w:tr>
      <w:tr>
        <w:tblPrEx>
          <w:tblCellMar>
            <w:top w:w="0" w:type="dxa"/>
            <w:left w:w="0" w:type="dxa"/>
            <w:bottom w:w="0" w:type="dxa"/>
            <w:right w:w="0" w:type="dxa"/>
          </w:tblCellMar>
        </w:tblPrEx>
        <w:trPr>
          <w:trHeight w:val="451" w:hRule="atLeast"/>
          <w:jc w:val="center"/>
        </w:trPr>
        <w:tc>
          <w:tcPr>
            <w:tcW w:w="85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6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68"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0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52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85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6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68"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0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52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85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6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68"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0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52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85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6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68"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0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52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4"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1723" w:type="dxa"/>
            <w:gridSpan w:val="2"/>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人工单价</w:t>
            </w:r>
          </w:p>
        </w:tc>
        <w:tc>
          <w:tcPr>
            <w:tcW w:w="4300" w:type="dxa"/>
            <w:gridSpan w:val="7"/>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小计</w:t>
            </w: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1723" w:type="dxa"/>
            <w:gridSpan w:val="2"/>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元/工日</w:t>
            </w:r>
          </w:p>
        </w:tc>
        <w:tc>
          <w:tcPr>
            <w:tcW w:w="4300" w:type="dxa"/>
            <w:gridSpan w:val="7"/>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未计价材料和工程设备费</w:t>
            </w:r>
          </w:p>
        </w:tc>
        <w:tc>
          <w:tcPr>
            <w:tcW w:w="3513" w:type="dxa"/>
            <w:gridSpan w:val="6"/>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1" w:hRule="atLeast"/>
          <w:jc w:val="center"/>
        </w:trPr>
        <w:tc>
          <w:tcPr>
            <w:tcW w:w="6023" w:type="dxa"/>
            <w:gridSpan w:val="9"/>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清单子目综合单价</w:t>
            </w:r>
          </w:p>
        </w:tc>
        <w:tc>
          <w:tcPr>
            <w:tcW w:w="3513" w:type="dxa"/>
            <w:gridSpan w:val="6"/>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56" w:hRule="atLeast"/>
          <w:jc w:val="center"/>
        </w:trPr>
        <w:tc>
          <w:tcPr>
            <w:tcW w:w="859" w:type="dxa"/>
            <w:vMerge w:val="restart"/>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材</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料</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费</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明</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细</w:t>
            </w:r>
          </w:p>
        </w:tc>
        <w:tc>
          <w:tcPr>
            <w:tcW w:w="3096"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主要材料和工程设备名称、规格、型号</w:t>
            </w: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单位</w:t>
            </w:r>
          </w:p>
        </w:tc>
        <w:tc>
          <w:tcPr>
            <w:tcW w:w="136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数量</w:t>
            </w: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单价</w:t>
            </w: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合计</w:t>
            </w: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暂估单价（元）</w:t>
            </w: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暂估单价（元）</w:t>
            </w:r>
          </w:p>
        </w:tc>
      </w:tr>
      <w:tr>
        <w:tblPrEx>
          <w:tblCellMar>
            <w:top w:w="0" w:type="dxa"/>
            <w:left w:w="0" w:type="dxa"/>
            <w:bottom w:w="0" w:type="dxa"/>
            <w:right w:w="0" w:type="dxa"/>
          </w:tblCellMar>
        </w:tblPrEx>
        <w:trPr>
          <w:trHeight w:val="482" w:hRule="atLeast"/>
          <w:jc w:val="center"/>
        </w:trPr>
        <w:tc>
          <w:tcPr>
            <w:tcW w:w="859" w:type="dxa"/>
            <w:vMerge w:val="continue"/>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3096"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6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82" w:hRule="atLeast"/>
          <w:jc w:val="center"/>
        </w:trPr>
        <w:tc>
          <w:tcPr>
            <w:tcW w:w="859" w:type="dxa"/>
            <w:vMerge w:val="continue"/>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3096"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6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82" w:hRule="atLeast"/>
          <w:jc w:val="center"/>
        </w:trPr>
        <w:tc>
          <w:tcPr>
            <w:tcW w:w="859" w:type="dxa"/>
            <w:vMerge w:val="continue"/>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3096"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6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82" w:hRule="atLeast"/>
          <w:jc w:val="center"/>
        </w:trPr>
        <w:tc>
          <w:tcPr>
            <w:tcW w:w="859" w:type="dxa"/>
            <w:vMerge w:val="continue"/>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3096"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36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82" w:hRule="atLeast"/>
          <w:jc w:val="center"/>
        </w:trPr>
        <w:tc>
          <w:tcPr>
            <w:tcW w:w="859" w:type="dxa"/>
            <w:vMerge w:val="continue"/>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3096"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70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36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82" w:hRule="atLeast"/>
          <w:jc w:val="center"/>
        </w:trPr>
        <w:tc>
          <w:tcPr>
            <w:tcW w:w="859" w:type="dxa"/>
            <w:vMerge w:val="continue"/>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5164" w:type="dxa"/>
            <w:gridSpan w:val="8"/>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其他材料费</w:t>
            </w:r>
          </w:p>
        </w:tc>
        <w:tc>
          <w:tcPr>
            <w:tcW w:w="764" w:type="dxa"/>
            <w:gridSpan w:val="2"/>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75" w:hRule="atLeast"/>
          <w:jc w:val="center"/>
        </w:trPr>
        <w:tc>
          <w:tcPr>
            <w:tcW w:w="859" w:type="dxa"/>
            <w:vMerge w:val="continue"/>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5164" w:type="dxa"/>
            <w:gridSpan w:val="8"/>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材料费小计</w:t>
            </w:r>
          </w:p>
        </w:tc>
        <w:tc>
          <w:tcPr>
            <w:tcW w:w="764" w:type="dxa"/>
            <w:gridSpan w:val="2"/>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689"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10" w:type="dxa"/>
            <w:gridSpan w:val="2"/>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50" w:type="dxa"/>
            <w:tcBorders>
              <w:top w:val="single" w:color="000000" w:sz="4"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注：如不使用省级或行业建设主管部门发布的计价定额，可不填定额项目、编号等。</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4.9措施项目清单与计价表(一)</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措施项目清单与计价表(一)</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498" w:type="dxa"/>
        <w:jc w:val="center"/>
        <w:tblLayout w:type="fixed"/>
        <w:tblCellMar>
          <w:top w:w="0" w:type="dxa"/>
          <w:left w:w="0" w:type="dxa"/>
          <w:bottom w:w="0" w:type="dxa"/>
          <w:right w:w="0" w:type="dxa"/>
        </w:tblCellMar>
      </w:tblPr>
      <w:tblGrid>
        <w:gridCol w:w="919"/>
        <w:gridCol w:w="3283"/>
        <w:gridCol w:w="1765"/>
        <w:gridCol w:w="1765"/>
        <w:gridCol w:w="1766"/>
      </w:tblGrid>
      <w:tr>
        <w:tblPrEx>
          <w:tblCellMar>
            <w:top w:w="0" w:type="dxa"/>
            <w:left w:w="0" w:type="dxa"/>
            <w:bottom w:w="0" w:type="dxa"/>
            <w:right w:w="0" w:type="dxa"/>
          </w:tblCellMar>
        </w:tblPrEx>
        <w:trPr>
          <w:trHeight w:val="758" w:hRule="atLeast"/>
          <w:jc w:val="center"/>
        </w:trPr>
        <w:tc>
          <w:tcPr>
            <w:tcW w:w="919"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3283"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765"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计算基础</w:t>
            </w:r>
          </w:p>
        </w:tc>
        <w:tc>
          <w:tcPr>
            <w:tcW w:w="1765"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费率(％)</w:t>
            </w:r>
          </w:p>
        </w:tc>
        <w:tc>
          <w:tcPr>
            <w:tcW w:w="1766"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r>
      <w:tr>
        <w:tblPrEx>
          <w:tblCellMar>
            <w:top w:w="0" w:type="dxa"/>
            <w:left w:w="0" w:type="dxa"/>
            <w:bottom w:w="0" w:type="dxa"/>
            <w:right w:w="0" w:type="dxa"/>
          </w:tblCellMar>
        </w:tblPrEx>
        <w:trPr>
          <w:trHeight w:val="742" w:hRule="atLeast"/>
          <w:jc w:val="center"/>
        </w:trPr>
        <w:tc>
          <w:tcPr>
            <w:tcW w:w="91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32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安全文明施工费</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2" w:hRule="atLeast"/>
          <w:jc w:val="center"/>
        </w:trPr>
        <w:tc>
          <w:tcPr>
            <w:tcW w:w="919"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32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夜间施工费</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59" w:hRule="atLeast"/>
          <w:jc w:val="center"/>
        </w:trPr>
        <w:tc>
          <w:tcPr>
            <w:tcW w:w="919"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32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二次搬运费</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1" w:hRule="atLeast"/>
          <w:jc w:val="center"/>
        </w:trPr>
        <w:tc>
          <w:tcPr>
            <w:tcW w:w="91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32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冬雨季施工</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89" w:hRule="atLeast"/>
          <w:jc w:val="center"/>
        </w:trPr>
        <w:tc>
          <w:tcPr>
            <w:tcW w:w="91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32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大型机械设备进出场及安拆费</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2" w:hRule="atLeast"/>
          <w:jc w:val="center"/>
        </w:trPr>
        <w:tc>
          <w:tcPr>
            <w:tcW w:w="91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6</w:t>
            </w:r>
          </w:p>
        </w:tc>
        <w:tc>
          <w:tcPr>
            <w:tcW w:w="32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施工排水、降水</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18" w:hRule="atLeast"/>
          <w:jc w:val="center"/>
        </w:trPr>
        <w:tc>
          <w:tcPr>
            <w:tcW w:w="91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7</w:t>
            </w:r>
          </w:p>
        </w:tc>
        <w:tc>
          <w:tcPr>
            <w:tcW w:w="32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地上、地下设施、建筑物的临时保护设施</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1" w:hRule="atLeast"/>
          <w:jc w:val="center"/>
        </w:trPr>
        <w:tc>
          <w:tcPr>
            <w:tcW w:w="91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8</w:t>
            </w:r>
          </w:p>
        </w:tc>
        <w:tc>
          <w:tcPr>
            <w:tcW w:w="32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已完工程及设备保护</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2" w:hRule="atLeast"/>
          <w:jc w:val="center"/>
        </w:trPr>
        <w:tc>
          <w:tcPr>
            <w:tcW w:w="91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9</w:t>
            </w:r>
          </w:p>
        </w:tc>
        <w:tc>
          <w:tcPr>
            <w:tcW w:w="32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各专业工程的措施项目</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2" w:hRule="atLeast"/>
          <w:jc w:val="center"/>
        </w:trPr>
        <w:tc>
          <w:tcPr>
            <w:tcW w:w="91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10</w:t>
            </w:r>
          </w:p>
        </w:tc>
        <w:tc>
          <w:tcPr>
            <w:tcW w:w="328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76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95" w:hRule="atLeast"/>
          <w:jc w:val="center"/>
        </w:trPr>
        <w:tc>
          <w:tcPr>
            <w:tcW w:w="7732" w:type="dxa"/>
            <w:gridSpan w:val="4"/>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合计</w:t>
            </w:r>
          </w:p>
        </w:tc>
        <w:tc>
          <w:tcPr>
            <w:tcW w:w="1766"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before="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注：1．本表适用于以“项”计价的措施项目；</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2．根据建设部、财政部发布的《建筑安装工程费用组成》(建标[2003]206号)的规定,“计算基础”可为“直接费”、“人工费”或“人工费+机械费”。</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4.10措施项目清单与计价表(二)</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ind w:left="0" w:leftChars="0" w:right="0" w:rightChars="0" w:firstLine="0" w:firstLineChars="0"/>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措施项目清单与计价表(二)</w:t>
      </w:r>
    </w:p>
    <w:p>
      <w:pPr>
        <w:keepNext w:val="0"/>
        <w:keepLines w:val="0"/>
        <w:pageBreakBefore w:val="0"/>
        <w:widowControl w:val="0"/>
        <w:kinsoku/>
        <w:wordWrap w:val="0"/>
        <w:overflowPunct/>
        <w:topLinePunct w:val="0"/>
        <w:autoSpaceDE/>
        <w:autoSpaceDN/>
        <w:bidi w:val="0"/>
        <w:adjustRightInd/>
        <w:snapToGrid w:val="0"/>
        <w:spacing w:before="240" w:after="24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336" w:type="dxa"/>
        <w:jc w:val="center"/>
        <w:tblLayout w:type="fixed"/>
        <w:tblCellMar>
          <w:top w:w="0" w:type="dxa"/>
          <w:left w:w="0" w:type="dxa"/>
          <w:bottom w:w="0" w:type="dxa"/>
          <w:right w:w="0" w:type="dxa"/>
        </w:tblCellMar>
      </w:tblPr>
      <w:tblGrid>
        <w:gridCol w:w="706"/>
        <w:gridCol w:w="1152"/>
        <w:gridCol w:w="1129"/>
        <w:gridCol w:w="1605"/>
        <w:gridCol w:w="1122"/>
        <w:gridCol w:w="922"/>
        <w:gridCol w:w="1347"/>
        <w:gridCol w:w="1353"/>
      </w:tblGrid>
      <w:tr>
        <w:tblPrEx>
          <w:tblCellMar>
            <w:top w:w="0" w:type="dxa"/>
            <w:left w:w="0" w:type="dxa"/>
            <w:bottom w:w="0" w:type="dxa"/>
            <w:right w:w="0" w:type="dxa"/>
          </w:tblCellMar>
        </w:tblPrEx>
        <w:trPr>
          <w:trHeight w:val="432" w:hRule="atLeast"/>
          <w:jc w:val="center"/>
        </w:trPr>
        <w:tc>
          <w:tcPr>
            <w:tcW w:w="706" w:type="dxa"/>
            <w:vMerge w:val="restart"/>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152" w:type="dxa"/>
            <w:vMerge w:val="restart"/>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子目编码</w:t>
            </w:r>
          </w:p>
        </w:tc>
        <w:tc>
          <w:tcPr>
            <w:tcW w:w="1129" w:type="dxa"/>
            <w:vMerge w:val="restart"/>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605" w:type="dxa"/>
            <w:vMerge w:val="restart"/>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子目特征描述</w:t>
            </w:r>
          </w:p>
        </w:tc>
        <w:tc>
          <w:tcPr>
            <w:tcW w:w="1122" w:type="dxa"/>
            <w:vMerge w:val="restart"/>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计量单位</w:t>
            </w:r>
          </w:p>
        </w:tc>
        <w:tc>
          <w:tcPr>
            <w:tcW w:w="922" w:type="dxa"/>
            <w:vMerge w:val="restart"/>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工程量</w:t>
            </w:r>
          </w:p>
        </w:tc>
        <w:tc>
          <w:tcPr>
            <w:tcW w:w="2700" w:type="dxa"/>
            <w:gridSpan w:val="2"/>
            <w:tcBorders>
              <w:top w:val="single" w:color="000000" w:sz="6"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r>
      <w:tr>
        <w:tblPrEx>
          <w:tblCellMar>
            <w:top w:w="0" w:type="dxa"/>
            <w:left w:w="0" w:type="dxa"/>
            <w:bottom w:w="0" w:type="dxa"/>
            <w:right w:w="0" w:type="dxa"/>
          </w:tblCellMar>
        </w:tblPrEx>
        <w:trPr>
          <w:trHeight w:val="508" w:hRule="atLeast"/>
          <w:jc w:val="center"/>
        </w:trPr>
        <w:tc>
          <w:tcPr>
            <w:tcW w:w="706" w:type="dxa"/>
            <w:vMerge w:val="continue"/>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vMerge w:val="continue"/>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vMerge w:val="continue"/>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vMerge w:val="continue"/>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vMerge w:val="continue"/>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vMerge w:val="continue"/>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综合单价</w:t>
            </w: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合价</w:t>
            </w: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0"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0"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0"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5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60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210" w:firstLine="210"/>
              <w:jc w:val="center"/>
              <w:textAlignment w:val="auto"/>
              <w:outlineLvl w:val="9"/>
              <w:rPr>
                <w:rFonts w:hint="eastAsia" w:ascii="宋体" w:hAnsi="宋体" w:eastAsia="宋体" w:cs="宋体"/>
                <w:sz w:val="24"/>
                <w:szCs w:val="24"/>
              </w:rPr>
            </w:pPr>
          </w:p>
        </w:tc>
        <w:tc>
          <w:tcPr>
            <w:tcW w:w="1122"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22"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91" w:hRule="atLeast"/>
          <w:jc w:val="center"/>
        </w:trPr>
        <w:tc>
          <w:tcPr>
            <w:tcW w:w="7983" w:type="dxa"/>
            <w:gridSpan w:val="7"/>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本页小计</w:t>
            </w:r>
          </w:p>
        </w:tc>
        <w:tc>
          <w:tcPr>
            <w:tcW w:w="1353"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43" w:hRule="atLeast"/>
          <w:jc w:val="center"/>
        </w:trPr>
        <w:tc>
          <w:tcPr>
            <w:tcW w:w="7983" w:type="dxa"/>
            <w:gridSpan w:val="7"/>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  计</w:t>
            </w:r>
          </w:p>
        </w:tc>
        <w:tc>
          <w:tcPr>
            <w:tcW w:w="1353"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before="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注：本表适用于以综合单价形式计价的措施项目。</w:t>
      </w:r>
    </w:p>
    <w:p>
      <w:pPr>
        <w:keepNext w:val="0"/>
        <w:keepLines w:val="0"/>
        <w:pageBreakBefore w:val="0"/>
        <w:widowControl w:val="0"/>
        <w:kinsoku/>
        <w:wordWrap w:val="0"/>
        <w:overflowPunct/>
        <w:topLinePunct w:val="0"/>
        <w:autoSpaceDE/>
        <w:autoSpaceDN/>
        <w:bidi w:val="0"/>
        <w:adjustRightInd/>
        <w:snapToGrid w:val="0"/>
        <w:spacing w:before="120"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4.11其他项目清单与计价汇总表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其他项目清单与计价汇总表</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297" w:type="dxa"/>
        <w:jc w:val="center"/>
        <w:tblLayout w:type="fixed"/>
        <w:tblCellMar>
          <w:top w:w="0" w:type="dxa"/>
          <w:left w:w="0" w:type="dxa"/>
          <w:bottom w:w="0" w:type="dxa"/>
          <w:right w:w="0" w:type="dxa"/>
        </w:tblCellMar>
      </w:tblPr>
      <w:tblGrid>
        <w:gridCol w:w="898"/>
        <w:gridCol w:w="3214"/>
        <w:gridCol w:w="1728"/>
        <w:gridCol w:w="1728"/>
        <w:gridCol w:w="1729"/>
      </w:tblGrid>
      <w:tr>
        <w:tblPrEx>
          <w:tblCellMar>
            <w:top w:w="0" w:type="dxa"/>
            <w:left w:w="0" w:type="dxa"/>
            <w:bottom w:w="0" w:type="dxa"/>
            <w:right w:w="0" w:type="dxa"/>
          </w:tblCellMar>
        </w:tblPrEx>
        <w:trPr>
          <w:trHeight w:val="842" w:hRule="atLeast"/>
          <w:jc w:val="center"/>
        </w:trPr>
        <w:tc>
          <w:tcPr>
            <w:tcW w:w="898"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3214"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728"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计算基础</w:t>
            </w:r>
          </w:p>
        </w:tc>
        <w:tc>
          <w:tcPr>
            <w:tcW w:w="1728"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c>
          <w:tcPr>
            <w:tcW w:w="1729"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826" w:hRule="atLeast"/>
          <w:jc w:val="center"/>
        </w:trPr>
        <w:tc>
          <w:tcPr>
            <w:tcW w:w="89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3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暂列金额(不包括计日工)</w:t>
            </w: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w:t>
            </w: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明细详见</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表4.11-1</w:t>
            </w:r>
          </w:p>
        </w:tc>
      </w:tr>
      <w:tr>
        <w:tblPrEx>
          <w:tblCellMar>
            <w:top w:w="0" w:type="dxa"/>
            <w:left w:w="0" w:type="dxa"/>
            <w:bottom w:w="0" w:type="dxa"/>
            <w:right w:w="0" w:type="dxa"/>
          </w:tblCellMar>
        </w:tblPrEx>
        <w:trPr>
          <w:trHeight w:val="821" w:hRule="atLeast"/>
          <w:jc w:val="center"/>
        </w:trPr>
        <w:tc>
          <w:tcPr>
            <w:tcW w:w="898"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3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暂估价</w:t>
            </w: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43" w:hRule="atLeast"/>
          <w:jc w:val="center"/>
        </w:trPr>
        <w:tc>
          <w:tcPr>
            <w:tcW w:w="898"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2.1</w:t>
            </w:r>
          </w:p>
        </w:tc>
        <w:tc>
          <w:tcPr>
            <w:tcW w:w="3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材料和工程设备暂估价</w:t>
            </w: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明细详见</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表4.11-2</w:t>
            </w:r>
          </w:p>
        </w:tc>
      </w:tr>
      <w:tr>
        <w:tblPrEx>
          <w:tblCellMar>
            <w:top w:w="0" w:type="dxa"/>
            <w:left w:w="0" w:type="dxa"/>
            <w:bottom w:w="0" w:type="dxa"/>
            <w:right w:w="0" w:type="dxa"/>
          </w:tblCellMar>
        </w:tblPrEx>
        <w:trPr>
          <w:trHeight w:val="826" w:hRule="atLeast"/>
          <w:jc w:val="center"/>
        </w:trPr>
        <w:tc>
          <w:tcPr>
            <w:tcW w:w="89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2.2</w:t>
            </w:r>
          </w:p>
        </w:tc>
        <w:tc>
          <w:tcPr>
            <w:tcW w:w="3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专业工程暂估价</w:t>
            </w: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明细详见</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表4.11-3</w:t>
            </w:r>
          </w:p>
        </w:tc>
      </w:tr>
      <w:tr>
        <w:tblPrEx>
          <w:tblCellMar>
            <w:top w:w="0" w:type="dxa"/>
            <w:left w:w="0" w:type="dxa"/>
            <w:bottom w:w="0" w:type="dxa"/>
            <w:right w:w="0" w:type="dxa"/>
          </w:tblCellMar>
        </w:tblPrEx>
        <w:trPr>
          <w:trHeight w:val="826" w:hRule="atLeast"/>
          <w:jc w:val="center"/>
        </w:trPr>
        <w:tc>
          <w:tcPr>
            <w:tcW w:w="89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3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计日工</w:t>
            </w: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明细详见</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表4.11-4</w:t>
            </w:r>
          </w:p>
        </w:tc>
      </w:tr>
      <w:tr>
        <w:tblPrEx>
          <w:tblCellMar>
            <w:top w:w="0" w:type="dxa"/>
            <w:left w:w="0" w:type="dxa"/>
            <w:bottom w:w="0" w:type="dxa"/>
            <w:right w:w="0" w:type="dxa"/>
          </w:tblCellMar>
        </w:tblPrEx>
        <w:trPr>
          <w:trHeight w:val="826" w:hRule="atLeast"/>
          <w:jc w:val="center"/>
        </w:trPr>
        <w:tc>
          <w:tcPr>
            <w:tcW w:w="89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3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总承包服务费</w:t>
            </w: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明细详见</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表4.11-5</w:t>
            </w:r>
          </w:p>
        </w:tc>
      </w:tr>
      <w:tr>
        <w:tblPrEx>
          <w:tblCellMar>
            <w:top w:w="0" w:type="dxa"/>
            <w:left w:w="0" w:type="dxa"/>
            <w:bottom w:w="0" w:type="dxa"/>
            <w:right w:w="0" w:type="dxa"/>
          </w:tblCellMar>
        </w:tblPrEx>
        <w:trPr>
          <w:trHeight w:val="821" w:hRule="atLeast"/>
          <w:jc w:val="center"/>
        </w:trPr>
        <w:tc>
          <w:tcPr>
            <w:tcW w:w="89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20" w:hRule="atLeast"/>
          <w:jc w:val="center"/>
        </w:trPr>
        <w:tc>
          <w:tcPr>
            <w:tcW w:w="89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21" w:hRule="atLeast"/>
          <w:jc w:val="center"/>
        </w:trPr>
        <w:tc>
          <w:tcPr>
            <w:tcW w:w="898"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21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2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88" w:hRule="atLeast"/>
          <w:jc w:val="center"/>
        </w:trPr>
        <w:tc>
          <w:tcPr>
            <w:tcW w:w="7568" w:type="dxa"/>
            <w:gridSpan w:val="4"/>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合计</w:t>
            </w:r>
          </w:p>
        </w:tc>
        <w:tc>
          <w:tcPr>
            <w:tcW w:w="1729"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bl>
    <w:p>
      <w:pPr>
        <w:keepNext w:val="0"/>
        <w:keepLines w:val="0"/>
        <w:pageBreakBefore w:val="0"/>
        <w:widowControl w:val="0"/>
        <w:kinsoku/>
        <w:wordWrap w:val="0"/>
        <w:overflowPunct/>
        <w:topLinePunct w:val="0"/>
        <w:autoSpaceDE/>
        <w:autoSpaceDN/>
        <w:bidi w:val="0"/>
        <w:adjustRightInd/>
        <w:snapToGrid w:val="0"/>
        <w:spacing w:before="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注：材料和工程设备暂估单价进入清单子目综合单价，此处不汇总。</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4.11-1暂列金额明细表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暂列金额明细表</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476" w:type="dxa"/>
        <w:jc w:val="center"/>
        <w:tblLayout w:type="fixed"/>
        <w:tblCellMar>
          <w:top w:w="0" w:type="dxa"/>
          <w:left w:w="0" w:type="dxa"/>
          <w:bottom w:w="0" w:type="dxa"/>
          <w:right w:w="0" w:type="dxa"/>
        </w:tblCellMar>
      </w:tblPr>
      <w:tblGrid>
        <w:gridCol w:w="916"/>
        <w:gridCol w:w="3436"/>
        <w:gridCol w:w="1708"/>
        <w:gridCol w:w="1708"/>
        <w:gridCol w:w="1708"/>
      </w:tblGrid>
      <w:tr>
        <w:tblPrEx>
          <w:tblCellMar>
            <w:top w:w="0" w:type="dxa"/>
            <w:left w:w="0" w:type="dxa"/>
            <w:bottom w:w="0" w:type="dxa"/>
            <w:right w:w="0" w:type="dxa"/>
          </w:tblCellMar>
        </w:tblPrEx>
        <w:trPr>
          <w:trHeight w:val="827" w:hRule="atLeast"/>
          <w:jc w:val="center"/>
        </w:trPr>
        <w:tc>
          <w:tcPr>
            <w:tcW w:w="916"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3436"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708"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计量单位</w:t>
            </w:r>
          </w:p>
        </w:tc>
        <w:tc>
          <w:tcPr>
            <w:tcW w:w="1708"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暂列金额</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(元)</w:t>
            </w:r>
          </w:p>
        </w:tc>
        <w:tc>
          <w:tcPr>
            <w:tcW w:w="1708"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741" w:hRule="atLeast"/>
          <w:jc w:val="center"/>
        </w:trPr>
        <w:tc>
          <w:tcPr>
            <w:tcW w:w="91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4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1" w:hRule="atLeast"/>
          <w:jc w:val="center"/>
        </w:trPr>
        <w:tc>
          <w:tcPr>
            <w:tcW w:w="916"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4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59" w:hRule="atLeast"/>
          <w:jc w:val="center"/>
        </w:trPr>
        <w:tc>
          <w:tcPr>
            <w:tcW w:w="916"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4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0" w:hRule="atLeast"/>
          <w:jc w:val="center"/>
        </w:trPr>
        <w:tc>
          <w:tcPr>
            <w:tcW w:w="91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4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1" w:hRule="atLeast"/>
          <w:jc w:val="center"/>
        </w:trPr>
        <w:tc>
          <w:tcPr>
            <w:tcW w:w="91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4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1" w:hRule="atLeast"/>
          <w:jc w:val="center"/>
        </w:trPr>
        <w:tc>
          <w:tcPr>
            <w:tcW w:w="91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4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1" w:hRule="atLeast"/>
          <w:jc w:val="center"/>
        </w:trPr>
        <w:tc>
          <w:tcPr>
            <w:tcW w:w="91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4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0" w:hRule="atLeast"/>
          <w:jc w:val="center"/>
        </w:trPr>
        <w:tc>
          <w:tcPr>
            <w:tcW w:w="91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4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1" w:hRule="atLeast"/>
          <w:jc w:val="center"/>
        </w:trPr>
        <w:tc>
          <w:tcPr>
            <w:tcW w:w="91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4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1" w:hRule="atLeast"/>
          <w:jc w:val="center"/>
        </w:trPr>
        <w:tc>
          <w:tcPr>
            <w:tcW w:w="91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4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94" w:hRule="atLeast"/>
          <w:jc w:val="center"/>
        </w:trPr>
        <w:tc>
          <w:tcPr>
            <w:tcW w:w="6060" w:type="dxa"/>
            <w:gridSpan w:val="3"/>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合计</w:t>
            </w:r>
          </w:p>
        </w:tc>
        <w:tc>
          <w:tcPr>
            <w:tcW w:w="1708"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08"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bl>
    <w:p>
      <w:pPr>
        <w:keepNext w:val="0"/>
        <w:keepLines w:val="0"/>
        <w:pageBreakBefore w:val="0"/>
        <w:widowControl w:val="0"/>
        <w:kinsoku/>
        <w:wordWrap w:val="0"/>
        <w:overflowPunct/>
        <w:topLinePunct w:val="0"/>
        <w:autoSpaceDE/>
        <w:autoSpaceDN/>
        <w:bidi w:val="0"/>
        <w:adjustRightInd/>
        <w:snapToGrid w:val="0"/>
        <w:spacing w:before="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注：此表由</w:t>
      </w:r>
      <w:r>
        <w:rPr>
          <w:rFonts w:hint="eastAsia" w:ascii="宋体" w:hAnsi="宋体" w:eastAsia="宋体" w:cs="宋体"/>
          <w:sz w:val="24"/>
          <w:szCs w:val="24"/>
          <w:lang w:eastAsia="zh-CN"/>
        </w:rPr>
        <w:t>采购人</w:t>
      </w:r>
      <w:r>
        <w:rPr>
          <w:rFonts w:hint="eastAsia" w:ascii="宋体" w:hAnsi="宋体" w:eastAsia="宋体" w:cs="宋体"/>
          <w:sz w:val="24"/>
          <w:szCs w:val="24"/>
        </w:rPr>
        <w:t>填写，不包括计日工。暂列金额项目部分如不能详列明细，也可只列暂列金额项目总金额，</w:t>
      </w:r>
      <w:r>
        <w:rPr>
          <w:rFonts w:hint="eastAsia" w:ascii="宋体" w:hAnsi="宋体" w:eastAsia="宋体" w:cs="宋体"/>
          <w:sz w:val="24"/>
          <w:szCs w:val="24"/>
          <w:lang w:eastAsia="zh-CN"/>
        </w:rPr>
        <w:t>供应商</w:t>
      </w:r>
      <w:r>
        <w:rPr>
          <w:rFonts w:hint="eastAsia" w:ascii="宋体" w:hAnsi="宋体" w:eastAsia="宋体" w:cs="宋体"/>
          <w:sz w:val="24"/>
          <w:szCs w:val="24"/>
        </w:rPr>
        <w:t>应将上述暂列金额计入投标总价中。</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4.11-2材料和工程设备暂估单价表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材料和工程设备暂估单价表</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478" w:type="dxa"/>
        <w:jc w:val="center"/>
        <w:tblLayout w:type="fixed"/>
        <w:tblCellMar>
          <w:top w:w="0" w:type="dxa"/>
          <w:left w:w="0" w:type="dxa"/>
          <w:bottom w:w="0" w:type="dxa"/>
          <w:right w:w="0" w:type="dxa"/>
        </w:tblCellMar>
      </w:tblPr>
      <w:tblGrid>
        <w:gridCol w:w="915"/>
        <w:gridCol w:w="3813"/>
        <w:gridCol w:w="1395"/>
        <w:gridCol w:w="1895"/>
        <w:gridCol w:w="1460"/>
      </w:tblGrid>
      <w:tr>
        <w:tblPrEx>
          <w:tblCellMar>
            <w:top w:w="0" w:type="dxa"/>
            <w:left w:w="0" w:type="dxa"/>
            <w:bottom w:w="0" w:type="dxa"/>
            <w:right w:w="0" w:type="dxa"/>
          </w:tblCellMar>
        </w:tblPrEx>
        <w:trPr>
          <w:trHeight w:val="756" w:hRule="atLeast"/>
          <w:jc w:val="center"/>
        </w:trPr>
        <w:tc>
          <w:tcPr>
            <w:tcW w:w="915"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3813"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材料和工程设备名称、规格、型号</w:t>
            </w:r>
          </w:p>
        </w:tc>
        <w:tc>
          <w:tcPr>
            <w:tcW w:w="1395"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计量单位</w:t>
            </w:r>
          </w:p>
        </w:tc>
        <w:tc>
          <w:tcPr>
            <w:tcW w:w="1895"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暂估单价(元)</w:t>
            </w:r>
          </w:p>
        </w:tc>
        <w:tc>
          <w:tcPr>
            <w:tcW w:w="1460"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714" w:hRule="atLeast"/>
          <w:jc w:val="center"/>
        </w:trPr>
        <w:tc>
          <w:tcPr>
            <w:tcW w:w="9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6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14" w:hRule="atLeast"/>
          <w:jc w:val="center"/>
        </w:trPr>
        <w:tc>
          <w:tcPr>
            <w:tcW w:w="915"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6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36" w:hRule="atLeast"/>
          <w:jc w:val="center"/>
        </w:trPr>
        <w:tc>
          <w:tcPr>
            <w:tcW w:w="915"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6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13" w:hRule="atLeast"/>
          <w:jc w:val="center"/>
        </w:trPr>
        <w:tc>
          <w:tcPr>
            <w:tcW w:w="9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6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14" w:hRule="atLeast"/>
          <w:jc w:val="center"/>
        </w:trPr>
        <w:tc>
          <w:tcPr>
            <w:tcW w:w="9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6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14" w:hRule="atLeast"/>
          <w:jc w:val="center"/>
        </w:trPr>
        <w:tc>
          <w:tcPr>
            <w:tcW w:w="9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6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13" w:hRule="atLeast"/>
          <w:jc w:val="center"/>
        </w:trPr>
        <w:tc>
          <w:tcPr>
            <w:tcW w:w="9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6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62" w:hRule="atLeast"/>
          <w:jc w:val="center"/>
        </w:trPr>
        <w:tc>
          <w:tcPr>
            <w:tcW w:w="91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6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78" w:hRule="atLeast"/>
          <w:jc w:val="center"/>
        </w:trPr>
        <w:tc>
          <w:tcPr>
            <w:tcW w:w="915"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813"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95"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895"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60"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before="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w:t>
      </w:r>
    </w:p>
    <w:p>
      <w:pPr>
        <w:keepNext w:val="0"/>
        <w:keepLines w:val="0"/>
        <w:pageBreakBefore w:val="0"/>
        <w:widowControl w:val="0"/>
        <w:kinsoku/>
        <w:wordWrap w:val="0"/>
        <w:overflowPunct/>
        <w:topLinePunct w:val="0"/>
        <w:autoSpaceDE/>
        <w:autoSpaceDN/>
        <w:bidi w:val="0"/>
        <w:adjustRightInd/>
        <w:snapToGrid w:val="0"/>
        <w:spacing w:line="32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1、此表由</w:t>
      </w:r>
      <w:r>
        <w:rPr>
          <w:rFonts w:hint="eastAsia" w:ascii="宋体" w:hAnsi="宋体" w:eastAsia="宋体" w:cs="宋体"/>
          <w:sz w:val="24"/>
          <w:szCs w:val="24"/>
          <w:lang w:eastAsia="zh-CN"/>
        </w:rPr>
        <w:t>采购人</w:t>
      </w:r>
      <w:r>
        <w:rPr>
          <w:rFonts w:hint="eastAsia" w:ascii="宋体" w:hAnsi="宋体" w:eastAsia="宋体" w:cs="宋体"/>
          <w:sz w:val="24"/>
          <w:szCs w:val="24"/>
        </w:rPr>
        <w:t>填写，并在备注栏说明暂估价的材料和工程设备拟用在哪些清单子目中，</w:t>
      </w:r>
      <w:r>
        <w:rPr>
          <w:rFonts w:hint="eastAsia" w:ascii="宋体" w:hAnsi="宋体" w:eastAsia="宋体" w:cs="宋体"/>
          <w:sz w:val="24"/>
          <w:szCs w:val="24"/>
          <w:lang w:eastAsia="zh-CN"/>
        </w:rPr>
        <w:t>供应商</w:t>
      </w:r>
      <w:r>
        <w:rPr>
          <w:rFonts w:hint="eastAsia" w:ascii="宋体" w:hAnsi="宋体" w:eastAsia="宋体" w:cs="宋体"/>
          <w:sz w:val="24"/>
          <w:szCs w:val="24"/>
        </w:rPr>
        <w:t>应将上述材料、工程设备暂估单价计入工程量清单综合单价报价中；达到规定的规模标准的重要设备、材料以外的其他材料、设备约定采用招标方式采购的，应当同时注明；</w:t>
      </w:r>
    </w:p>
    <w:p>
      <w:pPr>
        <w:keepNext w:val="0"/>
        <w:keepLines w:val="0"/>
        <w:pageBreakBefore w:val="0"/>
        <w:widowControl w:val="0"/>
        <w:kinsoku/>
        <w:wordWrap w:val="0"/>
        <w:overflowPunct/>
        <w:topLinePunct w:val="0"/>
        <w:autoSpaceDE/>
        <w:autoSpaceDN/>
        <w:bidi w:val="0"/>
        <w:adjustRightInd/>
        <w:snapToGrid w:val="0"/>
        <w:spacing w:line="32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供应商</w:t>
      </w:r>
      <w:r>
        <w:rPr>
          <w:rFonts w:hint="eastAsia" w:ascii="宋体" w:hAnsi="宋体" w:eastAsia="宋体" w:cs="宋体"/>
          <w:sz w:val="24"/>
          <w:szCs w:val="24"/>
        </w:rPr>
        <w:t>应注意，这些材料和工程设备暂估单价中不包括</w:t>
      </w:r>
      <w:r>
        <w:rPr>
          <w:rFonts w:hint="eastAsia" w:ascii="宋体" w:hAnsi="宋体" w:eastAsia="宋体" w:cs="宋体"/>
          <w:sz w:val="24"/>
          <w:szCs w:val="24"/>
          <w:lang w:eastAsia="zh-CN"/>
        </w:rPr>
        <w:t>供应商</w:t>
      </w:r>
      <w:r>
        <w:rPr>
          <w:rFonts w:hint="eastAsia" w:ascii="宋体" w:hAnsi="宋体" w:eastAsia="宋体" w:cs="宋体"/>
          <w:sz w:val="24"/>
          <w:szCs w:val="24"/>
        </w:rPr>
        <w:t>的企业管理费和利润，组成相应清单子目综合单价时，应避免重复计取；</w:t>
      </w:r>
    </w:p>
    <w:p>
      <w:pPr>
        <w:keepNext w:val="0"/>
        <w:keepLines w:val="0"/>
        <w:pageBreakBefore w:val="0"/>
        <w:widowControl w:val="0"/>
        <w:kinsoku/>
        <w:wordWrap w:val="0"/>
        <w:overflowPunct/>
        <w:topLinePunct w:val="0"/>
        <w:autoSpaceDE/>
        <w:autoSpaceDN/>
        <w:bidi w:val="0"/>
        <w:adjustRightInd/>
        <w:snapToGrid w:val="0"/>
        <w:spacing w:line="32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3、材料、工程设备包括原材料、燃料、构配件以及按规定应计入建筑安装工程造价的设备。</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4.11-3专业工程暂估价表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专业工程暂估价表</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798" w:type="dxa"/>
        <w:jc w:val="center"/>
        <w:tblLayout w:type="fixed"/>
        <w:tblCellMar>
          <w:top w:w="0" w:type="dxa"/>
          <w:left w:w="0" w:type="dxa"/>
          <w:bottom w:w="0" w:type="dxa"/>
          <w:right w:w="0" w:type="dxa"/>
        </w:tblCellMar>
      </w:tblPr>
      <w:tblGrid>
        <w:gridCol w:w="1227"/>
        <w:gridCol w:w="2499"/>
        <w:gridCol w:w="2500"/>
        <w:gridCol w:w="1786"/>
        <w:gridCol w:w="1786"/>
      </w:tblGrid>
      <w:tr>
        <w:tblPrEx>
          <w:tblCellMar>
            <w:top w:w="0" w:type="dxa"/>
            <w:left w:w="0" w:type="dxa"/>
            <w:bottom w:w="0" w:type="dxa"/>
            <w:right w:w="0" w:type="dxa"/>
          </w:tblCellMar>
        </w:tblPrEx>
        <w:trPr>
          <w:trHeight w:val="715" w:hRule="atLeast"/>
          <w:jc w:val="center"/>
        </w:trPr>
        <w:tc>
          <w:tcPr>
            <w:tcW w:w="1227"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2499"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p>
        </w:tc>
        <w:tc>
          <w:tcPr>
            <w:tcW w:w="2500"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工程内容</w:t>
            </w:r>
          </w:p>
        </w:tc>
        <w:tc>
          <w:tcPr>
            <w:tcW w:w="1786"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c>
          <w:tcPr>
            <w:tcW w:w="1786"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703" w:hRule="atLeast"/>
          <w:jc w:val="center"/>
        </w:trPr>
        <w:tc>
          <w:tcPr>
            <w:tcW w:w="122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4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03" w:hRule="atLeast"/>
          <w:jc w:val="center"/>
        </w:trPr>
        <w:tc>
          <w:tcPr>
            <w:tcW w:w="1227"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4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16" w:hRule="atLeast"/>
          <w:jc w:val="center"/>
        </w:trPr>
        <w:tc>
          <w:tcPr>
            <w:tcW w:w="1227"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4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02" w:hRule="atLeast"/>
          <w:jc w:val="center"/>
        </w:trPr>
        <w:tc>
          <w:tcPr>
            <w:tcW w:w="122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4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03" w:hRule="atLeast"/>
          <w:jc w:val="center"/>
        </w:trPr>
        <w:tc>
          <w:tcPr>
            <w:tcW w:w="122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4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03" w:hRule="atLeast"/>
          <w:jc w:val="center"/>
        </w:trPr>
        <w:tc>
          <w:tcPr>
            <w:tcW w:w="122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4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03" w:hRule="atLeast"/>
          <w:jc w:val="center"/>
        </w:trPr>
        <w:tc>
          <w:tcPr>
            <w:tcW w:w="122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4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02" w:hRule="atLeast"/>
          <w:jc w:val="center"/>
        </w:trPr>
        <w:tc>
          <w:tcPr>
            <w:tcW w:w="122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4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03" w:hRule="atLeast"/>
          <w:jc w:val="center"/>
        </w:trPr>
        <w:tc>
          <w:tcPr>
            <w:tcW w:w="122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4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03" w:hRule="atLeast"/>
          <w:jc w:val="center"/>
        </w:trPr>
        <w:tc>
          <w:tcPr>
            <w:tcW w:w="1227"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4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50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40" w:hRule="atLeast"/>
          <w:jc w:val="center"/>
        </w:trPr>
        <w:tc>
          <w:tcPr>
            <w:tcW w:w="6226" w:type="dxa"/>
            <w:gridSpan w:val="3"/>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合计</w:t>
            </w:r>
          </w:p>
        </w:tc>
        <w:tc>
          <w:tcPr>
            <w:tcW w:w="1786"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86"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before="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注：1．此表由</w:t>
      </w:r>
      <w:r>
        <w:rPr>
          <w:rFonts w:hint="eastAsia" w:ascii="宋体" w:hAnsi="宋体" w:eastAsia="宋体" w:cs="宋体"/>
          <w:sz w:val="24"/>
          <w:szCs w:val="24"/>
          <w:lang w:eastAsia="zh-CN"/>
        </w:rPr>
        <w:t>采购人</w:t>
      </w:r>
      <w:r>
        <w:rPr>
          <w:rFonts w:hint="eastAsia" w:ascii="宋体" w:hAnsi="宋体" w:eastAsia="宋体" w:cs="宋体"/>
          <w:sz w:val="24"/>
          <w:szCs w:val="24"/>
        </w:rPr>
        <w:t>填写，</w:t>
      </w:r>
      <w:r>
        <w:rPr>
          <w:rFonts w:hint="eastAsia" w:ascii="宋体" w:hAnsi="宋体" w:eastAsia="宋体" w:cs="宋体"/>
          <w:sz w:val="24"/>
          <w:szCs w:val="24"/>
          <w:lang w:eastAsia="zh-CN"/>
        </w:rPr>
        <w:t>供应商</w:t>
      </w:r>
      <w:r>
        <w:rPr>
          <w:rFonts w:hint="eastAsia" w:ascii="宋体" w:hAnsi="宋体" w:eastAsia="宋体" w:cs="宋体"/>
          <w:sz w:val="24"/>
          <w:szCs w:val="24"/>
        </w:rPr>
        <w:t>应将上述专业工程暂估价计入投标总价中。</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textAlignment w:val="auto"/>
        <w:outlineLvl w:val="9"/>
        <w:rPr>
          <w:rFonts w:hint="eastAsia" w:ascii="宋体" w:hAnsi="宋体" w:eastAsia="宋体" w:cs="宋体"/>
        </w:rPr>
      </w:pPr>
      <w:r>
        <w:rPr>
          <w:rFonts w:hint="eastAsia" w:ascii="宋体" w:hAnsi="宋体" w:eastAsia="宋体" w:cs="宋体"/>
          <w:sz w:val="24"/>
          <w:szCs w:val="24"/>
        </w:rPr>
        <w:t>2．备注栏中应当对未达到招标规模标准的是否采用分包做出说明，采用分包方式的应当由发包人和承包人依法招标方式选择分包人。</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4.11-4计日工表</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计日工表</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537" w:type="dxa"/>
        <w:jc w:val="center"/>
        <w:tblLayout w:type="fixed"/>
        <w:tblCellMar>
          <w:top w:w="0" w:type="dxa"/>
          <w:left w:w="0" w:type="dxa"/>
          <w:bottom w:w="0" w:type="dxa"/>
          <w:right w:w="0" w:type="dxa"/>
        </w:tblCellMar>
      </w:tblPr>
      <w:tblGrid>
        <w:gridCol w:w="1066"/>
        <w:gridCol w:w="2935"/>
        <w:gridCol w:w="1306"/>
        <w:gridCol w:w="1320"/>
        <w:gridCol w:w="1329"/>
        <w:gridCol w:w="1581"/>
      </w:tblGrid>
      <w:tr>
        <w:tblPrEx>
          <w:tblCellMar>
            <w:top w:w="0" w:type="dxa"/>
            <w:left w:w="0" w:type="dxa"/>
            <w:bottom w:w="0" w:type="dxa"/>
            <w:right w:w="0" w:type="dxa"/>
          </w:tblCellMar>
        </w:tblPrEx>
        <w:trPr>
          <w:trHeight w:val="479" w:hRule="atLeast"/>
          <w:jc w:val="center"/>
        </w:trPr>
        <w:tc>
          <w:tcPr>
            <w:tcW w:w="1066"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编号</w:t>
            </w:r>
          </w:p>
        </w:tc>
        <w:tc>
          <w:tcPr>
            <w:tcW w:w="2935"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子目名称</w:t>
            </w:r>
          </w:p>
        </w:tc>
        <w:tc>
          <w:tcPr>
            <w:tcW w:w="1306"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单位</w:t>
            </w:r>
          </w:p>
        </w:tc>
        <w:tc>
          <w:tcPr>
            <w:tcW w:w="1320"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暂定数量</w:t>
            </w:r>
          </w:p>
        </w:tc>
        <w:tc>
          <w:tcPr>
            <w:tcW w:w="1329"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综合单价</w:t>
            </w:r>
          </w:p>
        </w:tc>
        <w:tc>
          <w:tcPr>
            <w:tcW w:w="1581"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合价</w:t>
            </w: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一</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劳务（人工）</w:t>
            </w: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5" w:hRule="atLeast"/>
          <w:jc w:val="center"/>
        </w:trPr>
        <w:tc>
          <w:tcPr>
            <w:tcW w:w="1066"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7956" w:type="dxa"/>
            <w:gridSpan w:val="5"/>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人工小计</w:t>
            </w:r>
          </w:p>
        </w:tc>
        <w:tc>
          <w:tcPr>
            <w:tcW w:w="1581"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二</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材料</w:t>
            </w: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7956" w:type="dxa"/>
            <w:gridSpan w:val="5"/>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材料小计</w:t>
            </w:r>
          </w:p>
        </w:tc>
        <w:tc>
          <w:tcPr>
            <w:tcW w:w="1581"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73" w:hRule="atLeast"/>
          <w:jc w:val="center"/>
        </w:trPr>
        <w:tc>
          <w:tcPr>
            <w:tcW w:w="7956" w:type="dxa"/>
            <w:gridSpan w:val="5"/>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上述材料表中未列出的材料设备，</w:t>
            </w:r>
            <w:r>
              <w:rPr>
                <w:rFonts w:hint="eastAsia" w:ascii="宋体" w:hAnsi="宋体" w:eastAsia="宋体" w:cs="宋体"/>
                <w:sz w:val="24"/>
                <w:szCs w:val="24"/>
                <w:lang w:eastAsia="zh-CN"/>
              </w:rPr>
              <w:t>供应商</w:t>
            </w:r>
            <w:r>
              <w:rPr>
                <w:rFonts w:hint="eastAsia" w:ascii="宋体" w:hAnsi="宋体" w:eastAsia="宋体" w:cs="宋体"/>
                <w:sz w:val="24"/>
                <w:szCs w:val="24"/>
              </w:rPr>
              <w:t>计取的包括企业管理费、利润(不包括规费和税金)在内的固定百分比：</w:t>
            </w:r>
          </w:p>
        </w:tc>
        <w:tc>
          <w:tcPr>
            <w:tcW w:w="1581"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三</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施工机械</w:t>
            </w: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106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293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06"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29"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1" w:hRule="atLeast"/>
          <w:jc w:val="center"/>
        </w:trPr>
        <w:tc>
          <w:tcPr>
            <w:tcW w:w="7956" w:type="dxa"/>
            <w:gridSpan w:val="5"/>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施工机械小计</w:t>
            </w:r>
          </w:p>
        </w:tc>
        <w:tc>
          <w:tcPr>
            <w:tcW w:w="1581"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448" w:hRule="atLeast"/>
          <w:jc w:val="center"/>
        </w:trPr>
        <w:tc>
          <w:tcPr>
            <w:tcW w:w="7956" w:type="dxa"/>
            <w:gridSpan w:val="5"/>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总计</w:t>
            </w:r>
          </w:p>
        </w:tc>
        <w:tc>
          <w:tcPr>
            <w:tcW w:w="1581"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0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before="120" w:line="3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注：1．此表暂定项目、数量由</w:t>
      </w:r>
      <w:r>
        <w:rPr>
          <w:rFonts w:hint="eastAsia" w:ascii="宋体" w:hAnsi="宋体" w:eastAsia="宋体" w:cs="宋体"/>
          <w:sz w:val="24"/>
          <w:szCs w:val="24"/>
          <w:lang w:eastAsia="zh-CN"/>
        </w:rPr>
        <w:t>采购人</w:t>
      </w:r>
      <w:r>
        <w:rPr>
          <w:rFonts w:hint="eastAsia" w:ascii="宋体" w:hAnsi="宋体" w:eastAsia="宋体" w:cs="宋体"/>
          <w:sz w:val="24"/>
          <w:szCs w:val="24"/>
        </w:rPr>
        <w:t>填写，编制招标控制价时，单价由</w:t>
      </w:r>
      <w:r>
        <w:rPr>
          <w:rFonts w:hint="eastAsia" w:ascii="宋体" w:hAnsi="宋体" w:eastAsia="宋体" w:cs="宋体"/>
          <w:sz w:val="24"/>
          <w:szCs w:val="24"/>
          <w:lang w:eastAsia="zh-CN"/>
        </w:rPr>
        <w:t>采购人</w:t>
      </w:r>
      <w:r>
        <w:rPr>
          <w:rFonts w:hint="eastAsia" w:ascii="宋体" w:hAnsi="宋体" w:eastAsia="宋体" w:cs="宋体"/>
          <w:sz w:val="24"/>
          <w:szCs w:val="24"/>
        </w:rPr>
        <w:t>按有关计价规定确定：</w:t>
      </w:r>
    </w:p>
    <w:p>
      <w:pPr>
        <w:keepNext w:val="0"/>
        <w:keepLines w:val="0"/>
        <w:pageBreakBefore w:val="0"/>
        <w:widowControl w:val="0"/>
        <w:kinsoku/>
        <w:wordWrap w:val="0"/>
        <w:overflowPunct/>
        <w:topLinePunct w:val="0"/>
        <w:autoSpaceDE/>
        <w:autoSpaceDN/>
        <w:bidi w:val="0"/>
        <w:adjustRightInd/>
        <w:snapToGrid w:val="0"/>
        <w:spacing w:line="340" w:lineRule="exact"/>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2．投标时，子目和数量按</w:t>
      </w:r>
      <w:r>
        <w:rPr>
          <w:rFonts w:hint="eastAsia" w:ascii="宋体" w:hAnsi="宋体" w:eastAsia="宋体" w:cs="宋体"/>
          <w:sz w:val="24"/>
          <w:szCs w:val="24"/>
          <w:lang w:eastAsia="zh-CN"/>
        </w:rPr>
        <w:t>采购人</w:t>
      </w:r>
      <w:r>
        <w:rPr>
          <w:rFonts w:hint="eastAsia" w:ascii="宋体" w:hAnsi="宋体" w:eastAsia="宋体" w:cs="宋体"/>
          <w:sz w:val="24"/>
          <w:szCs w:val="24"/>
        </w:rPr>
        <w:t>提供数据计算，单价由</w:t>
      </w:r>
      <w:r>
        <w:rPr>
          <w:rFonts w:hint="eastAsia" w:ascii="宋体" w:hAnsi="宋体" w:eastAsia="宋体" w:cs="宋体"/>
          <w:sz w:val="24"/>
          <w:szCs w:val="24"/>
          <w:lang w:eastAsia="zh-CN"/>
        </w:rPr>
        <w:t>供应商</w:t>
      </w:r>
      <w:r>
        <w:rPr>
          <w:rFonts w:hint="eastAsia" w:ascii="宋体" w:hAnsi="宋体" w:eastAsia="宋体" w:cs="宋体"/>
          <w:sz w:val="24"/>
          <w:szCs w:val="24"/>
        </w:rPr>
        <w:t>自主报价，计入投标总价中。</w:t>
      </w:r>
    </w:p>
    <w:p>
      <w:pPr>
        <w:keepNext w:val="0"/>
        <w:keepLines w:val="0"/>
        <w:pageBreakBefore w:val="0"/>
        <w:widowControl w:val="0"/>
        <w:kinsoku/>
        <w:wordWrap w:val="0"/>
        <w:overflowPunct/>
        <w:topLinePunct w:val="0"/>
        <w:autoSpaceDE/>
        <w:autoSpaceDN/>
        <w:bidi w:val="0"/>
        <w:adjustRightInd/>
        <w:snapToGrid w:val="0"/>
        <w:spacing w:line="340" w:lineRule="exact"/>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3．此表总计的计日工金额应当作为暂列金额的一部分，计入表4.11-1中。</w:t>
      </w:r>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4.11-5总承包服务费计价表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总承包服务费计价表</w:t>
      </w:r>
    </w:p>
    <w:p>
      <w:pPr>
        <w:keepNext w:val="0"/>
        <w:keepLines w:val="0"/>
        <w:pageBreakBefore w:val="0"/>
        <w:widowControl w:val="0"/>
        <w:kinsoku/>
        <w:wordWrap w:val="0"/>
        <w:overflowPunct/>
        <w:topLinePunct w:val="0"/>
        <w:autoSpaceDE/>
        <w:autoSpaceDN/>
        <w:bidi w:val="0"/>
        <w:adjustRightInd/>
        <w:snapToGrid w:val="0"/>
        <w:spacing w:after="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277" w:type="dxa"/>
        <w:jc w:val="center"/>
        <w:tblLayout w:type="fixed"/>
        <w:tblCellMar>
          <w:top w:w="0" w:type="dxa"/>
          <w:left w:w="0" w:type="dxa"/>
          <w:bottom w:w="0" w:type="dxa"/>
          <w:right w:w="0" w:type="dxa"/>
        </w:tblCellMar>
      </w:tblPr>
      <w:tblGrid>
        <w:gridCol w:w="843"/>
        <w:gridCol w:w="2813"/>
        <w:gridCol w:w="1420"/>
        <w:gridCol w:w="1421"/>
        <w:gridCol w:w="1421"/>
        <w:gridCol w:w="1359"/>
      </w:tblGrid>
      <w:tr>
        <w:tblPrEx>
          <w:tblCellMar>
            <w:top w:w="0" w:type="dxa"/>
            <w:left w:w="0" w:type="dxa"/>
            <w:bottom w:w="0" w:type="dxa"/>
            <w:right w:w="0" w:type="dxa"/>
          </w:tblCellMar>
        </w:tblPrEx>
        <w:trPr>
          <w:trHeight w:val="908" w:hRule="atLeast"/>
          <w:jc w:val="center"/>
        </w:trPr>
        <w:tc>
          <w:tcPr>
            <w:tcW w:w="843"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2813"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p>
        </w:tc>
        <w:tc>
          <w:tcPr>
            <w:tcW w:w="1420"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项目价值（元）</w:t>
            </w:r>
          </w:p>
        </w:tc>
        <w:tc>
          <w:tcPr>
            <w:tcW w:w="1421"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服务内容</w:t>
            </w:r>
          </w:p>
        </w:tc>
        <w:tc>
          <w:tcPr>
            <w:tcW w:w="1421"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费率（%）</w:t>
            </w:r>
          </w:p>
        </w:tc>
        <w:tc>
          <w:tcPr>
            <w:tcW w:w="1359"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r>
      <w:tr>
        <w:tblPrEx>
          <w:tblCellMar>
            <w:top w:w="0" w:type="dxa"/>
            <w:left w:w="0" w:type="dxa"/>
            <w:bottom w:w="0" w:type="dxa"/>
            <w:right w:w="0" w:type="dxa"/>
          </w:tblCellMar>
        </w:tblPrEx>
        <w:trPr>
          <w:trHeight w:val="899" w:hRule="atLeast"/>
          <w:jc w:val="center"/>
        </w:trPr>
        <w:tc>
          <w:tcPr>
            <w:tcW w:w="84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发包人发包专业工程</w:t>
            </w:r>
          </w:p>
        </w:tc>
        <w:tc>
          <w:tcPr>
            <w:tcW w:w="14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5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99" w:hRule="atLeast"/>
          <w:jc w:val="center"/>
        </w:trPr>
        <w:tc>
          <w:tcPr>
            <w:tcW w:w="843"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发包人供应材料和工程设备</w:t>
            </w:r>
          </w:p>
        </w:tc>
        <w:tc>
          <w:tcPr>
            <w:tcW w:w="14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5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09" w:hRule="atLeast"/>
          <w:jc w:val="center"/>
        </w:trPr>
        <w:tc>
          <w:tcPr>
            <w:tcW w:w="843"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5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98" w:hRule="atLeast"/>
          <w:jc w:val="center"/>
        </w:trPr>
        <w:tc>
          <w:tcPr>
            <w:tcW w:w="84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5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99" w:hRule="atLeast"/>
          <w:jc w:val="center"/>
        </w:trPr>
        <w:tc>
          <w:tcPr>
            <w:tcW w:w="84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5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99" w:hRule="atLeast"/>
          <w:jc w:val="center"/>
        </w:trPr>
        <w:tc>
          <w:tcPr>
            <w:tcW w:w="84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5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99" w:hRule="atLeast"/>
          <w:jc w:val="center"/>
        </w:trPr>
        <w:tc>
          <w:tcPr>
            <w:tcW w:w="84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5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99" w:hRule="atLeast"/>
          <w:jc w:val="center"/>
        </w:trPr>
        <w:tc>
          <w:tcPr>
            <w:tcW w:w="843"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81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59"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928" w:hRule="atLeast"/>
          <w:jc w:val="center"/>
        </w:trPr>
        <w:tc>
          <w:tcPr>
            <w:tcW w:w="5076" w:type="dxa"/>
            <w:gridSpan w:val="3"/>
            <w:tcBorders>
              <w:top w:val="single" w:color="000000" w:sz="4"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合计</w:t>
            </w:r>
          </w:p>
        </w:tc>
        <w:tc>
          <w:tcPr>
            <w:tcW w:w="1421"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21"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359"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4.12规费、税金项目清单与计价表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规费、税金项目清单与计价表</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工程名称：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第  页  共  页</w:t>
      </w:r>
    </w:p>
    <w:tbl>
      <w:tblPr>
        <w:tblStyle w:val="43"/>
        <w:tblW w:w="9497" w:type="dxa"/>
        <w:jc w:val="center"/>
        <w:tblLayout w:type="fixed"/>
        <w:tblCellMar>
          <w:top w:w="0" w:type="dxa"/>
          <w:left w:w="0" w:type="dxa"/>
          <w:bottom w:w="0" w:type="dxa"/>
          <w:right w:w="0" w:type="dxa"/>
        </w:tblCellMar>
      </w:tblPr>
      <w:tblGrid>
        <w:gridCol w:w="1191"/>
        <w:gridCol w:w="2423"/>
        <w:gridCol w:w="2423"/>
        <w:gridCol w:w="1730"/>
        <w:gridCol w:w="1730"/>
      </w:tblGrid>
      <w:tr>
        <w:tblPrEx>
          <w:tblCellMar>
            <w:top w:w="0" w:type="dxa"/>
            <w:left w:w="0" w:type="dxa"/>
            <w:bottom w:w="0" w:type="dxa"/>
            <w:right w:w="0" w:type="dxa"/>
          </w:tblCellMar>
        </w:tblPrEx>
        <w:trPr>
          <w:trHeight w:val="711" w:hRule="atLeast"/>
          <w:jc w:val="center"/>
        </w:trPr>
        <w:tc>
          <w:tcPr>
            <w:tcW w:w="1191"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2423"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项目名称</w:t>
            </w:r>
          </w:p>
        </w:tc>
        <w:tc>
          <w:tcPr>
            <w:tcW w:w="2423"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计算基础</w:t>
            </w:r>
          </w:p>
        </w:tc>
        <w:tc>
          <w:tcPr>
            <w:tcW w:w="1730"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费率（%）</w:t>
            </w:r>
          </w:p>
        </w:tc>
        <w:tc>
          <w:tcPr>
            <w:tcW w:w="1730"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金额（元）</w:t>
            </w:r>
          </w:p>
        </w:tc>
      </w:tr>
      <w:tr>
        <w:tblPrEx>
          <w:tblCellMar>
            <w:top w:w="0" w:type="dxa"/>
            <w:left w:w="0" w:type="dxa"/>
            <w:bottom w:w="0" w:type="dxa"/>
            <w:right w:w="0" w:type="dxa"/>
          </w:tblCellMar>
        </w:tblPrEx>
        <w:trPr>
          <w:trHeight w:val="694" w:hRule="atLeast"/>
          <w:jc w:val="center"/>
        </w:trPr>
        <w:tc>
          <w:tcPr>
            <w:tcW w:w="119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规费</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94" w:hRule="atLeast"/>
          <w:jc w:val="center"/>
        </w:trPr>
        <w:tc>
          <w:tcPr>
            <w:tcW w:w="1191"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1.1</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工程排污费</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11" w:hRule="atLeast"/>
          <w:jc w:val="center"/>
        </w:trPr>
        <w:tc>
          <w:tcPr>
            <w:tcW w:w="1191"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1.2</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社会保障费</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93" w:hRule="atLeast"/>
          <w:jc w:val="center"/>
        </w:trPr>
        <w:tc>
          <w:tcPr>
            <w:tcW w:w="119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养老保险费</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94" w:hRule="atLeast"/>
          <w:jc w:val="center"/>
        </w:trPr>
        <w:tc>
          <w:tcPr>
            <w:tcW w:w="119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失业保险费</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94" w:hRule="atLeast"/>
          <w:jc w:val="center"/>
        </w:trPr>
        <w:tc>
          <w:tcPr>
            <w:tcW w:w="119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医疗保险费</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93" w:hRule="atLeast"/>
          <w:jc w:val="center"/>
        </w:trPr>
        <w:tc>
          <w:tcPr>
            <w:tcW w:w="119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1.3</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住房公积金</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807" w:hRule="atLeast"/>
          <w:jc w:val="center"/>
        </w:trPr>
        <w:tc>
          <w:tcPr>
            <w:tcW w:w="119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1.4</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危险作业意外伤害保险</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94" w:hRule="atLeast"/>
          <w:jc w:val="center"/>
        </w:trPr>
        <w:tc>
          <w:tcPr>
            <w:tcW w:w="119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1.5</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工程定额测定费</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94" w:hRule="atLeast"/>
          <w:jc w:val="center"/>
        </w:trPr>
        <w:tc>
          <w:tcPr>
            <w:tcW w:w="1191"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w:t>
            </w:r>
          </w:p>
        </w:tc>
        <w:tc>
          <w:tcPr>
            <w:tcW w:w="242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1219" w:hRule="atLeast"/>
          <w:jc w:val="center"/>
        </w:trPr>
        <w:tc>
          <w:tcPr>
            <w:tcW w:w="1191"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423"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税金</w:t>
            </w:r>
          </w:p>
        </w:tc>
        <w:tc>
          <w:tcPr>
            <w:tcW w:w="2423"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分部分项工程费+措施项目费+其他项目费+规费</w:t>
            </w:r>
          </w:p>
        </w:tc>
        <w:tc>
          <w:tcPr>
            <w:tcW w:w="1730"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730"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before="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注：规费根据建设部、财政部发布的《建筑安装工程费用组成》(建标[2003]206号)的规定，“计算基础”可为“直接费”、“人工费”或“人工费+机械费”。</w:t>
      </w:r>
    </w:p>
    <w:p>
      <w:pPr>
        <w:pStyle w:val="61"/>
        <w:ind w:left="0" w:leftChars="0" w:firstLine="0" w:firstLineChars="0"/>
        <w:rPr>
          <w:rFonts w:hint="eastAsia" w:ascii="宋体" w:hAnsi="宋体" w:eastAsia="宋体" w:cs="宋体"/>
        </w:rPr>
      </w:pPr>
    </w:p>
    <w:p>
      <w:pPr>
        <w:pStyle w:val="61"/>
        <w:ind w:left="0" w:leftChars="0" w:firstLine="0" w:firstLineChars="0"/>
        <w:rPr>
          <w:rFonts w:hint="eastAsia" w:ascii="宋体" w:hAnsi="宋体" w:eastAsia="宋体" w:cs="宋体"/>
        </w:rPr>
        <w:sectPr>
          <w:footerReference r:id="rId5" w:type="default"/>
          <w:type w:val="continuous"/>
          <w:pgSz w:w="11905" w:h="16838"/>
          <w:pgMar w:top="1440" w:right="1803" w:bottom="1440" w:left="1803" w:header="720" w:footer="720" w:gutter="0"/>
          <w:pgNumType w:fmt="decimal"/>
          <w:cols w:space="0" w:num="1"/>
          <w:rtlGutter w:val="0"/>
          <w:docGrid w:linePitch="312" w:charSpace="0"/>
        </w:sectPr>
      </w:pPr>
    </w:p>
    <w:p>
      <w:pPr>
        <w:keepNext w:val="0"/>
        <w:keepLines w:val="0"/>
        <w:pageBreakBefore w:val="0"/>
        <w:widowControl w:val="0"/>
        <w:kinsoku/>
        <w:wordWrap w:val="0"/>
        <w:overflowPunct/>
        <w:topLinePunct w:val="0"/>
        <w:autoSpaceDE/>
        <w:autoSpaceDN/>
        <w:bidi w:val="0"/>
        <w:adjustRightInd/>
        <w:snapToGrid w:val="0"/>
        <w:spacing w:before="120" w:line="440" w:lineRule="exact"/>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4.13措施项目清单组价分析表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措施项目报价组成分析表</w:t>
      </w:r>
    </w:p>
    <w:p>
      <w:pPr>
        <w:keepNext w:val="0"/>
        <w:keepLines w:val="0"/>
        <w:pageBreakBefore w:val="0"/>
        <w:widowControl w:val="0"/>
        <w:kinsoku/>
        <w:wordWrap w:val="0"/>
        <w:overflowPunct/>
        <w:topLinePunct w:val="0"/>
        <w:autoSpaceDE/>
        <w:autoSpaceDN/>
        <w:bidi w:val="0"/>
        <w:adjustRightInd/>
        <w:snapToGrid w:val="0"/>
        <w:spacing w:after="72"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p>
    <w:tbl>
      <w:tblPr>
        <w:tblStyle w:val="43"/>
        <w:tblW w:w="12957" w:type="dxa"/>
        <w:jc w:val="center"/>
        <w:tblLayout w:type="fixed"/>
        <w:tblCellMar>
          <w:top w:w="0" w:type="dxa"/>
          <w:left w:w="0" w:type="dxa"/>
          <w:bottom w:w="0" w:type="dxa"/>
          <w:right w:w="0" w:type="dxa"/>
        </w:tblCellMar>
      </w:tblPr>
      <w:tblGrid>
        <w:gridCol w:w="1053"/>
        <w:gridCol w:w="1572"/>
        <w:gridCol w:w="3212"/>
        <w:gridCol w:w="2398"/>
        <w:gridCol w:w="1025"/>
        <w:gridCol w:w="1025"/>
        <w:gridCol w:w="1270"/>
        <w:gridCol w:w="1402"/>
      </w:tblGrid>
      <w:tr>
        <w:tblPrEx>
          <w:tblCellMar>
            <w:top w:w="0" w:type="dxa"/>
            <w:left w:w="0" w:type="dxa"/>
            <w:bottom w:w="0" w:type="dxa"/>
            <w:right w:w="0" w:type="dxa"/>
          </w:tblCellMar>
        </w:tblPrEx>
        <w:trPr>
          <w:trHeight w:val="590" w:hRule="atLeast"/>
          <w:jc w:val="center"/>
        </w:trPr>
        <w:tc>
          <w:tcPr>
            <w:tcW w:w="1053" w:type="dxa"/>
            <w:vMerge w:val="restart"/>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子目编码</w:t>
            </w:r>
          </w:p>
        </w:tc>
        <w:tc>
          <w:tcPr>
            <w:tcW w:w="1572" w:type="dxa"/>
            <w:vMerge w:val="restart"/>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措施项目名称</w:t>
            </w:r>
          </w:p>
        </w:tc>
        <w:tc>
          <w:tcPr>
            <w:tcW w:w="3212" w:type="dxa"/>
            <w:vMerge w:val="restart"/>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拟采取主要方案或投入资源描述</w:t>
            </w:r>
          </w:p>
        </w:tc>
        <w:tc>
          <w:tcPr>
            <w:tcW w:w="2398" w:type="dxa"/>
            <w:vMerge w:val="restart"/>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实际成本详细计算表</w:t>
            </w:r>
          </w:p>
        </w:tc>
        <w:tc>
          <w:tcPr>
            <w:tcW w:w="3320" w:type="dxa"/>
            <w:gridSpan w:val="3"/>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报价构成分析</w:t>
            </w:r>
          </w:p>
        </w:tc>
        <w:tc>
          <w:tcPr>
            <w:tcW w:w="1402" w:type="dxa"/>
            <w:vMerge w:val="restart"/>
            <w:tcBorders>
              <w:top w:val="single" w:color="000000" w:sz="6"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报价金额</w:t>
            </w:r>
          </w:p>
        </w:tc>
      </w:tr>
      <w:tr>
        <w:tblPrEx>
          <w:tblCellMar>
            <w:top w:w="0" w:type="dxa"/>
            <w:left w:w="0" w:type="dxa"/>
            <w:bottom w:w="0" w:type="dxa"/>
            <w:right w:w="0" w:type="dxa"/>
          </w:tblCellMar>
        </w:tblPrEx>
        <w:trPr>
          <w:trHeight w:val="1344" w:hRule="atLeast"/>
          <w:jc w:val="center"/>
        </w:trPr>
        <w:tc>
          <w:tcPr>
            <w:tcW w:w="1053" w:type="dxa"/>
            <w:vMerge w:val="continue"/>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72" w:type="dxa"/>
            <w:vMerge w:val="continue"/>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212" w:type="dxa"/>
            <w:vMerge w:val="continue"/>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398" w:type="dxa"/>
            <w:vMerge w:val="continue"/>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实际成本</w:t>
            </w:r>
          </w:p>
        </w:tc>
        <w:tc>
          <w:tcPr>
            <w:tcW w:w="1025" w:type="dxa"/>
            <w:tcBorders>
              <w:top w:val="single" w:color="000000" w:sz="4"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管理费</w:t>
            </w:r>
          </w:p>
        </w:tc>
        <w:tc>
          <w:tcPr>
            <w:tcW w:w="1270" w:type="dxa"/>
            <w:tcBorders>
              <w:top w:val="single" w:color="000000" w:sz="4"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利润</w:t>
            </w:r>
          </w:p>
        </w:tc>
        <w:tc>
          <w:tcPr>
            <w:tcW w:w="1402" w:type="dxa"/>
            <w:vMerge w:val="continue"/>
            <w:tcBorders>
              <w:top w:val="single" w:color="000000" w:sz="6" w:space="0"/>
              <w:left w:val="single" w:color="000000" w:sz="6"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591" w:hRule="atLeast"/>
          <w:jc w:val="center"/>
        </w:trPr>
        <w:tc>
          <w:tcPr>
            <w:tcW w:w="1053"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572"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3212"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398"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270"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1402"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r>
    </w:tbl>
    <w:p>
      <w:pPr>
        <w:pStyle w:val="61"/>
        <w:ind w:left="0" w:leftChars="0" w:firstLine="0" w:firstLineChars="0"/>
        <w:rPr>
          <w:rFonts w:hint="eastAsia" w:ascii="宋体" w:hAnsi="宋体" w:eastAsia="宋体" w:cs="宋体"/>
          <w:sz w:val="24"/>
          <w:szCs w:val="24"/>
        </w:rPr>
        <w:sectPr>
          <w:pgSz w:w="16838" w:h="11905" w:orient="landscape"/>
          <w:pgMar w:top="1803" w:right="1440" w:bottom="1803" w:left="1440" w:header="720" w:footer="720" w:gutter="0"/>
          <w:pgNumType w:fmt="decimal"/>
          <w:cols w:space="0" w:num="1"/>
          <w:rtlGutter w:val="0"/>
          <w:docGrid w:linePitch="312" w:charSpace="0"/>
        </w:sectPr>
      </w:pP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4.14费率报价表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费率报价表</w:t>
      </w:r>
    </w:p>
    <w:p>
      <w:pPr>
        <w:keepNext w:val="0"/>
        <w:keepLines w:val="0"/>
        <w:pageBreakBefore w:val="0"/>
        <w:widowControl w:val="0"/>
        <w:kinsoku/>
        <w:wordWrap w:val="0"/>
        <w:overflowPunct/>
        <w:topLinePunct w:val="0"/>
        <w:autoSpaceDE/>
        <w:autoSpaceDN/>
        <w:bidi w:val="0"/>
        <w:adjustRightInd/>
        <w:snapToGrid w:val="0"/>
        <w:spacing w:after="72"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p>
    <w:tbl>
      <w:tblPr>
        <w:tblStyle w:val="43"/>
        <w:tblW w:w="9178" w:type="dxa"/>
        <w:jc w:val="center"/>
        <w:tblLayout w:type="fixed"/>
        <w:tblCellMar>
          <w:top w:w="0" w:type="dxa"/>
          <w:left w:w="0" w:type="dxa"/>
          <w:bottom w:w="0" w:type="dxa"/>
          <w:right w:w="0" w:type="dxa"/>
        </w:tblCellMar>
      </w:tblPr>
      <w:tblGrid>
        <w:gridCol w:w="1361"/>
        <w:gridCol w:w="3228"/>
        <w:gridCol w:w="2294"/>
        <w:gridCol w:w="2295"/>
      </w:tblGrid>
      <w:tr>
        <w:tblPrEx>
          <w:tblCellMar>
            <w:top w:w="0" w:type="dxa"/>
            <w:left w:w="0" w:type="dxa"/>
            <w:bottom w:w="0" w:type="dxa"/>
            <w:right w:w="0" w:type="dxa"/>
          </w:tblCellMar>
        </w:tblPrEx>
        <w:trPr>
          <w:trHeight w:val="851" w:hRule="atLeast"/>
          <w:jc w:val="center"/>
        </w:trPr>
        <w:tc>
          <w:tcPr>
            <w:tcW w:w="1361" w:type="dxa"/>
            <w:tcBorders>
              <w:top w:val="single" w:color="000000" w:sz="6" w:space="0"/>
              <w:left w:val="single" w:color="000000" w:sz="6"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3228"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费用名称</w:t>
            </w:r>
          </w:p>
        </w:tc>
        <w:tc>
          <w:tcPr>
            <w:tcW w:w="2294"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取费基数</w:t>
            </w:r>
          </w:p>
        </w:tc>
        <w:tc>
          <w:tcPr>
            <w:tcW w:w="2295" w:type="dxa"/>
            <w:tcBorders>
              <w:top w:val="single" w:color="000000" w:sz="6" w:space="0"/>
              <w:left w:val="single" w:color="000000" w:sz="4" w:space="0"/>
              <w:bottom w:val="single" w:color="000000" w:sz="4"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报价费率(％)</w:t>
            </w:r>
          </w:p>
        </w:tc>
      </w:tr>
      <w:tr>
        <w:tblPrEx>
          <w:tblCellMar>
            <w:top w:w="0" w:type="dxa"/>
            <w:left w:w="0" w:type="dxa"/>
            <w:bottom w:w="0" w:type="dxa"/>
            <w:right w:w="0" w:type="dxa"/>
          </w:tblCellMar>
        </w:tblPrEx>
        <w:trPr>
          <w:trHeight w:val="8002" w:hRule="atLeast"/>
          <w:jc w:val="center"/>
        </w:trPr>
        <w:tc>
          <w:tcPr>
            <w:tcW w:w="1361" w:type="dxa"/>
            <w:tcBorders>
              <w:top w:val="single" w:color="000000" w:sz="4" w:space="0"/>
              <w:left w:val="single" w:color="000000" w:sz="6"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A</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B</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C</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6</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D</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7</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8</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3228"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建筑工程</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企业管理费</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利润</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装饰和装修工程</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企业管理费</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利润</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机电安装工程</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企业管理费</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利润</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市政/园林绿化工程</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企业管理费</w:t>
            </w:r>
          </w:p>
          <w:p>
            <w:pPr>
              <w:keepNext w:val="0"/>
              <w:keepLines w:val="0"/>
              <w:pageBreakBefore w:val="0"/>
              <w:widowControl w:val="0"/>
              <w:kinsoku/>
              <w:wordWrap w:val="0"/>
              <w:overflowPunct/>
              <w:topLinePunct w:val="0"/>
              <w:autoSpaceDE/>
              <w:autoSpaceDN/>
              <w:bidi w:val="0"/>
              <w:adjustRightInd/>
              <w:snapToGrid w:val="0"/>
              <w:spacing w:line="440" w:lineRule="exact"/>
              <w:ind w:left="338" w:firstLine="338"/>
              <w:textAlignment w:val="auto"/>
              <w:outlineLvl w:val="9"/>
              <w:rPr>
                <w:rFonts w:hint="eastAsia" w:ascii="宋体" w:hAnsi="宋体" w:eastAsia="宋体" w:cs="宋体"/>
                <w:sz w:val="24"/>
                <w:szCs w:val="24"/>
              </w:rPr>
            </w:pPr>
            <w:r>
              <w:rPr>
                <w:rFonts w:hint="eastAsia" w:ascii="宋体" w:hAnsi="宋体" w:eastAsia="宋体" w:cs="宋体"/>
                <w:sz w:val="24"/>
                <w:szCs w:val="24"/>
              </w:rPr>
              <w:t>利润</w:t>
            </w:r>
          </w:p>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294" w:type="dxa"/>
            <w:tcBorders>
              <w:top w:val="single" w:color="000000" w:sz="4" w:space="0"/>
              <w:left w:val="single" w:color="000000" w:sz="4" w:space="0"/>
              <w:bottom w:val="single" w:color="000000" w:sz="6"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295" w:type="dxa"/>
            <w:tcBorders>
              <w:top w:val="single" w:color="000000" w:sz="4" w:space="0"/>
              <w:left w:val="single" w:color="000000" w:sz="4" w:space="0"/>
              <w:bottom w:val="single" w:color="000000" w:sz="6" w:space="0"/>
              <w:right w:val="single" w:color="000000" w:sz="6"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before="12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注：本报价表中的费率应与分部分项工程清单综合单价分析表中的费率一致。</w:t>
      </w:r>
    </w:p>
    <w:p>
      <w:pPr>
        <w:pStyle w:val="61"/>
        <w:ind w:left="0" w:leftChars="0" w:firstLine="0" w:firstLineChars="0"/>
        <w:rPr>
          <w:rFonts w:hint="eastAsia" w:ascii="宋体" w:hAnsi="宋体" w:eastAsia="宋体" w:cs="宋体"/>
        </w:rPr>
      </w:pPr>
    </w:p>
    <w:p>
      <w:pPr>
        <w:pStyle w:val="61"/>
        <w:ind w:left="0" w:leftChars="0" w:firstLine="0" w:firstLineChars="0"/>
        <w:rPr>
          <w:rFonts w:hint="eastAsia" w:ascii="宋体" w:hAnsi="宋体" w:eastAsia="宋体" w:cs="宋体"/>
          <w:sz w:val="24"/>
          <w:szCs w:val="24"/>
        </w:rPr>
        <w:sectPr>
          <w:pgSz w:w="11905" w:h="16838"/>
          <w:pgMar w:top="1440" w:right="1803" w:bottom="1440" w:left="1803" w:header="720" w:footer="720" w:gutter="0"/>
          <w:pgNumType w:fmt="decimal"/>
          <w:cols w:space="0" w:num="1"/>
          <w:rtlGutter w:val="0"/>
          <w:docGrid w:linePitch="312" w:charSpace="0"/>
        </w:sectPr>
      </w:pPr>
    </w:p>
    <w:p>
      <w:pPr>
        <w:keepNext w:val="0"/>
        <w:keepLines w:val="0"/>
        <w:pageBreakBefore w:val="0"/>
        <w:widowControl w:val="0"/>
        <w:kinsoku/>
        <w:wordWrap w:val="0"/>
        <w:overflowPunct/>
        <w:topLinePunct w:val="0"/>
        <w:autoSpaceDE/>
        <w:autoSpaceDN/>
        <w:bidi w:val="0"/>
        <w:adjustRightInd/>
        <w:snapToGrid w:val="0"/>
        <w:spacing w:after="240" w:line="440" w:lineRule="exact"/>
        <w:textAlignment w:val="auto"/>
        <w:outlineLvl w:val="9"/>
        <w:rPr>
          <w:rFonts w:hint="eastAsia" w:ascii="宋体" w:hAnsi="宋体" w:eastAsia="宋体" w:cs="宋体"/>
          <w:b/>
          <w:bCs/>
          <w:sz w:val="28"/>
          <w:szCs w:val="28"/>
        </w:rPr>
      </w:pPr>
      <w:bookmarkStart w:id="273" w:name="_Toc4453"/>
      <w:bookmarkStart w:id="274" w:name="_Toc6157"/>
      <w:bookmarkStart w:id="275" w:name="_Toc22381"/>
      <w:bookmarkStart w:id="276" w:name="_Toc26317"/>
      <w:bookmarkStart w:id="277" w:name="_Toc18398"/>
      <w:r>
        <w:rPr>
          <w:rFonts w:hint="eastAsia" w:ascii="宋体" w:hAnsi="宋体" w:eastAsia="宋体" w:cs="宋体"/>
          <w:b/>
          <w:bCs/>
          <w:sz w:val="28"/>
          <w:szCs w:val="28"/>
        </w:rPr>
        <w:t>4.15主要材料和工程设备选用表</w:t>
      </w:r>
    </w:p>
    <w:p>
      <w:pPr>
        <w:keepNext w:val="0"/>
        <w:keepLines w:val="0"/>
        <w:pageBreakBefore w:val="0"/>
        <w:widowControl w:val="0"/>
        <w:kinsoku/>
        <w:wordWrap w:val="0"/>
        <w:overflowPunct/>
        <w:topLinePunct w:val="0"/>
        <w:autoSpaceDE/>
        <w:autoSpaceDN/>
        <w:bidi w:val="0"/>
        <w:adjustRightInd/>
        <w:snapToGrid w:val="0"/>
        <w:spacing w:before="120" w:after="120" w:line="440" w:lineRule="exact"/>
        <w:jc w:val="center"/>
        <w:textAlignment w:val="auto"/>
        <w:outlineLvl w:val="9"/>
        <w:rPr>
          <w:rFonts w:hint="eastAsia" w:ascii="宋体" w:hAnsi="宋体" w:eastAsia="宋体" w:cs="宋体"/>
          <w:sz w:val="24"/>
          <w:szCs w:val="24"/>
        </w:rPr>
      </w:pPr>
      <w:r>
        <w:rPr>
          <w:rFonts w:hint="eastAsia" w:ascii="宋体" w:hAnsi="宋体" w:eastAsia="宋体" w:cs="宋体"/>
          <w:b/>
          <w:bCs/>
          <w:sz w:val="24"/>
          <w:szCs w:val="24"/>
        </w:rPr>
        <w:t>主要材料和工程设备选用表</w:t>
      </w:r>
    </w:p>
    <w:p>
      <w:pPr>
        <w:keepNext w:val="0"/>
        <w:keepLines w:val="0"/>
        <w:pageBreakBefore w:val="0"/>
        <w:widowControl w:val="0"/>
        <w:kinsoku/>
        <w:wordWrap w:val="0"/>
        <w:overflowPunct/>
        <w:topLinePunct w:val="0"/>
        <w:autoSpaceDE/>
        <w:autoSpaceDN/>
        <w:bidi w:val="0"/>
        <w:adjustRightInd/>
        <w:snapToGrid w:val="0"/>
        <w:spacing w:after="72"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工程名称：</w:t>
      </w:r>
    </w:p>
    <w:tbl>
      <w:tblPr>
        <w:tblStyle w:val="43"/>
        <w:tblW w:w="0" w:type="auto"/>
        <w:jc w:val="center"/>
        <w:tblLayout w:type="fixed"/>
        <w:tblCellMar>
          <w:top w:w="0" w:type="dxa"/>
          <w:left w:w="0" w:type="dxa"/>
          <w:bottom w:w="0" w:type="dxa"/>
          <w:right w:w="0" w:type="dxa"/>
        </w:tblCellMar>
      </w:tblPr>
      <w:tblGrid>
        <w:gridCol w:w="1059"/>
        <w:gridCol w:w="2305"/>
        <w:gridCol w:w="1243"/>
        <w:gridCol w:w="1111"/>
        <w:gridCol w:w="1375"/>
        <w:gridCol w:w="2174"/>
        <w:gridCol w:w="2174"/>
        <w:gridCol w:w="1434"/>
      </w:tblGrid>
      <w:tr>
        <w:tblPrEx>
          <w:tblCellMar>
            <w:top w:w="0" w:type="dxa"/>
            <w:left w:w="0" w:type="dxa"/>
            <w:bottom w:w="0" w:type="dxa"/>
            <w:right w:w="0" w:type="dxa"/>
          </w:tblCellMar>
        </w:tblPrEx>
        <w:trPr>
          <w:trHeight w:val="934" w:hRule="atLeast"/>
          <w:jc w:val="center"/>
        </w:trPr>
        <w:tc>
          <w:tcPr>
            <w:tcW w:w="10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23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材料和工程设备名称</w:t>
            </w:r>
          </w:p>
        </w:tc>
        <w:tc>
          <w:tcPr>
            <w:tcW w:w="12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单位</w:t>
            </w:r>
          </w:p>
        </w:tc>
        <w:tc>
          <w:tcPr>
            <w:tcW w:w="11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单价</w:t>
            </w:r>
          </w:p>
        </w:tc>
        <w:tc>
          <w:tcPr>
            <w:tcW w:w="13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数量</w:t>
            </w:r>
          </w:p>
        </w:tc>
        <w:tc>
          <w:tcPr>
            <w:tcW w:w="21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品牌/厂家</w:t>
            </w:r>
          </w:p>
        </w:tc>
        <w:tc>
          <w:tcPr>
            <w:tcW w:w="21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规格型号</w:t>
            </w:r>
          </w:p>
        </w:tc>
        <w:tc>
          <w:tcPr>
            <w:tcW w:w="14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4179" w:hRule="atLeast"/>
          <w:jc w:val="center"/>
        </w:trPr>
        <w:tc>
          <w:tcPr>
            <w:tcW w:w="10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outlineLvl w:val="9"/>
              <w:rPr>
                <w:rFonts w:hint="eastAsia" w:ascii="宋体" w:hAnsi="宋体" w:eastAsia="宋体" w:cs="宋体"/>
                <w:sz w:val="24"/>
                <w:szCs w:val="24"/>
              </w:rPr>
            </w:pPr>
          </w:p>
        </w:tc>
        <w:tc>
          <w:tcPr>
            <w:tcW w:w="23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7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3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注：本表中所列材料设备应仅限于承包人自行采购范围内的材料设备。本表格可以按照同样的格式扩展。</w:t>
      </w:r>
    </w:p>
    <w:p>
      <w:pPr>
        <w:pStyle w:val="61"/>
        <w:ind w:left="0" w:leftChars="0" w:firstLine="0" w:firstLineChars="0"/>
        <w:rPr>
          <w:rFonts w:hint="eastAsia" w:ascii="宋体" w:hAnsi="宋体" w:eastAsia="宋体" w:cs="宋体"/>
        </w:rPr>
      </w:pPr>
    </w:p>
    <w:p>
      <w:pPr>
        <w:pStyle w:val="3"/>
        <w:keepNext w:val="0"/>
        <w:keepLines w:val="0"/>
        <w:pageBreakBefore w:val="0"/>
        <w:widowControl w:val="0"/>
        <w:kinsoku/>
        <w:wordWrap w:val="0"/>
        <w:overflowPunct/>
        <w:topLinePunct w:val="0"/>
        <w:autoSpaceDE/>
        <w:autoSpaceDN/>
        <w:bidi w:val="0"/>
        <w:adjustRightInd/>
        <w:snapToGrid/>
        <w:spacing w:before="0" w:after="143" w:afterLines="50" w:line="240" w:lineRule="auto"/>
        <w:ind w:left="0" w:leftChars="0" w:right="0" w:rightChars="0" w:firstLine="0" w:firstLineChars="0"/>
        <w:jc w:val="center"/>
        <w:textAlignment w:val="auto"/>
        <w:rPr>
          <w:rFonts w:hint="eastAsia" w:ascii="宋体" w:hAnsi="宋体" w:eastAsia="宋体" w:cs="宋体"/>
        </w:rPr>
        <w:sectPr>
          <w:footerReference r:id="rId6" w:type="default"/>
          <w:pgSz w:w="16838" w:h="11905" w:orient="landscape"/>
          <w:pgMar w:top="1803" w:right="1440" w:bottom="1803" w:left="1440" w:header="720" w:footer="720" w:gutter="0"/>
          <w:pgNumType w:fmt="decimal"/>
          <w:cols w:space="0" w:num="1"/>
          <w:rtlGutter w:val="0"/>
          <w:docGrid w:linePitch="285" w:charSpace="0"/>
        </w:sectPr>
      </w:pPr>
      <w:bookmarkStart w:id="278" w:name="_Toc30914"/>
    </w:p>
    <w:p>
      <w:pPr>
        <w:pStyle w:val="3"/>
        <w:keepNext w:val="0"/>
        <w:keepLines w:val="0"/>
        <w:pageBreakBefore w:val="0"/>
        <w:widowControl w:val="0"/>
        <w:kinsoku/>
        <w:wordWrap w:val="0"/>
        <w:overflowPunct/>
        <w:topLinePunct w:val="0"/>
        <w:autoSpaceDE/>
        <w:autoSpaceDN/>
        <w:bidi w:val="0"/>
        <w:adjustRightInd/>
        <w:snapToGrid/>
        <w:spacing w:before="0" w:after="143" w:afterLines="50" w:line="240" w:lineRule="auto"/>
        <w:ind w:left="0" w:leftChars="0" w:right="0" w:rightChars="0" w:firstLine="0" w:firstLineChars="0"/>
        <w:jc w:val="center"/>
        <w:textAlignment w:val="auto"/>
        <w:rPr>
          <w:rFonts w:hint="eastAsia" w:ascii="宋体" w:hAnsi="宋体" w:eastAsia="宋体" w:cs="宋体"/>
          <w:lang w:eastAsia="zh-CN"/>
        </w:rPr>
      </w:pPr>
      <w:bookmarkStart w:id="279" w:name="_Toc2257"/>
      <w:r>
        <w:rPr>
          <w:rFonts w:hint="eastAsia" w:ascii="宋体" w:hAnsi="宋体" w:eastAsia="宋体" w:cs="宋体"/>
        </w:rPr>
        <w:t>第</w:t>
      </w:r>
      <w:r>
        <w:rPr>
          <w:rFonts w:hint="eastAsia" w:ascii="宋体" w:hAnsi="宋体" w:eastAsia="宋体" w:cs="宋体"/>
          <w:lang w:eastAsia="zh-CN"/>
        </w:rPr>
        <w:t>六</w:t>
      </w:r>
      <w:r>
        <w:rPr>
          <w:rFonts w:hint="eastAsia" w:ascii="宋体" w:hAnsi="宋体" w:eastAsia="宋体" w:cs="宋体"/>
        </w:rPr>
        <w:t xml:space="preserve">章 </w:t>
      </w:r>
      <w:r>
        <w:rPr>
          <w:rFonts w:hint="eastAsia" w:ascii="宋体" w:hAnsi="宋体" w:eastAsia="宋体" w:cs="宋体"/>
          <w:lang w:eastAsia="zh-CN"/>
        </w:rPr>
        <w:t>图纸</w:t>
      </w:r>
      <w:bookmarkEnd w:id="273"/>
      <w:bookmarkEnd w:id="274"/>
      <w:bookmarkEnd w:id="275"/>
      <w:bookmarkEnd w:id="276"/>
      <w:bookmarkEnd w:id="277"/>
      <w:bookmarkEnd w:id="278"/>
      <w:bookmarkEnd w:id="279"/>
    </w:p>
    <w:p>
      <w:pPr>
        <w:keepNext w:val="0"/>
        <w:keepLines w:val="0"/>
        <w:pageBreakBefore w:val="0"/>
        <w:widowControl w:val="0"/>
        <w:kinsoku/>
        <w:wordWrap w:val="0"/>
        <w:overflowPunct/>
        <w:topLinePunct w:val="0"/>
        <w:autoSpaceDE/>
        <w:autoSpaceDN/>
        <w:bidi w:val="0"/>
        <w:adjustRightInd/>
        <w:snapToGrid w:val="0"/>
        <w:spacing w:before="20" w:after="260" w:line="440" w:lineRule="exact"/>
        <w:textAlignment w:val="auto"/>
        <w:rPr>
          <w:rFonts w:hint="eastAsia" w:ascii="宋体" w:hAnsi="宋体" w:eastAsia="宋体" w:cs="宋体"/>
          <w:b/>
          <w:sz w:val="32"/>
          <w:szCs w:val="32"/>
        </w:rPr>
      </w:pPr>
      <w:r>
        <w:rPr>
          <w:rFonts w:hint="eastAsia" w:ascii="宋体" w:hAnsi="宋体" w:eastAsia="宋体" w:cs="宋体"/>
          <w:b/>
          <w:sz w:val="32"/>
          <w:szCs w:val="32"/>
        </w:rPr>
        <w:t>1．图纸目录</w:t>
      </w:r>
    </w:p>
    <w:tbl>
      <w:tblPr>
        <w:tblStyle w:val="43"/>
        <w:tblW w:w="9578" w:type="dxa"/>
        <w:jc w:val="center"/>
        <w:tblLayout w:type="fixed"/>
        <w:tblCellMar>
          <w:top w:w="0" w:type="dxa"/>
          <w:left w:w="0" w:type="dxa"/>
          <w:bottom w:w="0" w:type="dxa"/>
          <w:right w:w="0" w:type="dxa"/>
        </w:tblCellMar>
      </w:tblPr>
      <w:tblGrid>
        <w:gridCol w:w="1596"/>
        <w:gridCol w:w="1596"/>
        <w:gridCol w:w="1596"/>
        <w:gridCol w:w="1596"/>
        <w:gridCol w:w="1597"/>
        <w:gridCol w:w="1597"/>
      </w:tblGrid>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图名</w:t>
            </w: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图号</w:t>
            </w: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版本</w:t>
            </w: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出图日期</w:t>
            </w: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24"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637" w:hRule="atLeast"/>
          <w:jc w:val="center"/>
        </w:trPr>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c>
          <w:tcPr>
            <w:tcW w:w="15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line="440" w:lineRule="exact"/>
        <w:textAlignment w:val="auto"/>
        <w:rPr>
          <w:rFonts w:hint="eastAsia" w:ascii="宋体" w:hAnsi="宋体" w:eastAsia="宋体" w:cs="宋体"/>
          <w:b/>
          <w:sz w:val="32"/>
          <w:szCs w:val="32"/>
        </w:rPr>
      </w:pPr>
      <w:r>
        <w:rPr>
          <w:rFonts w:hint="eastAsia" w:ascii="宋体" w:hAnsi="宋体" w:eastAsia="宋体" w:cs="宋体"/>
          <w:sz w:val="24"/>
          <w:szCs w:val="24"/>
        </w:rPr>
        <w:br w:type="page"/>
      </w:r>
      <w:r>
        <w:rPr>
          <w:rFonts w:hint="eastAsia" w:ascii="宋体" w:hAnsi="宋体" w:eastAsia="宋体" w:cs="宋体"/>
          <w:b/>
          <w:sz w:val="32"/>
          <w:szCs w:val="32"/>
        </w:rPr>
        <w:t>2．图  纸</w:t>
      </w:r>
    </w:p>
    <w:p>
      <w:pPr>
        <w:pStyle w:val="2"/>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详见</w:t>
      </w:r>
      <w:r>
        <w:rPr>
          <w:rFonts w:hint="eastAsia" w:ascii="宋体" w:hAnsi="宋体" w:eastAsia="宋体" w:cs="宋体"/>
          <w:sz w:val="24"/>
          <w:szCs w:val="24"/>
          <w:lang w:eastAsia="zh-CN"/>
        </w:rPr>
        <w:t>供应商</w:t>
      </w:r>
      <w:r>
        <w:rPr>
          <w:rFonts w:hint="eastAsia" w:ascii="宋体" w:hAnsi="宋体" w:eastAsia="宋体" w:cs="宋体"/>
          <w:sz w:val="24"/>
          <w:szCs w:val="24"/>
        </w:rPr>
        <w:t>须知前附件表</w:t>
      </w:r>
    </w:p>
    <w:p>
      <w:pPr>
        <w:pStyle w:val="2"/>
        <w:keepNext w:val="0"/>
        <w:keepLines w:val="0"/>
        <w:pageBreakBefore w:val="0"/>
        <w:widowControl w:val="0"/>
        <w:kinsoku/>
        <w:wordWrap w:val="0"/>
        <w:overflowPunct/>
        <w:topLinePunct w:val="0"/>
        <w:autoSpaceDE/>
        <w:autoSpaceDN/>
        <w:bidi w:val="0"/>
        <w:adjustRightInd/>
        <w:snapToGrid/>
        <w:spacing w:after="143" w:afterLines="50" w:line="240" w:lineRule="auto"/>
        <w:ind w:left="0" w:leftChars="0" w:right="0" w:rightChars="0" w:firstLine="0" w:firstLineChars="0"/>
        <w:jc w:val="center"/>
        <w:textAlignment w:val="auto"/>
        <w:outlineLvl w:val="0"/>
        <w:rPr>
          <w:rFonts w:hint="eastAsia" w:ascii="宋体" w:hAnsi="宋体" w:eastAsia="宋体" w:cs="宋体"/>
          <w:lang w:eastAsia="zh-CN"/>
        </w:rPr>
      </w:pPr>
      <w:r>
        <w:rPr>
          <w:rFonts w:hint="eastAsia" w:ascii="宋体" w:hAnsi="宋体" w:eastAsia="宋体" w:cs="宋体"/>
          <w:sz w:val="24"/>
          <w:szCs w:val="24"/>
        </w:rPr>
        <w:br w:type="page"/>
      </w:r>
      <w:bookmarkStart w:id="280" w:name="_Toc23023"/>
      <w:bookmarkStart w:id="281" w:name="_Toc781"/>
      <w:bookmarkStart w:id="282" w:name="_Toc7542"/>
      <w:bookmarkStart w:id="283" w:name="_Toc5967"/>
      <w:bookmarkStart w:id="284" w:name="_Toc11750"/>
      <w:bookmarkStart w:id="285" w:name="_Toc31709"/>
      <w:bookmarkStart w:id="286" w:name="_Toc11914"/>
      <w:r>
        <w:rPr>
          <w:rStyle w:val="66"/>
          <w:rFonts w:hint="eastAsia" w:ascii="宋体" w:hAnsi="宋体" w:eastAsia="宋体" w:cs="宋体"/>
        </w:rPr>
        <w:t>第</w:t>
      </w:r>
      <w:r>
        <w:rPr>
          <w:rStyle w:val="66"/>
          <w:rFonts w:hint="eastAsia" w:ascii="宋体" w:hAnsi="宋体" w:eastAsia="宋体" w:cs="宋体"/>
          <w:lang w:eastAsia="zh-CN"/>
        </w:rPr>
        <w:t>七</w:t>
      </w:r>
      <w:r>
        <w:rPr>
          <w:rStyle w:val="66"/>
          <w:rFonts w:hint="eastAsia" w:ascii="宋体" w:hAnsi="宋体" w:eastAsia="宋体" w:cs="宋体"/>
        </w:rPr>
        <w:t xml:space="preserve">章 </w:t>
      </w:r>
      <w:r>
        <w:rPr>
          <w:rStyle w:val="66"/>
          <w:rFonts w:hint="eastAsia" w:ascii="宋体" w:hAnsi="宋体" w:eastAsia="宋体" w:cs="宋体"/>
          <w:lang w:eastAsia="zh-CN"/>
        </w:rPr>
        <w:t>技术标准和要求</w:t>
      </w:r>
      <w:bookmarkEnd w:id="280"/>
      <w:bookmarkEnd w:id="281"/>
      <w:bookmarkEnd w:id="282"/>
      <w:bookmarkEnd w:id="283"/>
      <w:bookmarkEnd w:id="284"/>
      <w:bookmarkEnd w:id="285"/>
      <w:bookmarkEnd w:id="286"/>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outlineLvl w:val="1"/>
        <w:rPr>
          <w:rFonts w:hint="eastAsia" w:ascii="宋体" w:hAnsi="宋体" w:eastAsia="宋体" w:cs="宋体"/>
          <w:b/>
          <w:bCs/>
          <w:sz w:val="32"/>
          <w:szCs w:val="32"/>
        </w:rPr>
      </w:pPr>
      <w:bookmarkStart w:id="287" w:name="_Toc4883"/>
      <w:bookmarkStart w:id="288" w:name="_Toc30297"/>
      <w:bookmarkStart w:id="289" w:name="_Toc13866"/>
      <w:bookmarkStart w:id="290" w:name="_Toc2517"/>
      <w:bookmarkStart w:id="291" w:name="_Toc28377"/>
      <w:bookmarkStart w:id="292" w:name="_Toc24088"/>
      <w:bookmarkStart w:id="293" w:name="_Toc27855"/>
      <w:r>
        <w:rPr>
          <w:rFonts w:hint="eastAsia" w:ascii="宋体" w:hAnsi="宋体" w:eastAsia="宋体" w:cs="宋体"/>
          <w:b/>
          <w:bCs/>
          <w:sz w:val="32"/>
          <w:szCs w:val="32"/>
        </w:rPr>
        <w:t>第一节 一般要求</w:t>
      </w:r>
      <w:bookmarkEnd w:id="287"/>
      <w:bookmarkEnd w:id="288"/>
      <w:bookmarkEnd w:id="289"/>
      <w:bookmarkEnd w:id="290"/>
      <w:bookmarkEnd w:id="291"/>
      <w:bookmarkEnd w:id="292"/>
      <w:bookmarkEnd w:id="293"/>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工程说明</w:t>
      </w:r>
    </w:p>
    <w:p>
      <w:pPr>
        <w:keepNext w:val="0"/>
        <w:keepLines w:val="0"/>
        <w:pageBreakBefore w:val="0"/>
        <w:widowControl w:val="0"/>
        <w:kinsoku/>
        <w:wordWrap w:val="0"/>
        <w:overflowPunct/>
        <w:topLinePunct w:val="0"/>
        <w:autoSpaceDE/>
        <w:autoSpaceDN/>
        <w:bidi w:val="0"/>
        <w:adjustRightInd/>
        <w:snapToGrid w:val="0"/>
        <w:spacing w:line="44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1.1 工程概况</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l.1.1 本工程基本情况如下：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 本工程施工场地(现场)具体地理位置如下：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rPr>
        <w:t>1.2 现场条件和周围环境</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1.2.1 本工程施工场地(现场)已经具备施工条件。施工场地(现场)临时水源接口位置、临时电源接口位置、临时排污口位置、建筑红线位置、道路交通和出入口、以及施工场地(现场)和周围环境等情况见本章附件A：施工场地(现场)现状平面图。</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1.2.2 施工场地(现场)临时供水管径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1200" w:firstLineChars="500"/>
        <w:jc w:val="left"/>
        <w:textAlignment w:val="auto"/>
        <w:rPr>
          <w:rFonts w:hint="eastAsia" w:ascii="宋体" w:hAnsi="宋体" w:eastAsia="宋体" w:cs="宋体"/>
          <w:sz w:val="24"/>
          <w:szCs w:val="24"/>
        </w:rPr>
      </w:pPr>
      <w:r>
        <w:rPr>
          <w:rFonts w:hint="eastAsia" w:ascii="宋体" w:hAnsi="宋体" w:eastAsia="宋体" w:cs="宋体"/>
          <w:sz w:val="24"/>
          <w:szCs w:val="24"/>
        </w:rPr>
        <w:t>施工场地(现场)临时排污管径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1200" w:firstLineChars="500"/>
        <w:jc w:val="left"/>
        <w:textAlignment w:val="auto"/>
        <w:rPr>
          <w:rFonts w:hint="eastAsia" w:ascii="宋体" w:hAnsi="宋体" w:eastAsia="宋体" w:cs="宋体"/>
          <w:sz w:val="24"/>
          <w:szCs w:val="24"/>
        </w:rPr>
      </w:pPr>
      <w:r>
        <w:rPr>
          <w:rFonts w:hint="eastAsia" w:ascii="宋体" w:hAnsi="宋体" w:eastAsia="宋体" w:cs="宋体"/>
          <w:sz w:val="24"/>
          <w:szCs w:val="24"/>
        </w:rPr>
        <w:t>施工场地(现场)临时雨水管径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1200" w:firstLineChars="500"/>
        <w:jc w:val="left"/>
        <w:textAlignment w:val="auto"/>
        <w:rPr>
          <w:rFonts w:hint="eastAsia" w:ascii="宋体" w:hAnsi="宋体" w:eastAsia="宋体" w:cs="宋体"/>
          <w:sz w:val="24"/>
          <w:szCs w:val="24"/>
        </w:rPr>
      </w:pPr>
      <w:r>
        <w:rPr>
          <w:rFonts w:hint="eastAsia" w:ascii="宋体" w:hAnsi="宋体" w:eastAsia="宋体" w:cs="宋体"/>
          <w:sz w:val="24"/>
          <w:szCs w:val="24"/>
        </w:rPr>
        <w:t>施工现场临时供电容量(变压器输出功率)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1.2.3 现场条件和周围环境的其他资料和信息数据如下：</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1.2.4 承包人被认为已在本工程投标阶段踏勘现场时充分了解本工程现场条件和周围环境，并已在其投标时就此给予了充分的考虑。</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1.3 地质及水文资料</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1.3.1 现场地质及水文资料和信息数据如下：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1.4 资料和信息的使用</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1.4.1 合同文件中载明的涉及本工程现场条件、周围环境、地质及水文等情况的资料和信息数据，是发包人现有的和客观的，发包人保证有关资料和信息数据的真实、准确。但承包人据此作出的推论、判断和决策，由承包人自行负责。</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承包范围</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2.1</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承包范围</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2.1.1 承包人自行施工范围</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本工程承包人自行施工的工程范围如下：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2.1.2 承包范围内的暂估价项目</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2.1.2.1 承包范围内以暂估价形式实施的专业工程见第五章“工程量清单”表4.11—3“专业工程暂估价表”。</w:t>
      </w:r>
    </w:p>
    <w:p>
      <w:pPr>
        <w:keepNext w:val="0"/>
        <w:keepLines w:val="0"/>
        <w:pageBreakBefore w:val="0"/>
        <w:widowControl w:val="0"/>
        <w:tabs>
          <w:tab w:val="left" w:pos="1260"/>
        </w:tabs>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2.1.2.2 承包范围内以暂估价形式实施的材料和工程设备见第五章“工程量清单”表4.11—2“材料和工程设备暂估单价表”。</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2.1.2.3 上述暂估价项目与本节第2.1.1项承包人自行施工范围的工作界面划分如下：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2.1.3 承包范围内的暂列金额项目</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2.1.3.1 承包范围内以暂列金额(包括计日工)方式实施的项目见第五章“工程量清单”表4.1l—l“暂列金额明细表”(不包括计日工)和表4.1l一4“计日工表”，其中计日工金额为承包人在其投标报价中按表4.11—4“计日工表”所列计日工子目、数量和相应规定填报的金额。</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2.1.3.2 暂列金额明细表中每笔暂列金额所对应的子目，包括计日工，均只是可能发生的子目。承包人应当充分认识到，合同履行过程中所列暂列金额可能不发生，也可能部分发生。即便发生，监理人按照合同约定发出的使用暂列金额的指示也不限于只能用于表中所列子目。</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2.1.3.3 暂列金额是否实际发生、其再分和合并等均不应成为承包人要求任何追加费用和(或)延长工期的理由。</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2.1.3.4 关于暂列金额的其他说明：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2.2 发包人发包专业工程和发包人供应的材料和工程设备</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2.2.1 由发包人发包的专业工程属于与本工程有关的其他工程，不属于承包人的承包范围。发包人发包的专业工程如下：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2.2.2 由发包人供应的材料和工程设备不属于承包人的承包范围。发包人供应的材料和工程设备见合同附件二“发包人供应的材料和工程设备一览表”。</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2.3 承包人与发包人发包专业工程承包人的工作界面</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2.3.1 承包人与发包人发包专业工程承包人以及与发包人供应的材料和设备的供应商之间的工作界面划分如下：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2.4 承包人需要为发包人和监理人提供的现场办公条件和设施</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2.4.1 承包人需要为发包人和监理人提供的现场办公条件和设施及其详细要求如下：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工期要求</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3.1 合同工期</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本工程合同工期和计划开、竣工日期为承包人在投标函附录中承诺的工期和计划开、竣工日期，并在合同协议书中载明。</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3.2 关于工期的一般规定</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3.2.1 承包人在投标函中承诺的工期和计划开、竣工日期之间发生矛盾或者不一致时，以承包人承诺的工期为准。实际开工日期以通用合同条款第11.1款约定的监理人发出的开工通知中载明的开工日期为准。</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3.2.2 如果承包人在投标函附录中承诺的工期提前于发包人在本工程</w:t>
      </w:r>
      <w:r>
        <w:rPr>
          <w:rFonts w:hint="eastAsia" w:ascii="宋体" w:hAnsi="宋体" w:eastAsia="宋体" w:cs="宋体"/>
          <w:sz w:val="24"/>
          <w:szCs w:val="24"/>
          <w:lang w:eastAsia="zh-CN"/>
        </w:rPr>
        <w:t>磋商文件</w:t>
      </w:r>
      <w:r>
        <w:rPr>
          <w:rFonts w:hint="eastAsia" w:ascii="宋体" w:hAnsi="宋体" w:eastAsia="宋体" w:cs="宋体"/>
          <w:sz w:val="24"/>
          <w:szCs w:val="24"/>
        </w:rPr>
        <w:t>中所要求的工期，承包人在施工组织设计中应当制定相应的工期保证措施，由此而增加的费用应当被认为已经包括在投标总价中。除合同另有约定外，合同履约过程中发包人不会因此再向承包人支付任何性质的技术措施费用、赶工费用或其他任何性质的提前完工奖励等费用。</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3.2.3 承包人在投标函附录中所承诺的工期应当包括实施并完成本节上述2.1.2项规定的暂估价项目和上述2.1.3项规定的实际可能发生的暂列金额在内的所有工作的工期。</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4.</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质量要求</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4.1 质量标准</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4.1.1 本工程要求的质量标准为</w:t>
      </w:r>
      <w:r>
        <w:rPr>
          <w:rFonts w:hint="eastAsia" w:ascii="宋体" w:hAnsi="宋体" w:eastAsia="宋体" w:cs="宋体"/>
          <w:sz w:val="24"/>
          <w:szCs w:val="24"/>
          <w:u w:val="none"/>
        </w:rPr>
        <w:t>符合现行国家有关工程施工验收规范和标准的要求合格</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before="24" w:after="24"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4.2 特殊质量要求</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4.2.1 有关本工程质量方面的特殊要求如下：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5.</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适用规范和标准</w:t>
      </w:r>
    </w:p>
    <w:p>
      <w:pPr>
        <w:keepNext w:val="0"/>
        <w:keepLines w:val="0"/>
        <w:pageBreakBefore w:val="0"/>
        <w:widowControl w:val="0"/>
        <w:kinsoku/>
        <w:wordWrap w:val="0"/>
        <w:overflowPunct/>
        <w:topLinePunct w:val="0"/>
        <w:autoSpaceDE/>
        <w:autoSpaceDN/>
        <w:bidi w:val="0"/>
        <w:adjustRightInd/>
        <w:snapToGrid w:val="0"/>
        <w:spacing w:before="24" w:after="24"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5.1 适用的规范、标准和规程</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5.1.1 除合同另有约定外，本工程适用现行国家、行业和地方规范、标准和规程。适用于本工程的国家、行业和地方的规范、标准和规范等的名录见本章第三节。</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构成合同文件的任何内容与适用的规范、标准和规程之间出现矛盾，承包人应书面要求监理人予以澄清，除监理人有特别指示外，承包人应按照其中要求最严格的标准执行。</w:t>
      </w:r>
    </w:p>
    <w:p>
      <w:pPr>
        <w:keepNext w:val="0"/>
        <w:keepLines w:val="0"/>
        <w:pageBreakBefore w:val="0"/>
        <w:widowControl w:val="0"/>
        <w:kinsoku/>
        <w:wordWrap w:val="0"/>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5.1.3 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则应按合同条款第15条的约定办理。</w:t>
      </w:r>
    </w:p>
    <w:p>
      <w:pPr>
        <w:keepNext w:val="0"/>
        <w:keepLines w:val="0"/>
        <w:pageBreakBefore w:val="0"/>
        <w:widowControl w:val="0"/>
        <w:kinsoku/>
        <w:wordWrap w:val="0"/>
        <w:overflowPunct/>
        <w:topLinePunct w:val="0"/>
        <w:autoSpaceDE/>
        <w:autoSpaceDN/>
        <w:bidi w:val="0"/>
        <w:adjustRightInd/>
        <w:snapToGrid w:val="0"/>
        <w:spacing w:before="24" w:after="24"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5.2 特殊技术标准和要求</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5.2.1 适用本工程的特殊技术标准和要求见本章第二节。</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5.2.2 有合同约束力的图纸和其他设计文件中的有关文字说明是本节的组成内容。</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安全文明施工</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6.1 安全防护</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6.1.1 在工程施工、竣工、交付及修补任何缺陷的过程中，承包人应当始终遵守国家和地方有关安全生产的法律、法规、规范、标准和规程等，按照通用合同条款第9.2款的约定履行其安全施工职责。</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6.1.2 承包人应坚持“安全第一，预防为主”的方针，建立、健全安全生产责任制度和安全生产教育培训制度。在整个工程施工期间，承包人应在施工场地(现场)设立、提供和维护并在有关工作完成或竣工后撤除：</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（1）设立在现场入口显著位置的现场施工总平面图、总平面管理、安全生产、文明施工、环境保护、质量控制、材料管理等的规章制度和主要参建单位名称和工程概况等说明的图板；</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（2）为确保工程安全施工须设立的足够的标志、宣传画、标语、指示牌、警告牌、火警、匪警和急救电话提示牌等等；</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（3）洞口和临边位置的安全防护设施，包括护身栏杆、脚手架、洞口盖板和加筋、竖井防护栏杆、防护棚、防护网、坡道等等；</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（4）安全带、安全绳、安全帽、安全网、绝缘鞋、绝缘手套、防护口罩和防护衣等安全生产用品；</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（5）所有机械设备包括各类电动工具的安全保护和接地装置和操作说明；</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（6）装备良好的临时急救站和配备称职的医护人员；</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（7）主要作业场所和临时安全疏散通道24小时36伏安全照明和必要的警示等以防止各种可能的事故；</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（8）足够数量的和合格的手提灭火器；</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（9）装备良好的易燃易爆物品仓库和相应的使用管理制度；</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（10）对涉及明火施工的工作制定诸如用火证等的管理制度；</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（11）其他：</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6.1.3 安全文明施工费用必须专款专用，承包人应对其由于安全文明施工费用和施工安全措施不到位而发生的安全事故承担全部责任。</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6.1.4 承包人应建立专门的施工场地(现场)安全生产管理机构，配备足够数量的和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6.1.5 承包人应遵照有关法规要求，编印安全防护手册发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6.1.6 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6.1.7 承包人应在施工场地(现场)入口处、施工起重机械、临时用电设施、脚手架、出入通道口、楼梯口、电梯井口、孔洞口、隧道口、基坑边沿、危险品存放处等危险部位设置一切必需的安全警示标志，包括但不限于标准道路标志、报警标志、危险标志、控制标志、安全标志、指示标志、警告标志等，并配备必要的照明、防护和看守。承包人应当按监理人的指示，经常补充或更换失效的警示和标志。</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6.1.8 承包人应对施工场地(现场)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6.1.9 承包人应对所有用于提升的挂钩、挂环、钢丝绳、铁扁担等进行定期检测、检查和标定；如果监理人认为，任何此类设施已经损坏或有使用不当之处，承包人应立即以合格的产品进行更换；所有垂直和水平运输机械的搭设、顶升、使用和拆除必须严格依照现行有关法规、规章、规范、标准和规程等的要求。</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6.1.11 在永久工程和施工边坡、建筑物基坑、地下洞室等的开挖过程中，应根据其施工安全的需要和(或)监理人指示，安装必要的施工安全监测仪器，及时进行必要的施工安全监测，并定期将安全监测成果提交监理人，以防止引起任何沉降、变形或其他影响正常施工进度的损害。</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6.1.12 承包人应对任何施工中的永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6.1.13 承包人应成立应急救援小组，配备必要的应急救援器材和设备，制定灾害和生产安全事故的应急救援预案，并将应急救援预案报送监理人。应急救援预案应能随时组织应救专职人员、并定期组织演练。</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6.1.14 施工过程中需要使用爆破或带炸药的工具等危险性施工方法时，承包人应提前通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6.1.15 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和审查。</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6.1.16 承包人应按照通用合同条款第9.5款的约定处理本工程施工过程中发生的事故。发生施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6.1.17 承包人还应根据有关法律、法规、规定和条例等的要求，制定一套安全生产应急措施和程序，保证一旦出现任何安全事故，能立即保护好现场，抢救伤员和财产，保证施工生产的正常进行，防止损失扩大。</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6.1.18 安全防护方面的其他要求如下：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6.2 临时消防</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6.2.1 承包人应建立消防安全责任制度，制定用火、用电和使用易燃易爆等危险品的消防安全管理制度和操作规程。各项制度和规程等应满足相关法律法规和政府消防管理机构的要求。</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6.2.2 承包人应根据相关法律法规和消防管理部门的要求，为施工中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6.2.3 承包人应当成立由项目主要负责人担任组长的临时消防组或消防队，宣传消防基本知识和基本操作培训，组织消防演练，保证一旦发生火灾，能够组织有效的自救，保护生命和财产安全。</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6.2.4 施工场地(现场)内的易燃、易爆物品应单独和安全地存放，设专人进行存放和领用管理。施工场地(现场)储有或正在使用易燃、易爆或可燃材料时或有明火施工的工序，应当实行严格的“用火证”管理制度。</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6.2.5 临时消防方面的其他要求如下：</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6.3 临时供电</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6.3.1 承包人应当根据《施工现场临时用电安全技术规范》(JGJ 46—2005)及其适用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6.3.2 承包人应为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6.3.3 临时供电系统的电缆、电线、配电箱、控制柜、开关箱、漏电保护器等材料设备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严地面明设，并应避免机械损伤和介质腐蚀。埋地电缆路径应设方位标志。各种配电设备均设有防止漏电和防雨防水设施。</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6.3.4 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6.3.5 凡可能漏电伤人或易受雷击的电器及建筑物均应设置接地和避雷装置。承包人应负责避雷装置的采购、安装、管理和维修，并建立定期检查制度。</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6.3.6 临时用电方面的其他要求如下：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6.4 劳动保护</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6.4.1 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6.4.2 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6.4.3 承包人应为其履行本合同所雇佣的职员和工人提供和维护任何必要的膳宿条件和生活环境，包括但不限于宿舍、围栏、供水(饮用及其他目的用水)、供电、卫生设备、食堂及炊具、防火及灭火设备、供热、家具及其他正常膳宿条件和生活环境所需的必需品，并应考虑宗教和民族习惯。</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6.4.4 承包人应为现场工人提供符合政府卫生规定的生活条件并获得必要的许可，保证工人的健康和防止任何传染病，包括工人的食堂、厕所、工具房、宿舍等；承包人应聘请专业的卫生防疫部门定期对现场、工人生活基地和工程进行防疫和卫生的专业检查和处理，包括消灭白蚁、鼠害、蚊蝇和其它害虫，以防对施工人员、现场和永久工程造成任何危害。</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6.4.5 承包人应在现场设立专门的临时医疗站，配备足够的设施、药物和称职的医务人员，承包人还应准备急救担架，用于一旦发生安全事故时对受伤人员的急救。</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6.4.6 劳动保护方面的其他要求如下：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6.5 脚手架</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6.5.1 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6.5.2 所有脚手架，尤其是大型、复杂、高耸和非常规脚手架，要编制专项施工方案，还应当经过安全验算，脚手架安全验算结果必须报送监理人核查后方可实施。</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6.5.3 搭设爬架、挂架、超高脚手架等特种或新型脚手架时，承包人应确保此类脚手架的安全性和保证此类脚手架已经过有关行政管理部门允许使用的批准，并承担与此有关的一切费用。</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6.5.4 承包人应当加强脚手架的日常安全巡查，及时对其中的安全隐患进行整改，确保脚手架使用安全。雨、雪、雾、霜和大风等天气后，承包人必须对脚手架进行安全巡查，并及时消除安全隐患。</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6.5.5 承包人应允许发包人、监理人、专业分包人、独立承包人(如果有)和有关行政管理部门或者机构免费使用承包人在现场搭设的任何已有脚手架，并就其安全使用做必要交底说明。承包人在拆除任何脚手架前，应书面请示监理人他将要拆除的脚手架是否为发包人、监理人、专业分包人、独立承包人(如果有)和政府有关机构所需，只有在获得监理人书面批准后，承包人才能拆除相关脚手架，否则承包人应自费重新搭设。</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6.5.6 脚手架的其他要求如下：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6.6 施工安全措施计划</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6.6.1 承包人应根据《中华人民共和国安全生产法》、《职业健康安全管理体系规范》、《中华人民共和国消防法》、《中华人民共和国道路交通安全法》、《中华人民共和国传染病防治法实施办法》和地方有关的法规等，按照合同条款第9.2.1项的约定，编制一份施工安全措施计划，报送监理人审批。</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6.6.2 施工安全措施计划是承包人阐明其安全管理方针、管理体系、安全制度和安全措施等的文件，其内容应当反映现行法律法规规定的和合同条款约定的以及本条上述约定的承包人安全职责，包括但不限于：</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(1)施工安全管理机构的设置；</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(2)专职安全管理人员的配备；</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(3)安全责任制度和管理措施；</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(4)安全教育和培训制度及管理措施；</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(5)各项安全生产规章制度和操作规程；</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(6)各项施工安全措施和防护措施；</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(7)危险品管理和使用制度；</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(8)安全设施、设备、器材和劳动保护用品的配置；</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(9)其他：</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施工安全措施的项目和范围，应符合国家颁发的《安全技术措施计划的项目总名称表》及其附录H、I、J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育。</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6.6.3 施工安全措施计划应当在专用合同条款第9.2.1项约定的期限内报送监理人。承包人应当严格执行经监理人批准的施工安全措施计划，并及时补充、修订和完善施工安全措施计划，确保安全生产。</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6.7 文明施工</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6.7.1 承包人应遵守国家和工程所在地有关法规、规范、规程和标准的规定，履行文明施工义务，确保文明施工专项费用专款专用。</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6.7.2 承包人应当规范现场施工秩序，实行标准化管理：</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(1)承包人的施工场地(现场)必须干净整治、做到无积水、无淤泥、无杂物，材料堆放整齐；</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(2)施工场地(现场)应进行硬化处理，定期定时洒水，做好防治扬尘和大气污染工作；</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(3)严格遵守“工完、料尽、场地净”的原则，不留垃圾、不留剩余施工材料和施工机具，各种设备运转正常；</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(4)承包人修建的施工临时设施应符合监理人批准的施工规划要求，并应满足本节规定的各项安全要求；</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(5)监理人可要求承包人在施工场地(现场)设置各级承包人的安全文明施工责任牌等文明施工警示牌；</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(6)材料进入现场应按指定位置堆放整齐，不得影响现场施工和堵塞施工、消防通道。材料堆放场地应有专职的管理人员；</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(7)施工和安装用的各种扣件、紧固件、绳索具、小型配件、镙钉等应在专设的仓库内装箱放置；</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(8)现场风、水管及照明电线的布置应安全、合理、规范、有序，做到整齐美观。不得随意架设和造成隐患或影响施工。</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6.7.3 承包人应为其雇佣的施工工人建立并维护相应的生活宿舍、食堂、浴室、厕所和文化活动室等，其标准应满足政府有关机构的生活标准和卫生标准等的要求。</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6.7.4 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6.7.5 在工程施工期间，承包人应始终避免现场出现不必要的障碍物，妥当存放并处置施工设备和多余的材料，及时从现场清除运走任何废料、垃圾或不再需要的临时工程和设施。</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6.7.6 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6.7.7 承包人应在现场设立固定的垃圾临时存放点并在各楼层或区域设立必要的垃圾箱；所有垃圾必须在当天清除出现场，并按有关行政管理部门的规定，运送到指定的垃圾消纳场。</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6.7.8 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6.7.9 承包人应当制订成品保护措施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28天报监理人审批。</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6.7.10 文明施工方面的其他要求如下：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6.8 环境保护</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6.8.1 在工程施工、完工及修补任何缺陷的过程中，承包人应当始终遵守国家和工程所在地有关环境保护、水土保护和污染防治的法律、法规、规章、规范、标准和规程等，按照通用合同条款第4.1.6项和第9.4款的约定履行其环境与生态保护职责。</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6.8.2 承包人应按合同约定和监理人指示，接受国家和地方环境保护行政主管部门的监督、监测和检查。承包人应对其违反现行法律、法规、规章、规范、标准和规程等以及本合同约定所造成的环境污染、水土流失、人员伤害和财产损失等承担赔偿责任。</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6.8.3 承包人制订施工方案和组织措施时应当同步考虑环境和资源保护，包括水土资源保护、噪声、振动和照明污染防治、固体废弃物处理、污水和废气处理、粉尘和扬尘控制、道路污染防治、卫生防疫、禁止有害材料、节能减排以及不可再生资源的循环使用等因素。</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6.8.4 承包人应当做好施工场地(现场)范围内各项工程的开挖支护、截水、降水、灌浆、衬砌、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有关规定。承包人还应设置完善的排水系统，保持施工场地(现场)始终处于良好的排水状态，防止降雨径流对施工场地(现场)的冲刷。</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6.8.5 承包人应当确保其所提供的材料、工程设备、施工设备和其他材料都是绿色环保产品，列入国家强制认证产品名录的，还应当是通过国家强制认证的产品。承包人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6.8.6 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等。</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6.8.7 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6.8.8 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 (现场)周边生产和生活的影响，并满足国家和地方政府有关规定的要求。</w:t>
      </w:r>
    </w:p>
    <w:p>
      <w:pPr>
        <w:keepNext w:val="0"/>
        <w:keepLines w:val="0"/>
        <w:pageBreakBefore w:val="0"/>
        <w:widowControl w:val="0"/>
        <w:kinsoku/>
        <w:wordWrap w:val="0"/>
        <w:overflowPunct/>
        <w:topLinePunct w:val="0"/>
        <w:autoSpaceDE/>
        <w:autoSpaceDN/>
        <w:bidi w:val="0"/>
        <w:adjustRightInd/>
        <w:snapToGrid w:val="0"/>
        <w:spacing w:line="440" w:lineRule="exact"/>
        <w:ind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6.8.9 环境保护方面的其他要求如下：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6.9 施工环保措施计划</w:t>
      </w:r>
    </w:p>
    <w:p>
      <w:pPr>
        <w:keepNext w:val="0"/>
        <w:keepLines w:val="0"/>
        <w:pageBreakBefore w:val="0"/>
        <w:widowControl w:val="0"/>
        <w:kinsoku/>
        <w:wordWrap w:val="0"/>
        <w:overflowPunct/>
        <w:topLinePunct w:val="0"/>
        <w:autoSpaceDE/>
        <w:autoSpaceDN/>
        <w:bidi w:val="0"/>
        <w:adjustRightInd/>
        <w:snapToGrid w:val="0"/>
        <w:spacing w:line="440" w:lineRule="exact"/>
        <w:ind w:right="42"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6.9.1 通用合同条款第9.4.2项约定的施工环保措施计划是承包人阐明环保方针和拟采用的环保措施及方法等的文件，其内容应包括但不限于：</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(1)承包人生活区(如果有)的生活用水和生活污水处理措施；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(2)施工生产废水处理措施；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(3)施工扬尘和废气的处理措施；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(4)施工噪声和光污染控制措施；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(5)节能减排措施；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(6)不可再生资源循环利用措施；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(7)固体废弃物处理措施；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(8)人群健康保护和卫生防疫措施；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(9)防止误用有害材料的保证措施；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(10)施工边坡工程的水土流失保护措施；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(11)道路污染防治措施；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(12)完工后场地清理及其植被(如果有)恢复的规划和措施；</w:t>
      </w:r>
    </w:p>
    <w:p>
      <w:pPr>
        <w:keepNext w:val="0"/>
        <w:keepLines w:val="0"/>
        <w:pageBreakBefore w:val="0"/>
        <w:widowControl w:val="0"/>
        <w:kinsoku/>
        <w:wordWrap w:val="0"/>
        <w:overflowPunct/>
        <w:topLinePunct w:val="0"/>
        <w:autoSpaceDE/>
        <w:autoSpaceDN/>
        <w:bidi w:val="0"/>
        <w:adjustRightInd/>
        <w:snapToGrid w:val="0"/>
        <w:spacing w:line="440" w:lineRule="exact"/>
        <w:ind w:left="567" w:righ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(13)其他：</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right="42"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6.9.2 施工环保措施计划应当在专用合同条款第9.4款约定的期限内报送监理人。承包人应当严格执行经监理人批准的施工环保措施计划，并及时补充、修订和完善施工环保措施计划。</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7.</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治安保卫</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7.1 </w:t>
      </w:r>
      <w:r>
        <w:rPr>
          <w:rFonts w:hint="eastAsia" w:ascii="宋体" w:hAnsi="宋体" w:eastAsia="宋体" w:cs="宋体"/>
          <w:spacing w:val="6"/>
          <w:sz w:val="24"/>
          <w:szCs w:val="24"/>
        </w:rPr>
        <w:t>承包人应为施工场地(现场)提供24小时的保安保卫服务，配备足够的保安人员和保安设备，防止未经批准的任何人进入现场，控制人员、材料和设备等的进出场，防止现场材料、设备或其他任何物品的失窃，禁止任何现场内的打架斗殴事件。</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7.2 承包人的保安人员应是训练有素的专业保安人员，承包人可以雇佣专业保安公司负责现场保安和保卫；保安保卫制度除规范现场出入大门控制外，还应规定定时和不定时的施工场地(现场)周边和全现场的保安巡逻。</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7.3 承包人应制定并实施严格的施工场地(现场)出入制度并报监理人审批；车辆的出入须有出入审批制度，并有指定的专人负责管理；人员进出现场应有出入证，出入证须以经过监理人批准的格式印制。</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7.4 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准的参观人员的人身安全。</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7.5 承包人应为施工场地(现场)提供和维护符合建设行政主管部门和市容管理部门规定的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7.6 承包人应当保证发包人支付的工程款项仅用于本合同目的，及时和足额地向所雇佣的人员支付劳动报酬，并制定严格的工人工资支付保障措施，确保所有分包人及时支付所雇佣工人的工资，有效防止影响社会安定的群体事件发生，并保障发包人免于因承包人(包括其分包人)拖欠工人工资而可能遭受的任何处罚、索赔、损失和损害等。</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7.7 施工场地(现场)治安管理计划的要求：</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7.8 突发治安事件紧急预案的要求：</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7.9 治安保卫方面的其他要求如下：</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8.</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地上、地下设施和周边建筑物的临时保护</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8.1 承包人应为施工场地及其周边现有的地上、地下设施和建筑物提供足够的临时保护设施，确保施工过程中这些设施和建筑物不会受到干扰和破坏。</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8.2 承包人应当制订现有设施临时保护方案和应急处理方案，并在本工程开工前至少提前7天报送监理人，监理人应在收到现有设施临时保护方案后的3天内批复承包人。承包人应当严格执行经监理人批准的保护方案，并保证在任何可能影响周边现有的地上、地下设施或周边建筑物的施工作业开始前，相应的临时保护设施能够落实到位。</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8.3 发包人特别提醒承包人注意以下地上、地下设施和周边建筑物的保护：</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8.4 地上、地下设施和周边建筑物的临时保护的其他要求如下</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9.</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样品和材料代换</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9.1 样品</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9.1.1 本工程需要承包人提供样品的材料和工程设备如下：</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9.1.2 对于本款第9.1.1项约定的材料和工程设备，承包人应按照专用合同条款第5.1.2项约定的期限，向监理人提交样品并附上任何必要的说明书、生产(制造)许可证书、出厂合格证明或者证书、出厂检测报告、性能介绍、使用说明等相关资料，同时注明材料和工程设备的供货人及品种、规格、数量和供货时间等，以供检验和审批。样品送达的地点和样品的数量或尺寸应符合监理人和发包人的要求。除合同另有约定外，承包人在报送任何样品时应按监理人同意的格式填写并递交样品报送单。监理人应及时签收样品。</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9.1.3 合同条款第15.8.2项约定的依法不需要招标的、以暂估价形式包括在工程量清单中的材料和工程设备，所附资料除本款第9.1.2项约定的内容外，还应附上价格资料，每一类材料设备，至少应准备符合合同要求的三个产品，价格分高、中、低三档，以便监理人和发包人选择和批准。</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9.1.4 监理人应在收到承包人报送的样品后7天内转呈发包人并附上监理人的书面审批意见。发包人在收到通过监理人转交的样品以及监理人的审批意见后7天内就此样品给出书面批复。监理人应在收到样品后21天内通知承包人他相关样品所做出的决定或指示(同时抄送一份给发包人)。承包人应根据监理人的书面批复和指示相应地进行下一步工作。如果监理人未能在承包人报送样品后21天内给出书面批复，承包人应就此通知监理人，要求尽快批复。如果发包人在收到此类通知后7天内仍未对样品进行批复，则视为监理人和发包人已经批准。</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9.1.5 得到批准后的样品由监理人负责存放。但承包人应为保存样品提供适当和固定的场所并保持适当和良好的环境条件。</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9.1.6 提供样品和提供存放样品场所的费用由承包人承担。</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9.2 材料代换</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9.2.1 如果任何后继法律、法规、规章、规范、标准和规程等等禁止使用合同中约定的材料和工程设备，承包人应当按本款约定的程序使用其他替代品来实施工程或修补缺陷。监理人对使用替代品的批准以及承包人据此使用替代品不应减免合同约定的承包人的任何责任和义务。</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9.2.2 如果使用替代品，承包人应至少在被替代品按批准的进度计划用于永久工程前56天以书面形式通知监理人并随此通知提交下列文件：</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(1)拟被替代的合同约定的材料和工程设备的名称、数量、规格、型号、品牌、性能、价格及其他任何详细资料；</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(2)拟采用的替代品的名称、数量、规格、型号、品牌、性能、价格及其他任何必要的详细资料；</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(3)替代品使用的工程部位；</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(4)采用替代品的理由和原因说明；</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(5)替代品与合同中约定的产品之间的差异以及使用替代品后可能对工程产生的任何影响；</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(6)价格上的差异；</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(7)监理人为做出适当的决定而随时要求承包人提供的任何其他文件。</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监理人在收到此类通知及上述文件后，应在28天内向承包人给出书面指示。如果28天内监理人未给出书面指示，应视为监理人和发包人已经批准使用上述替代品，承包人可以据此使用替代品。</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9.2.3 任何情况下，替代品都应遵守本合同中对相关材料和工程设备的要求。</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9.2.4 如果承包人根据本条约定使用了替代品，监理人应与承包人适当协商之后并在合理的期限内确定替代材料和工程设备与合同中约定的材料和工程设备之间的价值差值，并决定：</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(1)如果替代材料和工程设备的价值高于合同中约定的材料和工程设备的价值，则将高出部分的价值追加到合同价格中并相应地通知承包人；</w:t>
      </w:r>
    </w:p>
    <w:p>
      <w:pPr>
        <w:keepNext w:val="0"/>
        <w:keepLines w:val="0"/>
        <w:pageBreakBefore w:val="0"/>
        <w:widowControl w:val="0"/>
        <w:kinsoku/>
        <w:wordWrap w:val="0"/>
        <w:overflowPunct/>
        <w:topLinePunct w:val="0"/>
        <w:autoSpaceDE/>
        <w:autoSpaceDN/>
        <w:bidi w:val="0"/>
        <w:adjustRightInd/>
        <w:snapToGrid w:val="0"/>
        <w:spacing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(2)如果替代材料和工程设备的价值低于合同中约定的材料和工程设备的价值，则将节余部分的价值从合同价格中扣除并相应地通知承包人。</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10.</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进口材料和工程设备</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10.1 本工程需要进口的材料和工程设备如下：</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10.2 上述进口材料和工程设备采购、进口、报关、清关、商检、境内运输(包括保险)、保管的责任以及费用承担方式划分如下：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11.</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进度报告和进度例会</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11.1 进度报告</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11.1.1 施工过程中，承包人应向监理人指定的代表呈递一份每日的日进度报表、每周的周进度报表和每月的月进度报表。除非监理人同意，日进度报表应在次日上午九点前递交，周进度报表应在次周的周一上午九时前递交，月进度报表应随合同条款第17.3.2项约定的进度付款申请单一并递交。</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11.1.2 日和周进度报表的内容应至少包括每日在现场工作的技术管理人员数量、各工种技术工人和非技术工人数量、后勤人员数量、参观现场的人员数量，包括分包人人员数量；还应包括所使用的各种主要机械设备和车辆的型号、数量和台班，工作的区段，以及工程进度情况、天气情况记录、停工、质量和安全事故等特别事项说明；此外，应附上每日进场材料、物品或设备的分类汇总表、用于次日或次周的工程进度计划等。</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11.1.3 月进度报表应当反映月完成工程量和累计完成工程量(包括永久工程和临时工程)、材料实际进货、消耗和库存量、现场施工设备的投运数量和运行状况、工程设备的到货情况、劳动力数量(本月及预计未来三个月劳动力的数量)、当前影响施工进度计划的因素和采取的改进措施、进度计划调整及其说明、质量事故和质量缺陷处理纪录、质量状况评价、安全施工措施计划实施情况、安全事故以及人员伤亡和财产损失情况(如果有)、环境保护措施实施和文明施工措施实施情况。</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11.1.4 月进度报告还应附有一组充分显示工程形象进度的定点摄影照片。照片应当在经监理人批准的不同位置定期拍摄，每张照片都应标上相应的拍摄日期和简要文字说明，且应用经发包人和监理人批准的标准或格式装裱后呈交。</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11.1.5 各个进度报表的格式和内容应经过监理人的审批。进度报表应如实填写，由承包人授权代表签名，并报监理人的指定代表签名确认后再行分发。</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11.1.6 如果监理人认为必要，进度报告和进度照片应同时以存储在磁盘或光盘中的数据文件的形式递交给发包人和监理人。数据文件采用的应用软件及其版本应经过监理人的审批。</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11.1.7 有关进度报告的其他要求：</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11.2 进度例会</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11.2.1 监理人将主持召开有发包人、承包人、独立承包人和主要分包人等与本工程建设有关各方出席的每周一次的进度例会。必要时，监理人可随时召集所有上述各方或其中部分单位参加的会议。承包人应保证能代表其当场作出决定的高级管理人员出席会议。</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11.2.2 进度例会的内容将涉及合同管理、进度协调和工程管理的各个方面，由监理人准备的会议议题将随会议通知在会议召开前至少24小时发给各参会方。</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11.2.3 监理人应当做好会议记录，并在会议结束时由与会各方签字确认。监理人应根据会议记录整理出会议纪要，并在相应会议后24小时内分发给出席会议的各方。会议纪要应当如实反映会议记录的内容，包括任何决定、存在的问题、责任方、有关工作的时间目标等等。各方在收到会议纪要后24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11.2.4 有关进度例会的其他要求：</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12.</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试验和检验</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12.1 承包人应当按照工程施工验收规范和标准的规定和通用合同条款第14条的约定，对用于永久工程的主要材料、半成品、成品、建筑构配件、工程设备等进行试验和检验。</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12.2 本工程需要承包人进行试验和检验的材料、工程设备和工艺如下：</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监理人可以根据工程需要，指示承包人进行其他现场材料和工艺的试验和检验。</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12.3 </w:t>
      </w:r>
      <w:r>
        <w:rPr>
          <w:rFonts w:hint="eastAsia" w:ascii="宋体" w:hAnsi="宋体" w:eastAsia="宋体" w:cs="宋体"/>
          <w:spacing w:val="4"/>
          <w:sz w:val="24"/>
          <w:szCs w:val="24"/>
        </w:rPr>
        <w:t>本工程需要由监理人和承包人共同进行试验和检验的材料、工程设备和工艺如下：</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12.4 本条上述约定需要进行检验的材料、工程设备和工艺在经过检验并获得监理人批准以前，不得用于任何永久工程。</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12.5 承包人应为任何材料、工程设备和工艺的检查、检测和检验提供劳务、电力、燃料、备用品、设备和仪器以及必要的协助。监理人及其任何授权人员应能够在任何时候进入现场及正在为工程制造、装配、准备材料和(或)工程设备的车间和场所进行任何必要的检查。无论这些车间和场所是否属于承包人，承包人都应提供一切便利，并协助其取得相应的权力和(或)许可。</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12.6 如果检查、检测、检验或试验的结果表明，材料、工程设备和工艺有缺陷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12.7 承包人应在监理人的监督下，对涉及结构安全的试块、试件以及有关材料进行现场取样，并送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质量检测单位进行检测。</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12.8 除合同另有约定外，承包人应负担本合同项下的所有材料、工程设备和工艺检验的费用。</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13.</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计日工</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13.1 通用合同条款第15.7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为必要时，由监理人按通用合同条款第15.7.1项约定通知承包人实施。</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13.2 在工程实际开工后14天内，承包人应当按通用合同条款第15.7.2项约定的计日工报表内容，准备一份计日工日报表的格式，报送监理人审批，监理人应当在收到之日后7天内给予批复或提出修改意见。</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13.3 按计日工实施相关变更的过程中，承包人应当按经监理人批准的计日工日报表格式，每天提交计日工报表和有关凭证，报送监理人审批，监理人应当在收到相关报表和凭证后24小时内给予批复。</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13.4 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13.5 已标价工程量清单计日工材料表中未列出的材料，实际发生于计日工时，其价格按照经监理人事先审批的材料运到现场的价格和有关材料采购的发票票面价格(运到现场价)中的较低者结算，另计一个在计日工材料表中填写的包括承包人企业管理费、利润在内的一个固定百分比，规费和税金另计。</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13.6 施工机械按台班计量(8小时)，单次4小时以内按0.5个台班，单次4小时至8小时按1个台班，操作人员加班时间按照国家劳动法律法规的规定办理。计日工如果需要使用场外施工机械，台班费用和进出场费用按市场平均价格，由承包人事后报监理人审批。</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13.7 关于计日工的其他约定：</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14.</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计量与支付</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14.1 付款申请单</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14.1.1 在工程实际开工后14天内，承包人应当按照合同条款第17条的约定，准备一份已完工程量报表、进度付款申请单和计量文件的格式等报送监理人，监理人应当在收到承包人报送的格式后7天内给予批复或者提出修改意见。</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14.1.2 根据合同条款第17.1款和第17.3款，  承包人应当在合同约定的每个付款周期末，对当期完成的各项工程量进行计量和计价，并按照第17.3.2项的约定，对当期应增加和扣减的各类款项进行梳理和汇总，按经监理人批准的格式和专用合同条款约定的份数和内容准备并向监理人递交进度付款申请单，并将进度付款申请单连同已完工程量报表、有关计量资料以及能够证明其进度付款申请单中所索要款项符合合同约定的各个支持性文件同时报送监理人审批。</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14.1.3 竣工付款申诅单的内容按专用合同条款第17.5.1(1)目的约定。采用单价合同形式的，竣工付款申请单应当附上按通用合同条款第17.1.4(5)目确定的结算工程量和最近一欠进度付款和竣工付款之间完成的各子目的工程量计量文件。采用总价合同形式的，签约合同价所基于的工程量就是相应的竣工结算工程量，但是，变更应按合同约定进行计量和计价。</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14.1.4 竣工结算总价(合同价格)应当按以下内容梳理：</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(1)签约合同价；</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(2)应当扣减的项目；</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1)所有暂列金额；</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2)所有暂估价；</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3)根据合同条款第15条应扣减的变更金额；</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4)根据合同条款第16条应扣减的价格调整(下调部分)；</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5)根据合同条款第23.4款应扣减的发包人索赔金额；</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6)甩项工程的合同价值(如果有)；</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7)根据合同约定发包人应扣减的其他金额。</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(3)应当增加的项目；</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1)实际发生的暂列金额(包括计日工)；</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2)实际发生的暂估价；</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3)根据合同条款第15条应增加的变更金额；</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4)根据合同条款第16条应增加的价格调整(上调部分)；</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5)根据合同条款第23.2款应增加的承包人索赔金额；</w:t>
      </w:r>
    </w:p>
    <w:p>
      <w:pPr>
        <w:keepNext w:val="0"/>
        <w:keepLines w:val="0"/>
        <w:pageBreakBefore w:val="0"/>
        <w:widowControl w:val="0"/>
        <w:kinsoku/>
        <w:wordWrap w:val="0"/>
        <w:overflowPunct/>
        <w:topLinePunct w:val="0"/>
        <w:autoSpaceDE/>
        <w:autoSpaceDN/>
        <w:bidi w:val="0"/>
        <w:adjustRightInd/>
        <w:snapToGrid w:val="0"/>
        <w:spacing w:line="440" w:lineRule="exact"/>
        <w:ind w:left="126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6)根据合同约定承包人应当得到的其他金额。</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(4)规费和税金差额部分。</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14.1.5 最终结清申请单的应付金额应当按下列内容梳理：</w:t>
      </w:r>
    </w:p>
    <w:p>
      <w:pPr>
        <w:keepNext w:val="0"/>
        <w:keepLines w:val="0"/>
        <w:pageBreakBefore w:val="0"/>
        <w:widowControl w:val="0"/>
        <w:kinsoku/>
        <w:wordWrap w:val="0"/>
        <w:overflowPunct/>
        <w:topLinePunct w:val="0"/>
        <w:autoSpaceDE/>
        <w:autoSpaceDN/>
        <w:bidi w:val="0"/>
        <w:adjustRightInd/>
        <w:snapToGrid w:val="0"/>
        <w:spacing w:line="440" w:lineRule="exact"/>
        <w:ind w:left="84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(1)按合同约定扣留的质量保证金；</w:t>
      </w:r>
    </w:p>
    <w:p>
      <w:pPr>
        <w:keepNext w:val="0"/>
        <w:keepLines w:val="0"/>
        <w:pageBreakBefore w:val="0"/>
        <w:widowControl w:val="0"/>
        <w:kinsoku/>
        <w:wordWrap w:val="0"/>
        <w:overflowPunct/>
        <w:topLinePunct w:val="0"/>
        <w:autoSpaceDE/>
        <w:autoSpaceDN/>
        <w:bidi w:val="0"/>
        <w:adjustRightInd/>
        <w:snapToGrid w:val="0"/>
        <w:spacing w:line="440" w:lineRule="exact"/>
        <w:ind w:left="84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(2)应当扣除的金额：</w:t>
      </w:r>
    </w:p>
    <w:p>
      <w:pPr>
        <w:keepNext w:val="0"/>
        <w:keepLines w:val="0"/>
        <w:pageBreakBefore w:val="0"/>
        <w:widowControl w:val="0"/>
        <w:kinsoku/>
        <w:wordWrap w:val="0"/>
        <w:overflowPunct/>
        <w:topLinePunct w:val="0"/>
        <w:autoSpaceDE/>
        <w:autoSpaceDN/>
        <w:bidi w:val="0"/>
        <w:adjustRightInd/>
        <w:snapToGrid w:val="0"/>
        <w:spacing w:line="440" w:lineRule="exact"/>
        <w:ind w:left="115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1)按通用合同条款17.4.3项约定扣留的质量保证金；</w:t>
      </w:r>
    </w:p>
    <w:p>
      <w:pPr>
        <w:keepNext w:val="0"/>
        <w:keepLines w:val="0"/>
        <w:pageBreakBefore w:val="0"/>
        <w:widowControl w:val="0"/>
        <w:kinsoku/>
        <w:wordWrap w:val="0"/>
        <w:overflowPunct/>
        <w:topLinePunct w:val="0"/>
        <w:autoSpaceDE/>
        <w:autoSpaceDN/>
        <w:bidi w:val="0"/>
        <w:adjustRightInd/>
        <w:snapToGrid w:val="0"/>
        <w:spacing w:line="440" w:lineRule="exact"/>
        <w:ind w:left="115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2)按通用合同条款19.2.4项约定扣除的质量保证金；</w:t>
      </w:r>
    </w:p>
    <w:p>
      <w:pPr>
        <w:keepNext w:val="0"/>
        <w:keepLines w:val="0"/>
        <w:pageBreakBefore w:val="0"/>
        <w:widowControl w:val="0"/>
        <w:kinsoku/>
        <w:wordWrap w:val="0"/>
        <w:overflowPunct/>
        <w:topLinePunct w:val="0"/>
        <w:autoSpaceDE/>
        <w:autoSpaceDN/>
        <w:bidi w:val="0"/>
        <w:adjustRightInd/>
        <w:snapToGrid w:val="0"/>
        <w:spacing w:line="440" w:lineRule="exact"/>
        <w:ind w:left="115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3)根据合同条款第23.4款应扣减的缺陷责任期内发生的发包人索赔金额；</w:t>
      </w:r>
    </w:p>
    <w:p>
      <w:pPr>
        <w:keepNext w:val="0"/>
        <w:keepLines w:val="0"/>
        <w:pageBreakBefore w:val="0"/>
        <w:widowControl w:val="0"/>
        <w:kinsoku/>
        <w:wordWrap w:val="0"/>
        <w:overflowPunct/>
        <w:topLinePunct w:val="0"/>
        <w:autoSpaceDE/>
        <w:autoSpaceDN/>
        <w:bidi w:val="0"/>
        <w:adjustRightInd/>
        <w:snapToGrid w:val="0"/>
        <w:spacing w:line="440" w:lineRule="exact"/>
        <w:ind w:left="115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4)根据合同约定应扣减的其他金额。</w:t>
      </w:r>
    </w:p>
    <w:p>
      <w:pPr>
        <w:keepNext w:val="0"/>
        <w:keepLines w:val="0"/>
        <w:pageBreakBefore w:val="0"/>
        <w:widowControl w:val="0"/>
        <w:kinsoku/>
        <w:wordWrap w:val="0"/>
        <w:overflowPunct/>
        <w:topLinePunct w:val="0"/>
        <w:autoSpaceDE/>
        <w:autoSpaceDN/>
        <w:bidi w:val="0"/>
        <w:adjustRightInd/>
        <w:snapToGrid w:val="0"/>
        <w:spacing w:line="440" w:lineRule="exact"/>
        <w:ind w:left="84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(3)应当增加的金额：</w:t>
      </w:r>
    </w:p>
    <w:p>
      <w:pPr>
        <w:keepNext w:val="0"/>
        <w:keepLines w:val="0"/>
        <w:pageBreakBefore w:val="0"/>
        <w:widowControl w:val="0"/>
        <w:kinsoku/>
        <w:wordWrap w:val="0"/>
        <w:overflowPunct/>
        <w:topLinePunct w:val="0"/>
        <w:autoSpaceDE/>
        <w:autoSpaceDN/>
        <w:bidi w:val="0"/>
        <w:adjustRightInd/>
        <w:snapToGrid w:val="0"/>
        <w:spacing w:line="440" w:lineRule="exact"/>
        <w:ind w:left="115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1)已完且符合合同约定的甩项工程的价值；</w:t>
      </w:r>
    </w:p>
    <w:p>
      <w:pPr>
        <w:keepNext w:val="0"/>
        <w:keepLines w:val="0"/>
        <w:pageBreakBefore w:val="0"/>
        <w:widowControl w:val="0"/>
        <w:kinsoku/>
        <w:wordWrap w:val="0"/>
        <w:overflowPunct/>
        <w:topLinePunct w:val="0"/>
        <w:autoSpaceDE/>
        <w:autoSpaceDN/>
        <w:bidi w:val="0"/>
        <w:adjustRightInd/>
        <w:snapToGrid w:val="0"/>
        <w:spacing w:line="440" w:lineRule="exact"/>
        <w:ind w:left="115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2)按通用合同条款19.2.3项约定由承包人修复的发包人原因造成的缺陷的价值；</w:t>
      </w:r>
    </w:p>
    <w:p>
      <w:pPr>
        <w:keepNext w:val="0"/>
        <w:keepLines w:val="0"/>
        <w:pageBreakBefore w:val="0"/>
        <w:widowControl w:val="0"/>
        <w:kinsoku/>
        <w:wordWrap w:val="0"/>
        <w:overflowPunct/>
        <w:topLinePunct w:val="0"/>
        <w:autoSpaceDE/>
        <w:autoSpaceDN/>
        <w:bidi w:val="0"/>
        <w:adjustRightInd/>
        <w:snapToGrid w:val="0"/>
        <w:spacing w:line="440" w:lineRule="exact"/>
        <w:ind w:left="115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3)根据合同条款第23.2款应增加的缺陷责任期内发生的承包人索赔金额；</w:t>
      </w:r>
    </w:p>
    <w:p>
      <w:pPr>
        <w:keepNext w:val="0"/>
        <w:keepLines w:val="0"/>
        <w:pageBreakBefore w:val="0"/>
        <w:widowControl w:val="0"/>
        <w:kinsoku/>
        <w:wordWrap w:val="0"/>
        <w:overflowPunct/>
        <w:topLinePunct w:val="0"/>
        <w:autoSpaceDE/>
        <w:autoSpaceDN/>
        <w:bidi w:val="0"/>
        <w:adjustRightInd/>
        <w:snapToGrid w:val="0"/>
        <w:spacing w:line="440" w:lineRule="exact"/>
        <w:ind w:left="115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4)根据合同约定承包人应当得到的其他金额。</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最终结清应当由发包人和承包人按照“多退少补”的原则办理。</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14.1.6 竣工付款申请单和最终结清申请单应当比照进度付款申请单的格式准备，并提供相关证明材料。</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14.2 其他约定</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其他约定内容：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15.</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竣工验收和工程移交</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15.1 竣工验收前的清理</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15.1.1 在向监理人提交竣工验收申请报告前，承包人应当完成竣工验收前的清理工作，包括但不限于：</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(1)从永久工程内清除所有剩余材料、杂物、垃圾等等；</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(2)清洗工程的所有地面、墙面、楼面、路面等表面；</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(3)清洗和擦洗所有玻璃、磁砖、石材和所有金属面；</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(4)修缮所有损坏、清除所有污迹、替换所有需更换的材料；</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(5)所有表面完成约定的装修和装饰；</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(6)检查和调试所有的门、窗、抽屉等以确保他们开启的顺畅；</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(7)检查和调试所有的五金件并上油；</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(8)检查、测试和确保所有服务系统、设施和设备达到良好的运行状态和效果；</w:t>
      </w:r>
    </w:p>
    <w:p>
      <w:pPr>
        <w:keepNext w:val="0"/>
        <w:keepLines w:val="0"/>
        <w:pageBreakBefore w:val="0"/>
        <w:widowControl w:val="0"/>
        <w:kinsoku/>
        <w:wordWrap w:val="0"/>
        <w:overflowPunct/>
        <w:topLinePunct w:val="0"/>
        <w:autoSpaceDE/>
        <w:autoSpaceDN/>
        <w:bidi w:val="0"/>
        <w:adjustRightInd/>
        <w:snapToGrid w:val="0"/>
        <w:spacing w:line="440" w:lineRule="exact"/>
        <w:ind w:left="945"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(9)所有钥匙(如果有)贴上标签并固定到钥匙排上随时可以交给监理人。</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15.1.2 清理工作所需费用由承包人承担。</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15.2 竣工验收申请报告</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15.2.1 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请报告的附件，是竣工验收申请报告的组成部分。</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15.2.2 竣工验收申请报告一般应当包括工程概况说明，承包范围，分包工程情况，主要材料、设备供应情况，采用的主要施工方法，新材料、新技术和新工艺采用情况，自检质量情况等的说明。竣工验收申请报告的格式和应当包括的内容应事先经过监理人的审批。</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15.2.3 竣工验收申请报告应当按通用合同条款第18.2款附上下列内容：</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520" w:firstLineChars="200"/>
        <w:jc w:val="left"/>
        <w:textAlignment w:val="auto"/>
        <w:rPr>
          <w:rFonts w:hint="eastAsia" w:ascii="宋体" w:hAnsi="宋体" w:eastAsia="宋体" w:cs="宋体"/>
          <w:spacing w:val="10"/>
          <w:sz w:val="24"/>
          <w:szCs w:val="24"/>
        </w:rPr>
      </w:pPr>
      <w:r>
        <w:rPr>
          <w:rFonts w:hint="eastAsia" w:ascii="宋体" w:hAnsi="宋体" w:eastAsia="宋体" w:cs="宋体"/>
          <w:spacing w:val="10"/>
          <w:sz w:val="24"/>
          <w:szCs w:val="24"/>
        </w:rPr>
        <w:t>(1)承包人的自行检查和评定记录文件，即除监理人同意列入缺陷责任期内完成的尾工(甩项)工程和缺陷修补工作外，合同范围内的全部单位工程以及有关工作，包括合同要求的试验、试运行以及检验和验收均已完成，并符合合同要求；</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（2）按专用合同条款第18.2(2)目约定的内容和份数整理的符合要求的竣工资料；</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（3）按监理人的要求编制了在缺陷责任期内完成的尾工(甩项)工程和缺陷修补工作清单以及相应施工计划；</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（4）监理人要求在竣工验收前应完成的其他工作的证明材料；</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（5）监理人要求提交的竣工验收资料清单；</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（6）通用合同条款第18.4.1项约定的单位工程竣工验收成果和结论文件(如果有)；</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（7）专用合同条款第19.7款约定的质量保修书(此前已经提交的不再提交)；</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（8）其他：</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15.3 竣工清场</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15.3.1 监理人颁发(出具)工程接收证书后，承包人应在56天内按以下要求对施工场地(现场)进行清理：</w:t>
      </w:r>
    </w:p>
    <w:p>
      <w:pPr>
        <w:keepNext w:val="0"/>
        <w:keepLines w:val="0"/>
        <w:pageBreakBefore w:val="0"/>
        <w:widowControl w:val="0"/>
        <w:kinsoku/>
        <w:wordWrap w:val="0"/>
        <w:overflowPunct/>
        <w:topLinePunct w:val="0"/>
        <w:autoSpaceDE/>
        <w:autoSpaceDN/>
        <w:bidi w:val="0"/>
        <w:adjustRightInd/>
        <w:snapToGrid w:val="0"/>
        <w:spacing w:line="440" w:lineRule="exact"/>
        <w:ind w:left="210" w:leftChars="1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(1)从施工场地(现场)清除所有杂物和垃圾等等；</w:t>
      </w:r>
    </w:p>
    <w:p>
      <w:pPr>
        <w:keepNext w:val="0"/>
        <w:keepLines w:val="0"/>
        <w:pageBreakBefore w:val="0"/>
        <w:widowControl w:val="0"/>
        <w:kinsoku/>
        <w:wordWrap w:val="0"/>
        <w:overflowPunct/>
        <w:topLinePunct w:val="0"/>
        <w:autoSpaceDE/>
        <w:autoSpaceDN/>
        <w:bidi w:val="0"/>
        <w:adjustRightInd/>
        <w:snapToGrid w:val="0"/>
        <w:spacing w:line="440" w:lineRule="exact"/>
        <w:ind w:left="210" w:leftChars="1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(2)从施工场地现场拆除所有的临时工程和临时设施并恢复地面原状，但经监理人批准的护坡桩、锚杆、塔吊基础和无法拆除的埋入式模板等无法拆除的临时设施除外；</w:t>
      </w:r>
    </w:p>
    <w:p>
      <w:pPr>
        <w:keepNext w:val="0"/>
        <w:keepLines w:val="0"/>
        <w:pageBreakBefore w:val="0"/>
        <w:widowControl w:val="0"/>
        <w:kinsoku/>
        <w:wordWrap w:val="0"/>
        <w:overflowPunct/>
        <w:topLinePunct w:val="0"/>
        <w:autoSpaceDE/>
        <w:autoSpaceDN/>
        <w:bidi w:val="0"/>
        <w:adjustRightInd/>
        <w:snapToGrid w:val="0"/>
        <w:spacing w:line="440" w:lineRule="exact"/>
        <w:ind w:left="210" w:leftChars="1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(3)撤离所有承包人施工设备和剩余材料(经监理人同意需在缺陷责任期内继续使用的除外)；</w:t>
      </w:r>
    </w:p>
    <w:p>
      <w:pPr>
        <w:keepNext w:val="0"/>
        <w:keepLines w:val="0"/>
        <w:pageBreakBefore w:val="0"/>
        <w:widowControl w:val="0"/>
        <w:kinsoku/>
        <w:wordWrap w:val="0"/>
        <w:overflowPunct/>
        <w:topLinePunct w:val="0"/>
        <w:autoSpaceDE/>
        <w:autoSpaceDN/>
        <w:bidi w:val="0"/>
        <w:adjustRightInd/>
        <w:snapToGrid w:val="0"/>
        <w:spacing w:line="440" w:lineRule="exact"/>
        <w:ind w:left="210" w:leftChars="10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(4)监理人指示的其他清场工作。</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16.</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其他要求</w:t>
      </w:r>
    </w:p>
    <w:p>
      <w:pPr>
        <w:keepNext w:val="0"/>
        <w:keepLines w:val="0"/>
        <w:pageBreakBefore w:val="0"/>
        <w:widowControl w:val="0"/>
        <w:kinsoku/>
        <w:wordWrap w:val="0"/>
        <w:overflowPunct/>
        <w:topLinePunct w:val="0"/>
        <w:autoSpaceDE/>
        <w:autoSpaceDN/>
        <w:bidi w:val="0"/>
        <w:adjustRightInd/>
        <w:snapToGrid w:val="0"/>
        <w:spacing w:line="42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outlineLvl w:val="1"/>
        <w:rPr>
          <w:rFonts w:hint="eastAsia" w:ascii="宋体" w:hAnsi="宋体" w:eastAsia="宋体" w:cs="宋体"/>
          <w:b/>
          <w:bCs/>
          <w:sz w:val="32"/>
          <w:szCs w:val="32"/>
        </w:rPr>
      </w:pPr>
      <w:r>
        <w:rPr>
          <w:rFonts w:hint="eastAsia" w:ascii="宋体" w:hAnsi="宋体" w:eastAsia="宋体" w:cs="宋体"/>
          <w:sz w:val="24"/>
          <w:szCs w:val="24"/>
        </w:rPr>
        <w:br w:type="page"/>
      </w:r>
      <w:bookmarkStart w:id="294" w:name="_Toc27403"/>
      <w:bookmarkStart w:id="295" w:name="_Toc5284"/>
      <w:bookmarkStart w:id="296" w:name="_Toc6186"/>
      <w:bookmarkStart w:id="297" w:name="_Toc3364"/>
      <w:bookmarkStart w:id="298" w:name="_Toc12043"/>
      <w:bookmarkStart w:id="299" w:name="_Toc14730"/>
      <w:bookmarkStart w:id="300" w:name="_Toc20554"/>
      <w:r>
        <w:rPr>
          <w:rFonts w:hint="eastAsia" w:ascii="宋体" w:hAnsi="宋体" w:eastAsia="宋体" w:cs="宋体"/>
          <w:b/>
          <w:bCs/>
          <w:sz w:val="32"/>
          <w:szCs w:val="32"/>
        </w:rPr>
        <w:t>第二节 特殊技术标准和要求</w:t>
      </w:r>
      <w:bookmarkEnd w:id="294"/>
      <w:bookmarkEnd w:id="295"/>
      <w:bookmarkEnd w:id="296"/>
      <w:bookmarkEnd w:id="297"/>
      <w:bookmarkEnd w:id="298"/>
      <w:bookmarkEnd w:id="299"/>
      <w:bookmarkEnd w:id="300"/>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材料和工程设备技术要求</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1.1 承包人自行施工范围内的部分材料和工程设备技术要求如下：</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上述材料和工程设备技术要求中如果出现了参考品牌或规格型号，其目的是为了方便承包人直观和准确地把握相应材料和工程设备的技术标准，不具指定或唯一的意思表示，承包人应当参考所列品牌的材料和工程设备，采购相当于或高于所列品牌技术标准的材料和工程设备。</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1.2 承包人自行施工范围内的材料和工程设备选型允许的偏离如下：</w:t>
      </w:r>
    </w:p>
    <w:tbl>
      <w:tblPr>
        <w:tblStyle w:val="43"/>
        <w:tblW w:w="0" w:type="auto"/>
        <w:jc w:val="center"/>
        <w:tblLayout w:type="fixed"/>
        <w:tblCellMar>
          <w:top w:w="0" w:type="dxa"/>
          <w:left w:w="0" w:type="dxa"/>
          <w:bottom w:w="0" w:type="dxa"/>
          <w:right w:w="0" w:type="dxa"/>
        </w:tblCellMar>
      </w:tblPr>
      <w:tblGrid>
        <w:gridCol w:w="1562"/>
        <w:gridCol w:w="2421"/>
        <w:gridCol w:w="1992"/>
        <w:gridCol w:w="1992"/>
        <w:gridCol w:w="1992"/>
      </w:tblGrid>
      <w:tr>
        <w:tblPrEx>
          <w:tblCellMar>
            <w:top w:w="0" w:type="dxa"/>
            <w:left w:w="0" w:type="dxa"/>
            <w:bottom w:w="0" w:type="dxa"/>
            <w:right w:w="0" w:type="dxa"/>
          </w:tblCellMar>
        </w:tblPrEx>
        <w:trPr>
          <w:trHeight w:val="721" w:hRule="atLeast"/>
          <w:jc w:val="center"/>
        </w:trPr>
        <w:tc>
          <w:tcPr>
            <w:tcW w:w="15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材料和工程设备名称</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技术指标</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允许偏离范围</w:t>
            </w: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备    注</w:t>
            </w:r>
          </w:p>
        </w:tc>
      </w:tr>
      <w:tr>
        <w:tblPrEx>
          <w:tblCellMar>
            <w:top w:w="0" w:type="dxa"/>
            <w:left w:w="0" w:type="dxa"/>
            <w:bottom w:w="0" w:type="dxa"/>
            <w:right w:w="0" w:type="dxa"/>
          </w:tblCellMar>
        </w:tblPrEx>
        <w:trPr>
          <w:trHeight w:val="445" w:hRule="atLeast"/>
          <w:jc w:val="center"/>
        </w:trPr>
        <w:tc>
          <w:tcPr>
            <w:tcW w:w="15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445" w:hRule="atLeast"/>
          <w:jc w:val="center"/>
        </w:trPr>
        <w:tc>
          <w:tcPr>
            <w:tcW w:w="15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445" w:hRule="atLeast"/>
          <w:jc w:val="center"/>
        </w:trPr>
        <w:tc>
          <w:tcPr>
            <w:tcW w:w="15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w:t>
            </w: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r>
      <w:tr>
        <w:tblPrEx>
          <w:tblCellMar>
            <w:top w:w="0" w:type="dxa"/>
            <w:left w:w="0" w:type="dxa"/>
            <w:bottom w:w="0" w:type="dxa"/>
            <w:right w:w="0" w:type="dxa"/>
          </w:tblCellMar>
        </w:tblPrEx>
        <w:trPr>
          <w:trHeight w:val="455" w:hRule="atLeast"/>
          <w:jc w:val="center"/>
        </w:trPr>
        <w:tc>
          <w:tcPr>
            <w:tcW w:w="156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242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c>
          <w:tcPr>
            <w:tcW w:w="199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firstLine="480" w:firstLineChars="200"/>
              <w:jc w:val="left"/>
              <w:textAlignment w:val="auto"/>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1.3 本工程施工现场所用混凝土或砂浆的供应方式为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特殊技术要求</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rPr>
        <w:t>2.1 除合同约定的技术要求外，本工程的特殊技术要求如下：</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3．新技术、新工艺和新材料</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sz w:val="24"/>
          <w:szCs w:val="24"/>
        </w:rPr>
      </w:pPr>
      <w:r>
        <w:rPr>
          <w:rFonts w:hint="eastAsia" w:ascii="宋体" w:hAnsi="宋体" w:eastAsia="宋体" w:cs="宋体"/>
          <w:sz w:val="24"/>
          <w:szCs w:val="24"/>
        </w:rPr>
        <w:t>3.1 本工程涉及的新技术、新工艺和新材料及相应使用和操作说明如下：</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4．其他特殊技术标准和要求</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outlineLvl w:val="1"/>
        <w:rPr>
          <w:rFonts w:hint="eastAsia" w:ascii="宋体" w:hAnsi="宋体" w:eastAsia="宋体" w:cs="宋体"/>
          <w:b/>
          <w:bCs/>
          <w:sz w:val="32"/>
          <w:szCs w:val="32"/>
        </w:rPr>
      </w:pPr>
      <w:r>
        <w:rPr>
          <w:rFonts w:hint="eastAsia" w:ascii="宋体" w:hAnsi="宋体" w:eastAsia="宋体" w:cs="宋体"/>
          <w:sz w:val="24"/>
          <w:szCs w:val="24"/>
        </w:rPr>
        <w:br w:type="page"/>
      </w:r>
      <w:bookmarkStart w:id="301" w:name="_Toc5825"/>
      <w:bookmarkStart w:id="302" w:name="_Toc6324"/>
      <w:bookmarkStart w:id="303" w:name="_Toc25752"/>
      <w:bookmarkStart w:id="304" w:name="_Toc31232"/>
      <w:bookmarkStart w:id="305" w:name="_Toc4818"/>
      <w:bookmarkStart w:id="306" w:name="_Toc26855"/>
      <w:bookmarkStart w:id="307" w:name="_Toc12518"/>
      <w:r>
        <w:rPr>
          <w:rFonts w:hint="eastAsia" w:ascii="宋体" w:hAnsi="宋体" w:eastAsia="宋体" w:cs="宋体"/>
          <w:b/>
          <w:bCs/>
          <w:sz w:val="32"/>
          <w:szCs w:val="32"/>
        </w:rPr>
        <w:t>第三节 适用的国家、行业以及地方规范、标准和规程</w:t>
      </w:r>
      <w:bookmarkEnd w:id="301"/>
      <w:bookmarkEnd w:id="302"/>
      <w:bookmarkEnd w:id="303"/>
      <w:bookmarkEnd w:id="304"/>
      <w:bookmarkEnd w:id="305"/>
      <w:bookmarkEnd w:id="306"/>
      <w:bookmarkEnd w:id="307"/>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rPr>
        <w:t>说明：</w:t>
      </w:r>
      <w:r>
        <w:rPr>
          <w:rFonts w:hint="eastAsia" w:ascii="宋体" w:hAnsi="宋体" w:eastAsia="宋体" w:cs="宋体"/>
          <w:sz w:val="24"/>
          <w:szCs w:val="24"/>
        </w:rPr>
        <w:t>本节内容只需列出规范、标准、规程等的名称、编号等内容。本节由</w:t>
      </w:r>
      <w:r>
        <w:rPr>
          <w:rFonts w:hint="eastAsia" w:ascii="宋体" w:hAnsi="宋体" w:eastAsia="宋体" w:cs="宋体"/>
          <w:sz w:val="24"/>
          <w:szCs w:val="24"/>
          <w:lang w:eastAsia="zh-CN"/>
        </w:rPr>
        <w:t>采购人</w:t>
      </w:r>
      <w:r>
        <w:rPr>
          <w:rFonts w:hint="eastAsia" w:ascii="宋体" w:hAnsi="宋体" w:eastAsia="宋体" w:cs="宋体"/>
          <w:sz w:val="24"/>
          <w:szCs w:val="24"/>
        </w:rPr>
        <w:t>根据国家、行业和地方现行标准、规范和规程等，以及项目具体情况摘录。</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附件A：施工现场现状平面图</w:t>
      </w: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jc w:val="left"/>
        <w:textAlignment w:val="auto"/>
        <w:rPr>
          <w:rFonts w:hint="eastAsia" w:ascii="宋体" w:hAnsi="宋体" w:eastAsia="宋体" w:cs="宋体"/>
          <w:sz w:val="24"/>
          <w:szCs w:val="24"/>
        </w:rPr>
      </w:pPr>
      <w:r>
        <w:rPr>
          <w:rFonts w:hint="eastAsia" w:ascii="宋体" w:hAnsi="宋体" w:eastAsia="宋体" w:cs="宋体"/>
          <w:b/>
          <w:bCs/>
          <w:sz w:val="24"/>
          <w:szCs w:val="24"/>
        </w:rPr>
        <w:t>说明：</w:t>
      </w:r>
      <w:r>
        <w:rPr>
          <w:rFonts w:hint="eastAsia" w:ascii="宋体" w:hAnsi="宋体" w:eastAsia="宋体" w:cs="宋体"/>
          <w:sz w:val="24"/>
          <w:szCs w:val="24"/>
        </w:rPr>
        <w:t>该图由</w:t>
      </w:r>
      <w:r>
        <w:rPr>
          <w:rFonts w:hint="eastAsia" w:ascii="宋体" w:hAnsi="宋体" w:eastAsia="宋体" w:cs="宋体"/>
          <w:sz w:val="24"/>
          <w:szCs w:val="24"/>
          <w:lang w:eastAsia="zh-CN"/>
        </w:rPr>
        <w:t>采购人</w:t>
      </w:r>
      <w:r>
        <w:rPr>
          <w:rFonts w:hint="eastAsia" w:ascii="宋体" w:hAnsi="宋体" w:eastAsia="宋体" w:cs="宋体"/>
          <w:sz w:val="24"/>
          <w:szCs w:val="24"/>
        </w:rPr>
        <w:t>准备，并作为</w:t>
      </w:r>
      <w:r>
        <w:rPr>
          <w:rFonts w:hint="eastAsia" w:ascii="宋体" w:hAnsi="宋体" w:eastAsia="宋体" w:cs="宋体"/>
          <w:sz w:val="24"/>
          <w:szCs w:val="24"/>
          <w:lang w:eastAsia="zh-CN"/>
        </w:rPr>
        <w:t>磋商文件</w:t>
      </w:r>
      <w:r>
        <w:rPr>
          <w:rFonts w:hint="eastAsia" w:ascii="宋体" w:hAnsi="宋体" w:eastAsia="宋体" w:cs="宋体"/>
          <w:sz w:val="24"/>
          <w:szCs w:val="24"/>
        </w:rPr>
        <w:t>本章的组成内容提供给</w:t>
      </w:r>
      <w:r>
        <w:rPr>
          <w:rFonts w:hint="eastAsia" w:ascii="宋体" w:hAnsi="宋体" w:eastAsia="宋体" w:cs="宋体"/>
          <w:sz w:val="24"/>
          <w:szCs w:val="24"/>
          <w:lang w:eastAsia="zh-CN"/>
        </w:rPr>
        <w:t>供应商</w:t>
      </w:r>
      <w:r>
        <w:rPr>
          <w:rFonts w:hint="eastAsia" w:ascii="宋体" w:hAnsi="宋体" w:eastAsia="宋体" w:cs="宋体"/>
          <w:sz w:val="24"/>
          <w:szCs w:val="24"/>
        </w:rPr>
        <w:t>。图中应当标示本章第一节第1.2.1项规定的内容，并做必要的文字说明。</w:t>
      </w:r>
    </w:p>
    <w:p>
      <w:pPr>
        <w:pStyle w:val="3"/>
        <w:keepNext w:val="0"/>
        <w:keepLines w:val="0"/>
        <w:pageBreakBefore w:val="0"/>
        <w:widowControl w:val="0"/>
        <w:kinsoku/>
        <w:wordWrap w:val="0"/>
        <w:overflowPunct/>
        <w:topLinePunct w:val="0"/>
        <w:autoSpaceDE/>
        <w:autoSpaceDN/>
        <w:bidi w:val="0"/>
        <w:adjustRightInd/>
        <w:snapToGrid/>
        <w:spacing w:after="0" w:line="360" w:lineRule="auto"/>
        <w:ind w:left="0" w:leftChars="0" w:right="0" w:rightChars="0" w:firstLine="0" w:firstLineChars="0"/>
        <w:jc w:val="center"/>
        <w:textAlignment w:val="auto"/>
        <w:rPr>
          <w:rFonts w:hint="eastAsia" w:ascii="宋体" w:hAnsi="宋体" w:eastAsia="宋体" w:cs="宋体"/>
        </w:rPr>
      </w:pPr>
      <w:r>
        <w:rPr>
          <w:rFonts w:hint="eastAsia" w:ascii="宋体" w:hAnsi="宋体" w:eastAsia="宋体" w:cs="宋体"/>
          <w:sz w:val="24"/>
          <w:szCs w:val="24"/>
        </w:rPr>
        <w:br w:type="page"/>
      </w:r>
      <w:bookmarkStart w:id="308" w:name="_Toc29938"/>
      <w:r>
        <w:rPr>
          <w:rFonts w:hint="eastAsia" w:ascii="宋体" w:hAnsi="宋体" w:eastAsia="宋体" w:cs="宋体"/>
        </w:rPr>
        <w:t>第</w:t>
      </w:r>
      <w:r>
        <w:rPr>
          <w:rFonts w:hint="eastAsia" w:ascii="宋体" w:hAnsi="宋体" w:eastAsia="宋体" w:cs="宋体"/>
          <w:lang w:eastAsia="zh-CN"/>
        </w:rPr>
        <w:t>八</w:t>
      </w:r>
      <w:r>
        <w:rPr>
          <w:rFonts w:hint="eastAsia" w:ascii="宋体" w:hAnsi="宋体" w:eastAsia="宋体" w:cs="宋体"/>
        </w:rPr>
        <w:t xml:space="preserve">章 </w:t>
      </w:r>
      <w:r>
        <w:rPr>
          <w:rFonts w:hint="eastAsia" w:ascii="宋体" w:hAnsi="宋体" w:eastAsia="宋体" w:cs="宋体"/>
          <w:lang w:eastAsia="zh-CN"/>
        </w:rPr>
        <w:t>响应文件</w:t>
      </w:r>
      <w:r>
        <w:rPr>
          <w:rFonts w:hint="eastAsia" w:ascii="宋体" w:hAnsi="宋体" w:eastAsia="宋体" w:cs="宋体"/>
        </w:rPr>
        <w:t>格式</w:t>
      </w:r>
      <w:bookmarkEnd w:id="269"/>
      <w:bookmarkEnd w:id="270"/>
      <w:bookmarkEnd w:id="271"/>
      <w:bookmarkEnd w:id="272"/>
      <w:bookmarkEnd w:id="308"/>
    </w:p>
    <w:bookmarkEnd w:id="200"/>
    <w:bookmarkEnd w:id="201"/>
    <w:bookmarkEnd w:id="202"/>
    <w:bookmarkEnd w:id="203"/>
    <w:bookmarkEnd w:id="204"/>
    <w:bookmarkEnd w:id="205"/>
    <w:bookmarkEnd w:id="206"/>
    <w:bookmarkEnd w:id="207"/>
    <w:bookmarkEnd w:id="208"/>
    <w:p>
      <w:pPr>
        <w:keepNext w:val="0"/>
        <w:keepLines w:val="0"/>
        <w:pageBreakBefore w:val="0"/>
        <w:widowControl w:val="0"/>
        <w:kinsoku/>
        <w:wordWrap w:val="0"/>
        <w:overflowPunct/>
        <w:topLinePunct w:val="0"/>
        <w:autoSpaceDE/>
        <w:autoSpaceDN/>
        <w:bidi w:val="0"/>
        <w:rPr>
          <w:rFonts w:hint="eastAsia" w:ascii="宋体" w:hAnsi="宋体" w:eastAsia="宋体" w:cs="宋体"/>
          <w:b/>
          <w:sz w:val="44"/>
          <w:szCs w:val="44"/>
        </w:rPr>
      </w:pPr>
      <w:bookmarkStart w:id="309" w:name="_Toc14832"/>
      <w:bookmarkStart w:id="310" w:name="_Toc29384855"/>
    </w:p>
    <w:p>
      <w:pPr>
        <w:keepNext w:val="0"/>
        <w:keepLines w:val="0"/>
        <w:pageBreakBefore w:val="0"/>
        <w:widowControl w:val="0"/>
        <w:kinsoku/>
        <w:wordWrap w:val="0"/>
        <w:overflowPunct/>
        <w:topLinePunct w:val="0"/>
        <w:autoSpaceDE/>
        <w:autoSpaceDN/>
        <w:bidi w:val="0"/>
        <w:rPr>
          <w:rFonts w:hint="eastAsia" w:ascii="宋体" w:hAnsi="宋体" w:eastAsia="宋体" w:cs="宋体"/>
          <w:b/>
          <w:sz w:val="44"/>
          <w:szCs w:val="44"/>
        </w:rPr>
      </w:pPr>
      <w:r>
        <w:rPr>
          <w:rFonts w:hint="eastAsia" w:ascii="宋体" w:hAnsi="宋体" w:eastAsia="宋体" w:cs="宋体"/>
          <w:b/>
          <w:sz w:val="44"/>
          <w:szCs w:val="44"/>
        </w:rPr>
        <w:t>正/副本</w:t>
      </w:r>
    </w:p>
    <w:p>
      <w:pPr>
        <w:keepNext w:val="0"/>
        <w:keepLines w:val="0"/>
        <w:pageBreakBefore w:val="0"/>
        <w:widowControl w:val="0"/>
        <w:kinsoku/>
        <w:wordWrap w:val="0"/>
        <w:overflowPunct/>
        <w:topLinePunct w:val="0"/>
        <w:autoSpaceDE/>
        <w:autoSpaceDN/>
        <w:bidi w:val="0"/>
        <w:rPr>
          <w:rFonts w:hint="eastAsia" w:ascii="宋体" w:hAnsi="宋体" w:eastAsia="宋体" w:cs="宋体"/>
          <w:b/>
          <w:sz w:val="44"/>
          <w:szCs w:val="44"/>
        </w:rPr>
      </w:pPr>
    </w:p>
    <w:p>
      <w:pPr>
        <w:pStyle w:val="2"/>
        <w:keepNext w:val="0"/>
        <w:keepLines w:val="0"/>
        <w:pageBreakBefore w:val="0"/>
        <w:widowControl w:val="0"/>
        <w:kinsoku/>
        <w:wordWrap w:val="0"/>
        <w:overflowPunct/>
        <w:topLinePunct w:val="0"/>
        <w:autoSpaceDE/>
        <w:autoSpaceDN/>
        <w:bidi w:val="0"/>
        <w:rPr>
          <w:rFonts w:hint="eastAsia" w:ascii="宋体" w:hAnsi="宋体" w:eastAsia="宋体" w:cs="宋体"/>
          <w:b/>
          <w:sz w:val="44"/>
          <w:szCs w:val="44"/>
        </w:rPr>
      </w:pPr>
    </w:p>
    <w:p>
      <w:pPr>
        <w:keepNext w:val="0"/>
        <w:keepLines w:val="0"/>
        <w:pageBreakBefore w:val="0"/>
        <w:widowControl w:val="0"/>
        <w:kinsoku/>
        <w:wordWrap w:val="0"/>
        <w:overflowPunct/>
        <w:topLinePunct w:val="0"/>
        <w:autoSpaceDE/>
        <w:autoSpaceDN/>
        <w:bidi w:val="0"/>
        <w:jc w:val="center"/>
        <w:rPr>
          <w:rFonts w:hint="eastAsia" w:ascii="宋体" w:hAnsi="宋体" w:eastAsia="宋体" w:cs="宋体"/>
          <w:b/>
          <w:sz w:val="32"/>
          <w:szCs w:val="32"/>
          <w:lang w:val="en-US" w:eastAsia="zh-CN"/>
        </w:rPr>
      </w:pPr>
      <w:r>
        <w:rPr>
          <w:rFonts w:hint="eastAsia" w:ascii="宋体" w:hAnsi="宋体" w:eastAsia="宋体" w:cs="宋体"/>
          <w:sz w:val="28"/>
          <w:u w:val="single"/>
        </w:rPr>
        <w:t xml:space="preserve">        </w:t>
      </w:r>
      <w:r>
        <w:rPr>
          <w:rFonts w:hint="eastAsia" w:ascii="宋体" w:hAnsi="宋体" w:eastAsia="宋体" w:cs="宋体"/>
          <w:sz w:val="28"/>
          <w:u w:val="single"/>
          <w:lang w:val="en-US" w:eastAsia="zh-CN"/>
        </w:rPr>
        <w:t xml:space="preserve">            </w:t>
      </w:r>
      <w:r>
        <w:rPr>
          <w:rFonts w:hint="eastAsia" w:ascii="宋体" w:hAnsi="宋体" w:eastAsia="宋体" w:cs="宋体"/>
          <w:sz w:val="28"/>
          <w:u w:val="single"/>
        </w:rPr>
        <w:t xml:space="preserve"> </w:t>
      </w:r>
      <w:r>
        <w:rPr>
          <w:rFonts w:hint="eastAsia" w:ascii="宋体" w:hAnsi="宋体" w:eastAsia="宋体" w:cs="宋体"/>
          <w:b/>
          <w:sz w:val="32"/>
          <w:szCs w:val="32"/>
        </w:rPr>
        <w:t>（项目名称）</w:t>
      </w:r>
      <w:r>
        <w:rPr>
          <w:rFonts w:hint="eastAsia" w:ascii="宋体" w:hAnsi="宋体" w:eastAsia="宋体" w:cs="宋体"/>
          <w:b/>
          <w:sz w:val="32"/>
          <w:szCs w:val="32"/>
          <w:u w:val="single"/>
          <w:lang w:val="en-US" w:eastAsia="zh-CN"/>
        </w:rPr>
        <w:t xml:space="preserve">       </w:t>
      </w:r>
      <w:r>
        <w:rPr>
          <w:rFonts w:hint="eastAsia" w:ascii="宋体" w:hAnsi="宋体" w:eastAsia="宋体" w:cs="宋体"/>
          <w:b/>
          <w:sz w:val="32"/>
          <w:szCs w:val="32"/>
          <w:u w:val="none"/>
          <w:lang w:val="en-US" w:eastAsia="zh-CN"/>
        </w:rPr>
        <w:t>标段施工招标</w:t>
      </w:r>
    </w:p>
    <w:p>
      <w:pPr>
        <w:keepNext w:val="0"/>
        <w:keepLines w:val="0"/>
        <w:pageBreakBefore w:val="0"/>
        <w:widowControl w:val="0"/>
        <w:kinsoku/>
        <w:wordWrap w:val="0"/>
        <w:overflowPunct/>
        <w:topLinePunct w:val="0"/>
        <w:autoSpaceDE/>
        <w:autoSpaceDN/>
        <w:bidi w:val="0"/>
        <w:jc w:val="center"/>
        <w:rPr>
          <w:rFonts w:hint="eastAsia" w:ascii="宋体" w:hAnsi="宋体" w:eastAsia="宋体" w:cs="宋体"/>
          <w:b/>
          <w:sz w:val="32"/>
          <w:szCs w:val="32"/>
        </w:rPr>
      </w:pPr>
    </w:p>
    <w:p>
      <w:pPr>
        <w:keepNext w:val="0"/>
        <w:keepLines w:val="0"/>
        <w:pageBreakBefore w:val="0"/>
        <w:widowControl w:val="0"/>
        <w:kinsoku/>
        <w:wordWrap w:val="0"/>
        <w:overflowPunct/>
        <w:topLinePunct w:val="0"/>
        <w:autoSpaceDE/>
        <w:autoSpaceDN/>
        <w:bidi w:val="0"/>
        <w:rPr>
          <w:rFonts w:hint="eastAsia" w:ascii="宋体" w:hAnsi="宋体" w:eastAsia="宋体" w:cs="宋体"/>
          <w:b/>
          <w:sz w:val="28"/>
          <w:szCs w:val="28"/>
          <w:u w:val="single"/>
        </w:rPr>
      </w:pPr>
    </w:p>
    <w:p>
      <w:pPr>
        <w:pStyle w:val="22"/>
        <w:keepNext w:val="0"/>
        <w:keepLines w:val="0"/>
        <w:pageBreakBefore w:val="0"/>
        <w:widowControl w:val="0"/>
        <w:kinsoku/>
        <w:wordWrap w:val="0"/>
        <w:overflowPunct/>
        <w:topLinePunct w:val="0"/>
        <w:autoSpaceDE/>
        <w:autoSpaceDN/>
        <w:bidi w:val="0"/>
        <w:spacing w:line="264" w:lineRule="auto"/>
        <w:rPr>
          <w:rFonts w:hint="eastAsia" w:ascii="宋体" w:hAnsi="宋体" w:eastAsia="宋体" w:cs="宋体"/>
          <w:b/>
          <w:sz w:val="28"/>
          <w:szCs w:val="28"/>
          <w:u w:val="single"/>
        </w:rPr>
      </w:pPr>
    </w:p>
    <w:p>
      <w:pPr>
        <w:pStyle w:val="22"/>
        <w:keepNext w:val="0"/>
        <w:keepLines w:val="0"/>
        <w:pageBreakBefore w:val="0"/>
        <w:widowControl w:val="0"/>
        <w:kinsoku/>
        <w:wordWrap w:val="0"/>
        <w:overflowPunct/>
        <w:topLinePunct w:val="0"/>
        <w:autoSpaceDE/>
        <w:autoSpaceDN/>
        <w:bidi w:val="0"/>
        <w:spacing w:line="264" w:lineRule="auto"/>
        <w:ind w:firstLine="3514" w:firstLineChars="1250"/>
        <w:rPr>
          <w:rFonts w:hint="eastAsia" w:ascii="宋体" w:hAnsi="宋体" w:eastAsia="宋体" w:cs="宋体"/>
          <w:b/>
          <w:sz w:val="28"/>
          <w:szCs w:val="28"/>
          <w:u w:val="single"/>
        </w:rPr>
      </w:pPr>
    </w:p>
    <w:p>
      <w:pPr>
        <w:pStyle w:val="22"/>
        <w:keepNext w:val="0"/>
        <w:keepLines w:val="0"/>
        <w:pageBreakBefore w:val="0"/>
        <w:widowControl w:val="0"/>
        <w:kinsoku/>
        <w:wordWrap w:val="0"/>
        <w:overflowPunct/>
        <w:topLinePunct w:val="0"/>
        <w:autoSpaceDE/>
        <w:autoSpaceDN/>
        <w:bidi w:val="0"/>
        <w:spacing w:line="264" w:lineRule="auto"/>
        <w:ind w:firstLine="3514" w:firstLineChars="1250"/>
        <w:rPr>
          <w:rFonts w:hint="eastAsia" w:ascii="宋体" w:hAnsi="宋体" w:eastAsia="宋体" w:cs="宋体"/>
          <w:b/>
          <w:sz w:val="28"/>
          <w:szCs w:val="28"/>
          <w:u w:val="single"/>
        </w:rPr>
      </w:pPr>
    </w:p>
    <w:p>
      <w:pPr>
        <w:keepNext w:val="0"/>
        <w:keepLines w:val="0"/>
        <w:pageBreakBefore w:val="0"/>
        <w:widowControl w:val="0"/>
        <w:kinsoku/>
        <w:wordWrap w:val="0"/>
        <w:overflowPunct/>
        <w:topLinePunct w:val="0"/>
        <w:autoSpaceDE/>
        <w:autoSpaceDN/>
        <w:bidi w:val="0"/>
        <w:jc w:val="center"/>
        <w:rPr>
          <w:rFonts w:hint="eastAsia" w:ascii="宋体" w:hAnsi="宋体" w:eastAsia="宋体" w:cs="宋体"/>
          <w:b/>
          <w:sz w:val="84"/>
          <w:szCs w:val="84"/>
        </w:rPr>
      </w:pPr>
      <w:r>
        <w:rPr>
          <w:rFonts w:hint="eastAsia" w:ascii="宋体" w:hAnsi="宋体" w:cs="宋体"/>
          <w:b/>
          <w:sz w:val="84"/>
          <w:szCs w:val="84"/>
          <w:lang w:val="en-US" w:eastAsia="zh-CN"/>
        </w:rPr>
        <w:t>响 应</w:t>
      </w:r>
      <w:r>
        <w:rPr>
          <w:rFonts w:hint="eastAsia" w:ascii="宋体" w:hAnsi="宋体" w:eastAsia="宋体" w:cs="宋体"/>
          <w:b/>
          <w:sz w:val="84"/>
          <w:szCs w:val="84"/>
        </w:rPr>
        <w:t xml:space="preserve"> 文 件</w:t>
      </w:r>
    </w:p>
    <w:p>
      <w:pPr>
        <w:pStyle w:val="22"/>
        <w:keepNext w:val="0"/>
        <w:keepLines w:val="0"/>
        <w:pageBreakBefore w:val="0"/>
        <w:widowControl w:val="0"/>
        <w:kinsoku/>
        <w:wordWrap w:val="0"/>
        <w:overflowPunct/>
        <w:topLinePunct w:val="0"/>
        <w:autoSpaceDE/>
        <w:autoSpaceDN/>
        <w:bidi w:val="0"/>
        <w:spacing w:before="240" w:after="240"/>
        <w:ind w:firstLine="2731" w:firstLineChars="850"/>
        <w:rPr>
          <w:rFonts w:hint="eastAsia" w:ascii="宋体" w:hAnsi="宋体" w:eastAsia="宋体" w:cs="宋体"/>
          <w:b/>
          <w:sz w:val="32"/>
          <w:szCs w:val="32"/>
        </w:rPr>
      </w:pPr>
    </w:p>
    <w:p>
      <w:pPr>
        <w:pStyle w:val="22"/>
        <w:keepNext w:val="0"/>
        <w:keepLines w:val="0"/>
        <w:pageBreakBefore w:val="0"/>
        <w:widowControl w:val="0"/>
        <w:kinsoku/>
        <w:wordWrap w:val="0"/>
        <w:overflowPunct/>
        <w:topLinePunct w:val="0"/>
        <w:autoSpaceDE/>
        <w:autoSpaceDN/>
        <w:bidi w:val="0"/>
        <w:spacing w:before="240" w:after="240"/>
        <w:ind w:firstLine="2731" w:firstLineChars="850"/>
        <w:rPr>
          <w:rFonts w:hint="eastAsia" w:ascii="宋体" w:hAnsi="宋体" w:eastAsia="宋体" w:cs="宋体"/>
          <w:b/>
          <w:sz w:val="32"/>
          <w:szCs w:val="32"/>
        </w:rPr>
      </w:pPr>
      <w:r>
        <w:rPr>
          <w:rFonts w:hint="eastAsia" w:ascii="宋体" w:hAnsi="宋体" w:eastAsia="宋体" w:cs="宋体"/>
          <w:b/>
          <w:sz w:val="32"/>
          <w:szCs w:val="32"/>
        </w:rPr>
        <w:t>项目编号：</w:t>
      </w:r>
    </w:p>
    <w:p>
      <w:pPr>
        <w:pStyle w:val="22"/>
        <w:keepNext w:val="0"/>
        <w:keepLines w:val="0"/>
        <w:pageBreakBefore w:val="0"/>
        <w:widowControl w:val="0"/>
        <w:kinsoku/>
        <w:wordWrap w:val="0"/>
        <w:overflowPunct/>
        <w:topLinePunct w:val="0"/>
        <w:autoSpaceDE/>
        <w:autoSpaceDN/>
        <w:bidi w:val="0"/>
        <w:spacing w:before="240" w:after="240"/>
        <w:jc w:val="both"/>
        <w:rPr>
          <w:rFonts w:hint="eastAsia" w:ascii="宋体" w:hAnsi="宋体" w:eastAsia="宋体" w:cs="宋体"/>
          <w:sz w:val="28"/>
          <w:szCs w:val="28"/>
        </w:rPr>
      </w:pPr>
    </w:p>
    <w:p>
      <w:pPr>
        <w:keepNext w:val="0"/>
        <w:keepLines w:val="0"/>
        <w:pageBreakBefore w:val="0"/>
        <w:widowControl w:val="0"/>
        <w:kinsoku/>
        <w:wordWrap w:val="0"/>
        <w:overflowPunct/>
        <w:topLinePunct w:val="0"/>
        <w:autoSpaceDE/>
        <w:autoSpaceDN/>
        <w:bidi w:val="0"/>
        <w:rPr>
          <w:rFonts w:hint="eastAsia" w:ascii="宋体" w:hAnsi="宋体" w:eastAsia="宋体" w:cs="宋体"/>
          <w:sz w:val="28"/>
          <w:szCs w:val="28"/>
        </w:rPr>
      </w:pPr>
    </w:p>
    <w:p>
      <w:pPr>
        <w:keepNext w:val="0"/>
        <w:keepLines w:val="0"/>
        <w:pageBreakBefore w:val="0"/>
        <w:widowControl w:val="0"/>
        <w:kinsoku/>
        <w:wordWrap w:val="0"/>
        <w:overflowPunct/>
        <w:topLinePunct w:val="0"/>
        <w:autoSpaceDE/>
        <w:autoSpaceDN/>
        <w:bidi w:val="0"/>
        <w:spacing w:line="360" w:lineRule="auto"/>
        <w:jc w:val="both"/>
        <w:rPr>
          <w:rFonts w:hint="eastAsia" w:ascii="宋体" w:hAnsi="宋体" w:eastAsia="宋体" w:cs="宋体"/>
          <w:sz w:val="28"/>
          <w:szCs w:val="28"/>
        </w:rPr>
      </w:pPr>
    </w:p>
    <w:p>
      <w:pPr>
        <w:keepNext w:val="0"/>
        <w:keepLines w:val="0"/>
        <w:pageBreakBefore w:val="0"/>
        <w:widowControl w:val="0"/>
        <w:kinsoku/>
        <w:wordWrap w:val="0"/>
        <w:overflowPunct/>
        <w:topLinePunct w:val="0"/>
        <w:autoSpaceDE/>
        <w:autoSpaceDN/>
        <w:bidi w:val="0"/>
        <w:spacing w:line="360" w:lineRule="auto"/>
        <w:jc w:val="both"/>
        <w:rPr>
          <w:rFonts w:hint="eastAsia" w:ascii="宋体" w:hAnsi="宋体" w:eastAsia="宋体" w:cs="宋体"/>
          <w:sz w:val="32"/>
          <w:szCs w:val="32"/>
        </w:rPr>
      </w:pPr>
    </w:p>
    <w:p>
      <w:pPr>
        <w:keepNext w:val="0"/>
        <w:keepLines w:val="0"/>
        <w:pageBreakBefore w:val="0"/>
        <w:widowControl w:val="0"/>
        <w:kinsoku/>
        <w:wordWrap w:val="0"/>
        <w:overflowPunct/>
        <w:topLinePunct w:val="0"/>
        <w:autoSpaceDE/>
        <w:autoSpaceDN/>
        <w:bidi w:val="0"/>
        <w:spacing w:line="480" w:lineRule="auto"/>
        <w:ind w:firstLine="400"/>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eastAsia="zh-CN"/>
        </w:rPr>
        <w:t>供应商</w:t>
      </w:r>
      <w:r>
        <w:rPr>
          <w:rFonts w:hint="eastAsia" w:ascii="宋体" w:hAnsi="宋体" w:eastAsia="宋体" w:cs="宋体"/>
          <w:b/>
          <w:bCs/>
          <w:color w:val="000000"/>
          <w:sz w:val="32"/>
          <w:szCs w:val="32"/>
        </w:rPr>
        <w:t>：</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rPr>
        <w:t>（盖单位章）</w:t>
      </w:r>
    </w:p>
    <w:p>
      <w:pPr>
        <w:keepNext w:val="0"/>
        <w:keepLines w:val="0"/>
        <w:pageBreakBefore w:val="0"/>
        <w:widowControl w:val="0"/>
        <w:kinsoku/>
        <w:wordWrap w:val="0"/>
        <w:overflowPunct/>
        <w:topLinePunct w:val="0"/>
        <w:autoSpaceDE/>
        <w:autoSpaceDN/>
        <w:bidi w:val="0"/>
        <w:spacing w:line="480" w:lineRule="auto"/>
        <w:ind w:firstLine="400"/>
        <w:jc w:val="lef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法定代表人或其委托代理人：</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rPr>
        <w:t>（签字）</w:t>
      </w:r>
    </w:p>
    <w:p>
      <w:pPr>
        <w:keepNext w:val="0"/>
        <w:keepLines w:val="0"/>
        <w:pageBreakBefore w:val="0"/>
        <w:widowControl w:val="0"/>
        <w:tabs>
          <w:tab w:val="left" w:pos="1040"/>
        </w:tabs>
        <w:kinsoku/>
        <w:wordWrap w:val="0"/>
        <w:overflowPunct/>
        <w:topLinePunct w:val="0"/>
        <w:autoSpaceDE/>
        <w:autoSpaceDN/>
        <w:bidi w:val="0"/>
        <w:spacing w:line="480" w:lineRule="auto"/>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rPr>
        <w:t>年</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rPr>
        <w:t>月</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rPr>
        <w:t>日</w:t>
      </w:r>
      <w:bookmarkStart w:id="311" w:name="_Toc3928"/>
      <w:bookmarkStart w:id="312" w:name="_Toc29384851"/>
    </w:p>
    <w:p>
      <w:pPr>
        <w:keepNext w:val="0"/>
        <w:keepLines w:val="0"/>
        <w:pageBreakBefore w:val="0"/>
        <w:widowControl w:val="0"/>
        <w:kinsoku/>
        <w:wordWrap w:val="0"/>
        <w:overflowPunct/>
        <w:topLinePunct w:val="0"/>
        <w:autoSpaceDE/>
        <w:autoSpaceDN/>
        <w:bidi w:val="0"/>
        <w:ind w:left="0" w:leftChars="0" w:right="0" w:rightChars="0" w:firstLine="0" w:firstLineChars="0"/>
        <w:jc w:val="center"/>
        <w:outlineLvl w:val="1"/>
        <w:rPr>
          <w:rFonts w:hint="eastAsia" w:ascii="宋体" w:hAnsi="宋体" w:eastAsia="宋体" w:cs="宋体"/>
          <w:sz w:val="32"/>
          <w:szCs w:val="32"/>
        </w:rPr>
      </w:pPr>
      <w:r>
        <w:rPr>
          <w:rFonts w:hint="eastAsia" w:ascii="宋体" w:hAnsi="宋体" w:eastAsia="宋体" w:cs="宋体"/>
          <w:b/>
          <w:bCs/>
          <w:color w:val="000000"/>
          <w:sz w:val="32"/>
          <w:szCs w:val="32"/>
        </w:rPr>
        <w:br w:type="page"/>
      </w:r>
      <w:bookmarkStart w:id="313" w:name="_Toc26799"/>
      <w:bookmarkStart w:id="314" w:name="_Toc31771"/>
      <w:bookmarkStart w:id="315" w:name="_Toc29647"/>
      <w:r>
        <w:rPr>
          <w:rFonts w:hint="eastAsia" w:ascii="宋体" w:hAnsi="宋体" w:eastAsia="宋体" w:cs="宋体"/>
          <w:b/>
          <w:bCs/>
          <w:sz w:val="32"/>
          <w:szCs w:val="32"/>
        </w:rPr>
        <w:t>目录</w:t>
      </w:r>
      <w:bookmarkEnd w:id="311"/>
      <w:bookmarkEnd w:id="312"/>
      <w:bookmarkEnd w:id="313"/>
      <w:bookmarkEnd w:id="314"/>
      <w:bookmarkEnd w:id="315"/>
    </w:p>
    <w:p>
      <w:pPr>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rPr>
      </w:pPr>
      <w:r>
        <w:rPr>
          <w:rFonts w:hint="eastAsia" w:ascii="宋体" w:hAnsi="宋体" w:eastAsia="宋体" w:cs="宋体"/>
          <w:sz w:val="24"/>
        </w:rPr>
        <w:t>一、投标函及投标函附录</w:t>
      </w: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rPr>
      </w:pPr>
      <w:r>
        <w:rPr>
          <w:rFonts w:hint="eastAsia" w:ascii="宋体" w:hAnsi="宋体" w:eastAsia="宋体" w:cs="宋体"/>
          <w:sz w:val="24"/>
        </w:rPr>
        <w:t>二、法定代表人身份证明</w:t>
      </w: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rPr>
      </w:pPr>
      <w:r>
        <w:rPr>
          <w:rFonts w:hint="eastAsia" w:ascii="宋体" w:hAnsi="宋体" w:eastAsia="宋体" w:cs="宋体"/>
          <w:sz w:val="24"/>
        </w:rPr>
        <w:t>二、授权委托书</w:t>
      </w: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rPr>
      </w:pPr>
      <w:r>
        <w:rPr>
          <w:rFonts w:hint="eastAsia" w:ascii="宋体" w:hAnsi="宋体" w:eastAsia="宋体" w:cs="宋体"/>
          <w:sz w:val="24"/>
        </w:rPr>
        <w:t>三、联合体协议书</w:t>
      </w: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lang w:eastAsia="zh-CN"/>
        </w:rPr>
      </w:pPr>
      <w:r>
        <w:rPr>
          <w:rFonts w:hint="eastAsia" w:ascii="宋体" w:hAnsi="宋体" w:eastAsia="宋体" w:cs="宋体"/>
          <w:sz w:val="24"/>
        </w:rPr>
        <w:t>四、</w:t>
      </w:r>
      <w:r>
        <w:rPr>
          <w:rFonts w:hint="eastAsia" w:ascii="宋体" w:hAnsi="宋体" w:eastAsia="宋体" w:cs="宋体"/>
          <w:sz w:val="24"/>
          <w:lang w:eastAsia="zh-CN"/>
        </w:rPr>
        <w:t>磋商保证金</w:t>
      </w: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rPr>
      </w:pPr>
      <w:r>
        <w:rPr>
          <w:rFonts w:hint="eastAsia" w:ascii="宋体" w:hAnsi="宋体" w:eastAsia="宋体" w:cs="宋体"/>
          <w:sz w:val="24"/>
        </w:rPr>
        <w:t>五、已标价工程量清单</w:t>
      </w: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rPr>
      </w:pPr>
      <w:r>
        <w:rPr>
          <w:rFonts w:hint="eastAsia" w:ascii="宋体" w:hAnsi="宋体" w:eastAsia="宋体" w:cs="宋体"/>
          <w:sz w:val="24"/>
        </w:rPr>
        <w:t>六、施工组织设计</w:t>
      </w: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rPr>
      </w:pPr>
      <w:r>
        <w:rPr>
          <w:rFonts w:hint="eastAsia" w:ascii="宋体" w:hAnsi="宋体" w:eastAsia="宋体" w:cs="宋体"/>
          <w:sz w:val="24"/>
        </w:rPr>
        <w:t>七、项目管理机构</w:t>
      </w: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rPr>
      </w:pPr>
      <w:r>
        <w:rPr>
          <w:rFonts w:hint="eastAsia" w:ascii="宋体" w:hAnsi="宋体" w:eastAsia="宋体" w:cs="宋体"/>
          <w:sz w:val="24"/>
          <w:lang w:eastAsia="zh-CN"/>
        </w:rPr>
        <w:t>八、</w:t>
      </w:r>
      <w:r>
        <w:rPr>
          <w:rFonts w:hint="eastAsia" w:ascii="宋体" w:hAnsi="宋体" w:eastAsia="宋体" w:cs="宋体"/>
          <w:sz w:val="24"/>
        </w:rPr>
        <w:t>拟分包项目情况表</w:t>
      </w: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rPr>
      </w:pPr>
      <w:r>
        <w:rPr>
          <w:rFonts w:hint="eastAsia" w:ascii="宋体" w:hAnsi="宋体" w:eastAsia="宋体" w:cs="宋体"/>
          <w:sz w:val="24"/>
          <w:lang w:eastAsia="zh-CN"/>
        </w:rPr>
        <w:t>九、</w:t>
      </w:r>
      <w:r>
        <w:rPr>
          <w:rFonts w:hint="eastAsia" w:ascii="宋体" w:hAnsi="宋体" w:eastAsia="宋体" w:cs="宋体"/>
          <w:sz w:val="24"/>
        </w:rPr>
        <w:t>资格审查资料</w:t>
      </w:r>
    </w:p>
    <w:p>
      <w:pPr>
        <w:keepNext w:val="0"/>
        <w:keepLines w:val="0"/>
        <w:pageBreakBefore w:val="0"/>
        <w:widowControl w:val="0"/>
        <w:kinsoku/>
        <w:wordWrap w:val="0"/>
        <w:overflowPunct/>
        <w:topLinePunct w:val="0"/>
        <w:autoSpaceDE/>
        <w:autoSpaceDN/>
        <w:bidi w:val="0"/>
        <w:spacing w:line="480" w:lineRule="auto"/>
        <w:outlineLvl w:val="9"/>
        <w:rPr>
          <w:rFonts w:hint="eastAsia" w:ascii="宋体" w:hAnsi="宋体" w:eastAsia="宋体" w:cs="宋体"/>
          <w:sz w:val="24"/>
        </w:rPr>
      </w:pPr>
      <w:r>
        <w:rPr>
          <w:rFonts w:hint="eastAsia" w:ascii="宋体" w:hAnsi="宋体" w:eastAsia="宋体" w:cs="宋体"/>
          <w:sz w:val="24"/>
          <w:lang w:eastAsia="zh-CN"/>
        </w:rPr>
        <w:t>十、</w:t>
      </w:r>
      <w:r>
        <w:rPr>
          <w:rFonts w:hint="eastAsia" w:ascii="宋体" w:hAnsi="宋体" w:eastAsia="宋体" w:cs="宋体"/>
          <w:sz w:val="24"/>
        </w:rPr>
        <w:t>其他资料</w:t>
      </w:r>
    </w:p>
    <w:p>
      <w:pPr>
        <w:keepNext w:val="0"/>
        <w:keepLines w:val="0"/>
        <w:pageBreakBefore w:val="0"/>
        <w:widowControl w:val="0"/>
        <w:kinsoku/>
        <w:wordWrap w:val="0"/>
        <w:overflowPunct/>
        <w:topLinePunct w:val="0"/>
        <w:autoSpaceDE/>
        <w:autoSpaceDN/>
        <w:bidi w:val="0"/>
        <w:adjustRightInd/>
        <w:snapToGrid/>
        <w:spacing w:after="143" w:afterLines="50"/>
        <w:ind w:left="0" w:leftChars="0" w:right="0" w:rightChars="0" w:firstLine="0" w:firstLineChars="0"/>
        <w:jc w:val="center"/>
        <w:textAlignment w:val="auto"/>
        <w:outlineLvl w:val="1"/>
        <w:rPr>
          <w:rFonts w:hint="eastAsia" w:ascii="宋体" w:hAnsi="宋体" w:eastAsia="宋体" w:cs="宋体"/>
          <w:b/>
          <w:bCs/>
          <w:sz w:val="32"/>
          <w:szCs w:val="32"/>
        </w:rPr>
      </w:pPr>
      <w:r>
        <w:rPr>
          <w:rFonts w:hint="eastAsia" w:ascii="宋体" w:hAnsi="宋体" w:eastAsia="宋体" w:cs="宋体"/>
        </w:rPr>
        <w:br w:type="page"/>
      </w:r>
      <w:bookmarkStart w:id="316" w:name="_Toc29384852"/>
      <w:bookmarkStart w:id="317" w:name="_Toc26563"/>
      <w:bookmarkStart w:id="318" w:name="_Toc24432"/>
      <w:bookmarkStart w:id="319" w:name="_Toc17784"/>
      <w:bookmarkStart w:id="320" w:name="_Toc14257"/>
      <w:r>
        <w:rPr>
          <w:rFonts w:hint="eastAsia" w:ascii="宋体" w:hAnsi="宋体" w:eastAsia="宋体" w:cs="宋体"/>
          <w:b/>
          <w:bCs/>
          <w:sz w:val="32"/>
          <w:szCs w:val="32"/>
        </w:rPr>
        <w:t>一、投标函及投标函附录</w:t>
      </w:r>
      <w:bookmarkEnd w:id="316"/>
      <w:bookmarkEnd w:id="317"/>
      <w:bookmarkEnd w:id="318"/>
      <w:bookmarkEnd w:id="319"/>
      <w:bookmarkEnd w:id="320"/>
    </w:p>
    <w:p>
      <w:pPr>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9"/>
        <w:rPr>
          <w:rFonts w:hint="eastAsia" w:ascii="宋体" w:hAnsi="宋体" w:eastAsia="宋体" w:cs="宋体"/>
          <w:b/>
          <w:bCs/>
          <w:sz w:val="28"/>
          <w:szCs w:val="28"/>
        </w:rPr>
      </w:pPr>
      <w:bookmarkStart w:id="321" w:name="_Toc18309"/>
      <w:bookmarkStart w:id="322" w:name="_Toc29384853"/>
      <w:r>
        <w:rPr>
          <w:rFonts w:hint="eastAsia" w:ascii="宋体" w:hAnsi="宋体" w:eastAsia="宋体" w:cs="宋体"/>
          <w:b/>
          <w:bCs/>
          <w:sz w:val="28"/>
          <w:szCs w:val="28"/>
        </w:rPr>
        <w:t>（一）投标函</w:t>
      </w:r>
      <w:bookmarkEnd w:id="321"/>
      <w:bookmarkEnd w:id="322"/>
    </w:p>
    <w:p>
      <w:pPr>
        <w:keepNext w:val="0"/>
        <w:keepLines w:val="0"/>
        <w:pageBreakBefore w:val="0"/>
        <w:widowControl w:val="0"/>
        <w:kinsoku/>
        <w:wordWrap w:val="0"/>
        <w:overflowPunct/>
        <w:topLinePunct w:val="0"/>
        <w:autoSpaceDE/>
        <w:autoSpaceDN/>
        <w:bidi w:val="0"/>
        <w:spacing w:line="440" w:lineRule="exact"/>
        <w:outlineLvl w:val="9"/>
        <w:rPr>
          <w:rFonts w:hint="eastAsia" w:ascii="宋体" w:hAnsi="宋体" w:eastAsia="宋体" w:cs="宋体"/>
        </w:rPr>
      </w:pPr>
      <w:r>
        <w:rPr>
          <w:rFonts w:hint="eastAsia" w:ascii="宋体" w:hAnsi="宋体" w:eastAsia="宋体" w:cs="宋体"/>
          <w:sz w:val="24"/>
          <w:szCs w:val="24"/>
          <w:u w:val="none"/>
          <w:lang w:eastAsia="zh-CN"/>
        </w:rPr>
        <w:t>致：</w:t>
      </w:r>
      <w:r>
        <w:rPr>
          <w:rFonts w:hint="eastAsia" w:ascii="宋体" w:hAnsi="宋体" w:eastAsia="宋体" w:cs="宋体"/>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采购人</w:t>
      </w:r>
      <w:r>
        <w:rPr>
          <w:rFonts w:hint="eastAsia" w:ascii="宋体" w:hAnsi="宋体" w:eastAsia="宋体" w:cs="宋体"/>
          <w:sz w:val="24"/>
          <w:szCs w:val="24"/>
        </w:rPr>
        <w:t>名称）：</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在考察现场并充分研究</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标段（以下简称“本工程”）施工</w:t>
      </w:r>
      <w:r>
        <w:rPr>
          <w:rFonts w:hint="eastAsia" w:ascii="宋体" w:hAnsi="宋体" w:eastAsia="宋体" w:cs="宋体"/>
          <w:sz w:val="24"/>
          <w:szCs w:val="24"/>
          <w:lang w:eastAsia="zh-CN"/>
        </w:rPr>
        <w:t>磋商文件</w:t>
      </w:r>
      <w:r>
        <w:rPr>
          <w:rFonts w:hint="eastAsia" w:ascii="宋体" w:hAnsi="宋体" w:eastAsia="宋体" w:cs="宋体"/>
          <w:sz w:val="24"/>
          <w:szCs w:val="24"/>
        </w:rPr>
        <w:t>的全部内容后，我方兹以：</w:t>
      </w:r>
    </w:p>
    <w:p>
      <w:pPr>
        <w:keepNext w:val="0"/>
        <w:keepLines w:val="0"/>
        <w:pageBreakBefore w:val="0"/>
        <w:widowControl w:val="0"/>
        <w:kinsoku/>
        <w:wordWrap w:val="0"/>
        <w:overflowPunct/>
        <w:topLinePunct w:val="0"/>
        <w:autoSpaceDE/>
        <w:autoSpaceDN/>
        <w:bidi w:val="0"/>
        <w:adjustRightInd/>
        <w:snapToGrid/>
        <w:spacing w:line="440" w:lineRule="exact"/>
        <w:ind w:firstLine="960" w:firstLineChars="400"/>
        <w:textAlignment w:val="auto"/>
        <w:outlineLvl w:val="9"/>
        <w:rPr>
          <w:rFonts w:hint="eastAsia" w:ascii="宋体" w:hAnsi="宋体" w:eastAsia="宋体" w:cs="宋体"/>
          <w:sz w:val="24"/>
          <w:szCs w:val="24"/>
        </w:rPr>
      </w:pPr>
      <w:r>
        <w:rPr>
          <w:rFonts w:hint="eastAsia" w:ascii="宋体" w:hAnsi="宋体" w:eastAsia="宋体" w:cs="宋体"/>
          <w:sz w:val="24"/>
          <w:szCs w:val="24"/>
        </w:rPr>
        <w:t>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pPr>
        <w:keepNext w:val="0"/>
        <w:keepLines w:val="0"/>
        <w:pageBreakBefore w:val="0"/>
        <w:widowControl w:val="0"/>
        <w:kinsoku/>
        <w:wordWrap w:val="0"/>
        <w:overflowPunct/>
        <w:topLinePunct w:val="0"/>
        <w:autoSpaceDE/>
        <w:autoSpaceDN/>
        <w:bidi w:val="0"/>
        <w:adjustRightInd/>
        <w:snapToGrid/>
        <w:spacing w:line="440" w:lineRule="exact"/>
        <w:ind w:firstLine="960" w:firstLineChars="400"/>
        <w:textAlignment w:val="auto"/>
        <w:outlineLvl w:val="9"/>
        <w:rPr>
          <w:rFonts w:hint="eastAsia" w:ascii="宋体" w:hAnsi="宋体" w:eastAsia="宋体" w:cs="宋体"/>
          <w:sz w:val="24"/>
          <w:szCs w:val="24"/>
        </w:rPr>
      </w:pPr>
      <w:r>
        <w:rPr>
          <w:rFonts w:hint="eastAsia" w:ascii="宋体" w:hAnsi="宋体" w:eastAsia="宋体" w:cs="宋体"/>
          <w:sz w:val="24"/>
          <w:szCs w:val="24"/>
        </w:rPr>
        <w:t>RMB￥：</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的投标价格和按合同约定有权得到的其它金额，并严格按照合同约定，施工、竣工和交付本工程并维修其中的任何缺陷。</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在我方的上述投标报价中，包括：</w:t>
      </w:r>
    </w:p>
    <w:p>
      <w:pPr>
        <w:keepNext w:val="0"/>
        <w:keepLines w:val="0"/>
        <w:pageBreakBefore w:val="0"/>
        <w:widowControl w:val="0"/>
        <w:kinsoku/>
        <w:wordWrap w:val="0"/>
        <w:overflowPunct/>
        <w:topLinePunct w:val="0"/>
        <w:autoSpaceDE/>
        <w:autoSpaceDN/>
        <w:bidi w:val="0"/>
        <w:adjustRightInd/>
        <w:snapToGrid/>
        <w:spacing w:line="440" w:lineRule="exact"/>
        <w:ind w:firstLine="960" w:firstLineChars="400"/>
        <w:textAlignment w:val="auto"/>
        <w:outlineLvl w:val="9"/>
        <w:rPr>
          <w:rFonts w:hint="eastAsia" w:ascii="宋体" w:hAnsi="宋体" w:eastAsia="宋体" w:cs="宋体"/>
          <w:sz w:val="24"/>
          <w:szCs w:val="24"/>
        </w:rPr>
      </w:pPr>
      <w:r>
        <w:rPr>
          <w:rFonts w:hint="eastAsia" w:ascii="宋体" w:hAnsi="宋体" w:eastAsia="宋体" w:cs="宋体"/>
          <w:sz w:val="24"/>
          <w:szCs w:val="24"/>
        </w:rPr>
        <w:t>安全文明施工费RMB￥：</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pPr>
        <w:keepNext w:val="0"/>
        <w:keepLines w:val="0"/>
        <w:pageBreakBefore w:val="0"/>
        <w:widowControl w:val="0"/>
        <w:kinsoku/>
        <w:wordWrap w:val="0"/>
        <w:overflowPunct/>
        <w:topLinePunct w:val="0"/>
        <w:autoSpaceDE/>
        <w:autoSpaceDN/>
        <w:bidi w:val="0"/>
        <w:adjustRightInd/>
        <w:snapToGrid/>
        <w:spacing w:line="440" w:lineRule="exact"/>
        <w:ind w:firstLine="960" w:firstLineChars="400"/>
        <w:textAlignment w:val="auto"/>
        <w:outlineLvl w:val="9"/>
        <w:rPr>
          <w:rFonts w:hint="eastAsia" w:ascii="宋体" w:hAnsi="宋体" w:eastAsia="宋体" w:cs="宋体"/>
          <w:sz w:val="24"/>
          <w:szCs w:val="24"/>
        </w:rPr>
      </w:pPr>
      <w:r>
        <w:rPr>
          <w:rFonts w:hint="eastAsia" w:ascii="宋体" w:hAnsi="宋体" w:eastAsia="宋体" w:cs="宋体"/>
          <w:sz w:val="24"/>
          <w:szCs w:val="24"/>
        </w:rPr>
        <w:t>暂列金额（不包括计日工部分）RMB￥：</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pPr>
        <w:keepNext w:val="0"/>
        <w:keepLines w:val="0"/>
        <w:pageBreakBefore w:val="0"/>
        <w:widowControl w:val="0"/>
        <w:kinsoku/>
        <w:wordWrap w:val="0"/>
        <w:overflowPunct/>
        <w:topLinePunct w:val="0"/>
        <w:autoSpaceDE/>
        <w:autoSpaceDN/>
        <w:bidi w:val="0"/>
        <w:adjustRightInd/>
        <w:snapToGrid/>
        <w:spacing w:line="440" w:lineRule="exact"/>
        <w:ind w:firstLine="960" w:firstLineChars="400"/>
        <w:textAlignment w:val="auto"/>
        <w:outlineLvl w:val="9"/>
        <w:rPr>
          <w:rFonts w:hint="eastAsia" w:ascii="宋体" w:hAnsi="宋体" w:eastAsia="宋体" w:cs="宋体"/>
          <w:sz w:val="24"/>
          <w:szCs w:val="24"/>
        </w:rPr>
      </w:pPr>
      <w:r>
        <w:rPr>
          <w:rFonts w:hint="eastAsia" w:ascii="宋体" w:hAnsi="宋体" w:eastAsia="宋体" w:cs="宋体"/>
          <w:sz w:val="24"/>
          <w:szCs w:val="24"/>
        </w:rPr>
        <w:t>专业工程暂估价RMB￥：</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如果我方中标，我方保证在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日或按照合同约定的开工日期开始本工程的施工，</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天（日历日）内竣工，并确保工程质量达到</w:t>
      </w:r>
      <w:r>
        <w:rPr>
          <w:rFonts w:hint="eastAsia" w:ascii="宋体" w:hAnsi="宋体" w:eastAsia="宋体" w:cs="宋体"/>
          <w:sz w:val="24"/>
          <w:szCs w:val="24"/>
          <w:u w:val="single"/>
        </w:rPr>
        <w:t xml:space="preserve">       </w:t>
      </w:r>
      <w:r>
        <w:rPr>
          <w:rFonts w:hint="eastAsia" w:ascii="宋体" w:hAnsi="宋体" w:eastAsia="宋体" w:cs="宋体"/>
          <w:sz w:val="24"/>
          <w:szCs w:val="24"/>
        </w:rPr>
        <w:t>标准。我方同意本投标函在</w:t>
      </w:r>
      <w:r>
        <w:rPr>
          <w:rFonts w:hint="eastAsia" w:ascii="宋体" w:hAnsi="宋体" w:eastAsia="宋体" w:cs="宋体"/>
          <w:sz w:val="24"/>
          <w:szCs w:val="24"/>
          <w:lang w:eastAsia="zh-CN"/>
        </w:rPr>
        <w:t>磋商文件</w:t>
      </w:r>
      <w:r>
        <w:rPr>
          <w:rFonts w:hint="eastAsia" w:ascii="宋体" w:hAnsi="宋体" w:eastAsia="宋体" w:cs="宋体"/>
          <w:sz w:val="24"/>
          <w:szCs w:val="24"/>
        </w:rPr>
        <w:t>规定的提交</w:t>
      </w:r>
      <w:r>
        <w:rPr>
          <w:rFonts w:hint="eastAsia" w:ascii="宋体" w:hAnsi="宋体" w:eastAsia="宋体" w:cs="宋体"/>
          <w:sz w:val="24"/>
          <w:szCs w:val="24"/>
          <w:lang w:eastAsia="zh-CN"/>
        </w:rPr>
        <w:t>响应文件</w:t>
      </w:r>
      <w:r>
        <w:rPr>
          <w:rFonts w:hint="eastAsia" w:ascii="宋体" w:hAnsi="宋体" w:eastAsia="宋体" w:cs="宋体"/>
          <w:sz w:val="24"/>
          <w:szCs w:val="24"/>
        </w:rPr>
        <w:t>截止时间后，在</w:t>
      </w:r>
      <w:r>
        <w:rPr>
          <w:rFonts w:hint="eastAsia" w:ascii="宋体" w:hAnsi="宋体" w:eastAsia="宋体" w:cs="宋体"/>
          <w:sz w:val="24"/>
          <w:szCs w:val="24"/>
          <w:lang w:eastAsia="zh-CN"/>
        </w:rPr>
        <w:t>磋商文件</w:t>
      </w:r>
      <w:r>
        <w:rPr>
          <w:rFonts w:hint="eastAsia" w:ascii="宋体" w:hAnsi="宋体" w:eastAsia="宋体" w:cs="宋体"/>
          <w:sz w:val="24"/>
          <w:szCs w:val="24"/>
        </w:rPr>
        <w:t>规定的投标有效期期满前对我方具有约束力，且随时准备接受你方发出的</w:t>
      </w:r>
      <w:r>
        <w:rPr>
          <w:rFonts w:hint="eastAsia" w:ascii="宋体" w:hAnsi="宋体" w:eastAsia="宋体" w:cs="宋体"/>
          <w:sz w:val="24"/>
          <w:szCs w:val="24"/>
          <w:lang w:eastAsia="zh-CN"/>
        </w:rPr>
        <w:t>成交通知书</w:t>
      </w:r>
      <w:r>
        <w:rPr>
          <w:rFonts w:hint="eastAsia" w:ascii="宋体" w:hAnsi="宋体" w:eastAsia="宋体" w:cs="宋体"/>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随本投标函道交的投标函附录是本投标函的组成部分，对我方构成约束力。</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随同本投标函递交</w:t>
      </w:r>
      <w:r>
        <w:rPr>
          <w:rFonts w:hint="eastAsia" w:ascii="宋体" w:hAnsi="宋体" w:eastAsia="宋体" w:cs="宋体"/>
          <w:sz w:val="24"/>
          <w:szCs w:val="24"/>
          <w:lang w:eastAsia="zh-CN"/>
        </w:rPr>
        <w:t>磋商保证金</w:t>
      </w:r>
      <w:r>
        <w:rPr>
          <w:rFonts w:hint="eastAsia" w:ascii="宋体" w:hAnsi="宋体" w:eastAsia="宋体" w:cs="宋体"/>
          <w:sz w:val="24"/>
          <w:szCs w:val="24"/>
        </w:rPr>
        <w:t>一份，金额为人民币（大写）：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在签署协议书之前，你方的</w:t>
      </w:r>
      <w:r>
        <w:rPr>
          <w:rFonts w:hint="eastAsia" w:ascii="宋体" w:hAnsi="宋体" w:eastAsia="宋体" w:cs="宋体"/>
          <w:sz w:val="24"/>
          <w:szCs w:val="24"/>
          <w:lang w:eastAsia="zh-CN"/>
        </w:rPr>
        <w:t>成交通知书</w:t>
      </w:r>
      <w:r>
        <w:rPr>
          <w:rFonts w:hint="eastAsia" w:ascii="宋体" w:hAnsi="宋体" w:eastAsia="宋体" w:cs="宋体"/>
          <w:sz w:val="24"/>
          <w:szCs w:val="24"/>
        </w:rPr>
        <w:t>连同本投标函，包括投标函附录，对双方具有约束力。</w:t>
      </w:r>
    </w:p>
    <w:p>
      <w:pPr>
        <w:pStyle w:val="61"/>
        <w:rPr>
          <w:rFonts w:hint="eastAsia" w:ascii="宋体" w:hAnsi="宋体" w:eastAsia="宋体" w:cs="宋体"/>
        </w:rPr>
      </w:pP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sz w:val="24"/>
          <w:szCs w:val="24"/>
          <w:lang w:val="en-US"/>
        </w:rPr>
      </w:pPr>
      <w:bookmarkStart w:id="323" w:name="_Toc352691659"/>
      <w:bookmarkEnd w:id="323"/>
      <w:bookmarkStart w:id="324" w:name="_Toc369531696"/>
      <w:bookmarkEnd w:id="324"/>
      <w:bookmarkStart w:id="325" w:name="_Toc369531695"/>
      <w:bookmarkEnd w:id="325"/>
      <w:bookmarkStart w:id="326" w:name="_Toc16824"/>
      <w:bookmarkEnd w:id="326"/>
      <w:bookmarkStart w:id="327" w:name="_Toc352691660"/>
      <w:bookmarkEnd w:id="327"/>
      <w:bookmarkStart w:id="328" w:name="_Toc16568"/>
      <w:bookmarkEnd w:id="328"/>
      <w:r>
        <w:rPr>
          <w:rFonts w:hint="eastAsia" w:ascii="宋体" w:hAnsi="宋体" w:cs="宋体"/>
          <w:sz w:val="24"/>
          <w:szCs w:val="24"/>
          <w:lang w:eastAsia="zh-CN"/>
        </w:rPr>
        <w:t>供 应 商</w:t>
      </w:r>
      <w:r>
        <w:rPr>
          <w:rFonts w:hint="eastAsia" w:ascii="宋体" w:hAnsi="宋体" w:eastAsia="宋体" w:cs="宋体"/>
          <w:sz w:val="24"/>
          <w:szCs w:val="24"/>
          <w:lang w:eastAsia="zh-CN"/>
        </w:rPr>
        <w:t>（盖章）</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或其委托代理人（签字</w:t>
      </w:r>
      <w:r>
        <w:rPr>
          <w:rFonts w:hint="eastAsia" w:ascii="宋体" w:hAnsi="宋体" w:eastAsia="宋体" w:cs="宋体"/>
          <w:sz w:val="24"/>
          <w:szCs w:val="24"/>
          <w:lang w:eastAsia="zh-CN"/>
        </w:rPr>
        <w:t>或盖章</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u w:val="none"/>
          <w:lang w:eastAsia="zh-CN"/>
        </w:rPr>
        <w:t>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日</w:t>
      </w:r>
    </w:p>
    <w:p>
      <w:pPr>
        <w:keepNext w:val="0"/>
        <w:keepLines w:val="0"/>
        <w:pageBreakBefore w:val="0"/>
        <w:widowControl w:val="0"/>
        <w:kinsoku/>
        <w:wordWrap w:val="0"/>
        <w:overflowPunct/>
        <w:topLinePunct w:val="0"/>
        <w:autoSpaceDE/>
        <w:autoSpaceDN/>
        <w:bidi w:val="0"/>
        <w:adjustRightInd/>
        <w:snapToGrid/>
        <w:spacing w:after="143" w:afterLines="50"/>
        <w:ind w:left="0" w:leftChars="0" w:right="0" w:rightChars="0" w:firstLine="0" w:firstLineChars="0"/>
        <w:jc w:val="center"/>
        <w:textAlignment w:val="auto"/>
        <w:outlineLvl w:val="9"/>
        <w:rPr>
          <w:rFonts w:hint="eastAsia" w:ascii="宋体" w:hAnsi="宋体" w:eastAsia="宋体" w:cs="宋体"/>
          <w:b/>
          <w:bCs/>
          <w:sz w:val="28"/>
          <w:szCs w:val="28"/>
        </w:rPr>
      </w:pPr>
      <w:r>
        <w:rPr>
          <w:rFonts w:hint="eastAsia" w:ascii="宋体" w:hAnsi="宋体" w:eastAsia="宋体" w:cs="宋体"/>
        </w:rPr>
        <w:br w:type="page"/>
      </w:r>
      <w:bookmarkStart w:id="329" w:name="_Toc29384854"/>
      <w:bookmarkStart w:id="330" w:name="_Toc29600"/>
      <w:r>
        <w:rPr>
          <w:rFonts w:hint="eastAsia" w:ascii="宋体" w:hAnsi="宋体" w:eastAsia="宋体" w:cs="宋体"/>
          <w:b/>
          <w:bCs/>
          <w:sz w:val="28"/>
          <w:szCs w:val="28"/>
        </w:rPr>
        <w:t>（二）投标函附录</w:t>
      </w:r>
      <w:bookmarkEnd w:id="329"/>
      <w:bookmarkEnd w:id="330"/>
    </w:p>
    <w:tbl>
      <w:tblPr>
        <w:tblStyle w:val="43"/>
        <w:tblW w:w="9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605"/>
        <w:gridCol w:w="2233"/>
        <w:gridCol w:w="2547"/>
        <w:gridCol w:w="1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sz w:val="24"/>
              </w:rPr>
            </w:pPr>
            <w:r>
              <w:rPr>
                <w:rFonts w:hint="eastAsia" w:ascii="宋体" w:hAnsi="宋体" w:eastAsia="宋体" w:cs="宋体"/>
                <w:b/>
                <w:bCs/>
                <w:sz w:val="24"/>
              </w:rPr>
              <w:t>序号</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sz w:val="24"/>
              </w:rPr>
            </w:pPr>
            <w:r>
              <w:rPr>
                <w:rFonts w:hint="eastAsia" w:ascii="宋体" w:hAnsi="宋体" w:eastAsia="宋体" w:cs="宋体"/>
                <w:b/>
                <w:bCs/>
                <w:sz w:val="24"/>
              </w:rPr>
              <w:t>条款名称</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sz w:val="24"/>
              </w:rPr>
            </w:pPr>
            <w:r>
              <w:rPr>
                <w:rFonts w:hint="eastAsia" w:ascii="宋体" w:hAnsi="宋体" w:eastAsia="宋体" w:cs="宋体"/>
                <w:b/>
                <w:bCs/>
                <w:sz w:val="24"/>
              </w:rPr>
              <w:t>合同条款号</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sz w:val="24"/>
              </w:rPr>
            </w:pPr>
            <w:r>
              <w:rPr>
                <w:rFonts w:hint="eastAsia" w:ascii="宋体" w:hAnsi="宋体" w:eastAsia="宋体" w:cs="宋体"/>
                <w:b/>
                <w:bCs/>
                <w:sz w:val="24"/>
              </w:rPr>
              <w:t>约定内容</w:t>
            </w: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b/>
                <w:bCs/>
                <w:sz w:val="24"/>
              </w:rPr>
            </w:pPr>
            <w:r>
              <w:rPr>
                <w:rFonts w:hint="eastAsia" w:ascii="宋体" w:hAnsi="宋体" w:eastAsia="宋体" w:cs="宋体"/>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rPr>
            </w:pPr>
            <w:r>
              <w:rPr>
                <w:rFonts w:hint="eastAsia" w:ascii="宋体" w:hAnsi="宋体" w:eastAsia="宋体" w:cs="宋体"/>
                <w:sz w:val="24"/>
              </w:rPr>
              <w:t>1</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eastAsia="zh-CN"/>
              </w:rPr>
            </w:pPr>
            <w:r>
              <w:rPr>
                <w:rFonts w:hint="eastAsia" w:ascii="宋体" w:hAnsi="宋体" w:eastAsia="宋体" w:cs="宋体"/>
                <w:sz w:val="24"/>
              </w:rPr>
              <w:t>项目</w:t>
            </w:r>
            <w:r>
              <w:rPr>
                <w:rFonts w:hint="eastAsia" w:ascii="宋体" w:hAnsi="宋体" w:eastAsia="宋体" w:cs="宋体"/>
                <w:sz w:val="24"/>
                <w:lang w:eastAsia="zh-CN"/>
              </w:rPr>
              <w:t>经理</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rPr>
              <w:t>1.1.2.</w:t>
            </w:r>
            <w:r>
              <w:rPr>
                <w:rFonts w:hint="eastAsia" w:ascii="宋体" w:hAnsi="宋体" w:eastAsia="宋体" w:cs="宋体"/>
                <w:sz w:val="24"/>
                <w:lang w:val="en-US" w:eastAsia="zh-CN"/>
              </w:rPr>
              <w:t>8</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rPr>
            </w:pPr>
            <w:r>
              <w:rPr>
                <w:rFonts w:hint="eastAsia" w:ascii="宋体" w:hAnsi="宋体" w:eastAsia="宋体" w:cs="宋体"/>
                <w:sz w:val="24"/>
              </w:rPr>
              <w:t>姓名：</w:t>
            </w: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rPr>
            </w:pPr>
            <w:r>
              <w:rPr>
                <w:rFonts w:hint="eastAsia" w:ascii="宋体" w:hAnsi="宋体" w:eastAsia="宋体" w:cs="宋体"/>
                <w:sz w:val="24"/>
              </w:rPr>
              <w:t>2</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eastAsia="zh-CN"/>
              </w:rPr>
            </w:pPr>
            <w:r>
              <w:rPr>
                <w:rFonts w:hint="eastAsia" w:ascii="宋体" w:hAnsi="宋体" w:eastAsia="宋体" w:cs="宋体"/>
                <w:sz w:val="24"/>
                <w:lang w:eastAsia="zh-CN"/>
              </w:rPr>
              <w:t>工期</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rPr>
            </w:pPr>
            <w:r>
              <w:rPr>
                <w:rFonts w:hint="eastAsia" w:ascii="宋体" w:hAnsi="宋体" w:eastAsia="宋体" w:cs="宋体"/>
                <w:sz w:val="24"/>
              </w:rPr>
              <w:t>1.1.4.3</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rPr>
              <w:t>历天</w:t>
            </w: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3</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rPr>
              <w:t>缺陷责任期</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rPr>
              <w:t>1.1.4.</w:t>
            </w:r>
            <w:r>
              <w:rPr>
                <w:rFonts w:hint="eastAsia" w:ascii="宋体" w:hAnsi="宋体" w:eastAsia="宋体" w:cs="宋体"/>
                <w:sz w:val="24"/>
                <w:lang w:val="en-US" w:eastAsia="zh-CN"/>
              </w:rPr>
              <w:t>4</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4</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rPr>
              <w:t>承包人履约担保金额</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3.7</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5</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rPr>
              <w:t>分包</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3.5</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rPr>
              <w:t>见分包项目情况表</w:t>
            </w: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6</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rPr>
              <w:t>逾期竣工违约金</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7.5.2</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u w:val="single"/>
              </w:rPr>
              <w:t xml:space="preserve">         </w:t>
            </w:r>
            <w:r>
              <w:rPr>
                <w:rFonts w:hint="eastAsia" w:ascii="宋体" w:hAnsi="宋体" w:eastAsia="宋体" w:cs="宋体"/>
                <w:sz w:val="24"/>
              </w:rPr>
              <w:t>元/天</w:t>
            </w: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7</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rPr>
              <w:t>逾期竣工违约金最高限额</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lang w:val="en-US" w:eastAsia="zh-CN"/>
              </w:rPr>
              <w:t>7.5.2</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lang w:val="en-US" w:eastAsia="zh-CN"/>
              </w:rPr>
            </w:pPr>
            <w:r>
              <w:rPr>
                <w:rFonts w:hint="eastAsia" w:ascii="宋体" w:hAnsi="宋体" w:eastAsia="宋体" w:cs="宋体"/>
                <w:sz w:val="24"/>
                <w:u w:val="single"/>
              </w:rPr>
              <w:t xml:space="preserve">             </w:t>
            </w: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outlineLvl w:val="9"/>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8</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rPr>
              <w:t>质量标准</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5.1.1</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9</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rPr>
              <w:t>价格调整的差额计算</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11.1</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rPr>
              <w:t>见价格指数权重表</w:t>
            </w: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10</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rPr>
              <w:t>预付款额度</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.2.1</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11</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rPr>
              <w:t>预付款保函金额</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12.2.1</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12</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rPr>
              <w:t>质量保证金扣留百分比</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15</w:t>
            </w: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sz w:val="24"/>
              </w:rPr>
              <w:t>.</w:t>
            </w:r>
            <w:r>
              <w:rPr>
                <w:rFonts w:hint="eastAsia" w:ascii="宋体" w:hAnsi="宋体" w:eastAsia="宋体" w:cs="宋体"/>
                <w:sz w:val="24"/>
                <w:lang w:val="en-US" w:eastAsia="zh-CN"/>
              </w:rPr>
              <w:t>1</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13</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rPr>
              <w:t>质量保证金额度</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15.3.1</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14</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rPr>
            </w:pPr>
            <w:r>
              <w:rPr>
                <w:rFonts w:hint="eastAsia" w:ascii="宋体" w:hAnsi="宋体" w:eastAsia="宋体" w:cs="宋体"/>
                <w:sz w:val="24"/>
                <w:lang w:eastAsia="zh-CN"/>
              </w:rPr>
              <w:t>磋商保证金</w:t>
            </w:r>
            <w:r>
              <w:rPr>
                <w:rFonts w:hint="eastAsia" w:ascii="宋体" w:hAnsi="宋体" w:eastAsia="宋体" w:cs="宋体"/>
                <w:sz w:val="24"/>
              </w:rPr>
              <w:t>金额</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u w:val="single"/>
              </w:rPr>
            </w:pP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元</w:t>
            </w: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239"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rPr>
            </w:pPr>
            <w:r>
              <w:rPr>
                <w:rFonts w:hint="eastAsia" w:ascii="宋体" w:hAnsi="宋体" w:eastAsia="宋体" w:cs="宋体"/>
                <w:sz w:val="24"/>
              </w:rPr>
              <w:t>……</w:t>
            </w:r>
          </w:p>
        </w:tc>
        <w:tc>
          <w:tcPr>
            <w:tcW w:w="2605"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rPr>
            </w:pPr>
            <w:r>
              <w:rPr>
                <w:rFonts w:hint="eastAsia" w:ascii="宋体" w:hAnsi="宋体" w:eastAsia="宋体" w:cs="宋体"/>
                <w:sz w:val="24"/>
              </w:rPr>
              <w:t>……</w:t>
            </w:r>
          </w:p>
        </w:tc>
        <w:tc>
          <w:tcPr>
            <w:tcW w:w="2233"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sz w:val="24"/>
              </w:rPr>
            </w:pPr>
            <w:r>
              <w:rPr>
                <w:rFonts w:hint="eastAsia" w:ascii="宋体" w:hAnsi="宋体" w:eastAsia="宋体" w:cs="宋体"/>
                <w:sz w:val="24"/>
              </w:rPr>
              <w:t>……</w:t>
            </w:r>
          </w:p>
        </w:tc>
        <w:tc>
          <w:tcPr>
            <w:tcW w:w="2547"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rPr>
            </w:pPr>
            <w:r>
              <w:rPr>
                <w:rFonts w:hint="eastAsia" w:ascii="宋体" w:hAnsi="宋体" w:eastAsia="宋体" w:cs="宋体"/>
                <w:sz w:val="24"/>
              </w:rPr>
              <w:t>……</w:t>
            </w:r>
          </w:p>
        </w:tc>
        <w:tc>
          <w:tcPr>
            <w:tcW w:w="1354" w:type="dxa"/>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center"/>
              <w:textAlignment w:val="auto"/>
              <w:rPr>
                <w:rFonts w:hint="eastAsia" w:ascii="宋体" w:hAnsi="宋体" w:eastAsia="宋体" w:cs="宋体"/>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9978" w:type="dxa"/>
            <w:gridSpan w:val="5"/>
            <w:noWrap/>
            <w:vAlign w:val="center"/>
          </w:tcPr>
          <w:p>
            <w:pPr>
              <w:keepNext w:val="0"/>
              <w:keepLines w:val="0"/>
              <w:pageBreakBefore w:val="0"/>
              <w:widowControl w:val="0"/>
              <w:kinsoku/>
              <w:wordWrap w:val="0"/>
              <w:overflowPunct/>
              <w:topLinePunct w:val="0"/>
              <w:autoSpaceDE/>
              <w:autoSpaceDN/>
              <w:bidi w:val="0"/>
              <w:adjustRightInd/>
              <w:snapToGrid/>
              <w:spacing w:line="440" w:lineRule="exact"/>
              <w:jc w:val="left"/>
              <w:textAlignment w:val="auto"/>
              <w:rPr>
                <w:rFonts w:hint="eastAsia" w:ascii="宋体" w:hAnsi="宋体" w:eastAsia="宋体" w:cs="宋体"/>
                <w:sz w:val="24"/>
              </w:rPr>
            </w:pPr>
            <w:r>
              <w:rPr>
                <w:rFonts w:hint="eastAsia" w:ascii="宋体" w:hAnsi="宋体" w:eastAsia="宋体" w:cs="宋体"/>
                <w:sz w:val="24"/>
              </w:rPr>
              <w:t>备注：</w:t>
            </w:r>
            <w:r>
              <w:rPr>
                <w:rFonts w:hint="eastAsia" w:ascii="宋体" w:hAnsi="宋体" w:eastAsia="宋体" w:cs="宋体"/>
                <w:sz w:val="24"/>
                <w:lang w:eastAsia="zh-CN"/>
              </w:rPr>
              <w:t>供应商</w:t>
            </w:r>
            <w:r>
              <w:rPr>
                <w:rFonts w:hint="eastAsia" w:ascii="宋体" w:hAnsi="宋体" w:eastAsia="宋体" w:cs="宋体"/>
                <w:sz w:val="24"/>
              </w:rPr>
              <w:t>在响应</w:t>
            </w:r>
            <w:r>
              <w:rPr>
                <w:rFonts w:hint="eastAsia" w:ascii="宋体" w:hAnsi="宋体" w:eastAsia="宋体" w:cs="宋体"/>
                <w:sz w:val="24"/>
                <w:lang w:eastAsia="zh-CN"/>
              </w:rPr>
              <w:t>磋商文件</w:t>
            </w:r>
            <w:r>
              <w:rPr>
                <w:rFonts w:hint="eastAsia" w:ascii="宋体" w:hAnsi="宋体" w:eastAsia="宋体" w:cs="宋体"/>
                <w:sz w:val="24"/>
              </w:rPr>
              <w:t>中规定的实质性要求和条件的基础上，可做出其他有利于</w:t>
            </w:r>
            <w:r>
              <w:rPr>
                <w:rFonts w:hint="eastAsia" w:ascii="宋体" w:hAnsi="宋体" w:eastAsia="宋体" w:cs="宋体"/>
                <w:sz w:val="24"/>
                <w:lang w:eastAsia="zh-CN"/>
              </w:rPr>
              <w:t>采购人</w:t>
            </w:r>
            <w:r>
              <w:rPr>
                <w:rFonts w:hint="eastAsia" w:ascii="宋体" w:hAnsi="宋体" w:eastAsia="宋体" w:cs="宋体"/>
                <w:sz w:val="24"/>
              </w:rPr>
              <w:t>的承诺。此类承诺可在本表中予以补充填写。</w:t>
            </w:r>
          </w:p>
        </w:tc>
      </w:tr>
    </w:tbl>
    <w:p>
      <w:pPr>
        <w:keepNext w:val="0"/>
        <w:keepLines w:val="0"/>
        <w:pageBreakBefore w:val="0"/>
        <w:widowControl w:val="0"/>
        <w:kinsoku/>
        <w:wordWrap w:val="0"/>
        <w:overflowPunct/>
        <w:topLinePunct w:val="0"/>
        <w:autoSpaceDE/>
        <w:autoSpaceDN/>
        <w:bidi w:val="0"/>
        <w:adjustRightInd/>
        <w:snapToGrid/>
        <w:spacing w:line="240" w:lineRule="auto"/>
        <w:ind w:firstLine="480" w:firstLineChars="200"/>
        <w:jc w:val="left"/>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spacing w:before="143" w:beforeLines="50" w:line="480" w:lineRule="auto"/>
        <w:ind w:firstLine="480" w:firstLineChars="200"/>
        <w:jc w:val="left"/>
        <w:textAlignment w:val="auto"/>
        <w:outlineLvl w:val="9"/>
        <w:rPr>
          <w:rFonts w:hint="eastAsia" w:ascii="宋体" w:hAnsi="宋体" w:eastAsia="宋体" w:cs="宋体"/>
          <w:sz w:val="24"/>
          <w:szCs w:val="24"/>
          <w:lang w:val="en-US"/>
        </w:rPr>
      </w:pPr>
      <w:r>
        <w:rPr>
          <w:rFonts w:hint="eastAsia" w:ascii="宋体" w:hAnsi="宋体" w:cs="宋体"/>
          <w:sz w:val="24"/>
          <w:szCs w:val="24"/>
          <w:lang w:eastAsia="zh-CN"/>
        </w:rPr>
        <w:t>供 应 商</w:t>
      </w:r>
      <w:r>
        <w:rPr>
          <w:rFonts w:hint="eastAsia" w:ascii="宋体" w:hAnsi="宋体" w:eastAsia="宋体" w:cs="宋体"/>
          <w:sz w:val="24"/>
          <w:szCs w:val="24"/>
          <w:lang w:eastAsia="zh-CN"/>
        </w:rPr>
        <w:t>（盖章）</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或其委托代理人（签字</w:t>
      </w:r>
      <w:r>
        <w:rPr>
          <w:rFonts w:hint="eastAsia" w:ascii="宋体" w:hAnsi="宋体" w:eastAsia="宋体" w:cs="宋体"/>
          <w:sz w:val="24"/>
          <w:szCs w:val="24"/>
          <w:lang w:eastAsia="zh-CN"/>
        </w:rPr>
        <w:t>或盖章</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color w:val="000000"/>
          <w:sz w:val="24"/>
          <w:szCs w:val="24"/>
          <w:u w:val="none"/>
          <w:lang w:eastAsia="zh-CN"/>
        </w:rPr>
        <w:t>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日</w:t>
      </w:r>
    </w:p>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1"/>
        <w:rPr>
          <w:rFonts w:hint="eastAsia" w:ascii="宋体" w:hAnsi="宋体" w:eastAsia="宋体" w:cs="宋体"/>
          <w:b/>
          <w:sz w:val="28"/>
          <w:szCs w:val="28"/>
        </w:rPr>
      </w:pPr>
      <w:r>
        <w:rPr>
          <w:rFonts w:hint="eastAsia" w:ascii="宋体" w:hAnsi="宋体" w:eastAsia="宋体" w:cs="宋体"/>
          <w:bCs/>
          <w:sz w:val="24"/>
          <w:szCs w:val="18"/>
          <w:lang w:val="zh-CN"/>
        </w:rPr>
        <w:br w:type="page"/>
      </w:r>
      <w:bookmarkStart w:id="331" w:name="_Toc17583"/>
      <w:r>
        <w:rPr>
          <w:rFonts w:hint="eastAsia" w:ascii="宋体" w:hAnsi="宋体" w:eastAsia="宋体" w:cs="宋体"/>
          <w:b/>
          <w:bCs/>
          <w:sz w:val="32"/>
          <w:szCs w:val="32"/>
        </w:rPr>
        <w:t>二、法定代表人身份证明</w:t>
      </w:r>
      <w:bookmarkEnd w:id="309"/>
      <w:bookmarkEnd w:id="310"/>
      <w:bookmarkEnd w:id="331"/>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u w:val="single"/>
        </w:rPr>
      </w:pPr>
      <w:r>
        <w:rPr>
          <w:rFonts w:hint="eastAsia" w:ascii="宋体" w:hAnsi="宋体" w:cs="宋体"/>
          <w:color w:val="000000"/>
          <w:sz w:val="24"/>
          <w:szCs w:val="24"/>
          <w:lang w:eastAsia="zh-CN"/>
        </w:rPr>
        <w:t>供 应 商</w:t>
      </w:r>
      <w:r>
        <w:rPr>
          <w:rFonts w:hint="eastAsia" w:ascii="宋体" w:hAnsi="宋体" w:eastAsia="宋体" w:cs="宋体"/>
          <w:color w:val="000000"/>
          <w:sz w:val="24"/>
          <w:szCs w:val="24"/>
        </w:rPr>
        <w:t>：</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单位性质：</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000000"/>
          <w:sz w:val="24"/>
          <w:szCs w:val="24"/>
        </w:rPr>
      </w:pPr>
      <w:r>
        <w:rPr>
          <w:rFonts w:hint="eastAsia" w:ascii="宋体" w:hAnsi="宋体" w:eastAsia="宋体" w:cs="宋体"/>
          <w:sz w:val="24"/>
          <w:szCs w:val="24"/>
        </w:rPr>
        <w:t>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址：</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成立时间：</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日</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经营期限：</w:t>
      </w:r>
      <w:r>
        <w:rPr>
          <w:rFonts w:hint="eastAsia" w:ascii="宋体" w:hAnsi="宋体" w:eastAsia="宋体" w:cs="宋体"/>
          <w:color w:val="000000"/>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u w:val="single"/>
        </w:rPr>
      </w:pPr>
      <w:r>
        <w:rPr>
          <w:rFonts w:hint="eastAsia" w:ascii="宋体" w:hAnsi="宋体" w:eastAsia="宋体" w:cs="宋体"/>
          <w:color w:val="000000"/>
          <w:sz w:val="24"/>
          <w:szCs w:val="24"/>
        </w:rPr>
        <w:t>姓名：</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性别：</w:t>
      </w:r>
      <w:bookmarkStart w:id="332" w:name="_Toc352691662"/>
      <w:bookmarkStart w:id="333" w:name="_Toc369531698"/>
      <w:bookmarkStart w:id="334" w:name="_Toc27897"/>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年</w:t>
      </w:r>
      <w:bookmarkEnd w:id="332"/>
      <w:bookmarkEnd w:id="333"/>
      <w:bookmarkEnd w:id="334"/>
      <w:r>
        <w:rPr>
          <w:rFonts w:hint="eastAsia" w:ascii="宋体" w:hAnsi="宋体" w:eastAsia="宋体" w:cs="宋体"/>
          <w:color w:val="000000"/>
          <w:sz w:val="24"/>
          <w:szCs w:val="24"/>
        </w:rPr>
        <w:t>龄</w:t>
      </w:r>
      <w:bookmarkStart w:id="335" w:name="_Toc15573"/>
      <w:bookmarkStart w:id="336" w:name="_Toc152045789"/>
      <w:bookmarkStart w:id="337" w:name="_Toc247527829"/>
      <w:bookmarkStart w:id="338" w:name="_Toc384308377"/>
      <w:bookmarkStart w:id="339" w:name="_Toc300835211"/>
      <w:bookmarkStart w:id="340" w:name="_Toc152042578"/>
      <w:bookmarkStart w:id="341" w:name="_Toc352691663"/>
      <w:bookmarkStart w:id="342" w:name="_Toc361508754"/>
      <w:bookmarkStart w:id="343" w:name="_Toc247514248"/>
      <w:bookmarkStart w:id="344" w:name="_Toc369531699"/>
      <w:bookmarkStart w:id="345" w:name="_Toc144974858"/>
      <w:r>
        <w:rPr>
          <w:rFonts w:hint="eastAsia" w:ascii="宋体" w:hAnsi="宋体" w:eastAsia="宋体" w:cs="宋体"/>
          <w:color w:val="000000"/>
          <w:sz w:val="24"/>
          <w:szCs w:val="24"/>
        </w:rPr>
        <w:t>：</w:t>
      </w:r>
      <w:bookmarkEnd w:id="335"/>
      <w:bookmarkEnd w:id="336"/>
      <w:bookmarkEnd w:id="337"/>
      <w:bookmarkEnd w:id="338"/>
      <w:bookmarkEnd w:id="339"/>
      <w:bookmarkEnd w:id="340"/>
      <w:bookmarkEnd w:id="341"/>
      <w:bookmarkEnd w:id="342"/>
      <w:bookmarkEnd w:id="343"/>
      <w:bookmarkEnd w:id="344"/>
      <w:bookmarkEnd w:id="345"/>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职务：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系</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名称）的法定代表人。</w:t>
      </w:r>
    </w:p>
    <w:p>
      <w:pPr>
        <w:keepNext w:val="0"/>
        <w:keepLines w:val="0"/>
        <w:pageBreakBefore w:val="0"/>
        <w:widowControl w:val="0"/>
        <w:kinsoku/>
        <w:wordWrap w:val="0"/>
        <w:overflowPunct/>
        <w:topLinePunct w:val="0"/>
        <w:autoSpaceDE/>
        <w:autoSpaceDN/>
        <w:bidi w:val="0"/>
        <w:adjustRightInd/>
        <w:snapToGrid/>
        <w:spacing w:line="440" w:lineRule="exact"/>
        <w:ind w:firstLine="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特此证明。</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000000"/>
          <w:sz w:val="24"/>
          <w:szCs w:val="24"/>
        </w:rPr>
      </w:pPr>
    </w:p>
    <w:p>
      <w:pPr>
        <w:pStyle w:val="2"/>
        <w:keepNext w:val="0"/>
        <w:keepLines w:val="0"/>
        <w:pageBreakBefore w:val="0"/>
        <w:widowControl w:val="0"/>
        <w:kinsoku/>
        <w:wordWrap w:val="0"/>
        <w:overflowPunct/>
        <w:topLinePunct w:val="0"/>
        <w:autoSpaceDE/>
        <w:autoSpaceDN/>
        <w:bidi w:val="0"/>
        <w:rPr>
          <w:rFonts w:hint="eastAsia" w:ascii="宋体" w:hAnsi="宋体" w:eastAsia="宋体" w:cs="宋体"/>
          <w:color w:val="000000"/>
          <w:sz w:val="24"/>
          <w:szCs w:val="24"/>
        </w:rPr>
      </w:pPr>
    </w:p>
    <w:p>
      <w:pPr>
        <w:pStyle w:val="2"/>
        <w:keepNext w:val="0"/>
        <w:keepLines w:val="0"/>
        <w:pageBreakBefore w:val="0"/>
        <w:widowControl w:val="0"/>
        <w:kinsoku/>
        <w:wordWrap w:val="0"/>
        <w:overflowPunct/>
        <w:topLinePunct w:val="0"/>
        <w:autoSpaceDE/>
        <w:autoSpaceDN/>
        <w:bidi w:val="0"/>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附：法定代表人身份证复印件</w:t>
      </w:r>
      <w:r>
        <w:rPr>
          <w:rFonts w:hint="eastAsia" w:ascii="宋体" w:hAnsi="宋体" w:eastAsia="宋体" w:cs="宋体"/>
          <w:sz w:val="24"/>
        </w:rPr>
        <w:t>正反面</w:t>
      </w:r>
      <w:r>
        <w:rPr>
          <w:rFonts w:hint="eastAsia" w:ascii="宋体" w:hAnsi="宋体" w:eastAsia="宋体" w:cs="宋体"/>
          <w:color w:val="000000"/>
          <w:sz w:val="24"/>
          <w:szCs w:val="24"/>
        </w:rPr>
        <w:t>。</w:t>
      </w:r>
    </w:p>
    <w:p>
      <w:pPr>
        <w:keepNext w:val="0"/>
        <w:keepLines w:val="0"/>
        <w:pageBreakBefore w:val="0"/>
        <w:widowControl w:val="0"/>
        <w:kinsoku/>
        <w:wordWrap w:val="0"/>
        <w:overflowPunct/>
        <w:topLinePunct w:val="0"/>
        <w:autoSpaceDE/>
        <w:autoSpaceDN/>
        <w:bidi w:val="0"/>
        <w:spacing w:line="440" w:lineRule="exact"/>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注：本身份证明需由</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加盖单位公章。</w:t>
      </w:r>
    </w:p>
    <w:p>
      <w:pPr>
        <w:pStyle w:val="61"/>
        <w:keepNext w:val="0"/>
        <w:keepLines w:val="0"/>
        <w:pageBreakBefore w:val="0"/>
        <w:widowControl w:val="0"/>
        <w:kinsoku/>
        <w:wordWrap w:val="0"/>
        <w:overflowPunct/>
        <w:topLinePunct w:val="0"/>
        <w:autoSpaceDE/>
        <w:autoSpaceDN/>
        <w:bidi w:val="0"/>
        <w:adjustRightInd/>
        <w:snapToGrid/>
        <w:spacing w:line="440" w:lineRule="exact"/>
        <w:ind w:left="0" w:leftChars="0" w:firstLine="0" w:firstLineChars="0"/>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000000"/>
          <w:sz w:val="24"/>
          <w:szCs w:val="24"/>
        </w:rPr>
      </w:pP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rPr>
      </w:pP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adjustRightInd/>
        <w:snapToGrid/>
        <w:spacing w:line="480" w:lineRule="auto"/>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供</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应</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商</w:t>
      </w:r>
      <w:r>
        <w:rPr>
          <w:rFonts w:hint="eastAsia" w:ascii="宋体" w:hAnsi="宋体" w:eastAsia="宋体" w:cs="宋体"/>
          <w:color w:val="000000"/>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24"/>
          <w:szCs w:val="24"/>
        </w:rPr>
        <w:t>（盖单位章）</w:t>
      </w:r>
    </w:p>
    <w:p>
      <w:pPr>
        <w:keepNext w:val="0"/>
        <w:keepLines w:val="0"/>
        <w:pageBreakBefore w:val="0"/>
        <w:widowControl w:val="0"/>
        <w:kinsoku/>
        <w:wordWrap w:val="0"/>
        <w:overflowPunct/>
        <w:topLinePunct w:val="0"/>
        <w:autoSpaceDE/>
        <w:autoSpaceDN/>
        <w:bidi w:val="0"/>
        <w:adjustRightInd/>
        <w:snapToGrid/>
        <w:spacing w:beforeLines="50" w:afterLines="50" w:line="480" w:lineRule="auto"/>
        <w:jc w:val="right"/>
        <w:textAlignment w:val="auto"/>
        <w:outlineLvl w:val="9"/>
        <w:rPr>
          <w:rFonts w:hint="eastAsia" w:ascii="宋体" w:hAnsi="宋体" w:eastAsia="宋体" w:cs="宋体"/>
          <w:sz w:val="24"/>
        </w:rPr>
      </w:pPr>
      <w:r>
        <w:rPr>
          <w:rFonts w:hint="eastAsia" w:ascii="宋体" w:hAnsi="宋体" w:eastAsia="宋体" w:cs="宋体"/>
          <w:sz w:val="24"/>
        </w:rPr>
        <w:t>法定代表人：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rPr>
        <w:t>（签字）</w:t>
      </w:r>
    </w:p>
    <w:p>
      <w:pPr>
        <w:keepNext w:val="0"/>
        <w:keepLines w:val="0"/>
        <w:pageBreakBefore w:val="0"/>
        <w:widowControl w:val="0"/>
        <w:kinsoku/>
        <w:wordWrap w:val="0"/>
        <w:overflowPunct/>
        <w:topLinePunct w:val="0"/>
        <w:autoSpaceDE/>
        <w:autoSpaceDN/>
        <w:bidi w:val="0"/>
        <w:adjustRightInd/>
        <w:snapToGrid/>
        <w:spacing w:line="480" w:lineRule="auto"/>
        <w:ind w:firstLine="4080" w:firstLineChars="1700"/>
        <w:textAlignment w:val="auto"/>
        <w:outlineLvl w:val="9"/>
        <w:rPr>
          <w:rFonts w:hint="eastAsia" w:ascii="宋体" w:hAnsi="宋体" w:eastAsia="宋体" w:cs="宋体"/>
          <w:b/>
          <w:bCs/>
          <w:sz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日</w:t>
      </w:r>
    </w:p>
    <w:p>
      <w:pPr>
        <w:keepNext w:val="0"/>
        <w:keepLines w:val="0"/>
        <w:pageBreakBefore w:val="0"/>
        <w:widowControl w:val="0"/>
        <w:kinsoku/>
        <w:wordWrap w:val="0"/>
        <w:overflowPunct/>
        <w:topLinePunct w:val="0"/>
        <w:autoSpaceDE/>
        <w:autoSpaceDN/>
        <w:bidi w:val="0"/>
        <w:jc w:val="left"/>
        <w:outlineLvl w:val="9"/>
        <w:rPr>
          <w:rFonts w:hint="eastAsia" w:ascii="宋体" w:hAnsi="宋体" w:eastAsia="宋体" w:cs="宋体"/>
        </w:rPr>
      </w:pPr>
      <w:bookmarkStart w:id="346" w:name="_Toc29384856"/>
      <w:bookmarkStart w:id="347" w:name="_Toc24585"/>
      <w:r>
        <w:rPr>
          <w:rFonts w:hint="eastAsia" w:ascii="宋体" w:hAnsi="宋体" w:eastAsia="宋体" w:cs="宋体"/>
        </w:rPr>
        <w:br w:type="page"/>
      </w:r>
    </w:p>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1"/>
        <w:rPr>
          <w:rFonts w:hint="eastAsia" w:ascii="宋体" w:hAnsi="宋体" w:eastAsia="宋体" w:cs="宋体"/>
          <w:b/>
          <w:bCs/>
          <w:sz w:val="32"/>
          <w:szCs w:val="32"/>
        </w:rPr>
      </w:pPr>
      <w:bookmarkStart w:id="348" w:name="_Toc1445"/>
      <w:r>
        <w:rPr>
          <w:rFonts w:hint="eastAsia" w:ascii="宋体" w:hAnsi="宋体" w:eastAsia="宋体" w:cs="宋体"/>
          <w:b/>
          <w:bCs/>
          <w:sz w:val="32"/>
          <w:szCs w:val="32"/>
        </w:rPr>
        <w:t>二、授权委托书</w:t>
      </w:r>
      <w:bookmarkEnd w:id="346"/>
      <w:bookmarkEnd w:id="347"/>
      <w:bookmarkEnd w:id="348"/>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本人</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（姓名）系</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名称）的法定代表人，现委托</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（姓名）为我方代理人。代理人根据授权，以我方名义签署、澄清、说明、补正、递交、撤回、修改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标段施工</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、签订合同和处理有关事宜，其法律后果由我方承担。</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委托期限：</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代理人无转委托权。</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000000"/>
          <w:sz w:val="24"/>
          <w:szCs w:val="24"/>
        </w:rPr>
      </w:pP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rPr>
      </w:pPr>
    </w:p>
    <w:p>
      <w:pPr>
        <w:keepNext w:val="0"/>
        <w:keepLines w:val="0"/>
        <w:pageBreakBefore w:val="0"/>
        <w:widowControl w:val="0"/>
        <w:kinsoku/>
        <w:wordWrap w:val="0"/>
        <w:overflowPunct/>
        <w:topLinePunct w:val="0"/>
        <w:autoSpaceDE/>
        <w:autoSpaceDN/>
        <w:bidi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附：委托代理人身份证复印件正反面。</w:t>
      </w:r>
    </w:p>
    <w:p>
      <w:pPr>
        <w:keepNext w:val="0"/>
        <w:keepLines w:val="0"/>
        <w:pageBreakBefore w:val="0"/>
        <w:widowControl w:val="0"/>
        <w:kinsoku/>
        <w:wordWrap w:val="0"/>
        <w:overflowPunct/>
        <w:topLinePunct w:val="0"/>
        <w:autoSpaceDE/>
        <w:autoSpaceDN/>
        <w:bidi w:val="0"/>
        <w:spacing w:line="480" w:lineRule="auto"/>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注：本授权委托书需由</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加盖单位公章并由其法定代表人和委托代理人签字。</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color w:val="000000"/>
          <w:sz w:val="24"/>
          <w:szCs w:val="24"/>
        </w:rPr>
      </w:pP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rPr>
      </w:pP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rPr>
      </w:pP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投  标  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（盖单位章）</w:t>
      </w: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24"/>
          <w:szCs w:val="24"/>
        </w:rPr>
        <w:t>（签字）</w:t>
      </w: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（签字）</w:t>
      </w: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jc w:val="right"/>
        <w:textAlignment w:val="auto"/>
        <w:outlineLvl w:val="9"/>
        <w:rPr>
          <w:rFonts w:hint="eastAsia" w:ascii="宋体" w:hAnsi="宋体" w:eastAsia="宋体" w:cs="宋体"/>
        </w:rPr>
      </w:pPr>
      <w:r>
        <w:rPr>
          <w:rFonts w:hint="eastAsia" w:ascii="宋体" w:hAnsi="宋体" w:eastAsia="宋体" w:cs="宋体"/>
          <w:color w:val="000000"/>
          <w:sz w:val="24"/>
          <w:szCs w:val="24"/>
        </w:rPr>
        <w:t>身份证号码：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bookmarkStart w:id="349" w:name="_Toc493009081"/>
      <w:bookmarkStart w:id="350" w:name="_Toc14721007"/>
      <w:bookmarkStart w:id="351" w:name="_Toc29384857"/>
      <w:bookmarkStart w:id="352" w:name="_Toc14284"/>
    </w:p>
    <w:p>
      <w:pPr>
        <w:keepNext w:val="0"/>
        <w:keepLines w:val="0"/>
        <w:pageBreakBefore w:val="0"/>
        <w:widowControl w:val="0"/>
        <w:kinsoku/>
        <w:wordWrap w:val="0"/>
        <w:overflowPunct/>
        <w:topLinePunct w:val="0"/>
        <w:autoSpaceDE/>
        <w:autoSpaceDN/>
        <w:bidi w:val="0"/>
        <w:jc w:val="left"/>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br w:type="page"/>
      </w:r>
    </w:p>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1"/>
        <w:rPr>
          <w:rFonts w:hint="eastAsia" w:ascii="宋体" w:hAnsi="宋体" w:eastAsia="宋体" w:cs="宋体"/>
          <w:sz w:val="24"/>
          <w:szCs w:val="24"/>
          <w:u w:val="none"/>
        </w:rPr>
      </w:pPr>
      <w:bookmarkStart w:id="353" w:name="_Toc21861"/>
      <w:r>
        <w:rPr>
          <w:rFonts w:hint="eastAsia" w:ascii="宋体" w:hAnsi="宋体" w:eastAsia="宋体" w:cs="宋体"/>
          <w:b/>
          <w:bCs/>
          <w:sz w:val="32"/>
          <w:szCs w:val="32"/>
        </w:rPr>
        <w:t>三、联合体协议书</w:t>
      </w:r>
      <w:bookmarkEnd w:id="349"/>
      <w:bookmarkEnd w:id="350"/>
      <w:r>
        <w:rPr>
          <w:rFonts w:hint="eastAsia" w:ascii="宋体" w:hAnsi="宋体" w:eastAsia="宋体" w:cs="宋体"/>
          <w:b/>
          <w:bCs/>
          <w:sz w:val="32"/>
          <w:szCs w:val="32"/>
        </w:rPr>
        <w:t>（如有）</w:t>
      </w:r>
      <w:bookmarkEnd w:id="351"/>
      <w:bookmarkEnd w:id="352"/>
      <w:bookmarkEnd w:id="353"/>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single"/>
        </w:rPr>
      </w:pPr>
      <w:bookmarkStart w:id="354" w:name="_Toc29389"/>
      <w:bookmarkStart w:id="355" w:name="_Toc29384858"/>
      <w:r>
        <w:rPr>
          <w:rFonts w:hint="eastAsia" w:ascii="宋体" w:hAnsi="宋体" w:eastAsia="宋体" w:cs="宋体"/>
          <w:sz w:val="24"/>
          <w:szCs w:val="24"/>
          <w:u w:val="none"/>
        </w:rPr>
        <w:t>牵头人名称：</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single"/>
        </w:rPr>
      </w:pPr>
      <w:r>
        <w:rPr>
          <w:rFonts w:hint="eastAsia" w:ascii="宋体" w:hAnsi="宋体" w:eastAsia="宋体" w:cs="宋体"/>
          <w:sz w:val="24"/>
          <w:szCs w:val="24"/>
          <w:u w:val="none"/>
        </w:rPr>
        <w:t>法定代表人：</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single"/>
        </w:rPr>
      </w:pPr>
      <w:r>
        <w:rPr>
          <w:rFonts w:hint="eastAsia" w:ascii="宋体" w:hAnsi="宋体" w:eastAsia="宋体" w:cs="宋体"/>
          <w:sz w:val="24"/>
          <w:szCs w:val="24"/>
          <w:u w:val="none"/>
        </w:rPr>
        <w:t>法定住所：</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single"/>
        </w:rPr>
      </w:pPr>
      <w:r>
        <w:rPr>
          <w:rFonts w:hint="eastAsia" w:ascii="宋体" w:hAnsi="宋体" w:eastAsia="宋体" w:cs="宋体"/>
          <w:sz w:val="24"/>
          <w:szCs w:val="24"/>
          <w:u w:val="none"/>
        </w:rPr>
        <w:t>成员二名称：</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single"/>
        </w:rPr>
      </w:pPr>
      <w:r>
        <w:rPr>
          <w:rFonts w:hint="eastAsia" w:ascii="宋体" w:hAnsi="宋体" w:eastAsia="宋体" w:cs="宋体"/>
          <w:sz w:val="24"/>
          <w:szCs w:val="24"/>
          <w:u w:val="none"/>
        </w:rPr>
        <w:t>法定代表人：</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single"/>
        </w:rPr>
      </w:pPr>
      <w:r>
        <w:rPr>
          <w:rFonts w:hint="eastAsia" w:ascii="宋体" w:hAnsi="宋体" w:eastAsia="宋体" w:cs="宋体"/>
          <w:sz w:val="24"/>
          <w:szCs w:val="24"/>
          <w:u w:val="none"/>
        </w:rPr>
        <w:t>法定住所：</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鉴于上述各成员单位经过友好协商，自愿组成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（联合体名称）联合体，共同参加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名称）（以下简称</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标段（以下简称本工程）的施工投标并争取赢得本工程施工承包合同（以下简称合同）。现就联合体投标事宜订立如下协议：</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（某成员单位名称）为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（联合体名称）牵头人。</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2．在本工程投标阶段，联合体牵头人合法代表联合体各成员负责本工程</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编制活动，代表联合体提交和接收相关的资料、信息及指示，并处理与投标和中标有关的一切事务；联合体中标后，联合体牵头人负责合同订立和合同实施阶段的主办、组织和协调工作。</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3．联合体将严格按照</w:t>
      </w:r>
      <w:r>
        <w:rPr>
          <w:rFonts w:hint="eastAsia" w:ascii="宋体" w:hAnsi="宋体" w:eastAsia="宋体" w:cs="宋体"/>
          <w:color w:val="000000"/>
          <w:sz w:val="24"/>
          <w:szCs w:val="24"/>
          <w:lang w:eastAsia="zh-CN"/>
        </w:rPr>
        <w:t>磋商文件</w:t>
      </w:r>
      <w:r>
        <w:rPr>
          <w:rFonts w:hint="eastAsia" w:ascii="宋体" w:hAnsi="宋体" w:eastAsia="宋体" w:cs="宋体"/>
          <w:color w:val="000000"/>
          <w:sz w:val="24"/>
          <w:szCs w:val="24"/>
        </w:rPr>
        <w:t>的各项要求，递交</w:t>
      </w:r>
      <w:r>
        <w:rPr>
          <w:rFonts w:hint="eastAsia" w:ascii="宋体" w:hAnsi="宋体" w:eastAsia="宋体" w:cs="宋体"/>
          <w:color w:val="000000"/>
          <w:sz w:val="24"/>
          <w:szCs w:val="24"/>
          <w:lang w:eastAsia="zh-CN"/>
        </w:rPr>
        <w:t>响应文件</w:t>
      </w:r>
      <w:r>
        <w:rPr>
          <w:rFonts w:hint="eastAsia" w:ascii="宋体" w:hAnsi="宋体" w:eastAsia="宋体" w:cs="宋体"/>
          <w:color w:val="000000"/>
          <w:sz w:val="24"/>
          <w:szCs w:val="24"/>
        </w:rPr>
        <w:t>，履行投标义务和中标后的合同，共同承担合同规定的一切义务和责任，联合体各成员单位按照内部职责的部分，承担各自所负的责任和风险，并向</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承担连带责任。</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4．联合体各成员单位内部的职责分工如下：</w:t>
      </w:r>
      <w:r>
        <w:rPr>
          <w:rFonts w:hint="eastAsia" w:ascii="宋体" w:hAnsi="宋体" w:eastAsia="宋体" w:cs="宋体"/>
          <w:b w:val="0"/>
          <w:bCs w:val="0"/>
          <w:color w:val="000000"/>
          <w:sz w:val="24"/>
          <w:szCs w:val="24"/>
          <w:u w:val="single"/>
        </w:rPr>
        <w:t xml:space="preserve">                </w:t>
      </w:r>
      <w:r>
        <w:rPr>
          <w:rFonts w:hint="eastAsia" w:ascii="宋体" w:hAnsi="宋体" w:eastAsia="宋体" w:cs="宋体"/>
          <w:color w:val="000000"/>
          <w:sz w:val="24"/>
          <w:szCs w:val="24"/>
        </w:rPr>
        <w:t>。按照本条上述分工，联合体成员单位各自所承担的合同工作量比例如下：</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5．投标工作和联合体在中标后工程实施过程中的有关费用按各自承担的工作量分摊。</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6．联合体中标后，本联合体协议是合同的附件，对联合体各成员单位有合同约束力。</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7．本协议书自签署之日起生效，联合体未中标或者中标时合同履行完毕后自动失效。</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rPr>
      </w:pPr>
      <w:r>
        <w:rPr>
          <w:rFonts w:hint="eastAsia" w:ascii="宋体" w:hAnsi="宋体" w:eastAsia="宋体" w:cs="宋体"/>
          <w:color w:val="000000"/>
          <w:sz w:val="24"/>
          <w:szCs w:val="24"/>
        </w:rPr>
        <w:t>8．本协议书一式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份，联合体成员和</w:t>
      </w:r>
      <w:r>
        <w:rPr>
          <w:rFonts w:hint="eastAsia" w:ascii="宋体" w:hAnsi="宋体" w:eastAsia="宋体" w:cs="宋体"/>
          <w:color w:val="000000"/>
          <w:sz w:val="24"/>
          <w:szCs w:val="24"/>
          <w:lang w:eastAsia="zh-CN"/>
        </w:rPr>
        <w:t>采购人</w:t>
      </w:r>
      <w:r>
        <w:rPr>
          <w:rFonts w:hint="eastAsia" w:ascii="宋体" w:hAnsi="宋体" w:eastAsia="宋体" w:cs="宋体"/>
          <w:color w:val="000000"/>
          <w:sz w:val="24"/>
          <w:szCs w:val="24"/>
        </w:rPr>
        <w:t>各执一份。</w:t>
      </w:r>
    </w:p>
    <w:p>
      <w:pPr>
        <w:keepNext w:val="0"/>
        <w:keepLines w:val="0"/>
        <w:pageBreakBefore w:val="0"/>
        <w:widowControl w:val="0"/>
        <w:kinsoku/>
        <w:wordWrap w:val="0"/>
        <w:overflowPunct/>
        <w:topLinePunct w:val="0"/>
        <w:autoSpaceDE/>
        <w:autoSpaceDN/>
        <w:bidi w:val="0"/>
        <w:adjustRightInd/>
        <w:snapToGrid/>
        <w:spacing w:line="440" w:lineRule="exact"/>
        <w:ind w:firstLine="2880" w:firstLineChars="1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牵头人名称：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24"/>
          <w:szCs w:val="24"/>
        </w:rPr>
        <w:t>（盖单位章）</w:t>
      </w:r>
    </w:p>
    <w:p>
      <w:pPr>
        <w:keepNext w:val="0"/>
        <w:keepLines w:val="0"/>
        <w:pageBreakBefore w:val="0"/>
        <w:widowControl w:val="0"/>
        <w:kinsoku/>
        <w:wordWrap w:val="0"/>
        <w:overflowPunct/>
        <w:topLinePunct w:val="0"/>
        <w:autoSpaceDE/>
        <w:autoSpaceDN/>
        <w:bidi w:val="0"/>
        <w:adjustRightInd/>
        <w:snapToGrid/>
        <w:spacing w:line="440" w:lineRule="exact"/>
        <w:ind w:firstLine="2880" w:firstLineChars="1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24"/>
          <w:szCs w:val="24"/>
        </w:rPr>
        <w:t>（签字）</w:t>
      </w:r>
    </w:p>
    <w:p>
      <w:pPr>
        <w:keepNext w:val="0"/>
        <w:keepLines w:val="0"/>
        <w:pageBreakBefore w:val="0"/>
        <w:widowControl w:val="0"/>
        <w:kinsoku/>
        <w:wordWrap w:val="0"/>
        <w:overflowPunct/>
        <w:topLinePunct w:val="0"/>
        <w:autoSpaceDE/>
        <w:autoSpaceDN/>
        <w:bidi w:val="0"/>
        <w:adjustRightInd/>
        <w:snapToGrid/>
        <w:spacing w:line="440" w:lineRule="exact"/>
        <w:ind w:firstLine="2880" w:firstLineChars="1200"/>
        <w:jc w:val="right"/>
        <w:textAlignment w:val="auto"/>
        <w:outlineLvl w:val="9"/>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autoSpaceDN/>
        <w:bidi w:val="0"/>
        <w:adjustRightInd/>
        <w:snapToGrid/>
        <w:spacing w:line="440" w:lineRule="exact"/>
        <w:ind w:firstLine="2880" w:firstLineChars="1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成员</w:t>
      </w:r>
      <w:r>
        <w:rPr>
          <w:rFonts w:hint="eastAsia" w:ascii="宋体" w:hAnsi="宋体" w:eastAsia="宋体" w:cs="宋体"/>
          <w:color w:val="000000"/>
          <w:sz w:val="24"/>
          <w:szCs w:val="24"/>
          <w:lang w:eastAsia="zh-CN"/>
        </w:rPr>
        <w:t>二</w:t>
      </w:r>
      <w:r>
        <w:rPr>
          <w:rFonts w:hint="eastAsia" w:ascii="宋体" w:hAnsi="宋体" w:eastAsia="宋体" w:cs="宋体"/>
          <w:color w:val="000000"/>
          <w:sz w:val="24"/>
          <w:szCs w:val="24"/>
        </w:rPr>
        <w:t>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sz w:val="24"/>
          <w:szCs w:val="24"/>
        </w:rPr>
        <w:t>（盖单位章）</w:t>
      </w:r>
    </w:p>
    <w:p>
      <w:pPr>
        <w:keepNext w:val="0"/>
        <w:keepLines w:val="0"/>
        <w:pageBreakBefore w:val="0"/>
        <w:widowControl w:val="0"/>
        <w:kinsoku/>
        <w:wordWrap w:val="0"/>
        <w:overflowPunct/>
        <w:topLinePunct w:val="0"/>
        <w:autoSpaceDE/>
        <w:autoSpaceDN/>
        <w:bidi w:val="0"/>
        <w:adjustRightInd/>
        <w:snapToGrid/>
        <w:spacing w:line="440" w:lineRule="exact"/>
        <w:ind w:firstLine="2880" w:firstLineChars="1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rPr>
        <w:t>（签字）</w:t>
      </w:r>
    </w:p>
    <w:p>
      <w:pPr>
        <w:keepNext w:val="0"/>
        <w:keepLines w:val="0"/>
        <w:pageBreakBefore w:val="0"/>
        <w:widowControl w:val="0"/>
        <w:kinsoku/>
        <w:wordWrap w:val="0"/>
        <w:overflowPunct/>
        <w:topLinePunct w:val="0"/>
        <w:autoSpaceDE/>
        <w:autoSpaceDN/>
        <w:bidi w:val="0"/>
        <w:adjustRightInd/>
        <w:snapToGrid/>
        <w:spacing w:line="440" w:lineRule="exact"/>
        <w:ind w:firstLine="2880" w:firstLineChars="1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pPr>
        <w:pStyle w:val="61"/>
        <w:keepNext w:val="0"/>
        <w:keepLines w:val="0"/>
        <w:pageBreakBefore w:val="0"/>
        <w:widowControl w:val="0"/>
        <w:kinsoku/>
        <w:wordWrap w:val="0"/>
        <w:overflowPunct/>
        <w:topLinePunct w:val="0"/>
        <w:autoSpaceDE/>
        <w:autoSpaceDN/>
        <w:bidi w:val="0"/>
        <w:adjustRightInd/>
        <w:snapToGrid/>
        <w:spacing w:line="440" w:lineRule="exact"/>
        <w:ind w:firstLine="2880" w:firstLineChars="1200"/>
        <w:jc w:val="righ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pPr>
        <w:pStyle w:val="61"/>
        <w:keepNext w:val="0"/>
        <w:keepLines w:val="0"/>
        <w:pageBreakBefore w:val="0"/>
        <w:widowControl w:val="0"/>
        <w:kinsoku/>
        <w:wordWrap w:val="0"/>
        <w:overflowPunct/>
        <w:topLinePunct w:val="0"/>
        <w:autoSpaceDE/>
        <w:autoSpaceDN/>
        <w:bidi w:val="0"/>
        <w:spacing w:line="440" w:lineRule="exact"/>
        <w:jc w:val="left"/>
        <w:outlineLvl w:val="9"/>
        <w:rPr>
          <w:rFonts w:hint="eastAsia" w:ascii="宋体" w:hAnsi="宋体" w:eastAsia="宋体" w:cs="宋体"/>
          <w:color w:val="000000"/>
          <w:sz w:val="24"/>
          <w:szCs w:val="24"/>
        </w:rPr>
      </w:pPr>
    </w:p>
    <w:p>
      <w:pPr>
        <w:pStyle w:val="61"/>
        <w:keepNext w:val="0"/>
        <w:keepLines w:val="0"/>
        <w:pageBreakBefore w:val="0"/>
        <w:widowControl w:val="0"/>
        <w:kinsoku/>
        <w:wordWrap w:val="0"/>
        <w:overflowPunct/>
        <w:topLinePunct w:val="0"/>
        <w:autoSpaceDE/>
        <w:autoSpaceDN/>
        <w:bidi w:val="0"/>
        <w:spacing w:line="440" w:lineRule="exact"/>
        <w:ind w:left="0" w:leftChars="0" w:firstLine="0" w:firstLineChars="0"/>
        <w:jc w:val="left"/>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备注：本协议书由委托代理人签字的，应附法定代表人签字的授权委托书。</w:t>
      </w:r>
    </w:p>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1"/>
        <w:rPr>
          <w:rFonts w:hint="eastAsia" w:ascii="宋体" w:hAnsi="宋体" w:eastAsia="宋体" w:cs="宋体"/>
          <w:sz w:val="24"/>
          <w:szCs w:val="24"/>
          <w:u w:val="none"/>
          <w:lang w:eastAsia="zh-CN"/>
        </w:rPr>
      </w:pPr>
      <w:r>
        <w:rPr>
          <w:rFonts w:hint="eastAsia" w:ascii="宋体" w:hAnsi="宋体" w:eastAsia="宋体" w:cs="宋体"/>
          <w:lang w:val="zh-CN"/>
        </w:rPr>
        <w:br w:type="page"/>
      </w:r>
      <w:bookmarkStart w:id="356" w:name="_Toc3827"/>
      <w:r>
        <w:rPr>
          <w:rFonts w:hint="eastAsia" w:ascii="宋体" w:hAnsi="宋体" w:eastAsia="宋体" w:cs="宋体"/>
          <w:b/>
          <w:bCs/>
          <w:sz w:val="32"/>
          <w:szCs w:val="32"/>
        </w:rPr>
        <w:t>四、</w:t>
      </w:r>
      <w:bookmarkEnd w:id="354"/>
      <w:bookmarkEnd w:id="355"/>
      <w:r>
        <w:rPr>
          <w:rFonts w:hint="eastAsia" w:ascii="宋体" w:hAnsi="宋体" w:eastAsia="宋体" w:cs="宋体"/>
          <w:b/>
          <w:bCs/>
          <w:sz w:val="32"/>
          <w:szCs w:val="32"/>
          <w:lang w:eastAsia="zh-CN"/>
        </w:rPr>
        <w:t>磋商保证金</w:t>
      </w:r>
      <w:bookmarkEnd w:id="356"/>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rPr>
      </w:pPr>
      <w:bookmarkStart w:id="357" w:name="_Toc29384859"/>
      <w:bookmarkStart w:id="358" w:name="_Toc22945"/>
      <w:r>
        <w:rPr>
          <w:rFonts w:hint="eastAsia" w:ascii="宋体" w:hAnsi="宋体" w:eastAsia="宋体" w:cs="宋体"/>
          <w:sz w:val="24"/>
          <w:szCs w:val="24"/>
          <w:u w:val="none"/>
        </w:rPr>
        <w:t>若采用</w:t>
      </w:r>
      <w:r>
        <w:rPr>
          <w:rFonts w:hint="eastAsia" w:ascii="宋体" w:hAnsi="宋体" w:eastAsia="宋体" w:cs="宋体"/>
          <w:kern w:val="15"/>
          <w:sz w:val="24"/>
        </w:rPr>
        <w:t>转账、电汇或支票</w:t>
      </w:r>
      <w:r>
        <w:rPr>
          <w:rFonts w:hint="eastAsia" w:ascii="宋体" w:hAnsi="宋体" w:eastAsia="宋体" w:cs="宋体"/>
          <w:sz w:val="24"/>
          <w:szCs w:val="24"/>
          <w:u w:val="none"/>
        </w:rPr>
        <w:t>，</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应在此提供汇款凭证的复印件。</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u w:val="none"/>
        </w:rPr>
      </w:pPr>
      <w:r>
        <w:rPr>
          <w:rFonts w:hint="eastAsia" w:ascii="宋体" w:hAnsi="宋体" w:eastAsia="宋体" w:cs="宋体"/>
          <w:sz w:val="24"/>
          <w:szCs w:val="24"/>
          <w:u w:val="none"/>
        </w:rPr>
        <w:t>如采用保函，保函复印件装订在</w:t>
      </w:r>
      <w:r>
        <w:rPr>
          <w:rFonts w:hint="eastAsia" w:ascii="宋体" w:hAnsi="宋体" w:eastAsia="宋体" w:cs="宋体"/>
          <w:sz w:val="24"/>
          <w:szCs w:val="24"/>
          <w:u w:val="none"/>
          <w:lang w:eastAsia="zh-CN"/>
        </w:rPr>
        <w:t>响应文件</w:t>
      </w:r>
      <w:r>
        <w:rPr>
          <w:rFonts w:hint="eastAsia" w:ascii="宋体" w:hAnsi="宋体" w:eastAsia="宋体" w:cs="宋体"/>
          <w:sz w:val="24"/>
          <w:szCs w:val="24"/>
          <w:u w:val="none"/>
        </w:rPr>
        <w:t>中，格式如下。</w:t>
      </w:r>
    </w:p>
    <w:p>
      <w:pPr>
        <w:keepNext w:val="0"/>
        <w:keepLines w:val="0"/>
        <w:pageBreakBefore w:val="0"/>
        <w:widowControl w:val="0"/>
        <w:kinsoku/>
        <w:wordWrap w:val="0"/>
        <w:overflowPunct/>
        <w:topLinePunct w:val="0"/>
        <w:autoSpaceDE/>
        <w:autoSpaceDN/>
        <w:bidi w:val="0"/>
        <w:adjustRightInd/>
        <w:snapToGrid/>
        <w:spacing w:line="440" w:lineRule="exact"/>
        <w:jc w:val="right"/>
        <w:textAlignment w:val="auto"/>
        <w:outlineLvl w:val="9"/>
        <w:rPr>
          <w:rFonts w:hint="eastAsia" w:ascii="宋体" w:hAnsi="宋体" w:eastAsia="宋体" w:cs="宋体"/>
          <w:sz w:val="24"/>
          <w:szCs w:val="24"/>
          <w:u w:val="single"/>
        </w:rPr>
      </w:pPr>
      <w:r>
        <w:rPr>
          <w:rFonts w:hint="eastAsia" w:ascii="宋体" w:hAnsi="宋体" w:eastAsia="宋体" w:cs="宋体"/>
          <w:sz w:val="24"/>
          <w:szCs w:val="24"/>
          <w:u w:val="none"/>
        </w:rPr>
        <w:t>保函编号：</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u w:val="none"/>
        </w:rPr>
      </w:pPr>
      <w:r>
        <w:rPr>
          <w:rFonts w:hint="eastAsia" w:ascii="宋体" w:hAnsi="宋体" w:eastAsia="宋体" w:cs="宋体"/>
          <w:sz w:val="24"/>
          <w:szCs w:val="24"/>
          <w:u w:val="single"/>
        </w:rPr>
        <w:t xml:space="preserve">                     </w:t>
      </w:r>
      <w:r>
        <w:rPr>
          <w:rFonts w:hint="eastAsia" w:ascii="宋体" w:hAnsi="宋体" w:eastAsia="宋体" w:cs="宋体"/>
          <w:sz w:val="24"/>
          <w:szCs w:val="24"/>
          <w:u w:val="none"/>
        </w:rPr>
        <w:t>（</w:t>
      </w:r>
      <w:r>
        <w:rPr>
          <w:rFonts w:hint="eastAsia" w:ascii="宋体" w:hAnsi="宋体" w:eastAsia="宋体" w:cs="宋体"/>
          <w:sz w:val="24"/>
          <w:szCs w:val="24"/>
          <w:u w:val="none"/>
          <w:lang w:eastAsia="zh-CN"/>
        </w:rPr>
        <w:t>采购人</w:t>
      </w:r>
      <w:r>
        <w:rPr>
          <w:rFonts w:hint="eastAsia" w:ascii="宋体" w:hAnsi="宋体" w:eastAsia="宋体" w:cs="宋体"/>
          <w:sz w:val="24"/>
          <w:szCs w:val="24"/>
          <w:u w:val="none"/>
        </w:rPr>
        <w:t>名称）：</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none"/>
        </w:rPr>
      </w:pPr>
      <w:r>
        <w:rPr>
          <w:rFonts w:hint="eastAsia" w:ascii="宋体" w:hAnsi="宋体" w:eastAsia="宋体" w:cs="宋体"/>
          <w:sz w:val="24"/>
          <w:szCs w:val="24"/>
          <w:u w:val="none"/>
        </w:rPr>
        <w:t>鉴于</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名称）（以下简称“</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”）参加你方</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标段的施工投标，</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（担保人名称）（以下简称“我方”）受该</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委托，在此无条件地、不可撤销地保证：一旦收到你方提出的下述任何一种事实的书面通知，在7日内无条件地向你方支付总额不超过</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（投标保函额度）的任何你方要求的金额：</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none"/>
        </w:rPr>
      </w:pPr>
      <w:r>
        <w:rPr>
          <w:rFonts w:hint="eastAsia" w:ascii="宋体" w:hAnsi="宋体" w:eastAsia="宋体" w:cs="宋体"/>
          <w:sz w:val="24"/>
          <w:szCs w:val="24"/>
          <w:u w:val="none"/>
        </w:rPr>
        <w:t>1．</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在规定的投标有效期内撤销或者修改其</w:t>
      </w:r>
      <w:r>
        <w:rPr>
          <w:rFonts w:hint="eastAsia" w:ascii="宋体" w:hAnsi="宋体" w:eastAsia="宋体" w:cs="宋体"/>
          <w:sz w:val="24"/>
          <w:szCs w:val="24"/>
          <w:u w:val="none"/>
          <w:lang w:eastAsia="zh-CN"/>
        </w:rPr>
        <w:t>响应文件</w:t>
      </w:r>
      <w:r>
        <w:rPr>
          <w:rFonts w:hint="eastAsia" w:ascii="宋体" w:hAnsi="宋体" w:eastAsia="宋体" w:cs="宋体"/>
          <w:sz w:val="24"/>
          <w:szCs w:val="24"/>
          <w:u w:val="none"/>
        </w:rPr>
        <w:t>。</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在收到</w:t>
      </w:r>
      <w:r>
        <w:rPr>
          <w:rFonts w:hint="eastAsia" w:ascii="宋体" w:hAnsi="宋体" w:eastAsia="宋体" w:cs="宋体"/>
          <w:sz w:val="24"/>
          <w:szCs w:val="24"/>
          <w:u w:val="none"/>
          <w:lang w:eastAsia="zh-CN"/>
        </w:rPr>
        <w:t>成交通知书</w:t>
      </w:r>
      <w:r>
        <w:rPr>
          <w:rFonts w:hint="eastAsia" w:ascii="宋体" w:hAnsi="宋体" w:eastAsia="宋体" w:cs="宋体"/>
          <w:sz w:val="24"/>
          <w:szCs w:val="24"/>
          <w:u w:val="none"/>
        </w:rPr>
        <w:t>后无正当理由而未在规定期限内与贵方签署合同。</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none"/>
        </w:rPr>
      </w:pPr>
      <w:r>
        <w:rPr>
          <w:rFonts w:hint="eastAsia" w:ascii="宋体" w:hAnsi="宋体" w:eastAsia="宋体" w:cs="宋体"/>
          <w:sz w:val="24"/>
          <w:szCs w:val="24"/>
          <w:u w:val="none"/>
        </w:rPr>
        <w:t>3．</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在收到</w:t>
      </w:r>
      <w:r>
        <w:rPr>
          <w:rFonts w:hint="eastAsia" w:ascii="宋体" w:hAnsi="宋体" w:eastAsia="宋体" w:cs="宋体"/>
          <w:sz w:val="24"/>
          <w:szCs w:val="24"/>
          <w:u w:val="none"/>
          <w:lang w:eastAsia="zh-CN"/>
        </w:rPr>
        <w:t>成交通知书</w:t>
      </w:r>
      <w:r>
        <w:rPr>
          <w:rFonts w:hint="eastAsia" w:ascii="宋体" w:hAnsi="宋体" w:eastAsia="宋体" w:cs="宋体"/>
          <w:sz w:val="24"/>
          <w:szCs w:val="24"/>
          <w:u w:val="none"/>
        </w:rPr>
        <w:t>后未能在</w:t>
      </w:r>
      <w:r>
        <w:rPr>
          <w:rFonts w:hint="eastAsia" w:ascii="宋体" w:hAnsi="宋体" w:eastAsia="宋体" w:cs="宋体"/>
          <w:sz w:val="24"/>
          <w:szCs w:val="24"/>
          <w:u w:val="none"/>
          <w:lang w:eastAsia="zh-CN"/>
        </w:rPr>
        <w:t>磋商文件</w:t>
      </w:r>
      <w:r>
        <w:rPr>
          <w:rFonts w:hint="eastAsia" w:ascii="宋体" w:hAnsi="宋体" w:eastAsia="宋体" w:cs="宋体"/>
          <w:sz w:val="24"/>
          <w:szCs w:val="24"/>
          <w:u w:val="none"/>
        </w:rPr>
        <w:t>规定期限内向贵方提交</w:t>
      </w:r>
      <w:r>
        <w:rPr>
          <w:rFonts w:hint="eastAsia" w:ascii="宋体" w:hAnsi="宋体" w:eastAsia="宋体" w:cs="宋体"/>
          <w:sz w:val="24"/>
          <w:szCs w:val="24"/>
          <w:u w:val="none"/>
          <w:lang w:eastAsia="zh-CN"/>
        </w:rPr>
        <w:t>磋商文件</w:t>
      </w:r>
      <w:r>
        <w:rPr>
          <w:rFonts w:hint="eastAsia" w:ascii="宋体" w:hAnsi="宋体" w:eastAsia="宋体" w:cs="宋体"/>
          <w:sz w:val="24"/>
          <w:szCs w:val="24"/>
          <w:u w:val="none"/>
        </w:rPr>
        <w:t>所要求的履约担保。</w:t>
      </w:r>
    </w:p>
    <w:p>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u w:val="none"/>
        </w:rPr>
      </w:pPr>
      <w:r>
        <w:rPr>
          <w:rFonts w:hint="eastAsia" w:ascii="宋体" w:hAnsi="宋体" w:eastAsia="宋体" w:cs="宋体"/>
          <w:sz w:val="24"/>
          <w:szCs w:val="24"/>
          <w:u w:val="none"/>
        </w:rPr>
        <w:t>本保函在投标有效期内保持有效，除非你方提前终止或解除本保函。要求我方承担保证责任的通知应在投标有效期内送达我方。保函失效后请将本保函交</w:t>
      </w:r>
      <w:r>
        <w:rPr>
          <w:rFonts w:hint="eastAsia" w:ascii="宋体" w:hAnsi="宋体" w:eastAsia="宋体" w:cs="宋体"/>
          <w:sz w:val="24"/>
          <w:szCs w:val="24"/>
          <w:u w:val="none"/>
          <w:lang w:eastAsia="zh-CN"/>
        </w:rPr>
        <w:t>供应商</w:t>
      </w:r>
      <w:r>
        <w:rPr>
          <w:rFonts w:hint="eastAsia" w:ascii="宋体" w:hAnsi="宋体" w:eastAsia="宋体" w:cs="宋体"/>
          <w:sz w:val="24"/>
          <w:szCs w:val="24"/>
          <w:u w:val="none"/>
        </w:rPr>
        <w:t>退回我方注销。</w:t>
      </w:r>
    </w:p>
    <w:p>
      <w:pPr>
        <w:keepNext w:val="0"/>
        <w:keepLines w:val="0"/>
        <w:pageBreakBefore w:val="0"/>
        <w:widowControl w:val="0"/>
        <w:kinsoku/>
        <w:wordWrap w:val="0"/>
        <w:overflowPunct/>
        <w:topLinePunct w:val="0"/>
        <w:autoSpaceDE/>
        <w:autoSpaceDN/>
        <w:bidi w:val="0"/>
        <w:adjustRightInd/>
        <w:snapToGrid/>
        <w:spacing w:after="143" w:afterLines="50" w:line="44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u w:val="none"/>
        </w:rPr>
        <w:t>本保函项下所有权利和义务均受中华人民共和国法律管辖和制约。</w:t>
      </w:r>
    </w:p>
    <w:p>
      <w:pPr>
        <w:keepNext w:val="0"/>
        <w:keepLines w:val="0"/>
        <w:pageBreakBefore w:val="0"/>
        <w:widowControl w:val="0"/>
        <w:kinsoku/>
        <w:wordWrap w:val="0"/>
        <w:overflowPunct/>
        <w:topLinePunct w:val="0"/>
        <w:autoSpaceDE/>
        <w:autoSpaceDN/>
        <w:bidi w:val="0"/>
        <w:adjustRightInd/>
        <w:snapToGrid/>
        <w:spacing w:line="360" w:lineRule="auto"/>
        <w:ind w:firstLine="2880" w:firstLineChars="1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担保人名称：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（盖单位章）</w:t>
      </w:r>
    </w:p>
    <w:p>
      <w:pPr>
        <w:keepNext w:val="0"/>
        <w:keepLines w:val="0"/>
        <w:pageBreakBefore w:val="0"/>
        <w:widowControl w:val="0"/>
        <w:kinsoku/>
        <w:wordWrap w:val="0"/>
        <w:overflowPunct/>
        <w:topLinePunct w:val="0"/>
        <w:autoSpaceDE/>
        <w:autoSpaceDN/>
        <w:bidi w:val="0"/>
        <w:adjustRightInd/>
        <w:snapToGrid/>
        <w:spacing w:line="360" w:lineRule="auto"/>
        <w:ind w:firstLine="2880" w:firstLineChars="1200"/>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法定代表人或委托代理人：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pPr>
        <w:keepNext w:val="0"/>
        <w:keepLines w:val="0"/>
        <w:pageBreakBefore w:val="0"/>
        <w:widowControl w:val="0"/>
        <w:kinsoku/>
        <w:wordWrap w:val="0"/>
        <w:overflowPunct/>
        <w:topLinePunct w:val="0"/>
        <w:autoSpaceDE/>
        <w:autoSpaceDN/>
        <w:bidi w:val="0"/>
        <w:adjustRightInd/>
        <w:snapToGrid/>
        <w:spacing w:line="360" w:lineRule="auto"/>
        <w:ind w:firstLine="2880" w:firstLineChars="1200"/>
        <w:textAlignment w:val="auto"/>
        <w:outlineLvl w:val="9"/>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pPr>
        <w:keepNext w:val="0"/>
        <w:keepLines w:val="0"/>
        <w:pageBreakBefore w:val="0"/>
        <w:widowControl w:val="0"/>
        <w:kinsoku/>
        <w:wordWrap w:val="0"/>
        <w:overflowPunct/>
        <w:topLinePunct w:val="0"/>
        <w:autoSpaceDE/>
        <w:autoSpaceDN/>
        <w:bidi w:val="0"/>
        <w:adjustRightInd/>
        <w:snapToGrid/>
        <w:spacing w:line="360" w:lineRule="auto"/>
        <w:ind w:firstLine="2880" w:firstLineChars="1200"/>
        <w:textAlignment w:val="auto"/>
        <w:outlineLvl w:val="9"/>
        <w:rPr>
          <w:rFonts w:hint="eastAsia" w:ascii="宋体" w:hAnsi="宋体" w:eastAsia="宋体" w:cs="宋体"/>
          <w:sz w:val="24"/>
          <w:szCs w:val="24"/>
          <w:u w:val="single"/>
        </w:rPr>
      </w:pPr>
      <w:r>
        <w:rPr>
          <w:rFonts w:hint="eastAsia" w:ascii="宋体" w:hAnsi="宋体" w:eastAsia="宋体" w:cs="宋体"/>
          <w:sz w:val="24"/>
          <w:szCs w:val="24"/>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bookmarkStart w:id="359" w:name="_Toc369531703"/>
      <w:bookmarkStart w:id="360" w:name="_Toc384308382"/>
      <w:bookmarkStart w:id="361" w:name="_Toc352691667"/>
      <w:bookmarkStart w:id="362" w:name="_Toc22972"/>
      <w:bookmarkStart w:id="363" w:name="_Toc361508758"/>
    </w:p>
    <w:p>
      <w:pPr>
        <w:keepNext w:val="0"/>
        <w:keepLines w:val="0"/>
        <w:pageBreakBefore w:val="0"/>
        <w:widowControl w:val="0"/>
        <w:kinsoku/>
        <w:wordWrap w:val="0"/>
        <w:overflowPunct/>
        <w:topLinePunct w:val="0"/>
        <w:autoSpaceDE/>
        <w:autoSpaceDN/>
        <w:bidi w:val="0"/>
        <w:adjustRightInd/>
        <w:snapToGrid/>
        <w:spacing w:line="360" w:lineRule="auto"/>
        <w:ind w:firstLine="2880" w:firstLineChars="1200"/>
        <w:textAlignment w:val="auto"/>
        <w:outlineLvl w:val="9"/>
        <w:rPr>
          <w:rFonts w:hint="eastAsia" w:ascii="宋体" w:hAnsi="宋体" w:eastAsia="宋体" w:cs="宋体"/>
          <w:sz w:val="24"/>
          <w:szCs w:val="24"/>
          <w:u w:val="single"/>
          <w:lang w:val="en-US" w:eastAsia="zh-CN"/>
        </w:rPr>
      </w:pPr>
      <w:r>
        <w:rPr>
          <w:rFonts w:hint="eastAsia" w:ascii="宋体" w:hAnsi="宋体" w:eastAsia="宋体" w:cs="宋体"/>
          <w:sz w:val="24"/>
          <w:szCs w:val="24"/>
        </w:rPr>
        <w:t>电</w:t>
      </w:r>
      <w:bookmarkEnd w:id="359"/>
      <w:bookmarkEnd w:id="360"/>
      <w:bookmarkEnd w:id="361"/>
      <w:bookmarkEnd w:id="362"/>
      <w:bookmarkEnd w:id="363"/>
      <w:r>
        <w:rPr>
          <w:rFonts w:hint="eastAsia" w:ascii="宋体" w:hAnsi="宋体" w:eastAsia="宋体" w:cs="宋体"/>
          <w:sz w:val="24"/>
          <w:szCs w:val="24"/>
        </w:rPr>
        <w:t xml:space="preserve">    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360" w:lineRule="auto"/>
        <w:ind w:firstLine="2880" w:firstLineChars="1200"/>
        <w:textAlignment w:val="auto"/>
        <w:outlineLvl w:val="9"/>
        <w:rPr>
          <w:rFonts w:hint="eastAsia" w:ascii="宋体" w:hAnsi="宋体" w:eastAsia="宋体" w:cs="宋体"/>
          <w:sz w:val="24"/>
          <w:szCs w:val="24"/>
          <w:u w:val="single"/>
          <w:lang w:val="en-US" w:eastAsia="zh-CN"/>
        </w:rPr>
      </w:pPr>
      <w:r>
        <w:rPr>
          <w:rFonts w:hint="eastAsia" w:ascii="宋体" w:hAnsi="宋体" w:eastAsia="宋体" w:cs="宋体"/>
          <w:i w:val="0"/>
          <w:iCs w:val="0"/>
          <w:sz w:val="24"/>
          <w:szCs w:val="24"/>
          <w:u w:val="none"/>
          <w:lang w:val="en-US" w:eastAsia="zh-CN"/>
        </w:rPr>
        <w:t>传    真：</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360" w:lineRule="auto"/>
        <w:ind w:firstLine="2880" w:firstLineChars="1200"/>
        <w:jc w:val="right"/>
        <w:textAlignment w:val="auto"/>
        <w:outlineLvl w:val="9"/>
        <w:rPr>
          <w:rFonts w:hint="eastAsia" w:ascii="宋体" w:hAnsi="宋体" w:eastAsia="宋体" w:cs="宋体"/>
          <w:b/>
          <w:bCs/>
          <w:sz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pPr>
        <w:keepNext w:val="0"/>
        <w:keepLines w:val="0"/>
        <w:pageBreakBefore w:val="0"/>
        <w:widowControl w:val="0"/>
        <w:kinsoku/>
        <w:wordWrap w:val="0"/>
        <w:overflowPunct/>
        <w:topLinePunct w:val="0"/>
        <w:autoSpaceDE/>
        <w:autoSpaceDN/>
        <w:bidi w:val="0"/>
        <w:spacing w:line="500" w:lineRule="exact"/>
        <w:outlineLvl w:val="9"/>
        <w:rPr>
          <w:rFonts w:hint="eastAsia" w:ascii="宋体" w:hAnsi="宋体" w:eastAsia="宋体" w:cs="宋体"/>
          <w:b w:val="0"/>
          <w:bCs w:val="0"/>
          <w:sz w:val="24"/>
        </w:rPr>
      </w:pPr>
      <w:r>
        <w:rPr>
          <w:rFonts w:hint="eastAsia" w:ascii="宋体" w:hAnsi="宋体" w:eastAsia="宋体" w:cs="宋体"/>
          <w:b w:val="0"/>
          <w:bCs w:val="0"/>
          <w:sz w:val="24"/>
        </w:rPr>
        <w:t>备注：经过</w:t>
      </w:r>
      <w:r>
        <w:rPr>
          <w:rFonts w:hint="eastAsia" w:ascii="宋体" w:hAnsi="宋体" w:eastAsia="宋体" w:cs="宋体"/>
          <w:b w:val="0"/>
          <w:bCs w:val="0"/>
          <w:sz w:val="24"/>
          <w:lang w:eastAsia="zh-CN"/>
        </w:rPr>
        <w:t>采购人</w:t>
      </w:r>
      <w:r>
        <w:rPr>
          <w:rFonts w:hint="eastAsia" w:ascii="宋体" w:hAnsi="宋体" w:eastAsia="宋体" w:cs="宋体"/>
          <w:b w:val="0"/>
          <w:bCs w:val="0"/>
          <w:sz w:val="24"/>
        </w:rPr>
        <w:t>事先的书面同意，</w:t>
      </w:r>
      <w:r>
        <w:rPr>
          <w:rFonts w:hint="eastAsia" w:ascii="宋体" w:hAnsi="宋体" w:eastAsia="宋体" w:cs="宋体"/>
          <w:b w:val="0"/>
          <w:bCs w:val="0"/>
          <w:sz w:val="24"/>
          <w:lang w:eastAsia="zh-CN"/>
        </w:rPr>
        <w:t>供应商</w:t>
      </w:r>
      <w:r>
        <w:rPr>
          <w:rFonts w:hint="eastAsia" w:ascii="宋体" w:hAnsi="宋体" w:eastAsia="宋体" w:cs="宋体"/>
          <w:b w:val="0"/>
          <w:bCs w:val="0"/>
          <w:sz w:val="24"/>
        </w:rPr>
        <w:t>可采用</w:t>
      </w:r>
      <w:r>
        <w:rPr>
          <w:rFonts w:hint="eastAsia" w:ascii="宋体" w:hAnsi="宋体" w:eastAsia="宋体" w:cs="宋体"/>
          <w:b w:val="0"/>
          <w:bCs w:val="0"/>
          <w:sz w:val="24"/>
          <w:lang w:eastAsia="zh-CN"/>
        </w:rPr>
        <w:t>采购人</w:t>
      </w:r>
      <w:r>
        <w:rPr>
          <w:rFonts w:hint="eastAsia" w:ascii="宋体" w:hAnsi="宋体" w:eastAsia="宋体" w:cs="宋体"/>
          <w:b w:val="0"/>
          <w:bCs w:val="0"/>
          <w:sz w:val="24"/>
        </w:rPr>
        <w:t>认可的投标保函格式，但相关内容不得背离</w:t>
      </w:r>
      <w:r>
        <w:rPr>
          <w:rFonts w:hint="eastAsia" w:ascii="宋体" w:hAnsi="宋体" w:eastAsia="宋体" w:cs="宋体"/>
          <w:b w:val="0"/>
          <w:bCs w:val="0"/>
          <w:sz w:val="24"/>
          <w:lang w:eastAsia="zh-CN"/>
        </w:rPr>
        <w:t>磋商文件</w:t>
      </w:r>
      <w:r>
        <w:rPr>
          <w:rFonts w:hint="eastAsia" w:ascii="宋体" w:hAnsi="宋体" w:eastAsia="宋体" w:cs="宋体"/>
          <w:b w:val="0"/>
          <w:bCs w:val="0"/>
          <w:sz w:val="24"/>
        </w:rPr>
        <w:t>约定的实质性内容。</w:t>
      </w:r>
    </w:p>
    <w:p>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1"/>
        <w:rPr>
          <w:rFonts w:hint="eastAsia" w:ascii="宋体" w:hAnsi="宋体" w:eastAsia="宋体" w:cs="宋体"/>
          <w:sz w:val="24"/>
          <w:szCs w:val="24"/>
        </w:rPr>
      </w:pPr>
      <w:r>
        <w:rPr>
          <w:rFonts w:hint="eastAsia" w:ascii="宋体" w:hAnsi="宋体" w:eastAsia="宋体" w:cs="宋体"/>
          <w:b/>
          <w:bCs/>
          <w:sz w:val="24"/>
        </w:rPr>
        <w:br w:type="page"/>
      </w:r>
      <w:bookmarkStart w:id="364" w:name="_Toc1483"/>
      <w:r>
        <w:rPr>
          <w:rFonts w:hint="eastAsia" w:ascii="宋体" w:hAnsi="宋体" w:eastAsia="宋体" w:cs="宋体"/>
          <w:b/>
          <w:bCs/>
          <w:sz w:val="32"/>
          <w:szCs w:val="32"/>
        </w:rPr>
        <w:t>五</w:t>
      </w:r>
      <w:bookmarkEnd w:id="357"/>
      <w:bookmarkEnd w:id="358"/>
      <w:r>
        <w:rPr>
          <w:rFonts w:hint="eastAsia" w:ascii="宋体" w:hAnsi="宋体" w:eastAsia="宋体" w:cs="宋体"/>
          <w:b/>
          <w:bCs/>
          <w:sz w:val="32"/>
          <w:szCs w:val="32"/>
        </w:rPr>
        <w:t>、已标价工程量清单</w:t>
      </w:r>
      <w:bookmarkEnd w:id="364"/>
    </w:p>
    <w:p>
      <w:pPr>
        <w:keepNext w:val="0"/>
        <w:keepLines w:val="0"/>
        <w:pageBreakBefore w:val="0"/>
        <w:widowControl w:val="0"/>
        <w:kinsoku/>
        <w:wordWrap w:val="0"/>
        <w:overflowPunct/>
        <w:topLinePunct w:val="0"/>
        <w:autoSpaceDE/>
        <w:autoSpaceDN/>
        <w:bidi w:val="0"/>
        <w:adjustRightInd/>
        <w:snapToGrid/>
        <w:spacing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说明：已标价工程量清单按第五章“工程量清单”中的相关清单表格式填写。构成合同文件的已标价工程量清单包括第五章“工程量清单”有关工程量清单、投标报价以及其他说明的内容。</w:t>
      </w:r>
    </w:p>
    <w:p>
      <w:pPr>
        <w:keepNext w:val="0"/>
        <w:keepLines w:val="0"/>
        <w:pageBreakBefore w:val="0"/>
        <w:widowControl w:val="0"/>
        <w:kinsoku/>
        <w:wordWrap w:val="0"/>
        <w:overflowPunct/>
        <w:topLinePunct w:val="0"/>
        <w:autoSpaceDE/>
        <w:autoSpaceDN/>
        <w:bidi w:val="0"/>
        <w:jc w:val="left"/>
        <w:outlineLvl w:val="9"/>
        <w:rPr>
          <w:rFonts w:hint="eastAsia" w:ascii="宋体" w:hAnsi="宋体" w:eastAsia="宋体" w:cs="宋体"/>
        </w:rPr>
      </w:pPr>
      <w:r>
        <w:rPr>
          <w:rFonts w:hint="eastAsia" w:ascii="宋体" w:hAnsi="宋体" w:eastAsia="宋体" w:cs="宋体"/>
        </w:rPr>
        <w:br w:type="page"/>
      </w:r>
    </w:p>
    <w:p>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宋体"/>
          <w:sz w:val="24"/>
          <w:szCs w:val="24"/>
        </w:rPr>
      </w:pPr>
      <w:bookmarkStart w:id="365" w:name="_Toc29384860"/>
      <w:bookmarkStart w:id="366" w:name="_Toc395"/>
      <w:bookmarkStart w:id="367" w:name="_Toc7400"/>
      <w:r>
        <w:rPr>
          <w:rFonts w:hint="eastAsia" w:ascii="宋体" w:hAnsi="宋体" w:eastAsia="宋体" w:cs="宋体"/>
          <w:b/>
          <w:bCs/>
          <w:sz w:val="32"/>
          <w:szCs w:val="32"/>
        </w:rPr>
        <w:t>六、</w:t>
      </w:r>
      <w:bookmarkEnd w:id="365"/>
      <w:bookmarkEnd w:id="366"/>
      <w:r>
        <w:rPr>
          <w:rFonts w:hint="eastAsia" w:ascii="宋体" w:hAnsi="宋体" w:eastAsia="宋体" w:cs="宋体"/>
          <w:b/>
          <w:bCs/>
          <w:sz w:val="32"/>
          <w:szCs w:val="32"/>
        </w:rPr>
        <w:t>施工组织设计</w:t>
      </w:r>
      <w:bookmarkEnd w:id="367"/>
      <w:bookmarkStart w:id="368" w:name="_Toc29384861"/>
      <w:bookmarkStart w:id="369" w:name="_Toc423420053"/>
      <w:bookmarkStart w:id="370" w:name="_Toc18632"/>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供应商</w:t>
      </w:r>
      <w:r>
        <w:rPr>
          <w:rFonts w:hint="eastAsia" w:ascii="宋体" w:hAnsi="宋体" w:eastAsia="宋体" w:cs="宋体"/>
          <w:sz w:val="24"/>
          <w:szCs w:val="24"/>
        </w:rPr>
        <w:t>应根据</w:t>
      </w:r>
      <w:r>
        <w:rPr>
          <w:rFonts w:hint="eastAsia" w:ascii="宋体" w:hAnsi="宋体" w:eastAsia="宋体" w:cs="宋体"/>
          <w:sz w:val="24"/>
          <w:szCs w:val="24"/>
          <w:lang w:eastAsia="zh-CN"/>
        </w:rPr>
        <w:t>磋商文件</w:t>
      </w:r>
      <w:r>
        <w:rPr>
          <w:rFonts w:hint="eastAsia" w:ascii="宋体" w:hAnsi="宋体" w:eastAsia="宋体" w:cs="宋体"/>
          <w:sz w:val="24"/>
          <w:szCs w:val="24"/>
        </w:rPr>
        <w:t>和对现场的勘察情况，采用文字并结合图表形式，参考以下要点编制本工程的施工组织设计：</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（1）施工方案及技术措施；</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（2）质量管理体系与措施 ；</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（3）工程进度计划与措施 ；</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（4）安全管理体系与措施；</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（5）环境保护管理体系与措施；</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（6）资源配备计划；</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（7）成品保护和工程保修工作的管理措施；</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（8）紧急情况的处理措施、预案以及抵抗风险的措施 ；</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2．若</w:t>
      </w:r>
      <w:r>
        <w:rPr>
          <w:rFonts w:hint="eastAsia" w:ascii="宋体" w:hAnsi="宋体" w:eastAsia="宋体" w:cs="宋体"/>
          <w:sz w:val="24"/>
          <w:szCs w:val="24"/>
          <w:lang w:eastAsia="zh-CN"/>
        </w:rPr>
        <w:t>供应商</w:t>
      </w:r>
      <w:r>
        <w:rPr>
          <w:rFonts w:hint="eastAsia" w:ascii="宋体" w:hAnsi="宋体" w:eastAsia="宋体" w:cs="宋体"/>
          <w:sz w:val="24"/>
          <w:szCs w:val="24"/>
        </w:rPr>
        <w:t>须知规定施工组织设计采用技术“暗标”方式评审，则施工组织设计的编制和装订应按附表七“施工组织设计（技术暗标部分）编制及装订要求”编制和装订施工组织设计。</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3．施工组织设计除采用文字表述外可附下列图表，图表及格式要求附后。若采用技术暗标评审，则下述表格应按照章节内容，严格按给定的格式附在相应的章节中。</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0"/>
        <w:textAlignment w:val="auto"/>
        <w:outlineLvl w:val="9"/>
        <w:rPr>
          <w:rFonts w:hint="eastAsia" w:ascii="宋体" w:hAnsi="宋体" w:eastAsia="宋体" w:cs="宋体"/>
          <w:sz w:val="24"/>
          <w:szCs w:val="24"/>
        </w:rPr>
      </w:pPr>
      <w:r>
        <w:rPr>
          <w:rFonts w:hint="eastAsia" w:ascii="宋体" w:hAnsi="宋体" w:eastAsia="宋体" w:cs="宋体"/>
          <w:sz w:val="24"/>
          <w:szCs w:val="24"/>
        </w:rPr>
        <w:t>附表一 拟投入本工程的主要施工设备表</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0"/>
        <w:textAlignment w:val="auto"/>
        <w:outlineLvl w:val="9"/>
        <w:rPr>
          <w:rFonts w:hint="eastAsia" w:ascii="宋体" w:hAnsi="宋体" w:eastAsia="宋体" w:cs="宋体"/>
          <w:sz w:val="24"/>
          <w:szCs w:val="24"/>
        </w:rPr>
      </w:pPr>
      <w:r>
        <w:rPr>
          <w:rFonts w:hint="eastAsia" w:ascii="宋体" w:hAnsi="宋体" w:eastAsia="宋体" w:cs="宋体"/>
          <w:sz w:val="24"/>
          <w:szCs w:val="24"/>
        </w:rPr>
        <w:t>附表二 拟配备本工程的试验和检测仪器设备表</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0"/>
        <w:textAlignment w:val="auto"/>
        <w:outlineLvl w:val="9"/>
        <w:rPr>
          <w:rFonts w:hint="eastAsia" w:ascii="宋体" w:hAnsi="宋体" w:eastAsia="宋体" w:cs="宋体"/>
          <w:sz w:val="24"/>
          <w:szCs w:val="24"/>
        </w:rPr>
      </w:pPr>
      <w:r>
        <w:rPr>
          <w:rFonts w:hint="eastAsia" w:ascii="宋体" w:hAnsi="宋体" w:eastAsia="宋体" w:cs="宋体"/>
          <w:sz w:val="24"/>
          <w:szCs w:val="24"/>
        </w:rPr>
        <w:t>附表三 劳动力计划表</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0"/>
        <w:textAlignment w:val="auto"/>
        <w:outlineLvl w:val="9"/>
        <w:rPr>
          <w:rFonts w:hint="eastAsia" w:ascii="宋体" w:hAnsi="宋体" w:eastAsia="宋体" w:cs="宋体"/>
          <w:sz w:val="24"/>
          <w:szCs w:val="24"/>
        </w:rPr>
      </w:pPr>
      <w:r>
        <w:rPr>
          <w:rFonts w:hint="eastAsia" w:ascii="宋体" w:hAnsi="宋体" w:eastAsia="宋体" w:cs="宋体"/>
          <w:sz w:val="24"/>
          <w:szCs w:val="24"/>
        </w:rPr>
        <w:t>附表四 计划开、竣工日期和施工进度网络图</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0"/>
        <w:textAlignment w:val="auto"/>
        <w:outlineLvl w:val="9"/>
        <w:rPr>
          <w:rFonts w:hint="eastAsia" w:ascii="宋体" w:hAnsi="宋体" w:eastAsia="宋体" w:cs="宋体"/>
          <w:sz w:val="24"/>
          <w:szCs w:val="24"/>
        </w:rPr>
      </w:pPr>
      <w:r>
        <w:rPr>
          <w:rFonts w:hint="eastAsia" w:ascii="宋体" w:hAnsi="宋体" w:eastAsia="宋体" w:cs="宋体"/>
          <w:sz w:val="24"/>
          <w:szCs w:val="24"/>
        </w:rPr>
        <w:t>附表五 施工总平面图</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0"/>
        <w:textAlignment w:val="auto"/>
        <w:outlineLvl w:val="9"/>
        <w:rPr>
          <w:rFonts w:hint="eastAsia" w:ascii="宋体" w:hAnsi="宋体" w:eastAsia="宋体" w:cs="宋体"/>
          <w:sz w:val="24"/>
          <w:szCs w:val="24"/>
        </w:rPr>
      </w:pPr>
      <w:r>
        <w:rPr>
          <w:rFonts w:hint="eastAsia" w:ascii="宋体" w:hAnsi="宋体" w:eastAsia="宋体" w:cs="宋体"/>
          <w:sz w:val="24"/>
          <w:szCs w:val="24"/>
        </w:rPr>
        <w:t>附表六 临时用地表</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0"/>
        <w:textAlignment w:val="auto"/>
        <w:outlineLvl w:val="9"/>
        <w:rPr>
          <w:rFonts w:hint="eastAsia" w:ascii="宋体" w:hAnsi="宋体" w:eastAsia="宋体" w:cs="宋体"/>
        </w:rPr>
      </w:pPr>
      <w:r>
        <w:rPr>
          <w:rFonts w:hint="eastAsia" w:ascii="宋体" w:hAnsi="宋体" w:eastAsia="宋体" w:cs="宋体"/>
          <w:sz w:val="24"/>
          <w:szCs w:val="24"/>
        </w:rPr>
        <w:t>附表七 施工组织设计(技术暗标部分)编制及装订要求</w:t>
      </w:r>
    </w:p>
    <w:p>
      <w:pPr>
        <w:keepNext w:val="0"/>
        <w:keepLines w:val="0"/>
        <w:pageBreakBefore w:val="0"/>
        <w:widowControl w:val="0"/>
        <w:kinsoku/>
        <w:wordWrap w:val="0"/>
        <w:overflowPunct/>
        <w:topLinePunct w:val="0"/>
        <w:autoSpaceDE/>
        <w:autoSpaceDN/>
        <w:bidi w:val="0"/>
        <w:snapToGrid w:val="0"/>
        <w:spacing w:line="420" w:lineRule="exact"/>
        <w:outlineLvl w:val="9"/>
        <w:rPr>
          <w:rFonts w:hint="eastAsia" w:ascii="宋体" w:hAnsi="宋体" w:eastAsia="宋体" w:cs="宋体"/>
          <w:b/>
          <w:bCs/>
          <w:sz w:val="28"/>
          <w:szCs w:val="28"/>
        </w:rPr>
      </w:pPr>
      <w:r>
        <w:rPr>
          <w:rFonts w:hint="eastAsia" w:ascii="宋体" w:hAnsi="宋体" w:eastAsia="宋体" w:cs="宋体"/>
          <w:sz w:val="20"/>
          <w:szCs w:val="20"/>
        </w:rPr>
        <w:br w:type="page"/>
      </w:r>
      <w:bookmarkEnd w:id="368"/>
      <w:bookmarkEnd w:id="369"/>
      <w:bookmarkEnd w:id="370"/>
      <w:r>
        <w:rPr>
          <w:rFonts w:hint="eastAsia" w:ascii="宋体" w:hAnsi="宋体" w:eastAsia="宋体" w:cs="宋体"/>
          <w:b/>
          <w:bCs/>
          <w:sz w:val="28"/>
          <w:szCs w:val="28"/>
        </w:rPr>
        <w:t>附表一：拟投入本工程的主要施工设备表</w:t>
      </w:r>
    </w:p>
    <w:p>
      <w:pPr>
        <w:pStyle w:val="61"/>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p>
    <w:tbl>
      <w:tblPr>
        <w:tblStyle w:val="43"/>
        <w:tblW w:w="9996" w:type="dxa"/>
        <w:jc w:val="center"/>
        <w:tblLayout w:type="fixed"/>
        <w:tblCellMar>
          <w:top w:w="0" w:type="dxa"/>
          <w:left w:w="0" w:type="dxa"/>
          <w:bottom w:w="0" w:type="dxa"/>
          <w:right w:w="0" w:type="dxa"/>
        </w:tblCellMar>
      </w:tblPr>
      <w:tblGrid>
        <w:gridCol w:w="757"/>
        <w:gridCol w:w="1251"/>
        <w:gridCol w:w="790"/>
        <w:gridCol w:w="1201"/>
        <w:gridCol w:w="833"/>
        <w:gridCol w:w="833"/>
        <w:gridCol w:w="1382"/>
        <w:gridCol w:w="1025"/>
        <w:gridCol w:w="1025"/>
        <w:gridCol w:w="899"/>
      </w:tblGrid>
      <w:tr>
        <w:tblPrEx>
          <w:tblCellMar>
            <w:top w:w="0" w:type="dxa"/>
            <w:left w:w="0" w:type="dxa"/>
            <w:bottom w:w="0" w:type="dxa"/>
            <w:right w:w="0" w:type="dxa"/>
          </w:tblCellMar>
        </w:tblPrEx>
        <w:trPr>
          <w:trHeight w:val="1021"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设备名称</w:t>
            </w: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型号规格</w:t>
            </w: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数  量</w:t>
            </w: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国别产地</w:t>
            </w: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制造年份</w:t>
            </w: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额定功率（KW）</w:t>
            </w: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生产能力</w:t>
            </w: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用于施工部位</w:t>
            </w: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6" w:hRule="atLeast"/>
          <w:jc w:val="center"/>
        </w:trPr>
        <w:tc>
          <w:tcPr>
            <w:tcW w:w="75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8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2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snapToGrid w:val="0"/>
        <w:spacing w:line="420" w:lineRule="exact"/>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附表二：拟配备本工程的试验和检测仪器设备表</w:t>
      </w:r>
    </w:p>
    <w:p>
      <w:pPr>
        <w:pStyle w:val="61"/>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p>
    <w:tbl>
      <w:tblPr>
        <w:tblStyle w:val="43"/>
        <w:tblW w:w="10073" w:type="dxa"/>
        <w:jc w:val="center"/>
        <w:tblLayout w:type="fixed"/>
        <w:tblCellMar>
          <w:top w:w="0" w:type="dxa"/>
          <w:left w:w="0" w:type="dxa"/>
          <w:bottom w:w="0" w:type="dxa"/>
          <w:right w:w="0" w:type="dxa"/>
        </w:tblCellMar>
      </w:tblPr>
      <w:tblGrid>
        <w:gridCol w:w="762"/>
        <w:gridCol w:w="1260"/>
        <w:gridCol w:w="796"/>
        <w:gridCol w:w="1211"/>
        <w:gridCol w:w="839"/>
        <w:gridCol w:w="839"/>
        <w:gridCol w:w="1393"/>
        <w:gridCol w:w="1966"/>
        <w:gridCol w:w="1007"/>
      </w:tblGrid>
      <w:tr>
        <w:tblPrEx>
          <w:tblCellMar>
            <w:top w:w="0" w:type="dxa"/>
            <w:left w:w="0" w:type="dxa"/>
            <w:bottom w:w="0" w:type="dxa"/>
            <w:right w:w="0" w:type="dxa"/>
          </w:tblCellMar>
        </w:tblPrEx>
        <w:trPr>
          <w:trHeight w:val="1227"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序号</w:t>
            </w: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仪器设备名    称</w:t>
            </w: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型号规格</w:t>
            </w: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数  量</w:t>
            </w: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国别产地</w:t>
            </w: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制造年份</w:t>
            </w: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已使用台时    数</w:t>
            </w: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用  途</w:t>
            </w: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52" w:hRule="atLeast"/>
          <w:jc w:val="center"/>
        </w:trPr>
        <w:tc>
          <w:tcPr>
            <w:tcW w:w="76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6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7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1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9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0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snapToGrid w:val="0"/>
        <w:spacing w:line="420" w:lineRule="exact"/>
        <w:outlineLvl w:val="9"/>
        <w:rPr>
          <w:rFonts w:hint="eastAsia" w:ascii="宋体" w:hAnsi="宋体" w:eastAsia="宋体" w:cs="宋体"/>
        </w:rPr>
      </w:pPr>
      <w:r>
        <w:rPr>
          <w:rFonts w:hint="eastAsia" w:ascii="宋体" w:hAnsi="宋体" w:eastAsia="宋体" w:cs="宋体"/>
          <w:sz w:val="24"/>
          <w:szCs w:val="24"/>
        </w:rPr>
        <w:br w:type="page"/>
      </w:r>
      <w:r>
        <w:rPr>
          <w:rFonts w:hint="eastAsia" w:ascii="宋体" w:hAnsi="宋体" w:eastAsia="宋体" w:cs="宋体"/>
          <w:b/>
          <w:bCs/>
          <w:sz w:val="28"/>
          <w:szCs w:val="28"/>
        </w:rPr>
        <w:t>附表三：劳动力计划表</w:t>
      </w:r>
    </w:p>
    <w:p>
      <w:pPr>
        <w:keepNext w:val="0"/>
        <w:keepLines w:val="0"/>
        <w:pageBreakBefore w:val="0"/>
        <w:widowControl w:val="0"/>
        <w:kinsoku/>
        <w:wordWrap w:val="0"/>
        <w:overflowPunct/>
        <w:topLinePunct w:val="0"/>
        <w:autoSpaceDE/>
        <w:autoSpaceDN/>
        <w:bidi w:val="0"/>
        <w:snapToGrid w:val="0"/>
        <w:spacing w:line="420" w:lineRule="exact"/>
        <w:jc w:val="right"/>
        <w:outlineLvl w:val="9"/>
        <w:rPr>
          <w:rFonts w:hint="eastAsia" w:ascii="宋体" w:hAnsi="宋体" w:eastAsia="宋体" w:cs="宋体"/>
          <w:sz w:val="24"/>
          <w:szCs w:val="24"/>
        </w:rPr>
      </w:pPr>
      <w:r>
        <w:rPr>
          <w:rFonts w:hint="eastAsia" w:ascii="宋体" w:hAnsi="宋体" w:eastAsia="宋体" w:cs="宋体"/>
          <w:sz w:val="24"/>
          <w:szCs w:val="24"/>
        </w:rPr>
        <w:t>单位：人</w:t>
      </w:r>
    </w:p>
    <w:tbl>
      <w:tblPr>
        <w:tblStyle w:val="43"/>
        <w:tblW w:w="9839" w:type="dxa"/>
        <w:jc w:val="center"/>
        <w:tblLayout w:type="fixed"/>
        <w:tblCellMar>
          <w:top w:w="0" w:type="dxa"/>
          <w:left w:w="0" w:type="dxa"/>
          <w:bottom w:w="0" w:type="dxa"/>
          <w:right w:w="0" w:type="dxa"/>
        </w:tblCellMar>
      </w:tblPr>
      <w:tblGrid>
        <w:gridCol w:w="819"/>
        <w:gridCol w:w="1640"/>
        <w:gridCol w:w="1229"/>
        <w:gridCol w:w="1229"/>
        <w:gridCol w:w="1229"/>
        <w:gridCol w:w="1229"/>
        <w:gridCol w:w="1229"/>
        <w:gridCol w:w="1235"/>
      </w:tblGrid>
      <w:tr>
        <w:tblPrEx>
          <w:tblCellMar>
            <w:top w:w="0" w:type="dxa"/>
            <w:left w:w="0" w:type="dxa"/>
            <w:bottom w:w="0" w:type="dxa"/>
            <w:right w:w="0" w:type="dxa"/>
          </w:tblCellMar>
        </w:tblPrEx>
        <w:trPr>
          <w:trHeight w:val="627"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工种</w:t>
            </w:r>
          </w:p>
        </w:tc>
        <w:tc>
          <w:tcPr>
            <w:tcW w:w="9020" w:type="dxa"/>
            <w:gridSpan w:val="7"/>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按工程施工阶段投入劳动力情况</w:t>
            </w: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2" w:hRule="atLeast"/>
          <w:jc w:val="center"/>
        </w:trPr>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64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3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snapToGrid w:val="0"/>
        <w:spacing w:line="420" w:lineRule="exact"/>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附表四：计划开、竣工日期和施工进度网络图</w:t>
      </w:r>
    </w:p>
    <w:p>
      <w:pPr>
        <w:pStyle w:val="61"/>
        <w:keepNext w:val="0"/>
        <w:keepLines w:val="0"/>
        <w:pageBreakBefore w:val="0"/>
        <w:widowControl w:val="0"/>
        <w:kinsoku/>
        <w:wordWrap w:val="0"/>
        <w:overflowPunct/>
        <w:topLinePunct w:val="0"/>
        <w:autoSpaceDE/>
        <w:autoSpaceDN/>
        <w:bidi w:val="0"/>
        <w:ind w:left="0" w:leftChars="0" w:firstLine="0" w:firstLineChars="0"/>
        <w:outlineLvl w:val="9"/>
        <w:rPr>
          <w:rFonts w:hint="eastAsia" w:ascii="宋体" w:hAnsi="宋体" w:eastAsia="宋体" w:cs="宋体"/>
        </w:rPr>
      </w:pPr>
    </w:p>
    <w:p>
      <w:pPr>
        <w:keepNext w:val="0"/>
        <w:keepLines w:val="0"/>
        <w:pageBreakBefore w:val="0"/>
        <w:widowControl w:val="0"/>
        <w:kinsoku/>
        <w:wordWrap w:val="0"/>
        <w:overflowPunct/>
        <w:topLinePunct w:val="0"/>
        <w:autoSpaceDE/>
        <w:autoSpaceDN/>
        <w:bidi w:val="0"/>
        <w:adjustRightInd/>
        <w:snapToGrid w:val="0"/>
        <w:spacing w:line="440" w:lineRule="exact"/>
        <w:ind w:left="420"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供应商</w:t>
      </w:r>
      <w:r>
        <w:rPr>
          <w:rFonts w:hint="eastAsia" w:ascii="宋体" w:hAnsi="宋体" w:eastAsia="宋体" w:cs="宋体"/>
          <w:sz w:val="24"/>
          <w:szCs w:val="24"/>
        </w:rPr>
        <w:t>应递交施工进度网络图或施工进度表，说明按</w:t>
      </w:r>
      <w:r>
        <w:rPr>
          <w:rFonts w:hint="eastAsia" w:ascii="宋体" w:hAnsi="宋体" w:eastAsia="宋体" w:cs="宋体"/>
          <w:sz w:val="24"/>
          <w:szCs w:val="24"/>
          <w:lang w:eastAsia="zh-CN"/>
        </w:rPr>
        <w:t>磋商文件</w:t>
      </w:r>
      <w:r>
        <w:rPr>
          <w:rFonts w:hint="eastAsia" w:ascii="宋体" w:hAnsi="宋体" w:eastAsia="宋体" w:cs="宋体"/>
          <w:sz w:val="24"/>
          <w:szCs w:val="24"/>
        </w:rPr>
        <w:t>要求的计划工期进行施工的各个关键日期。</w:t>
      </w:r>
    </w:p>
    <w:p>
      <w:pPr>
        <w:keepNext w:val="0"/>
        <w:keepLines w:val="0"/>
        <w:pageBreakBefore w:val="0"/>
        <w:widowControl w:val="0"/>
        <w:kinsoku/>
        <w:wordWrap w:val="0"/>
        <w:overflowPunct/>
        <w:topLinePunct w:val="0"/>
        <w:autoSpaceDE/>
        <w:autoSpaceDN/>
        <w:bidi w:val="0"/>
        <w:adjustRightInd/>
        <w:snapToGrid w:val="0"/>
        <w:spacing w:line="440" w:lineRule="exact"/>
        <w:ind w:left="420" w:firstLine="420"/>
        <w:textAlignment w:val="auto"/>
        <w:outlineLvl w:val="9"/>
        <w:rPr>
          <w:rFonts w:hint="eastAsia" w:ascii="宋体" w:hAnsi="宋体" w:eastAsia="宋体" w:cs="宋体"/>
          <w:sz w:val="24"/>
          <w:szCs w:val="24"/>
        </w:rPr>
      </w:pPr>
      <w:r>
        <w:rPr>
          <w:rFonts w:hint="eastAsia" w:ascii="宋体" w:hAnsi="宋体" w:eastAsia="宋体" w:cs="宋体"/>
          <w:sz w:val="24"/>
          <w:szCs w:val="24"/>
        </w:rPr>
        <w:t>2．施工进度表可采用网络图和（或）横道图表示。</w:t>
      </w:r>
    </w:p>
    <w:p>
      <w:pPr>
        <w:keepNext w:val="0"/>
        <w:keepLines w:val="0"/>
        <w:pageBreakBefore w:val="0"/>
        <w:widowControl w:val="0"/>
        <w:kinsoku/>
        <w:wordWrap w:val="0"/>
        <w:overflowPunct/>
        <w:topLinePunct w:val="0"/>
        <w:autoSpaceDE/>
        <w:autoSpaceDN/>
        <w:bidi w:val="0"/>
        <w:snapToGrid w:val="0"/>
        <w:spacing w:line="420" w:lineRule="exact"/>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附表五：施工总平面图</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应递交一份施工总平面图，绘出现场临时设施布置图表并附文字说明，说明临时设施、加工车间、现场办公、设备及仓储、供电、供水、卫生、生活、道路、消防等设施的情况和布置。</w:t>
      </w:r>
    </w:p>
    <w:p>
      <w:pPr>
        <w:keepNext w:val="0"/>
        <w:keepLines w:val="0"/>
        <w:pageBreakBefore w:val="0"/>
        <w:widowControl w:val="0"/>
        <w:kinsoku/>
        <w:wordWrap w:val="0"/>
        <w:overflowPunct/>
        <w:topLinePunct w:val="0"/>
        <w:autoSpaceDE/>
        <w:autoSpaceDN/>
        <w:bidi w:val="0"/>
        <w:snapToGrid w:val="0"/>
        <w:spacing w:line="420" w:lineRule="exact"/>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附表六：临时用地表</w:t>
      </w:r>
    </w:p>
    <w:p>
      <w:pPr>
        <w:pStyle w:val="61"/>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p>
    <w:tbl>
      <w:tblPr>
        <w:tblStyle w:val="43"/>
        <w:tblW w:w="10018" w:type="dxa"/>
        <w:jc w:val="center"/>
        <w:tblLayout w:type="fixed"/>
        <w:tblCellMar>
          <w:top w:w="0" w:type="dxa"/>
          <w:left w:w="0" w:type="dxa"/>
          <w:bottom w:w="0" w:type="dxa"/>
          <w:right w:w="0" w:type="dxa"/>
        </w:tblCellMar>
      </w:tblPr>
      <w:tblGrid>
        <w:gridCol w:w="2671"/>
        <w:gridCol w:w="2449"/>
        <w:gridCol w:w="2449"/>
        <w:gridCol w:w="2449"/>
      </w:tblGrid>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用  途</w:t>
            </w: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面 积（平方米）</w:t>
            </w: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位  置</w:t>
            </w: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需用时间</w:t>
            </w: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39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29" w:hRule="atLeast"/>
          <w:jc w:val="center"/>
        </w:trPr>
        <w:tc>
          <w:tcPr>
            <w:tcW w:w="267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c>
          <w:tcPr>
            <w:tcW w:w="24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pPr>
              <w:keepNext w:val="0"/>
              <w:keepLines w:val="0"/>
              <w:pageBreakBefore w:val="0"/>
              <w:widowControl w:val="0"/>
              <w:kinsoku/>
              <w:wordWrap w:val="0"/>
              <w:overflowPunct/>
              <w:topLinePunct w:val="0"/>
              <w:autoSpaceDE/>
              <w:autoSpaceDN/>
              <w:bidi w:val="0"/>
              <w:adjustRightInd/>
              <w:snapToGrid w:val="0"/>
              <w:spacing w:line="440" w:lineRule="exact"/>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snapToGrid w:val="0"/>
        <w:spacing w:line="420" w:lineRule="exact"/>
        <w:outlineLvl w:val="9"/>
        <w:rPr>
          <w:rFonts w:hint="eastAsia" w:ascii="宋体" w:hAnsi="宋体" w:eastAsia="宋体" w:cs="宋体"/>
          <w:b/>
          <w:bCs/>
          <w:sz w:val="28"/>
          <w:szCs w:val="28"/>
        </w:rPr>
      </w:pPr>
      <w:r>
        <w:rPr>
          <w:rFonts w:hint="eastAsia" w:ascii="宋体" w:hAnsi="宋体" w:eastAsia="宋体" w:cs="宋体"/>
          <w:sz w:val="24"/>
          <w:szCs w:val="24"/>
        </w:rPr>
        <w:br w:type="page"/>
      </w:r>
      <w:bookmarkStart w:id="371" w:name="_Toc4107"/>
      <w:bookmarkStart w:id="372" w:name="_Toc46231269"/>
      <w:bookmarkStart w:id="373" w:name="_Toc32379"/>
      <w:bookmarkStart w:id="374" w:name="_Toc11994"/>
      <w:bookmarkStart w:id="375" w:name="_Toc17686"/>
      <w:bookmarkStart w:id="376" w:name="_Toc26730"/>
      <w:bookmarkStart w:id="377" w:name="_Toc13034"/>
      <w:r>
        <w:rPr>
          <w:rFonts w:hint="eastAsia" w:ascii="宋体" w:hAnsi="宋体" w:eastAsia="宋体" w:cs="宋体"/>
          <w:b/>
          <w:bCs/>
          <w:sz w:val="28"/>
          <w:szCs w:val="28"/>
        </w:rPr>
        <w:t>附表七：施工组织设计(技术暗标部分)编制及装订要求（保密项目）</w:t>
      </w:r>
    </w:p>
    <w:p>
      <w:pPr>
        <w:pStyle w:val="61"/>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p>
    <w:p>
      <w:pPr>
        <w:pStyle w:val="114"/>
        <w:spacing w:line="360" w:lineRule="auto"/>
        <w:jc w:val="both"/>
        <w:rPr>
          <w:rFonts w:ascii="宋体" w:hAnsi="宋体" w:eastAsia="宋体" w:cs="宋体"/>
          <w:sz w:val="24"/>
          <w:szCs w:val="24"/>
        </w:rPr>
      </w:pPr>
      <w:bookmarkStart w:id="378" w:name="_Toc29204"/>
      <w:r>
        <w:rPr>
          <w:rFonts w:hint="eastAsia" w:ascii="宋体" w:hAnsi="宋体" w:eastAsia="宋体" w:cs="宋体"/>
          <w:sz w:val="24"/>
          <w:szCs w:val="24"/>
        </w:rPr>
        <w:t xml:space="preserve"> 1.版面要求：A4纸张大小；</w:t>
      </w:r>
    </w:p>
    <w:p>
      <w:pPr>
        <w:pStyle w:val="114"/>
        <w:spacing w:line="360" w:lineRule="auto"/>
        <w:jc w:val="both"/>
        <w:rPr>
          <w:rFonts w:ascii="宋体" w:hAnsi="宋体" w:eastAsia="宋体" w:cs="宋体"/>
          <w:sz w:val="24"/>
          <w:szCs w:val="24"/>
        </w:rPr>
      </w:pPr>
      <w:r>
        <w:rPr>
          <w:rFonts w:hint="eastAsia" w:ascii="宋体" w:hAnsi="宋体" w:eastAsia="宋体" w:cs="宋体"/>
          <w:sz w:val="24"/>
          <w:szCs w:val="24"/>
        </w:rPr>
        <w:t xml:space="preserve"> 2.颜色要求：所有文字、图表均为黑色；</w:t>
      </w:r>
    </w:p>
    <w:p>
      <w:pPr>
        <w:pStyle w:val="114"/>
        <w:spacing w:line="360" w:lineRule="auto"/>
        <w:jc w:val="both"/>
        <w:rPr>
          <w:rFonts w:ascii="宋体" w:hAnsi="宋体" w:eastAsia="宋体" w:cs="宋体"/>
          <w:sz w:val="24"/>
          <w:szCs w:val="24"/>
        </w:rPr>
      </w:pPr>
      <w:r>
        <w:rPr>
          <w:rFonts w:hint="eastAsia" w:ascii="宋体" w:hAnsi="宋体" w:eastAsia="宋体" w:cs="宋体"/>
          <w:sz w:val="24"/>
          <w:szCs w:val="24"/>
        </w:rPr>
        <w:t xml:space="preserve"> 3.字体要求：标题及正文部分所用文字均采用“宋体”四号“常规”字；图、表内的字体及字号不作要求；全部使用中文标点符号；所有字体均不得出现加粗、加色、倾斜、下划线等标记；</w:t>
      </w:r>
    </w:p>
    <w:p>
      <w:pPr>
        <w:pStyle w:val="114"/>
        <w:spacing w:line="360" w:lineRule="auto"/>
        <w:jc w:val="both"/>
        <w:rPr>
          <w:rFonts w:hint="eastAsia" w:ascii="宋体" w:hAnsi="宋体" w:eastAsia="宋体" w:cs="宋体"/>
          <w:sz w:val="24"/>
          <w:szCs w:val="24"/>
        </w:rPr>
      </w:pPr>
      <w:r>
        <w:rPr>
          <w:rFonts w:hint="eastAsia" w:ascii="宋体" w:hAnsi="宋体" w:eastAsia="宋体" w:cs="宋体"/>
          <w:sz w:val="24"/>
          <w:szCs w:val="24"/>
        </w:rPr>
        <w:t xml:space="preserve"> 4.排版要求：页边距要求上边距2.5厘米，其余均为2厘米；不得设置目录；正文行间距为固定值30磅；文字内容（含正文标题、正文及表格标题）统一设为左对齐；首行缩进2字符，不得有空格；段落前后不设置空行；不得设置页眉、页脚和页码；图、表部分对齐形式统一设为居中对齐；</w:t>
      </w:r>
    </w:p>
    <w:p>
      <w:pPr>
        <w:pStyle w:val="114"/>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5.不得超出300页</w:t>
      </w:r>
    </w:p>
    <w:p>
      <w:pPr>
        <w:pStyle w:val="114"/>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6.其它：除满足上述各项要求外，构成投标文件的“技术暗标”的正文中均不得出现供应商的名称和其它可识别供应商身份的字符、徽标、人员名称以及其他可能被辨别出供应商身份的任何标记。</w:t>
      </w: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rPr>
      </w:pP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Style w:val="66"/>
          <w:rFonts w:hint="eastAsia" w:ascii="宋体" w:hAnsi="宋体" w:eastAsia="宋体" w:cs="宋体"/>
          <w:b/>
          <w:sz w:val="32"/>
          <w:szCs w:val="32"/>
        </w:rPr>
      </w:pPr>
      <w:r>
        <w:rPr>
          <w:rFonts w:hint="eastAsia" w:ascii="宋体" w:hAnsi="宋体" w:eastAsia="宋体" w:cs="宋体"/>
        </w:rPr>
        <w:t>七、项目管理机构</w:t>
      </w:r>
      <w:bookmarkEnd w:id="371"/>
      <w:bookmarkEnd w:id="372"/>
      <w:bookmarkEnd w:id="373"/>
      <w:bookmarkEnd w:id="374"/>
      <w:bookmarkEnd w:id="375"/>
      <w:bookmarkEnd w:id="376"/>
      <w:bookmarkEnd w:id="377"/>
      <w:bookmarkEnd w:id="378"/>
    </w:p>
    <w:p>
      <w:pPr>
        <w:keepNext w:val="0"/>
        <w:keepLines w:val="0"/>
        <w:pageBreakBefore w:val="0"/>
        <w:widowControl w:val="0"/>
        <w:kinsoku/>
        <w:wordWrap w:val="0"/>
        <w:overflowPunct/>
        <w:topLinePunct w:val="0"/>
        <w:autoSpaceDE/>
        <w:autoSpaceDN/>
        <w:bidi w:val="0"/>
        <w:snapToGrid w:val="0"/>
        <w:spacing w:after="240" w:line="420" w:lineRule="exact"/>
        <w:outlineLvl w:val="9"/>
        <w:rPr>
          <w:rFonts w:hint="eastAsia" w:ascii="宋体" w:hAnsi="宋体" w:eastAsia="宋体" w:cs="宋体"/>
          <w:b/>
          <w:bCs/>
          <w:sz w:val="28"/>
          <w:szCs w:val="28"/>
        </w:rPr>
      </w:pPr>
      <w:r>
        <w:rPr>
          <w:rFonts w:hint="eastAsia" w:ascii="宋体" w:hAnsi="宋体" w:eastAsia="宋体" w:cs="宋体"/>
          <w:b/>
          <w:bCs/>
          <w:sz w:val="28"/>
          <w:szCs w:val="28"/>
        </w:rPr>
        <w:t>（一）项目管理机构组成表</w:t>
      </w:r>
    </w:p>
    <w:p>
      <w:pPr>
        <w:pStyle w:val="61"/>
        <w:keepNext w:val="0"/>
        <w:keepLines w:val="0"/>
        <w:pageBreakBefore w:val="0"/>
        <w:widowControl w:val="0"/>
        <w:kinsoku/>
        <w:wordWrap w:val="0"/>
        <w:overflowPunct/>
        <w:topLinePunct w:val="0"/>
        <w:autoSpaceDE/>
        <w:autoSpaceDN/>
        <w:bidi w:val="0"/>
        <w:outlineLvl w:val="9"/>
        <w:rPr>
          <w:rFonts w:hint="eastAsia" w:ascii="宋体" w:hAnsi="宋体" w:eastAsia="宋体" w:cs="宋体"/>
        </w:rPr>
      </w:pPr>
    </w:p>
    <w:tbl>
      <w:tblPr>
        <w:tblStyle w:val="43"/>
        <w:tblW w:w="0" w:type="auto"/>
        <w:jc w:val="center"/>
        <w:tblLayout w:type="fixed"/>
        <w:tblCellMar>
          <w:top w:w="0" w:type="dxa"/>
          <w:left w:w="0" w:type="dxa"/>
          <w:bottom w:w="0" w:type="dxa"/>
          <w:right w:w="0" w:type="dxa"/>
        </w:tblCellMar>
      </w:tblPr>
      <w:tblGrid>
        <w:gridCol w:w="805"/>
        <w:gridCol w:w="805"/>
        <w:gridCol w:w="805"/>
        <w:gridCol w:w="1288"/>
        <w:gridCol w:w="875"/>
        <w:gridCol w:w="895"/>
        <w:gridCol w:w="965"/>
        <w:gridCol w:w="2417"/>
        <w:gridCol w:w="804"/>
      </w:tblGrid>
      <w:tr>
        <w:tblPrEx>
          <w:tblCellMar>
            <w:top w:w="0" w:type="dxa"/>
            <w:left w:w="0" w:type="dxa"/>
            <w:bottom w:w="0" w:type="dxa"/>
            <w:right w:w="0" w:type="dxa"/>
          </w:tblCellMar>
        </w:tblPrEx>
        <w:trPr>
          <w:trHeight w:val="435" w:hRule="atLeast"/>
          <w:jc w:val="center"/>
        </w:trPr>
        <w:tc>
          <w:tcPr>
            <w:tcW w:w="805"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职务</w:t>
            </w:r>
          </w:p>
        </w:tc>
        <w:tc>
          <w:tcPr>
            <w:tcW w:w="805"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姓名</w:t>
            </w:r>
          </w:p>
        </w:tc>
        <w:tc>
          <w:tcPr>
            <w:tcW w:w="805"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职称</w:t>
            </w:r>
          </w:p>
        </w:tc>
        <w:tc>
          <w:tcPr>
            <w:tcW w:w="6440"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执业或职业资格证明</w:t>
            </w:r>
          </w:p>
        </w:tc>
        <w:tc>
          <w:tcPr>
            <w:tcW w:w="804"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592" w:hRule="atLeast"/>
          <w:jc w:val="center"/>
        </w:trPr>
        <w:tc>
          <w:tcPr>
            <w:tcW w:w="80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证书名称</w:t>
            </w: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级别</w:t>
            </w: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证号</w:t>
            </w: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专业</w:t>
            </w: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养老保险</w:t>
            </w:r>
          </w:p>
        </w:tc>
        <w:tc>
          <w:tcPr>
            <w:tcW w:w="804"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35"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444" w:hRule="atLeast"/>
          <w:jc w:val="center"/>
        </w:trPr>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9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9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snapToGrid w:val="0"/>
        <w:spacing w:line="420" w:lineRule="exact"/>
        <w:outlineLvl w:val="9"/>
        <w:rPr>
          <w:rFonts w:hint="eastAsia" w:ascii="宋体" w:hAnsi="宋体" w:eastAsia="宋体" w:cs="宋体"/>
          <w:b/>
          <w:bCs/>
          <w:sz w:val="28"/>
          <w:szCs w:val="28"/>
        </w:rPr>
      </w:pPr>
      <w:r>
        <w:rPr>
          <w:rFonts w:hint="eastAsia" w:ascii="宋体" w:hAnsi="宋体" w:eastAsia="宋体" w:cs="宋体"/>
          <w:sz w:val="24"/>
          <w:szCs w:val="24"/>
        </w:rPr>
        <w:br w:type="page"/>
      </w:r>
      <w:r>
        <w:rPr>
          <w:rFonts w:hint="eastAsia" w:ascii="宋体" w:hAnsi="宋体" w:eastAsia="宋体" w:cs="宋体"/>
          <w:b/>
          <w:bCs/>
          <w:sz w:val="28"/>
          <w:szCs w:val="28"/>
        </w:rPr>
        <w:t>（二）主要人员简历表</w:t>
      </w:r>
    </w:p>
    <w:p>
      <w:pPr>
        <w:keepNext w:val="0"/>
        <w:keepLines w:val="0"/>
        <w:pageBreakBefore w:val="0"/>
        <w:widowControl w:val="0"/>
        <w:kinsoku/>
        <w:wordWrap w:val="0"/>
        <w:overflowPunct/>
        <w:topLinePunct w:val="0"/>
        <w:autoSpaceDE/>
        <w:autoSpaceDN/>
        <w:bidi w:val="0"/>
        <w:snapToGrid w:val="0"/>
        <w:spacing w:line="420" w:lineRule="exact"/>
        <w:outlineLvl w:val="9"/>
        <w:rPr>
          <w:rFonts w:hint="eastAsia" w:ascii="宋体" w:hAnsi="宋体" w:eastAsia="宋体" w:cs="宋体"/>
          <w:sz w:val="24"/>
          <w:szCs w:val="24"/>
        </w:rPr>
      </w:pPr>
      <w:r>
        <w:rPr>
          <w:rFonts w:hint="eastAsia" w:ascii="宋体" w:hAnsi="宋体" w:eastAsia="宋体" w:cs="宋体"/>
          <w:b/>
          <w:bCs/>
          <w:sz w:val="24"/>
          <w:szCs w:val="24"/>
        </w:rPr>
        <w:t>附1：项目经理简历表</w:t>
      </w:r>
    </w:p>
    <w:p>
      <w:pPr>
        <w:keepNext w:val="0"/>
        <w:keepLines w:val="0"/>
        <w:pageBreakBefore w:val="0"/>
        <w:widowControl w:val="0"/>
        <w:kinsoku/>
        <w:wordWrap w:val="0"/>
        <w:overflowPunct/>
        <w:topLinePunct w:val="0"/>
        <w:autoSpaceDE/>
        <w:autoSpaceDN/>
        <w:bidi w:val="0"/>
        <w:adjustRightInd/>
        <w:snapToGrid w:val="0"/>
        <w:spacing w:before="143" w:beforeLines="50" w:after="143" w:afterLines="5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项目经理应附建造师执业资格证书、注册证书、安全生产考核合格证书、身份证、职称证、学历证、养老保险复印件及未担任其他在施建设工程项目项目经理的承诺书，管理过的项目业绩须附合同协议书和竣工验收备案登记表复印件。类似项目限于以项目经理身份参与的项目。</w:t>
      </w:r>
    </w:p>
    <w:tbl>
      <w:tblPr>
        <w:tblStyle w:val="43"/>
        <w:tblW w:w="9897" w:type="dxa"/>
        <w:jc w:val="center"/>
        <w:tblLayout w:type="fixed"/>
        <w:tblCellMar>
          <w:top w:w="0" w:type="dxa"/>
          <w:left w:w="0" w:type="dxa"/>
          <w:bottom w:w="0" w:type="dxa"/>
          <w:right w:w="0" w:type="dxa"/>
        </w:tblCellMar>
      </w:tblPr>
      <w:tblGrid>
        <w:gridCol w:w="1270"/>
        <w:gridCol w:w="1204"/>
        <w:gridCol w:w="1319"/>
        <w:gridCol w:w="1484"/>
        <w:gridCol w:w="2145"/>
        <w:gridCol w:w="2475"/>
      </w:tblGrid>
      <w:tr>
        <w:tblPrEx>
          <w:tblCellMar>
            <w:top w:w="0" w:type="dxa"/>
            <w:left w:w="0" w:type="dxa"/>
            <w:bottom w:w="0" w:type="dxa"/>
            <w:right w:w="0" w:type="dxa"/>
          </w:tblCellMar>
        </w:tblPrEx>
        <w:trPr>
          <w:trHeight w:val="506"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姓  名</w:t>
            </w:r>
          </w:p>
        </w:tc>
        <w:tc>
          <w:tcPr>
            <w:tcW w:w="12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年  龄</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学历</w:t>
            </w: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72"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职  称</w:t>
            </w:r>
          </w:p>
        </w:tc>
        <w:tc>
          <w:tcPr>
            <w:tcW w:w="12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职  务</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拟在本工程任职</w:t>
            </w: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项目经理</w:t>
            </w:r>
          </w:p>
        </w:tc>
      </w:tr>
      <w:tr>
        <w:tblPrEx>
          <w:tblCellMar>
            <w:top w:w="0" w:type="dxa"/>
            <w:left w:w="0" w:type="dxa"/>
            <w:bottom w:w="0" w:type="dxa"/>
            <w:right w:w="0" w:type="dxa"/>
          </w:tblCellMar>
        </w:tblPrEx>
        <w:trPr>
          <w:trHeight w:val="506" w:hRule="atLeast"/>
          <w:jc w:val="center"/>
        </w:trPr>
        <w:tc>
          <w:tcPr>
            <w:tcW w:w="3793"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注册建造师执业资格等级</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级</w:t>
            </w: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建造师专业</w:t>
            </w: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06" w:hRule="atLeast"/>
          <w:jc w:val="center"/>
        </w:trPr>
        <w:tc>
          <w:tcPr>
            <w:tcW w:w="3793"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安全生产考核合格证书</w:t>
            </w:r>
          </w:p>
        </w:tc>
        <w:tc>
          <w:tcPr>
            <w:tcW w:w="6104"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72"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毕业学校</w:t>
            </w:r>
          </w:p>
        </w:tc>
        <w:tc>
          <w:tcPr>
            <w:tcW w:w="8627"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ind w:left="840" w:firstLine="840"/>
              <w:textAlignment w:val="auto"/>
              <w:outlineLvl w:val="9"/>
              <w:rPr>
                <w:rFonts w:hint="eastAsia" w:ascii="宋体" w:hAnsi="宋体" w:eastAsia="宋体" w:cs="宋体"/>
                <w:sz w:val="24"/>
                <w:szCs w:val="24"/>
              </w:rPr>
            </w:pPr>
            <w:r>
              <w:rPr>
                <w:rFonts w:hint="eastAsia" w:ascii="宋体" w:hAnsi="宋体" w:eastAsia="宋体" w:cs="宋体"/>
                <w:sz w:val="24"/>
                <w:szCs w:val="24"/>
              </w:rPr>
              <w:t>年毕业于                  学校            专业</w:t>
            </w:r>
          </w:p>
        </w:tc>
      </w:tr>
      <w:tr>
        <w:tblPrEx>
          <w:tblCellMar>
            <w:top w:w="0" w:type="dxa"/>
            <w:left w:w="0" w:type="dxa"/>
            <w:bottom w:w="0" w:type="dxa"/>
            <w:right w:w="0" w:type="dxa"/>
          </w:tblCellMar>
        </w:tblPrEx>
        <w:trPr>
          <w:trHeight w:val="506" w:hRule="atLeast"/>
          <w:jc w:val="center"/>
        </w:trPr>
        <w:tc>
          <w:tcPr>
            <w:tcW w:w="9897" w:type="dxa"/>
            <w:gridSpan w:val="6"/>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主要工作经历</w:t>
            </w:r>
          </w:p>
        </w:tc>
      </w:tr>
      <w:tr>
        <w:tblPrEx>
          <w:tblCellMar>
            <w:top w:w="0" w:type="dxa"/>
            <w:left w:w="0" w:type="dxa"/>
            <w:bottom w:w="0" w:type="dxa"/>
            <w:right w:w="0" w:type="dxa"/>
          </w:tblCellMar>
        </w:tblPrEx>
        <w:trPr>
          <w:trHeight w:val="672"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时  间</w:t>
            </w:r>
          </w:p>
        </w:tc>
        <w:tc>
          <w:tcPr>
            <w:tcW w:w="4007"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参加过的类似项目名称</w:t>
            </w: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工程概况说明</w:t>
            </w: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发包人及联系电话</w:t>
            </w:r>
          </w:p>
        </w:tc>
      </w:tr>
      <w:tr>
        <w:tblPrEx>
          <w:tblCellMar>
            <w:top w:w="0" w:type="dxa"/>
            <w:left w:w="0" w:type="dxa"/>
            <w:bottom w:w="0" w:type="dxa"/>
            <w:right w:w="0" w:type="dxa"/>
          </w:tblCellMar>
        </w:tblPrEx>
        <w:trPr>
          <w:trHeight w:val="729"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29"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29"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29"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29"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29"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781" w:hRule="atLeast"/>
          <w:jc w:val="center"/>
        </w:trPr>
        <w:tc>
          <w:tcPr>
            <w:tcW w:w="127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0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14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4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snapToGrid w:val="0"/>
        <w:jc w:val="left"/>
        <w:outlineLvl w:val="9"/>
        <w:rPr>
          <w:rFonts w:hint="eastAsia" w:ascii="宋体" w:hAnsi="宋体" w:eastAsia="宋体" w:cs="宋体"/>
          <w:b/>
          <w:bCs/>
          <w:sz w:val="24"/>
          <w:szCs w:val="24"/>
        </w:rPr>
      </w:pPr>
      <w:r>
        <w:rPr>
          <w:rFonts w:hint="eastAsia" w:ascii="宋体" w:hAnsi="宋体" w:eastAsia="宋体" w:cs="宋体"/>
          <w:sz w:val="24"/>
          <w:szCs w:val="24"/>
        </w:rPr>
        <w:br w:type="page"/>
      </w:r>
      <w:r>
        <w:rPr>
          <w:rFonts w:hint="eastAsia" w:ascii="宋体" w:hAnsi="宋体" w:eastAsia="宋体" w:cs="宋体"/>
          <w:b/>
          <w:bCs/>
          <w:sz w:val="24"/>
          <w:szCs w:val="24"/>
        </w:rPr>
        <w:t>附2：主要项目管理人员简历表</w:t>
      </w:r>
    </w:p>
    <w:p>
      <w:pPr>
        <w:keepNext w:val="0"/>
        <w:keepLines w:val="0"/>
        <w:pageBreakBefore w:val="0"/>
        <w:widowControl w:val="0"/>
        <w:kinsoku/>
        <w:wordWrap w:val="0"/>
        <w:overflowPunct/>
        <w:topLinePunct w:val="0"/>
        <w:autoSpaceDE/>
        <w:autoSpaceDN/>
        <w:bidi w:val="0"/>
        <w:adjustRightInd/>
        <w:snapToGrid w:val="0"/>
        <w:spacing w:after="143" w:afterLines="50" w:line="42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主要项目管理人员指项目副经理、技术负责人、合同商务负责人、专职安全生产管理人员等岗位人员。应附注册资格证书、身份证、职称证、学历证、养老保险复印件，专职安全生产管理人员应附安全生产考核合格证书，主要业绩须附合同协议书。</w:t>
      </w:r>
    </w:p>
    <w:tbl>
      <w:tblPr>
        <w:tblStyle w:val="43"/>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6"/>
        <w:gridCol w:w="2171"/>
        <w:gridCol w:w="2196"/>
        <w:gridCol w:w="2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岗位名称</w:t>
            </w:r>
          </w:p>
        </w:tc>
        <w:tc>
          <w:tcPr>
            <w:tcW w:w="6543" w:type="dxa"/>
            <w:gridSpan w:val="3"/>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姓    名</w:t>
            </w:r>
          </w:p>
        </w:tc>
        <w:tc>
          <w:tcPr>
            <w:tcW w:w="2171"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年    龄</w:t>
            </w:r>
          </w:p>
        </w:tc>
        <w:tc>
          <w:tcPr>
            <w:tcW w:w="217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性    别</w:t>
            </w:r>
          </w:p>
        </w:tc>
        <w:tc>
          <w:tcPr>
            <w:tcW w:w="2171"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毕业学校</w:t>
            </w:r>
          </w:p>
        </w:tc>
        <w:tc>
          <w:tcPr>
            <w:tcW w:w="217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学历和专业</w:t>
            </w:r>
          </w:p>
        </w:tc>
        <w:tc>
          <w:tcPr>
            <w:tcW w:w="2171"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毕业时间</w:t>
            </w:r>
          </w:p>
        </w:tc>
        <w:tc>
          <w:tcPr>
            <w:tcW w:w="217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拥有的执业资格</w:t>
            </w:r>
          </w:p>
        </w:tc>
        <w:tc>
          <w:tcPr>
            <w:tcW w:w="2171"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专业职称</w:t>
            </w:r>
          </w:p>
        </w:tc>
        <w:tc>
          <w:tcPr>
            <w:tcW w:w="217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执业资格证书编号</w:t>
            </w:r>
          </w:p>
        </w:tc>
        <w:tc>
          <w:tcPr>
            <w:tcW w:w="2171"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工作年限</w:t>
            </w:r>
          </w:p>
        </w:tc>
        <w:tc>
          <w:tcPr>
            <w:tcW w:w="217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6" w:hRule="atLeast"/>
          <w:jc w:val="center"/>
        </w:trPr>
        <w:tc>
          <w:tcPr>
            <w:tcW w:w="2196" w:type="dxa"/>
            <w:noWrap w:val="0"/>
            <w:vAlign w:val="center"/>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主</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要</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工</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作</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业</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绩</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及</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担</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任</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的</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主</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要</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工</w:t>
            </w:r>
          </w:p>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leftChars="0" w:right="0" w:rightChars="0" w:firstLine="0" w:firstLineChars="0"/>
              <w:jc w:val="center"/>
              <w:textAlignment w:val="auto"/>
              <w:outlineLvl w:val="9"/>
              <w:rPr>
                <w:rFonts w:hint="eastAsia" w:ascii="宋体" w:hAnsi="宋体" w:eastAsia="宋体" w:cs="宋体"/>
                <w:kern w:val="2"/>
                <w:sz w:val="24"/>
              </w:rPr>
            </w:pPr>
            <w:r>
              <w:rPr>
                <w:rFonts w:hint="eastAsia" w:ascii="宋体" w:hAnsi="宋体" w:eastAsia="宋体" w:cs="宋体"/>
                <w:kern w:val="2"/>
                <w:sz w:val="24"/>
              </w:rPr>
              <w:t>作</w:t>
            </w:r>
          </w:p>
        </w:tc>
        <w:tc>
          <w:tcPr>
            <w:tcW w:w="6543" w:type="dxa"/>
            <w:gridSpan w:val="3"/>
            <w:noWrap w:val="0"/>
            <w:vAlign w:val="top"/>
          </w:tcPr>
          <w:p>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440" w:lineRule="exact"/>
              <w:ind w:left="0" w:right="0"/>
              <w:jc w:val="center"/>
              <w:textAlignment w:val="auto"/>
              <w:outlineLvl w:val="9"/>
              <w:rPr>
                <w:rFonts w:hint="eastAsia" w:ascii="宋体" w:hAnsi="宋体" w:eastAsia="宋体" w:cs="宋体"/>
                <w:kern w:val="2"/>
                <w:sz w:val="24"/>
              </w:rPr>
            </w:pPr>
          </w:p>
        </w:tc>
      </w:tr>
    </w:tbl>
    <w:p>
      <w:pPr>
        <w:keepNext w:val="0"/>
        <w:keepLines w:val="0"/>
        <w:pageBreakBefore w:val="0"/>
        <w:widowControl w:val="0"/>
        <w:kinsoku/>
        <w:wordWrap w:val="0"/>
        <w:overflowPunct/>
        <w:topLinePunct w:val="0"/>
        <w:autoSpaceDE/>
        <w:autoSpaceDN/>
        <w:bidi w:val="0"/>
        <w:snapToGrid w:val="0"/>
        <w:spacing w:line="420" w:lineRule="exact"/>
        <w:outlineLvl w:val="9"/>
        <w:rPr>
          <w:rFonts w:hint="eastAsia" w:ascii="宋体" w:hAnsi="宋体" w:eastAsia="宋体" w:cs="宋体"/>
          <w:b/>
          <w:bCs/>
          <w:sz w:val="24"/>
          <w:szCs w:val="24"/>
        </w:rPr>
      </w:pPr>
      <w:r>
        <w:rPr>
          <w:rFonts w:hint="eastAsia" w:ascii="宋体" w:hAnsi="宋体" w:eastAsia="宋体" w:cs="宋体"/>
          <w:sz w:val="24"/>
          <w:szCs w:val="24"/>
        </w:rPr>
        <w:br w:type="column"/>
      </w:r>
      <w:r>
        <w:rPr>
          <w:rFonts w:hint="eastAsia" w:ascii="宋体" w:hAnsi="宋体" w:eastAsia="宋体" w:cs="宋体"/>
          <w:b/>
          <w:bCs/>
          <w:sz w:val="24"/>
          <w:szCs w:val="24"/>
        </w:rPr>
        <w:t>附3：承诺书</w:t>
      </w:r>
    </w:p>
    <w:p>
      <w:pPr>
        <w:keepNext w:val="0"/>
        <w:keepLines w:val="0"/>
        <w:pageBreakBefore w:val="0"/>
        <w:widowControl w:val="0"/>
        <w:kinsoku/>
        <w:wordWrap w:val="0"/>
        <w:overflowPunct/>
        <w:topLinePunct w:val="0"/>
        <w:autoSpaceDE/>
        <w:autoSpaceDN/>
        <w:bidi w:val="0"/>
        <w:snapToGrid w:val="0"/>
        <w:spacing w:before="240" w:after="240"/>
        <w:jc w:val="center"/>
        <w:outlineLvl w:val="9"/>
        <w:rPr>
          <w:rFonts w:hint="eastAsia" w:ascii="宋体" w:hAnsi="宋体" w:eastAsia="宋体" w:cs="宋体"/>
          <w:b/>
          <w:bCs/>
          <w:sz w:val="24"/>
          <w:szCs w:val="24"/>
        </w:rPr>
      </w:pPr>
      <w:r>
        <w:rPr>
          <w:rFonts w:hint="eastAsia" w:ascii="宋体" w:hAnsi="宋体" w:eastAsia="宋体" w:cs="宋体"/>
          <w:b/>
          <w:bCs/>
          <w:sz w:val="24"/>
          <w:szCs w:val="24"/>
        </w:rPr>
        <w:t>承诺书</w:t>
      </w:r>
    </w:p>
    <w:p>
      <w:pPr>
        <w:keepNext w:val="0"/>
        <w:keepLines w:val="0"/>
        <w:pageBreakBefore w:val="0"/>
        <w:widowControl w:val="0"/>
        <w:kinsoku/>
        <w:wordWrap w:val="0"/>
        <w:overflowPunct/>
        <w:topLinePunct w:val="0"/>
        <w:autoSpaceDE/>
        <w:autoSpaceDN/>
        <w:bidi w:val="0"/>
        <w:snapToGrid w:val="0"/>
        <w:spacing w:after="240" w:line="440" w:lineRule="exact"/>
        <w:outlineLvl w:val="9"/>
        <w:rPr>
          <w:rFonts w:hint="eastAsia" w:ascii="宋体" w:hAnsi="宋体" w:eastAsia="宋体" w:cs="宋体"/>
          <w:sz w:val="24"/>
          <w:szCs w:val="24"/>
          <w:u w:val="single"/>
        </w:rPr>
      </w:pPr>
    </w:p>
    <w:p>
      <w:pPr>
        <w:keepNext w:val="0"/>
        <w:keepLines w:val="0"/>
        <w:pageBreakBefore w:val="0"/>
        <w:widowControl w:val="0"/>
        <w:kinsoku/>
        <w:wordWrap w:val="0"/>
        <w:overflowPunct/>
        <w:topLinePunct w:val="0"/>
        <w:autoSpaceDE/>
        <w:autoSpaceDN/>
        <w:bidi w:val="0"/>
        <w:snapToGrid w:val="0"/>
        <w:spacing w:after="240" w:line="440" w:lineRule="exact"/>
        <w:outlineLvl w:val="9"/>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r>
        <w:rPr>
          <w:rFonts w:hint="eastAsia" w:ascii="宋体" w:hAnsi="宋体" w:eastAsia="宋体" w:cs="宋体"/>
          <w:sz w:val="24"/>
          <w:szCs w:val="24"/>
          <w:lang w:eastAsia="zh-CN"/>
        </w:rPr>
        <w:t>采购人</w:t>
      </w:r>
      <w:r>
        <w:rPr>
          <w:rFonts w:hint="eastAsia" w:ascii="宋体" w:hAnsi="宋体" w:eastAsia="宋体" w:cs="宋体"/>
          <w:sz w:val="24"/>
          <w:szCs w:val="24"/>
        </w:rPr>
        <w:t>名称）：</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我方在此声明，我方拟派往</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标段（以下简称“本工程”）的项目经理</w:t>
      </w:r>
      <w:r>
        <w:rPr>
          <w:rFonts w:hint="eastAsia" w:ascii="宋体" w:hAnsi="宋体" w:eastAsia="宋体" w:cs="宋体"/>
          <w:sz w:val="24"/>
          <w:szCs w:val="24"/>
          <w:u w:val="single"/>
        </w:rPr>
        <w:t xml:space="preserve">           </w:t>
      </w:r>
      <w:r>
        <w:rPr>
          <w:rFonts w:hint="eastAsia" w:ascii="宋体" w:hAnsi="宋体" w:eastAsia="宋体" w:cs="宋体"/>
          <w:sz w:val="24"/>
          <w:szCs w:val="24"/>
        </w:rPr>
        <w:t>（项目经理姓名）现阶段没有担任任何在施建设工程项目的项目经理。</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我方保证上述信息的真实和准确，并愿意承担因我方就此弄虚作假所引起的一切法律后果。</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特此承诺</w:t>
      </w:r>
    </w:p>
    <w:p>
      <w:pPr>
        <w:keepNext w:val="0"/>
        <w:keepLines w:val="0"/>
        <w:pageBreakBefore w:val="0"/>
        <w:widowControl w:val="0"/>
        <w:kinsoku/>
        <w:wordWrap w:val="0"/>
        <w:overflowPunct/>
        <w:topLinePunct w:val="0"/>
        <w:autoSpaceDE/>
        <w:autoSpaceDN/>
        <w:bidi w:val="0"/>
        <w:snapToGrid w:val="0"/>
        <w:spacing w:line="440" w:lineRule="exact"/>
        <w:ind w:left="420" w:firstLine="42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420" w:firstLine="42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420" w:firstLine="42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420" w:firstLine="42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420" w:firstLine="42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360" w:lineRule="auto"/>
        <w:ind w:left="420" w:firstLine="420"/>
        <w:textAlignment w:val="auto"/>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80" w:lineRule="auto"/>
        <w:jc w:val="right"/>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（盖单位章）</w:t>
      </w:r>
    </w:p>
    <w:p>
      <w:pPr>
        <w:keepNext w:val="0"/>
        <w:keepLines w:val="0"/>
        <w:pageBreakBefore w:val="0"/>
        <w:widowControl w:val="0"/>
        <w:kinsoku/>
        <w:wordWrap w:val="0"/>
        <w:overflowPunct/>
        <w:topLinePunct w:val="0"/>
        <w:autoSpaceDE/>
        <w:autoSpaceDN/>
        <w:bidi w:val="0"/>
        <w:adjustRightInd/>
        <w:snapToGrid w:val="0"/>
        <w:spacing w:line="480" w:lineRule="auto"/>
        <w:jc w:val="right"/>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法定代表人或其委托代理人：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pPr>
        <w:keepNext w:val="0"/>
        <w:keepLines w:val="0"/>
        <w:pageBreakBefore w:val="0"/>
        <w:widowControl w:val="0"/>
        <w:kinsoku/>
        <w:wordWrap w:val="0"/>
        <w:overflowPunct/>
        <w:topLinePunct w:val="0"/>
        <w:autoSpaceDE/>
        <w:autoSpaceDN/>
        <w:bidi w:val="0"/>
        <w:adjustRightInd/>
        <w:snapToGrid w:val="0"/>
        <w:spacing w:line="480" w:lineRule="auto"/>
        <w:jc w:val="right"/>
        <w:textAlignment w:val="auto"/>
        <w:outlineLvl w:val="9"/>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0" w:firstLineChars="0"/>
        <w:jc w:val="center"/>
        <w:textAlignment w:val="auto"/>
        <w:outlineLvl w:val="1"/>
        <w:rPr>
          <w:rFonts w:hint="eastAsia" w:ascii="宋体" w:hAnsi="宋体" w:eastAsia="宋体" w:cs="宋体"/>
          <w:b/>
          <w:bCs/>
          <w:sz w:val="32"/>
          <w:szCs w:val="32"/>
        </w:rPr>
      </w:pPr>
      <w:r>
        <w:rPr>
          <w:rFonts w:hint="eastAsia" w:ascii="宋体" w:hAnsi="宋体" w:eastAsia="宋体" w:cs="宋体"/>
          <w:sz w:val="24"/>
          <w:szCs w:val="24"/>
        </w:rPr>
        <w:br w:type="page"/>
      </w:r>
      <w:bookmarkStart w:id="379" w:name="_Toc13128"/>
      <w:bookmarkStart w:id="380" w:name="_Toc15032"/>
      <w:bookmarkStart w:id="381" w:name="_Toc46231270"/>
      <w:r>
        <w:rPr>
          <w:rFonts w:hint="eastAsia" w:ascii="宋体" w:hAnsi="宋体" w:eastAsia="宋体" w:cs="宋体"/>
          <w:b/>
          <w:bCs/>
          <w:sz w:val="32"/>
          <w:szCs w:val="32"/>
        </w:rPr>
        <w:t>八、拟分包计划表</w:t>
      </w:r>
      <w:bookmarkEnd w:id="379"/>
      <w:bookmarkEnd w:id="380"/>
      <w:bookmarkEnd w:id="381"/>
    </w:p>
    <w:tbl>
      <w:tblPr>
        <w:tblStyle w:val="43"/>
        <w:tblW w:w="9538" w:type="dxa"/>
        <w:jc w:val="center"/>
        <w:tblLayout w:type="fixed"/>
        <w:tblCellMar>
          <w:top w:w="0" w:type="dxa"/>
          <w:left w:w="0" w:type="dxa"/>
          <w:bottom w:w="0" w:type="dxa"/>
          <w:right w:w="0" w:type="dxa"/>
        </w:tblCellMar>
      </w:tblPr>
      <w:tblGrid>
        <w:gridCol w:w="635"/>
        <w:gridCol w:w="2066"/>
        <w:gridCol w:w="841"/>
        <w:gridCol w:w="1067"/>
        <w:gridCol w:w="1258"/>
        <w:gridCol w:w="1222"/>
        <w:gridCol w:w="1347"/>
        <w:gridCol w:w="1102"/>
      </w:tblGrid>
      <w:tr>
        <w:tblPrEx>
          <w:tblCellMar>
            <w:top w:w="0" w:type="dxa"/>
            <w:left w:w="0" w:type="dxa"/>
            <w:bottom w:w="0" w:type="dxa"/>
            <w:right w:w="0" w:type="dxa"/>
          </w:tblCellMar>
        </w:tblPrEx>
        <w:trPr>
          <w:trHeight w:val="616" w:hRule="atLeast"/>
          <w:jc w:val="center"/>
        </w:trPr>
        <w:tc>
          <w:tcPr>
            <w:tcW w:w="635"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序</w:t>
            </w:r>
          </w:p>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号</w:t>
            </w:r>
          </w:p>
        </w:tc>
        <w:tc>
          <w:tcPr>
            <w:tcW w:w="2066"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拟分包项目名称、范围及理由</w:t>
            </w:r>
          </w:p>
        </w:tc>
        <w:tc>
          <w:tcPr>
            <w:tcW w:w="5735"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拟选分包人</w:t>
            </w:r>
          </w:p>
        </w:tc>
        <w:tc>
          <w:tcPr>
            <w:tcW w:w="1102"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r>
      <w:tr>
        <w:tblPrEx>
          <w:tblCellMar>
            <w:top w:w="0" w:type="dxa"/>
            <w:left w:w="0" w:type="dxa"/>
            <w:bottom w:w="0" w:type="dxa"/>
            <w:right w:w="0" w:type="dxa"/>
          </w:tblCellMar>
        </w:tblPrEx>
        <w:trPr>
          <w:trHeight w:val="828"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908"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拟选分包人名称</w:t>
            </w: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注册地点</w:t>
            </w: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企业资质</w:t>
            </w: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有关业绩</w:t>
            </w:r>
          </w:p>
        </w:tc>
        <w:tc>
          <w:tcPr>
            <w:tcW w:w="1102"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6"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62" w:hRule="atLeast"/>
          <w:jc w:val="center"/>
        </w:trPr>
        <w:tc>
          <w:tcPr>
            <w:tcW w:w="635"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066"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10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5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22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0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snapToGrid w:val="0"/>
        <w:spacing w:line="440" w:lineRule="exact"/>
        <w:ind w:right="42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right="420"/>
        <w:outlineLvl w:val="9"/>
        <w:rPr>
          <w:rFonts w:hint="eastAsia" w:ascii="宋体" w:hAnsi="宋体" w:eastAsia="宋体" w:cs="宋体"/>
          <w:sz w:val="24"/>
          <w:szCs w:val="24"/>
        </w:rPr>
      </w:pPr>
      <w:r>
        <w:rPr>
          <w:rFonts w:hint="eastAsia" w:ascii="宋体" w:hAnsi="宋体" w:eastAsia="宋体" w:cs="宋体"/>
          <w:sz w:val="24"/>
          <w:szCs w:val="24"/>
        </w:rPr>
        <w:t>备注：本表所列分包仅限于承包人自行施工范围内的非主体、非关键工程。</w:t>
      </w:r>
    </w:p>
    <w:p>
      <w:pPr>
        <w:keepNext w:val="0"/>
        <w:keepLines w:val="0"/>
        <w:pageBreakBefore w:val="0"/>
        <w:widowControl w:val="0"/>
        <w:kinsoku/>
        <w:wordWrap w:val="0"/>
        <w:overflowPunct/>
        <w:topLinePunct w:val="0"/>
        <w:autoSpaceDE/>
        <w:autoSpaceDN/>
        <w:bidi w:val="0"/>
        <w:snapToGrid w:val="0"/>
        <w:spacing w:line="440" w:lineRule="exact"/>
        <w:ind w:right="420"/>
        <w:jc w:val="right"/>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right="420"/>
        <w:jc w:val="right"/>
        <w:outlineLvl w:val="9"/>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Style w:val="66"/>
          <w:rFonts w:hint="eastAsia" w:ascii="宋体" w:hAnsi="宋体" w:eastAsia="宋体" w:cs="宋体"/>
          <w:b/>
          <w:sz w:val="32"/>
          <w:szCs w:val="32"/>
        </w:rPr>
      </w:pPr>
      <w:r>
        <w:rPr>
          <w:rFonts w:hint="eastAsia" w:ascii="宋体" w:hAnsi="宋体" w:eastAsia="宋体" w:cs="宋体"/>
          <w:sz w:val="24"/>
          <w:szCs w:val="24"/>
        </w:rPr>
        <w:br w:type="page"/>
      </w:r>
      <w:bookmarkStart w:id="382" w:name="_Toc16083"/>
      <w:bookmarkStart w:id="383" w:name="_Toc2628"/>
      <w:bookmarkStart w:id="384" w:name="_Toc321"/>
      <w:bookmarkStart w:id="385" w:name="_Toc46231271"/>
      <w:bookmarkStart w:id="386" w:name="_Toc20301"/>
      <w:bookmarkStart w:id="387" w:name="_Toc21203"/>
      <w:bookmarkStart w:id="388" w:name="_Toc22424"/>
      <w:bookmarkStart w:id="389" w:name="_Toc31559"/>
      <w:r>
        <w:rPr>
          <w:rFonts w:hint="eastAsia" w:ascii="宋体" w:hAnsi="宋体" w:eastAsia="宋体" w:cs="宋体"/>
        </w:rPr>
        <w:t>九、资格审查资料</w:t>
      </w:r>
      <w:bookmarkEnd w:id="382"/>
      <w:bookmarkEnd w:id="383"/>
      <w:bookmarkEnd w:id="384"/>
      <w:bookmarkEnd w:id="385"/>
      <w:bookmarkEnd w:id="386"/>
      <w:bookmarkEnd w:id="387"/>
      <w:bookmarkEnd w:id="388"/>
      <w:bookmarkEnd w:id="389"/>
    </w:p>
    <w:p>
      <w:pPr>
        <w:keepNext w:val="0"/>
        <w:keepLines w:val="0"/>
        <w:pageBreakBefore w:val="0"/>
        <w:widowControl w:val="0"/>
        <w:kinsoku/>
        <w:wordWrap w:val="0"/>
        <w:overflowPunct/>
        <w:topLinePunct w:val="0"/>
        <w:autoSpaceDE/>
        <w:autoSpaceDN/>
        <w:bidi w:val="0"/>
        <w:snapToGrid w:val="0"/>
        <w:spacing w:before="120" w:after="240" w:line="440" w:lineRule="exact"/>
        <w:outlineLvl w:val="9"/>
        <w:rPr>
          <w:rFonts w:hint="eastAsia" w:ascii="宋体" w:hAnsi="宋体" w:eastAsia="宋体" w:cs="宋体"/>
          <w:b/>
          <w:bCs/>
          <w:sz w:val="28"/>
          <w:szCs w:val="28"/>
        </w:rPr>
      </w:pPr>
      <w:r>
        <w:rPr>
          <w:rFonts w:hint="eastAsia" w:ascii="宋体" w:hAnsi="宋体" w:eastAsia="宋体" w:cs="宋体"/>
          <w:b/>
          <w:bCs/>
          <w:sz w:val="28"/>
          <w:szCs w:val="28"/>
        </w:rPr>
        <w:t>（一）</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基本情况表</w:t>
      </w:r>
    </w:p>
    <w:tbl>
      <w:tblPr>
        <w:tblStyle w:val="43"/>
        <w:tblW w:w="0" w:type="auto"/>
        <w:jc w:val="center"/>
        <w:tblLayout w:type="fixed"/>
        <w:tblCellMar>
          <w:top w:w="0" w:type="dxa"/>
          <w:left w:w="0" w:type="dxa"/>
          <w:bottom w:w="0" w:type="dxa"/>
          <w:right w:w="0" w:type="dxa"/>
        </w:tblCellMar>
      </w:tblPr>
      <w:tblGrid>
        <w:gridCol w:w="1717"/>
        <w:gridCol w:w="1037"/>
        <w:gridCol w:w="1181"/>
        <w:gridCol w:w="1148"/>
        <w:gridCol w:w="328"/>
        <w:gridCol w:w="227"/>
        <w:gridCol w:w="1441"/>
        <w:gridCol w:w="300"/>
        <w:gridCol w:w="819"/>
        <w:gridCol w:w="1641"/>
      </w:tblGrid>
      <w:tr>
        <w:tblPrEx>
          <w:tblCellMar>
            <w:top w:w="0" w:type="dxa"/>
            <w:left w:w="0" w:type="dxa"/>
            <w:bottom w:w="0" w:type="dxa"/>
            <w:right w:w="0" w:type="dxa"/>
          </w:tblCellMar>
        </w:tblPrEx>
        <w:trPr>
          <w:trHeight w:val="519"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名称</w:t>
            </w:r>
          </w:p>
        </w:tc>
        <w:tc>
          <w:tcPr>
            <w:tcW w:w="8122" w:type="dxa"/>
            <w:gridSpan w:val="9"/>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19"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注册地址</w:t>
            </w:r>
          </w:p>
        </w:tc>
        <w:tc>
          <w:tcPr>
            <w:tcW w:w="3921" w:type="dxa"/>
            <w:gridSpan w:val="5"/>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邮政编码</w:t>
            </w:r>
          </w:p>
        </w:tc>
        <w:tc>
          <w:tcPr>
            <w:tcW w:w="2760"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1717"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联系方式</w:t>
            </w:r>
          </w:p>
        </w:tc>
        <w:tc>
          <w:tcPr>
            <w:tcW w:w="10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联系人</w:t>
            </w:r>
          </w:p>
        </w:tc>
        <w:tc>
          <w:tcPr>
            <w:tcW w:w="2884" w:type="dxa"/>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电  话</w:t>
            </w:r>
          </w:p>
        </w:tc>
        <w:tc>
          <w:tcPr>
            <w:tcW w:w="2760"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1717"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0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传  真</w:t>
            </w:r>
          </w:p>
        </w:tc>
        <w:tc>
          <w:tcPr>
            <w:tcW w:w="2884" w:type="dxa"/>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网  址</w:t>
            </w:r>
          </w:p>
        </w:tc>
        <w:tc>
          <w:tcPr>
            <w:tcW w:w="2760"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19"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组织结构</w:t>
            </w:r>
          </w:p>
        </w:tc>
        <w:tc>
          <w:tcPr>
            <w:tcW w:w="8122" w:type="dxa"/>
            <w:gridSpan w:val="9"/>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19"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法定代表人</w:t>
            </w:r>
          </w:p>
        </w:tc>
        <w:tc>
          <w:tcPr>
            <w:tcW w:w="10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姓名</w:t>
            </w:r>
          </w:p>
        </w:tc>
        <w:tc>
          <w:tcPr>
            <w:tcW w:w="11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76"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技术职称</w:t>
            </w:r>
          </w:p>
        </w:tc>
        <w:tc>
          <w:tcPr>
            <w:tcW w:w="1968"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电话</w:t>
            </w:r>
          </w:p>
        </w:tc>
        <w:tc>
          <w:tcPr>
            <w:tcW w:w="16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19"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技术负责人</w:t>
            </w:r>
          </w:p>
        </w:tc>
        <w:tc>
          <w:tcPr>
            <w:tcW w:w="10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姓名</w:t>
            </w:r>
          </w:p>
        </w:tc>
        <w:tc>
          <w:tcPr>
            <w:tcW w:w="11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476"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技术职称</w:t>
            </w:r>
          </w:p>
        </w:tc>
        <w:tc>
          <w:tcPr>
            <w:tcW w:w="1968"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81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电话</w:t>
            </w:r>
          </w:p>
        </w:tc>
        <w:tc>
          <w:tcPr>
            <w:tcW w:w="164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19"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成立时间</w:t>
            </w:r>
          </w:p>
        </w:tc>
        <w:tc>
          <w:tcPr>
            <w:tcW w:w="2218"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5904" w:type="dxa"/>
            <w:gridSpan w:val="7"/>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员工总人数：</w:t>
            </w:r>
          </w:p>
        </w:tc>
      </w:tr>
      <w:tr>
        <w:tblPrEx>
          <w:tblCellMar>
            <w:top w:w="0" w:type="dxa"/>
            <w:left w:w="0" w:type="dxa"/>
            <w:bottom w:w="0" w:type="dxa"/>
            <w:right w:w="0" w:type="dxa"/>
          </w:tblCellMar>
        </w:tblPrEx>
        <w:trPr>
          <w:trHeight w:val="567"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企业资质等级</w:t>
            </w:r>
          </w:p>
        </w:tc>
        <w:tc>
          <w:tcPr>
            <w:tcW w:w="10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8" w:type="dxa"/>
            <w:vMerge w:val="restart"/>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其中</w:t>
            </w:r>
          </w:p>
        </w:tc>
        <w:tc>
          <w:tcPr>
            <w:tcW w:w="2296" w:type="dxa"/>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项目经理</w:t>
            </w:r>
          </w:p>
        </w:tc>
        <w:tc>
          <w:tcPr>
            <w:tcW w:w="2460"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19"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营业执照号</w:t>
            </w:r>
          </w:p>
        </w:tc>
        <w:tc>
          <w:tcPr>
            <w:tcW w:w="10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8"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296" w:type="dxa"/>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高级职称人员</w:t>
            </w:r>
          </w:p>
        </w:tc>
        <w:tc>
          <w:tcPr>
            <w:tcW w:w="2460"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19"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注册资金</w:t>
            </w:r>
          </w:p>
        </w:tc>
        <w:tc>
          <w:tcPr>
            <w:tcW w:w="10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8"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296" w:type="dxa"/>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中级职称人员</w:t>
            </w:r>
          </w:p>
        </w:tc>
        <w:tc>
          <w:tcPr>
            <w:tcW w:w="2460"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19"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开户银行</w:t>
            </w:r>
          </w:p>
        </w:tc>
        <w:tc>
          <w:tcPr>
            <w:tcW w:w="10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8"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296" w:type="dxa"/>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初级职称人员</w:t>
            </w:r>
          </w:p>
        </w:tc>
        <w:tc>
          <w:tcPr>
            <w:tcW w:w="2460"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19"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账号</w:t>
            </w:r>
          </w:p>
        </w:tc>
        <w:tc>
          <w:tcPr>
            <w:tcW w:w="10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1148" w:type="dxa"/>
            <w:vMerge w:val="continue"/>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c>
          <w:tcPr>
            <w:tcW w:w="2296" w:type="dxa"/>
            <w:gridSpan w:val="4"/>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技  工</w:t>
            </w:r>
          </w:p>
        </w:tc>
        <w:tc>
          <w:tcPr>
            <w:tcW w:w="2460" w:type="dxa"/>
            <w:gridSpan w:val="2"/>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2268"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经营范围</w:t>
            </w:r>
          </w:p>
        </w:tc>
        <w:tc>
          <w:tcPr>
            <w:tcW w:w="8122" w:type="dxa"/>
            <w:gridSpan w:val="9"/>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38" w:hRule="atLeast"/>
          <w:jc w:val="center"/>
        </w:trPr>
        <w:tc>
          <w:tcPr>
            <w:tcW w:w="171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c>
          <w:tcPr>
            <w:tcW w:w="8122" w:type="dxa"/>
            <w:gridSpan w:val="9"/>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snapToGrid w:val="0"/>
        <w:spacing w:line="440" w:lineRule="exact"/>
        <w:outlineLvl w:val="9"/>
        <w:rPr>
          <w:rFonts w:hint="eastAsia" w:ascii="宋体" w:hAnsi="宋体" w:eastAsia="宋体" w:cs="宋体"/>
          <w:sz w:val="24"/>
          <w:szCs w:val="24"/>
        </w:rPr>
      </w:pPr>
      <w:r>
        <w:rPr>
          <w:rFonts w:hint="eastAsia" w:ascii="宋体" w:hAnsi="宋体" w:eastAsia="宋体" w:cs="宋体"/>
          <w:sz w:val="24"/>
          <w:szCs w:val="24"/>
        </w:rPr>
        <w:t>备注：本表后应附企业法人营业执照及其年检合格的证明材料、企业资质证书副本、安全生产许可证等材料的复印件。</w:t>
      </w:r>
    </w:p>
    <w:p>
      <w:pPr>
        <w:keepNext w:val="0"/>
        <w:keepLines w:val="0"/>
        <w:pageBreakBefore w:val="0"/>
        <w:widowControl w:val="0"/>
        <w:kinsoku/>
        <w:wordWrap w:val="0"/>
        <w:overflowPunct/>
        <w:topLinePunct w:val="0"/>
        <w:autoSpaceDE/>
        <w:autoSpaceDN/>
        <w:bidi w:val="0"/>
        <w:adjustRightInd/>
        <w:snapToGrid w:val="0"/>
        <w:spacing w:before="120" w:after="240" w:line="44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br w:type="page"/>
      </w:r>
      <w:r>
        <w:rPr>
          <w:rFonts w:hint="eastAsia" w:ascii="宋体" w:hAnsi="宋体" w:eastAsia="宋体" w:cs="宋体"/>
          <w:b/>
          <w:bCs/>
          <w:sz w:val="28"/>
          <w:szCs w:val="28"/>
        </w:rPr>
        <w:t>（二）近年财务状况表</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备注：在此附经会计师事务所或审计机构审计的财务会计报表，具体年份要求见第二章“</w:t>
      </w:r>
      <w:r>
        <w:rPr>
          <w:rFonts w:hint="eastAsia" w:ascii="宋体" w:hAnsi="宋体" w:eastAsia="宋体" w:cs="宋体"/>
          <w:sz w:val="24"/>
          <w:szCs w:val="24"/>
          <w:lang w:eastAsia="zh-CN"/>
        </w:rPr>
        <w:t>供应商</w:t>
      </w:r>
      <w:r>
        <w:rPr>
          <w:rFonts w:hint="eastAsia" w:ascii="宋体" w:hAnsi="宋体" w:eastAsia="宋体" w:cs="宋体"/>
          <w:sz w:val="24"/>
          <w:szCs w:val="24"/>
        </w:rPr>
        <w:t>须知”的规定。</w:t>
      </w:r>
    </w:p>
    <w:p>
      <w:pPr>
        <w:keepNext w:val="0"/>
        <w:keepLines w:val="0"/>
        <w:pageBreakBefore w:val="0"/>
        <w:widowControl w:val="0"/>
        <w:kinsoku/>
        <w:wordWrap w:val="0"/>
        <w:overflowPunct/>
        <w:topLinePunct w:val="0"/>
        <w:autoSpaceDE/>
        <w:autoSpaceDN/>
        <w:bidi w:val="0"/>
        <w:adjustRightInd/>
        <w:snapToGrid w:val="0"/>
        <w:spacing w:before="120" w:after="240" w:line="440" w:lineRule="exact"/>
        <w:ind w:left="0" w:firstLine="0"/>
        <w:textAlignment w:val="auto"/>
        <w:outlineLvl w:val="9"/>
        <w:rPr>
          <w:rFonts w:hint="eastAsia" w:ascii="宋体" w:hAnsi="宋体" w:eastAsia="宋体" w:cs="宋体"/>
          <w:lang w:eastAsia="zh-CN"/>
        </w:rPr>
      </w:pPr>
      <w:r>
        <w:rPr>
          <w:rFonts w:hint="eastAsia" w:ascii="宋体" w:hAnsi="宋体" w:eastAsia="宋体" w:cs="宋体"/>
          <w:sz w:val="24"/>
          <w:szCs w:val="24"/>
        </w:rPr>
        <w:br w:type="page"/>
      </w:r>
      <w:r>
        <w:rPr>
          <w:rFonts w:hint="eastAsia" w:ascii="宋体" w:hAnsi="宋体" w:eastAsia="宋体" w:cs="宋体"/>
          <w:b/>
          <w:bCs/>
          <w:sz w:val="28"/>
          <w:szCs w:val="28"/>
        </w:rPr>
        <w:t>（三）</w:t>
      </w:r>
      <w:r>
        <w:rPr>
          <w:rFonts w:hint="eastAsia" w:ascii="宋体" w:hAnsi="宋体" w:eastAsia="宋体" w:cs="宋体"/>
          <w:b/>
          <w:bCs/>
          <w:sz w:val="28"/>
          <w:szCs w:val="28"/>
          <w:lang w:eastAsia="zh-CN"/>
        </w:rPr>
        <w:t>近年完成的类似项目情况表</w:t>
      </w:r>
    </w:p>
    <w:tbl>
      <w:tblPr>
        <w:tblStyle w:val="43"/>
        <w:tblW w:w="9899" w:type="dxa"/>
        <w:jc w:val="center"/>
        <w:tblLayout w:type="fixed"/>
        <w:tblCellMar>
          <w:top w:w="0" w:type="dxa"/>
          <w:left w:w="0" w:type="dxa"/>
          <w:bottom w:w="0" w:type="dxa"/>
          <w:right w:w="0" w:type="dxa"/>
        </w:tblCellMar>
      </w:tblPr>
      <w:tblGrid>
        <w:gridCol w:w="2803"/>
        <w:gridCol w:w="7096"/>
      </w:tblGrid>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项目名称</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项目所在地</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发包人名称</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发包人地址</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发包人电话</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合同价</w:t>
            </w:r>
            <w:r>
              <w:rPr>
                <w:rFonts w:hint="eastAsia" w:ascii="宋体" w:hAnsi="宋体" w:eastAsia="宋体" w:cs="宋体"/>
                <w:sz w:val="24"/>
                <w:szCs w:val="24"/>
                <w:lang w:eastAsia="zh-CN"/>
              </w:rPr>
              <w:t>格</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开工日期</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竣工日期</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承担的工作</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工程质量</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项目经理</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567"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技术负责人</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2209"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项目描述</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04" w:hRule="atLeast"/>
          <w:jc w:val="center"/>
        </w:trPr>
        <w:tc>
          <w:tcPr>
            <w:tcW w:w="280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c>
          <w:tcPr>
            <w:tcW w:w="709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adjustRightInd/>
        <w:snapToGrid w:val="0"/>
        <w:spacing w:line="440" w:lineRule="exact"/>
        <w:ind w:left="0" w:firstLine="0"/>
        <w:textAlignment w:val="auto"/>
        <w:outlineLvl w:val="9"/>
        <w:rPr>
          <w:rFonts w:hint="eastAsia" w:ascii="宋体" w:hAnsi="宋体" w:eastAsia="宋体" w:cs="宋体"/>
          <w:sz w:val="24"/>
          <w:szCs w:val="24"/>
        </w:rPr>
      </w:pPr>
      <w:r>
        <w:rPr>
          <w:rFonts w:hint="eastAsia" w:ascii="宋体" w:hAnsi="宋体" w:eastAsia="宋体" w:cs="宋体"/>
          <w:sz w:val="24"/>
          <w:szCs w:val="24"/>
        </w:rPr>
        <w:t>备注：1、类似项目指</w:t>
      </w:r>
      <w:r>
        <w:rPr>
          <w:rFonts w:hint="eastAsia" w:ascii="宋体" w:hAnsi="宋体" w:eastAsia="宋体" w:cs="宋体"/>
          <w:sz w:val="24"/>
          <w:szCs w:val="24"/>
          <w:u w:val="single"/>
        </w:rPr>
        <w:t xml:space="preserve">                                            </w:t>
      </w:r>
      <w:r>
        <w:rPr>
          <w:rFonts w:hint="eastAsia" w:ascii="宋体" w:hAnsi="宋体" w:eastAsia="宋体" w:cs="宋体"/>
          <w:sz w:val="24"/>
          <w:szCs w:val="24"/>
        </w:rPr>
        <w:t>工程。</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720" w:firstLineChars="300"/>
        <w:textAlignment w:val="auto"/>
        <w:outlineLvl w:val="9"/>
        <w:rPr>
          <w:rFonts w:hint="eastAsia" w:ascii="宋体" w:hAnsi="宋体" w:eastAsia="宋体" w:cs="宋体"/>
          <w:sz w:val="24"/>
          <w:szCs w:val="24"/>
        </w:rPr>
      </w:pPr>
      <w:r>
        <w:rPr>
          <w:rFonts w:hint="eastAsia" w:ascii="宋体" w:hAnsi="宋体" w:eastAsia="宋体" w:cs="宋体"/>
          <w:sz w:val="24"/>
          <w:szCs w:val="24"/>
        </w:rPr>
        <w:t>2、本表后附</w:t>
      </w:r>
      <w:r>
        <w:rPr>
          <w:rFonts w:hint="eastAsia" w:ascii="宋体" w:hAnsi="宋体" w:eastAsia="宋体" w:cs="宋体"/>
          <w:sz w:val="24"/>
          <w:szCs w:val="24"/>
          <w:lang w:eastAsia="zh-CN"/>
        </w:rPr>
        <w:t>中标、成交通知书</w:t>
      </w:r>
      <w:r>
        <w:rPr>
          <w:rFonts w:hint="eastAsia" w:ascii="宋体" w:hAnsi="宋体" w:eastAsia="宋体" w:cs="宋体"/>
          <w:sz w:val="24"/>
          <w:szCs w:val="24"/>
        </w:rPr>
        <w:t>和（或）合同协议书、工程接收证书（工程竣工验收证书）的复印件，具体年份要求见</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须知前附表。每张表格只填写一个项目，并标明序号。</w:t>
      </w:r>
    </w:p>
    <w:p>
      <w:pPr>
        <w:keepNext w:val="0"/>
        <w:keepLines w:val="0"/>
        <w:pageBreakBefore w:val="0"/>
        <w:widowControl w:val="0"/>
        <w:kinsoku/>
        <w:wordWrap w:val="0"/>
        <w:overflowPunct/>
        <w:topLinePunct w:val="0"/>
        <w:autoSpaceDE/>
        <w:autoSpaceDN/>
        <w:bidi w:val="0"/>
        <w:adjustRightInd/>
        <w:snapToGrid w:val="0"/>
        <w:spacing w:before="120" w:after="240" w:line="440" w:lineRule="exact"/>
        <w:ind w:left="0" w:firstLine="0" w:firstLineChars="0"/>
        <w:textAlignment w:val="auto"/>
        <w:outlineLvl w:val="9"/>
        <w:rPr>
          <w:rFonts w:hint="eastAsia" w:ascii="宋体" w:hAnsi="宋体" w:eastAsia="宋体" w:cs="宋体"/>
          <w:lang w:eastAsia="zh-CN"/>
        </w:rPr>
      </w:pPr>
      <w:r>
        <w:rPr>
          <w:rFonts w:hint="eastAsia" w:ascii="宋体" w:hAnsi="宋体" w:eastAsia="宋体" w:cs="宋体"/>
          <w:sz w:val="24"/>
          <w:szCs w:val="24"/>
        </w:rPr>
        <w:br w:type="page"/>
      </w:r>
      <w:r>
        <w:rPr>
          <w:rFonts w:hint="eastAsia" w:ascii="宋体" w:hAnsi="宋体" w:eastAsia="宋体" w:cs="宋体"/>
          <w:b/>
          <w:bCs/>
          <w:sz w:val="28"/>
          <w:szCs w:val="28"/>
        </w:rPr>
        <w:t>(四)</w:t>
      </w:r>
      <w:r>
        <w:rPr>
          <w:rFonts w:hint="eastAsia" w:ascii="宋体" w:hAnsi="宋体" w:eastAsia="宋体" w:cs="宋体"/>
          <w:b/>
          <w:bCs/>
          <w:sz w:val="28"/>
          <w:szCs w:val="28"/>
          <w:lang w:eastAsia="zh-CN"/>
        </w:rPr>
        <w:t>正在施工的和新承接的项目情况表</w:t>
      </w:r>
    </w:p>
    <w:tbl>
      <w:tblPr>
        <w:tblStyle w:val="43"/>
        <w:tblW w:w="0" w:type="auto"/>
        <w:jc w:val="center"/>
        <w:tblLayout w:type="fixed"/>
        <w:tblCellMar>
          <w:top w:w="0" w:type="dxa"/>
          <w:left w:w="0" w:type="dxa"/>
          <w:bottom w:w="0" w:type="dxa"/>
          <w:right w:w="0" w:type="dxa"/>
        </w:tblCellMar>
      </w:tblPr>
      <w:tblGrid>
        <w:gridCol w:w="2798"/>
        <w:gridCol w:w="7081"/>
      </w:tblGrid>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项目名称</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项目所在地</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发包人名称</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发包人地址</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发包人电话</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签约合同价</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开工日期</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计划</w:t>
            </w:r>
            <w:r>
              <w:rPr>
                <w:rFonts w:hint="eastAsia" w:ascii="宋体" w:hAnsi="宋体" w:eastAsia="宋体" w:cs="宋体"/>
                <w:sz w:val="24"/>
                <w:szCs w:val="24"/>
              </w:rPr>
              <w:t>竣工日期</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承担的工作</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工程质量</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项目经理</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1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技术负责人</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2473"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项目描述</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r>
        <w:tblPrEx>
          <w:tblCellMar>
            <w:top w:w="0" w:type="dxa"/>
            <w:left w:w="0" w:type="dxa"/>
            <w:bottom w:w="0" w:type="dxa"/>
            <w:right w:w="0" w:type="dxa"/>
          </w:tblCellMar>
        </w:tblPrEx>
        <w:trPr>
          <w:trHeight w:val="639" w:hRule="atLeast"/>
          <w:jc w:val="center"/>
        </w:trPr>
        <w:tc>
          <w:tcPr>
            <w:tcW w:w="279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备注</w:t>
            </w:r>
          </w:p>
        </w:tc>
        <w:tc>
          <w:tcPr>
            <w:tcW w:w="708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kinsoku/>
              <w:wordWrap w:val="0"/>
              <w:overflowPunct/>
              <w:topLinePunct w:val="0"/>
              <w:autoSpaceDE/>
              <w:autoSpaceDN/>
              <w:bidi w:val="0"/>
              <w:adjustRightInd/>
              <w:snapToGrid w:val="0"/>
              <w:spacing w:line="440" w:lineRule="exact"/>
              <w:jc w:val="center"/>
              <w:textAlignment w:val="auto"/>
              <w:outlineLvl w:val="9"/>
              <w:rPr>
                <w:rFonts w:hint="eastAsia" w:ascii="宋体" w:hAnsi="宋体" w:eastAsia="宋体" w:cs="宋体"/>
                <w:sz w:val="24"/>
                <w:szCs w:val="24"/>
              </w:rPr>
            </w:pPr>
          </w:p>
        </w:tc>
      </w:tr>
    </w:tbl>
    <w:p>
      <w:pPr>
        <w:keepNext w:val="0"/>
        <w:keepLines w:val="0"/>
        <w:pageBreakBefore w:val="0"/>
        <w:widowControl w:val="0"/>
        <w:kinsoku/>
        <w:wordWrap w:val="0"/>
        <w:overflowPunct/>
        <w:topLinePunct w:val="0"/>
        <w:autoSpaceDE/>
        <w:autoSpaceDN/>
        <w:bidi w:val="0"/>
        <w:snapToGrid w:val="0"/>
        <w:spacing w:line="440" w:lineRule="exact"/>
        <w:outlineLvl w:val="9"/>
        <w:rPr>
          <w:rFonts w:hint="eastAsia" w:ascii="宋体" w:hAnsi="宋体" w:eastAsia="宋体" w:cs="宋体"/>
          <w:b/>
          <w:bCs/>
          <w:sz w:val="24"/>
          <w:szCs w:val="24"/>
        </w:rPr>
      </w:pPr>
      <w:r>
        <w:rPr>
          <w:rFonts w:hint="eastAsia" w:ascii="宋体" w:hAnsi="宋体" w:eastAsia="宋体" w:cs="宋体"/>
          <w:sz w:val="24"/>
          <w:szCs w:val="24"/>
        </w:rPr>
        <w:t>备注：本表后附</w:t>
      </w:r>
      <w:r>
        <w:rPr>
          <w:rFonts w:hint="eastAsia" w:ascii="宋体" w:hAnsi="宋体" w:eastAsia="宋体" w:cs="宋体"/>
          <w:sz w:val="24"/>
          <w:szCs w:val="24"/>
          <w:lang w:eastAsia="zh-CN"/>
        </w:rPr>
        <w:t>中标、成交通知书</w:t>
      </w:r>
      <w:r>
        <w:rPr>
          <w:rFonts w:hint="eastAsia" w:ascii="宋体" w:hAnsi="宋体" w:eastAsia="宋体" w:cs="宋体"/>
          <w:sz w:val="24"/>
          <w:szCs w:val="24"/>
        </w:rPr>
        <w:t>和（或）合同协议书复印件。每张表格只填写一个项目，并标明序号。</w:t>
      </w:r>
    </w:p>
    <w:p>
      <w:pPr>
        <w:keepNext w:val="0"/>
        <w:keepLines w:val="0"/>
        <w:pageBreakBefore w:val="0"/>
        <w:widowControl w:val="0"/>
        <w:kinsoku/>
        <w:wordWrap w:val="0"/>
        <w:overflowPunct/>
        <w:topLinePunct w:val="0"/>
        <w:autoSpaceDE/>
        <w:autoSpaceDN/>
        <w:bidi w:val="0"/>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keepNext w:val="0"/>
        <w:keepLines w:val="0"/>
        <w:pageBreakBefore w:val="0"/>
        <w:widowControl w:val="0"/>
        <w:kinsoku/>
        <w:wordWrap w:val="0"/>
        <w:overflowPunct/>
        <w:topLinePunct w:val="0"/>
        <w:autoSpaceDE/>
        <w:autoSpaceDN/>
        <w:bidi w:val="0"/>
        <w:adjustRightInd/>
        <w:snapToGrid w:val="0"/>
        <w:spacing w:before="120" w:after="240" w:line="440" w:lineRule="exact"/>
        <w:textAlignment w:val="auto"/>
        <w:outlineLvl w:val="9"/>
        <w:rPr>
          <w:rFonts w:hint="eastAsia" w:ascii="宋体" w:hAnsi="宋体" w:eastAsia="宋体" w:cs="宋体"/>
        </w:rPr>
      </w:pPr>
      <w:r>
        <w:rPr>
          <w:rFonts w:hint="eastAsia" w:ascii="宋体" w:hAnsi="宋体" w:eastAsia="宋体" w:cs="宋体"/>
          <w:b/>
          <w:bCs/>
          <w:sz w:val="28"/>
          <w:szCs w:val="28"/>
          <w:lang w:eastAsia="zh-CN"/>
        </w:rPr>
        <w:t>（五）</w:t>
      </w:r>
      <w:r>
        <w:rPr>
          <w:rFonts w:hint="eastAsia" w:ascii="宋体" w:hAnsi="宋体" w:eastAsia="宋体" w:cs="宋体"/>
          <w:b/>
          <w:bCs/>
          <w:sz w:val="28"/>
          <w:szCs w:val="28"/>
        </w:rPr>
        <w:t>近年发生的诉讼和仲裁情况</w:t>
      </w:r>
    </w:p>
    <w:p>
      <w:pPr>
        <w:keepNext w:val="0"/>
        <w:keepLines w:val="0"/>
        <w:pageBreakBefore w:val="0"/>
        <w:widowControl w:val="0"/>
        <w:kinsoku/>
        <w:wordWrap w:val="0"/>
        <w:overflowPunct/>
        <w:topLinePunct w:val="0"/>
        <w:autoSpaceDE/>
        <w:autoSpaceDN/>
        <w:bidi w:val="0"/>
        <w:adjustRightInd/>
        <w:snapToGrid w:val="0"/>
        <w:spacing w:line="440" w:lineRule="exact"/>
        <w:ind w:left="0" w:firstLine="0"/>
        <w:textAlignment w:val="auto"/>
        <w:outlineLvl w:val="9"/>
        <w:rPr>
          <w:rFonts w:hint="eastAsia" w:ascii="宋体" w:hAnsi="宋体" w:eastAsia="宋体" w:cs="宋体"/>
          <w:sz w:val="24"/>
          <w:szCs w:val="24"/>
        </w:rPr>
      </w:pPr>
      <w:r>
        <w:rPr>
          <w:rFonts w:hint="eastAsia" w:ascii="宋体" w:hAnsi="宋体" w:eastAsia="宋体" w:cs="宋体"/>
          <w:sz w:val="24"/>
          <w:szCs w:val="24"/>
        </w:rPr>
        <w:t>说明：近年发生的诉讼和仲裁情况仅限于</w:t>
      </w:r>
      <w:r>
        <w:rPr>
          <w:rFonts w:hint="eastAsia" w:ascii="宋体" w:hAnsi="宋体" w:eastAsia="宋体" w:cs="宋体"/>
          <w:sz w:val="24"/>
          <w:szCs w:val="24"/>
          <w:lang w:eastAsia="zh-CN"/>
        </w:rPr>
        <w:t>供应商</w:t>
      </w:r>
      <w:r>
        <w:rPr>
          <w:rFonts w:hint="eastAsia" w:ascii="宋体" w:hAnsi="宋体" w:eastAsia="宋体" w:cs="宋体"/>
          <w:sz w:val="24"/>
          <w:szCs w:val="24"/>
        </w:rPr>
        <w:t>败诉的，且与履行施工承包合同有关的案件，不包括调解结案以及未裁决的仲裁或未终审判决的诉讼。</w:t>
      </w:r>
    </w:p>
    <w:p>
      <w:pPr>
        <w:keepNext w:val="0"/>
        <w:keepLines w:val="0"/>
        <w:pageBreakBefore w:val="0"/>
        <w:widowControl w:val="0"/>
        <w:kinsoku/>
        <w:wordWrap w:val="0"/>
        <w:overflowPunct/>
        <w:topLinePunct w:val="0"/>
        <w:autoSpaceDE/>
        <w:autoSpaceDN/>
        <w:bidi w:val="0"/>
        <w:adjustRightInd/>
        <w:snapToGrid w:val="0"/>
        <w:spacing w:before="120" w:after="240" w:line="440" w:lineRule="exact"/>
        <w:ind w:left="0" w:firstLine="0"/>
        <w:jc w:val="both"/>
        <w:textAlignment w:val="auto"/>
        <w:outlineLvl w:val="9"/>
        <w:rPr>
          <w:rFonts w:hint="eastAsia" w:ascii="宋体" w:hAnsi="宋体" w:eastAsia="宋体" w:cs="宋体"/>
        </w:rPr>
      </w:pPr>
      <w:r>
        <w:rPr>
          <w:rFonts w:hint="eastAsia" w:ascii="宋体" w:hAnsi="宋体" w:eastAsia="宋体" w:cs="宋体"/>
          <w:sz w:val="24"/>
          <w:szCs w:val="24"/>
        </w:rPr>
        <w:br w:type="page"/>
      </w:r>
      <w:r>
        <w:rPr>
          <w:rFonts w:hint="eastAsia" w:ascii="宋体" w:hAnsi="宋体" w:eastAsia="宋体" w:cs="宋体"/>
          <w:b/>
          <w:bCs/>
          <w:sz w:val="28"/>
          <w:szCs w:val="28"/>
        </w:rPr>
        <w:t>（</w:t>
      </w:r>
      <w:r>
        <w:rPr>
          <w:rFonts w:hint="eastAsia" w:ascii="宋体" w:hAnsi="宋体" w:eastAsia="宋体" w:cs="宋体"/>
          <w:b/>
          <w:bCs/>
          <w:sz w:val="28"/>
          <w:szCs w:val="28"/>
          <w:lang w:eastAsia="zh-CN"/>
        </w:rPr>
        <w:t>六</w:t>
      </w:r>
      <w:r>
        <w:rPr>
          <w:rFonts w:hint="eastAsia" w:ascii="宋体" w:hAnsi="宋体" w:eastAsia="宋体" w:cs="宋体"/>
          <w:b/>
          <w:bCs/>
          <w:sz w:val="28"/>
          <w:szCs w:val="28"/>
        </w:rPr>
        <w:t>）企业其他信誉情况表（年份要求同诉讼及仲裁情况年份要求）</w:t>
      </w: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r>
        <w:rPr>
          <w:rFonts w:hint="eastAsia" w:ascii="宋体" w:hAnsi="宋体" w:eastAsia="宋体" w:cs="宋体"/>
          <w:sz w:val="24"/>
          <w:szCs w:val="24"/>
        </w:rPr>
        <w:t>1、近年企业不良行为记录情况</w:t>
      </w: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r>
        <w:rPr>
          <w:rFonts w:hint="eastAsia" w:ascii="宋体" w:hAnsi="宋体" w:eastAsia="宋体" w:cs="宋体"/>
          <w:sz w:val="24"/>
          <w:szCs w:val="24"/>
        </w:rPr>
        <w:t>2、在施工程以及近年已竣工工程合同履行情况</w:t>
      </w: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r>
        <w:rPr>
          <w:rFonts w:hint="eastAsia" w:ascii="宋体" w:hAnsi="宋体" w:eastAsia="宋体" w:cs="宋体"/>
          <w:sz w:val="24"/>
          <w:szCs w:val="24"/>
        </w:rPr>
        <w:t>3、其  他</w:t>
      </w: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ind w:left="630" w:hanging="630"/>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snapToGrid w:val="0"/>
        <w:spacing w:line="440" w:lineRule="exact"/>
        <w:outlineLvl w:val="9"/>
        <w:rPr>
          <w:rFonts w:hint="eastAsia" w:ascii="宋体" w:hAnsi="宋体" w:eastAsia="宋体" w:cs="宋体"/>
          <w:sz w:val="24"/>
          <w:szCs w:val="24"/>
        </w:rPr>
      </w:pPr>
    </w:p>
    <w:p>
      <w:pPr>
        <w:keepNext w:val="0"/>
        <w:keepLines w:val="0"/>
        <w:pageBreakBefore w:val="0"/>
        <w:widowControl w:val="0"/>
        <w:kinsoku/>
        <w:wordWrap w:val="0"/>
        <w:overflowPunct/>
        <w:topLinePunct w:val="0"/>
        <w:autoSpaceDE/>
        <w:autoSpaceDN/>
        <w:bidi w:val="0"/>
        <w:adjustRightInd/>
        <w:snapToGrid w:val="0"/>
        <w:spacing w:line="440" w:lineRule="exact"/>
        <w:ind w:left="1134" w:hanging="1134"/>
        <w:textAlignment w:val="auto"/>
        <w:outlineLvl w:val="9"/>
        <w:rPr>
          <w:rFonts w:hint="eastAsia" w:ascii="宋体" w:hAnsi="宋体" w:eastAsia="宋体" w:cs="宋体"/>
          <w:sz w:val="24"/>
          <w:szCs w:val="24"/>
        </w:rPr>
      </w:pPr>
      <w:r>
        <w:rPr>
          <w:rFonts w:hint="eastAsia" w:ascii="宋体" w:hAnsi="宋体" w:eastAsia="宋体" w:cs="宋体"/>
          <w:sz w:val="24"/>
          <w:szCs w:val="24"/>
        </w:rPr>
        <w:t>备注：1、企业不良行为记录情况主要是近年</w:t>
      </w:r>
      <w:r>
        <w:rPr>
          <w:rFonts w:hint="eastAsia" w:ascii="宋体" w:hAnsi="宋体" w:eastAsia="宋体" w:cs="宋体"/>
          <w:sz w:val="24"/>
          <w:szCs w:val="24"/>
          <w:lang w:eastAsia="zh-CN"/>
        </w:rPr>
        <w:t>供应商</w:t>
      </w:r>
      <w:r>
        <w:rPr>
          <w:rFonts w:hint="eastAsia" w:ascii="宋体" w:hAnsi="宋体" w:eastAsia="宋体" w:cs="宋体"/>
          <w:sz w:val="24"/>
          <w:szCs w:val="24"/>
        </w:rPr>
        <w:t>在工程建设过程中因违反有关工程建设的法律、法规、规章或强制性标准和执业行为规范，经县级以上建设行政主管部门或其委托的执法监督机构查实和行政处罚，形成的不良行为记录。应当结合第二章“</w:t>
      </w:r>
      <w:r>
        <w:rPr>
          <w:rFonts w:hint="eastAsia" w:ascii="宋体" w:hAnsi="宋体" w:eastAsia="宋体" w:cs="宋体"/>
          <w:sz w:val="24"/>
          <w:szCs w:val="24"/>
          <w:lang w:eastAsia="zh-CN"/>
        </w:rPr>
        <w:t>供应商</w:t>
      </w:r>
      <w:r>
        <w:rPr>
          <w:rFonts w:hint="eastAsia" w:ascii="宋体" w:hAnsi="宋体" w:eastAsia="宋体" w:cs="宋体"/>
          <w:sz w:val="24"/>
          <w:szCs w:val="24"/>
        </w:rPr>
        <w:t>须知”前附表第10.1.2项定义的范围填写。</w:t>
      </w:r>
    </w:p>
    <w:p>
      <w:pPr>
        <w:keepNext w:val="0"/>
        <w:keepLines w:val="0"/>
        <w:pageBreakBefore w:val="0"/>
        <w:widowControl w:val="0"/>
        <w:kinsoku/>
        <w:wordWrap w:val="0"/>
        <w:overflowPunct/>
        <w:topLinePunct w:val="0"/>
        <w:autoSpaceDE/>
        <w:autoSpaceDN/>
        <w:bidi w:val="0"/>
        <w:adjustRightInd/>
        <w:snapToGrid w:val="0"/>
        <w:spacing w:line="440" w:lineRule="exact"/>
        <w:ind w:left="1071" w:leftChars="350" w:hanging="336" w:hangingChars="140"/>
        <w:textAlignment w:val="auto"/>
        <w:outlineLvl w:val="9"/>
        <w:rPr>
          <w:rFonts w:hint="eastAsia" w:ascii="宋体" w:hAnsi="宋体" w:eastAsia="宋体" w:cs="宋体"/>
        </w:rPr>
      </w:pPr>
      <w:r>
        <w:rPr>
          <w:rFonts w:hint="eastAsia" w:ascii="宋体" w:hAnsi="宋体" w:eastAsia="宋体" w:cs="宋体"/>
          <w:sz w:val="24"/>
          <w:szCs w:val="24"/>
        </w:rPr>
        <w:t>2、合同履行情况主要是</w:t>
      </w:r>
      <w:r>
        <w:rPr>
          <w:rFonts w:hint="eastAsia" w:ascii="宋体" w:hAnsi="宋体" w:eastAsia="宋体" w:cs="宋体"/>
          <w:sz w:val="24"/>
          <w:szCs w:val="24"/>
          <w:lang w:eastAsia="zh-CN"/>
        </w:rPr>
        <w:t>供应商</w:t>
      </w:r>
      <w:r>
        <w:rPr>
          <w:rFonts w:hint="eastAsia" w:ascii="宋体" w:hAnsi="宋体" w:eastAsia="宋体" w:cs="宋体"/>
          <w:sz w:val="24"/>
          <w:szCs w:val="24"/>
        </w:rPr>
        <w:t>近年所承接工程和已竣工工程是否按合同约定的工期、质量、安全等履行合同义务，对未竣工工程合同履行情况还应重点说明非不可抗力解除合同（如果有)的原因等具体情况，等等。</w:t>
      </w:r>
    </w:p>
    <w:p>
      <w:pPr>
        <w:keepNext w:val="0"/>
        <w:keepLines w:val="0"/>
        <w:pageBreakBefore w:val="0"/>
        <w:widowControl w:val="0"/>
        <w:kinsoku/>
        <w:wordWrap w:val="0"/>
        <w:overflowPunct/>
        <w:topLinePunct w:val="0"/>
        <w:autoSpaceDE/>
        <w:autoSpaceDN/>
        <w:bidi w:val="0"/>
        <w:adjustRightInd/>
        <w:snapToGrid w:val="0"/>
        <w:spacing w:before="120" w:after="240" w:line="440" w:lineRule="exact"/>
        <w:jc w:val="both"/>
        <w:textAlignment w:val="auto"/>
        <w:outlineLvl w:val="9"/>
        <w:rPr>
          <w:rFonts w:hint="eastAsia" w:ascii="宋体" w:hAnsi="宋体" w:eastAsia="宋体" w:cs="宋体"/>
        </w:rPr>
      </w:pPr>
      <w:r>
        <w:rPr>
          <w:rFonts w:hint="eastAsia" w:ascii="宋体" w:hAnsi="宋体" w:eastAsia="宋体" w:cs="宋体"/>
          <w:sz w:val="24"/>
          <w:szCs w:val="24"/>
        </w:rPr>
        <w:br w:type="page"/>
      </w:r>
      <w:r>
        <w:rPr>
          <w:rFonts w:hint="eastAsia" w:ascii="宋体" w:hAnsi="宋体" w:eastAsia="宋体" w:cs="宋体"/>
          <w:b/>
          <w:bCs/>
          <w:sz w:val="28"/>
          <w:szCs w:val="28"/>
        </w:rPr>
        <w:t>（</w:t>
      </w:r>
      <w:r>
        <w:rPr>
          <w:rFonts w:hint="eastAsia" w:ascii="宋体" w:hAnsi="宋体" w:eastAsia="宋体" w:cs="宋体"/>
          <w:b/>
          <w:bCs/>
          <w:sz w:val="28"/>
          <w:szCs w:val="28"/>
          <w:lang w:eastAsia="zh-CN"/>
        </w:rPr>
        <w:t>七</w:t>
      </w:r>
      <w:r>
        <w:rPr>
          <w:rFonts w:hint="eastAsia" w:ascii="宋体" w:hAnsi="宋体" w:eastAsia="宋体" w:cs="宋体"/>
          <w:b/>
          <w:bCs/>
          <w:sz w:val="28"/>
          <w:szCs w:val="28"/>
        </w:rPr>
        <w:t>）主要项目管理人员简历表</w:t>
      </w:r>
    </w:p>
    <w:p>
      <w:pPr>
        <w:keepNext w:val="0"/>
        <w:keepLines w:val="0"/>
        <w:pageBreakBefore w:val="0"/>
        <w:widowControl w:val="0"/>
        <w:kinsoku/>
        <w:wordWrap w:val="0"/>
        <w:overflowPunct/>
        <w:topLinePunct w:val="0"/>
        <w:autoSpaceDE/>
        <w:autoSpaceDN/>
        <w:bidi w:val="0"/>
        <w:snapToGrid w:val="0"/>
        <w:spacing w:line="440" w:lineRule="exact"/>
        <w:outlineLvl w:val="9"/>
        <w:rPr>
          <w:rFonts w:hint="eastAsia" w:ascii="宋体" w:hAnsi="宋体" w:eastAsia="宋体" w:cs="宋体"/>
        </w:rPr>
      </w:pPr>
      <w:r>
        <w:rPr>
          <w:rFonts w:hint="eastAsia" w:ascii="宋体" w:hAnsi="宋体" w:eastAsia="宋体" w:cs="宋体"/>
          <w:sz w:val="24"/>
          <w:szCs w:val="24"/>
        </w:rPr>
        <w:t>说明：“主要人员简历表”同本章附件七之（二）。未进行资格预审但本章“项目管理机构”已有本表内容的，无需重复提交。</w:t>
      </w:r>
    </w:p>
    <w:p>
      <w:pPr>
        <w:keepNext w:val="0"/>
        <w:keepLines w:val="0"/>
        <w:pageBreakBefore w:val="0"/>
        <w:widowControl w:val="0"/>
        <w:kinsoku/>
        <w:wordWrap w:val="0"/>
        <w:overflowPunct/>
        <w:topLinePunct w:val="0"/>
        <w:autoSpaceDE/>
        <w:autoSpaceDN/>
        <w:bidi w:val="0"/>
        <w:adjustRightInd/>
        <w:snapToGrid w:val="0"/>
        <w:spacing w:before="120" w:after="240" w:line="440" w:lineRule="exact"/>
        <w:jc w:val="both"/>
        <w:textAlignment w:val="auto"/>
        <w:outlineLvl w:val="9"/>
        <w:rPr>
          <w:rFonts w:hint="eastAsia" w:ascii="宋体" w:hAnsi="宋体" w:eastAsia="宋体" w:cs="宋体"/>
        </w:rPr>
      </w:pPr>
      <w:r>
        <w:rPr>
          <w:rFonts w:hint="eastAsia" w:ascii="宋体" w:hAnsi="宋体" w:eastAsia="宋体" w:cs="宋体"/>
          <w:sz w:val="24"/>
          <w:szCs w:val="24"/>
        </w:rPr>
        <w:br w:type="page"/>
      </w:r>
      <w:bookmarkStart w:id="390" w:name="_Toc46231272"/>
      <w:bookmarkStart w:id="391" w:name="_Toc11268"/>
      <w:bookmarkStart w:id="392" w:name="_Toc23939"/>
      <w:bookmarkStart w:id="393" w:name="_Toc7908"/>
      <w:bookmarkStart w:id="394" w:name="_Toc7926"/>
      <w:bookmarkStart w:id="395" w:name="_Toc2143"/>
      <w:bookmarkStart w:id="396" w:name="_Toc19585"/>
      <w:r>
        <w:rPr>
          <w:rFonts w:hint="eastAsia" w:ascii="宋体" w:hAnsi="宋体" w:eastAsia="宋体" w:cs="宋体"/>
          <w:b/>
          <w:bCs/>
          <w:sz w:val="28"/>
          <w:szCs w:val="28"/>
        </w:rPr>
        <w:t>（</w:t>
      </w:r>
      <w:r>
        <w:rPr>
          <w:rFonts w:hint="eastAsia" w:ascii="宋体" w:hAnsi="宋体" w:cs="宋体"/>
          <w:b/>
          <w:bCs/>
          <w:sz w:val="28"/>
          <w:szCs w:val="28"/>
          <w:lang w:eastAsia="zh-CN"/>
        </w:rPr>
        <w:t>八</w:t>
      </w:r>
      <w:r>
        <w:rPr>
          <w:rFonts w:hint="eastAsia" w:ascii="宋体" w:hAnsi="宋体" w:eastAsia="宋体" w:cs="宋体"/>
          <w:b/>
          <w:bCs/>
          <w:sz w:val="28"/>
          <w:szCs w:val="28"/>
        </w:rPr>
        <w:t>）中小企业声明函（不是中小企业不需填写此表）</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1"/>
          <w:highlight w:val="none"/>
        </w:rPr>
      </w:pPr>
      <w:r>
        <w:rPr>
          <w:rFonts w:ascii="宋体" w:hAnsi="宋体" w:cs="宋体"/>
          <w:color w:val="auto"/>
          <w:sz w:val="24"/>
          <w:szCs w:val="21"/>
          <w:highlight w:val="none"/>
        </w:rPr>
        <w:t>本公司郑重声明，根据《政府采购促进中小企业发展暂行办法》（财库〔2011〕181号）的规定，本公司为______（请填写：中型、小型、微型）企业。即，本公司同时满足以下条件：</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1"/>
          <w:highlight w:val="none"/>
        </w:rPr>
      </w:pPr>
      <w:r>
        <w:rPr>
          <w:rFonts w:ascii="宋体" w:hAnsi="宋体" w:cs="宋体"/>
          <w:color w:val="auto"/>
          <w:sz w:val="24"/>
          <w:szCs w:val="21"/>
          <w:highlight w:val="none"/>
        </w:rPr>
        <w:t>1.根据《工业和信息化部、国家统计局、国家发展和改革委员会、财政部关于印发中小企业划型标准规定的通知》（工信部联企业〔2011〕300号）规定的划分标准，本公司为______（请填写：中型、小型、微型）企业。</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1"/>
          <w:highlight w:val="none"/>
        </w:rPr>
      </w:pPr>
      <w:r>
        <w:rPr>
          <w:rFonts w:ascii="宋体" w:hAnsi="宋体" w:cs="宋体"/>
          <w:color w:val="auto"/>
          <w:sz w:val="24"/>
          <w:szCs w:val="21"/>
          <w:highlight w:val="none"/>
        </w:rPr>
        <w:t>2.本公司参加______单位的______项目采购活动提供本企业制造的货物，由本企业承担工程、提供服务，或者提供其他______（请填写：中型、小型、微型）企业制造的货物。本条所称货物不包括使用大型企业注册商标的货物。</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宋体"/>
          <w:color w:val="auto"/>
          <w:sz w:val="24"/>
          <w:szCs w:val="21"/>
          <w:highlight w:val="none"/>
        </w:rPr>
      </w:pPr>
      <w:r>
        <w:rPr>
          <w:rFonts w:ascii="宋体" w:hAnsi="宋体" w:cs="宋体"/>
          <w:color w:val="auto"/>
          <w:sz w:val="24"/>
          <w:szCs w:val="21"/>
          <w:highlight w:val="none"/>
        </w:rPr>
        <w:t>本公司对上述声明的真实性负责。如有虚假，将依法承担相应责任。</w:t>
      </w:r>
    </w:p>
    <w:p>
      <w:pPr>
        <w:keepNext w:val="0"/>
        <w:keepLines w:val="0"/>
        <w:pageBreakBefore w:val="0"/>
        <w:widowControl/>
        <w:kinsoku/>
        <w:wordWrap/>
        <w:overflowPunct/>
        <w:topLinePunct w:val="0"/>
        <w:autoSpaceDE/>
        <w:autoSpaceDN/>
        <w:bidi w:val="0"/>
        <w:adjustRightInd/>
        <w:snapToGrid/>
        <w:spacing w:line="440" w:lineRule="exact"/>
        <w:textAlignment w:val="auto"/>
        <w:rPr>
          <w:rFonts w:ascii="宋体" w:hAnsi="宋体" w:cs="宋体"/>
          <w:color w:val="auto"/>
          <w:sz w:val="24"/>
          <w:szCs w:val="21"/>
          <w:highlight w:val="none"/>
        </w:rPr>
      </w:pPr>
    </w:p>
    <w:p>
      <w:pPr>
        <w:keepNext w:val="0"/>
        <w:keepLines w:val="0"/>
        <w:pageBreakBefore w:val="0"/>
        <w:widowControl/>
        <w:kinsoku/>
        <w:wordWrap/>
        <w:overflowPunct/>
        <w:topLinePunct w:val="0"/>
        <w:autoSpaceDE/>
        <w:autoSpaceDN/>
        <w:bidi w:val="0"/>
        <w:adjustRightInd/>
        <w:snapToGrid/>
        <w:spacing w:line="440" w:lineRule="exact"/>
        <w:textAlignment w:val="auto"/>
        <w:rPr>
          <w:rFonts w:ascii="宋体" w:hAnsi="宋体" w:cs="宋体"/>
          <w:color w:val="auto"/>
          <w:sz w:val="24"/>
          <w:szCs w:val="21"/>
          <w:highlight w:val="none"/>
        </w:rPr>
      </w:pPr>
    </w:p>
    <w:p>
      <w:pPr>
        <w:keepNext w:val="0"/>
        <w:keepLines w:val="0"/>
        <w:pageBreakBefore w:val="0"/>
        <w:widowControl/>
        <w:kinsoku/>
        <w:wordWrap/>
        <w:overflowPunct/>
        <w:topLinePunct w:val="0"/>
        <w:autoSpaceDE/>
        <w:autoSpaceDN/>
        <w:bidi w:val="0"/>
        <w:adjustRightInd/>
        <w:snapToGrid/>
        <w:spacing w:line="440" w:lineRule="exact"/>
        <w:textAlignment w:val="auto"/>
        <w:rPr>
          <w:rFonts w:ascii="宋体" w:hAnsi="宋体" w:cs="宋体"/>
          <w:color w:val="auto"/>
          <w:sz w:val="24"/>
          <w:szCs w:val="21"/>
          <w:highlight w:val="none"/>
        </w:rPr>
      </w:pPr>
    </w:p>
    <w:p>
      <w:pPr>
        <w:pStyle w:val="37"/>
      </w:pPr>
    </w:p>
    <w:p>
      <w:pPr>
        <w:keepNext w:val="0"/>
        <w:keepLines w:val="0"/>
        <w:pageBreakBefore w:val="0"/>
        <w:widowControl/>
        <w:kinsoku/>
        <w:wordWrap/>
        <w:overflowPunct/>
        <w:topLinePunct w:val="0"/>
        <w:autoSpaceDE/>
        <w:autoSpaceDN/>
        <w:bidi w:val="0"/>
        <w:adjustRightInd/>
        <w:snapToGrid/>
        <w:spacing w:line="440" w:lineRule="exact"/>
        <w:textAlignment w:val="auto"/>
        <w:rPr>
          <w:rFonts w:ascii="宋体" w:hAnsi="宋体" w:cs="宋体"/>
          <w:color w:val="auto"/>
          <w:szCs w:val="21"/>
          <w:highlight w:val="none"/>
        </w:rPr>
      </w:pPr>
      <w:r>
        <w:rPr>
          <w:rFonts w:ascii="宋体" w:hAnsi="宋体" w:cs="宋体"/>
          <w:color w:val="auto"/>
          <w:sz w:val="24"/>
          <w:szCs w:val="21"/>
          <w:highlight w:val="none"/>
        </w:rPr>
        <w:t>企业名称（盖章）：</w:t>
      </w:r>
    </w:p>
    <w:p>
      <w:pPr>
        <w:keepNext w:val="0"/>
        <w:keepLines w:val="0"/>
        <w:pageBreakBefore w:val="0"/>
        <w:widowControl w:val="0"/>
        <w:tabs>
          <w:tab w:val="left" w:pos="0"/>
          <w:tab w:val="left" w:pos="2309"/>
          <w:tab w:val="center" w:pos="4267"/>
        </w:tabs>
        <w:kinsoku/>
        <w:wordWrap w:val="0"/>
        <w:overflowPunct/>
        <w:topLinePunct w:val="0"/>
        <w:autoSpaceDE/>
        <w:autoSpaceDN/>
        <w:bidi w:val="0"/>
        <w:spacing w:line="360" w:lineRule="auto"/>
        <w:jc w:val="left"/>
        <w:textAlignment w:val="auto"/>
        <w:rPr>
          <w:rFonts w:ascii="宋体" w:hAnsi="宋体" w:cs="宋体"/>
          <w:b w:val="0"/>
          <w:color w:val="auto"/>
          <w:sz w:val="24"/>
          <w:szCs w:val="21"/>
          <w:highlight w:val="none"/>
        </w:rPr>
      </w:pPr>
    </w:p>
    <w:p>
      <w:pPr>
        <w:keepNext w:val="0"/>
        <w:keepLines w:val="0"/>
        <w:pageBreakBefore w:val="0"/>
        <w:widowControl w:val="0"/>
        <w:tabs>
          <w:tab w:val="left" w:pos="0"/>
          <w:tab w:val="left" w:pos="2309"/>
          <w:tab w:val="center" w:pos="4267"/>
        </w:tabs>
        <w:kinsoku/>
        <w:wordWrap w:val="0"/>
        <w:overflowPunct/>
        <w:topLinePunct w:val="0"/>
        <w:autoSpaceDE/>
        <w:autoSpaceDN/>
        <w:bidi w:val="0"/>
        <w:spacing w:line="360" w:lineRule="auto"/>
        <w:jc w:val="left"/>
        <w:textAlignment w:val="auto"/>
        <w:rPr>
          <w:rFonts w:hint="eastAsia" w:ascii="宋体" w:hAnsi="宋体" w:cs="宋体"/>
          <w:b w:val="0"/>
          <w:color w:val="auto"/>
          <w:sz w:val="20"/>
          <w:szCs w:val="30"/>
          <w:highlight w:val="none"/>
          <w:lang w:val="zh-CN"/>
        </w:rPr>
      </w:pPr>
      <w:r>
        <w:rPr>
          <w:rFonts w:ascii="宋体" w:hAnsi="宋体" w:cs="宋体"/>
          <w:b w:val="0"/>
          <w:color w:val="auto"/>
          <w:sz w:val="24"/>
          <w:szCs w:val="21"/>
          <w:highlight w:val="none"/>
        </w:rPr>
        <w:t>日 期：</w:t>
      </w:r>
      <w:r>
        <w:rPr>
          <w:rFonts w:hint="eastAsia" w:ascii="宋体" w:hAnsi="宋体" w:cs="宋体"/>
          <w:spacing w:val="6"/>
          <w:sz w:val="24"/>
          <w:szCs w:val="24"/>
          <w:highlight w:val="none"/>
          <w:u w:val="single"/>
        </w:rPr>
        <w:t xml:space="preserve">      </w:t>
      </w:r>
      <w:r>
        <w:rPr>
          <w:rFonts w:hint="eastAsia" w:ascii="宋体" w:hAnsi="宋体" w:cs="宋体"/>
          <w:spacing w:val="6"/>
          <w:sz w:val="24"/>
          <w:szCs w:val="24"/>
          <w:highlight w:val="none"/>
        </w:rPr>
        <w:t>年</w:t>
      </w:r>
      <w:r>
        <w:rPr>
          <w:rFonts w:hint="eastAsia" w:ascii="宋体" w:hAnsi="宋体" w:cs="宋体"/>
          <w:spacing w:val="6"/>
          <w:sz w:val="24"/>
          <w:szCs w:val="24"/>
          <w:highlight w:val="none"/>
          <w:u w:val="single"/>
        </w:rPr>
        <w:t xml:space="preserve">      </w:t>
      </w:r>
      <w:r>
        <w:rPr>
          <w:rFonts w:hint="eastAsia" w:ascii="宋体" w:hAnsi="宋体" w:cs="宋体"/>
          <w:spacing w:val="6"/>
          <w:sz w:val="24"/>
          <w:szCs w:val="24"/>
          <w:highlight w:val="none"/>
        </w:rPr>
        <w:t>月</w:t>
      </w:r>
      <w:r>
        <w:rPr>
          <w:rFonts w:hint="eastAsia" w:ascii="宋体" w:hAnsi="宋体" w:cs="宋体"/>
          <w:spacing w:val="6"/>
          <w:sz w:val="24"/>
          <w:szCs w:val="24"/>
          <w:highlight w:val="none"/>
          <w:u w:val="single"/>
        </w:rPr>
        <w:t xml:space="preserve">      </w:t>
      </w:r>
      <w:r>
        <w:rPr>
          <w:rFonts w:hint="eastAsia" w:ascii="宋体" w:hAnsi="宋体" w:cs="宋体"/>
          <w:spacing w:val="6"/>
          <w:sz w:val="24"/>
          <w:szCs w:val="24"/>
          <w:highlight w:val="none"/>
        </w:rPr>
        <w:t>日</w:t>
      </w:r>
    </w:p>
    <w:p>
      <w:pPr>
        <w:pStyle w:val="31"/>
        <w:keepNext w:val="0"/>
        <w:keepLines w:val="0"/>
        <w:pageBreakBefore w:val="0"/>
        <w:widowControl w:val="0"/>
        <w:kinsoku/>
        <w:wordWrap w:val="0"/>
        <w:overflowPunct/>
        <w:topLinePunct w:val="0"/>
        <w:autoSpaceDE/>
        <w:autoSpaceDN/>
        <w:bidi w:val="0"/>
        <w:adjustRightInd/>
        <w:snapToGrid/>
        <w:spacing w:before="0" w:after="0" w:line="360" w:lineRule="auto"/>
        <w:ind w:left="0" w:leftChars="0" w:right="0" w:rightChars="0" w:firstLine="0" w:firstLineChars="0"/>
        <w:jc w:val="center"/>
        <w:textAlignment w:val="auto"/>
        <w:outlineLvl w:val="1"/>
        <w:rPr>
          <w:rFonts w:hint="eastAsia" w:ascii="宋体" w:hAnsi="宋体" w:eastAsia="宋体" w:cs="宋体"/>
          <w:sz w:val="24"/>
          <w:szCs w:val="24"/>
        </w:rPr>
      </w:pPr>
      <w:r>
        <w:rPr>
          <w:rFonts w:hint="eastAsia" w:ascii="宋体" w:hAnsi="宋体" w:eastAsia="宋体" w:cs="宋体"/>
          <w:sz w:val="24"/>
          <w:szCs w:val="24"/>
        </w:rPr>
        <w:br w:type="page"/>
      </w:r>
      <w:bookmarkStart w:id="397" w:name="_Toc8572"/>
      <w:r>
        <w:rPr>
          <w:rFonts w:hint="eastAsia" w:ascii="宋体" w:hAnsi="宋体" w:eastAsia="宋体" w:cs="宋体"/>
        </w:rPr>
        <w:t>十、其他材料</w:t>
      </w:r>
      <w:bookmarkEnd w:id="390"/>
      <w:bookmarkEnd w:id="391"/>
      <w:bookmarkEnd w:id="392"/>
      <w:bookmarkEnd w:id="393"/>
      <w:bookmarkEnd w:id="394"/>
      <w:bookmarkEnd w:id="395"/>
      <w:bookmarkEnd w:id="396"/>
      <w:bookmarkEnd w:id="397"/>
      <w:bookmarkStart w:id="398" w:name="_Toc6934"/>
      <w:bookmarkStart w:id="399" w:name="_Toc13595"/>
    </w:p>
    <w:p>
      <w:pPr>
        <w:keepNext w:val="0"/>
        <w:keepLines w:val="0"/>
        <w:pageBreakBefore w:val="0"/>
        <w:widowControl w:val="0"/>
        <w:kinsoku/>
        <w:wordWrap w:val="0"/>
        <w:overflowPunct/>
        <w:topLinePunct w:val="0"/>
        <w:autoSpaceDE/>
        <w:autoSpaceDN/>
        <w:bidi w:val="0"/>
        <w:rPr>
          <w:rFonts w:hint="eastAsia" w:ascii="宋体" w:hAnsi="宋体" w:eastAsia="宋体" w:cs="宋体"/>
          <w:sz w:val="24"/>
          <w:szCs w:val="24"/>
        </w:rPr>
      </w:pPr>
      <w:r>
        <w:rPr>
          <w:rFonts w:hint="eastAsia" w:ascii="宋体" w:hAnsi="宋体" w:eastAsia="宋体" w:cs="宋体"/>
          <w:sz w:val="24"/>
          <w:szCs w:val="24"/>
        </w:rPr>
        <w:br w:type="page"/>
      </w:r>
    </w:p>
    <w:bookmarkEnd w:id="398"/>
    <w:bookmarkEnd w:id="399"/>
    <w:p>
      <w:pPr>
        <w:pStyle w:val="3"/>
        <w:keepNext w:val="0"/>
        <w:keepLines w:val="0"/>
        <w:pageBreakBefore w:val="0"/>
        <w:widowControl w:val="0"/>
        <w:kinsoku/>
        <w:wordWrap w:val="0"/>
        <w:overflowPunct/>
        <w:topLinePunct w:val="0"/>
        <w:autoSpaceDE/>
        <w:autoSpaceDN/>
        <w:bidi w:val="0"/>
        <w:adjustRightInd/>
        <w:snapToGrid/>
        <w:spacing w:before="0" w:after="143" w:afterLines="50" w:line="240" w:lineRule="auto"/>
        <w:ind w:left="0" w:leftChars="0" w:right="0" w:rightChars="0" w:firstLine="0" w:firstLineChars="0"/>
        <w:jc w:val="center"/>
        <w:textAlignment w:val="auto"/>
        <w:rPr>
          <w:rFonts w:hint="eastAsia" w:ascii="宋体" w:hAnsi="宋体" w:eastAsia="宋体" w:cs="宋体"/>
          <w:b/>
          <w:bCs/>
          <w:kern w:val="2"/>
          <w:sz w:val="32"/>
          <w:szCs w:val="32"/>
          <w:highlight w:val="none"/>
          <w:lang w:val="en-US" w:eastAsia="zh-CN" w:bidi="ar-SA"/>
        </w:rPr>
      </w:pPr>
      <w:bookmarkStart w:id="400" w:name="_Toc9659"/>
      <w:bookmarkStart w:id="401" w:name="_Toc27273"/>
      <w:bookmarkStart w:id="402" w:name="_Toc21606"/>
      <w:r>
        <w:rPr>
          <w:rFonts w:hint="eastAsia" w:ascii="宋体" w:hAnsi="宋体" w:eastAsia="宋体" w:cs="宋体"/>
        </w:rPr>
        <w:t>第</w:t>
      </w:r>
      <w:r>
        <w:rPr>
          <w:rFonts w:hint="eastAsia" w:ascii="宋体" w:hAnsi="宋体" w:eastAsia="宋体" w:cs="宋体"/>
          <w:lang w:eastAsia="zh-CN"/>
        </w:rPr>
        <w:t>九</w:t>
      </w:r>
      <w:r>
        <w:rPr>
          <w:rFonts w:hint="eastAsia" w:ascii="宋体" w:hAnsi="宋体" w:eastAsia="宋体" w:cs="宋体"/>
        </w:rPr>
        <w:t>章 附件</w:t>
      </w:r>
      <w:bookmarkEnd w:id="400"/>
      <w:bookmarkEnd w:id="401"/>
      <w:bookmarkEnd w:id="402"/>
    </w:p>
    <w:p>
      <w:pPr>
        <w:pStyle w:val="4"/>
        <w:keepNext w:val="0"/>
        <w:keepLines w:val="0"/>
        <w:pageBreakBefore w:val="0"/>
        <w:widowControl w:val="0"/>
        <w:kinsoku/>
        <w:wordWrap/>
        <w:overflowPunct/>
        <w:topLinePunct w:val="0"/>
        <w:autoSpaceDE/>
        <w:autoSpaceDN/>
        <w:bidi w:val="0"/>
        <w:adjustRightInd/>
        <w:snapToGrid/>
        <w:spacing w:before="428" w:beforeLines="150" w:after="20" w:line="360" w:lineRule="auto"/>
        <w:ind w:left="0" w:leftChars="0" w:right="0" w:rightChars="0" w:firstLine="0" w:firstLineChars="0"/>
        <w:jc w:val="center"/>
        <w:textAlignment w:val="auto"/>
        <w:rPr>
          <w:rFonts w:hint="eastAsia" w:ascii="宋体" w:hAnsi="宋体" w:eastAsia="宋体" w:cs="宋体"/>
          <w:b/>
          <w:sz w:val="24"/>
        </w:rPr>
      </w:pPr>
      <w:bookmarkStart w:id="403" w:name="_Toc26844"/>
      <w:r>
        <w:rPr>
          <w:rFonts w:hint="eastAsia" w:ascii="宋体" w:hAnsi="宋体" w:eastAsia="宋体" w:cs="宋体"/>
          <w:b/>
          <w:bCs/>
          <w:kern w:val="2"/>
          <w:sz w:val="32"/>
          <w:szCs w:val="32"/>
          <w:highlight w:val="none"/>
          <w:lang w:val="en-US" w:eastAsia="zh-CN" w:bidi="ar-SA"/>
        </w:rPr>
        <w:t>开标一览表</w:t>
      </w:r>
      <w:r>
        <w:rPr>
          <w:rFonts w:hint="eastAsia" w:ascii="宋体" w:hAnsi="宋体" w:eastAsia="宋体" w:cs="宋体"/>
          <w:b/>
          <w:sz w:val="24"/>
        </w:rPr>
        <w:t>（最终报价）</w:t>
      </w:r>
      <w:bookmarkEnd w:id="403"/>
    </w:p>
    <w:p>
      <w:pPr>
        <w:ind w:firstLine="2650" w:firstLineChars="1100"/>
        <w:rPr>
          <w:rFonts w:hint="default" w:ascii="宋体" w:hAnsi="宋体" w:eastAsia="宋体" w:cs="宋体"/>
          <w:b/>
          <w:bCs/>
          <w:kern w:val="2"/>
          <w:sz w:val="24"/>
          <w:szCs w:val="24"/>
          <w:lang w:val="en-US" w:eastAsia="zh-CN"/>
        </w:rPr>
      </w:pPr>
      <w:r>
        <w:rPr>
          <w:rFonts w:hint="eastAsia" w:ascii="宋体" w:hAnsi="宋体" w:cs="宋体"/>
          <w:b/>
          <w:bCs/>
          <w:kern w:val="2"/>
          <w:sz w:val="24"/>
          <w:szCs w:val="24"/>
          <w:lang w:val="en-US" w:eastAsia="zh-CN"/>
        </w:rPr>
        <w:t>在政采云系统上进行报价</w:t>
      </w:r>
    </w:p>
    <w:sectPr>
      <w:footerReference r:id="rId7" w:type="default"/>
      <w:type w:val="continuous"/>
      <w:pgSz w:w="11905" w:h="16838"/>
      <w:pgMar w:top="1440" w:right="1803" w:bottom="1440" w:left="1803" w:header="720" w:footer="720" w:gutter="0"/>
      <w:pgNumType w:fmt="decimal"/>
      <w:cols w:space="0" w:num="1"/>
      <w:rtlGutter w:val="0"/>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Garamond">
    <w:panose1 w:val="02020404030301010803"/>
    <w:charset w:val="00"/>
    <w:family w:val="roman"/>
    <w:pitch w:val="default"/>
    <w:sig w:usb0="00000287" w:usb1="00000000" w:usb2="00000000" w:usb3="00000000" w:csb0="0000009F" w:csb1="DFD7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right" w:pos="4153"/>
        <w:tab w:val="center" w:pos="8306"/>
      </w:tabs>
      <w:snapToGrid w:val="0"/>
      <w:jc w:val="left"/>
      <w:rPr>
        <w:rFonts w:hint="eastAsia" w:ascii="Calibri" w:hAnsi="Calibri"/>
        <w:sz w:val="18"/>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right" w:pos="4153"/>
        <w:tab w:val="center" w:pos="8306"/>
      </w:tabs>
      <w:snapToGrid w:val="0"/>
      <w:jc w:val="left"/>
      <w:rPr>
        <w:rFonts w:hint="eastAsia" w:ascii="Calibri" w:hAnsi="Calibri"/>
        <w:sz w:val="18"/>
        <w:szCs w:val="20"/>
      </w:rPr>
    </w:pPr>
    <w:r>
      <w:rPr>
        <w:sz w:val="18"/>
      </w:rPr>
      <w:pict>
        <v:shape id="_x0000_s4097" o:spid="_x0000_s4097" o:spt="202" type="#_x0000_t202" style="position:absolute;left:0pt;margin-top:-6.55pt;height:12.5pt;width:55.55pt;mso-position-horizontal:right;mso-position-horizontal-relative:margin;z-index:251661312;mso-width-relative:page;mso-height-relative:page;" filled="f" stroked="f" coordsize="21600,21600">
          <v:path/>
          <v:fill on="f" focussize="0,0"/>
          <v:stroke on="f"/>
          <v:imagedata o:title=""/>
          <o:lock v:ext="edit" aspectratio="f"/>
          <v:textbox inset="0mm,0mm,0mm,0mm">
            <w:txbxContent>
              <w:p>
                <w:pPr>
                  <w:pStyle w:val="27"/>
                  <w:jc w:val="both"/>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第 </w:t>
                </w:r>
                <w:r>
                  <w:rPr>
                    <w:rFonts w:hint="eastAsia" w:ascii="宋体" w:hAnsi="宋体" w:eastAsia="宋体" w:cs="宋体"/>
                    <w:b/>
                    <w:bCs/>
                    <w:sz w:val="21"/>
                    <w:szCs w:val="21"/>
                    <w:lang w:eastAsia="zh-CN"/>
                  </w:rPr>
                  <w:fldChar w:fldCharType="begin"/>
                </w:r>
                <w:r>
                  <w:rPr>
                    <w:rFonts w:hint="eastAsia" w:ascii="宋体" w:hAnsi="宋体" w:eastAsia="宋体" w:cs="宋体"/>
                    <w:b/>
                    <w:bCs/>
                    <w:sz w:val="21"/>
                    <w:szCs w:val="21"/>
                    <w:lang w:eastAsia="zh-CN"/>
                  </w:rPr>
                  <w:instrText xml:space="preserve"> PAGE  \* MERGEFORMAT </w:instrText>
                </w:r>
                <w:r>
                  <w:rPr>
                    <w:rFonts w:hint="eastAsia" w:ascii="宋体" w:hAnsi="宋体" w:eastAsia="宋体" w:cs="宋体"/>
                    <w:b/>
                    <w:bCs/>
                    <w:sz w:val="21"/>
                    <w:szCs w:val="21"/>
                    <w:lang w:eastAsia="zh-CN"/>
                  </w:rPr>
                  <w:fldChar w:fldCharType="separate"/>
                </w:r>
                <w:r>
                  <w:rPr>
                    <w:rFonts w:hint="eastAsia" w:ascii="宋体" w:hAnsi="宋体" w:eastAsia="宋体" w:cs="宋体"/>
                    <w:b/>
                    <w:bCs/>
                    <w:sz w:val="21"/>
                    <w:szCs w:val="21"/>
                    <w:lang w:eastAsia="zh-CN"/>
                  </w:rPr>
                  <w:t>168</w:t>
                </w:r>
                <w:r>
                  <w:rPr>
                    <w:rFonts w:hint="eastAsia" w:ascii="宋体" w:hAnsi="宋体" w:eastAsia="宋体" w:cs="宋体"/>
                    <w:b/>
                    <w:bCs/>
                    <w:sz w:val="21"/>
                    <w:szCs w:val="21"/>
                    <w:lang w:eastAsia="zh-CN"/>
                  </w:rPr>
                  <w:fldChar w:fldCharType="end"/>
                </w:r>
                <w:r>
                  <w:rPr>
                    <w:rFonts w:hint="eastAsia" w:ascii="宋体" w:hAnsi="宋体" w:eastAsia="宋体" w:cs="宋体"/>
                    <w:b/>
                    <w:bCs/>
                    <w:sz w:val="21"/>
                    <w:szCs w:val="21"/>
                    <w:lang w:eastAsia="zh-CN"/>
                  </w:rP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right" w:pos="4153"/>
        <w:tab w:val="center" w:pos="8306"/>
      </w:tabs>
      <w:snapToGrid w:val="0"/>
      <w:jc w:val="left"/>
      <w:rPr>
        <w:rFonts w:hint="eastAsia" w:ascii="Calibri" w:hAnsi="Calibri"/>
        <w:sz w:val="18"/>
        <w:szCs w:val="20"/>
      </w:rPr>
    </w:pPr>
    <w:r>
      <w:rPr>
        <w:sz w:val="18"/>
      </w:rPr>
      <w:pict>
        <v:shape id="_x0000_s4098" o:spid="_x0000_s4098" o:spt="202" type="#_x0000_t202" style="position:absolute;left:0pt;margin-top:-6.55pt;height:12.5pt;width:55.55pt;mso-position-horizontal:right;mso-position-horizontal-relative:margin;z-index:251660288;mso-width-relative:page;mso-height-relative:page;" filled="f" stroked="f" coordsize="21600,21600">
          <v:path/>
          <v:fill on="f" focussize="0,0"/>
          <v:stroke on="f"/>
          <v:imagedata o:title=""/>
          <o:lock v:ext="edit" aspectratio="f"/>
          <v:textbox inset="0mm,0mm,0mm,0mm">
            <w:txbxContent>
              <w:p>
                <w:pPr>
                  <w:pStyle w:val="27"/>
                  <w:jc w:val="right"/>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第 </w:t>
                </w:r>
                <w:r>
                  <w:rPr>
                    <w:rFonts w:hint="eastAsia" w:ascii="宋体" w:hAnsi="宋体" w:eastAsia="宋体" w:cs="宋体"/>
                    <w:b/>
                    <w:bCs/>
                    <w:sz w:val="21"/>
                    <w:szCs w:val="21"/>
                    <w:lang w:eastAsia="zh-CN"/>
                  </w:rPr>
                  <w:fldChar w:fldCharType="begin"/>
                </w:r>
                <w:r>
                  <w:rPr>
                    <w:rFonts w:hint="eastAsia" w:ascii="宋体" w:hAnsi="宋体" w:eastAsia="宋体" w:cs="宋体"/>
                    <w:b/>
                    <w:bCs/>
                    <w:sz w:val="21"/>
                    <w:szCs w:val="21"/>
                    <w:lang w:eastAsia="zh-CN"/>
                  </w:rPr>
                  <w:instrText xml:space="preserve"> PAGE  \* MERGEFORMAT </w:instrText>
                </w:r>
                <w:r>
                  <w:rPr>
                    <w:rFonts w:hint="eastAsia" w:ascii="宋体" w:hAnsi="宋体" w:eastAsia="宋体" w:cs="宋体"/>
                    <w:b/>
                    <w:bCs/>
                    <w:sz w:val="21"/>
                    <w:szCs w:val="21"/>
                    <w:lang w:eastAsia="zh-CN"/>
                  </w:rPr>
                  <w:fldChar w:fldCharType="separate"/>
                </w:r>
                <w:r>
                  <w:rPr>
                    <w:rFonts w:hint="eastAsia" w:ascii="宋体" w:hAnsi="宋体" w:eastAsia="宋体" w:cs="宋体"/>
                    <w:b/>
                    <w:bCs/>
                    <w:sz w:val="21"/>
                    <w:szCs w:val="21"/>
                    <w:lang w:eastAsia="zh-CN"/>
                  </w:rPr>
                  <w:t>168</w:t>
                </w:r>
                <w:r>
                  <w:rPr>
                    <w:rFonts w:hint="eastAsia" w:ascii="宋体" w:hAnsi="宋体" w:eastAsia="宋体" w:cs="宋体"/>
                    <w:b/>
                    <w:bCs/>
                    <w:sz w:val="21"/>
                    <w:szCs w:val="21"/>
                    <w:lang w:eastAsia="zh-CN"/>
                  </w:rPr>
                  <w:fldChar w:fldCharType="end"/>
                </w:r>
                <w:r>
                  <w:rPr>
                    <w:rFonts w:hint="eastAsia" w:ascii="宋体" w:hAnsi="宋体" w:eastAsia="宋体" w:cs="宋体"/>
                    <w:b/>
                    <w:bCs/>
                    <w:sz w:val="21"/>
                    <w:szCs w:val="21"/>
                    <w:lang w:eastAsia="zh-CN"/>
                  </w:rP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right" w:pos="4153"/>
        <w:tab w:val="center" w:pos="8306"/>
      </w:tabs>
      <w:snapToGrid w:val="0"/>
      <w:jc w:val="left"/>
      <w:rPr>
        <w:rFonts w:hint="eastAsia" w:ascii="Calibri" w:hAnsi="Calibri"/>
        <w:sz w:val="18"/>
        <w:szCs w:val="20"/>
      </w:rPr>
    </w:pPr>
    <w:r>
      <w:rPr>
        <w:sz w:val="18"/>
      </w:rPr>
      <w:pict>
        <v:shape id="_x0000_s4099" o:spid="_x0000_s4099" o:spt="202" type="#_x0000_t202" style="position:absolute;left:0pt;margin-top:-1.15pt;height:20.3pt;width:51.85pt;mso-position-horizontal:right;mso-position-horizontal-relative:margin;z-index:251659264;mso-width-relative:page;mso-height-relative:page;" filled="f" stroked="f" coordsize="21600,21600">
          <v:path/>
          <v:fill on="f" focussize="0,0"/>
          <v:stroke on="f"/>
          <v:imagedata o:title=""/>
          <o:lock v:ext="edit" aspectratio="f"/>
          <v:textbox inset="0mm,0mm,0mm,0mm">
            <w:txbxContent>
              <w:p>
                <w:pPr>
                  <w:pStyle w:val="27"/>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第 </w:t>
                </w:r>
                <w:r>
                  <w:rPr>
                    <w:rFonts w:hint="eastAsia" w:ascii="宋体" w:hAnsi="宋体" w:eastAsia="宋体" w:cs="宋体"/>
                    <w:b/>
                    <w:bCs/>
                    <w:sz w:val="21"/>
                    <w:szCs w:val="21"/>
                    <w:lang w:eastAsia="zh-CN"/>
                  </w:rPr>
                  <w:fldChar w:fldCharType="begin"/>
                </w:r>
                <w:r>
                  <w:rPr>
                    <w:rFonts w:hint="eastAsia" w:ascii="宋体" w:hAnsi="宋体" w:eastAsia="宋体" w:cs="宋体"/>
                    <w:b/>
                    <w:bCs/>
                    <w:sz w:val="21"/>
                    <w:szCs w:val="21"/>
                    <w:lang w:eastAsia="zh-CN"/>
                  </w:rPr>
                  <w:instrText xml:space="preserve"> PAGE  \* MERGEFORMAT </w:instrText>
                </w:r>
                <w:r>
                  <w:rPr>
                    <w:rFonts w:hint="eastAsia" w:ascii="宋体" w:hAnsi="宋体" w:eastAsia="宋体" w:cs="宋体"/>
                    <w:b/>
                    <w:bCs/>
                    <w:sz w:val="21"/>
                    <w:szCs w:val="21"/>
                    <w:lang w:eastAsia="zh-CN"/>
                  </w:rPr>
                  <w:fldChar w:fldCharType="separate"/>
                </w:r>
                <w:r>
                  <w:rPr>
                    <w:rFonts w:hint="eastAsia" w:ascii="宋体" w:hAnsi="宋体" w:eastAsia="宋体" w:cs="宋体"/>
                    <w:b/>
                    <w:bCs/>
                    <w:sz w:val="21"/>
                    <w:szCs w:val="21"/>
                    <w:lang w:eastAsia="zh-CN"/>
                  </w:rPr>
                  <w:t>1</w:t>
                </w:r>
                <w:r>
                  <w:rPr>
                    <w:rFonts w:hint="eastAsia" w:ascii="宋体" w:hAnsi="宋体" w:eastAsia="宋体" w:cs="宋体"/>
                    <w:b/>
                    <w:bCs/>
                    <w:sz w:val="21"/>
                    <w:szCs w:val="21"/>
                    <w:lang w:eastAsia="zh-CN"/>
                  </w:rPr>
                  <w:fldChar w:fldCharType="end"/>
                </w:r>
                <w:r>
                  <w:rPr>
                    <w:rFonts w:hint="eastAsia" w:ascii="宋体" w:hAnsi="宋体" w:eastAsia="宋体" w:cs="宋体"/>
                    <w:b/>
                    <w:bCs/>
                    <w:sz w:val="21"/>
                    <w:szCs w:val="21"/>
                    <w:lang w:eastAsia="zh-CN"/>
                  </w:rP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none" w:color="auto" w:sz="0" w:space="0"/>
      </w:pBdr>
      <w:snapToGrid w:val="0"/>
      <w:jc w:val="center"/>
      <w:rPr>
        <w:rFonts w:ascii="Times New Roman" w:hAnsi="Times New Roman" w:eastAsia="宋体" w:cs="Times New Roman"/>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1E9212"/>
    <w:multiLevelType w:val="singleLevel"/>
    <w:tmpl w:val="F21E9212"/>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hideSpellingErrors/>
  <w:documentProtection w:enforcement="0"/>
  <w:defaultTabStop w:val="420"/>
  <w:drawingGridHorizontalSpacing w:val="210"/>
  <w:drawingGridVerticalSpacing w:val="9999999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WM2ZjcyMGQ0NjZiYmIwNDdmN2Q0YTVlZTIzNGE0YzAifQ=="/>
    <w:docVar w:name="KSO_WPS_MARK_KEY" w:val="80d93d7b-79d5-4fc4-a887-f5e6a2a6e3ef"/>
  </w:docVars>
  <w:rsids>
    <w:rsidRoot w:val="00172A27"/>
    <w:rsid w:val="000C25FF"/>
    <w:rsid w:val="00172A27"/>
    <w:rsid w:val="002D2E1F"/>
    <w:rsid w:val="0048762A"/>
    <w:rsid w:val="005250F8"/>
    <w:rsid w:val="0079565A"/>
    <w:rsid w:val="00905AA9"/>
    <w:rsid w:val="009864A7"/>
    <w:rsid w:val="00C45223"/>
    <w:rsid w:val="00D85434"/>
    <w:rsid w:val="00E070F9"/>
    <w:rsid w:val="00EE53E8"/>
    <w:rsid w:val="00F44704"/>
    <w:rsid w:val="0120278F"/>
    <w:rsid w:val="013F6F93"/>
    <w:rsid w:val="023E1BC2"/>
    <w:rsid w:val="02433238"/>
    <w:rsid w:val="02776E8E"/>
    <w:rsid w:val="02E5388F"/>
    <w:rsid w:val="030B529F"/>
    <w:rsid w:val="03AA067A"/>
    <w:rsid w:val="041B70D9"/>
    <w:rsid w:val="04231E2C"/>
    <w:rsid w:val="04F74FAC"/>
    <w:rsid w:val="052E66A1"/>
    <w:rsid w:val="06FE575E"/>
    <w:rsid w:val="07B30475"/>
    <w:rsid w:val="07B30A62"/>
    <w:rsid w:val="07D872C7"/>
    <w:rsid w:val="091912C2"/>
    <w:rsid w:val="0963430E"/>
    <w:rsid w:val="096E2F8B"/>
    <w:rsid w:val="099D280A"/>
    <w:rsid w:val="0AD6340C"/>
    <w:rsid w:val="0ADB6AEB"/>
    <w:rsid w:val="0B286EF7"/>
    <w:rsid w:val="0B7D344A"/>
    <w:rsid w:val="0B7D7387"/>
    <w:rsid w:val="0B875F8C"/>
    <w:rsid w:val="0BBF1916"/>
    <w:rsid w:val="0C0241B4"/>
    <w:rsid w:val="0C486C1F"/>
    <w:rsid w:val="0C6603F7"/>
    <w:rsid w:val="0C770867"/>
    <w:rsid w:val="0C8D1632"/>
    <w:rsid w:val="0C9D5680"/>
    <w:rsid w:val="0E3A149B"/>
    <w:rsid w:val="0EB63A15"/>
    <w:rsid w:val="0F5C09BE"/>
    <w:rsid w:val="0F700AC9"/>
    <w:rsid w:val="0FA764C7"/>
    <w:rsid w:val="103A0E68"/>
    <w:rsid w:val="1087799F"/>
    <w:rsid w:val="10A9788C"/>
    <w:rsid w:val="11040505"/>
    <w:rsid w:val="110C126F"/>
    <w:rsid w:val="11930039"/>
    <w:rsid w:val="11F945BC"/>
    <w:rsid w:val="124B0B50"/>
    <w:rsid w:val="12A33231"/>
    <w:rsid w:val="12E77016"/>
    <w:rsid w:val="12EC464F"/>
    <w:rsid w:val="13AD55D0"/>
    <w:rsid w:val="13C8750D"/>
    <w:rsid w:val="13DC4479"/>
    <w:rsid w:val="142E2041"/>
    <w:rsid w:val="14676805"/>
    <w:rsid w:val="146E4ED0"/>
    <w:rsid w:val="14BA5CCB"/>
    <w:rsid w:val="14CA0061"/>
    <w:rsid w:val="14F83159"/>
    <w:rsid w:val="14FB1277"/>
    <w:rsid w:val="156E5A6F"/>
    <w:rsid w:val="15C678B9"/>
    <w:rsid w:val="15CA7911"/>
    <w:rsid w:val="166E51CB"/>
    <w:rsid w:val="16875015"/>
    <w:rsid w:val="16BF19BD"/>
    <w:rsid w:val="16E872C6"/>
    <w:rsid w:val="16FD3B83"/>
    <w:rsid w:val="172E1E89"/>
    <w:rsid w:val="174E2BBA"/>
    <w:rsid w:val="17B17BFC"/>
    <w:rsid w:val="17FC4AD7"/>
    <w:rsid w:val="18450B71"/>
    <w:rsid w:val="18620930"/>
    <w:rsid w:val="18A76386"/>
    <w:rsid w:val="19202A15"/>
    <w:rsid w:val="19241D0A"/>
    <w:rsid w:val="19A73D80"/>
    <w:rsid w:val="19AE745E"/>
    <w:rsid w:val="19CC1583"/>
    <w:rsid w:val="19E971DB"/>
    <w:rsid w:val="1A606869"/>
    <w:rsid w:val="1ABE06AE"/>
    <w:rsid w:val="1AC630FE"/>
    <w:rsid w:val="1B6B2D54"/>
    <w:rsid w:val="1B915175"/>
    <w:rsid w:val="1BC7652F"/>
    <w:rsid w:val="1BF16BD0"/>
    <w:rsid w:val="1C944E12"/>
    <w:rsid w:val="1CDF0CEF"/>
    <w:rsid w:val="1CE92D85"/>
    <w:rsid w:val="1E014DDA"/>
    <w:rsid w:val="1E8123D3"/>
    <w:rsid w:val="1F6C1A62"/>
    <w:rsid w:val="1F9A6369"/>
    <w:rsid w:val="1FA77507"/>
    <w:rsid w:val="1FD16C0E"/>
    <w:rsid w:val="2036451B"/>
    <w:rsid w:val="20607269"/>
    <w:rsid w:val="207E3853"/>
    <w:rsid w:val="215973F2"/>
    <w:rsid w:val="21D33C3B"/>
    <w:rsid w:val="229F465B"/>
    <w:rsid w:val="22A53679"/>
    <w:rsid w:val="230D433C"/>
    <w:rsid w:val="232E7B42"/>
    <w:rsid w:val="23BB184D"/>
    <w:rsid w:val="23FA524A"/>
    <w:rsid w:val="2513335E"/>
    <w:rsid w:val="25164887"/>
    <w:rsid w:val="25533B70"/>
    <w:rsid w:val="258C7844"/>
    <w:rsid w:val="25B74631"/>
    <w:rsid w:val="25C53083"/>
    <w:rsid w:val="25CB055F"/>
    <w:rsid w:val="25DA44C9"/>
    <w:rsid w:val="2713284D"/>
    <w:rsid w:val="2731375C"/>
    <w:rsid w:val="27B01DCF"/>
    <w:rsid w:val="28356FC9"/>
    <w:rsid w:val="2836322A"/>
    <w:rsid w:val="287D1518"/>
    <w:rsid w:val="287F3A26"/>
    <w:rsid w:val="29B87B37"/>
    <w:rsid w:val="2A4957B7"/>
    <w:rsid w:val="2B3F73D2"/>
    <w:rsid w:val="2BCB703C"/>
    <w:rsid w:val="2C417B52"/>
    <w:rsid w:val="2C762763"/>
    <w:rsid w:val="2C8F4723"/>
    <w:rsid w:val="2CF8547C"/>
    <w:rsid w:val="2D917DA5"/>
    <w:rsid w:val="2DEB4097"/>
    <w:rsid w:val="2E0E232C"/>
    <w:rsid w:val="2E266201"/>
    <w:rsid w:val="2E38364D"/>
    <w:rsid w:val="2E6C26F4"/>
    <w:rsid w:val="2E813E24"/>
    <w:rsid w:val="2EF35826"/>
    <w:rsid w:val="2F39771D"/>
    <w:rsid w:val="2F552BF3"/>
    <w:rsid w:val="2F991204"/>
    <w:rsid w:val="308E74C9"/>
    <w:rsid w:val="309C4AE5"/>
    <w:rsid w:val="30C45DE6"/>
    <w:rsid w:val="310228C2"/>
    <w:rsid w:val="31886BC2"/>
    <w:rsid w:val="318B1B3D"/>
    <w:rsid w:val="31990437"/>
    <w:rsid w:val="31A730DB"/>
    <w:rsid w:val="31CD629F"/>
    <w:rsid w:val="323868AE"/>
    <w:rsid w:val="32A05535"/>
    <w:rsid w:val="339B22B2"/>
    <w:rsid w:val="347D67CF"/>
    <w:rsid w:val="348F2EDE"/>
    <w:rsid w:val="349D4B57"/>
    <w:rsid w:val="353D2FBC"/>
    <w:rsid w:val="35750E2D"/>
    <w:rsid w:val="358343A3"/>
    <w:rsid w:val="35C35202"/>
    <w:rsid w:val="36540D73"/>
    <w:rsid w:val="36AD2CBB"/>
    <w:rsid w:val="36B32DE5"/>
    <w:rsid w:val="388F5EE2"/>
    <w:rsid w:val="38C15DE4"/>
    <w:rsid w:val="38EE66D9"/>
    <w:rsid w:val="39623D67"/>
    <w:rsid w:val="39987E7E"/>
    <w:rsid w:val="399A3BF6"/>
    <w:rsid w:val="39C60E2F"/>
    <w:rsid w:val="39EB5ACC"/>
    <w:rsid w:val="3AC51780"/>
    <w:rsid w:val="3B015A41"/>
    <w:rsid w:val="3B491EA4"/>
    <w:rsid w:val="3B74307B"/>
    <w:rsid w:val="3BC334AA"/>
    <w:rsid w:val="3BE14050"/>
    <w:rsid w:val="3BF47C9B"/>
    <w:rsid w:val="3C11491E"/>
    <w:rsid w:val="3C8A1488"/>
    <w:rsid w:val="3D4B5312"/>
    <w:rsid w:val="3DBA1FE4"/>
    <w:rsid w:val="3DCE6CE9"/>
    <w:rsid w:val="3DF2542A"/>
    <w:rsid w:val="3E312560"/>
    <w:rsid w:val="3E417EE0"/>
    <w:rsid w:val="3E5E2765"/>
    <w:rsid w:val="3E6A003B"/>
    <w:rsid w:val="3EB0154A"/>
    <w:rsid w:val="3EC671CD"/>
    <w:rsid w:val="3F412B43"/>
    <w:rsid w:val="3F5B4E98"/>
    <w:rsid w:val="3F745C5C"/>
    <w:rsid w:val="3FCB027D"/>
    <w:rsid w:val="3FF52047"/>
    <w:rsid w:val="40063AEA"/>
    <w:rsid w:val="40185875"/>
    <w:rsid w:val="402053B7"/>
    <w:rsid w:val="40900CD9"/>
    <w:rsid w:val="40A811B4"/>
    <w:rsid w:val="40BD05F5"/>
    <w:rsid w:val="40DE4466"/>
    <w:rsid w:val="414470B6"/>
    <w:rsid w:val="41514162"/>
    <w:rsid w:val="41E406E6"/>
    <w:rsid w:val="420625C1"/>
    <w:rsid w:val="42425B36"/>
    <w:rsid w:val="4318177A"/>
    <w:rsid w:val="45CB48EF"/>
    <w:rsid w:val="45F20087"/>
    <w:rsid w:val="46D31CE5"/>
    <w:rsid w:val="47490E30"/>
    <w:rsid w:val="475A489C"/>
    <w:rsid w:val="478A3BCD"/>
    <w:rsid w:val="47A408C7"/>
    <w:rsid w:val="47B01CCD"/>
    <w:rsid w:val="48534245"/>
    <w:rsid w:val="4868334B"/>
    <w:rsid w:val="48736CB6"/>
    <w:rsid w:val="487A78AB"/>
    <w:rsid w:val="494F4677"/>
    <w:rsid w:val="49B63AFB"/>
    <w:rsid w:val="4A3F0087"/>
    <w:rsid w:val="4AF54A06"/>
    <w:rsid w:val="4AFA77E8"/>
    <w:rsid w:val="4D215C8E"/>
    <w:rsid w:val="4D3A1DCC"/>
    <w:rsid w:val="4D450B11"/>
    <w:rsid w:val="4D9973C7"/>
    <w:rsid w:val="4DA30E8A"/>
    <w:rsid w:val="4DBF0078"/>
    <w:rsid w:val="4DCF7019"/>
    <w:rsid w:val="4E6108EF"/>
    <w:rsid w:val="4E71749C"/>
    <w:rsid w:val="4F7E46EC"/>
    <w:rsid w:val="502862E0"/>
    <w:rsid w:val="50354C02"/>
    <w:rsid w:val="506B5085"/>
    <w:rsid w:val="506B53B5"/>
    <w:rsid w:val="510E2241"/>
    <w:rsid w:val="5197421F"/>
    <w:rsid w:val="51A70D7E"/>
    <w:rsid w:val="51DE0CC1"/>
    <w:rsid w:val="527D4666"/>
    <w:rsid w:val="529E068C"/>
    <w:rsid w:val="52C9180B"/>
    <w:rsid w:val="53AB26F1"/>
    <w:rsid w:val="53D15EFD"/>
    <w:rsid w:val="53EC0133"/>
    <w:rsid w:val="541F317C"/>
    <w:rsid w:val="547C22BE"/>
    <w:rsid w:val="54F774D3"/>
    <w:rsid w:val="55207778"/>
    <w:rsid w:val="55772CF5"/>
    <w:rsid w:val="55B723C0"/>
    <w:rsid w:val="5605797D"/>
    <w:rsid w:val="563F1F11"/>
    <w:rsid w:val="564167D6"/>
    <w:rsid w:val="56662FFB"/>
    <w:rsid w:val="57DA24D1"/>
    <w:rsid w:val="59507F1F"/>
    <w:rsid w:val="5956198E"/>
    <w:rsid w:val="59C415BF"/>
    <w:rsid w:val="59D3422C"/>
    <w:rsid w:val="5A262AF3"/>
    <w:rsid w:val="5A5A6B84"/>
    <w:rsid w:val="5B121CB7"/>
    <w:rsid w:val="5B982D83"/>
    <w:rsid w:val="5BA80A5F"/>
    <w:rsid w:val="5BC95FEB"/>
    <w:rsid w:val="5BF61237"/>
    <w:rsid w:val="5C3A1B2A"/>
    <w:rsid w:val="5CC4238A"/>
    <w:rsid w:val="5CFC7C65"/>
    <w:rsid w:val="5D131446"/>
    <w:rsid w:val="5DC31A35"/>
    <w:rsid w:val="5DE07EE1"/>
    <w:rsid w:val="5E8343A9"/>
    <w:rsid w:val="5E911F0B"/>
    <w:rsid w:val="5F2D2C93"/>
    <w:rsid w:val="5F7A1A11"/>
    <w:rsid w:val="608C33F8"/>
    <w:rsid w:val="60D44EB8"/>
    <w:rsid w:val="60E41C44"/>
    <w:rsid w:val="60FD4026"/>
    <w:rsid w:val="611763CB"/>
    <w:rsid w:val="6152746B"/>
    <w:rsid w:val="625924B5"/>
    <w:rsid w:val="627C613C"/>
    <w:rsid w:val="629436CB"/>
    <w:rsid w:val="62CA55E8"/>
    <w:rsid w:val="62E03C64"/>
    <w:rsid w:val="635A105E"/>
    <w:rsid w:val="63794936"/>
    <w:rsid w:val="63A177AC"/>
    <w:rsid w:val="640B60DE"/>
    <w:rsid w:val="640C5E3F"/>
    <w:rsid w:val="64437D4C"/>
    <w:rsid w:val="64580CCA"/>
    <w:rsid w:val="64E67326"/>
    <w:rsid w:val="64E738E4"/>
    <w:rsid w:val="6527350F"/>
    <w:rsid w:val="653E69F5"/>
    <w:rsid w:val="657206ED"/>
    <w:rsid w:val="65F7101E"/>
    <w:rsid w:val="66374804"/>
    <w:rsid w:val="66666A8A"/>
    <w:rsid w:val="681B62AC"/>
    <w:rsid w:val="68316DB4"/>
    <w:rsid w:val="68A415D9"/>
    <w:rsid w:val="68DE1FD1"/>
    <w:rsid w:val="68EE3ED9"/>
    <w:rsid w:val="690744CB"/>
    <w:rsid w:val="690C3C69"/>
    <w:rsid w:val="69D72B6E"/>
    <w:rsid w:val="69E345EC"/>
    <w:rsid w:val="69E4001D"/>
    <w:rsid w:val="6A2B5870"/>
    <w:rsid w:val="6AC55003"/>
    <w:rsid w:val="6ACB2FB8"/>
    <w:rsid w:val="6B5F2059"/>
    <w:rsid w:val="6BB06B60"/>
    <w:rsid w:val="6BC513B3"/>
    <w:rsid w:val="6BEA3708"/>
    <w:rsid w:val="6C17691B"/>
    <w:rsid w:val="6C2E2449"/>
    <w:rsid w:val="6C7F24AD"/>
    <w:rsid w:val="6D363FBB"/>
    <w:rsid w:val="6D9A4EC1"/>
    <w:rsid w:val="6DB03D2C"/>
    <w:rsid w:val="6DCE2403"/>
    <w:rsid w:val="6DDC5914"/>
    <w:rsid w:val="6DE175AD"/>
    <w:rsid w:val="6E6C56BD"/>
    <w:rsid w:val="6E783F5D"/>
    <w:rsid w:val="6EBA1C6E"/>
    <w:rsid w:val="6EFC1016"/>
    <w:rsid w:val="6F1040E0"/>
    <w:rsid w:val="6FE835A5"/>
    <w:rsid w:val="70090BB2"/>
    <w:rsid w:val="70710AD3"/>
    <w:rsid w:val="70C700FA"/>
    <w:rsid w:val="70F53B43"/>
    <w:rsid w:val="717A1C60"/>
    <w:rsid w:val="71F23C8B"/>
    <w:rsid w:val="720A0DC1"/>
    <w:rsid w:val="721A5F3C"/>
    <w:rsid w:val="726B375A"/>
    <w:rsid w:val="726F1E03"/>
    <w:rsid w:val="72BF652B"/>
    <w:rsid w:val="7313704E"/>
    <w:rsid w:val="734430CE"/>
    <w:rsid w:val="739B0460"/>
    <w:rsid w:val="73B276DA"/>
    <w:rsid w:val="74283B0A"/>
    <w:rsid w:val="74484EE8"/>
    <w:rsid w:val="746E3671"/>
    <w:rsid w:val="748E2664"/>
    <w:rsid w:val="749953E9"/>
    <w:rsid w:val="74F11633"/>
    <w:rsid w:val="753019CD"/>
    <w:rsid w:val="753B28B8"/>
    <w:rsid w:val="755257CE"/>
    <w:rsid w:val="75BF476E"/>
    <w:rsid w:val="767D77D7"/>
    <w:rsid w:val="769E7CE1"/>
    <w:rsid w:val="76FD5EC1"/>
    <w:rsid w:val="77702CAE"/>
    <w:rsid w:val="77793EAF"/>
    <w:rsid w:val="786339D0"/>
    <w:rsid w:val="787131E4"/>
    <w:rsid w:val="78931B8C"/>
    <w:rsid w:val="78B63A24"/>
    <w:rsid w:val="79075922"/>
    <w:rsid w:val="790F4372"/>
    <w:rsid w:val="792E0D89"/>
    <w:rsid w:val="792F7464"/>
    <w:rsid w:val="7A8E7F0B"/>
    <w:rsid w:val="7AD14B8B"/>
    <w:rsid w:val="7B1852B5"/>
    <w:rsid w:val="7C4B327F"/>
    <w:rsid w:val="7C7C4FDF"/>
    <w:rsid w:val="7CF76237"/>
    <w:rsid w:val="7D394022"/>
    <w:rsid w:val="7DA83DAD"/>
    <w:rsid w:val="7E736A89"/>
    <w:rsid w:val="7E8335D1"/>
  </w:rsids>
  <m:mathPr>
    <m:mathFont m:val="Cambria Math"/>
    <m:brkBin m:val="before"/>
    <m:brkBinSub m:val="--"/>
    <m:smallFrac m:val="1"/>
    <m:dispDef/>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7" w:semiHidden="0" w:name="heading 1"/>
    <w:lsdException w:qFormat="1" w:unhideWhenUsed="0" w:uiPriority="8" w:semiHidden="0" w:name="heading 2"/>
    <w:lsdException w:qFormat="1" w:unhideWhenUsed="0" w:uiPriority="9" w:semiHidden="0" w:name="heading 3"/>
    <w:lsdException w:qFormat="1" w:unhideWhenUsed="0" w:uiPriority="10" w:semiHidden="0" w:name="heading 4"/>
    <w:lsdException w:qFormat="1" w:uiPriority="11" w:name="heading 5"/>
    <w:lsdException w:qFormat="1" w:unhideWhenUsed="0" w:uiPriority="12" w:semiHidden="0" w:name="heading 6"/>
    <w:lsdException w:qFormat="1" w:unhideWhenUsed="0" w:uiPriority="13" w:semiHidden="0" w:name="heading 7"/>
    <w:lsdException w:qFormat="1" w:unhideWhenUsed="0" w:uiPriority="14" w:semiHidden="0" w:name="heading 8"/>
    <w:lsdException w:qFormat="1" w:unhideWhenUsed="0" w:uiPriority="15"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6"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jc w:val="both"/>
    </w:pPr>
    <w:rPr>
      <w:rFonts w:ascii="Calibri" w:hAnsi="Calibri" w:eastAsia="宋体" w:cs="Times New Roman"/>
      <w:sz w:val="21"/>
      <w:szCs w:val="21"/>
      <w:lang w:val="en-US" w:eastAsia="zh-CN" w:bidi="ar-SA"/>
    </w:rPr>
  </w:style>
  <w:style w:type="paragraph" w:styleId="3">
    <w:name w:val="heading 1"/>
    <w:basedOn w:val="1"/>
    <w:next w:val="1"/>
    <w:link w:val="66"/>
    <w:qFormat/>
    <w:uiPriority w:val="7"/>
    <w:pPr>
      <w:spacing w:before="340" w:after="330" w:line="576" w:lineRule="auto"/>
      <w:outlineLvl w:val="0"/>
    </w:pPr>
    <w:rPr>
      <w:rFonts w:ascii="Times New Roman" w:hAnsi="Times New Roman"/>
      <w:b/>
      <w:sz w:val="44"/>
      <w:szCs w:val="44"/>
    </w:rPr>
  </w:style>
  <w:style w:type="paragraph" w:styleId="4">
    <w:name w:val="heading 2"/>
    <w:basedOn w:val="1"/>
    <w:next w:val="1"/>
    <w:link w:val="64"/>
    <w:qFormat/>
    <w:uiPriority w:val="8"/>
    <w:pPr>
      <w:spacing w:before="260" w:after="260" w:line="412" w:lineRule="auto"/>
      <w:outlineLvl w:val="1"/>
    </w:pPr>
    <w:rPr>
      <w:rFonts w:ascii="Arial" w:hAnsi="Arial" w:eastAsia="黑体"/>
      <w:b/>
      <w:sz w:val="32"/>
      <w:szCs w:val="32"/>
    </w:rPr>
  </w:style>
  <w:style w:type="paragraph" w:styleId="5">
    <w:name w:val="heading 3"/>
    <w:basedOn w:val="1"/>
    <w:next w:val="1"/>
    <w:link w:val="65"/>
    <w:qFormat/>
    <w:uiPriority w:val="9"/>
    <w:pPr>
      <w:spacing w:before="260" w:after="260" w:line="412" w:lineRule="auto"/>
      <w:ind w:firstLine="49"/>
      <w:outlineLvl w:val="2"/>
    </w:pPr>
    <w:rPr>
      <w:rFonts w:ascii="黑体" w:eastAsia="黑体"/>
      <w:sz w:val="28"/>
      <w:szCs w:val="28"/>
    </w:rPr>
  </w:style>
  <w:style w:type="paragraph" w:styleId="6">
    <w:name w:val="heading 4"/>
    <w:basedOn w:val="1"/>
    <w:next w:val="1"/>
    <w:link w:val="67"/>
    <w:qFormat/>
    <w:uiPriority w:val="10"/>
    <w:pPr>
      <w:spacing w:before="280" w:after="290" w:line="374" w:lineRule="auto"/>
      <w:outlineLvl w:val="3"/>
    </w:pPr>
    <w:rPr>
      <w:rFonts w:ascii="Arial" w:hAnsi="Arial" w:eastAsia="黑体"/>
      <w:b/>
      <w:sz w:val="28"/>
      <w:szCs w:val="28"/>
    </w:rPr>
  </w:style>
  <w:style w:type="paragraph" w:styleId="7">
    <w:name w:val="heading 5"/>
    <w:basedOn w:val="1"/>
    <w:next w:val="1"/>
    <w:link w:val="87"/>
    <w:semiHidden/>
    <w:unhideWhenUsed/>
    <w:qFormat/>
    <w:uiPriority w:val="11"/>
    <w:pPr>
      <w:spacing w:before="280" w:after="290" w:line="376" w:lineRule="auto"/>
      <w:outlineLvl w:val="4"/>
    </w:pPr>
    <w:rPr>
      <w:rFonts w:ascii="Times New Roman" w:hAnsi="Times New Roman"/>
      <w:b/>
      <w:sz w:val="28"/>
      <w:szCs w:val="28"/>
    </w:rPr>
  </w:style>
  <w:style w:type="paragraph" w:styleId="8">
    <w:name w:val="heading 6"/>
    <w:basedOn w:val="1"/>
    <w:next w:val="1"/>
    <w:link w:val="68"/>
    <w:qFormat/>
    <w:uiPriority w:val="12"/>
    <w:pPr>
      <w:tabs>
        <w:tab w:val="left" w:pos="1440"/>
      </w:tabs>
      <w:spacing w:before="240" w:after="64" w:line="319" w:lineRule="auto"/>
      <w:ind w:left="1152" w:hanging="1152"/>
      <w:jc w:val="left"/>
      <w:outlineLvl w:val="5"/>
    </w:pPr>
    <w:rPr>
      <w:rFonts w:ascii="Arial" w:hAnsi="Arial" w:eastAsia="黑体"/>
      <w:b/>
      <w:sz w:val="24"/>
      <w:szCs w:val="24"/>
    </w:rPr>
  </w:style>
  <w:style w:type="paragraph" w:styleId="9">
    <w:name w:val="heading 7"/>
    <w:basedOn w:val="1"/>
    <w:next w:val="1"/>
    <w:link w:val="69"/>
    <w:qFormat/>
    <w:uiPriority w:val="13"/>
    <w:pPr>
      <w:tabs>
        <w:tab w:val="left" w:pos="2520"/>
      </w:tabs>
      <w:spacing w:before="240" w:after="64" w:line="319" w:lineRule="auto"/>
      <w:ind w:left="1296" w:hanging="1296"/>
      <w:jc w:val="left"/>
      <w:outlineLvl w:val="6"/>
    </w:pPr>
    <w:rPr>
      <w:rFonts w:ascii="Times New Roman" w:hAnsi="Times New Roman"/>
      <w:b/>
      <w:sz w:val="24"/>
      <w:szCs w:val="24"/>
    </w:rPr>
  </w:style>
  <w:style w:type="paragraph" w:styleId="10">
    <w:name w:val="heading 8"/>
    <w:basedOn w:val="1"/>
    <w:next w:val="1"/>
    <w:link w:val="70"/>
    <w:qFormat/>
    <w:uiPriority w:val="14"/>
    <w:pPr>
      <w:tabs>
        <w:tab w:val="left" w:pos="1440"/>
      </w:tabs>
      <w:spacing w:before="240" w:after="64" w:line="319" w:lineRule="auto"/>
      <w:ind w:left="1440" w:hanging="1440"/>
      <w:jc w:val="left"/>
      <w:outlineLvl w:val="7"/>
    </w:pPr>
    <w:rPr>
      <w:rFonts w:ascii="Arial" w:hAnsi="Arial" w:eastAsia="黑体"/>
      <w:sz w:val="24"/>
      <w:szCs w:val="24"/>
    </w:rPr>
  </w:style>
  <w:style w:type="paragraph" w:styleId="11">
    <w:name w:val="heading 9"/>
    <w:basedOn w:val="1"/>
    <w:next w:val="1"/>
    <w:link w:val="71"/>
    <w:qFormat/>
    <w:uiPriority w:val="15"/>
    <w:pPr>
      <w:tabs>
        <w:tab w:val="left" w:pos="1584"/>
      </w:tabs>
      <w:spacing w:before="240" w:after="64" w:line="319" w:lineRule="auto"/>
      <w:ind w:left="1584" w:hanging="1584"/>
      <w:jc w:val="left"/>
      <w:outlineLvl w:val="8"/>
    </w:pPr>
    <w:rPr>
      <w:rFonts w:ascii="Arial" w:hAnsi="Arial" w:eastAsia="黑体"/>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92"/>
    <w:unhideWhenUsed/>
    <w:qFormat/>
    <w:uiPriority w:val="0"/>
    <w:pPr>
      <w:spacing w:after="120"/>
    </w:pPr>
    <w:rPr>
      <w:rFonts w:ascii="Times New Roman" w:hAnsi="Times New Roman"/>
    </w:rPr>
  </w:style>
  <w:style w:type="paragraph" w:styleId="12">
    <w:name w:val="toc 7"/>
    <w:basedOn w:val="1"/>
    <w:next w:val="1"/>
    <w:qFormat/>
    <w:uiPriority w:val="39"/>
    <w:pPr>
      <w:ind w:left="1200" w:leftChars="1200"/>
    </w:pPr>
  </w:style>
  <w:style w:type="paragraph" w:styleId="13">
    <w:name w:val="Normal Indent"/>
    <w:basedOn w:val="1"/>
    <w:qFormat/>
    <w:uiPriority w:val="0"/>
    <w:pPr>
      <w:ind w:firstLine="420"/>
    </w:pPr>
  </w:style>
  <w:style w:type="paragraph" w:styleId="14">
    <w:name w:val="Document Map"/>
    <w:basedOn w:val="1"/>
    <w:link w:val="77"/>
    <w:qFormat/>
    <w:uiPriority w:val="0"/>
    <w:rPr>
      <w:rFonts w:ascii="宋体" w:cs="宋体"/>
      <w:sz w:val="18"/>
      <w:szCs w:val="18"/>
    </w:rPr>
  </w:style>
  <w:style w:type="paragraph" w:styleId="15">
    <w:name w:val="annotation text"/>
    <w:basedOn w:val="1"/>
    <w:link w:val="75"/>
    <w:qFormat/>
    <w:uiPriority w:val="0"/>
    <w:pPr>
      <w:jc w:val="left"/>
    </w:pPr>
    <w:rPr>
      <w:rFonts w:ascii="Times New Roman" w:hAnsi="Times New Roman"/>
    </w:rPr>
  </w:style>
  <w:style w:type="paragraph" w:styleId="16">
    <w:name w:val="Body Text 3"/>
    <w:basedOn w:val="1"/>
    <w:link w:val="79"/>
    <w:qFormat/>
    <w:uiPriority w:val="0"/>
    <w:rPr>
      <w:rFonts w:ascii="宋体"/>
      <w:sz w:val="24"/>
      <w:szCs w:val="24"/>
    </w:rPr>
  </w:style>
  <w:style w:type="paragraph" w:styleId="17">
    <w:name w:val="Body Text Indent"/>
    <w:basedOn w:val="18"/>
    <w:link w:val="94"/>
    <w:qFormat/>
    <w:uiPriority w:val="0"/>
    <w:pPr>
      <w:spacing w:after="120"/>
      <w:ind w:left="420" w:leftChars="420"/>
    </w:pPr>
    <w:rPr>
      <w:rFonts w:ascii="Times New Roman" w:hAnsi="Times New Roman"/>
    </w:rPr>
  </w:style>
  <w:style w:type="paragraph" w:customStyle="1" w:styleId="18">
    <w:name w:val="Normal_0"/>
    <w:next w:val="19"/>
    <w:unhideWhenUsed/>
    <w:qFormat/>
    <w:uiPriority w:val="0"/>
    <w:pPr>
      <w:widowControl w:val="0"/>
      <w:jc w:val="both"/>
    </w:pPr>
    <w:rPr>
      <w:rFonts w:hint="eastAsia" w:ascii="宋体" w:hAnsi="宋体" w:eastAsia="宋体" w:cs="Times New Roman"/>
      <w:sz w:val="24"/>
      <w:lang w:val="en-US" w:eastAsia="zh-CN" w:bidi="ar-SA"/>
    </w:rPr>
  </w:style>
  <w:style w:type="paragraph" w:styleId="19">
    <w:name w:val="Body Text First Indent 2"/>
    <w:basedOn w:val="17"/>
    <w:unhideWhenUsed/>
    <w:qFormat/>
    <w:uiPriority w:val="0"/>
    <w:pPr>
      <w:tabs>
        <w:tab w:val="left" w:pos="360"/>
      </w:tabs>
      <w:ind w:firstLine="420"/>
    </w:pPr>
    <w:rPr>
      <w:szCs w:val="24"/>
    </w:rPr>
  </w:style>
  <w:style w:type="paragraph" w:styleId="20">
    <w:name w:val="toc 5"/>
    <w:basedOn w:val="1"/>
    <w:next w:val="1"/>
    <w:qFormat/>
    <w:uiPriority w:val="39"/>
    <w:pPr>
      <w:ind w:left="800" w:leftChars="800"/>
    </w:pPr>
  </w:style>
  <w:style w:type="paragraph" w:styleId="21">
    <w:name w:val="toc 3"/>
    <w:basedOn w:val="1"/>
    <w:next w:val="1"/>
    <w:qFormat/>
    <w:uiPriority w:val="39"/>
    <w:pPr>
      <w:ind w:left="400" w:leftChars="400"/>
    </w:pPr>
  </w:style>
  <w:style w:type="paragraph" w:styleId="22">
    <w:name w:val="Plain Text"/>
    <w:basedOn w:val="1"/>
    <w:qFormat/>
    <w:uiPriority w:val="0"/>
    <w:rPr>
      <w:rFonts w:ascii="宋体"/>
    </w:rPr>
  </w:style>
  <w:style w:type="paragraph" w:styleId="23">
    <w:name w:val="toc 8"/>
    <w:basedOn w:val="1"/>
    <w:next w:val="1"/>
    <w:qFormat/>
    <w:uiPriority w:val="39"/>
    <w:pPr>
      <w:ind w:left="1400" w:leftChars="1400"/>
    </w:pPr>
  </w:style>
  <w:style w:type="paragraph" w:styleId="24">
    <w:name w:val="Date"/>
    <w:basedOn w:val="1"/>
    <w:next w:val="1"/>
    <w:link w:val="83"/>
    <w:qFormat/>
    <w:uiPriority w:val="0"/>
    <w:pPr>
      <w:ind w:left="2500" w:leftChars="2500"/>
    </w:pPr>
    <w:rPr>
      <w:rFonts w:ascii="Times New Roman" w:hAnsi="Times New Roman"/>
    </w:rPr>
  </w:style>
  <w:style w:type="paragraph" w:styleId="25">
    <w:name w:val="Body Text Indent 2"/>
    <w:basedOn w:val="1"/>
    <w:qFormat/>
    <w:uiPriority w:val="0"/>
    <w:pPr>
      <w:spacing w:line="300" w:lineRule="auto"/>
      <w:ind w:firstLine="480" w:firstLineChars="200"/>
    </w:pPr>
    <w:rPr>
      <w:sz w:val="24"/>
      <w:u w:val="single"/>
    </w:rPr>
  </w:style>
  <w:style w:type="paragraph" w:styleId="26">
    <w:name w:val="Balloon Text"/>
    <w:basedOn w:val="1"/>
    <w:link w:val="82"/>
    <w:qFormat/>
    <w:uiPriority w:val="0"/>
    <w:rPr>
      <w:rFonts w:ascii="Times New Roman" w:hAnsi="Times New Roman"/>
      <w:sz w:val="18"/>
      <w:szCs w:val="18"/>
    </w:rPr>
  </w:style>
  <w:style w:type="paragraph" w:styleId="27">
    <w:name w:val="footer"/>
    <w:basedOn w:val="1"/>
    <w:link w:val="78"/>
    <w:qFormat/>
    <w:uiPriority w:val="0"/>
    <w:pPr>
      <w:tabs>
        <w:tab w:val="center" w:pos="4153"/>
        <w:tab w:val="right" w:pos="8306"/>
      </w:tabs>
      <w:snapToGrid w:val="0"/>
      <w:jc w:val="left"/>
    </w:pPr>
    <w:rPr>
      <w:sz w:val="18"/>
      <w:szCs w:val="18"/>
    </w:rPr>
  </w:style>
  <w:style w:type="paragraph" w:styleId="28">
    <w:name w:val="header"/>
    <w:basedOn w:val="1"/>
    <w:link w:val="81"/>
    <w:qFormat/>
    <w:uiPriority w:val="0"/>
    <w:pPr>
      <w:tabs>
        <w:tab w:val="center" w:pos="4153"/>
        <w:tab w:val="right" w:pos="8306"/>
      </w:tabs>
      <w:snapToGrid w:val="0"/>
    </w:pPr>
    <w:rPr>
      <w:rFonts w:ascii="Times New Roman" w:hAnsi="Times New Roman"/>
      <w:sz w:val="18"/>
      <w:szCs w:val="18"/>
    </w:rPr>
  </w:style>
  <w:style w:type="paragraph" w:styleId="29">
    <w:name w:val="toc 1"/>
    <w:basedOn w:val="1"/>
    <w:next w:val="1"/>
    <w:qFormat/>
    <w:uiPriority w:val="39"/>
  </w:style>
  <w:style w:type="paragraph" w:styleId="30">
    <w:name w:val="toc 4"/>
    <w:basedOn w:val="1"/>
    <w:next w:val="1"/>
    <w:qFormat/>
    <w:uiPriority w:val="39"/>
    <w:pPr>
      <w:ind w:left="600" w:leftChars="600"/>
    </w:pPr>
  </w:style>
  <w:style w:type="paragraph" w:styleId="31">
    <w:name w:val="Subtitle"/>
    <w:next w:val="1"/>
    <w:qFormat/>
    <w:uiPriority w:val="11"/>
    <w:pPr>
      <w:widowControl w:val="0"/>
      <w:spacing w:before="240" w:after="60" w:line="312" w:lineRule="auto"/>
      <w:jc w:val="center"/>
      <w:outlineLvl w:val="1"/>
    </w:pPr>
    <w:rPr>
      <w:rFonts w:ascii="Cambria" w:hAnsi="Cambria" w:eastAsia="宋体" w:cs="Times New Roman"/>
      <w:b/>
      <w:bCs/>
      <w:kern w:val="28"/>
      <w:sz w:val="32"/>
      <w:szCs w:val="32"/>
      <w:lang w:val="en-US" w:eastAsia="zh-CN" w:bidi="ar-SA"/>
    </w:rPr>
  </w:style>
  <w:style w:type="paragraph" w:styleId="32">
    <w:name w:val="footnote text"/>
    <w:basedOn w:val="1"/>
    <w:unhideWhenUsed/>
    <w:qFormat/>
    <w:uiPriority w:val="99"/>
    <w:pPr>
      <w:snapToGrid w:val="0"/>
      <w:jc w:val="left"/>
    </w:pPr>
    <w:rPr>
      <w:sz w:val="18"/>
      <w:szCs w:val="18"/>
    </w:rPr>
  </w:style>
  <w:style w:type="paragraph" w:styleId="33">
    <w:name w:val="toc 6"/>
    <w:basedOn w:val="1"/>
    <w:next w:val="1"/>
    <w:qFormat/>
    <w:uiPriority w:val="39"/>
    <w:pPr>
      <w:ind w:left="1000" w:leftChars="1000"/>
    </w:pPr>
  </w:style>
  <w:style w:type="paragraph" w:styleId="34">
    <w:name w:val="Body Text Indent 3"/>
    <w:basedOn w:val="1"/>
    <w:link w:val="80"/>
    <w:qFormat/>
    <w:uiPriority w:val="0"/>
    <w:pPr>
      <w:spacing w:after="120"/>
      <w:ind w:left="200" w:leftChars="200"/>
    </w:pPr>
    <w:rPr>
      <w:sz w:val="16"/>
      <w:szCs w:val="16"/>
    </w:rPr>
  </w:style>
  <w:style w:type="paragraph" w:styleId="35">
    <w:name w:val="toc 2"/>
    <w:basedOn w:val="1"/>
    <w:next w:val="1"/>
    <w:qFormat/>
    <w:uiPriority w:val="39"/>
    <w:pPr>
      <w:ind w:left="200" w:leftChars="200"/>
    </w:pPr>
  </w:style>
  <w:style w:type="paragraph" w:styleId="36">
    <w:name w:val="toc 9"/>
    <w:basedOn w:val="1"/>
    <w:next w:val="1"/>
    <w:qFormat/>
    <w:uiPriority w:val="39"/>
    <w:pPr>
      <w:ind w:left="1600" w:leftChars="1600"/>
    </w:pPr>
  </w:style>
  <w:style w:type="paragraph" w:styleId="37">
    <w:name w:val="Body Text 2"/>
    <w:basedOn w:val="1"/>
    <w:qFormat/>
    <w:uiPriority w:val="0"/>
    <w:pPr>
      <w:widowControl/>
      <w:spacing w:line="360" w:lineRule="auto"/>
      <w:jc w:val="left"/>
    </w:pPr>
    <w:rPr>
      <w:rFonts w:ascii="楷体_GB2312" w:hAnsi="Garamond" w:eastAsia="楷体_GB2312"/>
      <w:color w:val="FF0000"/>
      <w:kern w:val="0"/>
      <w:sz w:val="24"/>
      <w:szCs w:val="24"/>
    </w:rPr>
  </w:style>
  <w:style w:type="paragraph" w:styleId="38">
    <w:name w:val="Normal (Web)"/>
    <w:basedOn w:val="1"/>
    <w:qFormat/>
    <w:uiPriority w:val="0"/>
    <w:pPr>
      <w:spacing w:before="100" w:beforeAutospacing="1" w:after="100" w:afterAutospacing="1"/>
      <w:jc w:val="left"/>
    </w:pPr>
    <w:rPr>
      <w:rFonts w:ascii="宋体" w:hAnsi="宋体" w:cs="宋体"/>
      <w:color w:val="000000"/>
      <w:sz w:val="24"/>
      <w:szCs w:val="24"/>
    </w:rPr>
  </w:style>
  <w:style w:type="paragraph" w:styleId="39">
    <w:name w:val="index 1"/>
    <w:basedOn w:val="1"/>
    <w:next w:val="1"/>
    <w:qFormat/>
    <w:uiPriority w:val="0"/>
    <w:pPr>
      <w:spacing w:line="220" w:lineRule="exact"/>
      <w:jc w:val="center"/>
    </w:pPr>
    <w:rPr>
      <w:rFonts w:ascii="仿宋_GB2312" w:hAnsi="Times New Roman" w:eastAsia="仿宋_GB2312"/>
    </w:rPr>
  </w:style>
  <w:style w:type="paragraph" w:styleId="40">
    <w:name w:val="Title"/>
    <w:basedOn w:val="1"/>
    <w:next w:val="1"/>
    <w:link w:val="98"/>
    <w:qFormat/>
    <w:uiPriority w:val="6"/>
    <w:pPr>
      <w:spacing w:before="240" w:after="60" w:line="420" w:lineRule="atLeast"/>
      <w:jc w:val="center"/>
      <w:outlineLvl w:val="0"/>
    </w:pPr>
    <w:rPr>
      <w:rFonts w:ascii="Arial" w:hAnsi="Arial"/>
      <w:b/>
      <w:sz w:val="32"/>
      <w:szCs w:val="32"/>
    </w:rPr>
  </w:style>
  <w:style w:type="paragraph" w:styleId="41">
    <w:name w:val="annotation subject"/>
    <w:basedOn w:val="15"/>
    <w:next w:val="15"/>
    <w:link w:val="76"/>
    <w:qFormat/>
    <w:uiPriority w:val="0"/>
  </w:style>
  <w:style w:type="paragraph" w:styleId="42">
    <w:name w:val="Body Text First Indent"/>
    <w:basedOn w:val="1"/>
    <w:link w:val="93"/>
    <w:qFormat/>
    <w:uiPriority w:val="0"/>
    <w:pPr>
      <w:spacing w:line="312" w:lineRule="auto"/>
      <w:ind w:firstLine="420"/>
    </w:pPr>
    <w:rPr>
      <w:rFonts w:ascii="Times New Roman" w:hAnsi="Times New Roman"/>
    </w:rPr>
  </w:style>
  <w:style w:type="table" w:styleId="44">
    <w:name w:val="Table Grid"/>
    <w:basedOn w:val="43"/>
    <w:qFormat/>
    <w:uiPriority w:val="0"/>
    <w:pPr>
      <w:widowControl w:val="0"/>
      <w:autoSpaceDE/>
      <w:autoSpaceDN/>
      <w:spacing w:before="0" w:after="0" w:line="240" w:lineRule="auto"/>
      <w:ind w:left="0" w:firstLine="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basedOn w:val="45"/>
    <w:qFormat/>
    <w:uiPriority w:val="20"/>
  </w:style>
  <w:style w:type="character" w:styleId="47">
    <w:name w:val="page number"/>
    <w:basedOn w:val="45"/>
    <w:qFormat/>
    <w:uiPriority w:val="0"/>
  </w:style>
  <w:style w:type="character" w:styleId="48">
    <w:name w:val="FollowedHyperlink"/>
    <w:basedOn w:val="45"/>
    <w:qFormat/>
    <w:uiPriority w:val="0"/>
    <w:rPr>
      <w:color w:val="800080"/>
      <w:u w:val="none"/>
    </w:rPr>
  </w:style>
  <w:style w:type="character" w:styleId="49">
    <w:name w:val="Emphasis"/>
    <w:basedOn w:val="45"/>
    <w:qFormat/>
    <w:uiPriority w:val="0"/>
  </w:style>
  <w:style w:type="character" w:styleId="50">
    <w:name w:val="HTML Definition"/>
    <w:basedOn w:val="45"/>
    <w:qFormat/>
    <w:uiPriority w:val="0"/>
  </w:style>
  <w:style w:type="character" w:styleId="51">
    <w:name w:val="HTML Typewriter"/>
    <w:basedOn w:val="45"/>
    <w:qFormat/>
    <w:uiPriority w:val="0"/>
    <w:rPr>
      <w:rFonts w:ascii="monospace" w:hAnsi="monospace" w:eastAsia="monospace" w:cs="monospace"/>
      <w:sz w:val="20"/>
    </w:rPr>
  </w:style>
  <w:style w:type="character" w:styleId="52">
    <w:name w:val="HTML Acronym"/>
    <w:basedOn w:val="45"/>
    <w:qFormat/>
    <w:uiPriority w:val="0"/>
  </w:style>
  <w:style w:type="character" w:styleId="53">
    <w:name w:val="HTML Variable"/>
    <w:basedOn w:val="45"/>
    <w:qFormat/>
    <w:uiPriority w:val="0"/>
  </w:style>
  <w:style w:type="character" w:styleId="54">
    <w:name w:val="Hyperlink"/>
    <w:basedOn w:val="45"/>
    <w:qFormat/>
    <w:uiPriority w:val="99"/>
    <w:rPr>
      <w:color w:val="0000FF"/>
      <w:u w:val="none"/>
    </w:rPr>
  </w:style>
  <w:style w:type="character" w:styleId="55">
    <w:name w:val="HTML Code"/>
    <w:basedOn w:val="45"/>
    <w:qFormat/>
    <w:uiPriority w:val="0"/>
    <w:rPr>
      <w:rFonts w:hint="default" w:ascii="monospace" w:hAnsi="monospace" w:eastAsia="monospace" w:cs="monospace"/>
      <w:sz w:val="20"/>
    </w:rPr>
  </w:style>
  <w:style w:type="character" w:styleId="56">
    <w:name w:val="annotation reference"/>
    <w:qFormat/>
    <w:uiPriority w:val="0"/>
    <w:rPr>
      <w:sz w:val="21"/>
      <w:szCs w:val="21"/>
    </w:rPr>
  </w:style>
  <w:style w:type="character" w:styleId="57">
    <w:name w:val="HTML Cite"/>
    <w:basedOn w:val="45"/>
    <w:qFormat/>
    <w:uiPriority w:val="0"/>
  </w:style>
  <w:style w:type="character" w:styleId="58">
    <w:name w:val="footnote reference"/>
    <w:qFormat/>
    <w:uiPriority w:val="0"/>
    <w:rPr>
      <w:vertAlign w:val="superscript"/>
    </w:rPr>
  </w:style>
  <w:style w:type="character" w:styleId="59">
    <w:name w:val="HTML Keyboard"/>
    <w:basedOn w:val="45"/>
    <w:qFormat/>
    <w:uiPriority w:val="0"/>
    <w:rPr>
      <w:rFonts w:hint="default" w:ascii="monospace" w:hAnsi="monospace" w:eastAsia="monospace" w:cs="monospace"/>
      <w:sz w:val="20"/>
    </w:rPr>
  </w:style>
  <w:style w:type="character" w:styleId="60">
    <w:name w:val="HTML Sample"/>
    <w:basedOn w:val="45"/>
    <w:qFormat/>
    <w:uiPriority w:val="0"/>
    <w:rPr>
      <w:rFonts w:hint="default" w:ascii="monospace" w:hAnsi="monospace" w:eastAsia="monospace" w:cs="monospace"/>
    </w:rPr>
  </w:style>
  <w:style w:type="paragraph" w:customStyle="1" w:styleId="61">
    <w:name w:val="列出段落1"/>
    <w:basedOn w:val="1"/>
    <w:qFormat/>
    <w:uiPriority w:val="0"/>
    <w:pPr>
      <w:ind w:firstLine="420" w:firstLineChars="200"/>
    </w:pPr>
  </w:style>
  <w:style w:type="paragraph" w:styleId="62">
    <w:name w:val="List Paragraph"/>
    <w:basedOn w:val="1"/>
    <w:qFormat/>
    <w:uiPriority w:val="26"/>
    <w:pPr>
      <w:ind w:firstLine="200"/>
    </w:pPr>
  </w:style>
  <w:style w:type="paragraph" w:customStyle="1" w:styleId="63">
    <w:name w:val="TOC 标题1"/>
    <w:basedOn w:val="3"/>
    <w:next w:val="1"/>
    <w:qFormat/>
    <w:uiPriority w:val="27"/>
    <w:pPr>
      <w:spacing w:before="480" w:after="0" w:line="276" w:lineRule="auto"/>
      <w:jc w:val="left"/>
      <w:outlineLvl w:val="9"/>
    </w:pPr>
    <w:rPr>
      <w:rFonts w:ascii="Cambria" w:hAnsi="Cambria"/>
      <w:color w:val="365F91"/>
      <w:sz w:val="28"/>
      <w:szCs w:val="28"/>
    </w:rPr>
  </w:style>
  <w:style w:type="character" w:customStyle="1" w:styleId="64">
    <w:name w:val="标题 2 Char"/>
    <w:basedOn w:val="45"/>
    <w:link w:val="4"/>
    <w:qFormat/>
    <w:uiPriority w:val="0"/>
    <w:rPr>
      <w:rFonts w:ascii="Arial" w:hAnsi="Arial" w:eastAsia="黑体"/>
      <w:b/>
      <w:sz w:val="32"/>
      <w:szCs w:val="32"/>
    </w:rPr>
  </w:style>
  <w:style w:type="character" w:customStyle="1" w:styleId="65">
    <w:name w:val="标题 3 Char"/>
    <w:basedOn w:val="45"/>
    <w:link w:val="5"/>
    <w:qFormat/>
    <w:uiPriority w:val="0"/>
    <w:rPr>
      <w:rFonts w:ascii="黑体" w:hAnsi="Calibri" w:eastAsia="黑体"/>
      <w:sz w:val="28"/>
      <w:szCs w:val="28"/>
    </w:rPr>
  </w:style>
  <w:style w:type="character" w:customStyle="1" w:styleId="66">
    <w:name w:val="标题 1 Char"/>
    <w:basedOn w:val="45"/>
    <w:link w:val="3"/>
    <w:qFormat/>
    <w:uiPriority w:val="0"/>
    <w:rPr>
      <w:rFonts w:eastAsia="宋体"/>
      <w:b/>
      <w:sz w:val="44"/>
      <w:szCs w:val="44"/>
    </w:rPr>
  </w:style>
  <w:style w:type="character" w:customStyle="1" w:styleId="67">
    <w:name w:val="标题 4 Char"/>
    <w:basedOn w:val="45"/>
    <w:link w:val="6"/>
    <w:qFormat/>
    <w:uiPriority w:val="0"/>
    <w:rPr>
      <w:rFonts w:ascii="Arial" w:hAnsi="Arial" w:eastAsia="黑体"/>
      <w:b/>
      <w:sz w:val="28"/>
      <w:szCs w:val="28"/>
    </w:rPr>
  </w:style>
  <w:style w:type="character" w:customStyle="1" w:styleId="68">
    <w:name w:val="标题 6 Char"/>
    <w:basedOn w:val="45"/>
    <w:link w:val="8"/>
    <w:qFormat/>
    <w:uiPriority w:val="0"/>
    <w:rPr>
      <w:rFonts w:ascii="Arial" w:hAnsi="Arial" w:eastAsia="黑体"/>
      <w:b/>
      <w:sz w:val="24"/>
      <w:szCs w:val="24"/>
    </w:rPr>
  </w:style>
  <w:style w:type="character" w:customStyle="1" w:styleId="69">
    <w:name w:val="标题 7 Char"/>
    <w:basedOn w:val="45"/>
    <w:link w:val="9"/>
    <w:qFormat/>
    <w:uiPriority w:val="0"/>
    <w:rPr>
      <w:rFonts w:eastAsia="宋体"/>
      <w:b/>
      <w:sz w:val="24"/>
      <w:szCs w:val="24"/>
    </w:rPr>
  </w:style>
  <w:style w:type="character" w:customStyle="1" w:styleId="70">
    <w:name w:val="标题 8 Char"/>
    <w:basedOn w:val="45"/>
    <w:link w:val="10"/>
    <w:qFormat/>
    <w:uiPriority w:val="0"/>
    <w:rPr>
      <w:rFonts w:ascii="Arial" w:hAnsi="Arial" w:eastAsia="黑体"/>
      <w:sz w:val="24"/>
      <w:szCs w:val="24"/>
    </w:rPr>
  </w:style>
  <w:style w:type="character" w:customStyle="1" w:styleId="71">
    <w:name w:val="标题 9 Char"/>
    <w:basedOn w:val="45"/>
    <w:link w:val="11"/>
    <w:qFormat/>
    <w:uiPriority w:val="0"/>
    <w:rPr>
      <w:rFonts w:ascii="Arial" w:hAnsi="Arial" w:eastAsia="黑体"/>
      <w:sz w:val="21"/>
      <w:szCs w:val="21"/>
    </w:rPr>
  </w:style>
  <w:style w:type="character" w:customStyle="1" w:styleId="72">
    <w:name w:val="style_kwd"/>
    <w:basedOn w:val="45"/>
    <w:qFormat/>
    <w:uiPriority w:val="0"/>
  </w:style>
  <w:style w:type="character" w:customStyle="1" w:styleId="73">
    <w:name w:val="批注文字 Char1"/>
    <w:qFormat/>
    <w:uiPriority w:val="0"/>
    <w:rPr>
      <w:rFonts w:ascii="Times New Roman" w:hAnsi="Times New Roman" w:eastAsia="宋体" w:cs="Times New Roman"/>
      <w:sz w:val="20"/>
      <w:szCs w:val="20"/>
      <w:lang w:bidi="ar-SA"/>
    </w:rPr>
  </w:style>
  <w:style w:type="character" w:customStyle="1" w:styleId="74">
    <w:name w:val="Comment Text Char"/>
    <w:qFormat/>
    <w:uiPriority w:val="0"/>
  </w:style>
  <w:style w:type="character" w:customStyle="1" w:styleId="75">
    <w:name w:val="批注文字 Char"/>
    <w:basedOn w:val="45"/>
    <w:link w:val="15"/>
    <w:qFormat/>
    <w:uiPriority w:val="0"/>
    <w:rPr>
      <w:rFonts w:eastAsia="宋体"/>
      <w:sz w:val="21"/>
      <w:szCs w:val="21"/>
    </w:rPr>
  </w:style>
  <w:style w:type="character" w:customStyle="1" w:styleId="76">
    <w:name w:val="批注主题 Char"/>
    <w:link w:val="41"/>
    <w:qFormat/>
    <w:uiPriority w:val="0"/>
    <w:rPr>
      <w:rFonts w:eastAsia="宋体"/>
      <w:sz w:val="21"/>
      <w:szCs w:val="21"/>
    </w:rPr>
  </w:style>
  <w:style w:type="character" w:customStyle="1" w:styleId="77">
    <w:name w:val="文档结构图 Char"/>
    <w:link w:val="14"/>
    <w:qFormat/>
    <w:uiPriority w:val="0"/>
    <w:rPr>
      <w:rFonts w:ascii="宋体" w:hAnsi="Calibri" w:eastAsia="宋体" w:cs="宋体"/>
      <w:sz w:val="18"/>
      <w:szCs w:val="18"/>
    </w:rPr>
  </w:style>
  <w:style w:type="character" w:customStyle="1" w:styleId="78">
    <w:name w:val="页脚 Char"/>
    <w:link w:val="27"/>
    <w:qFormat/>
    <w:uiPriority w:val="0"/>
    <w:rPr>
      <w:rFonts w:ascii="Calibri" w:hAnsi="Calibri" w:eastAsia="宋体"/>
      <w:sz w:val="18"/>
      <w:szCs w:val="18"/>
    </w:rPr>
  </w:style>
  <w:style w:type="character" w:customStyle="1" w:styleId="79">
    <w:name w:val="正文文本 3 Char"/>
    <w:basedOn w:val="45"/>
    <w:link w:val="16"/>
    <w:qFormat/>
    <w:uiPriority w:val="0"/>
    <w:rPr>
      <w:rFonts w:ascii="宋体" w:hAnsi="Calibri" w:eastAsia="宋体"/>
      <w:sz w:val="24"/>
      <w:szCs w:val="24"/>
    </w:rPr>
  </w:style>
  <w:style w:type="character" w:customStyle="1" w:styleId="80">
    <w:name w:val="正文文本缩进 3 Char"/>
    <w:basedOn w:val="45"/>
    <w:link w:val="34"/>
    <w:qFormat/>
    <w:uiPriority w:val="0"/>
    <w:rPr>
      <w:rFonts w:ascii="Calibri" w:hAnsi="Calibri" w:eastAsia="宋体"/>
      <w:sz w:val="16"/>
      <w:szCs w:val="16"/>
    </w:rPr>
  </w:style>
  <w:style w:type="character" w:customStyle="1" w:styleId="81">
    <w:name w:val="页眉 Char"/>
    <w:link w:val="28"/>
    <w:qFormat/>
    <w:uiPriority w:val="0"/>
    <w:rPr>
      <w:rFonts w:eastAsia="宋体"/>
      <w:sz w:val="18"/>
      <w:szCs w:val="18"/>
    </w:rPr>
  </w:style>
  <w:style w:type="character" w:customStyle="1" w:styleId="82">
    <w:name w:val="批注框文本 Char"/>
    <w:link w:val="26"/>
    <w:qFormat/>
    <w:uiPriority w:val="0"/>
    <w:rPr>
      <w:rFonts w:eastAsia="宋体"/>
      <w:sz w:val="18"/>
      <w:szCs w:val="18"/>
    </w:rPr>
  </w:style>
  <w:style w:type="character" w:customStyle="1" w:styleId="83">
    <w:name w:val="日期 Char"/>
    <w:link w:val="24"/>
    <w:qFormat/>
    <w:uiPriority w:val="0"/>
    <w:rPr>
      <w:rFonts w:eastAsia="宋体"/>
      <w:sz w:val="21"/>
      <w:szCs w:val="21"/>
    </w:rPr>
  </w:style>
  <w:style w:type="paragraph" w:customStyle="1" w:styleId="84">
    <w:name w:val="修订1"/>
    <w:qFormat/>
    <w:uiPriority w:val="0"/>
    <w:rPr>
      <w:rFonts w:ascii="Times New Roman" w:hAnsi="Times New Roman" w:eastAsia="宋体" w:cs="Times New Roman"/>
      <w:sz w:val="21"/>
      <w:szCs w:val="21"/>
      <w:lang w:val="en-US" w:eastAsia="zh-CN" w:bidi="ar-SA"/>
    </w:rPr>
  </w:style>
  <w:style w:type="paragraph" w:customStyle="1" w:styleId="85">
    <w:name w:val="_Style 23"/>
    <w:basedOn w:val="1"/>
    <w:qFormat/>
    <w:uiPriority w:val="0"/>
    <w:pPr>
      <w:spacing w:after="160" w:line="240" w:lineRule="exact"/>
      <w:jc w:val="left"/>
    </w:pPr>
  </w:style>
  <w:style w:type="character" w:customStyle="1" w:styleId="86">
    <w:name w:val="font161"/>
    <w:qFormat/>
    <w:uiPriority w:val="0"/>
    <w:rPr>
      <w:b/>
      <w:sz w:val="32"/>
      <w:szCs w:val="32"/>
    </w:rPr>
  </w:style>
  <w:style w:type="character" w:customStyle="1" w:styleId="87">
    <w:name w:val="标题 5 Char"/>
    <w:basedOn w:val="45"/>
    <w:link w:val="7"/>
    <w:semiHidden/>
    <w:qFormat/>
    <w:uiPriority w:val="0"/>
    <w:rPr>
      <w:rFonts w:eastAsia="宋体"/>
      <w:b/>
      <w:sz w:val="28"/>
      <w:szCs w:val="28"/>
    </w:rPr>
  </w:style>
  <w:style w:type="character" w:customStyle="1" w:styleId="88">
    <w:name w:val="正文首行缩进 Char"/>
    <w:link w:val="42"/>
    <w:qFormat/>
    <w:uiPriority w:val="0"/>
  </w:style>
  <w:style w:type="character" w:customStyle="1" w:styleId="89">
    <w:name w:val="正文文本 Char"/>
    <w:qFormat/>
    <w:uiPriority w:val="0"/>
    <w:rPr>
      <w:rFonts w:eastAsia="宋体"/>
      <w:sz w:val="21"/>
      <w:szCs w:val="21"/>
      <w:lang w:val="en-US" w:eastAsia="zh-CN" w:bidi="ar-SA"/>
    </w:rPr>
  </w:style>
  <w:style w:type="paragraph" w:customStyle="1" w:styleId="90">
    <w:name w:val="表格文字"/>
    <w:basedOn w:val="1"/>
    <w:qFormat/>
    <w:uiPriority w:val="0"/>
    <w:pPr>
      <w:spacing w:line="420" w:lineRule="atLeast"/>
      <w:jc w:val="left"/>
    </w:pPr>
    <w:rPr>
      <w:rFonts w:ascii="Times New Roman" w:hAnsi="Times New Roman"/>
    </w:rPr>
  </w:style>
  <w:style w:type="paragraph" w:customStyle="1" w:styleId="91">
    <w:name w:val="Char"/>
    <w:basedOn w:val="1"/>
    <w:qFormat/>
    <w:uiPriority w:val="0"/>
    <w:pPr>
      <w:spacing w:after="160" w:line="240" w:lineRule="exact"/>
      <w:jc w:val="left"/>
    </w:pPr>
    <w:rPr>
      <w:rFonts w:ascii="Verdana" w:hAnsi="Verdana"/>
      <w:sz w:val="20"/>
      <w:szCs w:val="20"/>
      <w:lang w:eastAsia="en-US"/>
    </w:rPr>
  </w:style>
  <w:style w:type="character" w:customStyle="1" w:styleId="92">
    <w:name w:val="正文文本 Char1"/>
    <w:basedOn w:val="45"/>
    <w:link w:val="2"/>
    <w:qFormat/>
    <w:uiPriority w:val="0"/>
    <w:rPr>
      <w:rFonts w:eastAsia="宋体"/>
      <w:sz w:val="21"/>
      <w:szCs w:val="21"/>
    </w:rPr>
  </w:style>
  <w:style w:type="character" w:customStyle="1" w:styleId="93">
    <w:name w:val="正文首行缩进 Char1"/>
    <w:basedOn w:val="92"/>
    <w:link w:val="42"/>
    <w:qFormat/>
    <w:uiPriority w:val="0"/>
  </w:style>
  <w:style w:type="character" w:customStyle="1" w:styleId="94">
    <w:name w:val="正文文本缩进 Char"/>
    <w:basedOn w:val="45"/>
    <w:link w:val="17"/>
    <w:qFormat/>
    <w:uiPriority w:val="0"/>
    <w:rPr>
      <w:rFonts w:eastAsia="宋体"/>
      <w:sz w:val="21"/>
      <w:szCs w:val="21"/>
    </w:rPr>
  </w:style>
  <w:style w:type="paragraph" w:customStyle="1" w:styleId="95">
    <w:name w:val="我的正文"/>
    <w:basedOn w:val="1"/>
    <w:qFormat/>
    <w:uiPriority w:val="0"/>
    <w:rPr>
      <w:rFonts w:ascii="宋体" w:hAnsi="宋体"/>
      <w:sz w:val="24"/>
      <w:szCs w:val="24"/>
    </w:rPr>
  </w:style>
  <w:style w:type="paragraph" w:customStyle="1" w:styleId="96">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sz w:val="28"/>
      <w:szCs w:val="28"/>
    </w:rPr>
  </w:style>
  <w:style w:type="paragraph" w:customStyle="1" w:styleId="97">
    <w:name w:val="样式2"/>
    <w:basedOn w:val="5"/>
    <w:qFormat/>
    <w:uiPriority w:val="0"/>
    <w:pPr>
      <w:spacing w:line="415" w:lineRule="auto"/>
      <w:ind w:firstLine="137"/>
    </w:pPr>
    <w:rPr>
      <w:rFonts w:hAnsi="Times New Roman"/>
      <w:i/>
    </w:rPr>
  </w:style>
  <w:style w:type="character" w:customStyle="1" w:styleId="98">
    <w:name w:val="标题 Char"/>
    <w:basedOn w:val="45"/>
    <w:link w:val="40"/>
    <w:qFormat/>
    <w:uiPriority w:val="0"/>
    <w:rPr>
      <w:rFonts w:ascii="Arial" w:hAnsi="Arial" w:eastAsia="宋体"/>
      <w:b/>
      <w:sz w:val="32"/>
      <w:szCs w:val="32"/>
    </w:rPr>
  </w:style>
  <w:style w:type="paragraph" w:customStyle="1" w:styleId="99">
    <w:name w:val="Char1"/>
    <w:basedOn w:val="1"/>
    <w:qFormat/>
    <w:uiPriority w:val="0"/>
    <w:pPr>
      <w:tabs>
        <w:tab w:val="left" w:pos="360"/>
      </w:tabs>
    </w:pPr>
    <w:rPr>
      <w:rFonts w:ascii="Times New Roman" w:hAnsi="Times New Roman"/>
      <w:sz w:val="24"/>
      <w:szCs w:val="24"/>
    </w:rPr>
  </w:style>
  <w:style w:type="paragraph" w:customStyle="1" w:styleId="100">
    <w:name w:val="修订11"/>
    <w:qFormat/>
    <w:uiPriority w:val="0"/>
    <w:rPr>
      <w:rFonts w:ascii="Times New Roman" w:hAnsi="Times New Roman" w:eastAsia="宋体" w:cs="Times New Roman"/>
      <w:sz w:val="21"/>
      <w:szCs w:val="21"/>
      <w:lang w:val="en-US" w:eastAsia="zh-CN" w:bidi="ar-SA"/>
    </w:rPr>
  </w:style>
  <w:style w:type="paragraph" w:customStyle="1" w:styleId="101">
    <w:name w:val="样式1"/>
    <w:basedOn w:val="1"/>
    <w:next w:val="6"/>
    <w:qFormat/>
    <w:uiPriority w:val="0"/>
    <w:pPr>
      <w:spacing w:line="360" w:lineRule="auto"/>
      <w:ind w:firstLine="200"/>
    </w:pPr>
    <w:rPr>
      <w:rFonts w:ascii="宋体" w:hAnsi="宋体"/>
    </w:rPr>
  </w:style>
  <w:style w:type="paragraph" w:customStyle="1" w:styleId="102">
    <w:name w:val="6'"/>
    <w:basedOn w:val="1"/>
    <w:qFormat/>
    <w:uiPriority w:val="0"/>
    <w:pPr>
      <w:autoSpaceDE w:val="0"/>
      <w:autoSpaceDN w:val="0"/>
      <w:snapToGrid w:val="0"/>
      <w:spacing w:line="320" w:lineRule="exact"/>
      <w:jc w:val="center"/>
    </w:pPr>
    <w:rPr>
      <w:rFonts w:ascii="Times New Roman" w:hAnsi="Times New Roman"/>
      <w:spacing w:val="20"/>
    </w:rPr>
  </w:style>
  <w:style w:type="paragraph" w:customStyle="1" w:styleId="103">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sz w:val="32"/>
      <w:szCs w:val="32"/>
    </w:rPr>
  </w:style>
  <w:style w:type="paragraph" w:customStyle="1" w:styleId="104">
    <w:name w:val="样式 标题 3 + (中文) 黑体 小四 非加粗 段前: 7.8 磅 段后: 0 磅 行距: 固定值 20 磅"/>
    <w:basedOn w:val="5"/>
    <w:qFormat/>
    <w:uiPriority w:val="0"/>
    <w:pPr>
      <w:spacing w:before="0" w:after="0" w:line="400" w:lineRule="exact"/>
      <w:ind w:firstLine="137"/>
    </w:pPr>
    <w:rPr>
      <w:rFonts w:hAnsi="Times New Roman" w:cs="宋体"/>
      <w:sz w:val="24"/>
      <w:szCs w:val="24"/>
    </w:rPr>
  </w:style>
  <w:style w:type="paragraph" w:customStyle="1" w:styleId="105">
    <w:name w:val="1"/>
    <w:basedOn w:val="1"/>
    <w:qFormat/>
    <w:uiPriority w:val="0"/>
    <w:rPr>
      <w:rFonts w:ascii="Times New Roman" w:hAnsi="Times New Roman"/>
    </w:rPr>
  </w:style>
  <w:style w:type="paragraph" w:customStyle="1" w:styleId="106">
    <w:name w:val="表格"/>
    <w:basedOn w:val="1"/>
    <w:qFormat/>
    <w:uiPriority w:val="0"/>
    <w:pPr>
      <w:jc w:val="center"/>
    </w:pPr>
    <w:rPr>
      <w:rFonts w:ascii="华文细黑" w:hAnsi="华文细黑"/>
    </w:rPr>
  </w:style>
  <w:style w:type="paragraph" w:customStyle="1" w:styleId="107">
    <w:name w:val="修订2"/>
    <w:qFormat/>
    <w:uiPriority w:val="0"/>
    <w:rPr>
      <w:rFonts w:ascii="Times New Roman" w:hAnsi="Times New Roman" w:eastAsia="宋体" w:cs="Times New Roman"/>
      <w:sz w:val="21"/>
      <w:szCs w:val="21"/>
      <w:lang w:val="en-US" w:eastAsia="zh-CN" w:bidi="ar-SA"/>
    </w:rPr>
  </w:style>
  <w:style w:type="paragraph" w:customStyle="1" w:styleId="108">
    <w:name w:val="其他"/>
    <w:basedOn w:val="1"/>
    <w:qFormat/>
    <w:uiPriority w:val="0"/>
    <w:pPr>
      <w:shd w:val="clear" w:color="auto" w:fill="FFFFFF"/>
      <w:spacing w:line="430" w:lineRule="auto"/>
      <w:ind w:firstLine="400"/>
      <w:jc w:val="distribute"/>
    </w:pPr>
    <w:rPr>
      <w:rFonts w:ascii="宋体" w:hAnsi="宋体" w:cs="宋体"/>
      <w:sz w:val="20"/>
      <w:lang w:val="zh-CN" w:bidi="zh-CN"/>
    </w:rPr>
  </w:style>
  <w:style w:type="paragraph" w:customStyle="1" w:styleId="109">
    <w:name w:val="_Style 8"/>
    <w:basedOn w:val="3"/>
    <w:next w:val="1"/>
    <w:qFormat/>
    <w:uiPriority w:val="0"/>
    <w:pPr>
      <w:outlineLvl w:val="9"/>
    </w:pPr>
  </w:style>
  <w:style w:type="paragraph" w:customStyle="1" w:styleId="110">
    <w:name w:val="正文文本 (2)"/>
    <w:basedOn w:val="1"/>
    <w:qFormat/>
    <w:uiPriority w:val="0"/>
    <w:pPr>
      <w:shd w:val="clear" w:color="auto" w:fill="FFFFFF"/>
      <w:spacing w:before="300" w:line="439" w:lineRule="exact"/>
      <w:jc w:val="distribute"/>
    </w:pPr>
    <w:rPr>
      <w:rFonts w:ascii="宋体" w:hAnsi="宋体"/>
      <w:sz w:val="22"/>
      <w:szCs w:val="22"/>
    </w:rPr>
  </w:style>
  <w:style w:type="paragraph" w:customStyle="1" w:styleId="111">
    <w:name w:val="_Style 6"/>
    <w:next w:val="1"/>
    <w:qFormat/>
    <w:uiPriority w:val="0"/>
    <w:pPr>
      <w:keepNext/>
      <w:keepLines/>
      <w:widowControl w:val="0"/>
      <w:spacing w:before="340" w:beforeLines="0" w:after="330" w:afterLines="0" w:line="576" w:lineRule="auto"/>
      <w:jc w:val="both"/>
      <w:outlineLvl w:val="9"/>
    </w:pPr>
    <w:rPr>
      <w:rFonts w:ascii="Calibri" w:hAnsi="Calibri" w:eastAsia="宋体" w:cs="Times New Roman"/>
      <w:b/>
      <w:bCs/>
      <w:kern w:val="44"/>
      <w:sz w:val="44"/>
      <w:szCs w:val="44"/>
      <w:lang w:val="en-US" w:eastAsia="zh-CN" w:bidi="ar-SA"/>
    </w:rPr>
  </w:style>
  <w:style w:type="character" w:customStyle="1" w:styleId="112">
    <w:name w:val="current"/>
    <w:basedOn w:val="45"/>
    <w:qFormat/>
    <w:uiPriority w:val="0"/>
    <w:rPr>
      <w:b/>
      <w:color w:val="FF6500"/>
      <w:bdr w:val="single" w:color="FF6500" w:sz="6" w:space="0"/>
      <w:shd w:val="clear" w:fill="FFBE94"/>
    </w:rPr>
  </w:style>
  <w:style w:type="character" w:customStyle="1" w:styleId="113">
    <w:name w:val="disabled"/>
    <w:basedOn w:val="45"/>
    <w:qFormat/>
    <w:uiPriority w:val="0"/>
    <w:rPr>
      <w:color w:val="FFE3C6"/>
      <w:bdr w:val="single" w:color="FFE3C6" w:sz="6" w:space="0"/>
    </w:rPr>
  </w:style>
  <w:style w:type="paragraph" w:customStyle="1" w:styleId="114">
    <w:name w:val="Default"/>
    <w:next w:val="27"/>
    <w:qFormat/>
    <w:uiPriority w:val="0"/>
    <w:pPr>
      <w:widowControl w:val="0"/>
      <w:autoSpaceDE w:val="0"/>
      <w:autoSpaceDN w:val="0"/>
      <w:adjustRightInd w:val="0"/>
    </w:pPr>
    <w:rPr>
      <w:rFonts w:ascii="黑体" w:hAnsi="Times New Roman" w:eastAsia="黑体" w:cs="Times New Roman"/>
      <w:lang w:val="en-US" w:eastAsia="zh-CN" w:bidi="ar-SA"/>
    </w:rPr>
  </w:style>
  <w:style w:type="table" w:customStyle="1" w:styleId="115">
    <w:name w:val="Table Normal"/>
    <w:semiHidden/>
    <w:unhideWhenUsed/>
    <w:qFormat/>
    <w:uiPriority w:val="0"/>
    <w:tblPr>
      <w:tblCellMar>
        <w:top w:w="0" w:type="dxa"/>
        <w:left w:w="0" w:type="dxa"/>
        <w:bottom w:w="0" w:type="dxa"/>
        <w:right w:w="0" w:type="dxa"/>
      </w:tblCellMar>
    </w:tblPr>
  </w:style>
  <w:style w:type="paragraph" w:customStyle="1" w:styleId="116">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Info spid="_x0000_s4098" textRotate="1"/>
    <customShpInfo spid="_x0000_s4099"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0DA569-3FCE-48C1-8A37-2C3294149B60}">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172</Pages>
  <Words>68047</Words>
  <Characters>72005</Characters>
  <Lines>1</Lines>
  <Paragraphs>1</Paragraphs>
  <TotalTime>26</TotalTime>
  <ScaleCrop>false</ScaleCrop>
  <LinksUpToDate>false</LinksUpToDate>
  <CharactersWithSpaces>80800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2020-07-14T10:41:00Z</dcterms:created>
  <dc:creator>袁静</dc:creator>
  <cp:lastModifiedBy>Administrator</cp:lastModifiedBy>
  <cp:lastPrinted>2021-12-09T06:28:00Z</cp:lastPrinted>
  <dcterms:modified xsi:type="dcterms:W3CDTF">2026-05-19T04:40:04Z</dcterms:modified>
  <dc:title>中华人民共和国</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16C98426321343A4A464AD2761D4D44B</vt:lpwstr>
  </property>
</Properties>
</file>